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4F1C04">
        <w:trPr>
          <w:trHeight w:hRule="exact" w:val="851"/>
        </w:trPr>
        <w:tc>
          <w:tcPr>
            <w:tcW w:w="1276" w:type="dxa"/>
            <w:tcBorders>
              <w:bottom w:val="single" w:sz="4" w:space="0" w:color="auto"/>
            </w:tcBorders>
          </w:tcPr>
          <w:p w:rsidR="00060E82" w:rsidRPr="004F1C04" w:rsidRDefault="00060E82" w:rsidP="006A2FF6"/>
        </w:tc>
        <w:tc>
          <w:tcPr>
            <w:tcW w:w="2268" w:type="dxa"/>
            <w:tcBorders>
              <w:bottom w:val="single" w:sz="4" w:space="0" w:color="auto"/>
            </w:tcBorders>
            <w:vAlign w:val="bottom"/>
          </w:tcPr>
          <w:p w:rsidR="00060E82" w:rsidRPr="004F1C04" w:rsidRDefault="00060E82" w:rsidP="006A2FF6">
            <w:pPr>
              <w:spacing w:after="80" w:line="300" w:lineRule="exact"/>
              <w:rPr>
                <w:sz w:val="28"/>
              </w:rPr>
            </w:pPr>
            <w:r w:rsidRPr="004F1C04">
              <w:rPr>
                <w:sz w:val="28"/>
              </w:rPr>
              <w:t>Nations Unies</w:t>
            </w:r>
          </w:p>
        </w:tc>
        <w:tc>
          <w:tcPr>
            <w:tcW w:w="6095" w:type="dxa"/>
            <w:gridSpan w:val="2"/>
            <w:tcBorders>
              <w:bottom w:val="single" w:sz="4" w:space="0" w:color="auto"/>
            </w:tcBorders>
            <w:vAlign w:val="bottom"/>
          </w:tcPr>
          <w:p w:rsidR="00060E82" w:rsidRPr="004F1C04" w:rsidRDefault="00F440CD" w:rsidP="00F440CD">
            <w:pPr>
              <w:jc w:val="right"/>
            </w:pPr>
            <w:r w:rsidRPr="004F1C04">
              <w:rPr>
                <w:sz w:val="40"/>
              </w:rPr>
              <w:t>CRC</w:t>
            </w:r>
            <w:r w:rsidRPr="004F1C04">
              <w:t>/C/OPAC/JOR/1</w:t>
            </w:r>
          </w:p>
        </w:tc>
      </w:tr>
      <w:tr w:rsidR="00060E82" w:rsidRPr="004F1C04">
        <w:trPr>
          <w:trHeight w:hRule="exact" w:val="2835"/>
        </w:trPr>
        <w:tc>
          <w:tcPr>
            <w:tcW w:w="1276" w:type="dxa"/>
            <w:tcBorders>
              <w:top w:val="single" w:sz="4" w:space="0" w:color="auto"/>
              <w:bottom w:val="single" w:sz="12" w:space="0" w:color="auto"/>
            </w:tcBorders>
          </w:tcPr>
          <w:p w:rsidR="00060E82" w:rsidRPr="004F1C04" w:rsidRDefault="00060E82" w:rsidP="006A2FF6">
            <w:pPr>
              <w:spacing w:before="120"/>
              <w:jc w:val="center"/>
            </w:pPr>
            <w:r w:rsidRPr="004F1C0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4F1C04" w:rsidRDefault="00060E82" w:rsidP="006A2FF6">
            <w:pPr>
              <w:spacing w:before="120" w:line="460" w:lineRule="exact"/>
              <w:rPr>
                <w:b/>
                <w:sz w:val="40"/>
                <w:szCs w:val="40"/>
              </w:rPr>
            </w:pPr>
            <w:r w:rsidRPr="004F1C04">
              <w:rPr>
                <w:b/>
                <w:sz w:val="40"/>
                <w:szCs w:val="40"/>
              </w:rPr>
              <w:t>Convention relative</w:t>
            </w:r>
            <w:r w:rsidRPr="004F1C04">
              <w:rPr>
                <w:b/>
                <w:sz w:val="40"/>
                <w:szCs w:val="40"/>
              </w:rPr>
              <w:br/>
              <w:t>aux droits de l’enfant</w:t>
            </w:r>
          </w:p>
        </w:tc>
        <w:tc>
          <w:tcPr>
            <w:tcW w:w="2835" w:type="dxa"/>
            <w:tcBorders>
              <w:top w:val="single" w:sz="4" w:space="0" w:color="auto"/>
              <w:bottom w:val="single" w:sz="12" w:space="0" w:color="auto"/>
            </w:tcBorders>
          </w:tcPr>
          <w:p w:rsidR="00F440CD" w:rsidRPr="004F1C04" w:rsidRDefault="00F440CD" w:rsidP="006A2FF6">
            <w:pPr>
              <w:spacing w:before="240"/>
            </w:pPr>
            <w:r w:rsidRPr="004F1C04">
              <w:t>Distr. générale</w:t>
            </w:r>
          </w:p>
          <w:p w:rsidR="00F440CD" w:rsidRPr="004F1C04" w:rsidRDefault="00F440CD" w:rsidP="00F440CD">
            <w:pPr>
              <w:spacing w:line="240" w:lineRule="exact"/>
            </w:pPr>
            <w:r w:rsidRPr="004F1C04">
              <w:t>27 février 2013</w:t>
            </w:r>
          </w:p>
          <w:p w:rsidR="00F440CD" w:rsidRPr="004F1C04" w:rsidRDefault="00F440CD" w:rsidP="00F440CD">
            <w:pPr>
              <w:spacing w:line="240" w:lineRule="exact"/>
            </w:pPr>
            <w:r w:rsidRPr="004F1C04">
              <w:t>Français</w:t>
            </w:r>
          </w:p>
          <w:p w:rsidR="00060E82" w:rsidRPr="004F1C04" w:rsidRDefault="00F440CD" w:rsidP="00F440CD">
            <w:pPr>
              <w:spacing w:line="240" w:lineRule="exact"/>
            </w:pPr>
            <w:r w:rsidRPr="004F1C04">
              <w:t>Original: arabe</w:t>
            </w:r>
          </w:p>
        </w:tc>
      </w:tr>
    </w:tbl>
    <w:p w:rsidR="00FF1DBD" w:rsidRPr="004F1C04" w:rsidRDefault="00DA3BE9" w:rsidP="00DA3BE9">
      <w:pPr>
        <w:spacing w:before="120"/>
        <w:rPr>
          <w:b/>
          <w:sz w:val="24"/>
          <w:szCs w:val="24"/>
        </w:rPr>
      </w:pPr>
      <w:r w:rsidRPr="004F1C04">
        <w:rPr>
          <w:b/>
          <w:sz w:val="24"/>
          <w:szCs w:val="24"/>
        </w:rPr>
        <w:t>Comité des droits de l’enfant</w:t>
      </w:r>
    </w:p>
    <w:p w:rsidR="0000565D" w:rsidRPr="004F1C04" w:rsidRDefault="0000565D" w:rsidP="0000565D">
      <w:pPr>
        <w:pStyle w:val="HMG"/>
        <w:rPr>
          <w:rtl/>
          <w:lang w:val="fr-FR" w:bidi="fr-FR"/>
        </w:rPr>
      </w:pPr>
      <w:bookmarkStart w:id="0" w:name="_Toc350173935"/>
      <w:r w:rsidRPr="004F1C04">
        <w:rPr>
          <w:rFonts w:eastAsia="Traditional Arabic"/>
          <w:lang w:val="fr-FR"/>
        </w:rPr>
        <w:tab/>
      </w:r>
      <w:r w:rsidRPr="004F1C04">
        <w:rPr>
          <w:rFonts w:eastAsia="Traditional Arabic"/>
          <w:lang w:val="fr-FR"/>
        </w:rPr>
        <w:tab/>
        <w:t>Examen des rapports présentés par les États parties conformément au paragraphe 1 de l</w:t>
      </w:r>
      <w:r w:rsidR="00913EBF">
        <w:rPr>
          <w:rFonts w:eastAsia="Traditional Arabic"/>
          <w:lang w:val="fr-FR"/>
        </w:rPr>
        <w:t>’</w:t>
      </w:r>
      <w:r w:rsidRPr="004F1C04">
        <w:rPr>
          <w:rFonts w:eastAsia="Traditional Arabic"/>
          <w:lang w:val="fr-FR"/>
        </w:rPr>
        <w:t>article 8 du Protocole facultatif à la Convention relative aux droits de l</w:t>
      </w:r>
      <w:r w:rsidR="00913EBF">
        <w:rPr>
          <w:rFonts w:eastAsia="Traditional Arabic"/>
          <w:lang w:val="fr-FR"/>
        </w:rPr>
        <w:t>’</w:t>
      </w:r>
      <w:r w:rsidRPr="004F1C04">
        <w:rPr>
          <w:rFonts w:eastAsia="Traditional Arabic"/>
          <w:lang w:val="fr-FR"/>
        </w:rPr>
        <w:t>enfant, concernant l</w:t>
      </w:r>
      <w:r w:rsidR="00913EBF">
        <w:rPr>
          <w:rFonts w:eastAsia="Traditional Arabic"/>
          <w:lang w:val="fr-FR"/>
        </w:rPr>
        <w:t>’</w:t>
      </w:r>
      <w:r w:rsidRPr="004F1C04">
        <w:rPr>
          <w:rFonts w:eastAsia="Traditional Arabic"/>
          <w:lang w:val="fr-FR"/>
        </w:rPr>
        <w:t>implication d</w:t>
      </w:r>
      <w:r w:rsidR="0072557F">
        <w:rPr>
          <w:rFonts w:eastAsia="Traditional Arabic"/>
          <w:lang w:val="fr-FR"/>
        </w:rPr>
        <w:t>’</w:t>
      </w:r>
      <w:r w:rsidRPr="004F1C04">
        <w:rPr>
          <w:rFonts w:eastAsia="Traditional Arabic"/>
          <w:lang w:val="fr-FR"/>
        </w:rPr>
        <w:t>enfants dans les conflits armés</w:t>
      </w:r>
      <w:bookmarkEnd w:id="0"/>
    </w:p>
    <w:p w:rsidR="0000565D" w:rsidRPr="004F1C04" w:rsidRDefault="0000565D" w:rsidP="0000565D">
      <w:pPr>
        <w:pStyle w:val="HChG"/>
        <w:rPr>
          <w:rtl/>
          <w:lang w:val="fr-FR" w:bidi="fr-FR"/>
        </w:rPr>
      </w:pPr>
      <w:r w:rsidRPr="004F1C04">
        <w:rPr>
          <w:rFonts w:eastAsia="Traditional Arabic"/>
          <w:lang w:val="fr-FR"/>
        </w:rPr>
        <w:tab/>
      </w:r>
      <w:r w:rsidRPr="004F1C04">
        <w:rPr>
          <w:rFonts w:eastAsia="Traditional Arabic"/>
          <w:lang w:val="fr-FR"/>
        </w:rPr>
        <w:tab/>
      </w:r>
      <w:bookmarkStart w:id="1" w:name="_Toc350173936"/>
      <w:r w:rsidRPr="004F1C04">
        <w:rPr>
          <w:rFonts w:eastAsia="Traditional Arabic"/>
          <w:lang w:val="fr-FR"/>
        </w:rPr>
        <w:t>Rapports initiaux des États parties attendus en 2009</w:t>
      </w:r>
      <w:bookmarkEnd w:id="1"/>
    </w:p>
    <w:p w:rsidR="0000565D" w:rsidRPr="004F1C04" w:rsidRDefault="0000565D" w:rsidP="0000565D">
      <w:pPr>
        <w:pStyle w:val="HMGA"/>
        <w:bidi w:val="0"/>
        <w:ind w:left="0" w:right="1134" w:firstLine="0"/>
        <w:rPr>
          <w:rFonts w:cs="Times New Roman"/>
          <w:rtl/>
          <w:lang w:val="fr-FR" w:bidi="fr-FR"/>
        </w:rPr>
      </w:pPr>
      <w:r w:rsidRPr="004F1C04">
        <w:rPr>
          <w:rFonts w:eastAsia="Traditional Arabic" w:cs="Times New Roman"/>
          <w:sz w:val="44"/>
          <w:lang w:val="fr-FR"/>
        </w:rPr>
        <w:tab/>
      </w:r>
      <w:r w:rsidRPr="004F1C04">
        <w:rPr>
          <w:rFonts w:eastAsia="Traditional Arabic" w:cs="Times New Roman"/>
          <w:sz w:val="44"/>
          <w:lang w:val="fr-FR"/>
        </w:rPr>
        <w:tab/>
      </w:r>
      <w:r w:rsidRPr="004F1C04">
        <w:rPr>
          <w:rStyle w:val="HMGCar"/>
          <w:rFonts w:eastAsia="Traditional Arabic"/>
        </w:rPr>
        <w:t>Jordanie</w:t>
      </w:r>
      <w:r w:rsidRPr="004F1C04">
        <w:rPr>
          <w:rStyle w:val="FootnoteReference"/>
          <w:rFonts w:eastAsia="Traditional Arabic" w:cs="Times New Roman"/>
          <w:b w:val="0"/>
          <w:sz w:val="20"/>
          <w:szCs w:val="20"/>
          <w:vertAlign w:val="baseline"/>
          <w:lang w:val="fr-FR"/>
        </w:rPr>
        <w:footnoteReference w:customMarkFollows="1" w:id="2"/>
        <w:t>*</w:t>
      </w:r>
    </w:p>
    <w:p w:rsidR="0000565D" w:rsidRPr="004F1C04" w:rsidRDefault="0000565D" w:rsidP="0000565D">
      <w:pPr>
        <w:pStyle w:val="SingleTxtGA"/>
        <w:bidi w:val="0"/>
        <w:ind w:left="1134" w:right="1134"/>
        <w:jc w:val="right"/>
        <w:rPr>
          <w:rFonts w:cs="Times New Roman"/>
          <w:szCs w:val="20"/>
          <w:rtl/>
          <w:lang w:val="fr-FR" w:bidi="fr-FR"/>
        </w:rPr>
      </w:pPr>
      <w:r w:rsidRPr="004F1C04">
        <w:rPr>
          <w:rFonts w:eastAsia="Traditional Arabic" w:cs="Times New Roman"/>
          <w:szCs w:val="20"/>
          <w:lang w:val="fr-FR"/>
        </w:rPr>
        <w:t>[31 janvier 2011]</w:t>
      </w:r>
    </w:p>
    <w:p w:rsidR="00DE01E2" w:rsidRPr="004F1C04" w:rsidRDefault="00DE01E2" w:rsidP="00DE01E2">
      <w:pPr>
        <w:pageBreakBefore/>
        <w:spacing w:line="360" w:lineRule="exact"/>
        <w:rPr>
          <w:sz w:val="28"/>
          <w:szCs w:val="28"/>
          <w:rtl/>
          <w:lang w:val="fr-FR" w:bidi="fr-FR"/>
        </w:rPr>
      </w:pPr>
      <w:bookmarkStart w:id="2" w:name="_Toc350173938"/>
      <w:bookmarkStart w:id="3" w:name="_Toc358307231"/>
      <w:r w:rsidRPr="004F1C04">
        <w:rPr>
          <w:rFonts w:eastAsia="Traditional Arabic"/>
          <w:sz w:val="28"/>
          <w:szCs w:val="28"/>
          <w:lang w:val="fr-FR"/>
        </w:rPr>
        <w:t>Table des matières</w:t>
      </w:r>
    </w:p>
    <w:p w:rsidR="00DE01E2" w:rsidRDefault="00DE01E2" w:rsidP="00DE01E2">
      <w:pPr>
        <w:tabs>
          <w:tab w:val="right" w:pos="8929"/>
          <w:tab w:val="right" w:pos="9638"/>
        </w:tabs>
        <w:spacing w:after="120"/>
        <w:ind w:left="283"/>
      </w:pPr>
      <w:r>
        <w:rPr>
          <w:i/>
          <w:sz w:val="18"/>
        </w:rPr>
        <w:tab/>
        <w:t>Paragraphes</w:t>
      </w:r>
      <w:r>
        <w:rPr>
          <w:i/>
          <w:sz w:val="18"/>
        </w:rPr>
        <w:tab/>
        <w:t>Page</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t>I.</w:t>
      </w:r>
      <w:r w:rsidRPr="0082384A">
        <w:tab/>
        <w:t>Introduction</w:t>
      </w:r>
      <w:r w:rsidRPr="0082384A">
        <w:tab/>
      </w:r>
      <w:r w:rsidRPr="0082384A">
        <w:tab/>
        <w:t>1–5</w:t>
      </w:r>
      <w:r w:rsidRPr="0082384A">
        <w:tab/>
      </w:r>
      <w:r>
        <w:t>3</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t>II.</w:t>
      </w:r>
      <w:r w:rsidRPr="0082384A">
        <w:tab/>
      </w:r>
      <w:r w:rsidRPr="00DE01E2">
        <w:t>Principes directeurs généraux</w:t>
      </w:r>
      <w:r>
        <w:tab/>
      </w:r>
      <w:r>
        <w:tab/>
        <w:t>6–</w:t>
      </w:r>
      <w:r w:rsidRPr="0082384A">
        <w:t>13</w:t>
      </w:r>
      <w:r>
        <w:tab/>
        <w:t>3</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A.</w:t>
      </w:r>
      <w:r w:rsidRPr="0082384A">
        <w:tab/>
      </w:r>
      <w:r w:rsidRPr="00DE01E2">
        <w:t>Processus d</w:t>
      </w:r>
      <w:r w:rsidR="00C04FF8">
        <w:t>’</w:t>
      </w:r>
      <w:r w:rsidRPr="00DE01E2">
        <w:t>élaboration du rapport</w:t>
      </w:r>
      <w:r w:rsidRPr="0082384A">
        <w:tab/>
      </w:r>
      <w:r w:rsidRPr="0082384A">
        <w:tab/>
        <w:t>6</w:t>
      </w:r>
      <w:r w:rsidRPr="0082384A">
        <w:tab/>
      </w:r>
      <w:r>
        <w:t>3</w:t>
      </w:r>
    </w:p>
    <w:p w:rsidR="00DE01E2" w:rsidRDefault="00DE01E2" w:rsidP="00EF01B5">
      <w:pPr>
        <w:tabs>
          <w:tab w:val="right" w:pos="850"/>
          <w:tab w:val="left" w:pos="1134"/>
          <w:tab w:val="left" w:pos="1559"/>
          <w:tab w:val="left" w:pos="1984"/>
          <w:tab w:val="left" w:leader="dot" w:pos="7900"/>
          <w:tab w:val="right" w:pos="8929"/>
          <w:tab w:val="right" w:pos="9638"/>
        </w:tabs>
      </w:pPr>
      <w:r w:rsidRPr="0082384A">
        <w:tab/>
      </w:r>
      <w:r w:rsidRPr="0082384A">
        <w:tab/>
        <w:t>B.</w:t>
      </w:r>
      <w:r w:rsidRPr="0082384A">
        <w:tab/>
      </w:r>
      <w:r w:rsidRPr="00DE01E2">
        <w:t xml:space="preserve">Application des principes généraux de la Convention relative aux droits de </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tab/>
      </w:r>
      <w:r>
        <w:tab/>
      </w:r>
      <w:r>
        <w:tab/>
      </w:r>
      <w:r w:rsidRPr="00DE01E2">
        <w:t>l’enfant</w:t>
      </w:r>
      <w:r w:rsidRPr="0082384A">
        <w:tab/>
      </w:r>
      <w:r w:rsidRPr="0082384A">
        <w:tab/>
        <w:t>7</w:t>
      </w:r>
      <w:r>
        <w:tab/>
        <w:t>3</w:t>
      </w:r>
    </w:p>
    <w:p w:rsidR="00DE01E2" w:rsidRDefault="00DE01E2" w:rsidP="00EF01B5">
      <w:pPr>
        <w:tabs>
          <w:tab w:val="right" w:pos="850"/>
          <w:tab w:val="left" w:pos="1134"/>
          <w:tab w:val="left" w:pos="1559"/>
          <w:tab w:val="left" w:pos="1984"/>
          <w:tab w:val="left" w:leader="dot" w:pos="7900"/>
          <w:tab w:val="right" w:pos="8929"/>
          <w:tab w:val="right" w:pos="9638"/>
        </w:tabs>
      </w:pPr>
      <w:r w:rsidRPr="0082384A">
        <w:tab/>
      </w:r>
      <w:r w:rsidRPr="0082384A">
        <w:tab/>
        <w:t>C.</w:t>
      </w:r>
      <w:r w:rsidRPr="0082384A">
        <w:tab/>
      </w:r>
      <w:r w:rsidRPr="00DE01E2">
        <w:t>L</w:t>
      </w:r>
      <w:r w:rsidR="00C04FF8">
        <w:t>’</w:t>
      </w:r>
      <w:r w:rsidRPr="00DE01E2">
        <w:t xml:space="preserve">application du Protocole facultatif et sa contribution à la mise en œuvre </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tab/>
      </w:r>
      <w:r>
        <w:tab/>
      </w:r>
      <w:r>
        <w:tab/>
      </w:r>
      <w:r w:rsidRPr="00DE01E2">
        <w:t>des dispositions de la Convention relative aux droits de l</w:t>
      </w:r>
      <w:r w:rsidR="00C04FF8">
        <w:t>’</w:t>
      </w:r>
      <w:r w:rsidRPr="00DE01E2">
        <w:t>enfant</w:t>
      </w:r>
      <w:r w:rsidRPr="0082384A">
        <w:tab/>
      </w:r>
      <w:r w:rsidRPr="0082384A">
        <w:tab/>
        <w:t>8</w:t>
      </w:r>
      <w:r>
        <w:tab/>
        <w:t>4</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D.</w:t>
      </w:r>
      <w:r w:rsidRPr="0082384A">
        <w:tab/>
      </w:r>
      <w:r w:rsidRPr="00DE01E2">
        <w:t>Place du Protocole facultatif dans l</w:t>
      </w:r>
      <w:r w:rsidR="00C04FF8">
        <w:t>’</w:t>
      </w:r>
      <w:r w:rsidRPr="00DE01E2">
        <w:t>ordre juridique interne</w:t>
      </w:r>
      <w:r>
        <w:tab/>
      </w:r>
      <w:r>
        <w:tab/>
        <w:t>9–</w:t>
      </w:r>
      <w:r w:rsidRPr="0082384A">
        <w:t>10</w:t>
      </w:r>
      <w:r>
        <w:tab/>
        <w:t>4</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E.</w:t>
      </w:r>
      <w:r w:rsidRPr="0082384A">
        <w:tab/>
      </w:r>
      <w:r w:rsidRPr="00DE01E2">
        <w:t>Réserves au Protocole facultatif</w:t>
      </w:r>
      <w:r w:rsidRPr="0082384A">
        <w:tab/>
      </w:r>
      <w:r w:rsidRPr="0082384A">
        <w:tab/>
        <w:t>11</w:t>
      </w:r>
      <w:r>
        <w:tab/>
        <w:t>4</w:t>
      </w:r>
    </w:p>
    <w:p w:rsidR="00DE01E2" w:rsidRDefault="00DE01E2" w:rsidP="00EF01B5">
      <w:pPr>
        <w:tabs>
          <w:tab w:val="right" w:pos="850"/>
          <w:tab w:val="left" w:pos="1134"/>
          <w:tab w:val="left" w:pos="1559"/>
          <w:tab w:val="left" w:pos="1984"/>
          <w:tab w:val="left" w:leader="dot" w:pos="7900"/>
          <w:tab w:val="right" w:pos="8929"/>
          <w:tab w:val="right" w:pos="9638"/>
        </w:tabs>
      </w:pPr>
      <w:r w:rsidRPr="0082384A">
        <w:tab/>
      </w:r>
      <w:r w:rsidRPr="0082384A">
        <w:tab/>
        <w:t>F.</w:t>
      </w:r>
      <w:r w:rsidRPr="0082384A">
        <w:tab/>
      </w:r>
      <w:r w:rsidRPr="00DE01E2">
        <w:t xml:space="preserve">Facteurs et difficultés affectant l’accomplissement des obligations prévues </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tab/>
      </w:r>
      <w:r>
        <w:tab/>
      </w:r>
      <w:r>
        <w:tab/>
      </w:r>
      <w:r w:rsidRPr="00DE01E2">
        <w:t>par le Protocole facultatif</w:t>
      </w:r>
      <w:r w:rsidRPr="0082384A">
        <w:tab/>
      </w:r>
      <w:r w:rsidRPr="0082384A">
        <w:tab/>
        <w:t>12</w:t>
      </w:r>
      <w:r>
        <w:tab/>
        <w:t>4</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G.</w:t>
      </w:r>
      <w:r w:rsidRPr="0082384A">
        <w:tab/>
      </w:r>
      <w:r w:rsidRPr="00DE01E2">
        <w:t>Textes législatifs pertinents</w:t>
      </w:r>
      <w:r w:rsidRPr="0082384A">
        <w:tab/>
      </w:r>
      <w:r w:rsidRPr="0082384A">
        <w:tab/>
        <w:t>13</w:t>
      </w:r>
      <w:r>
        <w:tab/>
        <w:t>4</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t>III.</w:t>
      </w:r>
      <w:r w:rsidRPr="0082384A">
        <w:tab/>
      </w:r>
      <w:r w:rsidRPr="00DE01E2">
        <w:t>Mesures d’application générale</w:t>
      </w:r>
      <w:r>
        <w:tab/>
      </w:r>
      <w:r>
        <w:tab/>
        <w:t>14–</w:t>
      </w:r>
      <w:r w:rsidRPr="0082384A">
        <w:t>23</w:t>
      </w:r>
      <w:r>
        <w:tab/>
        <w:t>5</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A.</w:t>
      </w:r>
      <w:r w:rsidRPr="0082384A">
        <w:tab/>
      </w:r>
      <w:r w:rsidRPr="00DE01E2">
        <w:t>Mise en œuvre du Protocole facultatif dans toutes les régions de Jordanie</w:t>
      </w:r>
      <w:r>
        <w:tab/>
      </w:r>
      <w:r>
        <w:tab/>
        <w:t>14–</w:t>
      </w:r>
      <w:r w:rsidRPr="0082384A">
        <w:t>16</w:t>
      </w:r>
      <w:r>
        <w:tab/>
        <w:t>5</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B.</w:t>
      </w:r>
      <w:r w:rsidRPr="0082384A">
        <w:tab/>
      </w:r>
      <w:r w:rsidRPr="00DE01E2">
        <w:t>Diffusion du Protocole facultatif et formation appropriée</w:t>
      </w:r>
      <w:r>
        <w:tab/>
      </w:r>
      <w:r>
        <w:tab/>
        <w:t>17–</w:t>
      </w:r>
      <w:r w:rsidRPr="0082384A">
        <w:t>23</w:t>
      </w:r>
      <w:r>
        <w:tab/>
        <w:t>5</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tab/>
        <w:t>IV.</w:t>
      </w:r>
      <w:r>
        <w:tab/>
      </w:r>
      <w:r w:rsidRPr="00DE01E2">
        <w:t>Prévention</w:t>
      </w:r>
      <w:r>
        <w:tab/>
      </w:r>
      <w:r>
        <w:tab/>
        <w:t>24–</w:t>
      </w:r>
      <w:r w:rsidRPr="0082384A">
        <w:t>47</w:t>
      </w:r>
      <w:r>
        <w:tab/>
      </w:r>
      <w:r w:rsidR="00B02D75">
        <w:t>7</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A.</w:t>
      </w:r>
      <w:r w:rsidRPr="0082384A">
        <w:tab/>
      </w:r>
      <w:r w:rsidRPr="00DE01E2">
        <w:t>Recrutement</w:t>
      </w:r>
      <w:r>
        <w:tab/>
      </w:r>
      <w:r>
        <w:tab/>
        <w:t>24–</w:t>
      </w:r>
      <w:r w:rsidRPr="0082384A">
        <w:t>30</w:t>
      </w:r>
      <w:r>
        <w:tab/>
      </w:r>
      <w:r w:rsidR="00913EBF">
        <w:t>7</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tab/>
      </w:r>
      <w:r>
        <w:tab/>
        <w:t>B.</w:t>
      </w:r>
      <w:r>
        <w:tab/>
      </w:r>
      <w:r w:rsidRPr="00DE01E2">
        <w:t>Mesures législatives</w:t>
      </w:r>
      <w:r>
        <w:tab/>
      </w:r>
      <w:r>
        <w:tab/>
        <w:t>31–</w:t>
      </w:r>
      <w:r w:rsidRPr="0082384A">
        <w:t>46</w:t>
      </w:r>
      <w:r>
        <w:tab/>
      </w:r>
      <w:r w:rsidR="00B02D75">
        <w:t>8</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C.</w:t>
      </w:r>
      <w:r w:rsidRPr="0082384A">
        <w:tab/>
      </w:r>
      <w:r w:rsidRPr="00DE01E2">
        <w:t>Groupes armés</w:t>
      </w:r>
      <w:r w:rsidRPr="0082384A">
        <w:tab/>
      </w:r>
      <w:r w:rsidRPr="0082384A">
        <w:tab/>
        <w:t>47</w:t>
      </w:r>
      <w:r>
        <w:tab/>
      </w:r>
      <w:r w:rsidR="00B02D75">
        <w:t>10</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tab/>
      </w:r>
      <w:r>
        <w:tab/>
        <w:t>D.</w:t>
      </w:r>
      <w:r>
        <w:tab/>
      </w:r>
      <w:r w:rsidRPr="00DE01E2">
        <w:t>Coopération</w:t>
      </w:r>
      <w:r>
        <w:tab/>
      </w:r>
      <w:r>
        <w:tab/>
        <w:t>48–</w:t>
      </w:r>
      <w:r w:rsidRPr="0082384A">
        <w:t>50</w:t>
      </w:r>
      <w:r>
        <w:tab/>
      </w:r>
      <w:r w:rsidR="00B02D75">
        <w:t>10</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E.</w:t>
      </w:r>
      <w:r w:rsidRPr="0082384A">
        <w:tab/>
      </w:r>
      <w:r w:rsidRPr="00DE01E2">
        <w:t>Vulnérabilité des enfants aux pratiques interdites par le Protocole</w:t>
      </w:r>
      <w:r>
        <w:tab/>
      </w:r>
      <w:r>
        <w:tab/>
        <w:t>51–</w:t>
      </w:r>
      <w:r w:rsidRPr="0082384A">
        <w:t>60</w:t>
      </w:r>
      <w:r>
        <w:tab/>
        <w:t>1</w:t>
      </w:r>
      <w:r w:rsidR="007F0AD0">
        <w:t>1</w:t>
      </w:r>
    </w:p>
    <w:p w:rsidR="00DE01E2" w:rsidRDefault="00DE01E2" w:rsidP="00EF01B5">
      <w:pPr>
        <w:tabs>
          <w:tab w:val="right" w:pos="850"/>
          <w:tab w:val="left" w:pos="1134"/>
          <w:tab w:val="left" w:pos="1559"/>
          <w:tab w:val="left" w:pos="1984"/>
          <w:tab w:val="left" w:leader="dot" w:pos="7900"/>
          <w:tab w:val="right" w:pos="8929"/>
          <w:tab w:val="right" w:pos="9638"/>
        </w:tabs>
      </w:pPr>
      <w:r w:rsidRPr="0082384A">
        <w:tab/>
      </w:r>
      <w:r w:rsidRPr="0082384A">
        <w:tab/>
        <w:t>F.</w:t>
      </w:r>
      <w:r w:rsidRPr="0082384A">
        <w:tab/>
      </w:r>
      <w:r w:rsidRPr="00DE01E2">
        <w:t xml:space="preserve">Campagnes et mesures adoptées pour mieux faire connaître les dispositions </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tab/>
      </w:r>
      <w:r>
        <w:tab/>
      </w:r>
      <w:r>
        <w:tab/>
      </w:r>
      <w:r w:rsidRPr="00DE01E2">
        <w:t>du Protocole</w:t>
      </w:r>
      <w:r>
        <w:tab/>
      </w:r>
      <w:r>
        <w:tab/>
        <w:t>61–</w:t>
      </w:r>
      <w:r w:rsidRPr="0082384A">
        <w:t>67</w:t>
      </w:r>
      <w:r>
        <w:tab/>
        <w:t>1</w:t>
      </w:r>
      <w:r w:rsidR="00B02D75">
        <w:t>2</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t>V.</w:t>
      </w:r>
      <w:r w:rsidRPr="0082384A">
        <w:tab/>
      </w:r>
      <w:r w:rsidRPr="00DE01E2">
        <w:t>Interdictions et questions y relatives</w:t>
      </w:r>
      <w:r>
        <w:tab/>
      </w:r>
      <w:r>
        <w:tab/>
        <w:t>68–</w:t>
      </w:r>
      <w:r w:rsidRPr="0082384A">
        <w:t>78</w:t>
      </w:r>
      <w:r>
        <w:tab/>
        <w:t>1</w:t>
      </w:r>
      <w:r w:rsidR="00B02D75">
        <w:t>4</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A.</w:t>
      </w:r>
      <w:r w:rsidRPr="0082384A">
        <w:tab/>
      </w:r>
      <w:r w:rsidRPr="00DE01E2">
        <w:t>Prescription des infractions visées dans le Protocole</w:t>
      </w:r>
      <w:r>
        <w:tab/>
      </w:r>
      <w:r>
        <w:tab/>
        <w:t>71–</w:t>
      </w:r>
      <w:r w:rsidRPr="0082384A">
        <w:t>72</w:t>
      </w:r>
      <w:r>
        <w:tab/>
        <w:t>1</w:t>
      </w:r>
      <w:r w:rsidR="00B02D75">
        <w:t>5</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B.</w:t>
      </w:r>
      <w:r w:rsidRPr="0082384A">
        <w:tab/>
      </w:r>
      <w:r w:rsidRPr="00DE01E2">
        <w:t>Conventions ratifiées par la Jordanie</w:t>
      </w:r>
      <w:r w:rsidRPr="0082384A">
        <w:tab/>
      </w:r>
      <w:r w:rsidRPr="0082384A">
        <w:tab/>
        <w:t>73</w:t>
      </w:r>
      <w:r>
        <w:tab/>
        <w:t>1</w:t>
      </w:r>
      <w:r w:rsidR="00B02D75">
        <w:t>5</w:t>
      </w:r>
    </w:p>
    <w:p w:rsidR="00DE01E2" w:rsidRDefault="00DE01E2" w:rsidP="00EF01B5">
      <w:pPr>
        <w:tabs>
          <w:tab w:val="right" w:pos="850"/>
          <w:tab w:val="left" w:pos="1134"/>
          <w:tab w:val="left" w:pos="1559"/>
          <w:tab w:val="left" w:pos="1984"/>
          <w:tab w:val="left" w:leader="dot" w:pos="7900"/>
          <w:tab w:val="right" w:pos="8929"/>
          <w:tab w:val="right" w:pos="9638"/>
        </w:tabs>
      </w:pPr>
      <w:r w:rsidRPr="0082384A">
        <w:tab/>
      </w:r>
      <w:r w:rsidRPr="0082384A">
        <w:tab/>
        <w:t>C.</w:t>
      </w:r>
      <w:r w:rsidRPr="0082384A">
        <w:tab/>
      </w:r>
      <w:r w:rsidRPr="00DE01E2">
        <w:t xml:space="preserve">Dispositions juridiques relatives à la compétence des juridictions nationales </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tab/>
      </w:r>
      <w:r>
        <w:tab/>
      </w:r>
      <w:r>
        <w:tab/>
      </w:r>
      <w:r w:rsidRPr="00DE01E2">
        <w:t>à l</w:t>
      </w:r>
      <w:r w:rsidR="0072557F">
        <w:t>’</w:t>
      </w:r>
      <w:r w:rsidRPr="00DE01E2">
        <w:t xml:space="preserve">égard des infractions visées par le </w:t>
      </w:r>
      <w:r w:rsidR="00B02D75">
        <w:t>P</w:t>
      </w:r>
      <w:r w:rsidRPr="00DE01E2">
        <w:t>rotocole</w:t>
      </w:r>
      <w:r>
        <w:tab/>
      </w:r>
      <w:r>
        <w:tab/>
        <w:t>74–</w:t>
      </w:r>
      <w:r w:rsidRPr="0082384A">
        <w:t>77</w:t>
      </w:r>
      <w:r>
        <w:tab/>
        <w:t>1</w:t>
      </w:r>
      <w:r w:rsidR="00B02D75">
        <w:t>5</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r>
      <w:r w:rsidRPr="0082384A">
        <w:tab/>
        <w:t>D.</w:t>
      </w:r>
      <w:r w:rsidRPr="0082384A">
        <w:tab/>
      </w:r>
      <w:r w:rsidRPr="00DE01E2">
        <w:t>Pratiques relatives à l</w:t>
      </w:r>
      <w:r w:rsidR="00C04FF8">
        <w:t>’</w:t>
      </w:r>
      <w:r w:rsidRPr="00DE01E2">
        <w:t>extradition des criminels</w:t>
      </w:r>
      <w:r w:rsidRPr="0082384A">
        <w:tab/>
      </w:r>
      <w:r w:rsidRPr="0082384A">
        <w:tab/>
        <w:t>78</w:t>
      </w:r>
      <w:r>
        <w:tab/>
        <w:t>1</w:t>
      </w:r>
      <w:r w:rsidR="00B02D75">
        <w:t>6</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t>VI.</w:t>
      </w:r>
      <w:r w:rsidRPr="0082384A">
        <w:tab/>
      </w:r>
      <w:r w:rsidRPr="00DE01E2">
        <w:t>Protection, rétablissement et réinsertion</w:t>
      </w:r>
      <w:r>
        <w:tab/>
      </w:r>
      <w:r>
        <w:tab/>
        <w:t>79–</w:t>
      </w:r>
      <w:r w:rsidRPr="0082384A">
        <w:t>88</w:t>
      </w:r>
      <w:r>
        <w:tab/>
        <w:t>1</w:t>
      </w:r>
      <w:r w:rsidR="007F0AD0">
        <w:t>7</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t>VII.</w:t>
      </w:r>
      <w:r w:rsidRPr="0082384A">
        <w:tab/>
      </w:r>
      <w:r w:rsidR="00EF01B5" w:rsidRPr="00EF01B5">
        <w:t>Assistance et coopération internationale</w:t>
      </w:r>
      <w:r>
        <w:tab/>
      </w:r>
      <w:r>
        <w:tab/>
        <w:t>89–</w:t>
      </w:r>
      <w:r w:rsidRPr="0082384A">
        <w:t>96</w:t>
      </w:r>
      <w:r>
        <w:tab/>
        <w:t>1</w:t>
      </w:r>
      <w:r w:rsidR="00B02D75">
        <w:t>8</w:t>
      </w:r>
    </w:p>
    <w:p w:rsidR="00DE01E2" w:rsidRPr="0082384A" w:rsidRDefault="00DE01E2" w:rsidP="00EF01B5">
      <w:pPr>
        <w:tabs>
          <w:tab w:val="right" w:pos="850"/>
          <w:tab w:val="left" w:pos="1134"/>
          <w:tab w:val="left" w:pos="1559"/>
          <w:tab w:val="left" w:pos="1984"/>
          <w:tab w:val="left" w:leader="dot" w:pos="7900"/>
          <w:tab w:val="right" w:pos="8929"/>
          <w:tab w:val="right" w:pos="9638"/>
        </w:tabs>
        <w:spacing w:after="120"/>
      </w:pPr>
      <w:r w:rsidRPr="0082384A">
        <w:tab/>
        <w:t>VIII.</w:t>
      </w:r>
      <w:r w:rsidRPr="0082384A">
        <w:tab/>
      </w:r>
      <w:r w:rsidR="00EF01B5" w:rsidRPr="00EF01B5">
        <w:t>Conclusion</w:t>
      </w:r>
      <w:r w:rsidRPr="0082384A">
        <w:tab/>
      </w:r>
      <w:r w:rsidRPr="0082384A">
        <w:tab/>
        <w:t>97</w:t>
      </w:r>
      <w:r>
        <w:tab/>
      </w:r>
      <w:r w:rsidR="00B02D75">
        <w:t>20</w:t>
      </w:r>
    </w:p>
    <w:p w:rsidR="00DE01E2" w:rsidRPr="0082384A" w:rsidRDefault="00DE01E2" w:rsidP="00DE01E2">
      <w:pPr>
        <w:tabs>
          <w:tab w:val="right" w:pos="850"/>
          <w:tab w:val="left" w:pos="1134"/>
          <w:tab w:val="left" w:pos="1559"/>
          <w:tab w:val="left" w:pos="1984"/>
          <w:tab w:val="right" w:leader="dot" w:pos="8929"/>
          <w:tab w:val="right" w:pos="9638"/>
        </w:tabs>
        <w:spacing w:after="120"/>
      </w:pPr>
      <w:r w:rsidRPr="0082384A">
        <w:tab/>
        <w:t>Anne</w:t>
      </w:r>
      <w:r>
        <w:t>x</w:t>
      </w:r>
      <w:r w:rsidR="00EF01B5">
        <w:t>e</w:t>
      </w:r>
      <w:r w:rsidRPr="0082384A">
        <w:tab/>
      </w:r>
      <w:r w:rsidR="00EF01B5" w:rsidRPr="00EF01B5">
        <w:rPr>
          <w:rFonts w:eastAsia="Traditional Arabic"/>
          <w:lang w:val="fr-FR"/>
        </w:rPr>
        <w:t>Les Ministères et institutions ayant participé à l</w:t>
      </w:r>
      <w:r w:rsidR="00C04FF8">
        <w:rPr>
          <w:rFonts w:eastAsia="Traditional Arabic"/>
          <w:lang w:val="fr-FR"/>
        </w:rPr>
        <w:t>’</w:t>
      </w:r>
      <w:r w:rsidR="00EF01B5" w:rsidRPr="00EF01B5">
        <w:rPr>
          <w:rFonts w:eastAsia="Traditional Arabic"/>
          <w:lang w:val="fr-FR"/>
        </w:rPr>
        <w:t>élaboration du présent rapport</w:t>
      </w:r>
      <w:r w:rsidRPr="0082384A">
        <w:tab/>
      </w:r>
      <w:r>
        <w:tab/>
      </w:r>
      <w:r w:rsidR="00B02D75">
        <w:t>21</w:t>
      </w:r>
    </w:p>
    <w:p w:rsidR="00E3787F" w:rsidRPr="004F1C04" w:rsidRDefault="004F1C04" w:rsidP="00E3787F">
      <w:pPr>
        <w:pStyle w:val="HChG"/>
      </w:pPr>
      <w:r w:rsidRPr="004F1C04">
        <w:rPr>
          <w:rFonts w:eastAsia="Traditional Arabic"/>
          <w:lang w:val="fr-FR"/>
        </w:rPr>
        <w:br w:type="page"/>
      </w:r>
      <w:r w:rsidRPr="004F1C04">
        <w:rPr>
          <w:rFonts w:eastAsia="Traditional Arabic"/>
          <w:lang w:val="fr-FR"/>
        </w:rPr>
        <w:tab/>
      </w:r>
      <w:r w:rsidR="00E3787F" w:rsidRPr="004F1C04">
        <w:t>I.</w:t>
      </w:r>
      <w:r w:rsidR="00E3787F" w:rsidRPr="004F1C04">
        <w:tab/>
        <w:t>Introduction</w:t>
      </w:r>
      <w:bookmarkEnd w:id="2"/>
      <w:bookmarkEnd w:id="3"/>
    </w:p>
    <w:p w:rsidR="00E3787F" w:rsidRPr="004F1C04" w:rsidRDefault="00E3787F" w:rsidP="004F1C04">
      <w:pPr>
        <w:pStyle w:val="SingleTxtG"/>
        <w:rPr>
          <w:lang w:val="fr-FR"/>
        </w:rPr>
      </w:pPr>
      <w:r w:rsidRPr="004F1C04">
        <w:rPr>
          <w:rFonts w:eastAsia="Traditional Arabic"/>
          <w:lang w:val="fr-FR"/>
        </w:rPr>
        <w:t>1.</w:t>
      </w:r>
      <w:r w:rsidRPr="004F1C04">
        <w:rPr>
          <w:rFonts w:eastAsia="Traditional Arabic"/>
          <w:lang w:val="fr-FR"/>
        </w:rPr>
        <w:tab/>
        <w:t>La Jordanie a le plaisir de présenter son rapport initial sur la mise en œuvre des dispositions du Protocole facultatif à la Convention relative aux droits de l</w:t>
      </w:r>
      <w:r w:rsidR="00913EBF">
        <w:rPr>
          <w:rFonts w:eastAsia="Traditional Arabic"/>
          <w:lang w:val="fr-FR"/>
        </w:rPr>
        <w:t>’</w:t>
      </w:r>
      <w:r w:rsidRPr="004F1C04">
        <w:rPr>
          <w:rFonts w:eastAsia="Traditional Arabic"/>
          <w:lang w:val="fr-FR"/>
        </w:rPr>
        <w:t>enfant concernant l</w:t>
      </w:r>
      <w:r w:rsidR="00913EBF">
        <w:rPr>
          <w:rFonts w:eastAsia="Traditional Arabic"/>
          <w:lang w:val="fr-FR"/>
        </w:rPr>
        <w:t>’</w:t>
      </w:r>
      <w:r w:rsidRPr="004F1C04">
        <w:rPr>
          <w:rFonts w:eastAsia="Traditional Arabic"/>
          <w:lang w:val="fr-FR"/>
        </w:rPr>
        <w:t>implication d</w:t>
      </w:r>
      <w:r w:rsidR="0072557F">
        <w:rPr>
          <w:rFonts w:eastAsia="Traditional Arabic"/>
          <w:lang w:val="fr-FR"/>
        </w:rPr>
        <w:t>’</w:t>
      </w:r>
      <w:r w:rsidRPr="004F1C04">
        <w:rPr>
          <w:rFonts w:eastAsia="Traditional Arabic"/>
          <w:lang w:val="fr-FR"/>
        </w:rPr>
        <w:t>enfants dans les conflits armés, au titre de la période 2007 à 2009, en application des dispositions du paragraphe 1 de l</w:t>
      </w:r>
      <w:r w:rsidR="00913EBF">
        <w:rPr>
          <w:rFonts w:eastAsia="Traditional Arabic"/>
          <w:lang w:val="fr-FR"/>
        </w:rPr>
        <w:t>’</w:t>
      </w:r>
      <w:r w:rsidRPr="004F1C04">
        <w:rPr>
          <w:rFonts w:eastAsia="Traditional Arabic"/>
          <w:lang w:val="fr-FR"/>
        </w:rPr>
        <w:t>article 8 du Protocole facultatif. Il convient de noter que le Gouvernement du Royaume hachémite de Jordanie a ratifié le Protocole facultatif à la Convention relative aux droits de l</w:t>
      </w:r>
      <w:r w:rsidR="00913EBF">
        <w:rPr>
          <w:rFonts w:eastAsia="Traditional Arabic"/>
          <w:lang w:val="fr-FR"/>
        </w:rPr>
        <w:t>’</w:t>
      </w:r>
      <w:r w:rsidRPr="004F1C04">
        <w:rPr>
          <w:rFonts w:eastAsia="Traditional Arabic"/>
          <w:lang w:val="fr-FR"/>
        </w:rPr>
        <w:t>enfant concernant l</w:t>
      </w:r>
      <w:r w:rsidR="00913EBF">
        <w:rPr>
          <w:rFonts w:eastAsia="Traditional Arabic"/>
          <w:lang w:val="fr-FR"/>
        </w:rPr>
        <w:t>’</w:t>
      </w:r>
      <w:r w:rsidRPr="004F1C04">
        <w:rPr>
          <w:rFonts w:eastAsia="Traditional Arabic"/>
          <w:lang w:val="fr-FR"/>
        </w:rPr>
        <w:t>implication d</w:t>
      </w:r>
      <w:r w:rsidR="00913EBF">
        <w:rPr>
          <w:rFonts w:eastAsia="Traditional Arabic"/>
          <w:lang w:val="fr-FR"/>
        </w:rPr>
        <w:t>’</w:t>
      </w:r>
      <w:r w:rsidRPr="004F1C04">
        <w:rPr>
          <w:rFonts w:eastAsia="Traditional Arabic"/>
          <w:lang w:val="fr-FR"/>
        </w:rPr>
        <w:t xml:space="preserve">enfants dans les conflits armés en 2006. Il a été publié au Journal officiel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4787 du 16 octobre 2006 (page 4058) sans adjonction d’aucune réserve.</w:t>
      </w:r>
    </w:p>
    <w:p w:rsidR="00E3787F" w:rsidRPr="004F1C04" w:rsidRDefault="00E3787F" w:rsidP="004F1C04">
      <w:pPr>
        <w:pStyle w:val="SingleTxtG"/>
        <w:rPr>
          <w:lang w:val="fr-FR"/>
        </w:rPr>
      </w:pPr>
      <w:r w:rsidRPr="004F1C04">
        <w:rPr>
          <w:rFonts w:eastAsia="Traditional Arabic"/>
          <w:lang w:val="fr-FR"/>
        </w:rPr>
        <w:t>2.</w:t>
      </w:r>
      <w:r w:rsidRPr="004F1C04">
        <w:rPr>
          <w:rFonts w:eastAsia="Traditional Arabic"/>
          <w:lang w:val="fr-FR"/>
        </w:rPr>
        <w:tab/>
        <w:t>La ratification du Protocole facultatif par la Jordanie illustre l</w:t>
      </w:r>
      <w:r w:rsidR="00913EBF">
        <w:rPr>
          <w:rFonts w:eastAsia="Traditional Arabic"/>
          <w:lang w:val="fr-FR"/>
        </w:rPr>
        <w:t>’</w:t>
      </w:r>
      <w:r w:rsidRPr="004F1C04">
        <w:rPr>
          <w:rFonts w:eastAsia="Traditional Arabic"/>
          <w:lang w:val="fr-FR"/>
        </w:rPr>
        <w:t>engagement du pays en faveur de l</w:t>
      </w:r>
      <w:r w:rsidR="00913EBF">
        <w:rPr>
          <w:rFonts w:eastAsia="Traditional Arabic"/>
          <w:lang w:val="fr-FR"/>
        </w:rPr>
        <w:t>’</w:t>
      </w:r>
      <w:r w:rsidRPr="004F1C04">
        <w:rPr>
          <w:rFonts w:eastAsia="Traditional Arabic"/>
          <w:lang w:val="fr-FR"/>
        </w:rPr>
        <w:t>enfance et son souci d</w:t>
      </w:r>
      <w:r w:rsidR="00913EBF">
        <w:rPr>
          <w:rFonts w:eastAsia="Traditional Arabic"/>
          <w:lang w:val="fr-FR"/>
        </w:rPr>
        <w:t>’</w:t>
      </w:r>
      <w:r w:rsidRPr="004F1C04">
        <w:rPr>
          <w:rFonts w:eastAsia="Traditional Arabic"/>
          <w:lang w:val="fr-FR"/>
        </w:rPr>
        <w:t>assurer la protection, le bien-être et la sécurité des enfants.</w:t>
      </w:r>
    </w:p>
    <w:p w:rsidR="00E3787F" w:rsidRPr="004F1C04" w:rsidRDefault="00E3787F" w:rsidP="004F1C04">
      <w:pPr>
        <w:pStyle w:val="SingleTxtG"/>
        <w:rPr>
          <w:lang w:val="fr-FR"/>
        </w:rPr>
      </w:pPr>
      <w:r w:rsidRPr="004F1C04">
        <w:rPr>
          <w:rFonts w:eastAsia="Traditional Arabic"/>
          <w:lang w:val="fr-FR"/>
        </w:rPr>
        <w:t>3.</w:t>
      </w:r>
      <w:r w:rsidRPr="004F1C04">
        <w:rPr>
          <w:rFonts w:eastAsia="Traditional Arabic"/>
          <w:lang w:val="fr-FR"/>
        </w:rPr>
        <w:tab/>
        <w:t>Dans le cadre de ce rapport initial, la Jordanie présente la législation nationale et les mesures prises pour donner effet au Protocole facultatif et faire respecter ses dispositions, étant précisé que les informations essentielles concernant l</w:t>
      </w:r>
      <w:r w:rsidR="00913EBF">
        <w:rPr>
          <w:rFonts w:eastAsia="Traditional Arabic"/>
          <w:lang w:val="fr-FR"/>
        </w:rPr>
        <w:t>’</w:t>
      </w:r>
      <w:r w:rsidRPr="004F1C04">
        <w:rPr>
          <w:rFonts w:eastAsia="Traditional Arabic"/>
          <w:lang w:val="fr-FR"/>
        </w:rPr>
        <w:t>État partie ont été fournies au niveau de son troisième rapport périodique relatif à la mise en œuvre de la Convention relative aux droits de l</w:t>
      </w:r>
      <w:r w:rsidR="00913EBF">
        <w:rPr>
          <w:rFonts w:eastAsia="Traditional Arabic"/>
          <w:lang w:val="fr-FR"/>
        </w:rPr>
        <w:t>’</w:t>
      </w:r>
      <w:r w:rsidRPr="004F1C04">
        <w:rPr>
          <w:rFonts w:eastAsia="Traditional Arabic"/>
          <w:lang w:val="fr-FR"/>
        </w:rPr>
        <w:t>enfant, soumis au Comité en 2004.</w:t>
      </w:r>
    </w:p>
    <w:p w:rsidR="00E3787F" w:rsidRPr="004F1C04" w:rsidRDefault="00E3787F" w:rsidP="004F1C04">
      <w:pPr>
        <w:pStyle w:val="SingleTxtG"/>
        <w:rPr>
          <w:lang w:val="fr-FR"/>
        </w:rPr>
      </w:pPr>
      <w:r w:rsidRPr="004F1C04">
        <w:rPr>
          <w:rFonts w:eastAsia="Traditional Arabic"/>
          <w:lang w:val="fr-FR"/>
        </w:rPr>
        <w:t>4.</w:t>
      </w:r>
      <w:r w:rsidRPr="004F1C04">
        <w:rPr>
          <w:rFonts w:eastAsia="Traditional Arabic"/>
          <w:lang w:val="fr-FR"/>
        </w:rPr>
        <w:tab/>
        <w:t>La Jordanie bénéficie d</w:t>
      </w:r>
      <w:r w:rsidR="00913EBF">
        <w:rPr>
          <w:rFonts w:eastAsia="Traditional Arabic"/>
          <w:lang w:val="fr-FR"/>
        </w:rPr>
        <w:t>’</w:t>
      </w:r>
      <w:r w:rsidRPr="004F1C04">
        <w:rPr>
          <w:rFonts w:eastAsia="Traditional Arabic"/>
          <w:lang w:val="fr-FR"/>
        </w:rPr>
        <w:t>un haut niveau de sécurité et de stabilité en raison de la politique raisonnable menée au cours de ces dernières décennies, qui lui a épargné les crises et les conflits vécus par d</w:t>
      </w:r>
      <w:r w:rsidR="00913EBF">
        <w:rPr>
          <w:rFonts w:eastAsia="Traditional Arabic"/>
          <w:lang w:val="fr-FR"/>
        </w:rPr>
        <w:t>’</w:t>
      </w:r>
      <w:r w:rsidRPr="004F1C04">
        <w:rPr>
          <w:rFonts w:eastAsia="Traditional Arabic"/>
          <w:lang w:val="fr-FR"/>
        </w:rPr>
        <w:t>autres pays de la région, ce qui provient également de son intime conviction qu</w:t>
      </w:r>
      <w:r w:rsidR="00913EBF">
        <w:rPr>
          <w:rFonts w:eastAsia="Traditional Arabic"/>
          <w:lang w:val="fr-FR"/>
        </w:rPr>
        <w:t>’</w:t>
      </w:r>
      <w:r w:rsidRPr="004F1C04">
        <w:rPr>
          <w:rFonts w:eastAsia="Traditional Arabic"/>
          <w:lang w:val="fr-FR"/>
        </w:rPr>
        <w:t xml:space="preserve">une paix juste et globale est la seule solution au conflit au Moyen-Orient. </w:t>
      </w:r>
    </w:p>
    <w:p w:rsidR="00E3787F" w:rsidRPr="004F1C04" w:rsidRDefault="00E3787F" w:rsidP="004F1C04">
      <w:pPr>
        <w:pStyle w:val="SingleTxtG"/>
        <w:rPr>
          <w:lang w:val="fr-FR"/>
        </w:rPr>
      </w:pPr>
      <w:r w:rsidRPr="004F1C04">
        <w:rPr>
          <w:rFonts w:eastAsia="Traditional Arabic"/>
          <w:lang w:val="fr-FR"/>
        </w:rPr>
        <w:t>5.</w:t>
      </w:r>
      <w:r w:rsidRPr="004F1C04">
        <w:rPr>
          <w:rFonts w:eastAsia="Traditional Arabic"/>
          <w:lang w:val="fr-FR"/>
        </w:rPr>
        <w:tab/>
        <w:t>En dépit de l</w:t>
      </w:r>
      <w:r w:rsidR="00913EBF">
        <w:rPr>
          <w:rFonts w:eastAsia="Traditional Arabic"/>
          <w:lang w:val="fr-FR"/>
        </w:rPr>
        <w:t>’</w:t>
      </w:r>
      <w:r w:rsidRPr="004F1C04">
        <w:rPr>
          <w:rFonts w:eastAsia="Traditional Arabic"/>
          <w:lang w:val="fr-FR"/>
        </w:rPr>
        <w:t>absence de conflits militaires sur son territoire, la Jordanie est indirectement touchée par les troubles dans la région, dans la mesure où elle a accueilli plusieurs vagues de réfugiés et qu</w:t>
      </w:r>
      <w:r w:rsidR="00913EBF">
        <w:rPr>
          <w:rFonts w:eastAsia="Traditional Arabic"/>
          <w:lang w:val="fr-FR"/>
        </w:rPr>
        <w:t>’</w:t>
      </w:r>
      <w:r w:rsidRPr="004F1C04">
        <w:rPr>
          <w:rFonts w:eastAsia="Traditional Arabic"/>
          <w:lang w:val="fr-FR"/>
        </w:rPr>
        <w:t>elle a dû assumer les conséquences matérielle et économique de leur prise en charge, ce qui a pesé bien lourd sur les ressources déjà limitées du pays.</w:t>
      </w:r>
    </w:p>
    <w:p w:rsidR="00E3787F" w:rsidRPr="004F1C04" w:rsidRDefault="004F1C04" w:rsidP="004F1C04">
      <w:pPr>
        <w:pStyle w:val="HChG"/>
      </w:pPr>
      <w:bookmarkStart w:id="4" w:name="_Toc350173939"/>
      <w:bookmarkStart w:id="5" w:name="_Toc358307232"/>
      <w:r w:rsidRPr="004F1C04">
        <w:tab/>
      </w:r>
      <w:r w:rsidR="00E3787F" w:rsidRPr="004F1C04">
        <w:t>II.</w:t>
      </w:r>
      <w:r w:rsidRPr="004F1C04">
        <w:tab/>
      </w:r>
      <w:r w:rsidR="00E3787F" w:rsidRPr="004F1C04">
        <w:t>Principes directeurs généraux</w:t>
      </w:r>
      <w:bookmarkEnd w:id="4"/>
      <w:bookmarkEnd w:id="5"/>
    </w:p>
    <w:p w:rsidR="00E3787F" w:rsidRPr="004F1C04" w:rsidRDefault="00E3787F" w:rsidP="004F1C04">
      <w:pPr>
        <w:pStyle w:val="H1G"/>
      </w:pPr>
      <w:bookmarkStart w:id="6" w:name="_Toc350173940"/>
      <w:r w:rsidRPr="004F1C04">
        <w:tab/>
      </w:r>
      <w:bookmarkStart w:id="7" w:name="_Toc358307233"/>
      <w:r w:rsidR="004F1C04" w:rsidRPr="004F1C04">
        <w:t>A.</w:t>
      </w:r>
      <w:r w:rsidR="004F1C04" w:rsidRPr="004F1C04">
        <w:tab/>
      </w:r>
      <w:r w:rsidRPr="004F1C04">
        <w:t>Processus d</w:t>
      </w:r>
      <w:r w:rsidR="00913EBF">
        <w:t>’</w:t>
      </w:r>
      <w:r w:rsidRPr="004F1C04">
        <w:t>élaboration du rapport</w:t>
      </w:r>
      <w:bookmarkEnd w:id="6"/>
      <w:bookmarkEnd w:id="7"/>
      <w:r w:rsidRPr="004F1C04">
        <w:t xml:space="preserve"> </w:t>
      </w:r>
    </w:p>
    <w:p w:rsidR="00E3787F" w:rsidRPr="004F1C04" w:rsidRDefault="00E3787F" w:rsidP="004F1C04">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Cs w:val="20"/>
          <w:lang w:val="fr-FR"/>
        </w:rPr>
      </w:pPr>
      <w:r w:rsidRPr="004F1C04">
        <w:rPr>
          <w:rFonts w:eastAsia="Traditional Arabic" w:cs="Times New Roman"/>
          <w:szCs w:val="20"/>
          <w:lang w:val="fr-FR"/>
        </w:rPr>
        <w:t>6.</w:t>
      </w:r>
      <w:r w:rsidRPr="004F1C04">
        <w:rPr>
          <w:rFonts w:eastAsia="Traditional Arabic" w:cs="Times New Roman"/>
          <w:szCs w:val="20"/>
          <w:lang w:val="fr-FR"/>
        </w:rPr>
        <w:tab/>
        <w:t xml:space="preserve">Le présent rapport a été élaboré par le Ministère des affaires étrangères et le Conseil national des affaires familiales, en collaboration avec les institutions nationales officielles pertinentes et un Comité de pilotage. Co-présidé par le Ministère des affaires étrangères du </w:t>
      </w:r>
      <w:r w:rsidRPr="004F1C04">
        <w:rPr>
          <w:rStyle w:val="SingleTxtGCar"/>
          <w:rFonts w:eastAsia="Traditional Arabic"/>
        </w:rPr>
        <w:t>Gouvernement jordanien et le Conseil national des affaires familiales, ce comité comptait parmi ses membres les Secrétaires généraux des ministères impliqués dans la mise en œuvre des dispositions du Protocole. Un comité technique issu des institutions nationales officielles pertinentes a fourni les renseignements nécessaires à la rédaction du rapport et un comité d</w:t>
      </w:r>
      <w:r w:rsidR="0072557F">
        <w:rPr>
          <w:rStyle w:val="SingleTxtGCar"/>
          <w:rFonts w:eastAsia="Traditional Arabic"/>
        </w:rPr>
        <w:t>’</w:t>
      </w:r>
      <w:r w:rsidRPr="004F1C04">
        <w:rPr>
          <w:rStyle w:val="SingleTxtGCar"/>
          <w:rFonts w:eastAsia="Traditional Arabic"/>
        </w:rPr>
        <w:t>experts composé des membres du Ministère</w:t>
      </w:r>
      <w:r w:rsidRPr="004F1C04">
        <w:rPr>
          <w:rFonts w:eastAsia="Traditional Arabic" w:cs="Times New Roman"/>
          <w:szCs w:val="20"/>
          <w:lang w:val="fr-FR"/>
        </w:rPr>
        <w:t xml:space="preserve"> des affaires étrangères, du Conseil national des affaires familiales et des ministères et institutions officielles figurant à l</w:t>
      </w:r>
      <w:r w:rsidR="00913EBF">
        <w:rPr>
          <w:rFonts w:eastAsia="Traditional Arabic" w:cs="Times New Roman"/>
          <w:szCs w:val="20"/>
          <w:lang w:val="fr-FR"/>
        </w:rPr>
        <w:t>’</w:t>
      </w:r>
      <w:r w:rsidRPr="004F1C04">
        <w:rPr>
          <w:rFonts w:eastAsia="Traditional Arabic" w:cs="Times New Roman"/>
          <w:szCs w:val="20"/>
          <w:lang w:val="fr-FR"/>
        </w:rPr>
        <w:t xml:space="preserve">annexe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cs="Times New Roman"/>
          <w:szCs w:val="20"/>
          <w:lang w:val="fr-FR"/>
        </w:rPr>
        <w:t xml:space="preserve"> 1, a été mis sur pied pour prendre part à la rédaction du rapport. </w:t>
      </w:r>
    </w:p>
    <w:p w:rsidR="00E3787F" w:rsidRPr="004F1C04" w:rsidRDefault="00E3787F" w:rsidP="004F1C04">
      <w:pPr>
        <w:pStyle w:val="H1G"/>
      </w:pPr>
      <w:bookmarkStart w:id="8" w:name="_Toc350173941"/>
      <w:r w:rsidRPr="004F1C04">
        <w:tab/>
      </w:r>
      <w:bookmarkStart w:id="9" w:name="_Toc358307234"/>
      <w:r w:rsidR="004F1C04" w:rsidRPr="004F1C04">
        <w:t>B.</w:t>
      </w:r>
      <w:r w:rsidR="004F1C04" w:rsidRPr="004F1C04">
        <w:tab/>
      </w:r>
      <w:r w:rsidRPr="004F1C04">
        <w:t>Application des principes généraux de la Convention relative aux droits de l’enfant</w:t>
      </w:r>
      <w:bookmarkEnd w:id="8"/>
      <w:bookmarkEnd w:id="9"/>
    </w:p>
    <w:p w:rsidR="00E3787F" w:rsidRPr="004F1C04" w:rsidRDefault="00E3787F" w:rsidP="004F1C04">
      <w:pPr>
        <w:pStyle w:val="SingleTxtGA"/>
        <w:tabs>
          <w:tab w:val="clear" w:pos="1928"/>
          <w:tab w:val="clear" w:pos="2608"/>
          <w:tab w:val="clear" w:pos="3289"/>
          <w:tab w:val="clear" w:pos="3969"/>
          <w:tab w:val="clear" w:pos="4649"/>
          <w:tab w:val="clear" w:pos="5330"/>
        </w:tabs>
        <w:bidi w:val="0"/>
        <w:spacing w:line="240" w:lineRule="atLeast"/>
        <w:ind w:left="1134" w:right="1134"/>
        <w:rPr>
          <w:rFonts w:cs="Times New Roman"/>
          <w:szCs w:val="20"/>
          <w:lang w:val="fr-FR"/>
        </w:rPr>
      </w:pPr>
      <w:r w:rsidRPr="004F1C04">
        <w:rPr>
          <w:rFonts w:eastAsia="Traditional Arabic" w:cs="Times New Roman"/>
          <w:szCs w:val="20"/>
          <w:lang w:val="fr-FR"/>
        </w:rPr>
        <w:t>7.</w:t>
      </w:r>
      <w:r w:rsidRPr="004F1C04">
        <w:rPr>
          <w:rFonts w:eastAsia="Traditional Arabic" w:cs="Times New Roman"/>
          <w:szCs w:val="20"/>
          <w:lang w:val="fr-FR"/>
        </w:rPr>
        <w:tab/>
        <w:t>Le respect et l</w:t>
      </w:r>
      <w:r w:rsidR="00913EBF">
        <w:rPr>
          <w:rFonts w:eastAsia="Traditional Arabic" w:cs="Times New Roman"/>
          <w:szCs w:val="20"/>
          <w:lang w:val="fr-FR"/>
        </w:rPr>
        <w:t>’</w:t>
      </w:r>
      <w:r w:rsidRPr="004F1C04">
        <w:rPr>
          <w:rFonts w:eastAsia="Traditional Arabic" w:cs="Times New Roman"/>
          <w:szCs w:val="20"/>
          <w:lang w:val="fr-FR"/>
        </w:rPr>
        <w:t xml:space="preserve">application de ces principes ont été confirmés dans les rapports </w:t>
      </w:r>
      <w:r w:rsidRPr="004F1C04">
        <w:rPr>
          <w:rStyle w:val="SingleTxtGCar"/>
          <w:rFonts w:eastAsia="Traditional Arabic"/>
        </w:rPr>
        <w:t>périodiques sur la mise en œuvre de la Convention</w:t>
      </w:r>
      <w:r w:rsidRPr="004F1C04">
        <w:rPr>
          <w:rFonts w:eastAsia="Traditional Arabic" w:cs="Times New Roman"/>
          <w:szCs w:val="20"/>
          <w:lang w:val="fr-FR"/>
        </w:rPr>
        <w:t xml:space="preserve"> relative aux droits de l</w:t>
      </w:r>
      <w:r w:rsidR="00913EBF">
        <w:rPr>
          <w:rFonts w:eastAsia="Traditional Arabic" w:cs="Times New Roman"/>
          <w:szCs w:val="20"/>
          <w:lang w:val="fr-FR"/>
        </w:rPr>
        <w:t>’</w:t>
      </w:r>
      <w:r w:rsidRPr="004F1C04">
        <w:rPr>
          <w:rFonts w:eastAsia="Traditional Arabic" w:cs="Times New Roman"/>
          <w:szCs w:val="20"/>
          <w:lang w:val="fr-FR"/>
        </w:rPr>
        <w:t>enfant présentés par la Jordanie. Les lois, programmes, mesures et politiques reflétant l</w:t>
      </w:r>
      <w:r w:rsidR="00913EBF">
        <w:rPr>
          <w:rFonts w:eastAsia="Traditional Arabic" w:cs="Times New Roman"/>
          <w:szCs w:val="20"/>
          <w:lang w:val="fr-FR"/>
        </w:rPr>
        <w:t>’</w:t>
      </w:r>
      <w:r w:rsidRPr="004F1C04">
        <w:rPr>
          <w:rFonts w:eastAsia="Traditional Arabic" w:cs="Times New Roman"/>
          <w:szCs w:val="20"/>
          <w:lang w:val="fr-FR"/>
        </w:rPr>
        <w:t>engagement de la Jordanie à respecter ces principes dans la mise en œuvre des droits consacrés par le Protocole facultatif, seront exposés plus loin dans le présent rapport.</w:t>
      </w:r>
    </w:p>
    <w:p w:rsidR="00E3787F" w:rsidRPr="004F1C04" w:rsidRDefault="00E3787F" w:rsidP="004F1C04">
      <w:pPr>
        <w:pStyle w:val="H1G"/>
      </w:pPr>
      <w:bookmarkStart w:id="10" w:name="_Toc350173942"/>
      <w:r w:rsidRPr="004F1C04">
        <w:tab/>
      </w:r>
      <w:bookmarkStart w:id="11" w:name="_Toc358307235"/>
      <w:r w:rsidRPr="004F1C04">
        <w:t>C.</w:t>
      </w:r>
      <w:r w:rsidR="004F1C04" w:rsidRPr="004F1C04">
        <w:tab/>
      </w:r>
      <w:r w:rsidRPr="004F1C04">
        <w:t>L</w:t>
      </w:r>
      <w:r w:rsidR="00913EBF">
        <w:t>’</w:t>
      </w:r>
      <w:r w:rsidRPr="004F1C04">
        <w:t>application du Protocole facultatif et sa contribution à la mise en œuvre des dispositions de la Convention relative aux droits de l</w:t>
      </w:r>
      <w:r w:rsidR="00913EBF">
        <w:t>’</w:t>
      </w:r>
      <w:r w:rsidRPr="004F1C04">
        <w:t>enfant</w:t>
      </w:r>
      <w:bookmarkEnd w:id="10"/>
      <w:bookmarkEnd w:id="11"/>
    </w:p>
    <w:p w:rsidR="00E3787F" w:rsidRPr="004F1C04" w:rsidRDefault="00E3787F" w:rsidP="004F1C04">
      <w:pPr>
        <w:pStyle w:val="SingleTxtG"/>
        <w:rPr>
          <w:lang w:val="fr-FR"/>
        </w:rPr>
      </w:pPr>
      <w:r w:rsidRPr="004F1C04">
        <w:rPr>
          <w:rFonts w:eastAsia="Traditional Arabic"/>
          <w:lang w:val="fr-FR"/>
        </w:rPr>
        <w:t>8.</w:t>
      </w:r>
      <w:r w:rsidRPr="004F1C04">
        <w:rPr>
          <w:rFonts w:eastAsia="Traditional Arabic"/>
          <w:lang w:val="fr-FR"/>
        </w:rPr>
        <w:tab/>
        <w:t>Les mesures prises par l</w:t>
      </w:r>
      <w:r w:rsidR="00913EBF">
        <w:rPr>
          <w:rFonts w:eastAsia="Traditional Arabic"/>
          <w:lang w:val="fr-FR"/>
        </w:rPr>
        <w:t>’</w:t>
      </w:r>
      <w:r w:rsidRPr="004F1C04">
        <w:rPr>
          <w:rFonts w:eastAsia="Traditional Arabic"/>
          <w:lang w:val="fr-FR"/>
        </w:rPr>
        <w:t>État pour assurer la mise en œuvre du Protocole facultatif ont largement contribué à l</w:t>
      </w:r>
      <w:r w:rsidR="00913EBF">
        <w:rPr>
          <w:rFonts w:eastAsia="Traditional Arabic"/>
          <w:lang w:val="fr-FR"/>
        </w:rPr>
        <w:t>’</w:t>
      </w:r>
      <w:r w:rsidRPr="004F1C04">
        <w:rPr>
          <w:rFonts w:eastAsia="Traditional Arabic"/>
          <w:lang w:val="fr-FR"/>
        </w:rPr>
        <w:t>application de la plupart des dispositions de la Convention relative aux droits de l</w:t>
      </w:r>
      <w:r w:rsidR="00913EBF">
        <w:rPr>
          <w:rFonts w:eastAsia="Traditional Arabic"/>
          <w:lang w:val="fr-FR"/>
        </w:rPr>
        <w:t>’</w:t>
      </w:r>
      <w:r w:rsidRPr="004F1C04">
        <w:rPr>
          <w:rFonts w:eastAsia="Traditional Arabic"/>
          <w:lang w:val="fr-FR"/>
        </w:rPr>
        <w:t>enfant. La question de l</w:t>
      </w:r>
      <w:r w:rsidR="00913EBF">
        <w:rPr>
          <w:rFonts w:eastAsia="Traditional Arabic"/>
          <w:lang w:val="fr-FR"/>
        </w:rPr>
        <w:t>’</w:t>
      </w:r>
      <w:r w:rsidRPr="004F1C04">
        <w:rPr>
          <w:rFonts w:eastAsia="Traditional Arabic"/>
          <w:lang w:val="fr-FR"/>
        </w:rPr>
        <w:t>application des dispositions du Protocole et de celles de la Convention sera abordée de façon plus détaillée dans les développements ultérieurs du présent rapport.</w:t>
      </w:r>
    </w:p>
    <w:p w:rsidR="00E3787F" w:rsidRPr="004F1C04" w:rsidRDefault="00E3787F" w:rsidP="004F1C04">
      <w:pPr>
        <w:pStyle w:val="H1G"/>
      </w:pPr>
      <w:bookmarkStart w:id="12" w:name="_Toc350173943"/>
      <w:r w:rsidRPr="004F1C04">
        <w:tab/>
      </w:r>
      <w:bookmarkStart w:id="13" w:name="_Toc358307236"/>
      <w:r w:rsidRPr="004F1C04">
        <w:t>D.</w:t>
      </w:r>
      <w:r w:rsidR="004F1C04" w:rsidRPr="004F1C04">
        <w:tab/>
      </w:r>
      <w:r w:rsidRPr="004F1C04">
        <w:t>Place du Protocole facultatif dans l</w:t>
      </w:r>
      <w:r w:rsidR="0072557F">
        <w:t>’</w:t>
      </w:r>
      <w:r w:rsidRPr="004F1C04">
        <w:t>ordre juridique interne</w:t>
      </w:r>
      <w:bookmarkEnd w:id="12"/>
      <w:bookmarkEnd w:id="13"/>
    </w:p>
    <w:p w:rsidR="00E3787F" w:rsidRPr="004F1C04" w:rsidRDefault="00E3787F" w:rsidP="004F1C04">
      <w:pPr>
        <w:pStyle w:val="SingleTxtG"/>
        <w:rPr>
          <w:lang w:val="fr-FR"/>
        </w:rPr>
      </w:pPr>
      <w:r w:rsidRPr="004F1C04">
        <w:rPr>
          <w:rFonts w:eastAsia="Traditional Arabic"/>
          <w:lang w:val="fr-FR"/>
        </w:rPr>
        <w:t>9.</w:t>
      </w:r>
      <w:r w:rsidRPr="004F1C04">
        <w:rPr>
          <w:rFonts w:eastAsia="Traditional Arabic"/>
          <w:lang w:val="fr-FR"/>
        </w:rPr>
        <w:tab/>
        <w:t>Les conventions ratifiées par le Royaume hachémite de Jordanie font partie intégrante de sa législation et ont une autorité supérieure à celle des lois en cas de conflit avec la législation nationale.</w:t>
      </w:r>
    </w:p>
    <w:p w:rsidR="00E3787F" w:rsidRPr="004F1C04" w:rsidRDefault="00E3787F" w:rsidP="004F1C04">
      <w:pPr>
        <w:pStyle w:val="SingleTxtG"/>
        <w:rPr>
          <w:lang w:val="fr-FR"/>
        </w:rPr>
      </w:pPr>
      <w:r w:rsidRPr="004F1C04">
        <w:rPr>
          <w:rFonts w:eastAsia="Traditional Arabic"/>
          <w:lang w:val="fr-FR"/>
        </w:rPr>
        <w:t>10.</w:t>
      </w:r>
      <w:r w:rsidRPr="004F1C04">
        <w:rPr>
          <w:rFonts w:eastAsia="Traditional Arabic"/>
          <w:lang w:val="fr-FR"/>
        </w:rPr>
        <w:tab/>
        <w:t>Ceci a été confirmé par la Cour de cassation de Jordanie, notamment au niveau de l</w:t>
      </w:r>
      <w:r w:rsidR="0072557F">
        <w:rPr>
          <w:rFonts w:eastAsia="Traditional Arabic"/>
          <w:lang w:val="fr-FR"/>
        </w:rPr>
        <w:t>’</w:t>
      </w:r>
      <w:r w:rsidRPr="004F1C04">
        <w:rPr>
          <w:rFonts w:eastAsia="Traditional Arabic"/>
          <w:lang w:val="fr-FR"/>
        </w:rPr>
        <w:t xml:space="preserve">arrêt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945/2009 dans le cadre duquel la Cour de cassation de Jordanie a déclaré ce qui suit</w:t>
      </w:r>
      <w:r w:rsidR="00C17106">
        <w:rPr>
          <w:rFonts w:eastAsia="Traditional Arabic"/>
          <w:lang w:val="fr-FR"/>
        </w:rPr>
        <w:t>:</w:t>
      </w:r>
      <w:r w:rsidRPr="004F1C04">
        <w:rPr>
          <w:rFonts w:eastAsia="Traditional Arabic"/>
          <w:lang w:val="fr-FR"/>
        </w:rPr>
        <w:t xml:space="preserve"> «Selon une jurisprudence concordante, les traités internationaux conclus par les États ont une autorité supérieure à celle des lois de ces États, et ce, même s</w:t>
      </w:r>
      <w:r w:rsidR="00913EBF">
        <w:rPr>
          <w:rFonts w:eastAsia="Traditional Arabic"/>
          <w:lang w:val="fr-FR"/>
        </w:rPr>
        <w:t>’</w:t>
      </w:r>
      <w:r w:rsidRPr="004F1C04">
        <w:rPr>
          <w:rFonts w:eastAsia="Traditional Arabic"/>
          <w:lang w:val="fr-FR"/>
        </w:rPr>
        <w:t>ils sont en contradiction avec les dispositions de leur droit interne. L</w:t>
      </w:r>
      <w:r w:rsidR="00913EBF">
        <w:rPr>
          <w:rFonts w:eastAsia="Traditional Arabic"/>
          <w:lang w:val="fr-FR"/>
        </w:rPr>
        <w:t>’</w:t>
      </w:r>
      <w:r w:rsidRPr="004F1C04">
        <w:rPr>
          <w:rFonts w:eastAsia="Traditional Arabic"/>
          <w:lang w:val="fr-FR"/>
        </w:rPr>
        <w:t>application des dispositions des instruments internationaux et des lois relève du champ de compétence du système judiciaire. Les parties au différend n</w:t>
      </w:r>
      <w:r w:rsidR="00913EBF">
        <w:rPr>
          <w:rFonts w:eastAsia="Traditional Arabic"/>
          <w:lang w:val="fr-FR"/>
        </w:rPr>
        <w:t>’</w:t>
      </w:r>
      <w:r w:rsidRPr="004F1C04">
        <w:rPr>
          <w:rFonts w:eastAsia="Traditional Arabic"/>
          <w:lang w:val="fr-FR"/>
        </w:rPr>
        <w:t>ont pas la possibilité de revendiquer le bénéfice d</w:t>
      </w:r>
      <w:r w:rsidR="00913EBF">
        <w:rPr>
          <w:rFonts w:eastAsia="Traditional Arabic"/>
          <w:lang w:val="fr-FR"/>
        </w:rPr>
        <w:t>’</w:t>
      </w:r>
      <w:r w:rsidRPr="004F1C04">
        <w:rPr>
          <w:rFonts w:eastAsia="Traditional Arabic"/>
          <w:lang w:val="fr-FR"/>
        </w:rPr>
        <w:t>une disposition d</w:t>
      </w:r>
      <w:r w:rsidR="00913EBF">
        <w:rPr>
          <w:rFonts w:eastAsia="Traditional Arabic"/>
          <w:lang w:val="fr-FR"/>
        </w:rPr>
        <w:t>’</w:t>
      </w:r>
      <w:r w:rsidRPr="004F1C04">
        <w:rPr>
          <w:rFonts w:eastAsia="Traditional Arabic"/>
          <w:lang w:val="fr-FR"/>
        </w:rPr>
        <w:t>une Convention ou d</w:t>
      </w:r>
      <w:r w:rsidR="00913EBF">
        <w:rPr>
          <w:rFonts w:eastAsia="Traditional Arabic"/>
          <w:lang w:val="fr-FR"/>
        </w:rPr>
        <w:t>’</w:t>
      </w:r>
      <w:r w:rsidRPr="004F1C04">
        <w:rPr>
          <w:rFonts w:eastAsia="Traditional Arabic"/>
          <w:lang w:val="fr-FR"/>
        </w:rPr>
        <w:t>une loi, car ceci relève de l</w:t>
      </w:r>
      <w:r w:rsidR="00913EBF">
        <w:rPr>
          <w:rFonts w:eastAsia="Traditional Arabic"/>
          <w:lang w:val="fr-FR"/>
        </w:rPr>
        <w:t>’</w:t>
      </w:r>
      <w:r w:rsidRPr="004F1C04">
        <w:rPr>
          <w:rFonts w:eastAsia="Traditional Arabic"/>
          <w:lang w:val="fr-FR"/>
        </w:rPr>
        <w:t>ordre public. En tout état de cause, les conventions et traités doivent avoir été intégrés en droit interne conformément aux procédures de ratification prévues par la Constitution du pays où a lieu le conflit».</w:t>
      </w:r>
    </w:p>
    <w:p w:rsidR="00E3787F" w:rsidRPr="004F1C04" w:rsidRDefault="00E3787F" w:rsidP="004F1C04">
      <w:pPr>
        <w:pStyle w:val="H1G"/>
      </w:pPr>
      <w:bookmarkStart w:id="14" w:name="_Toc350173944"/>
      <w:r w:rsidRPr="004F1C04">
        <w:tab/>
      </w:r>
      <w:bookmarkStart w:id="15" w:name="_Toc358307237"/>
      <w:r w:rsidRPr="004F1C04">
        <w:t>E.</w:t>
      </w:r>
      <w:r w:rsidR="004F1C04" w:rsidRPr="004F1C04">
        <w:tab/>
      </w:r>
      <w:r w:rsidRPr="004F1C04">
        <w:t>Réserves au Protocole facultatif</w:t>
      </w:r>
      <w:bookmarkEnd w:id="14"/>
      <w:bookmarkEnd w:id="15"/>
    </w:p>
    <w:p w:rsidR="00E3787F" w:rsidRPr="004F1C04" w:rsidRDefault="00E3787F" w:rsidP="004F1C04">
      <w:pPr>
        <w:pStyle w:val="SingleTxtG"/>
        <w:rPr>
          <w:lang w:val="fr-FR"/>
        </w:rPr>
      </w:pPr>
      <w:r w:rsidRPr="004F1C04">
        <w:rPr>
          <w:rFonts w:eastAsia="Traditional Arabic"/>
          <w:lang w:val="fr-FR"/>
        </w:rPr>
        <w:t>11.</w:t>
      </w:r>
      <w:r w:rsidRPr="004F1C04">
        <w:rPr>
          <w:rFonts w:eastAsia="Traditional Arabic"/>
          <w:lang w:val="fr-FR"/>
        </w:rPr>
        <w:tab/>
        <w:t>La Jordanie n</w:t>
      </w:r>
      <w:r w:rsidR="00913EBF">
        <w:rPr>
          <w:rFonts w:eastAsia="Traditional Arabic"/>
          <w:lang w:val="fr-FR"/>
        </w:rPr>
        <w:t>’</w:t>
      </w:r>
      <w:r w:rsidRPr="004F1C04">
        <w:rPr>
          <w:rFonts w:eastAsia="Traditional Arabic"/>
          <w:lang w:val="fr-FR"/>
        </w:rPr>
        <w:t>a émis aucune réserve au Protocole facultatif.</w:t>
      </w:r>
    </w:p>
    <w:p w:rsidR="00E3787F" w:rsidRPr="004F1C04" w:rsidRDefault="00E3787F" w:rsidP="004F1C04">
      <w:pPr>
        <w:pStyle w:val="H1G"/>
      </w:pPr>
      <w:bookmarkStart w:id="16" w:name="_Toc350173945"/>
      <w:r w:rsidRPr="004F1C04">
        <w:tab/>
      </w:r>
      <w:bookmarkStart w:id="17" w:name="_Toc358307238"/>
      <w:r w:rsidRPr="004F1C04">
        <w:t>F.</w:t>
      </w:r>
      <w:r w:rsidR="004F1C04" w:rsidRPr="004F1C04">
        <w:tab/>
      </w:r>
      <w:r w:rsidRPr="004F1C04">
        <w:t>Facteurs et difficultés affectant l</w:t>
      </w:r>
      <w:r w:rsidR="00913EBF">
        <w:t>’</w:t>
      </w:r>
      <w:r w:rsidRPr="004F1C04">
        <w:t>accomplissement des obligations prévues par le Protocole facultatif</w:t>
      </w:r>
      <w:bookmarkEnd w:id="16"/>
      <w:bookmarkEnd w:id="17"/>
    </w:p>
    <w:p w:rsidR="00E3787F" w:rsidRPr="004F1C04" w:rsidRDefault="00E3787F" w:rsidP="004F1C04">
      <w:pPr>
        <w:pStyle w:val="SingleTxtG"/>
        <w:rPr>
          <w:lang w:val="fr-FR"/>
        </w:rPr>
      </w:pPr>
      <w:r w:rsidRPr="004F1C04">
        <w:rPr>
          <w:rFonts w:eastAsia="Traditional Arabic"/>
          <w:lang w:val="fr-FR"/>
        </w:rPr>
        <w:t>12.</w:t>
      </w:r>
      <w:r w:rsidRPr="004F1C04">
        <w:rPr>
          <w:rFonts w:eastAsia="Traditional Arabic"/>
          <w:lang w:val="fr-FR"/>
        </w:rPr>
        <w:tab/>
        <w:t>En dépit des efforts déployés par les différents intervenants au niveau du système de protection de l’enfance, tant au niveau gouvernemental qu</w:t>
      </w:r>
      <w:r w:rsidR="00913EBF">
        <w:rPr>
          <w:rFonts w:eastAsia="Traditional Arabic"/>
          <w:lang w:val="fr-FR"/>
        </w:rPr>
        <w:t>’</w:t>
      </w:r>
      <w:r w:rsidRPr="004F1C04">
        <w:rPr>
          <w:rFonts w:eastAsia="Traditional Arabic"/>
          <w:lang w:val="fr-FR"/>
        </w:rPr>
        <w:t>à celui des organisations de la société civile, la nécessité de recueillir des données plus précises et détaillées concernant les enfants, se fait toujours sentir, en particulier pour ce qui est des infractions prévues par le Protocole facultatif</w:t>
      </w:r>
      <w:r w:rsidR="00C17106">
        <w:rPr>
          <w:rFonts w:eastAsia="Traditional Arabic"/>
          <w:lang w:val="fr-FR"/>
        </w:rPr>
        <w:t>;</w:t>
      </w:r>
      <w:r w:rsidRPr="004F1C04">
        <w:rPr>
          <w:rFonts w:eastAsia="Traditional Arabic"/>
          <w:lang w:val="fr-FR"/>
        </w:rPr>
        <w:t xml:space="preserve"> ainsi que pour renforcer la sensibilisation aux moyens de signalement des enfants victimes des infractions visées par le Protocole facultatif.</w:t>
      </w:r>
    </w:p>
    <w:p w:rsidR="00E3787F" w:rsidRPr="004F1C04" w:rsidRDefault="00E3787F" w:rsidP="004F1C04">
      <w:pPr>
        <w:pStyle w:val="H1G"/>
      </w:pPr>
      <w:bookmarkStart w:id="18" w:name="_Toc350173946"/>
      <w:r w:rsidRPr="004F1C04">
        <w:tab/>
      </w:r>
      <w:bookmarkStart w:id="19" w:name="_Toc358307239"/>
      <w:r w:rsidRPr="004F1C04">
        <w:t>G.</w:t>
      </w:r>
      <w:r w:rsidR="004F1C04" w:rsidRPr="004F1C04">
        <w:tab/>
      </w:r>
      <w:r w:rsidRPr="004F1C04">
        <w:t>Textes législatifs pertinents</w:t>
      </w:r>
      <w:bookmarkEnd w:id="18"/>
      <w:bookmarkEnd w:id="19"/>
    </w:p>
    <w:p w:rsidR="00E3787F" w:rsidRPr="004F1C04" w:rsidRDefault="00E3787F" w:rsidP="004F1C04">
      <w:pPr>
        <w:pStyle w:val="SingleTxtG"/>
        <w:rPr>
          <w:lang w:val="fr-FR"/>
        </w:rPr>
      </w:pPr>
      <w:r w:rsidRPr="004F1C04">
        <w:rPr>
          <w:rFonts w:eastAsia="Traditional Arabic"/>
          <w:lang w:val="fr-FR"/>
        </w:rPr>
        <w:t>13.</w:t>
      </w:r>
      <w:r w:rsidRPr="004F1C04">
        <w:rPr>
          <w:rFonts w:eastAsia="Traditional Arabic"/>
          <w:lang w:val="fr-FR"/>
        </w:rPr>
        <w:tab/>
        <w:t>Une liste des textes et des lois est indiquée ci-après dans l</w:t>
      </w:r>
      <w:r w:rsidR="00913EBF">
        <w:rPr>
          <w:rFonts w:eastAsia="Traditional Arabic"/>
          <w:lang w:val="fr-FR"/>
        </w:rPr>
        <w:t>’</w:t>
      </w:r>
      <w:r w:rsidRPr="004F1C04">
        <w:rPr>
          <w:rFonts w:eastAsia="Traditional Arabic"/>
          <w:lang w:val="fr-FR"/>
        </w:rPr>
        <w:t>ordre des thèmes abordés par le Protocole facultatif:</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51 de 2006 sur le Centre national des droits de l’homme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23 de 1986 relative au service national et à la réserve militaire, telle qu</w:t>
      </w:r>
      <w:r w:rsidR="00913EBF">
        <w:rPr>
          <w:rFonts w:eastAsia="Traditional Arabic"/>
          <w:lang w:val="fr-FR"/>
        </w:rPr>
        <w:t>’</w:t>
      </w:r>
      <w:r w:rsidRPr="004F1C04">
        <w:rPr>
          <w:rFonts w:eastAsia="Traditional Arabic"/>
          <w:lang w:val="fr-FR"/>
        </w:rPr>
        <w:t>amendée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38 de1965 sur la sécurité publique, telle qu</w:t>
      </w:r>
      <w:r w:rsidR="00913EBF">
        <w:rPr>
          <w:rFonts w:eastAsia="Traditional Arabic"/>
          <w:lang w:val="fr-FR"/>
        </w:rPr>
        <w:t>’</w:t>
      </w:r>
      <w:r w:rsidRPr="004F1C04">
        <w:rPr>
          <w:rFonts w:eastAsia="Traditional Arabic"/>
          <w:lang w:val="fr-FR"/>
        </w:rPr>
        <w:t>amendée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18 de 1999 sur la défense civile, telle qu</w:t>
      </w:r>
      <w:r w:rsidR="00913EBF">
        <w:rPr>
          <w:rFonts w:eastAsia="Traditional Arabic"/>
          <w:lang w:val="fr-FR"/>
        </w:rPr>
        <w:t>’</w:t>
      </w:r>
      <w:r w:rsidRPr="004F1C04">
        <w:rPr>
          <w:rFonts w:eastAsia="Traditional Arabic"/>
          <w:lang w:val="fr-FR"/>
        </w:rPr>
        <w:t>amendée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34 de 2008 relative à la gendarmerie nationale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2 de 1972 sur le service militaire, telle qu</w:t>
      </w:r>
      <w:r w:rsidR="00913EBF">
        <w:rPr>
          <w:rFonts w:eastAsia="Traditional Arabic"/>
          <w:lang w:val="fr-FR"/>
        </w:rPr>
        <w:t>’</w:t>
      </w:r>
      <w:r w:rsidRPr="004F1C04">
        <w:rPr>
          <w:rFonts w:eastAsia="Traditional Arabic"/>
          <w:lang w:val="fr-FR"/>
        </w:rPr>
        <w:t>amendée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35 de 1966 sur le service des officiers, telle qu</w:t>
      </w:r>
      <w:r w:rsidR="00913EBF">
        <w:rPr>
          <w:rFonts w:eastAsia="Traditional Arabic"/>
          <w:lang w:val="fr-FR"/>
        </w:rPr>
        <w:t>’</w:t>
      </w:r>
      <w:r w:rsidRPr="004F1C04">
        <w:rPr>
          <w:rFonts w:eastAsia="Traditional Arabic"/>
          <w:lang w:val="fr-FR"/>
        </w:rPr>
        <w:t>amendée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3 de1994 sur l</w:t>
      </w:r>
      <w:r w:rsidR="0072557F">
        <w:rPr>
          <w:rFonts w:eastAsia="Traditional Arabic"/>
          <w:lang w:val="fr-FR"/>
        </w:rPr>
        <w:t>’</w:t>
      </w:r>
      <w:r w:rsidRPr="004F1C04">
        <w:rPr>
          <w:rFonts w:eastAsia="Traditional Arabic"/>
          <w:lang w:val="fr-FR"/>
        </w:rPr>
        <w:t>éducation, telle qu</w:t>
      </w:r>
      <w:r w:rsidR="00913EBF">
        <w:rPr>
          <w:rFonts w:eastAsia="Traditional Arabic"/>
          <w:lang w:val="fr-FR"/>
        </w:rPr>
        <w:t>’</w:t>
      </w:r>
      <w:r w:rsidRPr="004F1C04">
        <w:rPr>
          <w:rFonts w:eastAsia="Traditional Arabic"/>
          <w:lang w:val="fr-FR"/>
        </w:rPr>
        <w:t>amendée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58 de 2006 portant Code pénal militaire, telle qu</w:t>
      </w:r>
      <w:r w:rsidR="00CC4D81">
        <w:rPr>
          <w:rFonts w:eastAsia="Traditional Arabic"/>
          <w:lang w:val="fr-FR"/>
        </w:rPr>
        <w:t>’</w:t>
      </w:r>
      <w:r w:rsidRPr="004F1C04">
        <w:rPr>
          <w:rFonts w:eastAsia="Traditional Arabic"/>
          <w:lang w:val="fr-FR"/>
        </w:rPr>
        <w:t>amendée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16 de 2006 portant Code pénal, telle qu</w:t>
      </w:r>
      <w:r w:rsidR="00CC4D81">
        <w:rPr>
          <w:rFonts w:eastAsia="Traditional Arabic"/>
          <w:lang w:val="fr-FR"/>
        </w:rPr>
        <w:t>’</w:t>
      </w:r>
      <w:r w:rsidRPr="004F1C04">
        <w:rPr>
          <w:rFonts w:eastAsia="Traditional Arabic"/>
          <w:lang w:val="fr-FR"/>
        </w:rPr>
        <w:t>amendée</w:t>
      </w:r>
      <w:r w:rsidR="007A6A87">
        <w:rPr>
          <w:rFonts w:eastAsia="Traditional Arabic"/>
          <w:lang w:val="fr-FR"/>
        </w:rPr>
        <w:t>;</w:t>
      </w:r>
    </w:p>
    <w:p w:rsidR="00E3787F" w:rsidRPr="004F1C04" w:rsidRDefault="00E3787F" w:rsidP="004F1C04">
      <w:pPr>
        <w:pStyle w:val="Bullet1G"/>
        <w:rPr>
          <w:lang w:val="fr-FR"/>
        </w:rPr>
      </w:pPr>
      <w:r w:rsidRPr="004F1C04">
        <w:rPr>
          <w:rFonts w:eastAsia="Traditional Arabic"/>
          <w:lang w:val="fr-FR"/>
        </w:rPr>
        <w:t xml:space="preserve">La loi </w:t>
      </w:r>
      <w:r w:rsidR="00913EBF">
        <w:rPr>
          <w:rFonts w:eastAsia="Traditional Arabic"/>
          <w:lang w:val="fr-FR" w:bidi="ar-JO"/>
        </w:rPr>
        <w:t>n</w:t>
      </w:r>
      <w:r w:rsidR="00913EBF">
        <w:rPr>
          <w:rFonts w:eastAsia="Traditional Arabic"/>
          <w:vertAlign w:val="superscript"/>
          <w:lang w:val="fr-FR" w:bidi="ar-JO"/>
        </w:rPr>
        <w:t>o</w:t>
      </w:r>
      <w:r w:rsidRPr="004F1C04">
        <w:rPr>
          <w:rFonts w:eastAsia="Traditional Arabic"/>
          <w:lang w:val="fr-FR"/>
        </w:rPr>
        <w:t xml:space="preserve"> 9 de 1961 relative à la procédure pénale, telle qu</w:t>
      </w:r>
      <w:r w:rsidR="00CC4D81">
        <w:rPr>
          <w:rFonts w:eastAsia="Traditional Arabic"/>
          <w:lang w:val="fr-FR"/>
        </w:rPr>
        <w:t>’</w:t>
      </w:r>
      <w:r w:rsidRPr="004F1C04">
        <w:rPr>
          <w:rFonts w:eastAsia="Traditional Arabic"/>
          <w:lang w:val="fr-FR"/>
        </w:rPr>
        <w:t>amendée.</w:t>
      </w:r>
    </w:p>
    <w:p w:rsidR="00E3787F" w:rsidRPr="004F1C04" w:rsidRDefault="00E3787F" w:rsidP="004F1C04">
      <w:pPr>
        <w:pStyle w:val="HChG"/>
      </w:pPr>
      <w:bookmarkStart w:id="20" w:name="_Toc350173947"/>
      <w:r w:rsidRPr="004F1C04">
        <w:tab/>
      </w:r>
      <w:bookmarkStart w:id="21" w:name="_Toc358307240"/>
      <w:r w:rsidRPr="004F1C04">
        <w:t>III.</w:t>
      </w:r>
      <w:r w:rsidR="004F1C04" w:rsidRPr="004F1C04">
        <w:tab/>
      </w:r>
      <w:r w:rsidRPr="004F1C04">
        <w:t>Mesures d’application générale</w:t>
      </w:r>
      <w:bookmarkEnd w:id="20"/>
      <w:bookmarkEnd w:id="21"/>
    </w:p>
    <w:p w:rsidR="00E3787F" w:rsidRPr="004F1C04" w:rsidRDefault="00E3787F" w:rsidP="004F1C04">
      <w:pPr>
        <w:pStyle w:val="H1G"/>
      </w:pPr>
      <w:bookmarkStart w:id="22" w:name="_Toc350173948"/>
      <w:r w:rsidRPr="004F1C04">
        <w:tab/>
      </w:r>
      <w:bookmarkStart w:id="23" w:name="_Toc358307241"/>
      <w:r w:rsidRPr="004F1C04">
        <w:t>A.</w:t>
      </w:r>
      <w:r w:rsidR="004F1C04" w:rsidRPr="004F1C04">
        <w:tab/>
      </w:r>
      <w:r w:rsidRPr="004F1C04">
        <w:t>Mise en œuvre du Protocole facultatif dans toutes les régions de Jordanie</w:t>
      </w:r>
      <w:bookmarkEnd w:id="22"/>
      <w:bookmarkEnd w:id="23"/>
    </w:p>
    <w:p w:rsidR="00E3787F" w:rsidRPr="004F1C04" w:rsidRDefault="00E3787F" w:rsidP="004F1C04">
      <w:pPr>
        <w:pStyle w:val="SingleTxtG"/>
        <w:rPr>
          <w:lang w:val="fr-FR"/>
        </w:rPr>
      </w:pPr>
      <w:r w:rsidRPr="004F1C04">
        <w:rPr>
          <w:rFonts w:eastAsia="Traditional Arabic"/>
          <w:lang w:val="fr-FR"/>
        </w:rPr>
        <w:t>14.</w:t>
      </w:r>
      <w:r w:rsidRPr="004F1C04">
        <w:rPr>
          <w:rFonts w:eastAsia="Traditional Arabic"/>
          <w:lang w:val="fr-FR"/>
        </w:rPr>
        <w:tab/>
        <w:t>Les dispositions du Protocole facultatif sont applicables sur l’ensemble du territoire du Royaume.</w:t>
      </w:r>
    </w:p>
    <w:p w:rsidR="00E3787F" w:rsidRPr="004F1C04" w:rsidRDefault="00E3787F" w:rsidP="004F1C04">
      <w:pPr>
        <w:pStyle w:val="H23G"/>
        <w:rPr>
          <w:lang w:val="fr-FR"/>
        </w:rPr>
      </w:pPr>
      <w:r w:rsidRPr="004F1C04">
        <w:rPr>
          <w:rFonts w:eastAsia="Traditional Arabic"/>
          <w:lang w:val="fr-FR"/>
        </w:rPr>
        <w:tab/>
      </w:r>
      <w:r w:rsidR="004F1C04" w:rsidRPr="004F1C04">
        <w:rPr>
          <w:rFonts w:eastAsia="Traditional Arabic"/>
          <w:lang w:val="fr-FR"/>
        </w:rPr>
        <w:tab/>
      </w:r>
      <w:r w:rsidRPr="004F1C04">
        <w:rPr>
          <w:rFonts w:eastAsia="Traditional Arabic"/>
          <w:lang w:val="fr-FR"/>
        </w:rPr>
        <w:t>Les ministères et autres organismes publics chargés de la mise en œuvre du Protocole facultatif</w:t>
      </w:r>
    </w:p>
    <w:p w:rsidR="00E3787F" w:rsidRPr="004F1C04" w:rsidRDefault="00E3787F" w:rsidP="004F1C04">
      <w:pPr>
        <w:pStyle w:val="SingleTxtG"/>
        <w:rPr>
          <w:lang w:val="fr-FR"/>
        </w:rPr>
      </w:pPr>
      <w:r w:rsidRPr="004F1C04">
        <w:rPr>
          <w:rFonts w:eastAsia="Traditional Arabic"/>
          <w:lang w:val="fr-FR"/>
        </w:rPr>
        <w:t>15.</w:t>
      </w:r>
      <w:r w:rsidRPr="004F1C04">
        <w:rPr>
          <w:rFonts w:eastAsia="Traditional Arabic"/>
          <w:lang w:val="fr-FR"/>
        </w:rPr>
        <w:tab/>
        <w:t>La mise en œuvre des dispositions du Protocole incombe en premier lieu au Ministère de la défense, qui représente l</w:t>
      </w:r>
      <w:r w:rsidR="00CC4D81">
        <w:rPr>
          <w:rFonts w:eastAsia="Traditional Arabic"/>
          <w:lang w:val="fr-FR"/>
        </w:rPr>
        <w:t>’</w:t>
      </w:r>
      <w:r w:rsidRPr="004F1C04">
        <w:rPr>
          <w:rFonts w:eastAsia="Traditional Arabic"/>
          <w:lang w:val="fr-FR"/>
        </w:rPr>
        <w:t>organisme exécutif à la tête des forces armées jordaniennes, puis au Ministère de l</w:t>
      </w:r>
      <w:r w:rsidR="00CC4D81">
        <w:rPr>
          <w:rFonts w:eastAsia="Traditional Arabic"/>
          <w:lang w:val="fr-FR"/>
        </w:rPr>
        <w:t>’</w:t>
      </w:r>
      <w:r w:rsidRPr="004F1C04">
        <w:rPr>
          <w:rFonts w:eastAsia="Traditional Arabic"/>
          <w:lang w:val="fr-FR"/>
        </w:rPr>
        <w:t>intérieur représenté par la Direction de la Sécurité publique, la Direction de la défense civile ainsi que la Direction générale de la gendarmerie.</w:t>
      </w:r>
    </w:p>
    <w:p w:rsidR="00E3787F" w:rsidRPr="004F1C04" w:rsidRDefault="00E3787F" w:rsidP="004F1C04">
      <w:pPr>
        <w:pStyle w:val="H23G"/>
        <w:rPr>
          <w:lang w:val="fr-FR"/>
        </w:rPr>
      </w:pPr>
      <w:r w:rsidRPr="004F1C04">
        <w:rPr>
          <w:rFonts w:eastAsia="Traditional Arabic"/>
          <w:lang w:val="fr-FR"/>
        </w:rPr>
        <w:tab/>
      </w:r>
      <w:r w:rsidRPr="004F1C04">
        <w:rPr>
          <w:rFonts w:eastAsia="Traditional Arabic"/>
          <w:lang w:val="fr-FR"/>
        </w:rPr>
        <w:tab/>
        <w:t>Conseil n</w:t>
      </w:r>
      <w:r w:rsidR="005603E0">
        <w:rPr>
          <w:rFonts w:eastAsia="Traditional Arabic"/>
          <w:lang w:val="fr-FR"/>
        </w:rPr>
        <w:t>ational des affaires familiales</w:t>
      </w:r>
    </w:p>
    <w:p w:rsidR="00E3787F" w:rsidRPr="004F1C04" w:rsidRDefault="00E3787F" w:rsidP="004F1C04">
      <w:pPr>
        <w:pStyle w:val="SingleTxtG"/>
        <w:rPr>
          <w:lang w:val="fr-FR"/>
        </w:rPr>
      </w:pPr>
      <w:r w:rsidRPr="004F1C04">
        <w:rPr>
          <w:rFonts w:eastAsia="Traditional Arabic"/>
          <w:lang w:val="fr-FR"/>
        </w:rPr>
        <w:t>16.</w:t>
      </w:r>
      <w:r w:rsidRPr="004F1C04">
        <w:rPr>
          <w:rFonts w:eastAsia="Traditional Arabic"/>
          <w:lang w:val="fr-FR"/>
        </w:rPr>
        <w:tab/>
        <w:t xml:space="preserve">Le Conseil national des affaires familiales a été créé en application de la loi </w:t>
      </w:r>
      <w:r w:rsidR="00CC4D81">
        <w:rPr>
          <w:rFonts w:eastAsia="Traditional Arabic"/>
          <w:lang w:val="fr-FR" w:bidi="ar-JO"/>
        </w:rPr>
        <w:t>n</w:t>
      </w:r>
      <w:r w:rsidR="00CC4D81">
        <w:rPr>
          <w:rFonts w:eastAsia="Traditional Arabic"/>
          <w:vertAlign w:val="superscript"/>
          <w:lang w:val="fr-FR" w:bidi="ar-JO"/>
        </w:rPr>
        <w:t>o</w:t>
      </w:r>
      <w:r w:rsidRPr="004F1C04">
        <w:rPr>
          <w:rFonts w:eastAsia="Traditional Arabic"/>
          <w:lang w:val="fr-FR"/>
        </w:rPr>
        <w:t xml:space="preserve"> 27 de 2001 et il est présidé par sa Majesté la Reine Rania Al-Abdullah. Sa mission est d</w:t>
      </w:r>
      <w:r w:rsidR="00CC4D81">
        <w:rPr>
          <w:rFonts w:eastAsia="Traditional Arabic"/>
          <w:lang w:val="fr-FR"/>
        </w:rPr>
        <w:t>’</w:t>
      </w:r>
      <w:r w:rsidRPr="004F1C04">
        <w:rPr>
          <w:rFonts w:eastAsia="Traditional Arabic"/>
          <w:lang w:val="fr-FR"/>
        </w:rPr>
        <w:t>assurer aux familles jordaniennes une meilleure qualité de vie à travers une vision nationale qui soutient les politiques de développement du pays et leur permet de réaliser leurs objectifs. Grâce à son rôle fédérateur et en tant que promoteur de la coopération, le Conseil exhorte les partenaires, notamment les organisations gouvernementales et non gouvernementales, les institutions internationales ainsi que le secteur privé qui œuvre dans le domaine de la famille, à travailler de concert pour assurer un meilleur avenir aux familles jordaniennes. Dans le cadre des fonctions et pouvoirs qui lui sont conférés, le Conseil s</w:t>
      </w:r>
      <w:r w:rsidR="00CC4D81">
        <w:rPr>
          <w:rFonts w:eastAsia="Traditional Arabic"/>
          <w:lang w:val="fr-FR"/>
        </w:rPr>
        <w:t>’</w:t>
      </w:r>
      <w:r w:rsidRPr="004F1C04">
        <w:rPr>
          <w:rFonts w:eastAsia="Traditional Arabic"/>
          <w:lang w:val="fr-FR"/>
        </w:rPr>
        <w:t>emploie également à promouvoir la participation des familles à la vie publique, en accordant une attention particulière à la protection des femmes, des jeunes et des enfants. Le Conseil joue un rôle-clé dans la conception, la coordination et le suivi des politiques nationales et dans la mobilisation du soutien aux questions familiales.</w:t>
      </w:r>
    </w:p>
    <w:p w:rsidR="00E3787F" w:rsidRPr="004F1C04" w:rsidRDefault="00E3787F" w:rsidP="004F1C04">
      <w:pPr>
        <w:pStyle w:val="H1G"/>
      </w:pPr>
      <w:bookmarkStart w:id="24" w:name="_Toc350173949"/>
      <w:r w:rsidRPr="004F1C04">
        <w:tab/>
      </w:r>
      <w:bookmarkStart w:id="25" w:name="_Toc358307242"/>
      <w:r w:rsidRPr="004F1C04">
        <w:t>B.</w:t>
      </w:r>
      <w:r w:rsidR="004F1C04">
        <w:tab/>
      </w:r>
      <w:r w:rsidRPr="004F1C04">
        <w:t>Diffusion du Protocole facultatif et formation appropriée</w:t>
      </w:r>
      <w:bookmarkEnd w:id="24"/>
      <w:bookmarkEnd w:id="25"/>
    </w:p>
    <w:p w:rsidR="00E3787F" w:rsidRPr="004F1C04" w:rsidRDefault="00E3787F" w:rsidP="004F1C04">
      <w:pPr>
        <w:pStyle w:val="SingleTxtG"/>
        <w:rPr>
          <w:lang w:val="fr-FR"/>
        </w:rPr>
      </w:pPr>
      <w:r w:rsidRPr="004F1C04">
        <w:rPr>
          <w:rFonts w:eastAsia="Traditional Arabic"/>
          <w:lang w:val="fr-FR"/>
        </w:rPr>
        <w:t>17.</w:t>
      </w:r>
      <w:r w:rsidRPr="004F1C04">
        <w:rPr>
          <w:rFonts w:eastAsia="Traditional Arabic"/>
          <w:lang w:val="fr-FR"/>
        </w:rPr>
        <w:tab/>
        <w:t>La Jordanie a adopté les mesures nécessaires à la mise en œuvre des programmes de sensibilisation et de formation appropriée destinés aux forces armées et aux forces de police. L</w:t>
      </w:r>
      <w:r w:rsidR="00CC4D81">
        <w:rPr>
          <w:rFonts w:eastAsia="Traditional Arabic"/>
          <w:lang w:val="fr-FR"/>
        </w:rPr>
        <w:t>’</w:t>
      </w:r>
      <w:r w:rsidRPr="004F1C04">
        <w:rPr>
          <w:rFonts w:eastAsia="Traditional Arabic"/>
          <w:lang w:val="fr-FR"/>
        </w:rPr>
        <w:t>article 127 de la Constitution jordanienne de 1952 dispose ce qui suit</w:t>
      </w:r>
      <w:r w:rsidR="00C17106">
        <w:rPr>
          <w:rFonts w:eastAsia="Traditional Arabic"/>
          <w:lang w:val="fr-FR"/>
        </w:rPr>
        <w:t>:</w:t>
      </w:r>
      <w:r w:rsidRPr="004F1C04">
        <w:rPr>
          <w:rFonts w:eastAsia="Traditional Arabic"/>
          <w:lang w:val="fr-FR"/>
        </w:rPr>
        <w:t xml:space="preserve"> «Les devoirs de l</w:t>
      </w:r>
      <w:r w:rsidR="00CC4D81">
        <w:rPr>
          <w:rFonts w:eastAsia="Traditional Arabic"/>
          <w:lang w:val="fr-FR"/>
        </w:rPr>
        <w:t>’</w:t>
      </w:r>
      <w:r w:rsidRPr="004F1C04">
        <w:rPr>
          <w:rFonts w:eastAsia="Traditional Arabic"/>
          <w:lang w:val="fr-FR"/>
        </w:rPr>
        <w:t>armée se limitent à la défense du Royaume et à sa sécurité</w:t>
      </w:r>
      <w:r w:rsidR="00C17106">
        <w:rPr>
          <w:rFonts w:eastAsia="Traditional Arabic"/>
          <w:lang w:val="fr-FR"/>
        </w:rPr>
        <w:t>:</w:t>
      </w:r>
      <w:r w:rsidRPr="004F1C04">
        <w:rPr>
          <w:rFonts w:eastAsia="Traditional Arabic"/>
          <w:lang w:val="fr-FR"/>
        </w:rPr>
        <w:t xml:space="preserve"> 1. Le recrutement de l</w:t>
      </w:r>
      <w:r w:rsidR="00CC4D81">
        <w:rPr>
          <w:rFonts w:eastAsia="Traditional Arabic"/>
          <w:lang w:val="fr-FR"/>
        </w:rPr>
        <w:t>’</w:t>
      </w:r>
      <w:r w:rsidRPr="004F1C04">
        <w:rPr>
          <w:rFonts w:eastAsia="Traditional Arabic"/>
          <w:lang w:val="fr-FR"/>
        </w:rPr>
        <w:t>armée, son organisation et les droits et les devoirs de son personnel sont définis par la loi. 2. L</w:t>
      </w:r>
      <w:r w:rsidR="00CC4D81">
        <w:rPr>
          <w:rFonts w:eastAsia="Traditional Arabic"/>
          <w:lang w:val="fr-FR"/>
        </w:rPr>
        <w:t>’</w:t>
      </w:r>
      <w:r w:rsidRPr="004F1C04">
        <w:rPr>
          <w:rFonts w:eastAsia="Traditional Arabic"/>
          <w:lang w:val="fr-FR"/>
        </w:rPr>
        <w:t>organisation de la police et de la gendarmerie, y compris leurs pouvoirs, est définie par la loi».</w:t>
      </w:r>
    </w:p>
    <w:p w:rsidR="00E3787F" w:rsidRPr="004F1C04" w:rsidRDefault="00E3787F" w:rsidP="004F1C04">
      <w:pPr>
        <w:pStyle w:val="SingleTxtG"/>
        <w:rPr>
          <w:lang w:val="fr-FR"/>
        </w:rPr>
      </w:pPr>
      <w:r w:rsidRPr="004F1C04">
        <w:rPr>
          <w:rFonts w:eastAsia="Traditional Arabic"/>
          <w:lang w:val="fr-FR"/>
        </w:rPr>
        <w:t>18.</w:t>
      </w:r>
      <w:r w:rsidRPr="004F1C04">
        <w:rPr>
          <w:rFonts w:eastAsia="Traditional Arabic"/>
          <w:lang w:val="fr-FR"/>
        </w:rPr>
        <w:tab/>
        <w:t>Les principes et les dispositions du Protocole ont été diffusés à grande échelle, publiés au Journal officiel et distribué à toutes les parties prenantes nationales œuvrant dans ce domaine.</w:t>
      </w:r>
    </w:p>
    <w:p w:rsidR="00E3787F" w:rsidRPr="004F1C04" w:rsidRDefault="00E3787F" w:rsidP="004F1C04">
      <w:pPr>
        <w:pStyle w:val="SingleTxtG"/>
        <w:rPr>
          <w:lang w:val="fr-FR"/>
        </w:rPr>
      </w:pPr>
      <w:r w:rsidRPr="004F1C04">
        <w:rPr>
          <w:rFonts w:eastAsia="Traditional Arabic"/>
          <w:lang w:val="fr-FR"/>
        </w:rPr>
        <w:t>19.</w:t>
      </w:r>
      <w:r w:rsidRPr="004F1C04">
        <w:rPr>
          <w:rFonts w:eastAsia="Traditional Arabic"/>
          <w:lang w:val="fr-FR"/>
        </w:rPr>
        <w:tab/>
        <w:t>En collaboration avec l</w:t>
      </w:r>
      <w:r w:rsidR="00CC4D81">
        <w:rPr>
          <w:rFonts w:eastAsia="Traditional Arabic"/>
          <w:lang w:val="fr-FR"/>
        </w:rPr>
        <w:t>’</w:t>
      </w:r>
      <w:r w:rsidRPr="004F1C04">
        <w:rPr>
          <w:rFonts w:eastAsia="Traditional Arabic"/>
          <w:lang w:val="fr-FR"/>
        </w:rPr>
        <w:t>UNICEF, le Conseil national des affaires familiales dispense à l</w:t>
      </w:r>
      <w:r w:rsidR="00CC4D81">
        <w:rPr>
          <w:rFonts w:eastAsia="Traditional Arabic"/>
          <w:lang w:val="fr-FR"/>
        </w:rPr>
        <w:t>’</w:t>
      </w:r>
      <w:r w:rsidRPr="004F1C04">
        <w:rPr>
          <w:rFonts w:eastAsia="Traditional Arabic"/>
          <w:lang w:val="fr-FR"/>
        </w:rPr>
        <w:t>intention des jeunes une session de formation à la Convention relative aux droits de l</w:t>
      </w:r>
      <w:r w:rsidR="00CC4D81">
        <w:rPr>
          <w:rFonts w:eastAsia="Traditional Arabic"/>
          <w:lang w:val="fr-FR"/>
        </w:rPr>
        <w:t>’</w:t>
      </w:r>
      <w:r w:rsidRPr="004F1C04">
        <w:rPr>
          <w:rFonts w:eastAsia="Traditional Arabic"/>
          <w:lang w:val="fr-FR"/>
        </w:rPr>
        <w:t>enfant, au plan national pour l</w:t>
      </w:r>
      <w:r w:rsidR="00CC4D81">
        <w:rPr>
          <w:rFonts w:eastAsia="Traditional Arabic"/>
          <w:lang w:val="fr-FR"/>
        </w:rPr>
        <w:t>’</w:t>
      </w:r>
      <w:r w:rsidRPr="004F1C04">
        <w:rPr>
          <w:rFonts w:eastAsia="Traditional Arabic"/>
          <w:lang w:val="fr-FR"/>
        </w:rPr>
        <w:t>enfance (2004-2013), aux principaux thèmes de la planification stratégique, ainsi qu’au système de suivi et d</w:t>
      </w:r>
      <w:r w:rsidR="00CC4D81">
        <w:rPr>
          <w:rFonts w:eastAsia="Traditional Arabic"/>
          <w:lang w:val="fr-FR"/>
        </w:rPr>
        <w:t>’</w:t>
      </w:r>
      <w:r w:rsidRPr="004F1C04">
        <w:rPr>
          <w:rFonts w:eastAsia="Traditional Arabic"/>
          <w:lang w:val="fr-FR"/>
        </w:rPr>
        <w:t>évaluation du Conseil national des affaires familiales</w:t>
      </w:r>
      <w:r w:rsidR="00C17106">
        <w:rPr>
          <w:rFonts w:eastAsia="Traditional Arabic"/>
          <w:lang w:val="fr-FR"/>
        </w:rPr>
        <w:t>;</w:t>
      </w:r>
      <w:r w:rsidRPr="004F1C04">
        <w:rPr>
          <w:rFonts w:eastAsia="Traditional Arabic"/>
          <w:lang w:val="fr-FR"/>
        </w:rPr>
        <w:t xml:space="preserve"> tout comme il procède à la mobilisation du soutien en faveur de l</w:t>
      </w:r>
      <w:r w:rsidR="00CC4D81">
        <w:rPr>
          <w:rFonts w:eastAsia="Traditional Arabic"/>
          <w:lang w:val="fr-FR"/>
        </w:rPr>
        <w:t>’</w:t>
      </w:r>
      <w:r w:rsidRPr="004F1C04">
        <w:rPr>
          <w:rFonts w:eastAsia="Traditional Arabic"/>
          <w:lang w:val="fr-FR"/>
        </w:rPr>
        <w:t>enfance. Il convient de noter que le groupe d</w:t>
      </w:r>
      <w:r w:rsidR="00CC4D81">
        <w:rPr>
          <w:rFonts w:eastAsia="Traditional Arabic"/>
          <w:lang w:val="fr-FR"/>
        </w:rPr>
        <w:t>’</w:t>
      </w:r>
      <w:r w:rsidRPr="004F1C04">
        <w:rPr>
          <w:rFonts w:eastAsia="Traditional Arabic"/>
          <w:lang w:val="fr-FR"/>
        </w:rPr>
        <w:t>adolescents est appelé à participer, en collaboration avec le Conseil, à l</w:t>
      </w:r>
      <w:r w:rsidR="00CC4D81">
        <w:rPr>
          <w:rFonts w:eastAsia="Traditional Arabic"/>
          <w:lang w:val="fr-FR"/>
        </w:rPr>
        <w:t>’</w:t>
      </w:r>
      <w:r w:rsidRPr="004F1C04">
        <w:rPr>
          <w:rFonts w:eastAsia="Traditional Arabic"/>
          <w:lang w:val="fr-FR"/>
        </w:rPr>
        <w:t>élaboration du quatrième et du cinquième rapport de la Jordanie sur l</w:t>
      </w:r>
      <w:r w:rsidR="00CC4D81">
        <w:rPr>
          <w:rFonts w:eastAsia="Traditional Arabic"/>
          <w:lang w:val="fr-FR"/>
        </w:rPr>
        <w:t>’</w:t>
      </w:r>
      <w:r w:rsidRPr="004F1C04">
        <w:rPr>
          <w:rFonts w:eastAsia="Traditional Arabic"/>
          <w:lang w:val="fr-FR"/>
        </w:rPr>
        <w:t>application des dispositions de la Convention relative aux droits de l</w:t>
      </w:r>
      <w:r w:rsidR="00CC4D81">
        <w:rPr>
          <w:rFonts w:eastAsia="Traditional Arabic"/>
          <w:lang w:val="fr-FR"/>
        </w:rPr>
        <w:t>’</w:t>
      </w:r>
      <w:r w:rsidRPr="004F1C04">
        <w:rPr>
          <w:rFonts w:eastAsia="Traditional Arabic"/>
          <w:lang w:val="fr-FR"/>
        </w:rPr>
        <w:t>enfant, destinés à être présentés au Comité international pour les droits de l</w:t>
      </w:r>
      <w:r w:rsidR="00CC4D81">
        <w:rPr>
          <w:rFonts w:eastAsia="Traditional Arabic"/>
          <w:lang w:val="fr-FR"/>
        </w:rPr>
        <w:t>’</w:t>
      </w:r>
      <w:r w:rsidRPr="004F1C04">
        <w:rPr>
          <w:rFonts w:eastAsia="Traditional Arabic"/>
          <w:lang w:val="fr-FR"/>
        </w:rPr>
        <w:t>enfant à Genève. L</w:t>
      </w:r>
      <w:r w:rsidR="00CC4D81">
        <w:rPr>
          <w:rFonts w:eastAsia="Traditional Arabic"/>
          <w:lang w:val="fr-FR"/>
        </w:rPr>
        <w:t>’</w:t>
      </w:r>
      <w:r w:rsidRPr="004F1C04">
        <w:rPr>
          <w:rFonts w:eastAsia="Traditional Arabic"/>
          <w:lang w:val="fr-FR"/>
        </w:rPr>
        <w:t>équipe a reçu une formation aux dispositions de la Convention relative aux droits de l</w:t>
      </w:r>
      <w:r w:rsidR="00CC4D81">
        <w:rPr>
          <w:rFonts w:eastAsia="Traditional Arabic"/>
          <w:lang w:val="fr-FR"/>
        </w:rPr>
        <w:t>’</w:t>
      </w:r>
      <w:r w:rsidRPr="004F1C04">
        <w:rPr>
          <w:rFonts w:eastAsia="Traditional Arabic"/>
          <w:lang w:val="fr-FR"/>
        </w:rPr>
        <w:t>enfant, au contexte ayant présidé à son adoption, aux principaux droits abordés par les États qui l</w:t>
      </w:r>
      <w:r w:rsidR="00CC4D81">
        <w:rPr>
          <w:rFonts w:eastAsia="Traditional Arabic"/>
          <w:lang w:val="fr-FR"/>
        </w:rPr>
        <w:t>’</w:t>
      </w:r>
      <w:r w:rsidRPr="004F1C04">
        <w:rPr>
          <w:rFonts w:eastAsia="Traditional Arabic"/>
          <w:lang w:val="fr-FR"/>
        </w:rPr>
        <w:t>ont ratifiée, aux rapports périodiques et aux institutions gouvernementales et internationales, ainsi qu’aux organisations de la société civile agissant dans le domaine des droits de l</w:t>
      </w:r>
      <w:r w:rsidR="00CC4D81">
        <w:rPr>
          <w:rFonts w:eastAsia="Traditional Arabic"/>
          <w:lang w:val="fr-FR"/>
        </w:rPr>
        <w:t>’</w:t>
      </w:r>
      <w:r w:rsidRPr="004F1C04">
        <w:rPr>
          <w:rFonts w:eastAsia="Traditional Arabic"/>
          <w:lang w:val="fr-FR"/>
        </w:rPr>
        <w:t>enfant. La législation nationale touchant aux questions relatives à l</w:t>
      </w:r>
      <w:r w:rsidR="00CC4D81">
        <w:rPr>
          <w:rFonts w:eastAsia="Traditional Arabic"/>
          <w:lang w:val="fr-FR"/>
        </w:rPr>
        <w:t>’</w:t>
      </w:r>
      <w:r w:rsidRPr="004F1C04">
        <w:rPr>
          <w:rFonts w:eastAsia="Traditional Arabic"/>
          <w:lang w:val="fr-FR"/>
        </w:rPr>
        <w:t>enfance et à la jeunesse a également fait l</w:t>
      </w:r>
      <w:r w:rsidR="00CC4D81">
        <w:rPr>
          <w:rFonts w:eastAsia="Traditional Arabic"/>
          <w:lang w:val="fr-FR"/>
        </w:rPr>
        <w:t>’</w:t>
      </w:r>
      <w:r w:rsidRPr="004F1C04">
        <w:rPr>
          <w:rFonts w:eastAsia="Traditional Arabic"/>
          <w:lang w:val="fr-FR"/>
        </w:rPr>
        <w:t>objet de discussions.</w:t>
      </w:r>
    </w:p>
    <w:p w:rsidR="00E3787F" w:rsidRPr="004F1C04" w:rsidRDefault="00FC32B3" w:rsidP="004F1C04">
      <w:pPr>
        <w:pStyle w:val="SingleTxtG"/>
        <w:rPr>
          <w:lang w:val="fr-FR"/>
        </w:rPr>
      </w:pPr>
      <w:r>
        <w:rPr>
          <w:rFonts w:eastAsia="Traditional Arabic"/>
          <w:lang w:val="fr-FR"/>
        </w:rPr>
        <w:t>20.</w:t>
      </w:r>
      <w:r>
        <w:rPr>
          <w:rFonts w:eastAsia="Traditional Arabic"/>
          <w:lang w:val="fr-FR"/>
        </w:rPr>
        <w:tab/>
        <w:t>L</w:t>
      </w:r>
      <w:r w:rsidR="00CC4D81">
        <w:rPr>
          <w:rFonts w:eastAsia="Traditional Arabic"/>
          <w:lang w:val="fr-FR"/>
        </w:rPr>
        <w:t>’</w:t>
      </w:r>
      <w:r>
        <w:rPr>
          <w:rFonts w:eastAsia="Traditional Arabic"/>
          <w:lang w:val="fr-FR"/>
        </w:rPr>
        <w:t>Initiative «</w:t>
      </w:r>
      <w:r w:rsidR="00E3787F" w:rsidRPr="004F1C04">
        <w:rPr>
          <w:rFonts w:eastAsia="Traditional Arabic"/>
          <w:lang w:val="fr-FR"/>
        </w:rPr>
        <w:t xml:space="preserve">Générations pour la paix» est une initiative mondiale lancée en 2007 à partir de la Jordanie par un membre du Comité international olympique, le Prince Faysal Bin Al Hussein. Il s’agit de former les jeunes les plus talentueux dans le monde entier à l’union par le biais du sport pour rassembler les personnes vivant dans les communautés affectées par les conflits. Ainsi, environ 350 personnes diplômées issues de 31 pays ont participé jusque là à des stages d’une dizaine de jours et le programme a touché dans son ensemble plus de 45 000 enfants. </w:t>
      </w:r>
    </w:p>
    <w:p w:rsidR="00E3787F" w:rsidRPr="004F1C04" w:rsidRDefault="00E3787F" w:rsidP="004F1C04">
      <w:pPr>
        <w:pStyle w:val="SingleTxtG"/>
        <w:rPr>
          <w:lang w:val="fr-FR"/>
        </w:rPr>
      </w:pPr>
      <w:r w:rsidRPr="004F1C04">
        <w:rPr>
          <w:rFonts w:eastAsia="Traditional Arabic"/>
          <w:lang w:val="fr-FR"/>
        </w:rPr>
        <w:t>21.</w:t>
      </w:r>
      <w:r w:rsidRPr="004F1C04">
        <w:rPr>
          <w:rFonts w:eastAsia="Traditional Arabic"/>
          <w:lang w:val="fr-FR"/>
        </w:rPr>
        <w:tab/>
        <w:t>Le programme de formation de l</w:t>
      </w:r>
      <w:r w:rsidR="00CC4D81">
        <w:rPr>
          <w:rFonts w:eastAsia="Traditional Arabic"/>
          <w:lang w:val="fr-FR"/>
        </w:rPr>
        <w:t>’</w:t>
      </w:r>
      <w:r w:rsidRPr="004F1C04">
        <w:rPr>
          <w:rFonts w:eastAsia="Traditional Arabic"/>
          <w:lang w:val="fr-FR"/>
        </w:rPr>
        <w:t>Initiative vise la consolidation de la paix, en mettant l</w:t>
      </w:r>
      <w:r w:rsidR="00CC4D81">
        <w:rPr>
          <w:rFonts w:eastAsia="Traditional Arabic"/>
          <w:lang w:val="fr-FR"/>
        </w:rPr>
        <w:t>’</w:t>
      </w:r>
      <w:r w:rsidRPr="004F1C04">
        <w:rPr>
          <w:rFonts w:eastAsia="Traditional Arabic"/>
          <w:lang w:val="fr-FR"/>
        </w:rPr>
        <w:t>accent sur la nécessité de renforcer la tolérance et la coexistence, afin que les jeunes vivant dans les communautés affectées par des conflits, apprennent à opposer à chaque pensée de discorde une plus forte pensée de paix. L</w:t>
      </w:r>
      <w:r w:rsidR="00CC4D81">
        <w:rPr>
          <w:rFonts w:eastAsia="Traditional Arabic"/>
          <w:lang w:val="fr-FR"/>
        </w:rPr>
        <w:t>’</w:t>
      </w:r>
      <w:r w:rsidRPr="004F1C04">
        <w:rPr>
          <w:rFonts w:eastAsia="Traditional Arabic"/>
          <w:lang w:val="fr-FR"/>
        </w:rPr>
        <w:t>Initiative «Générations pour la paix» a réussi à rassembler toutes les personnes qui partagent les mêmes valeurs et les partenaires convaincus du fait que la cohésion est nécessaire pour éviter les divisions et que l</w:t>
      </w:r>
      <w:r w:rsidR="00CC4D81">
        <w:rPr>
          <w:rFonts w:eastAsia="Traditional Arabic"/>
          <w:lang w:val="fr-FR"/>
        </w:rPr>
        <w:t>’</w:t>
      </w:r>
      <w:r w:rsidRPr="004F1C04">
        <w:rPr>
          <w:rFonts w:eastAsia="Traditional Arabic"/>
          <w:lang w:val="fr-FR"/>
        </w:rPr>
        <w:t>éducation à la paix est l</w:t>
      </w:r>
      <w:r w:rsidR="00CC4D81">
        <w:rPr>
          <w:rFonts w:eastAsia="Traditional Arabic"/>
          <w:lang w:val="fr-FR"/>
        </w:rPr>
        <w:t>’</w:t>
      </w:r>
      <w:r w:rsidRPr="004F1C04">
        <w:rPr>
          <w:rFonts w:eastAsia="Traditional Arabic"/>
          <w:lang w:val="fr-FR"/>
        </w:rPr>
        <w:t>affaire de tous.</w:t>
      </w:r>
    </w:p>
    <w:p w:rsidR="00E3787F" w:rsidRPr="004F1C04" w:rsidRDefault="00E3787F" w:rsidP="004F1C04">
      <w:pPr>
        <w:pStyle w:val="SingleTxtG"/>
        <w:rPr>
          <w:lang w:val="fr-FR"/>
        </w:rPr>
      </w:pPr>
      <w:r w:rsidRPr="004F1C04">
        <w:rPr>
          <w:rFonts w:eastAsia="Traditional Arabic"/>
          <w:lang w:val="fr-FR"/>
        </w:rPr>
        <w:t>22.</w:t>
      </w:r>
      <w:r w:rsidRPr="004F1C04">
        <w:rPr>
          <w:rFonts w:eastAsia="Traditional Arabic"/>
          <w:lang w:val="fr-FR"/>
        </w:rPr>
        <w:tab/>
        <w:t>L</w:t>
      </w:r>
      <w:r w:rsidR="00CC4D81">
        <w:rPr>
          <w:rFonts w:eastAsia="Traditional Arabic"/>
          <w:lang w:val="fr-FR"/>
        </w:rPr>
        <w:t>’</w:t>
      </w:r>
      <w:r w:rsidRPr="004F1C04">
        <w:rPr>
          <w:rFonts w:eastAsia="Traditional Arabic"/>
          <w:lang w:val="fr-FR"/>
        </w:rPr>
        <w:t>Initiative vise à assurer la formation des formateurs, afin qu</w:t>
      </w:r>
      <w:r w:rsidR="0072557F">
        <w:rPr>
          <w:rFonts w:eastAsia="Traditional Arabic"/>
          <w:lang w:val="fr-FR"/>
        </w:rPr>
        <w:t>’</w:t>
      </w:r>
      <w:r w:rsidRPr="004F1C04">
        <w:rPr>
          <w:rFonts w:eastAsia="Traditional Arabic"/>
          <w:lang w:val="fr-FR"/>
        </w:rPr>
        <w:t>il puissent former à leur tour d</w:t>
      </w:r>
      <w:r w:rsidR="0072557F">
        <w:rPr>
          <w:rFonts w:eastAsia="Traditional Arabic"/>
          <w:lang w:val="fr-FR"/>
        </w:rPr>
        <w:t>’</w:t>
      </w:r>
      <w:r w:rsidRPr="004F1C04">
        <w:rPr>
          <w:rFonts w:eastAsia="Traditional Arabic"/>
          <w:lang w:val="fr-FR"/>
        </w:rPr>
        <w:t>autres formateurs capables d</w:t>
      </w:r>
      <w:r w:rsidR="00CC4D81">
        <w:rPr>
          <w:rFonts w:eastAsia="Traditional Arabic"/>
          <w:lang w:val="fr-FR"/>
        </w:rPr>
        <w:t>’</w:t>
      </w:r>
      <w:r w:rsidRPr="004F1C04">
        <w:rPr>
          <w:rFonts w:eastAsia="Traditional Arabic"/>
          <w:lang w:val="fr-FR"/>
        </w:rPr>
        <w:t>élaborer des programmes sportifs dédiés aux enfants et de les mettre en œuvre à travers des ateliers, des séminaires, des expositions, des débats, des jeux de rôles et des conférences traitant de plusieurs valeurs sportives telles que le mentorat, l</w:t>
      </w:r>
      <w:r w:rsidR="00CC4D81">
        <w:rPr>
          <w:rFonts w:eastAsia="Traditional Arabic"/>
          <w:lang w:val="fr-FR"/>
        </w:rPr>
        <w:t>’</w:t>
      </w:r>
      <w:r w:rsidRPr="004F1C04">
        <w:rPr>
          <w:rFonts w:eastAsia="Traditional Arabic"/>
          <w:lang w:val="fr-FR"/>
        </w:rPr>
        <w:t>esprit d</w:t>
      </w:r>
      <w:r w:rsidR="0072557F">
        <w:rPr>
          <w:rFonts w:eastAsia="Traditional Arabic"/>
          <w:lang w:val="fr-FR"/>
        </w:rPr>
        <w:t>’</w:t>
      </w:r>
      <w:r w:rsidRPr="004F1C04">
        <w:rPr>
          <w:rFonts w:eastAsia="Traditional Arabic"/>
          <w:lang w:val="fr-FR"/>
        </w:rPr>
        <w:t>équipe, le dialogue, la tolérance, le respect, la maîtrise de soi, l</w:t>
      </w:r>
      <w:r w:rsidR="00CC4D81">
        <w:rPr>
          <w:rFonts w:eastAsia="Traditional Arabic"/>
          <w:lang w:val="fr-FR"/>
        </w:rPr>
        <w:t>’</w:t>
      </w:r>
      <w:r w:rsidRPr="004F1C04">
        <w:rPr>
          <w:rFonts w:eastAsia="Traditional Arabic"/>
          <w:lang w:val="fr-FR"/>
        </w:rPr>
        <w:t>éducation à la paix, le travail avec les enfants et les jeunes, la confiance en soi, le sport, la religion et la politique.</w:t>
      </w:r>
    </w:p>
    <w:p w:rsidR="00E3787F" w:rsidRPr="004F1C04" w:rsidRDefault="00E3787F" w:rsidP="004F1C04">
      <w:pPr>
        <w:pStyle w:val="SingleTxtG"/>
        <w:rPr>
          <w:lang w:val="fr-FR"/>
        </w:rPr>
      </w:pPr>
      <w:r w:rsidRPr="004F1C04">
        <w:rPr>
          <w:rFonts w:eastAsia="Traditional Arabic"/>
          <w:lang w:val="fr-FR"/>
        </w:rPr>
        <w:t>23.</w:t>
      </w:r>
      <w:r w:rsidRPr="004F1C04">
        <w:rPr>
          <w:rFonts w:eastAsia="Traditional Arabic"/>
          <w:lang w:val="fr-FR"/>
        </w:rPr>
        <w:tab/>
        <w:t xml:space="preserve"> Les pionniers de l</w:t>
      </w:r>
      <w:r w:rsidR="00CC4D81">
        <w:rPr>
          <w:rFonts w:eastAsia="Traditional Arabic"/>
          <w:lang w:val="fr-FR"/>
        </w:rPr>
        <w:t>’</w:t>
      </w:r>
      <w:r w:rsidRPr="004F1C04">
        <w:rPr>
          <w:rFonts w:eastAsia="Traditional Arabic"/>
          <w:lang w:val="fr-FR"/>
        </w:rPr>
        <w:t>Initiative «Générations pour la paix» ambitionnent d</w:t>
      </w:r>
      <w:r w:rsidR="00CC4D81">
        <w:rPr>
          <w:rFonts w:eastAsia="Traditional Arabic"/>
          <w:lang w:val="fr-FR"/>
        </w:rPr>
        <w:t>’</w:t>
      </w:r>
      <w:r w:rsidRPr="004F1C04">
        <w:rPr>
          <w:rFonts w:eastAsia="Traditional Arabic"/>
          <w:lang w:val="fr-FR"/>
        </w:rPr>
        <w:t>assurer chaque année à d</w:t>
      </w:r>
      <w:r w:rsidR="00CC4D81">
        <w:rPr>
          <w:rFonts w:eastAsia="Traditional Arabic"/>
          <w:lang w:val="fr-FR"/>
        </w:rPr>
        <w:t>’</w:t>
      </w:r>
      <w:r w:rsidRPr="004F1C04">
        <w:rPr>
          <w:rFonts w:eastAsia="Traditional Arabic"/>
          <w:lang w:val="fr-FR"/>
        </w:rPr>
        <w:t>autres enfants une formation à la paix, à promouvoir cette initiative et à soutenir d</w:t>
      </w:r>
      <w:r w:rsidR="00CC4D81">
        <w:rPr>
          <w:rFonts w:eastAsia="Traditional Arabic"/>
          <w:lang w:val="fr-FR"/>
        </w:rPr>
        <w:t>’</w:t>
      </w:r>
      <w:r w:rsidRPr="004F1C04">
        <w:rPr>
          <w:rFonts w:eastAsia="Traditional Arabic"/>
          <w:lang w:val="fr-FR"/>
        </w:rPr>
        <w:t>autres pionniers de la paix.</w:t>
      </w:r>
    </w:p>
    <w:p w:rsidR="00E3787F" w:rsidRPr="004F1C04" w:rsidRDefault="00E3787F" w:rsidP="004F1C04">
      <w:pPr>
        <w:pStyle w:val="HChG"/>
      </w:pPr>
      <w:bookmarkStart w:id="26" w:name="_Toc350173950"/>
      <w:r w:rsidRPr="004F1C04">
        <w:tab/>
      </w:r>
      <w:bookmarkStart w:id="27" w:name="_Toc358307243"/>
      <w:r w:rsidRPr="004F1C04">
        <w:t>IV.</w:t>
      </w:r>
      <w:r w:rsidR="004F1C04">
        <w:tab/>
      </w:r>
      <w:r w:rsidRPr="004F1C04">
        <w:t>Prévention</w:t>
      </w:r>
      <w:bookmarkEnd w:id="26"/>
      <w:bookmarkEnd w:id="27"/>
    </w:p>
    <w:p w:rsidR="00E3787F" w:rsidRPr="004F1C04" w:rsidRDefault="00E3787F" w:rsidP="004F1C04">
      <w:pPr>
        <w:pStyle w:val="H1G"/>
      </w:pPr>
      <w:r w:rsidRPr="004F1C04">
        <w:tab/>
      </w:r>
      <w:bookmarkStart w:id="28" w:name="_Toc350173951"/>
      <w:bookmarkStart w:id="29" w:name="_Toc358307244"/>
      <w:r w:rsidRPr="004F1C04">
        <w:t>A.</w:t>
      </w:r>
      <w:r w:rsidR="004F1C04">
        <w:tab/>
      </w:r>
      <w:r w:rsidRPr="004F1C04">
        <w:t>Recrutement</w:t>
      </w:r>
      <w:bookmarkEnd w:id="28"/>
      <w:bookmarkEnd w:id="29"/>
    </w:p>
    <w:p w:rsidR="00E3787F" w:rsidRPr="004F1C04" w:rsidRDefault="00E3787F" w:rsidP="004F1C04">
      <w:pPr>
        <w:pStyle w:val="H23G"/>
        <w:rPr>
          <w:lang w:val="fr-FR"/>
        </w:rPr>
      </w:pPr>
      <w:r w:rsidRPr="004F1C04">
        <w:rPr>
          <w:rFonts w:eastAsia="Traditional Arabic"/>
          <w:lang w:val="fr-FR"/>
        </w:rPr>
        <w:tab/>
      </w:r>
      <w:r w:rsidRPr="004F1C04">
        <w:rPr>
          <w:rFonts w:eastAsia="Traditional Arabic"/>
          <w:lang w:val="fr-FR"/>
        </w:rPr>
        <w:tab/>
        <w:t xml:space="preserve">Enrôlement obligatoire (service militaire) </w:t>
      </w:r>
    </w:p>
    <w:p w:rsidR="00E3787F" w:rsidRPr="004F1C04" w:rsidRDefault="00E3787F" w:rsidP="004F1C04">
      <w:pPr>
        <w:pStyle w:val="SingleTxtG"/>
        <w:rPr>
          <w:lang w:val="fr-FR"/>
        </w:rPr>
      </w:pPr>
      <w:r w:rsidRPr="004F1C04">
        <w:rPr>
          <w:rFonts w:eastAsia="Traditional Arabic"/>
          <w:lang w:val="fr-FR"/>
        </w:rPr>
        <w:t>24.</w:t>
      </w:r>
      <w:r w:rsidRPr="004F1C04">
        <w:rPr>
          <w:rFonts w:eastAsia="Traditional Arabic"/>
          <w:lang w:val="fr-FR"/>
        </w:rPr>
        <w:tab/>
        <w:t>La conscription a été reportée jusqu</w:t>
      </w:r>
      <w:r w:rsidR="00CC4D81">
        <w:rPr>
          <w:rFonts w:eastAsia="Traditional Arabic"/>
          <w:lang w:val="fr-FR"/>
        </w:rPr>
        <w:t>’</w:t>
      </w:r>
      <w:r w:rsidRPr="004F1C04">
        <w:rPr>
          <w:rFonts w:eastAsia="Traditional Arabic"/>
          <w:lang w:val="fr-FR"/>
        </w:rPr>
        <w:t>à nouvel ordre pour manque de capacités, conformément à la décision du Commandement général des forces armées jordaniennes, édictée en vertu des dispositions de l</w:t>
      </w:r>
      <w:r w:rsidR="00CC4D81">
        <w:rPr>
          <w:rFonts w:eastAsia="Traditional Arabic"/>
          <w:lang w:val="fr-FR"/>
        </w:rPr>
        <w:t>’</w:t>
      </w:r>
      <w:r w:rsidRPr="004F1C04">
        <w:rPr>
          <w:rFonts w:eastAsia="Traditional Arabic"/>
          <w:lang w:val="fr-FR"/>
        </w:rPr>
        <w:t xml:space="preserve">article 9, a), «5», de la loi </w:t>
      </w:r>
      <w:r w:rsidR="00CC4D81">
        <w:rPr>
          <w:rFonts w:eastAsia="Traditional Arabic"/>
          <w:lang w:val="fr-FR" w:bidi="ar-JO"/>
        </w:rPr>
        <w:t>n</w:t>
      </w:r>
      <w:r w:rsidR="00CC4D81">
        <w:rPr>
          <w:rFonts w:eastAsia="Traditional Arabic"/>
          <w:vertAlign w:val="superscript"/>
          <w:lang w:val="fr-FR" w:bidi="ar-JO"/>
        </w:rPr>
        <w:t>o</w:t>
      </w:r>
      <w:r w:rsidRPr="004F1C04">
        <w:rPr>
          <w:rFonts w:eastAsia="Traditional Arabic"/>
          <w:lang w:val="fr-FR"/>
        </w:rPr>
        <w:t xml:space="preserve"> 23 de 1986 relative au service national et à la réserve militaire, qui prévoient ce qui suit</w:t>
      </w:r>
      <w:r w:rsidR="00C17106">
        <w:rPr>
          <w:rFonts w:eastAsia="Traditional Arabic"/>
          <w:lang w:val="fr-FR"/>
        </w:rPr>
        <w:t>:</w:t>
      </w:r>
      <w:r w:rsidRPr="004F1C04">
        <w:rPr>
          <w:rFonts w:eastAsia="Traditional Arabic"/>
          <w:lang w:val="fr-FR"/>
        </w:rPr>
        <w:t xml:space="preserve"> «1. Le Commandement général des forces armées jordaniennes a décidé de reporter la convocation des personnes appelés récemment pour accomplir le service national en application de la décision rendue le 1</w:t>
      </w:r>
      <w:r w:rsidRPr="00CC4D81">
        <w:rPr>
          <w:rFonts w:eastAsia="Traditional Arabic"/>
          <w:vertAlign w:val="superscript"/>
          <w:lang w:val="fr-FR"/>
        </w:rPr>
        <w:t>er</w:t>
      </w:r>
      <w:r w:rsidRPr="004F1C04">
        <w:rPr>
          <w:rFonts w:eastAsia="Traditional Arabic"/>
          <w:lang w:val="fr-FR"/>
        </w:rPr>
        <w:t xml:space="preserve"> octobre 2007 pour manque de capacités, et ce, jusqu</w:t>
      </w:r>
      <w:r w:rsidR="0072557F">
        <w:rPr>
          <w:rFonts w:eastAsia="Traditional Arabic"/>
          <w:lang w:val="fr-FR"/>
        </w:rPr>
        <w:t>’</w:t>
      </w:r>
      <w:r w:rsidRPr="004F1C04">
        <w:rPr>
          <w:rFonts w:eastAsia="Traditional Arabic"/>
          <w:lang w:val="fr-FR"/>
        </w:rPr>
        <w:t>à nouvel ordre. 2. En application de la présente décision, le Département de la mobilisation et de l</w:t>
      </w:r>
      <w:r w:rsidR="00CC4D81">
        <w:rPr>
          <w:rFonts w:eastAsia="Traditional Arabic"/>
          <w:lang w:val="fr-FR"/>
        </w:rPr>
        <w:t>’</w:t>
      </w:r>
      <w:r w:rsidRPr="004F1C04">
        <w:rPr>
          <w:rFonts w:eastAsia="Traditional Arabic"/>
          <w:lang w:val="fr-FR"/>
        </w:rPr>
        <w:t>armée populaire est chargé de la mise en œuvre des dispositions relatives au report de la conscription».</w:t>
      </w:r>
    </w:p>
    <w:p w:rsidR="00E3787F" w:rsidRPr="004F1C04" w:rsidRDefault="00E3787F" w:rsidP="004F1C04">
      <w:pPr>
        <w:pStyle w:val="H23G"/>
        <w:rPr>
          <w:lang w:val="fr-FR"/>
        </w:rPr>
      </w:pPr>
      <w:r w:rsidRPr="004F1C04">
        <w:rPr>
          <w:rFonts w:eastAsia="Traditional Arabic"/>
          <w:lang w:val="fr-FR"/>
        </w:rPr>
        <w:tab/>
      </w:r>
      <w:r w:rsidRPr="004F1C04">
        <w:rPr>
          <w:rFonts w:eastAsia="Traditional Arabic"/>
          <w:lang w:val="fr-FR"/>
        </w:rPr>
        <w:tab/>
        <w:t>Enrôlement volontaire</w:t>
      </w:r>
    </w:p>
    <w:p w:rsidR="00E3787F" w:rsidRPr="004F1C04" w:rsidRDefault="00E3787F" w:rsidP="004F1C04">
      <w:pPr>
        <w:pStyle w:val="SingleTxtG"/>
        <w:rPr>
          <w:lang w:val="fr-FR"/>
        </w:rPr>
      </w:pPr>
      <w:r w:rsidRPr="004F1C04">
        <w:rPr>
          <w:rFonts w:eastAsia="Traditional Arabic"/>
          <w:lang w:val="fr-FR"/>
        </w:rPr>
        <w:t>25.</w:t>
      </w:r>
      <w:r w:rsidRPr="004F1C04">
        <w:rPr>
          <w:rFonts w:eastAsia="Traditional Arabic"/>
          <w:lang w:val="fr-FR"/>
        </w:rPr>
        <w:tab/>
        <w:t>L</w:t>
      </w:r>
      <w:r w:rsidR="00CC4D81">
        <w:rPr>
          <w:rFonts w:eastAsia="Traditional Arabic"/>
          <w:lang w:val="fr-FR"/>
        </w:rPr>
        <w:t>’</w:t>
      </w:r>
      <w:r w:rsidRPr="004F1C04">
        <w:rPr>
          <w:rFonts w:eastAsia="Traditional Arabic"/>
          <w:lang w:val="fr-FR"/>
        </w:rPr>
        <w:t>article 12, 2), de la loi sur la sécurité publique dispose que tous ceux qui souhaitent postuler à un poste d</w:t>
      </w:r>
      <w:r w:rsidR="0072557F">
        <w:rPr>
          <w:rFonts w:eastAsia="Traditional Arabic"/>
          <w:lang w:val="fr-FR"/>
        </w:rPr>
        <w:t>’</w:t>
      </w:r>
      <w:r w:rsidRPr="004F1C04">
        <w:rPr>
          <w:rFonts w:eastAsia="Traditional Arabic"/>
          <w:lang w:val="fr-FR"/>
        </w:rPr>
        <w:t xml:space="preserve">officier de la sécurité publique, doivent être âgés de </w:t>
      </w:r>
      <w:r w:rsidR="00CC4D81">
        <w:rPr>
          <w:rFonts w:eastAsia="Traditional Arabic"/>
          <w:lang w:val="fr-FR"/>
        </w:rPr>
        <w:t>17 an</w:t>
      </w:r>
      <w:r w:rsidRPr="004F1C04">
        <w:rPr>
          <w:rFonts w:eastAsia="Traditional Arabic"/>
          <w:lang w:val="fr-FR"/>
        </w:rPr>
        <w:t xml:space="preserve">s au moins et de </w:t>
      </w:r>
      <w:r w:rsidR="00CC4D81">
        <w:rPr>
          <w:rFonts w:eastAsia="Traditional Arabic"/>
          <w:lang w:val="fr-FR"/>
        </w:rPr>
        <w:t>27</w:t>
      </w:r>
      <w:r w:rsidRPr="004F1C04">
        <w:rPr>
          <w:rFonts w:eastAsia="Traditional Arabic"/>
          <w:lang w:val="fr-FR"/>
        </w:rPr>
        <w:t xml:space="preserve"> ans au plus et prouver leur âge au moyen d</w:t>
      </w:r>
      <w:r w:rsidR="00CC4D81">
        <w:rPr>
          <w:rFonts w:eastAsia="Traditional Arabic"/>
          <w:lang w:val="fr-FR"/>
        </w:rPr>
        <w:t>’</w:t>
      </w:r>
      <w:r w:rsidRPr="004F1C04">
        <w:rPr>
          <w:rFonts w:eastAsia="Traditional Arabic"/>
          <w:lang w:val="fr-FR"/>
        </w:rPr>
        <w:t>un certificat de naissance. Lorsqu</w:t>
      </w:r>
      <w:r w:rsidR="00CC4D81">
        <w:rPr>
          <w:rFonts w:eastAsia="Traditional Arabic"/>
          <w:lang w:val="fr-FR"/>
        </w:rPr>
        <w:t>’</w:t>
      </w:r>
      <w:r w:rsidRPr="004F1C04">
        <w:rPr>
          <w:rFonts w:eastAsia="Traditional Arabic"/>
          <w:lang w:val="fr-FR"/>
        </w:rPr>
        <w:t>il y a un doute sur l</w:t>
      </w:r>
      <w:r w:rsidR="00CC4D81">
        <w:rPr>
          <w:rFonts w:eastAsia="Traditional Arabic"/>
          <w:lang w:val="fr-FR"/>
        </w:rPr>
        <w:t>’</w:t>
      </w:r>
      <w:r w:rsidRPr="004F1C04">
        <w:rPr>
          <w:rFonts w:eastAsia="Traditional Arabic"/>
          <w:lang w:val="fr-FR"/>
        </w:rPr>
        <w:t>âge du candidat, celui-ci est estimé par le comité médical militaire et lorsque le jour de naissance d’un officier est inconnu, le premier janvier de l</w:t>
      </w:r>
      <w:r w:rsidR="0072557F">
        <w:rPr>
          <w:rFonts w:eastAsia="Traditional Arabic"/>
          <w:lang w:val="fr-FR"/>
        </w:rPr>
        <w:t>’</w:t>
      </w:r>
      <w:r w:rsidRPr="004F1C04">
        <w:rPr>
          <w:rFonts w:eastAsia="Traditional Arabic"/>
          <w:lang w:val="fr-FR"/>
        </w:rPr>
        <w:t xml:space="preserve">année de sa naissance est présumé être son jour anniversaire. </w:t>
      </w:r>
    </w:p>
    <w:p w:rsidR="00E3787F" w:rsidRPr="004F1C04" w:rsidRDefault="00E3787F" w:rsidP="004F1C04">
      <w:pPr>
        <w:pStyle w:val="SingleTxtG"/>
        <w:rPr>
          <w:lang w:val="fr-FR"/>
        </w:rPr>
      </w:pPr>
      <w:r w:rsidRPr="004F1C04">
        <w:rPr>
          <w:rFonts w:eastAsia="Traditional Arabic"/>
          <w:lang w:val="fr-FR"/>
        </w:rPr>
        <w:t>26.</w:t>
      </w:r>
      <w:r w:rsidRPr="004F1C04">
        <w:rPr>
          <w:rFonts w:eastAsia="Traditional Arabic"/>
          <w:lang w:val="fr-FR"/>
        </w:rPr>
        <w:tab/>
        <w:t>L</w:t>
      </w:r>
      <w:r w:rsidR="005D20D6">
        <w:rPr>
          <w:rFonts w:eastAsia="Traditional Arabic"/>
          <w:lang w:val="fr-FR"/>
        </w:rPr>
        <w:t>’</w:t>
      </w:r>
      <w:r w:rsidRPr="004F1C04">
        <w:rPr>
          <w:rFonts w:eastAsia="Traditional Arabic"/>
          <w:lang w:val="fr-FR"/>
        </w:rPr>
        <w:t>article 27 de la loi sur la défense civile dispose ce qui suit</w:t>
      </w:r>
      <w:r w:rsidR="00C17106">
        <w:rPr>
          <w:rFonts w:eastAsia="Traditional Arabic"/>
          <w:lang w:val="fr-FR"/>
        </w:rPr>
        <w:t>:</w:t>
      </w:r>
      <w:r w:rsidRPr="004F1C04">
        <w:rPr>
          <w:rFonts w:eastAsia="Traditional Arabic"/>
          <w:lang w:val="fr-FR"/>
        </w:rPr>
        <w:t xml:space="preserve"> «Dans les cas autres que ceux prévus par la présente loi et par les règlements édictés en vertu de celle-ci, la Direction générale est soumise aux dispositions des lois et règlements relatifs à la sécurité publique en vigueur et le Directeur général exerce les prérogatives de directeur général de la sécurité publique visées par les lois et règlements régissant les activités de la Direction générale».</w:t>
      </w:r>
    </w:p>
    <w:p w:rsidR="00E3787F" w:rsidRPr="004F1C04" w:rsidRDefault="00E3787F" w:rsidP="004F1C04">
      <w:pPr>
        <w:pStyle w:val="SingleTxtG"/>
        <w:rPr>
          <w:lang w:val="fr-FR"/>
        </w:rPr>
      </w:pPr>
      <w:r w:rsidRPr="004F1C04">
        <w:rPr>
          <w:rFonts w:eastAsia="Traditional Arabic"/>
          <w:lang w:val="fr-FR"/>
        </w:rPr>
        <w:t>27.</w:t>
      </w:r>
      <w:r w:rsidRPr="004F1C04">
        <w:rPr>
          <w:rFonts w:eastAsia="Traditional Arabic"/>
          <w:lang w:val="fr-FR"/>
        </w:rPr>
        <w:tab/>
        <w:t>L</w:t>
      </w:r>
      <w:r w:rsidR="005D20D6">
        <w:rPr>
          <w:rFonts w:eastAsia="Traditional Arabic"/>
          <w:lang w:val="fr-FR"/>
        </w:rPr>
        <w:t>’</w:t>
      </w:r>
      <w:r w:rsidRPr="004F1C04">
        <w:rPr>
          <w:rFonts w:eastAsia="Traditional Arabic"/>
          <w:lang w:val="fr-FR"/>
        </w:rPr>
        <w:t>article 12 de la loi sur la gendarmerie dispose ce qui suit</w:t>
      </w:r>
      <w:r w:rsidR="00C17106">
        <w:rPr>
          <w:rFonts w:eastAsia="Traditional Arabic"/>
          <w:lang w:val="fr-FR"/>
        </w:rPr>
        <w:t>:</w:t>
      </w:r>
      <w:r w:rsidRPr="004F1C04">
        <w:rPr>
          <w:rFonts w:eastAsia="Traditional Arabic"/>
          <w:lang w:val="fr-FR"/>
        </w:rPr>
        <w:t xml:space="preserve"> «a) Dans les cas autres que ceux prévus par la présente loi, ainsi que par les règlements et instructions édictés en vertu de celle-ci, les membres de la Direction générale sont soumis aux lois, règlements et procédures applicables aux membres des forces de sécurité publique. b) Aux fins d</w:t>
      </w:r>
      <w:r w:rsidR="005D20D6">
        <w:rPr>
          <w:rFonts w:eastAsia="Traditional Arabic"/>
          <w:lang w:val="fr-FR"/>
        </w:rPr>
        <w:t>’</w:t>
      </w:r>
      <w:r w:rsidRPr="004F1C04">
        <w:rPr>
          <w:rFonts w:eastAsia="Traditional Arabic"/>
          <w:lang w:val="fr-FR"/>
        </w:rPr>
        <w:t>application des dispositions du paragraphe a) du présent article, les mots</w:t>
      </w:r>
      <w:r w:rsidR="00C17106">
        <w:rPr>
          <w:rFonts w:eastAsia="Traditional Arabic"/>
          <w:lang w:val="fr-FR"/>
        </w:rPr>
        <w:t>:</w:t>
      </w:r>
      <w:r w:rsidRPr="004F1C04">
        <w:rPr>
          <w:rFonts w:eastAsia="Traditional Arabic"/>
          <w:lang w:val="fr-FR"/>
        </w:rPr>
        <w:t xml:space="preserve"> «autorité», «directeur» et «tribunal de police» ou tout autre terme ou expression similaire, sont remplacés, respectivement, partout où ils apparaissent dans la loi sur la sécurité publique, par les termes</w:t>
      </w:r>
      <w:r w:rsidR="00C17106">
        <w:rPr>
          <w:rFonts w:eastAsia="Traditional Arabic"/>
          <w:lang w:val="fr-FR"/>
        </w:rPr>
        <w:t>:</w:t>
      </w:r>
      <w:r w:rsidRPr="004F1C04">
        <w:rPr>
          <w:rFonts w:eastAsia="Traditional Arabic"/>
          <w:lang w:val="fr-FR"/>
        </w:rPr>
        <w:t xml:space="preserve"> «Direction générale de la gendarmerie», «Directeur général de la Direction générale» et «tribunal de la gendarmerie».</w:t>
      </w:r>
      <w:r w:rsidR="00C04FF8">
        <w:rPr>
          <w:rFonts w:eastAsia="Traditional Arabic"/>
          <w:lang w:val="fr-FR"/>
        </w:rPr>
        <w:t>»</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Documents requis pour s</w:t>
      </w:r>
      <w:r w:rsidR="005D20D6">
        <w:rPr>
          <w:rFonts w:eastAsia="Traditional Arabic"/>
          <w:lang w:val="fr-FR"/>
        </w:rPr>
        <w:t>’</w:t>
      </w:r>
      <w:r w:rsidRPr="004F1C04">
        <w:rPr>
          <w:rFonts w:eastAsia="Traditional Arabic"/>
          <w:lang w:val="fr-FR"/>
        </w:rPr>
        <w:t>assurer de l</w:t>
      </w:r>
      <w:r w:rsidR="005D20D6">
        <w:rPr>
          <w:rFonts w:eastAsia="Traditional Arabic"/>
          <w:lang w:val="fr-FR"/>
        </w:rPr>
        <w:t>’</w:t>
      </w:r>
      <w:r w:rsidRPr="004F1C04">
        <w:rPr>
          <w:rFonts w:eastAsia="Traditional Arabic"/>
          <w:lang w:val="fr-FR"/>
        </w:rPr>
        <w:t xml:space="preserve">âge des engagés dans le cadre de la conscription obligatoire et volontaire </w:t>
      </w:r>
    </w:p>
    <w:p w:rsidR="00E3787F" w:rsidRPr="004F1C04" w:rsidRDefault="00E3787F" w:rsidP="0077123A">
      <w:pPr>
        <w:pStyle w:val="SingleTxtG"/>
        <w:rPr>
          <w:lang w:val="fr-FR"/>
        </w:rPr>
      </w:pPr>
      <w:r w:rsidRPr="004F1C04">
        <w:rPr>
          <w:rFonts w:eastAsia="Traditional Arabic"/>
          <w:lang w:val="fr-FR"/>
        </w:rPr>
        <w:t>28.</w:t>
      </w:r>
      <w:r w:rsidRPr="004F1C04">
        <w:rPr>
          <w:rFonts w:eastAsia="Traditional Arabic"/>
          <w:lang w:val="fr-FR"/>
        </w:rPr>
        <w:tab/>
        <w:t>Les personnes appelées sous les drapeaux sont soumises, au cas par cas, aux conditions prévues par la loi sur le service militaire et aux procédures relatives au recrutement. Pour prouver leur âge, toutes les recrues sont tenues de fournir les documents suivants</w:t>
      </w:r>
      <w:r w:rsidR="00C17106">
        <w:rPr>
          <w:rFonts w:eastAsia="Traditional Arabic"/>
          <w:lang w:val="fr-FR"/>
        </w:rPr>
        <w:t>:</w:t>
      </w:r>
    </w:p>
    <w:p w:rsidR="00E3787F" w:rsidRPr="004F1C04" w:rsidRDefault="00E3787F" w:rsidP="0077123A">
      <w:pPr>
        <w:pStyle w:val="Bullet1G"/>
        <w:rPr>
          <w:lang w:val="fr-FR"/>
        </w:rPr>
      </w:pPr>
      <w:r w:rsidRPr="004F1C04">
        <w:rPr>
          <w:rFonts w:eastAsia="Traditional Arabic"/>
          <w:lang w:val="fr-FR"/>
        </w:rPr>
        <w:t>Un certificat de naissance original délivré par les services de l</w:t>
      </w:r>
      <w:r w:rsidR="005D20D6">
        <w:rPr>
          <w:rFonts w:eastAsia="Traditional Arabic"/>
          <w:lang w:val="fr-FR"/>
        </w:rPr>
        <w:t>’</w:t>
      </w:r>
      <w:r w:rsidRPr="004F1C04">
        <w:rPr>
          <w:rFonts w:eastAsia="Traditional Arabic"/>
          <w:lang w:val="fr-FR"/>
        </w:rPr>
        <w:t>état civil</w:t>
      </w:r>
      <w:r w:rsidR="005603E0">
        <w:rPr>
          <w:rFonts w:eastAsia="Traditional Arabic"/>
          <w:lang w:val="fr-FR"/>
        </w:rPr>
        <w:t>;</w:t>
      </w:r>
    </w:p>
    <w:p w:rsidR="00E3787F" w:rsidRPr="004F1C04" w:rsidRDefault="00E3787F" w:rsidP="0077123A">
      <w:pPr>
        <w:pStyle w:val="Bullet1G"/>
        <w:rPr>
          <w:lang w:val="fr-FR"/>
        </w:rPr>
      </w:pPr>
      <w:r w:rsidRPr="004F1C04">
        <w:rPr>
          <w:rFonts w:eastAsia="Traditional Arabic"/>
          <w:lang w:val="fr-FR"/>
        </w:rPr>
        <w:t>Un livret de famille</w:t>
      </w:r>
      <w:r w:rsidR="005603E0">
        <w:rPr>
          <w:rFonts w:eastAsia="Traditional Arabic"/>
          <w:lang w:val="fr-FR"/>
        </w:rPr>
        <w:t>;</w:t>
      </w:r>
    </w:p>
    <w:p w:rsidR="005603E0" w:rsidRPr="005603E0" w:rsidRDefault="00E3787F" w:rsidP="005603E0">
      <w:pPr>
        <w:pStyle w:val="Bullet1G"/>
        <w:rPr>
          <w:lang w:val="fr-FR"/>
        </w:rPr>
      </w:pPr>
      <w:r w:rsidRPr="004F1C04">
        <w:rPr>
          <w:rFonts w:eastAsia="Traditional Arabic"/>
          <w:lang w:val="fr-FR"/>
        </w:rPr>
        <w:t>Une carte nationale en tant que preuve fiable de l</w:t>
      </w:r>
      <w:r w:rsidR="005D20D6">
        <w:rPr>
          <w:rFonts w:eastAsia="Traditional Arabic"/>
          <w:lang w:val="fr-FR"/>
        </w:rPr>
        <w:t>’</w:t>
      </w:r>
      <w:r w:rsidRPr="004F1C04">
        <w:rPr>
          <w:rFonts w:eastAsia="Traditional Arabic"/>
          <w:lang w:val="fr-FR"/>
        </w:rPr>
        <w:t>identité</w:t>
      </w:r>
      <w:r w:rsidR="00C04FF8">
        <w:rPr>
          <w:rFonts w:eastAsia="Traditional Arabic"/>
          <w:lang w:val="fr-FR"/>
        </w:rPr>
        <w:t>.</w:t>
      </w:r>
    </w:p>
    <w:p w:rsidR="00E3787F" w:rsidRPr="004F1C04" w:rsidRDefault="003323A9" w:rsidP="003323A9">
      <w:pPr>
        <w:pStyle w:val="H23G"/>
        <w:rPr>
          <w:lang w:val="fr-FR"/>
        </w:rPr>
      </w:pPr>
      <w:r>
        <w:rPr>
          <w:rFonts w:eastAsia="Traditional Arabic"/>
        </w:rPr>
        <w:tab/>
      </w:r>
      <w:r>
        <w:rPr>
          <w:rFonts w:eastAsia="Traditional Arabic"/>
        </w:rPr>
        <w:tab/>
      </w:r>
      <w:r w:rsidR="00E3787F" w:rsidRPr="003323A9">
        <w:rPr>
          <w:rFonts w:eastAsia="Traditional Arabic"/>
        </w:rPr>
        <w:t>Réduction de l</w:t>
      </w:r>
      <w:r w:rsidR="005D20D6" w:rsidRPr="003323A9">
        <w:rPr>
          <w:rFonts w:eastAsia="Traditional Arabic"/>
        </w:rPr>
        <w:t>’</w:t>
      </w:r>
      <w:r w:rsidR="00E3787F" w:rsidRPr="003323A9">
        <w:rPr>
          <w:rFonts w:eastAsia="Traditional Arabic"/>
        </w:rPr>
        <w:t>âge de l</w:t>
      </w:r>
      <w:r w:rsidR="005D20D6" w:rsidRPr="003323A9">
        <w:rPr>
          <w:rFonts w:eastAsia="Traditional Arabic"/>
        </w:rPr>
        <w:t>’</w:t>
      </w:r>
      <w:r w:rsidR="00E3787F" w:rsidRPr="003323A9">
        <w:rPr>
          <w:rFonts w:eastAsia="Traditional Arabic"/>
        </w:rPr>
        <w:t>engagement</w:t>
      </w:r>
    </w:p>
    <w:p w:rsidR="00E3787F" w:rsidRPr="004F1C04" w:rsidRDefault="00E3787F" w:rsidP="0077123A">
      <w:pPr>
        <w:pStyle w:val="SingleTxtG"/>
        <w:rPr>
          <w:lang w:val="fr-FR"/>
        </w:rPr>
      </w:pPr>
      <w:r w:rsidRPr="004F1C04">
        <w:rPr>
          <w:rFonts w:eastAsia="Traditional Arabic"/>
          <w:lang w:val="fr-FR"/>
        </w:rPr>
        <w:t>29.</w:t>
      </w:r>
      <w:r w:rsidRPr="004F1C04">
        <w:rPr>
          <w:rFonts w:eastAsia="Traditional Arabic"/>
          <w:lang w:val="fr-FR"/>
        </w:rPr>
        <w:tab/>
        <w:t>Toute violation des dispositions prévues par la loi sur le service militaire et le service des officiers et des procédures de recrutement est interdite et toute disposition contraire est réputée nulle et non avenue.</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Rétablissement de l</w:t>
      </w:r>
      <w:r w:rsidR="005D20D6">
        <w:rPr>
          <w:rFonts w:eastAsia="Traditional Arabic"/>
          <w:lang w:val="fr-FR"/>
        </w:rPr>
        <w:t>’</w:t>
      </w:r>
      <w:r w:rsidRPr="004F1C04">
        <w:rPr>
          <w:rFonts w:eastAsia="Traditional Arabic"/>
          <w:lang w:val="fr-FR"/>
        </w:rPr>
        <w:t>enrôlement obligatoire</w:t>
      </w:r>
    </w:p>
    <w:p w:rsidR="00E3787F" w:rsidRPr="004F1C04" w:rsidRDefault="00E3787F" w:rsidP="0077123A">
      <w:pPr>
        <w:pStyle w:val="SingleTxtG"/>
        <w:rPr>
          <w:lang w:val="fr-FR"/>
        </w:rPr>
      </w:pPr>
      <w:r w:rsidRPr="004F1C04">
        <w:rPr>
          <w:rFonts w:eastAsia="Traditional Arabic"/>
          <w:lang w:val="fr-FR"/>
        </w:rPr>
        <w:t>30.</w:t>
      </w:r>
      <w:r w:rsidRPr="004F1C04">
        <w:rPr>
          <w:rFonts w:eastAsia="Traditional Arabic"/>
          <w:lang w:val="fr-FR"/>
        </w:rPr>
        <w:tab/>
        <w:t xml:space="preserve">Le service obligatoire est régi par la loi </w:t>
      </w:r>
      <w:r w:rsidR="005D20D6">
        <w:rPr>
          <w:rFonts w:eastAsia="Traditional Arabic"/>
          <w:lang w:val="fr-FR" w:bidi="ar-JO"/>
        </w:rPr>
        <w:t>n</w:t>
      </w:r>
      <w:r w:rsidR="005D20D6">
        <w:rPr>
          <w:rFonts w:eastAsia="Traditional Arabic"/>
          <w:vertAlign w:val="superscript"/>
          <w:lang w:val="fr-FR" w:bidi="ar-JO"/>
        </w:rPr>
        <w:t>o</w:t>
      </w:r>
      <w:r w:rsidRPr="004F1C04">
        <w:rPr>
          <w:rFonts w:eastAsia="Traditional Arabic"/>
          <w:lang w:val="fr-FR"/>
        </w:rPr>
        <w:t xml:space="preserve"> 23 de 1986 relative au service national et à la réserve militaire qui est toujours en vigueur. Au titre des dispositions de l</w:t>
      </w:r>
      <w:r w:rsidR="005D20D6">
        <w:rPr>
          <w:rFonts w:eastAsia="Traditional Arabic"/>
          <w:lang w:val="fr-FR"/>
        </w:rPr>
        <w:t>’</w:t>
      </w:r>
      <w:r w:rsidRPr="004F1C04">
        <w:rPr>
          <w:rFonts w:eastAsia="Traditional Arabic"/>
          <w:lang w:val="fr-FR"/>
        </w:rPr>
        <w:t>article 3 a) de ladite loi, l</w:t>
      </w:r>
      <w:r w:rsidR="005D20D6">
        <w:rPr>
          <w:rFonts w:eastAsia="Traditional Arabic"/>
          <w:lang w:val="fr-FR"/>
        </w:rPr>
        <w:t>’</w:t>
      </w:r>
      <w:r w:rsidRPr="004F1C04">
        <w:rPr>
          <w:rFonts w:eastAsia="Traditional Arabic"/>
          <w:lang w:val="fr-FR"/>
        </w:rPr>
        <w:t>appel au service militaire par la direction chargée du recrutement est subordonné à la décision y relative du Commandement général des forces armées</w:t>
      </w:r>
      <w:r w:rsidR="00C17106">
        <w:rPr>
          <w:rFonts w:eastAsia="Traditional Arabic"/>
          <w:lang w:val="fr-FR"/>
        </w:rPr>
        <w:t>;</w:t>
      </w:r>
      <w:r w:rsidRPr="004F1C04">
        <w:rPr>
          <w:rFonts w:eastAsia="Traditional Arabic"/>
          <w:lang w:val="fr-FR"/>
        </w:rPr>
        <w:t xml:space="preserve"> étant précisé qu’à cet égard, la conscription a été reportée jusqu</w:t>
      </w:r>
      <w:r w:rsidR="005D20D6">
        <w:rPr>
          <w:rFonts w:eastAsia="Traditional Arabic"/>
          <w:lang w:val="fr-FR"/>
        </w:rPr>
        <w:t>’</w:t>
      </w:r>
      <w:r w:rsidRPr="004F1C04">
        <w:rPr>
          <w:rFonts w:eastAsia="Traditional Arabic"/>
          <w:lang w:val="fr-FR"/>
        </w:rPr>
        <w:t>à nouvel ordre pour manque de capacités, conformément à la décision du Commandement général des forces armées de la Jordanie, édictée en vertu des dispositions de l</w:t>
      </w:r>
      <w:r w:rsidR="005D20D6">
        <w:rPr>
          <w:rFonts w:eastAsia="Traditional Arabic"/>
          <w:lang w:val="fr-FR"/>
        </w:rPr>
        <w:t>’</w:t>
      </w:r>
      <w:r w:rsidRPr="004F1C04">
        <w:rPr>
          <w:rFonts w:eastAsia="Traditional Arabic"/>
          <w:lang w:val="fr-FR"/>
        </w:rPr>
        <w:t>article 9, a), «5» de la même loi. L</w:t>
      </w:r>
      <w:r w:rsidR="005D20D6">
        <w:rPr>
          <w:rFonts w:eastAsia="Traditional Arabic"/>
          <w:lang w:val="fr-FR"/>
        </w:rPr>
        <w:t>’</w:t>
      </w:r>
      <w:r w:rsidRPr="004F1C04">
        <w:rPr>
          <w:rFonts w:eastAsia="Traditional Arabic"/>
          <w:lang w:val="fr-FR"/>
        </w:rPr>
        <w:t>appel au service militaire est donc subordonné à la décision du Commandement général des forces armées, auquel appartient en dernier ressort la décision de reporter ou de restaurer le service obligatoire conformément aux dispositions de la loi.</w:t>
      </w:r>
    </w:p>
    <w:p w:rsidR="00E3787F" w:rsidRPr="004F1C04" w:rsidRDefault="00E3787F" w:rsidP="0077123A">
      <w:pPr>
        <w:pStyle w:val="H1G"/>
      </w:pPr>
      <w:bookmarkStart w:id="30" w:name="_Toc350173952"/>
      <w:r w:rsidRPr="004F1C04">
        <w:tab/>
      </w:r>
      <w:bookmarkStart w:id="31" w:name="_Toc358307245"/>
      <w:r w:rsidRPr="004F1C04">
        <w:t>B.</w:t>
      </w:r>
      <w:r w:rsidR="0077123A">
        <w:tab/>
      </w:r>
      <w:r w:rsidRPr="004F1C04">
        <w:t>Mesures législatives</w:t>
      </w:r>
      <w:bookmarkEnd w:id="30"/>
      <w:bookmarkEnd w:id="31"/>
    </w:p>
    <w:p w:rsidR="00E3787F" w:rsidRPr="004F1C04" w:rsidRDefault="00E3787F" w:rsidP="0077123A">
      <w:pPr>
        <w:pStyle w:val="H23G"/>
        <w:rPr>
          <w:lang w:val="fr-FR"/>
        </w:rPr>
      </w:pPr>
      <w:r w:rsidRPr="004F1C04">
        <w:rPr>
          <w:rFonts w:eastAsia="Traditional Arabic"/>
          <w:lang w:val="fr-FR"/>
        </w:rPr>
        <w:tab/>
        <w:t>1)</w:t>
      </w:r>
      <w:r w:rsidRPr="004F1C04">
        <w:rPr>
          <w:rFonts w:eastAsia="Traditional Arabic"/>
          <w:lang w:val="fr-FR"/>
        </w:rPr>
        <w:tab/>
        <w:t xml:space="preserve">La loi </w:t>
      </w:r>
      <w:r w:rsidR="005D20D6">
        <w:rPr>
          <w:rFonts w:eastAsia="Traditional Arabic"/>
          <w:lang w:val="fr-FR" w:bidi="ar-JO"/>
        </w:rPr>
        <w:t>n</w:t>
      </w:r>
      <w:r w:rsidR="005D20D6">
        <w:rPr>
          <w:rFonts w:eastAsia="Traditional Arabic"/>
          <w:vertAlign w:val="superscript"/>
          <w:lang w:val="fr-FR" w:bidi="ar-JO"/>
        </w:rPr>
        <w:t>o</w:t>
      </w:r>
      <w:r w:rsidRPr="004F1C04">
        <w:rPr>
          <w:rFonts w:eastAsia="Traditional Arabic"/>
          <w:lang w:val="fr-FR"/>
        </w:rPr>
        <w:t xml:space="preserve"> 2 de 1972 sur le service militaire</w:t>
      </w:r>
    </w:p>
    <w:p w:rsidR="00E3787F" w:rsidRPr="004F1C04" w:rsidRDefault="00E3787F" w:rsidP="0077123A">
      <w:pPr>
        <w:pStyle w:val="SingleTxtG"/>
        <w:rPr>
          <w:lang w:val="fr-FR"/>
        </w:rPr>
      </w:pPr>
      <w:r w:rsidRPr="004F1C04">
        <w:rPr>
          <w:rFonts w:eastAsia="Traditional Arabic"/>
          <w:lang w:val="fr-FR"/>
        </w:rPr>
        <w:t>31.</w:t>
      </w:r>
      <w:r w:rsidRPr="004F1C04">
        <w:rPr>
          <w:rFonts w:eastAsia="Traditional Arabic"/>
          <w:lang w:val="fr-FR"/>
        </w:rPr>
        <w:tab/>
        <w:t>La législation jordanienne offre des garanties particulières pour interdire la participation aux hostilités des enfants n</w:t>
      </w:r>
      <w:r w:rsidR="005D20D6">
        <w:rPr>
          <w:rFonts w:eastAsia="Traditional Arabic"/>
          <w:lang w:val="fr-FR"/>
        </w:rPr>
        <w:t>’</w:t>
      </w:r>
      <w:r w:rsidRPr="004F1C04">
        <w:rPr>
          <w:rFonts w:eastAsia="Traditional Arabic"/>
          <w:lang w:val="fr-FR"/>
        </w:rPr>
        <w:t>ayant pas atteint l</w:t>
      </w:r>
      <w:r w:rsidR="005D20D6">
        <w:rPr>
          <w:rFonts w:eastAsia="Traditional Arabic"/>
          <w:lang w:val="fr-FR"/>
        </w:rPr>
        <w:t>’</w:t>
      </w:r>
      <w:r w:rsidRPr="004F1C04">
        <w:rPr>
          <w:rFonts w:eastAsia="Traditional Arabic"/>
          <w:lang w:val="fr-FR"/>
        </w:rPr>
        <w:t xml:space="preserve">âge de </w:t>
      </w:r>
      <w:r w:rsidR="005603E0">
        <w:rPr>
          <w:rFonts w:eastAsia="Traditional Arabic"/>
          <w:lang w:val="fr-FR"/>
        </w:rPr>
        <w:t>18 an</w:t>
      </w:r>
      <w:r w:rsidRPr="004F1C04">
        <w:rPr>
          <w:rFonts w:eastAsia="Traditional Arabic"/>
          <w:lang w:val="fr-FR"/>
        </w:rPr>
        <w:t>s, puisqu’elle leur assure un minimum de protection conformément aux dispositions de l</w:t>
      </w:r>
      <w:r w:rsidR="005D20D6">
        <w:rPr>
          <w:rFonts w:eastAsia="Traditional Arabic"/>
          <w:lang w:val="fr-FR"/>
        </w:rPr>
        <w:t>’</w:t>
      </w:r>
      <w:r w:rsidRPr="004F1C04">
        <w:rPr>
          <w:rFonts w:eastAsia="Traditional Arabic"/>
          <w:lang w:val="fr-FR"/>
        </w:rPr>
        <w:t>article 38 de la Convention relative aux droits de l</w:t>
      </w:r>
      <w:r w:rsidR="005D20D6">
        <w:rPr>
          <w:rFonts w:eastAsia="Traditional Arabic"/>
          <w:lang w:val="fr-FR"/>
        </w:rPr>
        <w:t>’</w:t>
      </w:r>
      <w:r w:rsidRPr="004F1C04">
        <w:rPr>
          <w:rFonts w:eastAsia="Traditional Arabic"/>
          <w:lang w:val="fr-FR"/>
        </w:rPr>
        <w:t>enfant, qui dispose ce qui suit</w:t>
      </w:r>
      <w:r w:rsidR="00C17106">
        <w:rPr>
          <w:rFonts w:eastAsia="Traditional Arabic"/>
          <w:lang w:val="fr-FR"/>
        </w:rPr>
        <w:t>:</w:t>
      </w:r>
      <w:r w:rsidRPr="004F1C04">
        <w:rPr>
          <w:rFonts w:eastAsia="Traditional Arabic"/>
          <w:lang w:val="fr-FR"/>
        </w:rPr>
        <w:t xml:space="preserve"> «Les États parties prennent toutes les mesures possibles en pratique pour veiller à ce que les personnes n</w:t>
      </w:r>
      <w:r w:rsidR="005D20D6">
        <w:rPr>
          <w:rFonts w:eastAsia="Traditional Arabic"/>
          <w:lang w:val="fr-FR"/>
        </w:rPr>
        <w:t>’</w:t>
      </w:r>
      <w:r w:rsidRPr="004F1C04">
        <w:rPr>
          <w:rFonts w:eastAsia="Traditional Arabic"/>
          <w:lang w:val="fr-FR"/>
        </w:rPr>
        <w:t>ayant pas atteint l</w:t>
      </w:r>
      <w:r w:rsidR="005D20D6">
        <w:rPr>
          <w:rFonts w:eastAsia="Traditional Arabic"/>
          <w:lang w:val="fr-FR"/>
        </w:rPr>
        <w:t>’</w:t>
      </w:r>
      <w:r w:rsidRPr="004F1C04">
        <w:rPr>
          <w:rFonts w:eastAsia="Traditional Arabic"/>
          <w:lang w:val="fr-FR"/>
        </w:rPr>
        <w:t xml:space="preserve">âge de </w:t>
      </w:r>
      <w:r w:rsidR="005603E0">
        <w:rPr>
          <w:rFonts w:eastAsia="Traditional Arabic"/>
          <w:lang w:val="fr-FR"/>
        </w:rPr>
        <w:t>15</w:t>
      </w:r>
      <w:r w:rsidRPr="004F1C04">
        <w:rPr>
          <w:rFonts w:eastAsia="Traditional Arabic"/>
          <w:lang w:val="fr-FR"/>
        </w:rPr>
        <w:t xml:space="preserve"> ans ne participent pas directement aux hostilités. Les États parties s</w:t>
      </w:r>
      <w:r w:rsidR="005D20D6">
        <w:rPr>
          <w:rFonts w:eastAsia="Traditional Arabic"/>
          <w:lang w:val="fr-FR"/>
        </w:rPr>
        <w:t>’</w:t>
      </w:r>
      <w:r w:rsidRPr="004F1C04">
        <w:rPr>
          <w:rFonts w:eastAsia="Traditional Arabic"/>
          <w:lang w:val="fr-FR"/>
        </w:rPr>
        <w:t>abstiennent d</w:t>
      </w:r>
      <w:r w:rsidR="005D20D6">
        <w:rPr>
          <w:rFonts w:eastAsia="Traditional Arabic"/>
          <w:lang w:val="fr-FR"/>
        </w:rPr>
        <w:t>’</w:t>
      </w:r>
      <w:r w:rsidRPr="004F1C04">
        <w:rPr>
          <w:rFonts w:eastAsia="Traditional Arabic"/>
          <w:lang w:val="fr-FR"/>
        </w:rPr>
        <w:t>enrôler dans leurs forces armées toute personne n</w:t>
      </w:r>
      <w:r w:rsidR="005D20D6">
        <w:rPr>
          <w:rFonts w:eastAsia="Traditional Arabic"/>
          <w:lang w:val="fr-FR"/>
        </w:rPr>
        <w:t>’</w:t>
      </w:r>
      <w:r w:rsidRPr="004F1C04">
        <w:rPr>
          <w:rFonts w:eastAsia="Traditional Arabic"/>
          <w:lang w:val="fr-FR"/>
        </w:rPr>
        <w:t>ayant pas atteint l</w:t>
      </w:r>
      <w:r w:rsidR="005D20D6">
        <w:rPr>
          <w:rFonts w:eastAsia="Traditional Arabic"/>
          <w:lang w:val="fr-FR"/>
        </w:rPr>
        <w:t>’</w:t>
      </w:r>
      <w:r w:rsidRPr="004F1C04">
        <w:rPr>
          <w:rFonts w:eastAsia="Traditional Arabic"/>
          <w:lang w:val="fr-FR"/>
        </w:rPr>
        <w:t xml:space="preserve">âge de </w:t>
      </w:r>
      <w:r w:rsidR="005603E0">
        <w:rPr>
          <w:rFonts w:eastAsia="Traditional Arabic"/>
          <w:lang w:val="fr-FR"/>
        </w:rPr>
        <w:t>15</w:t>
      </w:r>
      <w:r w:rsidRPr="004F1C04">
        <w:rPr>
          <w:rFonts w:eastAsia="Traditional Arabic"/>
          <w:lang w:val="fr-FR"/>
        </w:rPr>
        <w:t xml:space="preserve"> ans. Lorsqu</w:t>
      </w:r>
      <w:r w:rsidR="005D20D6">
        <w:rPr>
          <w:rFonts w:eastAsia="Traditional Arabic"/>
          <w:lang w:val="fr-FR"/>
        </w:rPr>
        <w:t>’</w:t>
      </w:r>
      <w:r w:rsidRPr="004F1C04">
        <w:rPr>
          <w:rFonts w:eastAsia="Traditional Arabic"/>
          <w:lang w:val="fr-FR"/>
        </w:rPr>
        <w:t xml:space="preserve">ils incorporent des personnes âgées de plus de </w:t>
      </w:r>
      <w:r w:rsidR="005603E0">
        <w:rPr>
          <w:rFonts w:eastAsia="Traditional Arabic"/>
          <w:lang w:val="fr-FR"/>
        </w:rPr>
        <w:t>15</w:t>
      </w:r>
      <w:r w:rsidRPr="004F1C04">
        <w:rPr>
          <w:rFonts w:eastAsia="Traditional Arabic"/>
          <w:lang w:val="fr-FR"/>
        </w:rPr>
        <w:t xml:space="preserve"> ans mais de moins de </w:t>
      </w:r>
      <w:r w:rsidR="005603E0">
        <w:rPr>
          <w:rFonts w:eastAsia="Traditional Arabic"/>
          <w:lang w:val="fr-FR"/>
        </w:rPr>
        <w:t>18 </w:t>
      </w:r>
      <w:r w:rsidRPr="004F1C04">
        <w:rPr>
          <w:rFonts w:eastAsia="Traditional Arabic"/>
          <w:lang w:val="fr-FR"/>
        </w:rPr>
        <w:t>ans, les États parties s</w:t>
      </w:r>
      <w:r w:rsidR="005D20D6">
        <w:rPr>
          <w:rFonts w:eastAsia="Traditional Arabic"/>
          <w:lang w:val="fr-FR"/>
        </w:rPr>
        <w:t>’</w:t>
      </w:r>
      <w:r w:rsidRPr="004F1C04">
        <w:rPr>
          <w:rFonts w:eastAsia="Traditional Arabic"/>
          <w:lang w:val="fr-FR"/>
        </w:rPr>
        <w:t>efforcent d</w:t>
      </w:r>
      <w:r w:rsidR="005D20D6">
        <w:rPr>
          <w:rFonts w:eastAsia="Traditional Arabic"/>
          <w:lang w:val="fr-FR"/>
        </w:rPr>
        <w:t>’</w:t>
      </w:r>
      <w:r w:rsidRPr="004F1C04">
        <w:rPr>
          <w:rFonts w:eastAsia="Traditional Arabic"/>
          <w:lang w:val="fr-FR"/>
        </w:rPr>
        <w:t>enrôler en priorité les plus âgées», et ce, à travers l</w:t>
      </w:r>
      <w:r w:rsidR="005D20D6">
        <w:rPr>
          <w:rFonts w:eastAsia="Traditional Arabic"/>
          <w:lang w:val="fr-FR"/>
        </w:rPr>
        <w:t>’</w:t>
      </w:r>
      <w:r w:rsidRPr="004F1C04">
        <w:rPr>
          <w:rFonts w:eastAsia="Traditional Arabic"/>
          <w:lang w:val="fr-FR"/>
        </w:rPr>
        <w:t xml:space="preserve">article 5, b) de la loi </w:t>
      </w:r>
      <w:r w:rsidR="005D20D6">
        <w:rPr>
          <w:rFonts w:eastAsia="Traditional Arabic"/>
          <w:lang w:val="fr-FR" w:bidi="ar-JO"/>
        </w:rPr>
        <w:t>n</w:t>
      </w:r>
      <w:r w:rsidR="005D20D6">
        <w:rPr>
          <w:rFonts w:eastAsia="Traditional Arabic"/>
          <w:vertAlign w:val="superscript"/>
          <w:lang w:val="fr-FR" w:bidi="ar-JO"/>
        </w:rPr>
        <w:t>o</w:t>
      </w:r>
      <w:r w:rsidRPr="004F1C04">
        <w:rPr>
          <w:rFonts w:eastAsia="Traditional Arabic"/>
          <w:lang w:val="fr-FR"/>
        </w:rPr>
        <w:t xml:space="preserve"> 2 de 1972 sur le service militaire, qui interdit le recrutement de personnes âgées de moins de </w:t>
      </w:r>
      <w:r w:rsidR="005603E0">
        <w:rPr>
          <w:rFonts w:eastAsia="Traditional Arabic"/>
          <w:lang w:val="fr-FR"/>
        </w:rPr>
        <w:t>16</w:t>
      </w:r>
      <w:r w:rsidRPr="004F1C04">
        <w:rPr>
          <w:rFonts w:eastAsia="Traditional Arabic"/>
          <w:lang w:val="fr-FR"/>
        </w:rPr>
        <w:t xml:space="preserve"> ans.</w:t>
      </w:r>
    </w:p>
    <w:p w:rsidR="00E3787F" w:rsidRPr="004F1C04" w:rsidRDefault="00E3787F" w:rsidP="0077123A">
      <w:pPr>
        <w:pStyle w:val="SingleTxtG"/>
        <w:rPr>
          <w:lang w:val="fr-FR"/>
        </w:rPr>
      </w:pPr>
      <w:r w:rsidRPr="004F1C04">
        <w:rPr>
          <w:rFonts w:eastAsia="Traditional Arabic"/>
          <w:lang w:val="fr-FR"/>
        </w:rPr>
        <w:t xml:space="preserve">32. </w:t>
      </w:r>
      <w:r w:rsidRPr="004F1C04">
        <w:rPr>
          <w:rFonts w:eastAsia="Traditional Arabic"/>
          <w:lang w:val="fr-FR"/>
        </w:rPr>
        <w:tab/>
        <w:t xml:space="preserve">La loi </w:t>
      </w:r>
      <w:r w:rsidR="005D20D6">
        <w:rPr>
          <w:rFonts w:eastAsia="Traditional Arabic"/>
          <w:lang w:val="fr-FR" w:bidi="ar-JO"/>
        </w:rPr>
        <w:t>n</w:t>
      </w:r>
      <w:r w:rsidR="005D20D6">
        <w:rPr>
          <w:rFonts w:eastAsia="Traditional Arabic"/>
          <w:vertAlign w:val="superscript"/>
          <w:lang w:val="fr-FR" w:bidi="ar-JO"/>
        </w:rPr>
        <w:t>o</w:t>
      </w:r>
      <w:r w:rsidRPr="004F1C04">
        <w:rPr>
          <w:rFonts w:eastAsia="Traditional Arabic"/>
          <w:lang w:val="fr-FR"/>
        </w:rPr>
        <w:t xml:space="preserve"> 35 de 1966 sur le service des officiers, dispose ce qui suit</w:t>
      </w:r>
      <w:r w:rsidR="00C17106">
        <w:rPr>
          <w:rFonts w:eastAsia="Traditional Arabic"/>
          <w:lang w:val="fr-FR"/>
        </w:rPr>
        <w:t>:</w:t>
      </w:r>
      <w:r w:rsidRPr="004F1C04">
        <w:rPr>
          <w:rFonts w:eastAsia="Traditional Arabic"/>
          <w:lang w:val="fr-FR"/>
        </w:rPr>
        <w:t xml:space="preserve"> «Une personne âgée de moins 17 ans ne peut servir comme officier». Un soldat ou un officier n</w:t>
      </w:r>
      <w:r w:rsidR="005D20D6">
        <w:rPr>
          <w:rFonts w:eastAsia="Traditional Arabic"/>
          <w:lang w:val="fr-FR"/>
        </w:rPr>
        <w:t>’</w:t>
      </w:r>
      <w:r w:rsidRPr="004F1C04">
        <w:rPr>
          <w:rFonts w:eastAsia="Traditional Arabic"/>
          <w:lang w:val="fr-FR"/>
        </w:rPr>
        <w:t>ayant pas atteint l</w:t>
      </w:r>
      <w:r w:rsidR="005D20D6">
        <w:rPr>
          <w:rFonts w:eastAsia="Traditional Arabic"/>
          <w:lang w:val="fr-FR"/>
        </w:rPr>
        <w:t>’</w:t>
      </w:r>
      <w:r w:rsidRPr="004F1C04">
        <w:rPr>
          <w:rFonts w:eastAsia="Traditional Arabic"/>
          <w:lang w:val="fr-FR"/>
        </w:rPr>
        <w:t xml:space="preserve">âge de </w:t>
      </w:r>
      <w:r w:rsidR="005603E0">
        <w:rPr>
          <w:rFonts w:eastAsia="Traditional Arabic"/>
          <w:lang w:val="fr-FR"/>
        </w:rPr>
        <w:t>18</w:t>
      </w:r>
      <w:r w:rsidRPr="004F1C04">
        <w:rPr>
          <w:rFonts w:eastAsia="Traditional Arabic"/>
          <w:lang w:val="fr-FR"/>
        </w:rPr>
        <w:t xml:space="preserve"> ans ne peut en aucun cas participer aux opérations militaires.</w:t>
      </w:r>
    </w:p>
    <w:p w:rsidR="00E3787F" w:rsidRPr="004F1C04" w:rsidRDefault="00E3787F" w:rsidP="0077123A">
      <w:pPr>
        <w:pStyle w:val="SingleTxtG"/>
        <w:rPr>
          <w:lang w:val="fr-FR"/>
        </w:rPr>
      </w:pPr>
      <w:r w:rsidRPr="004F1C04">
        <w:rPr>
          <w:rFonts w:eastAsia="Traditional Arabic"/>
          <w:lang w:val="fr-FR"/>
        </w:rPr>
        <w:t>33.</w:t>
      </w:r>
      <w:r w:rsidRPr="004F1C04">
        <w:rPr>
          <w:rFonts w:eastAsia="Traditional Arabic"/>
          <w:lang w:val="fr-FR"/>
        </w:rPr>
        <w:tab/>
        <w:t>Outre les dispositions relatives à l</w:t>
      </w:r>
      <w:r w:rsidR="0072557F">
        <w:rPr>
          <w:rFonts w:eastAsia="Traditional Arabic"/>
          <w:lang w:val="fr-FR"/>
        </w:rPr>
        <w:t>’</w:t>
      </w:r>
      <w:r w:rsidRPr="004F1C04">
        <w:rPr>
          <w:rFonts w:eastAsia="Traditional Arabic"/>
          <w:lang w:val="fr-FR"/>
        </w:rPr>
        <w:t>âge d</w:t>
      </w:r>
      <w:r w:rsidR="005D20D6">
        <w:rPr>
          <w:rFonts w:eastAsia="Traditional Arabic"/>
          <w:lang w:val="fr-FR"/>
        </w:rPr>
        <w:t>’</w:t>
      </w:r>
      <w:r w:rsidRPr="004F1C04">
        <w:rPr>
          <w:rFonts w:eastAsia="Traditional Arabic"/>
          <w:lang w:val="fr-FR"/>
        </w:rPr>
        <w:t>engagement prévues par la loi sur le service militaire et la loi sur le service des officiers, les procédures relatives au recrutement dans les forces armées en vigueur actuellement, ont également fixé l</w:t>
      </w:r>
      <w:r w:rsidR="005D20D6">
        <w:rPr>
          <w:rFonts w:eastAsia="Traditional Arabic"/>
          <w:lang w:val="fr-FR"/>
        </w:rPr>
        <w:t>’</w:t>
      </w:r>
      <w:r w:rsidRPr="004F1C04">
        <w:rPr>
          <w:rFonts w:eastAsia="Traditional Arabic"/>
          <w:lang w:val="fr-FR"/>
        </w:rPr>
        <w:t xml:space="preserve">âge minimum du recrutement à 18 ans. </w:t>
      </w:r>
    </w:p>
    <w:p w:rsidR="00E3787F" w:rsidRPr="004F1C04" w:rsidRDefault="00E3787F" w:rsidP="0077123A">
      <w:pPr>
        <w:pStyle w:val="SingleTxtG"/>
        <w:rPr>
          <w:lang w:val="fr-FR"/>
        </w:rPr>
      </w:pPr>
      <w:r w:rsidRPr="004F1C04">
        <w:rPr>
          <w:rFonts w:eastAsia="Traditional Arabic"/>
          <w:lang w:val="fr-FR"/>
        </w:rPr>
        <w:t>34.</w:t>
      </w:r>
      <w:r w:rsidRPr="004F1C04">
        <w:rPr>
          <w:rFonts w:eastAsia="Traditional Arabic"/>
          <w:lang w:val="fr-FR"/>
        </w:rPr>
        <w:tab/>
        <w:t>Les recrues peuvent, si elles le souhaitent, participer à des sessions de formation et suivre des cours spécialisés adaptés à leur profil professionnel et à leurs aptitudes dans divers domaines pendant toute l</w:t>
      </w:r>
      <w:r w:rsidR="005D20D6">
        <w:rPr>
          <w:rFonts w:eastAsia="Traditional Arabic"/>
          <w:lang w:val="fr-FR"/>
        </w:rPr>
        <w:t>’</w:t>
      </w:r>
      <w:r w:rsidRPr="004F1C04">
        <w:rPr>
          <w:rFonts w:eastAsia="Traditional Arabic"/>
          <w:lang w:val="fr-FR"/>
        </w:rPr>
        <w:t xml:space="preserve">année. Le Commandement général organise également des conférences éducatives à propos des devoirs et responsabilités des recrues. </w:t>
      </w:r>
    </w:p>
    <w:p w:rsidR="00E3787F" w:rsidRPr="004F1C04" w:rsidRDefault="00E3787F" w:rsidP="0077123A">
      <w:pPr>
        <w:pStyle w:val="SingleTxtG"/>
        <w:rPr>
          <w:lang w:val="fr-FR"/>
        </w:rPr>
      </w:pPr>
      <w:r w:rsidRPr="004F1C04">
        <w:rPr>
          <w:rFonts w:eastAsia="Traditional Arabic"/>
          <w:lang w:val="fr-FR"/>
        </w:rPr>
        <w:t>35.</w:t>
      </w:r>
      <w:r w:rsidRPr="004F1C04">
        <w:rPr>
          <w:rFonts w:eastAsia="Traditional Arabic"/>
          <w:lang w:val="fr-FR"/>
        </w:rPr>
        <w:tab/>
        <w:t>Créée en 2007, la Société nationale pour l</w:t>
      </w:r>
      <w:r w:rsidR="005D20D6">
        <w:rPr>
          <w:rFonts w:eastAsia="Traditional Arabic"/>
          <w:lang w:val="fr-FR"/>
        </w:rPr>
        <w:t>’</w:t>
      </w:r>
      <w:r w:rsidRPr="004F1C04">
        <w:rPr>
          <w:rFonts w:eastAsia="Traditional Arabic"/>
          <w:lang w:val="fr-FR"/>
        </w:rPr>
        <w:t>emploi et la formation professionnelle incite les élèves âgés de 18 ans à suivre les programmes de formation professionnelle pour acquérir les qualifications professionnelles nécessaires à leur insertion sur le marché du travail national et international.</w:t>
      </w:r>
    </w:p>
    <w:p w:rsidR="00E3787F" w:rsidRPr="004F1C04" w:rsidRDefault="00E3787F" w:rsidP="0077123A">
      <w:pPr>
        <w:pStyle w:val="H23GA"/>
        <w:tabs>
          <w:tab w:val="clear" w:pos="1021"/>
        </w:tabs>
        <w:bidi w:val="0"/>
        <w:spacing w:before="0" w:line="240" w:lineRule="atLeast"/>
        <w:ind w:left="1134" w:right="1134" w:hanging="567"/>
        <w:rPr>
          <w:rFonts w:cs="Times New Roman"/>
          <w:szCs w:val="20"/>
          <w:lang w:val="fr-FR"/>
        </w:rPr>
      </w:pPr>
      <w:r w:rsidRPr="004F1C04">
        <w:rPr>
          <w:rFonts w:eastAsia="Traditional Arabic" w:cs="Times New Roman"/>
          <w:szCs w:val="20"/>
          <w:lang w:val="fr-FR"/>
        </w:rPr>
        <w:t>2</w:t>
      </w:r>
      <w:r w:rsidRPr="0077123A">
        <w:rPr>
          <w:rStyle w:val="H23GCar"/>
          <w:rFonts w:eastAsia="Traditional Arabic"/>
        </w:rPr>
        <w:t>)</w:t>
      </w:r>
      <w:r w:rsidRPr="0077123A">
        <w:rPr>
          <w:rStyle w:val="H23GCar"/>
          <w:rFonts w:eastAsia="Traditional Arabic"/>
        </w:rPr>
        <w:tab/>
        <w:t>Appels au recrutement dans les forces armées</w:t>
      </w:r>
      <w:r w:rsidRPr="004F1C04">
        <w:rPr>
          <w:rFonts w:eastAsia="Traditional Arabic" w:cs="Times New Roman"/>
          <w:szCs w:val="20"/>
          <w:lang w:val="fr-FR"/>
        </w:rPr>
        <w:t xml:space="preserve"> </w:t>
      </w:r>
    </w:p>
    <w:p w:rsidR="00E3787F" w:rsidRPr="004F1C04" w:rsidRDefault="00E3787F" w:rsidP="0077123A">
      <w:pPr>
        <w:pStyle w:val="SingleTxtG"/>
        <w:rPr>
          <w:lang w:val="fr-FR"/>
        </w:rPr>
      </w:pPr>
      <w:r w:rsidRPr="004F1C04">
        <w:rPr>
          <w:rFonts w:eastAsia="Traditional Arabic"/>
          <w:lang w:val="fr-FR"/>
        </w:rPr>
        <w:t>36.</w:t>
      </w:r>
      <w:r w:rsidRPr="004F1C04">
        <w:rPr>
          <w:rFonts w:eastAsia="Traditional Arabic"/>
          <w:lang w:val="fr-FR"/>
        </w:rPr>
        <w:tab/>
        <w:t>Les appels au recrutement émanent du Commandement général des forces armées</w:t>
      </w:r>
      <w:r w:rsidR="00C17106">
        <w:rPr>
          <w:rFonts w:eastAsia="Traditional Arabic"/>
          <w:lang w:val="fr-FR"/>
        </w:rPr>
        <w:t>;</w:t>
      </w:r>
      <w:r w:rsidRPr="004F1C04">
        <w:rPr>
          <w:rFonts w:eastAsia="Traditional Arabic"/>
          <w:lang w:val="fr-FR"/>
        </w:rPr>
        <w:t xml:space="preserve"> chaque candidature est étudiée séparément et les candidats sont sélectionnés en fonction de leurs aptitudes, soit en ce qui concerne les professionnels (chauffeur, charpentier, etc.), soit lorsqu’il s’agit d’officiers (ingénieur, médecin, etc.) et à condition qu</w:t>
      </w:r>
      <w:r w:rsidR="0072557F">
        <w:rPr>
          <w:rFonts w:eastAsia="Traditional Arabic"/>
          <w:lang w:val="fr-FR"/>
        </w:rPr>
        <w:t>’</w:t>
      </w:r>
      <w:r w:rsidRPr="004F1C04">
        <w:rPr>
          <w:rFonts w:eastAsia="Traditional Arabic"/>
          <w:lang w:val="fr-FR"/>
        </w:rPr>
        <w:t>ils soient âgés de 18 ans au moins.</w:t>
      </w:r>
    </w:p>
    <w:p w:rsidR="00E3787F" w:rsidRPr="004F1C04" w:rsidRDefault="00E3787F" w:rsidP="0077123A">
      <w:pPr>
        <w:pStyle w:val="H23G"/>
        <w:rPr>
          <w:lang w:val="fr-FR"/>
        </w:rPr>
      </w:pPr>
      <w:r w:rsidRPr="004F1C04">
        <w:rPr>
          <w:rFonts w:eastAsia="Traditional Arabic"/>
          <w:lang w:val="fr-FR"/>
        </w:rPr>
        <w:tab/>
        <w:t>3)</w:t>
      </w:r>
      <w:r w:rsidRPr="004F1C04">
        <w:rPr>
          <w:rFonts w:eastAsia="Traditional Arabic"/>
          <w:lang w:val="fr-FR"/>
        </w:rPr>
        <w:tab/>
        <w:t>Engagement volontaire dans les forces armées</w:t>
      </w:r>
    </w:p>
    <w:p w:rsidR="00E3787F" w:rsidRPr="004F1C04" w:rsidRDefault="00E3787F" w:rsidP="0077123A">
      <w:pPr>
        <w:pStyle w:val="SingleTxtG"/>
        <w:rPr>
          <w:lang w:val="fr-FR"/>
        </w:rPr>
      </w:pPr>
      <w:r w:rsidRPr="004F1C04">
        <w:rPr>
          <w:rFonts w:eastAsia="Traditional Arabic"/>
          <w:lang w:val="fr-FR"/>
        </w:rPr>
        <w:t>37.</w:t>
      </w:r>
      <w:r w:rsidRPr="004F1C04">
        <w:rPr>
          <w:rFonts w:eastAsia="Traditional Arabic"/>
          <w:lang w:val="fr-FR"/>
        </w:rPr>
        <w:tab/>
        <w:t>Il n</w:t>
      </w:r>
      <w:r w:rsidR="005D20D6">
        <w:rPr>
          <w:rFonts w:eastAsia="Traditional Arabic"/>
          <w:lang w:val="fr-FR"/>
        </w:rPr>
        <w:t>’</w:t>
      </w:r>
      <w:r w:rsidRPr="004F1C04">
        <w:rPr>
          <w:rFonts w:eastAsia="Traditional Arabic"/>
          <w:lang w:val="fr-FR"/>
        </w:rPr>
        <w:t>existe pas d</w:t>
      </w:r>
      <w:r w:rsidR="005D20D6">
        <w:rPr>
          <w:rFonts w:eastAsia="Traditional Arabic"/>
          <w:lang w:val="fr-FR"/>
        </w:rPr>
        <w:t>’</w:t>
      </w:r>
      <w:r w:rsidRPr="004F1C04">
        <w:rPr>
          <w:rFonts w:eastAsia="Traditional Arabic"/>
          <w:lang w:val="fr-FR"/>
        </w:rPr>
        <w:t>engagés volontaires.</w:t>
      </w:r>
    </w:p>
    <w:p w:rsidR="00E3787F" w:rsidRPr="004F1C04" w:rsidRDefault="00E3787F" w:rsidP="0077123A">
      <w:pPr>
        <w:pStyle w:val="H23G"/>
        <w:rPr>
          <w:lang w:val="fr-FR"/>
        </w:rPr>
      </w:pPr>
      <w:r w:rsidRPr="004F1C04">
        <w:rPr>
          <w:rFonts w:eastAsia="Traditional Arabic"/>
          <w:lang w:val="fr-FR"/>
        </w:rPr>
        <w:tab/>
        <w:t>4)</w:t>
      </w:r>
      <w:r w:rsidRPr="004F1C04">
        <w:rPr>
          <w:rFonts w:eastAsia="Traditional Arabic"/>
          <w:lang w:val="fr-FR"/>
        </w:rPr>
        <w:tab/>
        <w:t>Garanties attestant que le recrutement a été effectué sur la base du volontariat</w:t>
      </w:r>
    </w:p>
    <w:p w:rsidR="00E3787F" w:rsidRPr="004F1C04" w:rsidRDefault="00E3787F" w:rsidP="0077123A">
      <w:pPr>
        <w:pStyle w:val="SingleTxtG"/>
        <w:rPr>
          <w:lang w:val="fr-FR"/>
        </w:rPr>
      </w:pPr>
      <w:r w:rsidRPr="004F1C04">
        <w:rPr>
          <w:rFonts w:eastAsia="Traditional Arabic"/>
          <w:lang w:val="fr-FR"/>
        </w:rPr>
        <w:t>38.</w:t>
      </w:r>
      <w:r w:rsidRPr="004F1C04">
        <w:rPr>
          <w:rFonts w:eastAsia="Traditional Arabic"/>
          <w:lang w:val="fr-FR"/>
        </w:rPr>
        <w:tab/>
        <w:t>L</w:t>
      </w:r>
      <w:r w:rsidR="005D20D6">
        <w:rPr>
          <w:rFonts w:eastAsia="Traditional Arabic"/>
          <w:lang w:val="fr-FR"/>
        </w:rPr>
        <w:t>’</w:t>
      </w:r>
      <w:r w:rsidRPr="004F1C04">
        <w:rPr>
          <w:rFonts w:eastAsia="Traditional Arabic"/>
          <w:lang w:val="fr-FR"/>
        </w:rPr>
        <w:t>appel au service national est publié dans les journaux quotidiens et tous ceux qui souhaitent s</w:t>
      </w:r>
      <w:r w:rsidR="005D20D6">
        <w:rPr>
          <w:rFonts w:eastAsia="Traditional Arabic"/>
          <w:lang w:val="fr-FR"/>
        </w:rPr>
        <w:t>’</w:t>
      </w:r>
      <w:r w:rsidRPr="004F1C04">
        <w:rPr>
          <w:rFonts w:eastAsia="Traditional Arabic"/>
          <w:lang w:val="fr-FR"/>
        </w:rPr>
        <w:t>engager dans l</w:t>
      </w:r>
      <w:r w:rsidR="005D20D6">
        <w:rPr>
          <w:rFonts w:eastAsia="Traditional Arabic"/>
          <w:lang w:val="fr-FR"/>
        </w:rPr>
        <w:t>’</w:t>
      </w:r>
      <w:r w:rsidRPr="004F1C04">
        <w:rPr>
          <w:rFonts w:eastAsia="Traditional Arabic"/>
          <w:lang w:val="fr-FR"/>
        </w:rPr>
        <w:t>armée doivent prendre contact avec les services des centres de recrutement disséminés à travers le Royaume.</w:t>
      </w:r>
    </w:p>
    <w:p w:rsidR="00E3787F" w:rsidRPr="004F1C04" w:rsidRDefault="00E3787F" w:rsidP="0077123A">
      <w:pPr>
        <w:pStyle w:val="SingleTxtG"/>
        <w:rPr>
          <w:lang w:val="fr-FR"/>
        </w:rPr>
      </w:pPr>
      <w:r w:rsidRPr="004F1C04">
        <w:rPr>
          <w:rFonts w:eastAsia="Traditional Arabic"/>
          <w:lang w:val="fr-FR"/>
        </w:rPr>
        <w:t>39.</w:t>
      </w:r>
      <w:r w:rsidRPr="004F1C04">
        <w:rPr>
          <w:rFonts w:eastAsia="Traditional Arabic"/>
          <w:lang w:val="fr-FR"/>
        </w:rPr>
        <w:tab/>
        <w:t xml:space="preserve">Tous les individus désireux de se joindre aux forces armées jordanienne sont reçus dans ces centres où ils sont interrogés sur leur motivation à accomplir leur service militaire et sont informés de la nature de leurs futures obligations au sein des forces armées. </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 xml:space="preserve">Établissements scolaires placés sous la tutelle administrative ou le contrôle des forces armées </w:t>
      </w:r>
    </w:p>
    <w:p w:rsidR="00E3787F" w:rsidRPr="004F1C04" w:rsidRDefault="00E3787F" w:rsidP="0077123A">
      <w:pPr>
        <w:pStyle w:val="H4G"/>
        <w:rPr>
          <w:lang w:val="fr-FR"/>
        </w:rPr>
      </w:pPr>
      <w:r w:rsidRPr="004F1C04">
        <w:rPr>
          <w:rFonts w:eastAsia="Traditional Arabic"/>
          <w:lang w:val="fr-FR"/>
        </w:rPr>
        <w:tab/>
      </w:r>
      <w:r w:rsidRPr="004F1C04">
        <w:rPr>
          <w:rFonts w:eastAsia="Traditional Arabic"/>
          <w:lang w:val="fr-FR"/>
        </w:rPr>
        <w:tab/>
        <w:t>Données relatives aux établissements scolaires</w:t>
      </w:r>
    </w:p>
    <w:p w:rsidR="00E3787F" w:rsidRPr="004F1C04" w:rsidRDefault="00E3787F" w:rsidP="0077123A">
      <w:pPr>
        <w:pStyle w:val="SingleTxtG"/>
        <w:rPr>
          <w:lang w:val="fr-FR"/>
        </w:rPr>
      </w:pPr>
      <w:r w:rsidRPr="004F1C04">
        <w:rPr>
          <w:rFonts w:eastAsia="Traditional Arabic"/>
          <w:lang w:val="fr-FR"/>
        </w:rPr>
        <w:t>40.</w:t>
      </w:r>
      <w:r w:rsidRPr="004F1C04">
        <w:rPr>
          <w:rFonts w:eastAsia="Traditional Arabic"/>
          <w:lang w:val="fr-FR"/>
        </w:rPr>
        <w:tab/>
        <w:t>Il existe actuellement 27 écoles placées sous la tutelle administrative de la Direction de l</w:t>
      </w:r>
      <w:r w:rsidR="005D20D6">
        <w:rPr>
          <w:rFonts w:eastAsia="Traditional Arabic"/>
          <w:lang w:val="fr-FR"/>
        </w:rPr>
        <w:t>’</w:t>
      </w:r>
      <w:r w:rsidRPr="004F1C04">
        <w:rPr>
          <w:rFonts w:eastAsia="Traditional Arabic"/>
          <w:lang w:val="fr-FR"/>
        </w:rPr>
        <w:t>éducation et de la culture militaire, disséminées dans toutes les régions du Royaume et fréquentées par environ 12 000 élèves</w:t>
      </w:r>
      <w:r w:rsidR="00C17106">
        <w:rPr>
          <w:rFonts w:eastAsia="Traditional Arabic"/>
          <w:lang w:val="fr-FR"/>
        </w:rPr>
        <w:t>;</w:t>
      </w:r>
      <w:r w:rsidRPr="004F1C04">
        <w:rPr>
          <w:rFonts w:eastAsia="Traditional Arabic"/>
          <w:lang w:val="fr-FR"/>
        </w:rPr>
        <w:t xml:space="preserve"> étant précisé que ce nombre est en augmentation.</w:t>
      </w:r>
    </w:p>
    <w:p w:rsidR="00E3787F" w:rsidRPr="004F1C04" w:rsidRDefault="00E3787F" w:rsidP="0077123A">
      <w:pPr>
        <w:pStyle w:val="SingleTxtG"/>
        <w:rPr>
          <w:lang w:val="fr-FR"/>
        </w:rPr>
      </w:pPr>
      <w:r w:rsidRPr="004F1C04">
        <w:rPr>
          <w:rFonts w:eastAsia="Traditional Arabic"/>
          <w:lang w:val="fr-FR"/>
        </w:rPr>
        <w:t>41.</w:t>
      </w:r>
      <w:r w:rsidRPr="004F1C04">
        <w:rPr>
          <w:rFonts w:eastAsia="Traditional Arabic"/>
          <w:lang w:val="fr-FR"/>
        </w:rPr>
        <w:tab/>
        <w:t>La mission, les buts et objectifs de ces écoles ne différent en rien de ceux des écoles du Ministère de l</w:t>
      </w:r>
      <w:r w:rsidR="0072557F">
        <w:rPr>
          <w:rFonts w:eastAsia="Traditional Arabic"/>
          <w:lang w:val="fr-FR"/>
        </w:rPr>
        <w:t>’</w:t>
      </w:r>
      <w:r w:rsidRPr="004F1C04">
        <w:rPr>
          <w:rFonts w:eastAsia="Traditional Arabic"/>
          <w:lang w:val="fr-FR"/>
        </w:rPr>
        <w:t>éducation. Ces établissements sont équivalents aux écoles du Ministère de l</w:t>
      </w:r>
      <w:r w:rsidR="005D20D6">
        <w:rPr>
          <w:rFonts w:eastAsia="Traditional Arabic"/>
          <w:lang w:val="fr-FR"/>
        </w:rPr>
        <w:t>’</w:t>
      </w:r>
      <w:r w:rsidRPr="004F1C04">
        <w:rPr>
          <w:rFonts w:eastAsia="Traditional Arabic"/>
          <w:lang w:val="fr-FR"/>
        </w:rPr>
        <w:t>éducation et viennent combler le manque d</w:t>
      </w:r>
      <w:r w:rsidR="005D20D6">
        <w:rPr>
          <w:rFonts w:eastAsia="Traditional Arabic"/>
          <w:lang w:val="fr-FR"/>
        </w:rPr>
        <w:t>’</w:t>
      </w:r>
      <w:r w:rsidRPr="004F1C04">
        <w:rPr>
          <w:rFonts w:eastAsia="Traditional Arabic"/>
          <w:lang w:val="fr-FR"/>
        </w:rPr>
        <w:t>accès à l</w:t>
      </w:r>
      <w:r w:rsidR="005D20D6">
        <w:rPr>
          <w:rFonts w:eastAsia="Traditional Arabic"/>
          <w:lang w:val="fr-FR"/>
        </w:rPr>
        <w:t>’</w:t>
      </w:r>
      <w:r w:rsidRPr="004F1C04">
        <w:rPr>
          <w:rFonts w:eastAsia="Traditional Arabic"/>
          <w:lang w:val="fr-FR"/>
        </w:rPr>
        <w:t>éducation, en particulier dans les zones les plus reculées.</w:t>
      </w:r>
    </w:p>
    <w:p w:rsidR="00E3787F" w:rsidRPr="004F1C04" w:rsidRDefault="00E3787F" w:rsidP="0077123A">
      <w:pPr>
        <w:pStyle w:val="SingleTxtG"/>
        <w:rPr>
          <w:lang w:val="fr-FR"/>
        </w:rPr>
      </w:pPr>
      <w:r w:rsidRPr="004F1C04">
        <w:rPr>
          <w:rFonts w:eastAsia="Traditional Arabic"/>
          <w:lang w:val="fr-FR"/>
        </w:rPr>
        <w:t>42.</w:t>
      </w:r>
      <w:r w:rsidRPr="004F1C04">
        <w:rPr>
          <w:rFonts w:eastAsia="Traditional Arabic"/>
          <w:lang w:val="fr-FR"/>
        </w:rPr>
        <w:tab/>
        <w:t>Les écoles militaires sont tenues de respecter les programmes d</w:t>
      </w:r>
      <w:r w:rsidR="005D20D6">
        <w:rPr>
          <w:rFonts w:eastAsia="Traditional Arabic"/>
          <w:lang w:val="fr-FR"/>
        </w:rPr>
        <w:t>’</w:t>
      </w:r>
      <w:r w:rsidRPr="004F1C04">
        <w:rPr>
          <w:rFonts w:eastAsia="Traditional Arabic"/>
          <w:lang w:val="fr-FR"/>
        </w:rPr>
        <w:t>enseignement des établissements scolaires placés sous la tutelle du Ministère de l</w:t>
      </w:r>
      <w:r w:rsidR="005D20D6">
        <w:rPr>
          <w:rFonts w:eastAsia="Traditional Arabic"/>
          <w:lang w:val="fr-FR"/>
        </w:rPr>
        <w:t>’</w:t>
      </w:r>
      <w:r w:rsidRPr="004F1C04">
        <w:rPr>
          <w:rFonts w:eastAsia="Traditional Arabic"/>
          <w:lang w:val="fr-FR"/>
        </w:rPr>
        <w:t>éducation en ce qui concerne les programmes, le calendrier scolaire, les activités scolaires, les examens et les sanctions disciplinaires.</w:t>
      </w:r>
    </w:p>
    <w:p w:rsidR="00E3787F" w:rsidRPr="004F1C04" w:rsidRDefault="00E3787F" w:rsidP="0077123A">
      <w:pPr>
        <w:pStyle w:val="SingleTxtG"/>
        <w:rPr>
          <w:lang w:val="fr-FR"/>
        </w:rPr>
      </w:pPr>
      <w:r w:rsidRPr="004F1C04">
        <w:rPr>
          <w:rFonts w:eastAsia="Traditional Arabic"/>
          <w:lang w:val="fr-FR"/>
        </w:rPr>
        <w:t>43.</w:t>
      </w:r>
      <w:r w:rsidRPr="004F1C04">
        <w:rPr>
          <w:rFonts w:eastAsia="Traditional Arabic"/>
          <w:lang w:val="fr-FR"/>
        </w:rPr>
        <w:tab/>
        <w:t>Les élèves ne sont pas des militaires ou des recrues et ne peuvent en aucun cas être assimilés à des militaire</w:t>
      </w:r>
      <w:r w:rsidR="00C17106">
        <w:rPr>
          <w:rFonts w:eastAsia="Traditional Arabic"/>
          <w:lang w:val="fr-FR"/>
        </w:rPr>
        <w:t>;</w:t>
      </w:r>
      <w:r w:rsidRPr="004F1C04">
        <w:rPr>
          <w:rFonts w:eastAsia="Traditional Arabic"/>
          <w:lang w:val="fr-FR"/>
        </w:rPr>
        <w:t xml:space="preserve"> ils ne jouissent d</w:t>
      </w:r>
      <w:r w:rsidR="005D20D6">
        <w:rPr>
          <w:rFonts w:eastAsia="Traditional Arabic"/>
          <w:lang w:val="fr-FR"/>
        </w:rPr>
        <w:t>’</w:t>
      </w:r>
      <w:r w:rsidRPr="004F1C04">
        <w:rPr>
          <w:rFonts w:eastAsia="Traditional Arabic"/>
          <w:lang w:val="fr-FR"/>
        </w:rPr>
        <w:t>aucun des avantages accordés aux militaires et ne sont pas employés à des fins militaires, dans la mesure où il s’agit simplement d’élèves ordinaires poursuivant leur cursus scolaire au sein d’établissements d</w:t>
      </w:r>
      <w:r w:rsidR="005D20D6">
        <w:rPr>
          <w:rFonts w:eastAsia="Traditional Arabic"/>
          <w:lang w:val="fr-FR"/>
        </w:rPr>
        <w:t>’</w:t>
      </w:r>
      <w:r w:rsidRPr="004F1C04">
        <w:rPr>
          <w:rFonts w:eastAsia="Traditional Arabic"/>
          <w:lang w:val="fr-FR"/>
        </w:rPr>
        <w:t>enseignement placés sous l</w:t>
      </w:r>
      <w:r w:rsidR="005D20D6">
        <w:rPr>
          <w:rFonts w:eastAsia="Traditional Arabic"/>
          <w:lang w:val="fr-FR"/>
        </w:rPr>
        <w:t>’</w:t>
      </w:r>
      <w:r w:rsidRPr="004F1C04">
        <w:rPr>
          <w:rFonts w:eastAsia="Traditional Arabic"/>
          <w:lang w:val="fr-FR"/>
        </w:rPr>
        <w:t>administration ou le contrôle des forces armées, en raison de la nature géographique de la région. Ces élèves peuvent à tout moment quitter ces écoles et intégrer des établissements relevant du Ministère de l</w:t>
      </w:r>
      <w:r w:rsidR="0072557F">
        <w:rPr>
          <w:rFonts w:eastAsia="Traditional Arabic"/>
          <w:lang w:val="fr-FR"/>
        </w:rPr>
        <w:t>’</w:t>
      </w:r>
      <w:r w:rsidRPr="004F1C04">
        <w:rPr>
          <w:rFonts w:eastAsia="Traditional Arabic"/>
          <w:lang w:val="fr-FR"/>
        </w:rPr>
        <w:t>éducation, puisque le calendrier scolaire est le même que celui adopté dans ces écoles, avec la possibilité pour les élèves résidant dans des zones éloignées de bénéficier de services de logement et de nourriture. Ces établissements allègent le fardeau du Ministère de l</w:t>
      </w:r>
      <w:r w:rsidR="0072557F">
        <w:rPr>
          <w:rFonts w:eastAsia="Traditional Arabic"/>
          <w:lang w:val="fr-FR"/>
        </w:rPr>
        <w:t>’</w:t>
      </w:r>
      <w:r w:rsidRPr="004F1C04">
        <w:rPr>
          <w:rFonts w:eastAsia="Traditional Arabic"/>
          <w:lang w:val="fr-FR"/>
        </w:rPr>
        <w:t>éducation nationale en ce qui concerne la couverture des besoins éducatifs des zones éloignées et isolées.</w:t>
      </w:r>
    </w:p>
    <w:p w:rsidR="00E3787F" w:rsidRPr="004F1C04" w:rsidRDefault="00E3787F" w:rsidP="0077123A">
      <w:pPr>
        <w:pStyle w:val="SingleTxtG"/>
        <w:rPr>
          <w:lang w:val="fr-FR"/>
        </w:rPr>
      </w:pPr>
      <w:r w:rsidRPr="004F1C04">
        <w:rPr>
          <w:rFonts w:eastAsia="Traditional Arabic"/>
          <w:lang w:val="fr-FR"/>
        </w:rPr>
        <w:t>44.</w:t>
      </w:r>
      <w:r w:rsidRPr="004F1C04">
        <w:rPr>
          <w:rFonts w:eastAsia="Traditional Arabic"/>
          <w:lang w:val="fr-FR"/>
        </w:rPr>
        <w:tab/>
        <w:t>Ces établissements sont destinés aux enfants des membres et officiers des forces armées, ainsi qu</w:t>
      </w:r>
      <w:r w:rsidR="005D20D6">
        <w:rPr>
          <w:rFonts w:eastAsia="Traditional Arabic"/>
          <w:lang w:val="fr-FR"/>
        </w:rPr>
        <w:t>’</w:t>
      </w:r>
      <w:r w:rsidRPr="004F1C04">
        <w:rPr>
          <w:rFonts w:eastAsia="Traditional Arabic"/>
          <w:lang w:val="fr-FR"/>
        </w:rPr>
        <w:t>aux enfants des communautés locales. Les garçons qui fréquentent ces écoles portent des uniformes analogues à ceux portés par les élèves d</w:t>
      </w:r>
      <w:r w:rsidR="005D20D6">
        <w:rPr>
          <w:rFonts w:eastAsia="Traditional Arabic"/>
          <w:lang w:val="fr-FR"/>
        </w:rPr>
        <w:t>’</w:t>
      </w:r>
      <w:r w:rsidRPr="004F1C04">
        <w:rPr>
          <w:rFonts w:eastAsia="Traditional Arabic"/>
          <w:lang w:val="fr-FR"/>
        </w:rPr>
        <w:t>écoles relevant du Ministère.</w:t>
      </w:r>
    </w:p>
    <w:p w:rsidR="00E3787F" w:rsidRPr="004F1C04" w:rsidRDefault="00E3787F" w:rsidP="0077123A">
      <w:pPr>
        <w:pStyle w:val="SingleTxtG"/>
        <w:rPr>
          <w:lang w:val="fr-FR"/>
        </w:rPr>
      </w:pPr>
      <w:r w:rsidRPr="004F1C04">
        <w:rPr>
          <w:rFonts w:eastAsia="Traditional Arabic"/>
          <w:lang w:val="fr-FR"/>
        </w:rPr>
        <w:t>45.</w:t>
      </w:r>
      <w:r w:rsidRPr="004F1C04">
        <w:rPr>
          <w:rFonts w:eastAsia="Traditional Arabic"/>
          <w:lang w:val="fr-FR"/>
        </w:rPr>
        <w:tab/>
        <w:t>Il est prévu au cours des cinq prochaines années d</w:t>
      </w:r>
      <w:r w:rsidR="005D20D6">
        <w:rPr>
          <w:rFonts w:eastAsia="Traditional Arabic"/>
          <w:lang w:val="fr-FR"/>
        </w:rPr>
        <w:t>’</w:t>
      </w:r>
      <w:r w:rsidRPr="004F1C04">
        <w:rPr>
          <w:rFonts w:eastAsia="Traditional Arabic"/>
          <w:lang w:val="fr-FR"/>
        </w:rPr>
        <w:t>intégrer sept écoles relevant du Ministère de l</w:t>
      </w:r>
      <w:r w:rsidR="005D20D6">
        <w:rPr>
          <w:rFonts w:eastAsia="Traditional Arabic"/>
          <w:lang w:val="fr-FR"/>
        </w:rPr>
        <w:t>’</w:t>
      </w:r>
      <w:r w:rsidRPr="004F1C04">
        <w:rPr>
          <w:rFonts w:eastAsia="Traditional Arabic"/>
          <w:lang w:val="fr-FR"/>
        </w:rPr>
        <w:t>éducation parmi les établissements scolaires placés sous la tutelle administrative de la Direction de l</w:t>
      </w:r>
      <w:r w:rsidR="005D20D6">
        <w:rPr>
          <w:rFonts w:eastAsia="Traditional Arabic"/>
          <w:lang w:val="fr-FR"/>
        </w:rPr>
        <w:t>’</w:t>
      </w:r>
      <w:r w:rsidRPr="004F1C04">
        <w:rPr>
          <w:rFonts w:eastAsia="Traditional Arabic"/>
          <w:lang w:val="fr-FR"/>
        </w:rPr>
        <w:t>éducation et de la culture militaire. Ces écoles offrent aux élèves issues des régions éloignées des avantages spéciaux et gratuits, notamment les services de restauration, de logement et de santé.</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Âge légal minimal d’admission au sein de ces écoles</w:t>
      </w:r>
    </w:p>
    <w:p w:rsidR="00E3787F" w:rsidRPr="004F1C04" w:rsidRDefault="00E3787F" w:rsidP="0077123A">
      <w:pPr>
        <w:pStyle w:val="SingleTxtG"/>
        <w:rPr>
          <w:lang w:val="fr-FR"/>
        </w:rPr>
      </w:pPr>
      <w:r w:rsidRPr="004F1C04">
        <w:rPr>
          <w:rFonts w:eastAsia="Traditional Arabic"/>
          <w:lang w:val="fr-FR"/>
        </w:rPr>
        <w:t>46.</w:t>
      </w:r>
      <w:r w:rsidRPr="004F1C04">
        <w:rPr>
          <w:rFonts w:eastAsia="Traditional Arabic"/>
          <w:lang w:val="fr-FR"/>
        </w:rPr>
        <w:tab/>
        <w:t>L’âge légal minimal d’admission au sein de ces écoles est le même que celui prescrit pour l</w:t>
      </w:r>
      <w:r w:rsidR="005D20D6">
        <w:rPr>
          <w:rFonts w:eastAsia="Traditional Arabic"/>
          <w:lang w:val="fr-FR"/>
        </w:rPr>
        <w:t>’</w:t>
      </w:r>
      <w:r w:rsidRPr="004F1C04">
        <w:rPr>
          <w:rFonts w:eastAsia="Traditional Arabic"/>
          <w:lang w:val="fr-FR"/>
        </w:rPr>
        <w:t>inscription des élèves dans les écoles du Ministère de l</w:t>
      </w:r>
      <w:r w:rsidR="005D20D6">
        <w:rPr>
          <w:rFonts w:eastAsia="Traditional Arabic"/>
          <w:lang w:val="fr-FR"/>
        </w:rPr>
        <w:t>’</w:t>
      </w:r>
      <w:r w:rsidRPr="004F1C04">
        <w:rPr>
          <w:rFonts w:eastAsia="Traditional Arabic"/>
          <w:lang w:val="fr-FR"/>
        </w:rPr>
        <w:t>éducation, étant donné que ces écoles et celles placées sous l</w:t>
      </w:r>
      <w:r w:rsidR="005D20D6">
        <w:rPr>
          <w:rFonts w:eastAsia="Traditional Arabic"/>
          <w:lang w:val="fr-FR"/>
        </w:rPr>
        <w:t>’</w:t>
      </w:r>
      <w:r w:rsidRPr="004F1C04">
        <w:rPr>
          <w:rFonts w:eastAsia="Traditional Arabic"/>
          <w:lang w:val="fr-FR"/>
        </w:rPr>
        <w:t>administration de la Direction de l</w:t>
      </w:r>
      <w:r w:rsidR="005D20D6">
        <w:rPr>
          <w:rFonts w:eastAsia="Traditional Arabic"/>
          <w:lang w:val="fr-FR"/>
        </w:rPr>
        <w:t>’</w:t>
      </w:r>
      <w:r w:rsidRPr="004F1C04">
        <w:rPr>
          <w:rFonts w:eastAsia="Traditional Arabic"/>
          <w:lang w:val="fr-FR"/>
        </w:rPr>
        <w:t>éducation et de la culture militaires, sont régies par les dispositions de la loi sur l</w:t>
      </w:r>
      <w:r w:rsidR="005D20D6">
        <w:rPr>
          <w:rFonts w:eastAsia="Traditional Arabic"/>
          <w:lang w:val="fr-FR"/>
        </w:rPr>
        <w:t>’</w:t>
      </w:r>
      <w:r w:rsidRPr="004F1C04">
        <w:rPr>
          <w:rFonts w:eastAsia="Traditional Arabic"/>
          <w:lang w:val="fr-FR"/>
        </w:rPr>
        <w:t>éducation, conformément aux dispositions du paragraphe b) de l</w:t>
      </w:r>
      <w:r w:rsidR="0072557F">
        <w:rPr>
          <w:rFonts w:eastAsia="Traditional Arabic"/>
          <w:lang w:val="fr-FR"/>
        </w:rPr>
        <w:t>’</w:t>
      </w:r>
      <w:r w:rsidRPr="004F1C04">
        <w:rPr>
          <w:rFonts w:eastAsia="Traditional Arabic"/>
          <w:lang w:val="fr-FR"/>
        </w:rPr>
        <w:t>article 10 de ladite loi. L</w:t>
      </w:r>
      <w:r w:rsidR="00F51559">
        <w:rPr>
          <w:rFonts w:eastAsia="Traditional Arabic"/>
          <w:lang w:val="fr-FR"/>
        </w:rPr>
        <w:t>’</w:t>
      </w:r>
      <w:r w:rsidRPr="004F1C04">
        <w:rPr>
          <w:rFonts w:eastAsia="Traditional Arabic"/>
          <w:lang w:val="fr-FR"/>
        </w:rPr>
        <w:t>élève doit avoir atteint l</w:t>
      </w:r>
      <w:r w:rsidR="00F51559">
        <w:rPr>
          <w:rFonts w:eastAsia="Traditional Arabic"/>
          <w:lang w:val="fr-FR"/>
        </w:rPr>
        <w:t>’</w:t>
      </w:r>
      <w:r w:rsidRPr="004F1C04">
        <w:rPr>
          <w:rFonts w:eastAsia="Traditional Arabic"/>
          <w:lang w:val="fr-FR"/>
        </w:rPr>
        <w:t xml:space="preserve">âge de </w:t>
      </w:r>
      <w:r w:rsidR="00046C3D">
        <w:rPr>
          <w:rFonts w:eastAsia="Traditional Arabic"/>
          <w:lang w:val="fr-FR"/>
        </w:rPr>
        <w:t>6 </w:t>
      </w:r>
      <w:r w:rsidRPr="004F1C04">
        <w:rPr>
          <w:rFonts w:eastAsia="Traditional Arabic"/>
          <w:lang w:val="fr-FR"/>
        </w:rPr>
        <w:t>ans le 31 décembre de l</w:t>
      </w:r>
      <w:r w:rsidR="00F51559">
        <w:rPr>
          <w:rFonts w:eastAsia="Traditional Arabic"/>
          <w:lang w:val="fr-FR"/>
        </w:rPr>
        <w:t>’</w:t>
      </w:r>
      <w:r w:rsidRPr="004F1C04">
        <w:rPr>
          <w:rFonts w:eastAsia="Traditional Arabic"/>
          <w:lang w:val="fr-FR"/>
        </w:rPr>
        <w:t>année scolaire pour accéder à la première année de l</w:t>
      </w:r>
      <w:r w:rsidR="00F51559">
        <w:rPr>
          <w:rFonts w:eastAsia="Traditional Arabic"/>
          <w:lang w:val="fr-FR"/>
        </w:rPr>
        <w:t>’</w:t>
      </w:r>
      <w:r w:rsidRPr="004F1C04">
        <w:rPr>
          <w:rFonts w:eastAsia="Traditional Arabic"/>
          <w:lang w:val="fr-FR"/>
        </w:rPr>
        <w:t>enseignement de base.</w:t>
      </w:r>
    </w:p>
    <w:p w:rsidR="00E3787F" w:rsidRPr="004F1C04" w:rsidRDefault="00E3787F" w:rsidP="0077123A">
      <w:pPr>
        <w:pStyle w:val="H1G"/>
      </w:pPr>
      <w:r w:rsidRPr="004F1C04">
        <w:tab/>
      </w:r>
      <w:bookmarkStart w:id="32" w:name="_Toc350173953"/>
      <w:bookmarkStart w:id="33" w:name="_Toc358307246"/>
      <w:r w:rsidRPr="004F1C04">
        <w:t>C.</w:t>
      </w:r>
      <w:r w:rsidR="0077123A">
        <w:tab/>
      </w:r>
      <w:r w:rsidRPr="004F1C04">
        <w:t>Groupes armés</w:t>
      </w:r>
      <w:bookmarkEnd w:id="32"/>
      <w:bookmarkEnd w:id="33"/>
    </w:p>
    <w:p w:rsidR="00E3787F" w:rsidRPr="004F1C04" w:rsidRDefault="00E3787F" w:rsidP="0077123A">
      <w:pPr>
        <w:pStyle w:val="SingleTxtG"/>
        <w:rPr>
          <w:lang w:val="fr-FR"/>
        </w:rPr>
      </w:pPr>
      <w:r w:rsidRPr="004F1C04">
        <w:rPr>
          <w:rFonts w:eastAsia="Traditional Arabic"/>
          <w:lang w:val="fr-FR"/>
        </w:rPr>
        <w:t>47.</w:t>
      </w:r>
      <w:r w:rsidRPr="004F1C04">
        <w:rPr>
          <w:rFonts w:eastAsia="Traditional Arabic"/>
          <w:lang w:val="fr-FR"/>
        </w:rPr>
        <w:tab/>
        <w:t>Il convient de noter qu</w:t>
      </w:r>
      <w:r w:rsidR="00F51559">
        <w:rPr>
          <w:rFonts w:eastAsia="Traditional Arabic"/>
          <w:lang w:val="fr-FR"/>
        </w:rPr>
        <w:t>’</w:t>
      </w:r>
      <w:r w:rsidRPr="004F1C04">
        <w:rPr>
          <w:rFonts w:eastAsia="Traditional Arabic"/>
          <w:lang w:val="fr-FR"/>
        </w:rPr>
        <w:t>il n</w:t>
      </w:r>
      <w:r w:rsidR="00F51559">
        <w:rPr>
          <w:rFonts w:eastAsia="Traditional Arabic"/>
          <w:lang w:val="fr-FR"/>
        </w:rPr>
        <w:t>’</w:t>
      </w:r>
      <w:r w:rsidRPr="004F1C04">
        <w:rPr>
          <w:rFonts w:eastAsia="Traditional Arabic"/>
          <w:lang w:val="fr-FR"/>
        </w:rPr>
        <w:t>y a pas de conflits armés dans le Royaume hachémite de Jordanie et que par conséquent, il n</w:t>
      </w:r>
      <w:r w:rsidR="0072557F">
        <w:rPr>
          <w:rFonts w:eastAsia="Traditional Arabic"/>
          <w:lang w:val="fr-FR"/>
        </w:rPr>
        <w:t>’</w:t>
      </w:r>
      <w:r w:rsidRPr="004F1C04">
        <w:rPr>
          <w:rFonts w:eastAsia="Traditional Arabic"/>
          <w:lang w:val="fr-FR"/>
        </w:rPr>
        <w:t>existe pas de forces armées, de groupes armés ou de milices en dehors des forces armées jordaniennes.</w:t>
      </w:r>
    </w:p>
    <w:p w:rsidR="00E3787F" w:rsidRPr="004F1C04" w:rsidRDefault="00E3787F" w:rsidP="0077123A">
      <w:pPr>
        <w:pStyle w:val="H1G"/>
      </w:pPr>
      <w:bookmarkStart w:id="34" w:name="_Toc350173954"/>
      <w:r w:rsidRPr="004F1C04">
        <w:tab/>
      </w:r>
      <w:bookmarkStart w:id="35" w:name="_Toc358307247"/>
      <w:r w:rsidRPr="004F1C04">
        <w:t>D.</w:t>
      </w:r>
      <w:r w:rsidR="0077123A">
        <w:tab/>
      </w:r>
      <w:r w:rsidRPr="004F1C04">
        <w:t>Coopération</w:t>
      </w:r>
      <w:bookmarkEnd w:id="34"/>
      <w:bookmarkEnd w:id="35"/>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Coopération avec la Croix-Rouge</w:t>
      </w:r>
    </w:p>
    <w:p w:rsidR="00E3787F" w:rsidRPr="004F1C04" w:rsidRDefault="00E3787F" w:rsidP="0077123A">
      <w:pPr>
        <w:pStyle w:val="SingleTxtG"/>
        <w:rPr>
          <w:lang w:val="fr-FR"/>
        </w:rPr>
      </w:pPr>
      <w:r w:rsidRPr="00E72FCE">
        <w:rPr>
          <w:rFonts w:eastAsia="Traditional Arabic"/>
          <w:lang w:val="fr-FR"/>
        </w:rPr>
        <w:t>48.</w:t>
      </w:r>
      <w:r w:rsidRPr="00E72FCE">
        <w:rPr>
          <w:rFonts w:eastAsia="Traditional Arabic"/>
          <w:lang w:val="fr-FR"/>
        </w:rPr>
        <w:tab/>
        <w:t>La présence du Comité international de la Croix-Rouge en Jordanie remonte aux années 1948 à 1950 en raison du conflit au Moyen-Orient. La ville d</w:t>
      </w:r>
      <w:r w:rsidR="00F51559">
        <w:rPr>
          <w:rFonts w:eastAsia="Traditional Arabic"/>
          <w:lang w:val="fr-FR"/>
        </w:rPr>
        <w:t>’</w:t>
      </w:r>
      <w:r w:rsidRPr="00E72FCE">
        <w:rPr>
          <w:rFonts w:eastAsia="Traditional Arabic"/>
          <w:lang w:val="fr-FR"/>
        </w:rPr>
        <w:t>Irbid a accueilli le premier camp de réfugiés installé par le CICR. La mission du CICR s</w:t>
      </w:r>
      <w:r w:rsidR="00F51559">
        <w:rPr>
          <w:rFonts w:eastAsia="Traditional Arabic"/>
          <w:lang w:val="fr-FR"/>
        </w:rPr>
        <w:t>’</w:t>
      </w:r>
      <w:r w:rsidRPr="00E72FCE">
        <w:rPr>
          <w:rFonts w:eastAsia="Traditional Arabic"/>
          <w:lang w:val="fr-FR"/>
        </w:rPr>
        <w:t xml:space="preserve">est installée en 1976 dans la capitale Amman après la guerre israélo-arabe et a continué à travailler depuis lors. Le </w:t>
      </w:r>
      <w:r w:rsidR="00E72FCE">
        <w:rPr>
          <w:rFonts w:eastAsia="Traditional Arabic"/>
          <w:lang w:val="fr-FR"/>
        </w:rPr>
        <w:t>G</w:t>
      </w:r>
      <w:r w:rsidRPr="00E72FCE">
        <w:rPr>
          <w:rFonts w:eastAsia="Traditional Arabic"/>
          <w:lang w:val="fr-FR"/>
        </w:rPr>
        <w:t>ouvernement a signé un accord avec le Comité international de la Croix-Rouge (CICR), qui prévoit la fourniture de services de santé, d</w:t>
      </w:r>
      <w:r w:rsidR="00F51559">
        <w:rPr>
          <w:rFonts w:eastAsia="Traditional Arabic"/>
          <w:lang w:val="fr-FR"/>
        </w:rPr>
        <w:t>’</w:t>
      </w:r>
      <w:r w:rsidRPr="00E72FCE">
        <w:rPr>
          <w:rFonts w:eastAsia="Traditional Arabic"/>
          <w:lang w:val="fr-FR"/>
        </w:rPr>
        <w:t>orientation et de conseil et un abri pour les enfants non accompagnés ou séparés de leur famille, outre les services de base offerts par le Croissant-Rouge jordanien.</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Croissant-Rouge jordanien</w:t>
      </w:r>
    </w:p>
    <w:p w:rsidR="00E3787F" w:rsidRPr="004F1C04" w:rsidRDefault="00E3787F" w:rsidP="0077123A">
      <w:pPr>
        <w:pStyle w:val="SingleTxtG"/>
        <w:rPr>
          <w:lang w:val="fr-FR"/>
        </w:rPr>
      </w:pPr>
      <w:r w:rsidRPr="004F1C04">
        <w:rPr>
          <w:rFonts w:eastAsia="Traditional Arabic"/>
          <w:lang w:val="fr-FR"/>
        </w:rPr>
        <w:t>49.</w:t>
      </w:r>
      <w:r w:rsidRPr="004F1C04">
        <w:rPr>
          <w:rFonts w:eastAsia="Traditional Arabic"/>
          <w:lang w:val="fr-FR"/>
        </w:rPr>
        <w:tab/>
        <w:t>Le Croissant-Rouge jordanien a été fondé le 27 décembre 1947</w:t>
      </w:r>
      <w:r w:rsidR="00C17106">
        <w:rPr>
          <w:rFonts w:eastAsia="Traditional Arabic"/>
          <w:lang w:val="fr-FR"/>
        </w:rPr>
        <w:t>;</w:t>
      </w:r>
      <w:r w:rsidRPr="004F1C04">
        <w:rPr>
          <w:rFonts w:eastAsia="Traditional Arabic"/>
          <w:lang w:val="fr-FR"/>
        </w:rPr>
        <w:t xml:space="preserve"> il a été reconnu par le Comité international en 1948 et a rejoint le Mouvement international de la Croix-Rouge et du Croissant-Rouge en 1950. Il s</w:t>
      </w:r>
      <w:r w:rsidR="00F51559">
        <w:rPr>
          <w:rFonts w:eastAsia="Traditional Arabic"/>
          <w:lang w:val="fr-FR"/>
        </w:rPr>
        <w:t>’</w:t>
      </w:r>
      <w:r w:rsidRPr="004F1C04">
        <w:rPr>
          <w:rFonts w:eastAsia="Traditional Arabic"/>
          <w:lang w:val="fr-FR"/>
        </w:rPr>
        <w:t>agit d</w:t>
      </w:r>
      <w:r w:rsidR="00F51559">
        <w:rPr>
          <w:rFonts w:eastAsia="Traditional Arabic"/>
          <w:lang w:val="fr-FR"/>
        </w:rPr>
        <w:t>’</w:t>
      </w:r>
      <w:r w:rsidRPr="004F1C04">
        <w:rPr>
          <w:rFonts w:eastAsia="Traditional Arabic"/>
          <w:lang w:val="fr-FR"/>
        </w:rPr>
        <w:t>un organisme indépendant dont les statuts ont été approuvés par l</w:t>
      </w:r>
      <w:r w:rsidR="00F51559">
        <w:rPr>
          <w:rFonts w:eastAsia="Traditional Arabic"/>
          <w:lang w:val="fr-FR"/>
        </w:rPr>
        <w:t>’</w:t>
      </w:r>
      <w:r w:rsidRPr="004F1C04">
        <w:rPr>
          <w:rFonts w:eastAsia="Traditional Arabic"/>
          <w:lang w:val="fr-FR"/>
        </w:rPr>
        <w:t>Assemblée générale en 1970. Le Comité a pour mission «d</w:t>
      </w:r>
      <w:r w:rsidR="00F51559">
        <w:rPr>
          <w:rFonts w:eastAsia="Traditional Arabic"/>
          <w:lang w:val="fr-FR"/>
        </w:rPr>
        <w:t>’</w:t>
      </w:r>
      <w:r w:rsidRPr="004F1C04">
        <w:rPr>
          <w:rFonts w:eastAsia="Traditional Arabic"/>
          <w:lang w:val="fr-FR"/>
        </w:rPr>
        <w:t>alléger les souffrances des victimes de catastrophes naturelles et de conflits armés et de protéger leur dignité et leurs droits à la vie, à la paix, à la sécurité et au bien-être».</w:t>
      </w:r>
    </w:p>
    <w:p w:rsidR="00E3787F" w:rsidRPr="004F1C04" w:rsidRDefault="00E3787F" w:rsidP="0077123A">
      <w:pPr>
        <w:pStyle w:val="SingleTxtG"/>
        <w:rPr>
          <w:lang w:val="fr-FR"/>
        </w:rPr>
      </w:pPr>
      <w:r w:rsidRPr="004F1C04">
        <w:rPr>
          <w:rFonts w:eastAsia="Traditional Arabic"/>
          <w:lang w:val="fr-FR"/>
        </w:rPr>
        <w:t>50.</w:t>
      </w:r>
      <w:r w:rsidRPr="004F1C04">
        <w:rPr>
          <w:rFonts w:eastAsia="Traditional Arabic"/>
          <w:lang w:val="fr-FR"/>
        </w:rPr>
        <w:tab/>
        <w:t>En tant que membre du Mouvement international de la Croix-Rouge et du Croissant-Rouge, le Croissant-Rouge jordanien s</w:t>
      </w:r>
      <w:r w:rsidR="0072557F">
        <w:rPr>
          <w:rFonts w:eastAsia="Traditional Arabic"/>
          <w:lang w:val="fr-FR"/>
        </w:rPr>
        <w:t>’</w:t>
      </w:r>
      <w:r w:rsidRPr="004F1C04">
        <w:rPr>
          <w:rFonts w:eastAsia="Traditional Arabic"/>
          <w:lang w:val="fr-FR"/>
        </w:rPr>
        <w:t>efforce de se conformer aux principes et objectifs du mouvement, ce qui inclut notamment l</w:t>
      </w:r>
      <w:r w:rsidR="00F51559">
        <w:rPr>
          <w:rFonts w:eastAsia="Traditional Arabic"/>
          <w:lang w:val="fr-FR"/>
        </w:rPr>
        <w:t>’</w:t>
      </w:r>
      <w:r w:rsidRPr="004F1C04">
        <w:rPr>
          <w:rFonts w:eastAsia="Traditional Arabic"/>
          <w:lang w:val="fr-FR"/>
        </w:rPr>
        <w:t>engagement et l</w:t>
      </w:r>
      <w:r w:rsidR="00F51559">
        <w:rPr>
          <w:rFonts w:eastAsia="Traditional Arabic"/>
          <w:lang w:val="fr-FR"/>
        </w:rPr>
        <w:t>’</w:t>
      </w:r>
      <w:r w:rsidRPr="004F1C04">
        <w:rPr>
          <w:rFonts w:eastAsia="Traditional Arabic"/>
          <w:lang w:val="fr-FR"/>
        </w:rPr>
        <w:t>adhésion aux sept principes fondamentaux du mouvement, à savoir l</w:t>
      </w:r>
      <w:r w:rsidR="00F51559">
        <w:rPr>
          <w:rFonts w:eastAsia="Traditional Arabic"/>
          <w:lang w:val="fr-FR"/>
        </w:rPr>
        <w:t>’</w:t>
      </w:r>
      <w:r w:rsidRPr="004F1C04">
        <w:rPr>
          <w:rFonts w:eastAsia="Traditional Arabic"/>
          <w:lang w:val="fr-FR"/>
        </w:rPr>
        <w:t>humanité, la neutralité, l</w:t>
      </w:r>
      <w:r w:rsidR="00F51559">
        <w:rPr>
          <w:rFonts w:eastAsia="Traditional Arabic"/>
          <w:lang w:val="fr-FR"/>
        </w:rPr>
        <w:t>’</w:t>
      </w:r>
      <w:r w:rsidRPr="004F1C04">
        <w:rPr>
          <w:rFonts w:eastAsia="Traditional Arabic"/>
          <w:lang w:val="fr-FR"/>
        </w:rPr>
        <w:t>indépendance, l</w:t>
      </w:r>
      <w:r w:rsidR="00F51559">
        <w:rPr>
          <w:rFonts w:eastAsia="Traditional Arabic"/>
          <w:lang w:val="fr-FR"/>
        </w:rPr>
        <w:t>’</w:t>
      </w:r>
      <w:r w:rsidRPr="004F1C04">
        <w:rPr>
          <w:rFonts w:eastAsia="Traditional Arabic"/>
          <w:lang w:val="fr-FR"/>
        </w:rPr>
        <w:t>unité, le volontariat, l</w:t>
      </w:r>
      <w:r w:rsidR="00F51559">
        <w:rPr>
          <w:rFonts w:eastAsia="Traditional Arabic"/>
          <w:lang w:val="fr-FR"/>
        </w:rPr>
        <w:t>’</w:t>
      </w:r>
      <w:r w:rsidRPr="004F1C04">
        <w:rPr>
          <w:rFonts w:eastAsia="Traditional Arabic"/>
          <w:lang w:val="fr-FR"/>
        </w:rPr>
        <w:t>impartialité et l</w:t>
      </w:r>
      <w:r w:rsidR="00F51559">
        <w:rPr>
          <w:rFonts w:eastAsia="Traditional Arabic"/>
          <w:lang w:val="fr-FR"/>
        </w:rPr>
        <w:t>’</w:t>
      </w:r>
      <w:r w:rsidRPr="004F1C04">
        <w:rPr>
          <w:rFonts w:eastAsia="Traditional Arabic"/>
          <w:lang w:val="fr-FR"/>
        </w:rPr>
        <w:t>universalité.</w:t>
      </w:r>
    </w:p>
    <w:p w:rsidR="00E3787F" w:rsidRPr="004F1C04" w:rsidRDefault="00E3787F" w:rsidP="0077123A">
      <w:pPr>
        <w:pStyle w:val="H1G"/>
      </w:pPr>
      <w:bookmarkStart w:id="36" w:name="_Toc350173955"/>
      <w:r w:rsidRPr="004F1C04">
        <w:tab/>
      </w:r>
      <w:bookmarkStart w:id="37" w:name="_Toc358307248"/>
      <w:r w:rsidRPr="004F1C04">
        <w:t>E.</w:t>
      </w:r>
      <w:r w:rsidR="0077123A">
        <w:tab/>
      </w:r>
      <w:r w:rsidRPr="004F1C04">
        <w:t>Vulnérabilité des enfants aux pratiques interdites par le Protocole</w:t>
      </w:r>
      <w:bookmarkEnd w:id="36"/>
      <w:bookmarkEnd w:id="37"/>
    </w:p>
    <w:p w:rsidR="00E3787F" w:rsidRPr="004F1C04" w:rsidRDefault="00E3787F" w:rsidP="0077123A">
      <w:pPr>
        <w:pStyle w:val="SingleTxtG"/>
        <w:rPr>
          <w:lang w:val="fr-FR"/>
        </w:rPr>
      </w:pPr>
      <w:r w:rsidRPr="004F1C04">
        <w:rPr>
          <w:rFonts w:eastAsia="Traditional Arabic"/>
          <w:lang w:val="fr-FR"/>
        </w:rPr>
        <w:t>51.</w:t>
      </w:r>
      <w:r w:rsidRPr="004F1C04">
        <w:rPr>
          <w:rFonts w:eastAsia="Traditional Arabic"/>
          <w:lang w:val="fr-FR"/>
        </w:rPr>
        <w:tab/>
        <w:t>L</w:t>
      </w:r>
      <w:r w:rsidR="00F51559">
        <w:rPr>
          <w:rFonts w:eastAsia="Traditional Arabic"/>
          <w:lang w:val="fr-FR"/>
        </w:rPr>
        <w:t>’</w:t>
      </w:r>
      <w:r w:rsidRPr="004F1C04">
        <w:rPr>
          <w:rFonts w:eastAsia="Traditional Arabic"/>
          <w:lang w:val="fr-FR"/>
        </w:rPr>
        <w:t>État a mis en place un certain nombre de stratégies et plans nationaux ciblant les enfants exposés à l</w:t>
      </w:r>
      <w:r w:rsidR="00F51559">
        <w:rPr>
          <w:rFonts w:eastAsia="Traditional Arabic"/>
          <w:lang w:val="fr-FR"/>
        </w:rPr>
        <w:t>’</w:t>
      </w:r>
      <w:r w:rsidRPr="004F1C04">
        <w:rPr>
          <w:rFonts w:eastAsia="Traditional Arabic"/>
          <w:lang w:val="fr-FR"/>
        </w:rPr>
        <w:t>exploitation par certains groupes par le biais d’actes contraires au Protocole facultatif</w:t>
      </w:r>
      <w:r w:rsidR="00C17106">
        <w:rPr>
          <w:rFonts w:eastAsia="Traditional Arabic"/>
          <w:lang w:val="fr-FR"/>
        </w:rPr>
        <w:t>:</w:t>
      </w:r>
    </w:p>
    <w:p w:rsidR="00E3787F" w:rsidRPr="004F1C04" w:rsidRDefault="00E3787F" w:rsidP="0077123A">
      <w:pPr>
        <w:pStyle w:val="H23G"/>
        <w:rPr>
          <w:lang w:val="fr-FR"/>
        </w:rPr>
      </w:pPr>
      <w:r w:rsidRPr="004F1C04">
        <w:rPr>
          <w:rFonts w:eastAsia="Traditional Arabic"/>
          <w:lang w:val="fr-FR"/>
        </w:rPr>
        <w:tab/>
        <w:t>1)</w:t>
      </w:r>
      <w:r w:rsidRPr="004F1C04">
        <w:rPr>
          <w:rFonts w:eastAsia="Traditional Arabic"/>
          <w:lang w:val="fr-FR"/>
        </w:rPr>
        <w:tab/>
        <w:t>Plan d</w:t>
      </w:r>
      <w:r w:rsidR="00F51559">
        <w:rPr>
          <w:rFonts w:eastAsia="Traditional Arabic"/>
          <w:lang w:val="fr-FR"/>
        </w:rPr>
        <w:t>’</w:t>
      </w:r>
      <w:r w:rsidRPr="004F1C04">
        <w:rPr>
          <w:rFonts w:eastAsia="Traditional Arabic"/>
          <w:lang w:val="fr-FR"/>
        </w:rPr>
        <w:t>action national pour l</w:t>
      </w:r>
      <w:r w:rsidR="00F51559">
        <w:rPr>
          <w:rFonts w:eastAsia="Traditional Arabic"/>
          <w:lang w:val="fr-FR"/>
        </w:rPr>
        <w:t>’</w:t>
      </w:r>
      <w:r w:rsidRPr="004F1C04">
        <w:rPr>
          <w:rFonts w:eastAsia="Traditional Arabic"/>
          <w:lang w:val="fr-FR"/>
        </w:rPr>
        <w:t>enfance (2004</w:t>
      </w:r>
      <w:r w:rsidRPr="004F1C04">
        <w:rPr>
          <w:lang w:val="fr-FR"/>
        </w:rPr>
        <w:t>-</w:t>
      </w:r>
      <w:r w:rsidRPr="004F1C04">
        <w:rPr>
          <w:rFonts w:eastAsia="Traditional Arabic"/>
          <w:lang w:val="fr-FR"/>
        </w:rPr>
        <w:t>2013)</w:t>
      </w:r>
    </w:p>
    <w:p w:rsidR="00E3787F" w:rsidRPr="004F1C04" w:rsidRDefault="00E3787F" w:rsidP="0077123A">
      <w:pPr>
        <w:pStyle w:val="SingleTxtG"/>
        <w:rPr>
          <w:lang w:val="fr-FR"/>
        </w:rPr>
      </w:pPr>
      <w:r w:rsidRPr="004F1C04">
        <w:rPr>
          <w:rFonts w:eastAsia="Traditional Arabic"/>
          <w:lang w:val="fr-FR"/>
        </w:rPr>
        <w:t>52.</w:t>
      </w:r>
      <w:r w:rsidRPr="004F1C04">
        <w:rPr>
          <w:rFonts w:eastAsia="Traditional Arabic"/>
          <w:lang w:val="fr-FR"/>
        </w:rPr>
        <w:tab/>
        <w:t>Le Plan d’action national pour l’enfance a été élaboré par le Conseil national des affaires familiales, en collaboration avec le Ministère de la planification et de la coopération internationale, le Ministère du développement social, le Ministère de la santé, le Ministère de l</w:t>
      </w:r>
      <w:r w:rsidR="00F51559">
        <w:rPr>
          <w:rFonts w:eastAsia="Traditional Arabic"/>
          <w:lang w:val="fr-FR"/>
        </w:rPr>
        <w:t>’</w:t>
      </w:r>
      <w:r w:rsidRPr="004F1C04">
        <w:rPr>
          <w:rFonts w:eastAsia="Traditional Arabic"/>
          <w:lang w:val="fr-FR"/>
        </w:rPr>
        <w:t>éducation et l</w:t>
      </w:r>
      <w:r w:rsidR="00F51559">
        <w:rPr>
          <w:rFonts w:eastAsia="Traditional Arabic"/>
          <w:lang w:val="fr-FR"/>
        </w:rPr>
        <w:t>’</w:t>
      </w:r>
      <w:r w:rsidRPr="004F1C04">
        <w:rPr>
          <w:rFonts w:eastAsia="Traditional Arabic"/>
          <w:lang w:val="fr-FR"/>
        </w:rPr>
        <w:t>UNICEF, en partenariat avec d</w:t>
      </w:r>
      <w:r w:rsidR="00F51559">
        <w:rPr>
          <w:rFonts w:eastAsia="Traditional Arabic"/>
          <w:lang w:val="fr-FR"/>
        </w:rPr>
        <w:t>’</w:t>
      </w:r>
      <w:r w:rsidRPr="004F1C04">
        <w:rPr>
          <w:rFonts w:eastAsia="Traditional Arabic"/>
          <w:lang w:val="fr-FR"/>
        </w:rPr>
        <w:t>autres parties prenantes et des représentants des enfants eux-mêmes.</w:t>
      </w:r>
    </w:p>
    <w:p w:rsidR="00E3787F" w:rsidRPr="004F1C04" w:rsidRDefault="00E3787F" w:rsidP="0077123A">
      <w:pPr>
        <w:pStyle w:val="SingleTxtG"/>
        <w:rPr>
          <w:lang w:val="fr-FR"/>
        </w:rPr>
      </w:pPr>
      <w:r w:rsidRPr="004F1C04">
        <w:rPr>
          <w:rFonts w:eastAsia="Traditional Arabic"/>
          <w:lang w:val="fr-FR"/>
        </w:rPr>
        <w:t>53.</w:t>
      </w:r>
      <w:r w:rsidRPr="004F1C04">
        <w:rPr>
          <w:rFonts w:eastAsia="Traditional Arabic"/>
          <w:lang w:val="fr-FR"/>
        </w:rPr>
        <w:tab/>
        <w:t>Les principaux axes du plan sont le renforcement de la protection des enfants impliqués dans des conflits armés, conformément aux normes du droit international humanitaire, à travers l</w:t>
      </w:r>
      <w:r w:rsidR="00F51559">
        <w:rPr>
          <w:rFonts w:eastAsia="Traditional Arabic"/>
          <w:lang w:val="fr-FR"/>
        </w:rPr>
        <w:t>’</w:t>
      </w:r>
      <w:r w:rsidRPr="004F1C04">
        <w:rPr>
          <w:rFonts w:eastAsia="Traditional Arabic"/>
          <w:lang w:val="fr-FR"/>
        </w:rPr>
        <w:t>application de la Charte internationale et des résolutions des Nations Unies, en particulier dans les territoires occupés</w:t>
      </w:r>
      <w:r w:rsidR="00C17106">
        <w:rPr>
          <w:rFonts w:eastAsia="Traditional Arabic"/>
          <w:lang w:val="fr-FR"/>
        </w:rPr>
        <w:t>;</w:t>
      </w:r>
      <w:r w:rsidRPr="004F1C04">
        <w:rPr>
          <w:rFonts w:eastAsia="Traditional Arabic"/>
          <w:lang w:val="fr-FR"/>
        </w:rPr>
        <w:t xml:space="preserve"> la formation du personnel travaillant dans le domaine des droits de l</w:t>
      </w:r>
      <w:r w:rsidR="00F51559">
        <w:rPr>
          <w:rFonts w:eastAsia="Traditional Arabic"/>
          <w:lang w:val="fr-FR"/>
        </w:rPr>
        <w:t>’</w:t>
      </w:r>
      <w:r w:rsidRPr="004F1C04">
        <w:rPr>
          <w:rFonts w:eastAsia="Traditional Arabic"/>
          <w:lang w:val="fr-FR"/>
        </w:rPr>
        <w:t>enfant</w:t>
      </w:r>
      <w:r w:rsidR="00C17106">
        <w:rPr>
          <w:rFonts w:eastAsia="Traditional Arabic"/>
          <w:lang w:val="fr-FR"/>
        </w:rPr>
        <w:t>;</w:t>
      </w:r>
      <w:r w:rsidRPr="004F1C04">
        <w:rPr>
          <w:rFonts w:eastAsia="Traditional Arabic"/>
          <w:lang w:val="fr-FR"/>
        </w:rPr>
        <w:t xml:space="preserve"> ainsi que la promotion de la coopération internationales dans ce domaine.</w:t>
      </w:r>
    </w:p>
    <w:p w:rsidR="00E3787F" w:rsidRPr="004F1C04" w:rsidRDefault="00E3787F" w:rsidP="0077123A">
      <w:pPr>
        <w:pStyle w:val="SingleTxtG"/>
        <w:rPr>
          <w:lang w:val="fr-FR"/>
        </w:rPr>
      </w:pPr>
      <w:r w:rsidRPr="004F1C04">
        <w:rPr>
          <w:rFonts w:eastAsia="Traditional Arabic"/>
          <w:lang w:val="fr-FR"/>
        </w:rPr>
        <w:t>54.</w:t>
      </w:r>
      <w:r w:rsidRPr="004F1C04">
        <w:rPr>
          <w:rFonts w:eastAsia="Traditional Arabic"/>
          <w:lang w:val="fr-FR"/>
        </w:rPr>
        <w:tab/>
        <w:t>Le Plan d</w:t>
      </w:r>
      <w:r w:rsidR="00F51559">
        <w:rPr>
          <w:rFonts w:eastAsia="Traditional Arabic"/>
          <w:lang w:val="fr-FR"/>
        </w:rPr>
        <w:t>’</w:t>
      </w:r>
      <w:r w:rsidRPr="004F1C04">
        <w:rPr>
          <w:rFonts w:eastAsia="Traditional Arabic"/>
          <w:lang w:val="fr-FR"/>
        </w:rPr>
        <w:t>action national pour l</w:t>
      </w:r>
      <w:r w:rsidR="00F51559">
        <w:rPr>
          <w:rFonts w:eastAsia="Traditional Arabic"/>
          <w:lang w:val="fr-FR"/>
        </w:rPr>
        <w:t>’</w:t>
      </w:r>
      <w:r w:rsidRPr="004F1C04">
        <w:rPr>
          <w:rFonts w:eastAsia="Traditional Arabic"/>
          <w:lang w:val="fr-FR"/>
        </w:rPr>
        <w:t>enfance traite au niveau de son sixième axe de la question relative aux enfants et aux conflits armés et appelle à l</w:t>
      </w:r>
      <w:r w:rsidR="00F51559">
        <w:rPr>
          <w:rFonts w:eastAsia="Traditional Arabic"/>
          <w:lang w:val="fr-FR"/>
        </w:rPr>
        <w:t>’</w:t>
      </w:r>
      <w:r w:rsidRPr="004F1C04">
        <w:rPr>
          <w:rFonts w:eastAsia="Traditional Arabic"/>
          <w:lang w:val="fr-FR"/>
        </w:rPr>
        <w:t>application de la Charte internationale et des résolutions des Nations Unies. Le but de cet axe est d</w:t>
      </w:r>
      <w:r w:rsidR="00F51559">
        <w:rPr>
          <w:rFonts w:eastAsia="Traditional Arabic"/>
          <w:lang w:val="fr-FR"/>
        </w:rPr>
        <w:t>’</w:t>
      </w:r>
      <w:r w:rsidRPr="004F1C04">
        <w:rPr>
          <w:rFonts w:eastAsia="Traditional Arabic"/>
          <w:lang w:val="fr-FR"/>
        </w:rPr>
        <w:t>exhorter la communauté internationale à appliquer la quatrième Convention de Genève dans les territoires arabes occupés et d’organiser des conférences internationales pour remédier à cette situation, en collaboration avec le Ministère des affaires étrangères à travers «la délégation jordanienne auprès de la Ligue des États arabes, la délégation jordanienne à New York, la délégation jordanienne à Genève et la Commission nationale du droit international humanitaire». Le Gouvernement jordanien a persévéré dans son soutien aux Palestiniens et a facilité le passage de l</w:t>
      </w:r>
      <w:r w:rsidR="00F51559">
        <w:rPr>
          <w:rFonts w:eastAsia="Traditional Arabic"/>
          <w:lang w:val="fr-FR"/>
        </w:rPr>
        <w:t>’</w:t>
      </w:r>
      <w:r w:rsidRPr="004F1C04">
        <w:rPr>
          <w:rFonts w:eastAsia="Traditional Arabic"/>
          <w:lang w:val="fr-FR"/>
        </w:rPr>
        <w:t>aide humanitaire sous toutes ses formes vers les territoires occupés en Irak et en Afghanistan.</w:t>
      </w:r>
    </w:p>
    <w:p w:rsidR="00E3787F" w:rsidRPr="004F1C04" w:rsidRDefault="00E3787F" w:rsidP="0077123A">
      <w:pPr>
        <w:pStyle w:val="H23G"/>
        <w:rPr>
          <w:lang w:val="fr-FR"/>
        </w:rPr>
      </w:pPr>
      <w:r w:rsidRPr="004F1C04">
        <w:rPr>
          <w:rFonts w:eastAsia="Traditional Arabic"/>
          <w:lang w:val="fr-FR"/>
        </w:rPr>
        <w:tab/>
        <w:t>2)</w:t>
      </w:r>
      <w:r w:rsidRPr="004F1C04">
        <w:rPr>
          <w:rFonts w:eastAsia="Traditional Arabic"/>
          <w:lang w:val="fr-FR"/>
        </w:rPr>
        <w:tab/>
        <w:t xml:space="preserve">Étude sur les risques socio-psychologiques et physiques encourus par les enfants qui travaillent en Jordanie (2010) </w:t>
      </w:r>
    </w:p>
    <w:p w:rsidR="00E3787F" w:rsidRPr="004F1C04" w:rsidRDefault="00E3787F" w:rsidP="0077123A">
      <w:pPr>
        <w:pStyle w:val="SingleTxtG"/>
        <w:rPr>
          <w:lang w:val="fr-FR"/>
        </w:rPr>
      </w:pPr>
      <w:r w:rsidRPr="004F1C04">
        <w:rPr>
          <w:rFonts w:eastAsia="Traditional Arabic"/>
          <w:lang w:val="fr-FR"/>
        </w:rPr>
        <w:t>55.</w:t>
      </w:r>
      <w:r w:rsidRPr="004F1C04">
        <w:rPr>
          <w:rFonts w:eastAsia="Traditional Arabic"/>
          <w:lang w:val="fr-FR"/>
        </w:rPr>
        <w:tab/>
        <w:t>L</w:t>
      </w:r>
      <w:r w:rsidR="0072557F">
        <w:rPr>
          <w:rFonts w:eastAsia="Traditional Arabic"/>
          <w:lang w:val="fr-FR"/>
        </w:rPr>
        <w:t>’</w:t>
      </w:r>
      <w:r w:rsidRPr="004F1C04">
        <w:rPr>
          <w:rFonts w:eastAsia="Traditional Arabic"/>
          <w:lang w:val="fr-FR"/>
        </w:rPr>
        <w:t>étude sur les risques socio-psychologiques et physiques encourus par les enfants qui travaillent en Jordanie a été élaborée en 2010 par le Conseil national des affaires familiales et ce document est considéré comme le premier du genre en Jordanie. L</w:t>
      </w:r>
      <w:r w:rsidR="0072557F">
        <w:rPr>
          <w:rFonts w:eastAsia="Traditional Arabic"/>
          <w:lang w:val="fr-FR"/>
        </w:rPr>
        <w:t>’</w:t>
      </w:r>
      <w:r w:rsidRPr="004F1C04">
        <w:rPr>
          <w:rFonts w:eastAsia="Traditional Arabic"/>
          <w:lang w:val="fr-FR"/>
        </w:rPr>
        <w:t>étude a utilisé les résultats</w:t>
      </w:r>
      <w:r w:rsidR="00C00FC7">
        <w:rPr>
          <w:rFonts w:eastAsia="Traditional Arabic"/>
          <w:lang w:val="fr-FR"/>
        </w:rPr>
        <w:t xml:space="preserve"> </w:t>
      </w:r>
      <w:r w:rsidRPr="004F1C04">
        <w:rPr>
          <w:rFonts w:eastAsia="Traditional Arabic"/>
          <w:lang w:val="fr-FR"/>
        </w:rPr>
        <w:t>des examens médicaux et les réponses aux questionnaires pour mesurer l</w:t>
      </w:r>
      <w:r w:rsidR="00F51559">
        <w:rPr>
          <w:rFonts w:eastAsia="Traditional Arabic"/>
          <w:lang w:val="fr-FR"/>
        </w:rPr>
        <w:t>’</w:t>
      </w:r>
      <w:r w:rsidRPr="004F1C04">
        <w:rPr>
          <w:rFonts w:eastAsia="Traditional Arabic"/>
          <w:lang w:val="fr-FR"/>
        </w:rPr>
        <w:t>impact psychologique et social du travail des enfants. L</w:t>
      </w:r>
      <w:r w:rsidR="00F51559">
        <w:rPr>
          <w:rFonts w:eastAsia="Traditional Arabic"/>
          <w:lang w:val="fr-FR"/>
        </w:rPr>
        <w:t>’</w:t>
      </w:r>
      <w:r w:rsidRPr="004F1C04">
        <w:rPr>
          <w:rFonts w:eastAsia="Traditional Arabic"/>
          <w:lang w:val="fr-FR"/>
        </w:rPr>
        <w:t>étude a ciblé un échantillon de 4 000 enfants, indépendamment du fait qu</w:t>
      </w:r>
      <w:r w:rsidR="00F51559">
        <w:rPr>
          <w:rFonts w:eastAsia="Traditional Arabic"/>
          <w:lang w:val="fr-FR"/>
        </w:rPr>
        <w:t>’</w:t>
      </w:r>
      <w:r w:rsidRPr="004F1C04">
        <w:rPr>
          <w:rFonts w:eastAsia="Traditional Arabic"/>
          <w:lang w:val="fr-FR"/>
        </w:rPr>
        <w:t>ils travaillent ou non, issus des écoles de l</w:t>
      </w:r>
      <w:r w:rsidR="00F51559">
        <w:rPr>
          <w:rFonts w:eastAsia="Traditional Arabic"/>
          <w:lang w:val="fr-FR"/>
        </w:rPr>
        <w:t>’</w:t>
      </w:r>
      <w:r w:rsidRPr="004F1C04">
        <w:rPr>
          <w:rFonts w:eastAsia="Traditional Arabic"/>
          <w:lang w:val="fr-FR"/>
        </w:rPr>
        <w:t>UNRWA et des camps de réfugiés palestiniens.</w:t>
      </w:r>
    </w:p>
    <w:p w:rsidR="00E3787F" w:rsidRPr="004F1C04" w:rsidRDefault="0077123A" w:rsidP="0077123A">
      <w:pPr>
        <w:pStyle w:val="H23GA"/>
        <w:tabs>
          <w:tab w:val="clear" w:pos="1021"/>
          <w:tab w:val="right" w:pos="851"/>
        </w:tabs>
        <w:bidi w:val="0"/>
        <w:spacing w:before="0" w:line="240" w:lineRule="atLeast"/>
        <w:ind w:left="0" w:right="1134" w:firstLine="0"/>
        <w:rPr>
          <w:rFonts w:cs="Times New Roman"/>
          <w:szCs w:val="20"/>
          <w:lang w:val="fr-FR"/>
        </w:rPr>
      </w:pPr>
      <w:r>
        <w:rPr>
          <w:rStyle w:val="H23GCar"/>
          <w:rFonts w:eastAsia="Traditional Arabic"/>
        </w:rPr>
        <w:tab/>
      </w:r>
      <w:r w:rsidR="00E3787F" w:rsidRPr="0077123A">
        <w:rPr>
          <w:rStyle w:val="H23GCar"/>
          <w:rFonts w:eastAsia="Traditional Arabic"/>
        </w:rPr>
        <w:t>3)</w:t>
      </w:r>
      <w:r w:rsidR="00E3787F" w:rsidRPr="0077123A">
        <w:rPr>
          <w:rStyle w:val="H23GCar"/>
          <w:rFonts w:eastAsia="Traditional Arabic"/>
        </w:rPr>
        <w:tab/>
        <w:t>La stratégie nationale de lutte contre le travail des enfants (2006</w:t>
      </w:r>
      <w:r w:rsidR="00E3787F" w:rsidRPr="004F1C04">
        <w:rPr>
          <w:rFonts w:eastAsia="Traditional Arabic" w:cs="Times New Roman"/>
          <w:szCs w:val="20"/>
          <w:lang w:val="fr-FR"/>
        </w:rPr>
        <w:t>)</w:t>
      </w:r>
    </w:p>
    <w:p w:rsidR="00E3787F" w:rsidRPr="004F1C04" w:rsidRDefault="00E3787F" w:rsidP="0077123A">
      <w:pPr>
        <w:pStyle w:val="SingleTxtG"/>
        <w:rPr>
          <w:lang w:val="fr-FR"/>
        </w:rPr>
      </w:pPr>
      <w:r w:rsidRPr="004F1C04">
        <w:rPr>
          <w:rFonts w:eastAsia="Traditional Arabic"/>
          <w:lang w:val="fr-FR"/>
        </w:rPr>
        <w:t>56.</w:t>
      </w:r>
      <w:r w:rsidRPr="004F1C04">
        <w:rPr>
          <w:rFonts w:eastAsia="Traditional Arabic"/>
          <w:lang w:val="fr-FR"/>
        </w:rPr>
        <w:tab/>
        <w:t>La stratégie de lutte contre le travail des enfants, élaborée par le Ministère du travail en collaboration avec l’Organisation internationale du Travail et les organisations nationales pertinentes, appelle à l</w:t>
      </w:r>
      <w:r w:rsidR="00F51559">
        <w:rPr>
          <w:rFonts w:eastAsia="Traditional Arabic"/>
          <w:lang w:val="fr-FR"/>
        </w:rPr>
        <w:t>’</w:t>
      </w:r>
      <w:r w:rsidRPr="004F1C04">
        <w:rPr>
          <w:rFonts w:eastAsia="Traditional Arabic"/>
          <w:lang w:val="fr-FR"/>
        </w:rPr>
        <w:t>interdiction du recrutement des enfants âgés de moins 18 ans conformément aux dispositions de l</w:t>
      </w:r>
      <w:r w:rsidR="00F51559">
        <w:rPr>
          <w:rFonts w:eastAsia="Traditional Arabic"/>
          <w:lang w:val="fr-FR"/>
        </w:rPr>
        <w:t>’</w:t>
      </w:r>
      <w:r w:rsidRPr="004F1C04">
        <w:rPr>
          <w:rFonts w:eastAsia="Traditional Arabic"/>
          <w:lang w:val="fr-FR"/>
        </w:rPr>
        <w:t xml:space="preserve">article 3 de la convention </w:t>
      </w:r>
      <w:r w:rsidR="00F51559">
        <w:rPr>
          <w:rFonts w:eastAsia="Traditional Arabic"/>
          <w:lang w:val="fr-FR" w:bidi="ar-JO"/>
        </w:rPr>
        <w:t>n</w:t>
      </w:r>
      <w:r w:rsidR="00F51559">
        <w:rPr>
          <w:rFonts w:eastAsia="Traditional Arabic"/>
          <w:vertAlign w:val="superscript"/>
          <w:lang w:val="fr-FR" w:bidi="ar-JO"/>
        </w:rPr>
        <w:t>o</w:t>
      </w:r>
      <w:r w:rsidRPr="004F1C04">
        <w:rPr>
          <w:rFonts w:eastAsia="Traditional Arabic"/>
          <w:lang w:val="fr-FR"/>
        </w:rPr>
        <w:t xml:space="preserve"> 182 (1999) concernant «l</w:t>
      </w:r>
      <w:r w:rsidR="00F51559">
        <w:rPr>
          <w:rFonts w:eastAsia="Traditional Arabic"/>
          <w:lang w:val="fr-FR"/>
        </w:rPr>
        <w:t>’</w:t>
      </w:r>
      <w:r w:rsidRPr="004F1C04">
        <w:rPr>
          <w:rFonts w:eastAsia="Traditional Arabic"/>
          <w:lang w:val="fr-FR"/>
        </w:rPr>
        <w:t>interdiction des pires formes de travail des enfants et l</w:t>
      </w:r>
      <w:r w:rsidR="00F51559">
        <w:rPr>
          <w:rFonts w:eastAsia="Traditional Arabic"/>
          <w:lang w:val="fr-FR"/>
        </w:rPr>
        <w:t>’</w:t>
      </w:r>
      <w:r w:rsidRPr="004F1C04">
        <w:rPr>
          <w:rFonts w:eastAsia="Traditional Arabic"/>
          <w:lang w:val="fr-FR"/>
        </w:rPr>
        <w:t>action immédiate en vue de leur élimination», dont l</w:t>
      </w:r>
      <w:r w:rsidR="00F51559">
        <w:rPr>
          <w:rFonts w:eastAsia="Traditional Arabic"/>
          <w:lang w:val="fr-FR"/>
        </w:rPr>
        <w:t>’</w:t>
      </w:r>
      <w:r w:rsidRPr="004F1C04">
        <w:rPr>
          <w:rFonts w:eastAsia="Traditional Arabic"/>
          <w:lang w:val="fr-FR"/>
        </w:rPr>
        <w:t>article 3 dispose ce qui suit</w:t>
      </w:r>
      <w:r w:rsidR="00C17106">
        <w:rPr>
          <w:rFonts w:eastAsia="Traditional Arabic"/>
          <w:lang w:val="fr-FR"/>
        </w:rPr>
        <w:t>:</w:t>
      </w:r>
      <w:r w:rsidRPr="004F1C04">
        <w:rPr>
          <w:rFonts w:eastAsia="Traditional Arabic"/>
          <w:lang w:val="fr-FR"/>
        </w:rPr>
        <w:t xml:space="preserve"> «aux fins de la présente Convention, l</w:t>
      </w:r>
      <w:r w:rsidR="00F51559">
        <w:rPr>
          <w:rFonts w:eastAsia="Traditional Arabic"/>
          <w:lang w:val="fr-FR"/>
        </w:rPr>
        <w:t>’</w:t>
      </w:r>
      <w:r w:rsidRPr="004F1C04">
        <w:rPr>
          <w:rFonts w:eastAsia="Traditional Arabic"/>
          <w:lang w:val="fr-FR"/>
        </w:rPr>
        <w:t>expression les pires formes de travail des enfants comprend</w:t>
      </w:r>
      <w:r w:rsidR="00C17106">
        <w:rPr>
          <w:rFonts w:eastAsia="Traditional Arabic"/>
          <w:lang w:val="fr-FR"/>
        </w:rPr>
        <w:t>:</w:t>
      </w:r>
      <w:r w:rsidRPr="004F1C04">
        <w:rPr>
          <w:rFonts w:eastAsia="Traditional Arabic"/>
          <w:lang w:val="fr-FR"/>
        </w:rPr>
        <w:t xml:space="preserve"> a) toutes les formes d</w:t>
      </w:r>
      <w:r w:rsidR="00F51559">
        <w:rPr>
          <w:rFonts w:eastAsia="Traditional Arabic"/>
          <w:lang w:val="fr-FR"/>
        </w:rPr>
        <w:t>’</w:t>
      </w:r>
      <w:r w:rsidRPr="004F1C04">
        <w:rPr>
          <w:rFonts w:eastAsia="Traditional Arabic"/>
          <w:lang w:val="fr-FR"/>
        </w:rPr>
        <w:t>esclavage ou de pratiques analogues, telles que la vente et la traite des enfants, la servitude pour dettes et le servage ainsi que le travail forcé ou obligatoire, y compris le recrutement forcé ou obligatoire des enfants en vue de leur utilisation dans des conflits armés».</w:t>
      </w:r>
    </w:p>
    <w:p w:rsidR="00E3787F" w:rsidRPr="004F1C04" w:rsidRDefault="0077123A" w:rsidP="0077123A">
      <w:pPr>
        <w:pStyle w:val="H23G"/>
        <w:rPr>
          <w:lang w:val="fr-FR"/>
        </w:rPr>
      </w:pPr>
      <w:r>
        <w:rPr>
          <w:rFonts w:eastAsia="Traditional Arabic"/>
          <w:lang w:val="fr-FR"/>
        </w:rPr>
        <w:tab/>
      </w:r>
      <w:r w:rsidR="00E3787F" w:rsidRPr="004F1C04">
        <w:rPr>
          <w:rFonts w:eastAsia="Traditional Arabic"/>
          <w:lang w:val="fr-FR"/>
        </w:rPr>
        <w:t>4)</w:t>
      </w:r>
      <w:r w:rsidR="00E3787F" w:rsidRPr="004F1C04">
        <w:rPr>
          <w:rFonts w:eastAsia="Traditional Arabic"/>
          <w:lang w:val="fr-FR"/>
        </w:rPr>
        <w:tab/>
        <w:t>Étude analytique des budgets consacrés à l</w:t>
      </w:r>
      <w:r w:rsidR="00F51559">
        <w:rPr>
          <w:rFonts w:eastAsia="Traditional Arabic"/>
          <w:lang w:val="fr-FR"/>
        </w:rPr>
        <w:t>’</w:t>
      </w:r>
      <w:r w:rsidR="00E3787F" w:rsidRPr="004F1C04">
        <w:rPr>
          <w:rFonts w:eastAsia="Traditional Arabic"/>
          <w:lang w:val="fr-FR"/>
        </w:rPr>
        <w:t>enfance en Jordanie en 2009</w:t>
      </w:r>
    </w:p>
    <w:p w:rsidR="00E3787F" w:rsidRPr="004F1C04" w:rsidRDefault="00E3787F" w:rsidP="0077123A">
      <w:pPr>
        <w:pStyle w:val="SingleTxtG"/>
        <w:rPr>
          <w:lang w:val="fr-FR"/>
        </w:rPr>
      </w:pPr>
      <w:r w:rsidRPr="004F1C04">
        <w:rPr>
          <w:rFonts w:eastAsia="Traditional Arabic"/>
          <w:lang w:val="fr-FR"/>
        </w:rPr>
        <w:t>57.</w:t>
      </w:r>
      <w:r w:rsidRPr="004F1C04">
        <w:rPr>
          <w:rFonts w:eastAsia="Traditional Arabic"/>
          <w:lang w:val="fr-FR"/>
        </w:rPr>
        <w:tab/>
        <w:t>Dans le cadre des projets de budgets «amis des enfants», le Conseil national des affaires familiales, en collaboration avec l</w:t>
      </w:r>
      <w:r w:rsidR="00F51559">
        <w:rPr>
          <w:rFonts w:eastAsia="Traditional Arabic"/>
          <w:lang w:val="fr-FR"/>
        </w:rPr>
        <w:t>’</w:t>
      </w:r>
      <w:r w:rsidRPr="004F1C04">
        <w:rPr>
          <w:rFonts w:eastAsia="Traditional Arabic"/>
          <w:lang w:val="fr-FR"/>
        </w:rPr>
        <w:t>UNICEF, a réalisé une étude analytique des ressources budgétaires allouées à l’enfance en Jordanie, qui constitue une première dans la région arabe.</w:t>
      </w:r>
    </w:p>
    <w:p w:rsidR="00E3787F" w:rsidRPr="004F1C04" w:rsidRDefault="00E3787F" w:rsidP="0077123A">
      <w:pPr>
        <w:pStyle w:val="SingleTxtG"/>
        <w:rPr>
          <w:lang w:val="fr-FR"/>
        </w:rPr>
      </w:pPr>
      <w:r w:rsidRPr="004F1C04">
        <w:rPr>
          <w:rFonts w:eastAsia="Traditional Arabic"/>
          <w:lang w:val="fr-FR"/>
        </w:rPr>
        <w:t>58.</w:t>
      </w:r>
      <w:r w:rsidRPr="004F1C04">
        <w:rPr>
          <w:rFonts w:eastAsia="Traditional Arabic"/>
          <w:lang w:val="fr-FR"/>
        </w:rPr>
        <w:tab/>
        <w:t>Le but de cette étude est de fournir une base de données permettant de réaliser un suivi continu des budgets consacrés à l’enfance en Jordanie à travers l</w:t>
      </w:r>
      <w:r w:rsidR="00F51559">
        <w:rPr>
          <w:rFonts w:eastAsia="Traditional Arabic"/>
          <w:lang w:val="fr-FR"/>
        </w:rPr>
        <w:t>’</w:t>
      </w:r>
      <w:r w:rsidRPr="004F1C04">
        <w:rPr>
          <w:rFonts w:eastAsia="Traditional Arabic"/>
          <w:lang w:val="fr-FR"/>
        </w:rPr>
        <w:t>analyse des politiques, des plans et des budgets au regard de l</w:t>
      </w:r>
      <w:r w:rsidR="00F51559">
        <w:rPr>
          <w:rFonts w:eastAsia="Traditional Arabic"/>
          <w:lang w:val="fr-FR"/>
        </w:rPr>
        <w:t>’</w:t>
      </w:r>
      <w:r w:rsidRPr="004F1C04">
        <w:rPr>
          <w:rFonts w:eastAsia="Traditional Arabic"/>
          <w:lang w:val="fr-FR"/>
        </w:rPr>
        <w:t>approche des droits de l</w:t>
      </w:r>
      <w:r w:rsidR="00F51559">
        <w:rPr>
          <w:rFonts w:eastAsia="Traditional Arabic"/>
          <w:lang w:val="fr-FR"/>
        </w:rPr>
        <w:t>’</w:t>
      </w:r>
      <w:r w:rsidRPr="004F1C04">
        <w:rPr>
          <w:rFonts w:eastAsia="Traditional Arabic"/>
          <w:lang w:val="fr-FR"/>
        </w:rPr>
        <w:t>enfant dans quatre secteurs (développement, éducation, santé et emploi), et ce, afin de recueillir des informations susceptibles d’être utilisées pour la mobilisation des moyens nécessaires à la mise en œuvre ces droits.</w:t>
      </w:r>
    </w:p>
    <w:p w:rsidR="00E3787F" w:rsidRPr="004F1C04" w:rsidRDefault="00E3787F" w:rsidP="0077123A">
      <w:pPr>
        <w:pStyle w:val="SingleTxtG"/>
        <w:rPr>
          <w:lang w:val="fr-FR"/>
        </w:rPr>
      </w:pPr>
      <w:r w:rsidRPr="004F1C04">
        <w:rPr>
          <w:rFonts w:eastAsia="Traditional Arabic"/>
          <w:lang w:val="fr-FR"/>
        </w:rPr>
        <w:t>59.</w:t>
      </w:r>
      <w:r w:rsidRPr="004F1C04">
        <w:rPr>
          <w:rFonts w:eastAsia="Traditional Arabic"/>
          <w:lang w:val="fr-FR"/>
        </w:rPr>
        <w:tab/>
        <w:t>Cette étude est fondée sur un budget triennal (Cadre de dépenses à moyen terme) qui se focalise sur les objectifs et les allocations budgétaires prévus pour les années 2008 à 2011. Elle constitue ainsi une base de données permettant d</w:t>
      </w:r>
      <w:r w:rsidR="00DC3A9E">
        <w:rPr>
          <w:rFonts w:eastAsia="Traditional Arabic"/>
          <w:lang w:val="fr-FR"/>
        </w:rPr>
        <w:t>’</w:t>
      </w:r>
      <w:r w:rsidRPr="004F1C04">
        <w:rPr>
          <w:rFonts w:eastAsia="Traditional Arabic"/>
          <w:lang w:val="fr-FR"/>
        </w:rPr>
        <w:t>assurer le suivi des projections futures du gouvernement jordanien au regard des performances précédentes réalisées en matière de prestations de services.</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Vulgarisation du droit international humanitaire</w:t>
      </w:r>
    </w:p>
    <w:p w:rsidR="00E3787F" w:rsidRPr="004F1C04" w:rsidRDefault="00E3787F" w:rsidP="0077123A">
      <w:pPr>
        <w:pStyle w:val="SingleTxtG"/>
        <w:rPr>
          <w:lang w:val="fr-FR"/>
        </w:rPr>
      </w:pPr>
      <w:r w:rsidRPr="004F1C04">
        <w:rPr>
          <w:rFonts w:eastAsia="Traditional Arabic"/>
          <w:lang w:val="fr-FR"/>
        </w:rPr>
        <w:t>60.</w:t>
      </w:r>
      <w:r w:rsidRPr="004F1C04">
        <w:rPr>
          <w:rFonts w:eastAsia="Traditional Arabic"/>
          <w:lang w:val="fr-FR"/>
        </w:rPr>
        <w:tab/>
        <w:t>Il s’agit d</w:t>
      </w:r>
      <w:r w:rsidR="0072557F">
        <w:rPr>
          <w:rFonts w:eastAsia="Traditional Arabic"/>
          <w:lang w:val="fr-FR"/>
        </w:rPr>
        <w:t>’</w:t>
      </w:r>
      <w:r w:rsidRPr="004F1C04">
        <w:rPr>
          <w:rFonts w:eastAsia="Traditional Arabic"/>
          <w:lang w:val="fr-FR"/>
        </w:rPr>
        <w:t>un programme éducatif destiné a mieux faire connaître aux jeunes âgés de 13 à 18 ans les règles et principes du droit international humanitaire et les autres règles connexes. Ce programme a été mis en œuvre par le Ministère de l</w:t>
      </w:r>
      <w:r w:rsidR="00DC3A9E">
        <w:rPr>
          <w:rFonts w:eastAsia="Traditional Arabic"/>
          <w:lang w:val="fr-FR"/>
        </w:rPr>
        <w:t>’</w:t>
      </w:r>
      <w:r w:rsidRPr="004F1C04">
        <w:rPr>
          <w:rFonts w:eastAsia="Traditional Arabic"/>
          <w:lang w:val="fr-FR"/>
        </w:rPr>
        <w:t>éducation. La première phase du programme, qui a débuté fin 2002, a consisté à mettre en œuvre une action de sensibilisation aux concepts et règles de procédure du programme, adaptée au contexte et aux niveaux des élèves jordaniens</w:t>
      </w:r>
      <w:r w:rsidR="00C17106">
        <w:rPr>
          <w:rFonts w:eastAsia="Traditional Arabic"/>
          <w:lang w:val="fr-FR"/>
        </w:rPr>
        <w:t>;</w:t>
      </w:r>
      <w:r w:rsidRPr="004F1C04">
        <w:rPr>
          <w:rFonts w:eastAsia="Traditional Arabic"/>
          <w:lang w:val="fr-FR"/>
        </w:rPr>
        <w:t xml:space="preserve"> ainsi qu’à organiser un certain nombre d</w:t>
      </w:r>
      <w:r w:rsidR="00DC3A9E">
        <w:rPr>
          <w:rFonts w:eastAsia="Traditional Arabic"/>
          <w:lang w:val="fr-FR"/>
        </w:rPr>
        <w:t>’</w:t>
      </w:r>
      <w:r w:rsidRPr="004F1C04">
        <w:rPr>
          <w:rFonts w:eastAsia="Traditional Arabic"/>
          <w:lang w:val="fr-FR"/>
        </w:rPr>
        <w:t>ateliers de formation à l</w:t>
      </w:r>
      <w:r w:rsidR="00DC3A9E">
        <w:rPr>
          <w:rFonts w:eastAsia="Traditional Arabic"/>
          <w:lang w:val="fr-FR"/>
        </w:rPr>
        <w:t>’</w:t>
      </w:r>
      <w:r w:rsidRPr="004F1C04">
        <w:rPr>
          <w:rFonts w:eastAsia="Traditional Arabic"/>
          <w:lang w:val="fr-FR"/>
        </w:rPr>
        <w:t>intention des éducateurs et des enseignants dans ce domaine. En 2005, le programme a été appliqué dans les écoles et a ciblé les élèves des deux sexes (garçons et filles) des classes de 7</w:t>
      </w:r>
      <w:r w:rsidRPr="004F1C04">
        <w:rPr>
          <w:rFonts w:eastAsia="Traditional Arabic"/>
          <w:vertAlign w:val="superscript"/>
          <w:lang w:val="fr-FR"/>
        </w:rPr>
        <w:t>ème</w:t>
      </w:r>
      <w:r w:rsidRPr="004F1C04">
        <w:rPr>
          <w:rFonts w:eastAsia="Traditional Arabic"/>
          <w:lang w:val="fr-FR"/>
        </w:rPr>
        <w:t xml:space="preserve"> année primaire à la 1</w:t>
      </w:r>
      <w:r w:rsidRPr="004F1C04">
        <w:rPr>
          <w:rFonts w:eastAsia="Traditional Arabic"/>
          <w:vertAlign w:val="superscript"/>
          <w:lang w:val="fr-FR"/>
        </w:rPr>
        <w:t>ère</w:t>
      </w:r>
      <w:r w:rsidRPr="004F1C04">
        <w:rPr>
          <w:rFonts w:eastAsia="Traditional Arabic"/>
          <w:lang w:val="fr-FR"/>
        </w:rPr>
        <w:t xml:space="preserve"> année secondaire</w:t>
      </w:r>
      <w:r w:rsidR="00C17106">
        <w:rPr>
          <w:rFonts w:eastAsia="Traditional Arabic"/>
          <w:lang w:val="fr-FR"/>
        </w:rPr>
        <w:t>;</w:t>
      </w:r>
      <w:r w:rsidRPr="004F1C04">
        <w:rPr>
          <w:rFonts w:eastAsia="Traditional Arabic"/>
          <w:lang w:val="fr-FR"/>
        </w:rPr>
        <w:t xml:space="preserve"> sa mise en œuvre s</w:t>
      </w:r>
      <w:r w:rsidR="00DC3A9E">
        <w:rPr>
          <w:rFonts w:eastAsia="Traditional Arabic"/>
          <w:lang w:val="fr-FR"/>
        </w:rPr>
        <w:t>’</w:t>
      </w:r>
      <w:r w:rsidRPr="004F1C04">
        <w:rPr>
          <w:rFonts w:eastAsia="Traditional Arabic"/>
          <w:lang w:val="fr-FR"/>
        </w:rPr>
        <w:t>est poursuivie pendant quatre années scolaires consécutives.</w:t>
      </w:r>
    </w:p>
    <w:p w:rsidR="00E3787F" w:rsidRPr="004F1C04" w:rsidRDefault="00E3787F" w:rsidP="0077123A">
      <w:pPr>
        <w:pStyle w:val="H1G"/>
      </w:pPr>
      <w:bookmarkStart w:id="38" w:name="_Toc350173956"/>
      <w:r w:rsidRPr="004F1C04">
        <w:tab/>
      </w:r>
      <w:bookmarkStart w:id="39" w:name="_Toc358307249"/>
      <w:r w:rsidRPr="004F1C04">
        <w:t>F.</w:t>
      </w:r>
      <w:r w:rsidR="0077123A">
        <w:tab/>
      </w:r>
      <w:r w:rsidRPr="004F1C04">
        <w:t>Campagnes et mesures adoptées pour mieux faire connaître les dispositions du Protocole</w:t>
      </w:r>
      <w:bookmarkEnd w:id="38"/>
      <w:bookmarkEnd w:id="39"/>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La promotion de la culture de la paix à travers l</w:t>
      </w:r>
      <w:r w:rsidR="005079C9">
        <w:rPr>
          <w:rFonts w:eastAsia="Traditional Arabic"/>
          <w:lang w:val="fr-FR"/>
        </w:rPr>
        <w:t>’</w:t>
      </w:r>
      <w:r w:rsidRPr="004F1C04">
        <w:rPr>
          <w:rFonts w:eastAsia="Traditional Arabic"/>
          <w:lang w:val="fr-FR"/>
        </w:rPr>
        <w:t>éducation</w:t>
      </w:r>
    </w:p>
    <w:p w:rsidR="00E3787F" w:rsidRPr="004F1C04" w:rsidRDefault="00E3787F" w:rsidP="0077123A">
      <w:pPr>
        <w:pStyle w:val="SingleTxtG"/>
        <w:rPr>
          <w:lang w:val="fr-FR"/>
        </w:rPr>
      </w:pPr>
      <w:r w:rsidRPr="004F1C04">
        <w:rPr>
          <w:rFonts w:eastAsia="Traditional Arabic"/>
          <w:lang w:val="fr-FR"/>
        </w:rPr>
        <w:t>61.</w:t>
      </w:r>
      <w:r w:rsidRPr="004F1C04">
        <w:rPr>
          <w:rFonts w:eastAsia="Traditional Arabic"/>
          <w:lang w:val="fr-FR"/>
        </w:rPr>
        <w:tab/>
        <w:t>Le Ministère de l</w:t>
      </w:r>
      <w:r w:rsidR="005079C9">
        <w:rPr>
          <w:rFonts w:eastAsia="Traditional Arabic"/>
          <w:lang w:val="fr-FR"/>
        </w:rPr>
        <w:t>’</w:t>
      </w:r>
      <w:r w:rsidRPr="004F1C04">
        <w:rPr>
          <w:rFonts w:eastAsia="Traditional Arabic"/>
          <w:lang w:val="fr-FR"/>
        </w:rPr>
        <w:t>éducation s</w:t>
      </w:r>
      <w:r w:rsidR="005079C9">
        <w:rPr>
          <w:rFonts w:eastAsia="Traditional Arabic"/>
          <w:lang w:val="fr-FR"/>
        </w:rPr>
        <w:t>’</w:t>
      </w:r>
      <w:r w:rsidRPr="004F1C04">
        <w:rPr>
          <w:rFonts w:eastAsia="Traditional Arabic"/>
          <w:lang w:val="fr-FR"/>
        </w:rPr>
        <w:t>est attaché à diffuser les concepts d</w:t>
      </w:r>
      <w:r w:rsidR="005079C9">
        <w:rPr>
          <w:rFonts w:eastAsia="Traditional Arabic"/>
          <w:lang w:val="fr-FR"/>
        </w:rPr>
        <w:t>’</w:t>
      </w:r>
      <w:r w:rsidRPr="004F1C04">
        <w:rPr>
          <w:rFonts w:eastAsia="Traditional Arabic"/>
          <w:lang w:val="fr-FR"/>
        </w:rPr>
        <w:t>une culture de la paix, et ce, en intégrant ces concepts dans les manuels scolaires, tout en mettant l</w:t>
      </w:r>
      <w:r w:rsidR="005079C9">
        <w:rPr>
          <w:rFonts w:eastAsia="Traditional Arabic"/>
          <w:lang w:val="fr-FR"/>
        </w:rPr>
        <w:t>’</w:t>
      </w:r>
      <w:r w:rsidRPr="004F1C04">
        <w:rPr>
          <w:rFonts w:eastAsia="Traditional Arabic"/>
          <w:lang w:val="fr-FR"/>
        </w:rPr>
        <w:t>accent sur le comportement et les modes de vie que doivent adopter les élèves pour régler tout différend de manière pacifique dans le respect de la dignité humaine, de la tolérance et de la non-discrimination entre les sexes</w:t>
      </w:r>
      <w:r w:rsidR="00C17106">
        <w:rPr>
          <w:rFonts w:eastAsia="Traditional Arabic"/>
          <w:lang w:val="fr-FR"/>
        </w:rPr>
        <w:t>;</w:t>
      </w:r>
      <w:r w:rsidRPr="004F1C04">
        <w:rPr>
          <w:rFonts w:eastAsia="Traditional Arabic"/>
          <w:lang w:val="fr-FR"/>
        </w:rPr>
        <w:t xml:space="preserve"> ainsi qu’en intégrant dans les programmes et manuels scolaires un certain nombre d</w:t>
      </w:r>
      <w:r w:rsidR="005079C9">
        <w:rPr>
          <w:rFonts w:eastAsia="Traditional Arabic"/>
          <w:lang w:val="fr-FR"/>
        </w:rPr>
        <w:t>’a</w:t>
      </w:r>
      <w:r w:rsidRPr="004F1C04">
        <w:rPr>
          <w:rFonts w:eastAsia="Traditional Arabic"/>
          <w:lang w:val="fr-FR"/>
        </w:rPr>
        <w:t>ctivités, d</w:t>
      </w:r>
      <w:r w:rsidR="005079C9">
        <w:rPr>
          <w:rFonts w:eastAsia="Traditional Arabic"/>
          <w:lang w:val="fr-FR"/>
        </w:rPr>
        <w:t>’</w:t>
      </w:r>
      <w:r w:rsidRPr="004F1C04">
        <w:rPr>
          <w:rFonts w:eastAsia="Traditional Arabic"/>
          <w:lang w:val="fr-FR"/>
        </w:rPr>
        <w:t>attitudes, de valeurs et de comportements positifs visant à inculquer les valeurs d</w:t>
      </w:r>
      <w:r w:rsidR="005079C9">
        <w:rPr>
          <w:rFonts w:eastAsia="Traditional Arabic"/>
          <w:lang w:val="fr-FR"/>
        </w:rPr>
        <w:t>’</w:t>
      </w:r>
      <w:r w:rsidRPr="004F1C04">
        <w:rPr>
          <w:rFonts w:eastAsia="Traditional Arabic"/>
          <w:lang w:val="fr-FR"/>
        </w:rPr>
        <w:t>une culture de la paix, à rejeter la violence et l</w:t>
      </w:r>
      <w:r w:rsidR="005079C9">
        <w:rPr>
          <w:rFonts w:eastAsia="Traditional Arabic"/>
          <w:lang w:val="fr-FR"/>
        </w:rPr>
        <w:t>’</w:t>
      </w:r>
      <w:r w:rsidRPr="004F1C04">
        <w:rPr>
          <w:rFonts w:eastAsia="Traditional Arabic"/>
          <w:lang w:val="fr-FR"/>
        </w:rPr>
        <w:t>extrémisme sous toutes leurs formes et à sensibiliser les communautés à leurs conséquences</w:t>
      </w:r>
      <w:r w:rsidR="00C17106">
        <w:rPr>
          <w:rFonts w:eastAsia="Traditional Arabic"/>
          <w:lang w:val="fr-FR"/>
        </w:rPr>
        <w:t>;</w:t>
      </w:r>
      <w:r w:rsidRPr="004F1C04">
        <w:rPr>
          <w:rFonts w:eastAsia="Traditional Arabic"/>
          <w:lang w:val="fr-FR"/>
        </w:rPr>
        <w:t xml:space="preserve"> de même qu’en encourageant et en renforçant les efforts déployés par les acteurs actifs dans ce domaine au niveau des médias, notamment l’Organisation des Nations Unies pour l’éducation, la science et la culture (UNESCO), qui visent à développer et à promouvoir les valeurs et compétences propices à une culture de la paix par l</w:t>
      </w:r>
      <w:r w:rsidR="005079C9">
        <w:rPr>
          <w:rFonts w:eastAsia="Traditional Arabic"/>
          <w:lang w:val="fr-FR"/>
        </w:rPr>
        <w:t>’</w:t>
      </w:r>
      <w:r w:rsidRPr="004F1C04">
        <w:rPr>
          <w:rFonts w:eastAsia="Traditional Arabic"/>
          <w:lang w:val="fr-FR"/>
        </w:rPr>
        <w:t xml:space="preserve">éducation et la promotion du dialogue. </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Mesures prises pour instaurer un développement économique et social durable</w:t>
      </w:r>
    </w:p>
    <w:p w:rsidR="00E3787F" w:rsidRPr="004F1C04" w:rsidRDefault="00E3787F" w:rsidP="0077123A">
      <w:pPr>
        <w:pStyle w:val="SingleTxtG"/>
        <w:rPr>
          <w:lang w:val="fr-FR"/>
        </w:rPr>
      </w:pPr>
      <w:r w:rsidRPr="004F1C04">
        <w:rPr>
          <w:rFonts w:eastAsia="Traditional Arabic"/>
          <w:lang w:val="fr-FR"/>
        </w:rPr>
        <w:t>62.</w:t>
      </w:r>
      <w:r w:rsidRPr="004F1C04">
        <w:rPr>
          <w:rFonts w:eastAsia="Traditional Arabic"/>
          <w:lang w:val="fr-FR"/>
        </w:rPr>
        <w:tab/>
        <w:t>Le Ministère de l</w:t>
      </w:r>
      <w:r w:rsidR="005079C9">
        <w:rPr>
          <w:rFonts w:eastAsia="Traditional Arabic"/>
          <w:lang w:val="fr-FR"/>
        </w:rPr>
        <w:t>’</w:t>
      </w:r>
      <w:r w:rsidRPr="004F1C04">
        <w:rPr>
          <w:rFonts w:eastAsia="Traditional Arabic"/>
          <w:lang w:val="fr-FR"/>
        </w:rPr>
        <w:t>éducation a participé à la diffusion des concepts de développement économique et social en intégrant un certain nombre des concepts de développement durable dans les programmes et les manuels scolaires. À cet égard la Jordanie a mis en œuvre un projet d</w:t>
      </w:r>
      <w:r w:rsidR="005079C9">
        <w:rPr>
          <w:rFonts w:eastAsia="Traditional Arabic"/>
          <w:lang w:val="fr-FR"/>
        </w:rPr>
        <w:t>’</w:t>
      </w:r>
      <w:r w:rsidRPr="004F1C04">
        <w:rPr>
          <w:rFonts w:eastAsia="Traditional Arabic"/>
          <w:lang w:val="fr-FR"/>
        </w:rPr>
        <w:t>éducation à l</w:t>
      </w:r>
      <w:r w:rsidR="005079C9">
        <w:rPr>
          <w:rFonts w:eastAsia="Traditional Arabic"/>
          <w:lang w:val="fr-FR"/>
        </w:rPr>
        <w:t>’</w:t>
      </w:r>
      <w:r w:rsidRPr="004F1C04">
        <w:rPr>
          <w:rFonts w:eastAsia="Traditional Arabic"/>
          <w:lang w:val="fr-FR"/>
        </w:rPr>
        <w:t>économie de la connaissance (2003-2008).</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Mesures adoptées pour assurer la promotion et le respect de la culture des droits de l</w:t>
      </w:r>
      <w:r w:rsidR="0072557F">
        <w:rPr>
          <w:rFonts w:eastAsia="Traditional Arabic"/>
          <w:lang w:val="fr-FR"/>
        </w:rPr>
        <w:t>’</w:t>
      </w:r>
      <w:r w:rsidRPr="004F1C04">
        <w:rPr>
          <w:rFonts w:eastAsia="Traditional Arabic"/>
          <w:lang w:val="fr-FR"/>
        </w:rPr>
        <w:t>homme</w:t>
      </w:r>
    </w:p>
    <w:p w:rsidR="00E3787F" w:rsidRPr="004F1C04" w:rsidRDefault="00E3787F" w:rsidP="0077123A">
      <w:pPr>
        <w:pStyle w:val="SingleTxtG"/>
        <w:rPr>
          <w:lang w:val="fr-FR"/>
        </w:rPr>
      </w:pPr>
      <w:r w:rsidRPr="004F1C04">
        <w:rPr>
          <w:rFonts w:eastAsia="Traditional Arabic"/>
          <w:lang w:val="fr-FR"/>
        </w:rPr>
        <w:t>63.</w:t>
      </w:r>
      <w:r w:rsidRPr="004F1C04">
        <w:rPr>
          <w:rFonts w:eastAsia="Traditional Arabic"/>
          <w:lang w:val="fr-FR"/>
        </w:rPr>
        <w:tab/>
        <w:t>Le Ministère de l</w:t>
      </w:r>
      <w:r w:rsidR="005079C9">
        <w:rPr>
          <w:rFonts w:eastAsia="Traditional Arabic"/>
          <w:lang w:val="fr-FR"/>
        </w:rPr>
        <w:t>’</w:t>
      </w:r>
      <w:r w:rsidRPr="004F1C04">
        <w:rPr>
          <w:rFonts w:eastAsia="Traditional Arabic"/>
          <w:lang w:val="fr-FR"/>
        </w:rPr>
        <w:t>éducation a élaboré un module relatif à la culture de la paix, aux droits de l</w:t>
      </w:r>
      <w:r w:rsidR="005079C9">
        <w:rPr>
          <w:rFonts w:eastAsia="Traditional Arabic"/>
          <w:lang w:val="fr-FR"/>
        </w:rPr>
        <w:t>’</w:t>
      </w:r>
      <w:r w:rsidRPr="004F1C04">
        <w:rPr>
          <w:rFonts w:eastAsia="Traditional Arabic"/>
          <w:lang w:val="fr-FR"/>
        </w:rPr>
        <w:t>homme et aux valeurs universelles partagées, pouvant être intégré dans les programmes et manuels scolaires en tant qu’outil efficace permettant aux apprenants d</w:t>
      </w:r>
      <w:r w:rsidR="005079C9">
        <w:rPr>
          <w:rFonts w:eastAsia="Traditional Arabic"/>
          <w:lang w:val="fr-FR"/>
        </w:rPr>
        <w:t>’</w:t>
      </w:r>
      <w:r w:rsidRPr="004F1C04">
        <w:rPr>
          <w:rFonts w:eastAsia="Traditional Arabic"/>
          <w:lang w:val="fr-FR"/>
        </w:rPr>
        <w:t>acquérir les connaissances, compétences et qualifications susceptibles de les préparer à interagir d’un point de vue socioculturel, économique et politique, ce qui peut avoir un impact positif sur les apprenants au niveau de la formation de leur personnalité, sur leurs familles et leurs communautés et sur leurs relations avec les autres collectivités à l</w:t>
      </w:r>
      <w:r w:rsidR="005079C9">
        <w:rPr>
          <w:rFonts w:eastAsia="Traditional Arabic"/>
          <w:lang w:val="fr-FR"/>
        </w:rPr>
        <w:t>’</w:t>
      </w:r>
      <w:r w:rsidRPr="004F1C04">
        <w:rPr>
          <w:rFonts w:eastAsia="Traditional Arabic"/>
          <w:lang w:val="fr-FR"/>
        </w:rPr>
        <w:t>avenir. Les programmes et manuels scolaires comportent également un certain nombre de concepts liés aux droits de l</w:t>
      </w:r>
      <w:r w:rsidR="005079C9">
        <w:rPr>
          <w:rFonts w:eastAsia="Traditional Arabic"/>
          <w:lang w:val="fr-FR"/>
        </w:rPr>
        <w:t>’</w:t>
      </w:r>
      <w:r w:rsidRPr="004F1C04">
        <w:rPr>
          <w:rFonts w:eastAsia="Traditional Arabic"/>
          <w:lang w:val="fr-FR"/>
        </w:rPr>
        <w:t>homme.</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Mesures adoptées par le Ministère de l</w:t>
      </w:r>
      <w:r w:rsidR="005079C9">
        <w:rPr>
          <w:rFonts w:eastAsia="Traditional Arabic"/>
          <w:lang w:val="fr-FR"/>
        </w:rPr>
        <w:t>’</w:t>
      </w:r>
      <w:r w:rsidRPr="004F1C04">
        <w:rPr>
          <w:rFonts w:eastAsia="Traditional Arabic"/>
          <w:lang w:val="fr-FR"/>
        </w:rPr>
        <w:t>éducation pour intégrer les droits de l</w:t>
      </w:r>
      <w:r w:rsidR="005079C9">
        <w:rPr>
          <w:rFonts w:eastAsia="Traditional Arabic"/>
          <w:lang w:val="fr-FR"/>
        </w:rPr>
        <w:t>’</w:t>
      </w:r>
      <w:r w:rsidRPr="004F1C04">
        <w:rPr>
          <w:rFonts w:eastAsia="Traditional Arabic"/>
          <w:lang w:val="fr-FR"/>
        </w:rPr>
        <w:t>homme dans les programmes et manuels scolaires</w:t>
      </w:r>
    </w:p>
    <w:p w:rsidR="00E3787F" w:rsidRPr="004F1C04" w:rsidRDefault="00E3787F" w:rsidP="0077123A">
      <w:pPr>
        <w:pStyle w:val="SingleTxtG"/>
        <w:rPr>
          <w:lang w:val="fr-FR"/>
        </w:rPr>
      </w:pPr>
      <w:r w:rsidRPr="004F1C04">
        <w:rPr>
          <w:rFonts w:eastAsia="Traditional Arabic"/>
          <w:lang w:val="fr-FR"/>
        </w:rPr>
        <w:t>64.</w:t>
      </w:r>
      <w:r w:rsidRPr="004F1C04">
        <w:rPr>
          <w:rFonts w:eastAsia="Traditional Arabic"/>
          <w:lang w:val="fr-FR"/>
        </w:rPr>
        <w:tab/>
        <w:t>Des ateliers de sensibilisation aux concepts des droits de l</w:t>
      </w:r>
      <w:r w:rsidR="0041394F">
        <w:rPr>
          <w:rFonts w:eastAsia="Traditional Arabic"/>
          <w:lang w:val="fr-FR"/>
        </w:rPr>
        <w:t>’</w:t>
      </w:r>
      <w:r w:rsidRPr="004F1C04">
        <w:rPr>
          <w:rFonts w:eastAsia="Traditional Arabic"/>
          <w:lang w:val="fr-FR"/>
        </w:rPr>
        <w:t>homme et aux techniques d</w:t>
      </w:r>
      <w:r w:rsidR="0041394F">
        <w:rPr>
          <w:rFonts w:eastAsia="Traditional Arabic"/>
          <w:lang w:val="fr-FR"/>
        </w:rPr>
        <w:t>’</w:t>
      </w:r>
      <w:r w:rsidRPr="004F1C04">
        <w:rPr>
          <w:rFonts w:eastAsia="Traditional Arabic"/>
          <w:lang w:val="fr-FR"/>
        </w:rPr>
        <w:t>intégration des concepts des droits de l</w:t>
      </w:r>
      <w:r w:rsidR="0041394F">
        <w:rPr>
          <w:rFonts w:eastAsia="Traditional Arabic"/>
          <w:lang w:val="fr-FR"/>
        </w:rPr>
        <w:t>’</w:t>
      </w:r>
      <w:r w:rsidRPr="004F1C04">
        <w:rPr>
          <w:rFonts w:eastAsia="Traditional Arabic"/>
          <w:lang w:val="fr-FR"/>
        </w:rPr>
        <w:t>homme dans les manuels et les programmes scolaires, ont été organisés à l</w:t>
      </w:r>
      <w:r w:rsidR="0041394F">
        <w:rPr>
          <w:rFonts w:eastAsia="Traditional Arabic"/>
          <w:lang w:val="fr-FR"/>
        </w:rPr>
        <w:t>’</w:t>
      </w:r>
      <w:r w:rsidRPr="004F1C04">
        <w:rPr>
          <w:rFonts w:eastAsia="Traditional Arabic"/>
          <w:lang w:val="fr-FR"/>
        </w:rPr>
        <w:t>intention des personnes chargées de l</w:t>
      </w:r>
      <w:r w:rsidR="0041394F">
        <w:rPr>
          <w:rFonts w:eastAsia="Traditional Arabic"/>
          <w:lang w:val="fr-FR"/>
        </w:rPr>
        <w:t>’</w:t>
      </w:r>
      <w:r w:rsidRPr="004F1C04">
        <w:rPr>
          <w:rFonts w:eastAsia="Traditional Arabic"/>
          <w:lang w:val="fr-FR"/>
        </w:rPr>
        <w:t>élaboration desdits programmes et manuels. Un module relatif à l’intégration des concepts des droits de l</w:t>
      </w:r>
      <w:r w:rsidR="0041394F">
        <w:rPr>
          <w:rFonts w:eastAsia="Traditional Arabic"/>
          <w:lang w:val="fr-FR"/>
        </w:rPr>
        <w:t>’</w:t>
      </w:r>
      <w:r w:rsidRPr="004F1C04">
        <w:rPr>
          <w:rFonts w:eastAsia="Traditional Arabic"/>
          <w:lang w:val="fr-FR"/>
        </w:rPr>
        <w:t>homme dans les programmes et manuels scolaires de l</w:t>
      </w:r>
      <w:r w:rsidR="0041394F">
        <w:rPr>
          <w:rFonts w:eastAsia="Traditional Arabic"/>
          <w:lang w:val="fr-FR"/>
        </w:rPr>
        <w:t>’</w:t>
      </w:r>
      <w:r w:rsidRPr="004F1C04">
        <w:rPr>
          <w:rFonts w:eastAsia="Traditional Arabic"/>
          <w:lang w:val="fr-FR"/>
        </w:rPr>
        <w:t>enseignement de base, a également été élaboré. Des activités d</w:t>
      </w:r>
      <w:r w:rsidR="0041394F">
        <w:rPr>
          <w:rFonts w:eastAsia="Traditional Arabic"/>
          <w:lang w:val="fr-FR"/>
        </w:rPr>
        <w:t>’</w:t>
      </w:r>
      <w:r w:rsidRPr="004F1C04">
        <w:rPr>
          <w:rFonts w:eastAsia="Traditional Arabic"/>
          <w:lang w:val="fr-FR"/>
        </w:rPr>
        <w:t>enrichissement des manuels au moyen de concepts relatifs aux droits de l</w:t>
      </w:r>
      <w:r w:rsidR="0041394F">
        <w:rPr>
          <w:rFonts w:eastAsia="Traditional Arabic"/>
          <w:lang w:val="fr-FR"/>
        </w:rPr>
        <w:t>’</w:t>
      </w:r>
      <w:r w:rsidRPr="004F1C04">
        <w:rPr>
          <w:rFonts w:eastAsia="Traditional Arabic"/>
          <w:lang w:val="fr-FR"/>
        </w:rPr>
        <w:t>homme ont été menées en vue de l’intégration de ces concepts dans les nouveaux manuels. Les nouvelles versions des manuels scolaires font ainsi la part belle aux concepts des droits de l</w:t>
      </w:r>
      <w:r w:rsidR="0041394F">
        <w:rPr>
          <w:rFonts w:eastAsia="Traditional Arabic"/>
          <w:lang w:val="fr-FR"/>
        </w:rPr>
        <w:t>’</w:t>
      </w:r>
      <w:r w:rsidRPr="004F1C04">
        <w:rPr>
          <w:rFonts w:eastAsia="Traditional Arabic"/>
          <w:lang w:val="fr-FR"/>
        </w:rPr>
        <w:t>homme et des chapitres entiers abordent notamment les questions relatives aux droits de l</w:t>
      </w:r>
      <w:r w:rsidR="0041394F">
        <w:rPr>
          <w:rFonts w:eastAsia="Traditional Arabic"/>
          <w:lang w:val="fr-FR"/>
        </w:rPr>
        <w:t>’</w:t>
      </w:r>
      <w:r w:rsidRPr="004F1C04">
        <w:rPr>
          <w:rFonts w:eastAsia="Traditional Arabic"/>
          <w:lang w:val="fr-FR"/>
        </w:rPr>
        <w:t>homme, des femmes et de l</w:t>
      </w:r>
      <w:r w:rsidR="0041394F">
        <w:rPr>
          <w:rFonts w:eastAsia="Traditional Arabic"/>
          <w:lang w:val="fr-FR"/>
        </w:rPr>
        <w:t>’</w:t>
      </w:r>
      <w:r w:rsidRPr="004F1C04">
        <w:rPr>
          <w:rFonts w:eastAsia="Traditional Arabic"/>
          <w:lang w:val="fr-FR"/>
        </w:rPr>
        <w:t>enfant et à la promotion de l</w:t>
      </w:r>
      <w:r w:rsidR="0041394F">
        <w:rPr>
          <w:rFonts w:eastAsia="Traditional Arabic"/>
          <w:lang w:val="fr-FR"/>
        </w:rPr>
        <w:t>’</w:t>
      </w:r>
      <w:r w:rsidRPr="004F1C04">
        <w:rPr>
          <w:rFonts w:eastAsia="Traditional Arabic"/>
          <w:lang w:val="fr-FR"/>
        </w:rPr>
        <w:t>égalité des sexes.</w:t>
      </w:r>
    </w:p>
    <w:p w:rsidR="00E3787F" w:rsidRPr="004F1C04" w:rsidRDefault="00E3787F" w:rsidP="0077123A">
      <w:pPr>
        <w:pStyle w:val="H23G"/>
        <w:rPr>
          <w:lang w:val="fr-FR"/>
        </w:rPr>
      </w:pPr>
      <w:r w:rsidRPr="004F1C04">
        <w:rPr>
          <w:rFonts w:eastAsia="Traditional Arabic"/>
          <w:lang w:val="fr-FR"/>
        </w:rPr>
        <w:tab/>
      </w:r>
      <w:r w:rsidRPr="004F1C04">
        <w:rPr>
          <w:rFonts w:eastAsia="Traditional Arabic"/>
          <w:lang w:val="fr-FR"/>
        </w:rPr>
        <w:tab/>
        <w:t>Mesures adoptées pour promouvoir les concepts de compréhension, de tolérance et de solidarité</w:t>
      </w:r>
    </w:p>
    <w:p w:rsidR="00E3787F" w:rsidRPr="004F1C04" w:rsidRDefault="00E3787F" w:rsidP="0077123A">
      <w:pPr>
        <w:pStyle w:val="SingleTxtG"/>
        <w:rPr>
          <w:lang w:val="fr-FR"/>
        </w:rPr>
      </w:pPr>
      <w:r w:rsidRPr="004F1C04">
        <w:rPr>
          <w:rFonts w:eastAsia="Traditional Arabic"/>
          <w:lang w:val="fr-FR"/>
        </w:rPr>
        <w:t>65.</w:t>
      </w:r>
      <w:r w:rsidRPr="004F1C04">
        <w:rPr>
          <w:rFonts w:eastAsia="Traditional Arabic"/>
          <w:lang w:val="fr-FR"/>
        </w:rPr>
        <w:tab/>
        <w:t>Le Ministère de l</w:t>
      </w:r>
      <w:r w:rsidR="0041394F">
        <w:rPr>
          <w:rFonts w:eastAsia="Traditional Arabic"/>
          <w:lang w:val="fr-FR"/>
        </w:rPr>
        <w:t>’</w:t>
      </w:r>
      <w:r w:rsidRPr="004F1C04">
        <w:rPr>
          <w:rFonts w:eastAsia="Traditional Arabic"/>
          <w:lang w:val="fr-FR"/>
        </w:rPr>
        <w:t>éducation œuvre à l’intégration des concepts de compréhension, de tolérance et de solidarité dans les programmes et manuels scolaires</w:t>
      </w:r>
      <w:r w:rsidR="00C17106">
        <w:rPr>
          <w:rFonts w:eastAsia="Traditional Arabic"/>
          <w:lang w:val="fr-FR"/>
        </w:rPr>
        <w:t>;</w:t>
      </w:r>
      <w:r w:rsidRPr="004F1C04">
        <w:rPr>
          <w:rFonts w:eastAsia="Traditional Arabic"/>
          <w:lang w:val="fr-FR"/>
        </w:rPr>
        <w:t xml:space="preserve"> ainsi qu’à la diffusion de la culture du dialogue entre les civilisations, en se fondant sur la conviction du caractère primordial de ces valeurs dans la vie des élèves et au sein de la société en général, de même que sur la conviction de l</w:t>
      </w:r>
      <w:r w:rsidR="0041394F">
        <w:rPr>
          <w:rFonts w:eastAsia="Traditional Arabic"/>
          <w:lang w:val="fr-FR"/>
        </w:rPr>
        <w:t>’</w:t>
      </w:r>
      <w:r w:rsidRPr="004F1C04">
        <w:rPr>
          <w:rFonts w:eastAsia="Traditional Arabic"/>
          <w:lang w:val="fr-FR"/>
        </w:rPr>
        <w:t>importance du règlement pacifique des différends internationaux et sur le rejet de la violence et du recours à la force</w:t>
      </w:r>
      <w:r w:rsidR="00C17106">
        <w:rPr>
          <w:rFonts w:eastAsia="Traditional Arabic"/>
          <w:lang w:val="fr-FR"/>
        </w:rPr>
        <w:t>;</w:t>
      </w:r>
      <w:r w:rsidRPr="004F1C04">
        <w:rPr>
          <w:rFonts w:eastAsia="Traditional Arabic"/>
          <w:lang w:val="fr-FR"/>
        </w:rPr>
        <w:t xml:space="preserve"> de même qu’à la promotion de la compréhension, de la tolérance et de la coopération entre tous les peuples et à la sensibilisation des élèves à l</w:t>
      </w:r>
      <w:r w:rsidR="0072557F">
        <w:rPr>
          <w:rFonts w:eastAsia="Traditional Arabic"/>
          <w:lang w:val="fr-FR"/>
        </w:rPr>
        <w:t>’</w:t>
      </w:r>
      <w:r w:rsidRPr="004F1C04">
        <w:rPr>
          <w:rFonts w:eastAsia="Traditional Arabic"/>
          <w:lang w:val="fr-FR"/>
        </w:rPr>
        <w:t>ouverture aux autres, en vue de tirer profit de l</w:t>
      </w:r>
      <w:r w:rsidR="0041394F">
        <w:rPr>
          <w:rFonts w:eastAsia="Traditional Arabic"/>
          <w:lang w:val="fr-FR"/>
        </w:rPr>
        <w:t>’</w:t>
      </w:r>
      <w:r w:rsidRPr="004F1C04">
        <w:rPr>
          <w:rFonts w:eastAsia="Traditional Arabic"/>
          <w:lang w:val="fr-FR"/>
        </w:rPr>
        <w:t>expérience des pays développés pour améliorer le processus d</w:t>
      </w:r>
      <w:r w:rsidR="0041394F">
        <w:rPr>
          <w:rFonts w:eastAsia="Traditional Arabic"/>
          <w:lang w:val="fr-FR"/>
        </w:rPr>
        <w:t>’</w:t>
      </w:r>
      <w:r w:rsidRPr="004F1C04">
        <w:rPr>
          <w:rFonts w:eastAsia="Traditional Arabic"/>
          <w:lang w:val="fr-FR"/>
        </w:rPr>
        <w:t>apprentissage éducatif, sans renier ni dissoudre l</w:t>
      </w:r>
      <w:r w:rsidR="0041394F">
        <w:rPr>
          <w:rFonts w:eastAsia="Traditional Arabic"/>
          <w:lang w:val="fr-FR"/>
        </w:rPr>
        <w:t>’</w:t>
      </w:r>
      <w:r w:rsidRPr="004F1C04">
        <w:rPr>
          <w:rFonts w:eastAsia="Traditional Arabic"/>
          <w:lang w:val="fr-FR"/>
        </w:rPr>
        <w:t>identité nationale ou personnelle.</w:t>
      </w:r>
    </w:p>
    <w:p w:rsidR="00E3787F" w:rsidRPr="004F1C04" w:rsidRDefault="00E3787F" w:rsidP="00C00FC7">
      <w:pPr>
        <w:pStyle w:val="H23G"/>
        <w:rPr>
          <w:lang w:val="fr-FR"/>
        </w:rPr>
      </w:pPr>
      <w:r w:rsidRPr="004F1C04">
        <w:rPr>
          <w:rFonts w:eastAsia="Traditional Arabic"/>
          <w:lang w:val="fr-FR"/>
        </w:rPr>
        <w:tab/>
      </w:r>
      <w:r w:rsidRPr="004F1C04">
        <w:rPr>
          <w:rFonts w:eastAsia="Traditional Arabic"/>
          <w:lang w:val="fr-FR"/>
        </w:rPr>
        <w:tab/>
        <w:t>Mesures visant à promouvoir la paix et la sécurité internationales</w:t>
      </w:r>
    </w:p>
    <w:p w:rsidR="00E3787F" w:rsidRPr="004F1C04" w:rsidRDefault="00E3787F" w:rsidP="00C00FC7">
      <w:pPr>
        <w:pStyle w:val="SingleTxtG"/>
        <w:rPr>
          <w:lang w:val="fr-FR"/>
        </w:rPr>
      </w:pPr>
      <w:r w:rsidRPr="004F1C04">
        <w:rPr>
          <w:rFonts w:eastAsia="Traditional Arabic"/>
          <w:lang w:val="fr-FR"/>
        </w:rPr>
        <w:t>66.</w:t>
      </w:r>
      <w:r w:rsidRPr="004F1C04">
        <w:rPr>
          <w:rFonts w:eastAsia="Traditional Arabic"/>
          <w:lang w:val="fr-FR"/>
        </w:rPr>
        <w:tab/>
        <w:t>Certaines disciplines scolaires ont abordé la question du droit international humanitaire et les concepts de cette discipline occupent ainsi une place de choix dans les cursus scolaires publics et privés en empruntant le véhicule de la langue arabe pour leur diffusion, ce qui a conduit à l’intégration d</w:t>
      </w:r>
      <w:r w:rsidR="0041394F">
        <w:rPr>
          <w:rFonts w:eastAsia="Traditional Arabic"/>
          <w:lang w:val="fr-FR"/>
        </w:rPr>
        <w:t>’</w:t>
      </w:r>
      <w:r w:rsidRPr="004F1C04">
        <w:rPr>
          <w:rFonts w:eastAsia="Traditional Arabic"/>
          <w:lang w:val="fr-FR"/>
        </w:rPr>
        <w:t>un grand nombre de ces concepts dans les manuels d</w:t>
      </w:r>
      <w:r w:rsidR="0041394F">
        <w:rPr>
          <w:rFonts w:eastAsia="Traditional Arabic"/>
          <w:lang w:val="fr-FR"/>
        </w:rPr>
        <w:t>’</w:t>
      </w:r>
      <w:r w:rsidRPr="004F1C04">
        <w:rPr>
          <w:rFonts w:eastAsia="Traditional Arabic"/>
          <w:lang w:val="fr-FR"/>
        </w:rPr>
        <w:t>histoire et d’éducation nationale, d</w:t>
      </w:r>
      <w:r w:rsidR="0041394F">
        <w:rPr>
          <w:rFonts w:eastAsia="Traditional Arabic"/>
          <w:lang w:val="fr-FR"/>
        </w:rPr>
        <w:t>’</w:t>
      </w:r>
      <w:r w:rsidRPr="004F1C04">
        <w:rPr>
          <w:rFonts w:eastAsia="Traditional Arabic"/>
          <w:lang w:val="fr-FR"/>
        </w:rPr>
        <w:t>éducation civique et islamique et de langue arabe, ainsi qu’au niveau des manuels de l’enseignement technique et d’autres manuels.</w:t>
      </w:r>
    </w:p>
    <w:p w:rsidR="00E3787F" w:rsidRPr="004F1C04" w:rsidRDefault="00E3787F" w:rsidP="00C00FC7">
      <w:pPr>
        <w:pStyle w:val="SingleTxtG"/>
        <w:rPr>
          <w:lang w:val="fr-FR"/>
        </w:rPr>
      </w:pPr>
      <w:r w:rsidRPr="004F1C04">
        <w:rPr>
          <w:rFonts w:eastAsia="Traditional Arabic"/>
          <w:lang w:val="fr-FR"/>
        </w:rPr>
        <w:t>67</w:t>
      </w:r>
      <w:r w:rsidR="00C04FF8">
        <w:rPr>
          <w:rFonts w:eastAsia="Traditional Arabic"/>
          <w:lang w:val="fr-FR"/>
        </w:rPr>
        <w:t>.</w:t>
      </w:r>
      <w:r w:rsidRPr="004F1C04">
        <w:rPr>
          <w:rFonts w:eastAsia="Traditional Arabic"/>
          <w:rtl/>
          <w:lang w:val="fr-FR" w:bidi="fr-FR"/>
        </w:rPr>
        <w:tab/>
      </w:r>
      <w:r w:rsidRPr="004F1C04">
        <w:rPr>
          <w:rFonts w:eastAsia="Traditional Arabic"/>
          <w:lang w:val="fr-FR"/>
        </w:rPr>
        <w:t>Le processus d</w:t>
      </w:r>
      <w:r w:rsidR="0041394F">
        <w:rPr>
          <w:rFonts w:eastAsia="Traditional Arabic"/>
          <w:lang w:val="fr-FR"/>
        </w:rPr>
        <w:t>’</w:t>
      </w:r>
      <w:r w:rsidRPr="004F1C04">
        <w:rPr>
          <w:rFonts w:eastAsia="Traditional Arabic"/>
          <w:lang w:val="fr-FR"/>
        </w:rPr>
        <w:t>intégration dans les manuels a été mis en œuvre au niveau des modules et des classes, des activités et des textes et des informations supplémentaires ont été intégrées dans les manuels destinés aux enseignants, sous forme de questions et d</w:t>
      </w:r>
      <w:r w:rsidR="0041394F">
        <w:rPr>
          <w:rFonts w:eastAsia="Traditional Arabic"/>
          <w:lang w:val="fr-FR"/>
        </w:rPr>
        <w:t>’</w:t>
      </w:r>
      <w:r w:rsidRPr="004F1C04">
        <w:rPr>
          <w:rFonts w:eastAsia="Traditional Arabic"/>
          <w:lang w:val="fr-FR"/>
        </w:rPr>
        <w:t xml:space="preserve">images liées à ce sujet. Un bon nombre des concepts du droit international humanitaire a ainsi été intégré dans les programmes et les manuels scolaires. Sur les </w:t>
      </w:r>
      <w:r w:rsidR="00C4252A">
        <w:rPr>
          <w:rFonts w:eastAsia="Traditional Arabic"/>
          <w:lang w:val="fr-FR"/>
        </w:rPr>
        <w:t>16</w:t>
      </w:r>
      <w:r w:rsidRPr="004F1C04">
        <w:rPr>
          <w:rFonts w:eastAsia="Traditional Arabic"/>
          <w:lang w:val="fr-FR"/>
        </w:rPr>
        <w:t xml:space="preserve"> Universités du pays, </w:t>
      </w:r>
      <w:r w:rsidR="00C4252A">
        <w:rPr>
          <w:rFonts w:eastAsia="Traditional Arabic"/>
          <w:lang w:val="fr-FR"/>
        </w:rPr>
        <w:t>14</w:t>
      </w:r>
      <w:r w:rsidRPr="004F1C04">
        <w:rPr>
          <w:rFonts w:eastAsia="Traditional Arabic"/>
          <w:lang w:val="fr-FR"/>
        </w:rPr>
        <w:t xml:space="preserve"> ont intégré la discipline du droit international humanitaire dans les programmes des facultés de droit. En effet, le droit international humanitaire est enseigné en tant que discipline à part dans le cadre du cursus de droit international public ou du cursus de droit international des droits de l</w:t>
      </w:r>
      <w:r w:rsidR="0041394F">
        <w:rPr>
          <w:rFonts w:eastAsia="Traditional Arabic"/>
          <w:lang w:val="fr-FR"/>
        </w:rPr>
        <w:t>’</w:t>
      </w:r>
      <w:r w:rsidRPr="004F1C04">
        <w:rPr>
          <w:rFonts w:eastAsia="Traditional Arabic"/>
          <w:lang w:val="fr-FR"/>
        </w:rPr>
        <w:t>homme</w:t>
      </w:r>
      <w:r w:rsidRPr="004F1C04">
        <w:rPr>
          <w:rFonts w:eastAsia="Traditional Arabic"/>
          <w:rtl/>
          <w:lang w:val="fr-FR" w:bidi="fr-FR"/>
        </w:rPr>
        <w:t>.</w:t>
      </w:r>
    </w:p>
    <w:p w:rsidR="00E3787F" w:rsidRPr="004F1C04" w:rsidRDefault="00E3787F" w:rsidP="00C00FC7">
      <w:pPr>
        <w:pStyle w:val="HChG"/>
      </w:pPr>
      <w:bookmarkStart w:id="40" w:name="_Toc350173957"/>
      <w:r w:rsidRPr="004F1C04">
        <w:tab/>
      </w:r>
      <w:bookmarkStart w:id="41" w:name="_Toc358307250"/>
      <w:r w:rsidRPr="004F1C04">
        <w:t>V.</w:t>
      </w:r>
      <w:r w:rsidR="00C00FC7">
        <w:tab/>
      </w:r>
      <w:r w:rsidRPr="004F1C04">
        <w:t>Interdictions et questions y relatives</w:t>
      </w:r>
      <w:bookmarkEnd w:id="40"/>
      <w:bookmarkEnd w:id="41"/>
    </w:p>
    <w:p w:rsidR="00E3787F" w:rsidRPr="004F1C04" w:rsidRDefault="00E3787F" w:rsidP="00C00FC7">
      <w:pPr>
        <w:pStyle w:val="SingleTxtG"/>
        <w:rPr>
          <w:lang w:val="fr-FR"/>
        </w:rPr>
      </w:pPr>
      <w:r w:rsidRPr="004F1C04">
        <w:rPr>
          <w:rFonts w:eastAsia="Traditional Arabic"/>
          <w:lang w:val="fr-FR"/>
        </w:rPr>
        <w:t>68</w:t>
      </w:r>
      <w:r w:rsidR="00C04FF8">
        <w:rPr>
          <w:rFonts w:eastAsia="Traditional Arabic"/>
          <w:lang w:val="fr-FR"/>
        </w:rPr>
        <w:t>.</w:t>
      </w:r>
      <w:r w:rsidRPr="004F1C04">
        <w:rPr>
          <w:rFonts w:eastAsia="Traditional Arabic"/>
          <w:rtl/>
          <w:lang w:val="fr-FR" w:bidi="fr-FR"/>
        </w:rPr>
        <w:tab/>
      </w:r>
      <w:r w:rsidRPr="004F1C04">
        <w:rPr>
          <w:rFonts w:eastAsia="Traditional Arabic"/>
          <w:lang w:val="fr-FR"/>
        </w:rPr>
        <w:t>En ce qui concerne le recrutement illégal, l</w:t>
      </w:r>
      <w:r w:rsidR="0072557F">
        <w:rPr>
          <w:rFonts w:eastAsia="Traditional Arabic"/>
          <w:lang w:val="fr-FR"/>
        </w:rPr>
        <w:t>’</w:t>
      </w:r>
      <w:r w:rsidRPr="004F1C04">
        <w:rPr>
          <w:rFonts w:eastAsia="Traditional Arabic"/>
          <w:lang w:val="fr-FR"/>
        </w:rPr>
        <w:t xml:space="preserve">article 24 du Code pénal militaire, promulgué par la loi </w:t>
      </w:r>
      <w:r w:rsidR="0041394F">
        <w:rPr>
          <w:rFonts w:eastAsia="Traditional Arabic"/>
          <w:lang w:val="fr-FR" w:bidi="ar-JO"/>
        </w:rPr>
        <w:t>n</w:t>
      </w:r>
      <w:r w:rsidR="0041394F">
        <w:rPr>
          <w:rFonts w:eastAsia="Traditional Arabic"/>
          <w:vertAlign w:val="superscript"/>
          <w:lang w:val="fr-FR" w:bidi="ar-JO"/>
        </w:rPr>
        <w:t>o</w:t>
      </w:r>
      <w:r w:rsidRPr="004F1C04">
        <w:rPr>
          <w:rFonts w:eastAsia="Traditional Arabic"/>
          <w:lang w:val="fr-FR"/>
        </w:rPr>
        <w:t xml:space="preserve"> 58 de 2006, dispose ce qui suit</w:t>
      </w:r>
      <w:r w:rsidR="00C17106">
        <w:rPr>
          <w:rFonts w:eastAsia="Traditional Arabic"/>
          <w:lang w:val="fr-FR"/>
        </w:rPr>
        <w:t>:</w:t>
      </w:r>
      <w:r w:rsidRPr="004F1C04">
        <w:rPr>
          <w:rFonts w:eastAsia="Traditional Arabic"/>
          <w:lang w:val="fr-FR"/>
        </w:rPr>
        <w:t xml:space="preserve"> «est puni d</w:t>
      </w:r>
      <w:r w:rsidR="0072557F">
        <w:rPr>
          <w:rFonts w:eastAsia="Traditional Arabic"/>
          <w:lang w:val="fr-FR"/>
        </w:rPr>
        <w:t>’</w:t>
      </w:r>
      <w:r w:rsidRPr="004F1C04">
        <w:rPr>
          <w:rFonts w:eastAsia="Traditional Arabic"/>
          <w:lang w:val="fr-FR"/>
        </w:rPr>
        <w:t>une peine d</w:t>
      </w:r>
      <w:r w:rsidR="0041394F">
        <w:rPr>
          <w:rFonts w:eastAsia="Traditional Arabic"/>
          <w:lang w:val="fr-FR"/>
        </w:rPr>
        <w:t>’</w:t>
      </w:r>
      <w:r w:rsidRPr="004F1C04">
        <w:rPr>
          <w:rFonts w:eastAsia="Traditional Arabic"/>
          <w:lang w:val="fr-FR"/>
        </w:rPr>
        <w:t xml:space="preserve">emprisonnement de </w:t>
      </w:r>
      <w:r w:rsidR="00C4252A">
        <w:rPr>
          <w:rFonts w:eastAsia="Traditional Arabic"/>
          <w:lang w:val="fr-FR"/>
        </w:rPr>
        <w:t>3</w:t>
      </w:r>
      <w:r w:rsidRPr="004F1C04">
        <w:rPr>
          <w:rFonts w:eastAsia="Traditional Arabic"/>
          <w:lang w:val="fr-FR"/>
        </w:rPr>
        <w:t xml:space="preserve"> mois à </w:t>
      </w:r>
      <w:r w:rsidR="00C4252A">
        <w:rPr>
          <w:rFonts w:eastAsia="Traditional Arabic"/>
          <w:lang w:val="fr-FR"/>
        </w:rPr>
        <w:t>2</w:t>
      </w:r>
      <w:r w:rsidRPr="004F1C04">
        <w:rPr>
          <w:rFonts w:eastAsia="Traditional Arabic"/>
          <w:lang w:val="fr-FR"/>
        </w:rPr>
        <w:t xml:space="preserve"> ans, quiconque aura enrôlé, engagé ou aidé à enrôler une personne contrairement aux dispositions de la loi».</w:t>
      </w:r>
    </w:p>
    <w:p w:rsidR="00E3787F" w:rsidRPr="004F1C04" w:rsidRDefault="00E3787F" w:rsidP="00C00FC7">
      <w:pPr>
        <w:pStyle w:val="SingleTxtG"/>
        <w:rPr>
          <w:lang w:val="fr-FR"/>
        </w:rPr>
      </w:pPr>
      <w:r w:rsidRPr="004F1C04">
        <w:rPr>
          <w:rFonts w:eastAsia="Traditional Arabic"/>
          <w:lang w:val="fr-FR"/>
        </w:rPr>
        <w:t>69.</w:t>
      </w:r>
      <w:r w:rsidRPr="004F1C04">
        <w:rPr>
          <w:rFonts w:eastAsia="Traditional Arabic"/>
          <w:lang w:val="fr-FR"/>
        </w:rPr>
        <w:tab/>
        <w:t xml:space="preserve">Les articles 141 à 144 du Code pénal jordanien, promulgué par la loi </w:t>
      </w:r>
      <w:r w:rsidR="0041394F">
        <w:rPr>
          <w:rFonts w:eastAsia="Traditional Arabic"/>
          <w:lang w:val="fr-FR" w:bidi="ar-JO"/>
        </w:rPr>
        <w:t>n</w:t>
      </w:r>
      <w:r w:rsidR="0041394F">
        <w:rPr>
          <w:rFonts w:eastAsia="Traditional Arabic"/>
          <w:vertAlign w:val="superscript"/>
          <w:lang w:val="fr-FR" w:bidi="ar-JO"/>
        </w:rPr>
        <w:t>o</w:t>
      </w:r>
      <w:r w:rsidRPr="004F1C04">
        <w:rPr>
          <w:rFonts w:eastAsia="Traditional Arabic"/>
          <w:lang w:val="fr-FR"/>
        </w:rPr>
        <w:t xml:space="preserve"> 16 de 1960, ont prévu les sanctions suivantes</w:t>
      </w:r>
      <w:r w:rsidR="00C17106">
        <w:rPr>
          <w:rFonts w:eastAsia="Traditional Arabic"/>
          <w:lang w:val="fr-FR"/>
        </w:rPr>
        <w:t>:</w:t>
      </w:r>
    </w:p>
    <w:p w:rsidR="00E3787F" w:rsidRPr="004F1C04" w:rsidRDefault="00E3787F" w:rsidP="00C00FC7">
      <w:pPr>
        <w:pStyle w:val="SingleTxtG"/>
        <w:ind w:left="1701"/>
        <w:rPr>
          <w:lang w:val="fr-FR"/>
        </w:rPr>
      </w:pPr>
      <w:r w:rsidRPr="004F1C04">
        <w:rPr>
          <w:rFonts w:eastAsia="Traditional Arabic"/>
          <w:lang w:val="fr-FR"/>
        </w:rPr>
        <w:tab/>
        <w:t>Article 141</w:t>
      </w:r>
      <w:r w:rsidR="00C17106">
        <w:rPr>
          <w:rFonts w:eastAsia="Traditional Arabic"/>
          <w:lang w:val="fr-FR"/>
        </w:rPr>
        <w:t>:</w:t>
      </w:r>
      <w:r w:rsidRPr="004F1C04">
        <w:rPr>
          <w:rFonts w:eastAsia="Traditional Arabic"/>
          <w:lang w:val="fr-FR"/>
        </w:rPr>
        <w:t xml:space="preserve"> sont punis d</w:t>
      </w:r>
      <w:r w:rsidR="0041394F">
        <w:rPr>
          <w:rFonts w:eastAsia="Traditional Arabic"/>
          <w:lang w:val="fr-FR"/>
        </w:rPr>
        <w:t>’</w:t>
      </w:r>
      <w:r w:rsidRPr="004F1C04">
        <w:rPr>
          <w:rFonts w:eastAsia="Traditional Arabic"/>
          <w:lang w:val="fr-FR"/>
        </w:rPr>
        <w:t xml:space="preserve">une peine de </w:t>
      </w:r>
      <w:r w:rsidR="00C4252A">
        <w:rPr>
          <w:rFonts w:eastAsia="Traditional Arabic"/>
          <w:lang w:val="fr-FR"/>
        </w:rPr>
        <w:t>5</w:t>
      </w:r>
      <w:r w:rsidRPr="004F1C04">
        <w:rPr>
          <w:rFonts w:eastAsia="Traditional Arabic"/>
          <w:lang w:val="fr-FR"/>
        </w:rPr>
        <w:t xml:space="preserve"> ans de prison, ceux qui lèvent des troupes armées, font engager ou enrôler des soldats, ou leur fournissant ou procurant des armes ou munitions, sans ordre ou autorisation des autorités compétentes.</w:t>
      </w:r>
    </w:p>
    <w:p w:rsidR="00E3787F" w:rsidRPr="004F1C04" w:rsidRDefault="00E3787F" w:rsidP="00C00FC7">
      <w:pPr>
        <w:pStyle w:val="SingleTxtG"/>
        <w:ind w:left="1701"/>
        <w:rPr>
          <w:lang w:val="fr-FR"/>
        </w:rPr>
      </w:pPr>
      <w:r w:rsidRPr="004F1C04">
        <w:rPr>
          <w:rFonts w:eastAsia="Traditional Arabic"/>
          <w:lang w:val="fr-FR"/>
        </w:rPr>
        <w:tab/>
        <w:t>Article 142, sédition</w:t>
      </w:r>
      <w:r w:rsidR="00C17106">
        <w:rPr>
          <w:rFonts w:eastAsia="Traditional Arabic"/>
          <w:lang w:val="fr-FR"/>
        </w:rPr>
        <w:t>:</w:t>
      </w:r>
      <w:r w:rsidRPr="004F1C04">
        <w:rPr>
          <w:rFonts w:eastAsia="Traditional Arabic"/>
          <w:lang w:val="fr-FR"/>
        </w:rPr>
        <w:t xml:space="preserve"> sont punis d</w:t>
      </w:r>
      <w:r w:rsidR="0041394F">
        <w:rPr>
          <w:rFonts w:eastAsia="Traditional Arabic"/>
          <w:lang w:val="fr-FR"/>
        </w:rPr>
        <w:t>’</w:t>
      </w:r>
      <w:r w:rsidRPr="004F1C04">
        <w:rPr>
          <w:rFonts w:eastAsia="Traditional Arabic"/>
          <w:lang w:val="fr-FR"/>
        </w:rPr>
        <w:t>une peine de travaux forcés à perpétuité les auteurs d</w:t>
      </w:r>
      <w:r w:rsidR="0072557F">
        <w:rPr>
          <w:rFonts w:eastAsia="Traditional Arabic"/>
          <w:lang w:val="fr-FR"/>
        </w:rPr>
        <w:t>’</w:t>
      </w:r>
      <w:r w:rsidRPr="004F1C04">
        <w:rPr>
          <w:rFonts w:eastAsia="Traditional Arabic"/>
          <w:lang w:val="fr-FR"/>
        </w:rPr>
        <w:t xml:space="preserve">attentats ou de complots fomentés dans le but d’inciter soit à la guerre civile ou à des affrontements confessionnels ou communautaires, en armant ou en amenant les </w:t>
      </w:r>
      <w:r w:rsidR="00C04FF8">
        <w:rPr>
          <w:rFonts w:eastAsia="Traditional Arabic"/>
          <w:lang w:val="fr-FR"/>
        </w:rPr>
        <w:t>J</w:t>
      </w:r>
      <w:r w:rsidRPr="004F1C04">
        <w:rPr>
          <w:rFonts w:eastAsia="Traditional Arabic"/>
          <w:lang w:val="fr-FR"/>
        </w:rPr>
        <w:t>ordaniens à s</w:t>
      </w:r>
      <w:r w:rsidR="0041394F">
        <w:rPr>
          <w:rFonts w:eastAsia="Traditional Arabic"/>
          <w:lang w:val="fr-FR"/>
        </w:rPr>
        <w:t>’</w:t>
      </w:r>
      <w:r w:rsidRPr="004F1C04">
        <w:rPr>
          <w:rFonts w:eastAsia="Traditional Arabic"/>
          <w:lang w:val="fr-FR"/>
        </w:rPr>
        <w:t>armer les uns contre les autres</w:t>
      </w:r>
      <w:r w:rsidR="00C17106">
        <w:rPr>
          <w:rFonts w:eastAsia="Traditional Arabic"/>
          <w:lang w:val="fr-FR"/>
        </w:rPr>
        <w:t>;</w:t>
      </w:r>
      <w:r w:rsidRPr="004F1C04">
        <w:rPr>
          <w:rFonts w:eastAsia="Traditional Arabic"/>
          <w:lang w:val="fr-FR"/>
        </w:rPr>
        <w:t xml:space="preserve"> soit de porter la dévastation, le massacre et le pillage dans une ou plusieurs communes</w:t>
      </w:r>
      <w:r w:rsidR="00C17106">
        <w:rPr>
          <w:rFonts w:eastAsia="Traditional Arabic"/>
          <w:lang w:val="fr-FR"/>
        </w:rPr>
        <w:t>;</w:t>
      </w:r>
      <w:r w:rsidRPr="004F1C04">
        <w:rPr>
          <w:rFonts w:eastAsia="Traditional Arabic"/>
          <w:lang w:val="fr-FR"/>
        </w:rPr>
        <w:t xml:space="preserve"> la peine de mort s’applique si ces infractions sont consommées.</w:t>
      </w:r>
    </w:p>
    <w:p w:rsidR="00E3787F" w:rsidRPr="004F1C04" w:rsidRDefault="00E3787F" w:rsidP="00C00FC7">
      <w:pPr>
        <w:pStyle w:val="SingleTxtG"/>
        <w:ind w:left="1701"/>
        <w:rPr>
          <w:lang w:val="fr-FR"/>
        </w:rPr>
      </w:pPr>
      <w:r w:rsidRPr="004F1C04">
        <w:rPr>
          <w:rFonts w:eastAsia="Traditional Arabic"/>
          <w:lang w:val="fr-FR"/>
        </w:rPr>
        <w:tab/>
        <w:t>Article 143</w:t>
      </w:r>
      <w:r w:rsidR="00C17106">
        <w:rPr>
          <w:rFonts w:eastAsia="Traditional Arabic"/>
          <w:lang w:val="fr-FR"/>
        </w:rPr>
        <w:t>:</w:t>
      </w:r>
      <w:r w:rsidRPr="004F1C04">
        <w:rPr>
          <w:rFonts w:eastAsia="Traditional Arabic"/>
          <w:lang w:val="fr-FR"/>
        </w:rPr>
        <w:t xml:space="preserve"> toute personne qui, soit pour envahir une ville, une commune ou des propriétés appartenant à l</w:t>
      </w:r>
      <w:r w:rsidR="0041394F">
        <w:rPr>
          <w:rFonts w:eastAsia="Traditional Arabic"/>
          <w:lang w:val="fr-FR"/>
        </w:rPr>
        <w:t>’</w:t>
      </w:r>
      <w:r w:rsidRPr="004F1C04">
        <w:rPr>
          <w:rFonts w:eastAsia="Traditional Arabic"/>
          <w:lang w:val="fr-FR"/>
        </w:rPr>
        <w:t>État ou à un groupe de citoyens</w:t>
      </w:r>
      <w:r w:rsidR="00C17106">
        <w:rPr>
          <w:rFonts w:eastAsia="Traditional Arabic"/>
          <w:lang w:val="fr-FR"/>
        </w:rPr>
        <w:t>;</w:t>
      </w:r>
      <w:r w:rsidRPr="004F1C04">
        <w:rPr>
          <w:rFonts w:eastAsia="Traditional Arabic"/>
          <w:lang w:val="fr-FR"/>
        </w:rPr>
        <w:t xml:space="preserve"> soit pour attaquer ou résister à la force publique agissant contre les auteurs de ces crimes</w:t>
      </w:r>
      <w:r w:rsidR="00C17106">
        <w:rPr>
          <w:rFonts w:eastAsia="Traditional Arabic"/>
          <w:lang w:val="fr-FR"/>
        </w:rPr>
        <w:t>;</w:t>
      </w:r>
      <w:r w:rsidRPr="004F1C04">
        <w:rPr>
          <w:rFonts w:eastAsia="Traditional Arabic"/>
          <w:lang w:val="fr-FR"/>
        </w:rPr>
        <w:t xml:space="preserve"> se met à la tête de bandes armées, ou exerce en leur sein une quelconque fonction ou commandement</w:t>
      </w:r>
      <w:r w:rsidR="00C17106">
        <w:rPr>
          <w:rFonts w:eastAsia="Traditional Arabic"/>
          <w:lang w:val="fr-FR"/>
        </w:rPr>
        <w:t>;</w:t>
      </w:r>
      <w:r w:rsidRPr="004F1C04">
        <w:rPr>
          <w:rFonts w:eastAsia="Traditional Arabic"/>
          <w:lang w:val="fr-FR"/>
        </w:rPr>
        <w:t xml:space="preserve"> est puni d</w:t>
      </w:r>
      <w:r w:rsidR="0041394F">
        <w:rPr>
          <w:rFonts w:eastAsia="Traditional Arabic"/>
          <w:lang w:val="fr-FR"/>
        </w:rPr>
        <w:t>’</w:t>
      </w:r>
      <w:r w:rsidRPr="004F1C04">
        <w:rPr>
          <w:rFonts w:eastAsia="Traditional Arabic"/>
          <w:lang w:val="fr-FR"/>
        </w:rPr>
        <w:t>une peine de travaux forcés à perpétuité.</w:t>
      </w:r>
    </w:p>
    <w:p w:rsidR="00E3787F" w:rsidRPr="004F1C04" w:rsidRDefault="00E3787F" w:rsidP="00C00FC7">
      <w:pPr>
        <w:pStyle w:val="SingleTxtG"/>
        <w:ind w:left="1701"/>
        <w:rPr>
          <w:lang w:val="fr-FR"/>
        </w:rPr>
      </w:pPr>
      <w:r w:rsidRPr="004F1C04">
        <w:rPr>
          <w:rFonts w:eastAsia="Traditional Arabic"/>
          <w:lang w:val="fr-FR"/>
        </w:rPr>
        <w:tab/>
        <w:t>Article 144, 1)</w:t>
      </w:r>
      <w:r w:rsidR="00C17106">
        <w:rPr>
          <w:rFonts w:eastAsia="Traditional Arabic"/>
          <w:lang w:val="fr-FR"/>
        </w:rPr>
        <w:t>:</w:t>
      </w:r>
      <w:r w:rsidRPr="004F1C04">
        <w:rPr>
          <w:rFonts w:eastAsia="Traditional Arabic"/>
          <w:lang w:val="fr-FR"/>
        </w:rPr>
        <w:t xml:space="preserve"> sont punies d</w:t>
      </w:r>
      <w:r w:rsidR="0072557F">
        <w:rPr>
          <w:rFonts w:eastAsia="Traditional Arabic"/>
          <w:lang w:val="fr-FR"/>
        </w:rPr>
        <w:t>’</w:t>
      </w:r>
      <w:r w:rsidRPr="004F1C04">
        <w:rPr>
          <w:rFonts w:eastAsia="Traditional Arabic"/>
          <w:lang w:val="fr-FR"/>
        </w:rPr>
        <w:t>une peine de travaux forcés à perpétuité les personnes ayant participé ou organisé des bandes armées pour commettre l</w:t>
      </w:r>
      <w:r w:rsidR="0041394F">
        <w:rPr>
          <w:rFonts w:eastAsia="Traditional Arabic"/>
          <w:lang w:val="fr-FR"/>
        </w:rPr>
        <w:t>’u</w:t>
      </w:r>
      <w:r w:rsidRPr="004F1C04">
        <w:rPr>
          <w:rFonts w:eastAsia="Traditional Arabic"/>
          <w:lang w:val="fr-FR"/>
        </w:rPr>
        <w:t>ne des infractions visées aux deux articles précédents</w:t>
      </w:r>
      <w:r w:rsidR="00C17106">
        <w:rPr>
          <w:rFonts w:eastAsia="Traditional Arabic"/>
          <w:lang w:val="fr-FR"/>
        </w:rPr>
        <w:t>;</w:t>
      </w:r>
      <w:r w:rsidRPr="004F1C04">
        <w:rPr>
          <w:rFonts w:eastAsia="Traditional Arabic"/>
          <w:lang w:val="fr-FR"/>
        </w:rPr>
        <w:t xml:space="preserve"> 2) Il ne sera prononcé aucune peine à l’encontre de ceux qui, ayant fait partie d’une bande armée sans y jouer aucun rôle ni exercer aucune fonction, appréhendés loin des lieux de conflit en remettant leurs armes sans opposer de résistance et avant le prononcé de tout jugement.</w:t>
      </w:r>
    </w:p>
    <w:p w:rsidR="00E3787F" w:rsidRPr="004F1C04" w:rsidRDefault="00E3787F" w:rsidP="00C00FC7">
      <w:pPr>
        <w:pStyle w:val="SingleTxtG"/>
        <w:rPr>
          <w:lang w:val="fr-FR"/>
        </w:rPr>
      </w:pPr>
      <w:r w:rsidRPr="004F1C04">
        <w:rPr>
          <w:rFonts w:eastAsia="Traditional Arabic"/>
          <w:lang w:val="fr-FR"/>
        </w:rPr>
        <w:t>70.</w:t>
      </w:r>
      <w:r w:rsidRPr="004F1C04">
        <w:rPr>
          <w:rFonts w:eastAsia="Traditional Arabic"/>
          <w:lang w:val="fr-FR"/>
        </w:rPr>
        <w:tab/>
        <w:t xml:space="preserve">En outre, le Code pénal militaire, promulgué par la loi </w:t>
      </w:r>
      <w:r w:rsidR="0041394F">
        <w:rPr>
          <w:rFonts w:eastAsia="Traditional Arabic"/>
          <w:lang w:val="fr-FR" w:bidi="ar-JO"/>
        </w:rPr>
        <w:t>n</w:t>
      </w:r>
      <w:r w:rsidR="0041394F">
        <w:rPr>
          <w:rFonts w:eastAsia="Traditional Arabic"/>
          <w:vertAlign w:val="superscript"/>
          <w:lang w:val="fr-FR" w:bidi="ar-JO"/>
        </w:rPr>
        <w:t>o</w:t>
      </w:r>
      <w:r w:rsidRPr="004F1C04">
        <w:rPr>
          <w:rFonts w:eastAsia="Traditional Arabic"/>
          <w:lang w:val="fr-FR"/>
        </w:rPr>
        <w:t xml:space="preserve"> 58 de 2006 dispose ce qui suit</w:t>
      </w:r>
      <w:r w:rsidR="00C17106">
        <w:rPr>
          <w:rFonts w:eastAsia="Traditional Arabic"/>
          <w:lang w:val="fr-FR"/>
        </w:rPr>
        <w:t>:</w:t>
      </w:r>
    </w:p>
    <w:p w:rsidR="00E3787F" w:rsidRPr="004F1C04" w:rsidRDefault="00E3787F" w:rsidP="00C00FC7">
      <w:pPr>
        <w:pStyle w:val="SingleTxtG"/>
        <w:ind w:left="1701"/>
        <w:rPr>
          <w:lang w:val="fr-FR"/>
        </w:rPr>
      </w:pPr>
      <w:r w:rsidRPr="004F1C04">
        <w:rPr>
          <w:rFonts w:eastAsia="Traditional Arabic"/>
          <w:lang w:val="fr-FR"/>
        </w:rPr>
        <w:t>Paragraphe a), points 9, 10, 12, et 13 de l</w:t>
      </w:r>
      <w:r w:rsidR="0072557F">
        <w:rPr>
          <w:rFonts w:eastAsia="Traditional Arabic"/>
          <w:lang w:val="fr-FR"/>
        </w:rPr>
        <w:t>’</w:t>
      </w:r>
      <w:r w:rsidRPr="004F1C04">
        <w:rPr>
          <w:rFonts w:eastAsia="Traditional Arabic"/>
          <w:lang w:val="fr-FR"/>
        </w:rPr>
        <w:t>article 41</w:t>
      </w:r>
      <w:r w:rsidR="00C17106">
        <w:rPr>
          <w:rFonts w:eastAsia="Traditional Arabic"/>
          <w:lang w:val="fr-FR"/>
        </w:rPr>
        <w:t>:</w:t>
      </w:r>
    </w:p>
    <w:p w:rsidR="00E3787F" w:rsidRPr="004F1C04" w:rsidRDefault="00E3787F" w:rsidP="00C00FC7">
      <w:pPr>
        <w:pStyle w:val="SingleTxtG"/>
        <w:ind w:left="1701"/>
        <w:rPr>
          <w:lang w:val="fr-FR"/>
        </w:rPr>
      </w:pPr>
      <w:r w:rsidRPr="004F1C04">
        <w:rPr>
          <w:rFonts w:eastAsia="Traditional Arabic"/>
          <w:lang w:val="fr-FR"/>
        </w:rPr>
        <w:tab/>
        <w:t>a)</w:t>
      </w:r>
      <w:r w:rsidRPr="004F1C04">
        <w:rPr>
          <w:rFonts w:eastAsia="Traditional Arabic"/>
          <w:lang w:val="fr-FR"/>
        </w:rPr>
        <w:tab/>
        <w:t xml:space="preserve"> Sont considérés crimes de guerre les actes suivants commis pendant les conflits armés</w:t>
      </w:r>
      <w:r w:rsidR="00C17106">
        <w:rPr>
          <w:rFonts w:eastAsia="Traditional Arabic"/>
          <w:lang w:val="fr-FR"/>
        </w:rPr>
        <w:t>:</w:t>
      </w:r>
      <w:r w:rsidRPr="004F1C04">
        <w:rPr>
          <w:rFonts w:eastAsia="Traditional Arabic"/>
          <w:lang w:val="fr-FR"/>
        </w:rPr>
        <w:t xml:space="preserve"> </w:t>
      </w:r>
    </w:p>
    <w:p w:rsidR="00E3787F" w:rsidRPr="004F1C04" w:rsidRDefault="00E3787F" w:rsidP="00C00FC7">
      <w:pPr>
        <w:pStyle w:val="SingleTxtG"/>
        <w:ind w:left="1701"/>
        <w:rPr>
          <w:lang w:val="fr-FR"/>
        </w:rPr>
      </w:pPr>
      <w:r w:rsidRPr="004F1C04">
        <w:rPr>
          <w:rFonts w:eastAsia="Traditional Arabic"/>
          <w:lang w:val="fr-FR"/>
        </w:rPr>
        <w:tab/>
        <w:t>9)</w:t>
      </w:r>
      <w:r w:rsidRPr="004F1C04">
        <w:rPr>
          <w:rFonts w:eastAsia="Traditional Arabic"/>
          <w:lang w:val="fr-FR"/>
        </w:rPr>
        <w:tab/>
        <w:t>Les attaques dirigées contre la population civile ou des personnes civiles</w:t>
      </w:r>
      <w:r w:rsidR="00C4252A">
        <w:rPr>
          <w:rFonts w:eastAsia="Traditional Arabic"/>
          <w:lang w:val="fr-FR"/>
        </w:rPr>
        <w:t>.</w:t>
      </w:r>
    </w:p>
    <w:p w:rsidR="00E3787F" w:rsidRPr="004F1C04" w:rsidRDefault="00E3787F" w:rsidP="00C00FC7">
      <w:pPr>
        <w:pStyle w:val="SingleTxtG"/>
        <w:ind w:left="1701"/>
        <w:rPr>
          <w:lang w:val="fr-FR"/>
        </w:rPr>
      </w:pPr>
      <w:r w:rsidRPr="004F1C04">
        <w:rPr>
          <w:rFonts w:eastAsia="Traditional Arabic"/>
          <w:lang w:val="fr-FR"/>
        </w:rPr>
        <w:tab/>
        <w:t>10)</w:t>
      </w:r>
      <w:r w:rsidRPr="004F1C04">
        <w:rPr>
          <w:rFonts w:eastAsia="Traditional Arabic"/>
          <w:lang w:val="fr-FR"/>
        </w:rPr>
        <w:tab/>
        <w:t>Les attaques lancées sans discrimination contre la population civile ou contre des biens civils, en ayant conscience que ces attaques risquent de provoquer des pertes en vies humaines, des blessures aux civils ou des dommages aux biens civils.</w:t>
      </w:r>
    </w:p>
    <w:p w:rsidR="00E3787F" w:rsidRPr="004F1C04" w:rsidRDefault="00E3787F" w:rsidP="00C00FC7">
      <w:pPr>
        <w:pStyle w:val="SingleTxtG"/>
        <w:ind w:left="1701"/>
        <w:rPr>
          <w:lang w:val="fr-FR"/>
        </w:rPr>
      </w:pPr>
      <w:r w:rsidRPr="004F1C04">
        <w:rPr>
          <w:rFonts w:eastAsia="Traditional Arabic"/>
          <w:lang w:val="fr-FR"/>
        </w:rPr>
        <w:tab/>
        <w:t>12)</w:t>
      </w:r>
      <w:r w:rsidRPr="004F1C04">
        <w:rPr>
          <w:rFonts w:eastAsia="Traditional Arabic"/>
          <w:lang w:val="fr-FR"/>
        </w:rPr>
        <w:tab/>
        <w:t>Les attaques lancées contre les localités dépourvues de moyens de défense et les zones démilitarisées.</w:t>
      </w:r>
    </w:p>
    <w:p w:rsidR="00E3787F" w:rsidRPr="004F1C04" w:rsidRDefault="00E3787F" w:rsidP="00C00FC7">
      <w:pPr>
        <w:pStyle w:val="SingleTxtG"/>
        <w:ind w:left="1701"/>
        <w:rPr>
          <w:lang w:val="fr-FR"/>
        </w:rPr>
      </w:pPr>
      <w:r w:rsidRPr="004F1C04">
        <w:rPr>
          <w:rFonts w:eastAsia="Traditional Arabic"/>
          <w:lang w:val="fr-FR"/>
        </w:rPr>
        <w:tab/>
        <w:t>13)</w:t>
      </w:r>
      <w:r w:rsidRPr="004F1C04">
        <w:rPr>
          <w:rFonts w:eastAsia="Traditional Arabic"/>
          <w:lang w:val="fr-FR"/>
        </w:rPr>
        <w:tab/>
        <w:t>L</w:t>
      </w:r>
      <w:r w:rsidR="0041394F">
        <w:rPr>
          <w:rFonts w:eastAsia="Traditional Arabic"/>
          <w:lang w:val="fr-FR"/>
        </w:rPr>
        <w:t>’</w:t>
      </w:r>
      <w:r w:rsidRPr="004F1C04">
        <w:rPr>
          <w:rFonts w:eastAsia="Traditional Arabic"/>
          <w:lang w:val="fr-FR"/>
        </w:rPr>
        <w:t>attaque sur une personne en la sachant hors d’état de nuire</w:t>
      </w:r>
      <w:r w:rsidR="00E72FCE">
        <w:rPr>
          <w:rFonts w:eastAsia="Traditional Arabic"/>
          <w:lang w:val="fr-FR"/>
        </w:rPr>
        <w:t>.</w:t>
      </w:r>
    </w:p>
    <w:p w:rsidR="00E3787F" w:rsidRPr="004F1C04" w:rsidRDefault="00E3787F" w:rsidP="00C00FC7">
      <w:pPr>
        <w:pStyle w:val="H1G"/>
      </w:pPr>
      <w:bookmarkStart w:id="42" w:name="_Toc350173958"/>
      <w:r w:rsidRPr="004F1C04">
        <w:tab/>
      </w:r>
      <w:bookmarkStart w:id="43" w:name="_Toc358307251"/>
      <w:r w:rsidRPr="004F1C04">
        <w:t>A.</w:t>
      </w:r>
      <w:r w:rsidR="00C00FC7">
        <w:tab/>
      </w:r>
      <w:r w:rsidRPr="004F1C04">
        <w:t>Prescription des infractions visées dans le Protocole</w:t>
      </w:r>
      <w:bookmarkEnd w:id="42"/>
      <w:bookmarkEnd w:id="43"/>
    </w:p>
    <w:p w:rsidR="00E3787F" w:rsidRPr="004F1C04" w:rsidRDefault="00E3787F" w:rsidP="00C00FC7">
      <w:pPr>
        <w:pStyle w:val="SingleTxtG"/>
      </w:pPr>
      <w:r w:rsidRPr="004F1C04">
        <w:rPr>
          <w:rFonts w:eastAsia="Traditional Arabic"/>
          <w:lang w:val="fr-FR"/>
        </w:rPr>
        <w:t>71.</w:t>
      </w:r>
      <w:r w:rsidRPr="004F1C04">
        <w:rPr>
          <w:rFonts w:eastAsia="Traditional Arabic"/>
          <w:lang w:val="fr-FR"/>
        </w:rPr>
        <w:tab/>
      </w:r>
      <w:r w:rsidRPr="004F1C04">
        <w:rPr>
          <w:rFonts w:eastAsia="Traditional Arabic"/>
          <w:lang w:val="fr-FR" w:bidi="ar-JO"/>
        </w:rPr>
        <w:t xml:space="preserve">La loi </w:t>
      </w:r>
      <w:r w:rsidR="0041394F">
        <w:rPr>
          <w:rFonts w:eastAsia="Traditional Arabic"/>
          <w:lang w:val="fr-FR" w:bidi="ar-JO"/>
        </w:rPr>
        <w:t>n</w:t>
      </w:r>
      <w:r w:rsidR="0041394F">
        <w:rPr>
          <w:rFonts w:eastAsia="Traditional Arabic"/>
          <w:vertAlign w:val="superscript"/>
          <w:lang w:val="fr-FR" w:bidi="ar-JO"/>
        </w:rPr>
        <w:t>o</w:t>
      </w:r>
      <w:r w:rsidRPr="004F1C04">
        <w:rPr>
          <w:rFonts w:eastAsia="Traditional Arabic"/>
          <w:lang w:val="fr-FR" w:bidi="ar-JO"/>
        </w:rPr>
        <w:t xml:space="preserve"> 9 de 1961 relative à la procédure pénale a établi une distinction entre la prescription de l</w:t>
      </w:r>
      <w:r w:rsidR="0041394F">
        <w:rPr>
          <w:rFonts w:eastAsia="Traditional Arabic"/>
          <w:lang w:val="fr-FR" w:bidi="ar-JO"/>
        </w:rPr>
        <w:t>’</w:t>
      </w:r>
      <w:r w:rsidRPr="004F1C04">
        <w:rPr>
          <w:rFonts w:eastAsia="Traditional Arabic"/>
          <w:lang w:val="fr-FR" w:bidi="ar-JO"/>
        </w:rPr>
        <w:t>action publique et la prescription des peines. En ce qui concerne la prescription de l</w:t>
      </w:r>
      <w:r w:rsidR="0041394F">
        <w:rPr>
          <w:rFonts w:eastAsia="Traditional Arabic"/>
          <w:lang w:val="fr-FR" w:bidi="ar-JO"/>
        </w:rPr>
        <w:t>’</w:t>
      </w:r>
      <w:r w:rsidRPr="004F1C04">
        <w:rPr>
          <w:rFonts w:eastAsia="Traditional Arabic"/>
          <w:lang w:val="fr-FR" w:bidi="ar-JO"/>
        </w:rPr>
        <w:t>action publique, l</w:t>
      </w:r>
      <w:r w:rsidR="0041394F">
        <w:rPr>
          <w:rFonts w:eastAsia="Traditional Arabic"/>
          <w:lang w:val="fr-FR" w:bidi="ar-JO"/>
        </w:rPr>
        <w:t>’</w:t>
      </w:r>
      <w:r w:rsidRPr="004F1C04">
        <w:rPr>
          <w:rFonts w:eastAsia="Traditional Arabic"/>
          <w:lang w:val="fr-FR" w:bidi="ar-JO"/>
        </w:rPr>
        <w:t>article 338 de la loi dispose ce qui suit</w:t>
      </w:r>
      <w:r w:rsidR="00C17106">
        <w:rPr>
          <w:rFonts w:eastAsia="Traditional Arabic"/>
          <w:lang w:val="fr-FR" w:bidi="ar-JO"/>
        </w:rPr>
        <w:t>:</w:t>
      </w:r>
      <w:r w:rsidRPr="004F1C04">
        <w:rPr>
          <w:rFonts w:eastAsia="Traditional Arabic"/>
          <w:lang w:val="fr-FR" w:bidi="ar-JO"/>
        </w:rPr>
        <w:t xml:space="preserve"> 1. L</w:t>
      </w:r>
      <w:r w:rsidR="0041394F">
        <w:rPr>
          <w:rFonts w:eastAsia="Traditional Arabic"/>
          <w:lang w:val="fr-FR" w:bidi="ar-JO"/>
        </w:rPr>
        <w:t>’</w:t>
      </w:r>
      <w:r w:rsidRPr="004F1C04">
        <w:rPr>
          <w:rFonts w:eastAsia="Traditional Arabic"/>
          <w:lang w:val="fr-FR" w:bidi="ar-JO"/>
        </w:rPr>
        <w:t>action publique et l</w:t>
      </w:r>
      <w:r w:rsidR="0041394F">
        <w:rPr>
          <w:rFonts w:eastAsia="Traditional Arabic"/>
          <w:lang w:val="fr-FR" w:bidi="ar-JO"/>
        </w:rPr>
        <w:t>’</w:t>
      </w:r>
      <w:r w:rsidRPr="004F1C04">
        <w:rPr>
          <w:rFonts w:eastAsia="Traditional Arabic"/>
          <w:lang w:val="fr-FR" w:bidi="ar-JO"/>
        </w:rPr>
        <w:t xml:space="preserve">action civile se prescrivent par </w:t>
      </w:r>
      <w:r w:rsidR="00C4252A">
        <w:rPr>
          <w:rFonts w:eastAsia="Traditional Arabic"/>
          <w:lang w:val="fr-FR" w:bidi="ar-JO"/>
        </w:rPr>
        <w:t>10</w:t>
      </w:r>
      <w:r w:rsidRPr="004F1C04">
        <w:rPr>
          <w:rFonts w:eastAsia="Traditional Arabic"/>
          <w:lang w:val="fr-FR" w:bidi="ar-JO"/>
        </w:rPr>
        <w:t xml:space="preserve"> ans à compter de la date de la commission de l’acte, si aucune poursuite n</w:t>
      </w:r>
      <w:r w:rsidR="0041394F">
        <w:rPr>
          <w:rFonts w:eastAsia="Traditional Arabic"/>
          <w:lang w:val="fr-FR" w:bidi="ar-JO"/>
        </w:rPr>
        <w:t>’</w:t>
      </w:r>
      <w:r w:rsidRPr="004F1C04">
        <w:rPr>
          <w:rFonts w:eastAsia="Traditional Arabic"/>
          <w:lang w:val="fr-FR" w:bidi="ar-JO"/>
        </w:rPr>
        <w:t xml:space="preserve">a été engagée au cours de cette période. 2. Ces deux actions se prescrivent également </w:t>
      </w:r>
      <w:r w:rsidRPr="004F1C04">
        <w:rPr>
          <w:rFonts w:eastAsia="Traditional Arabic"/>
        </w:rPr>
        <w:t xml:space="preserve">par </w:t>
      </w:r>
      <w:r w:rsidR="00C4252A">
        <w:rPr>
          <w:rFonts w:eastAsia="Traditional Arabic"/>
        </w:rPr>
        <w:t>10</w:t>
      </w:r>
      <w:r w:rsidRPr="004F1C04">
        <w:rPr>
          <w:rFonts w:eastAsia="Traditional Arabic"/>
        </w:rPr>
        <w:t xml:space="preserve"> ans à compter du dernier acte de la procédure, si une action a été engagée et s</w:t>
      </w:r>
      <w:r w:rsidR="0041394F">
        <w:rPr>
          <w:rFonts w:eastAsia="Traditional Arabic"/>
        </w:rPr>
        <w:t>’</w:t>
      </w:r>
      <w:r w:rsidRPr="004F1C04">
        <w:rPr>
          <w:rFonts w:eastAsia="Traditional Arabic"/>
        </w:rPr>
        <w:t>il a été procédé à une instruction non suivie d</w:t>
      </w:r>
      <w:r w:rsidR="0041394F">
        <w:rPr>
          <w:rFonts w:eastAsia="Traditional Arabic"/>
        </w:rPr>
        <w:t>’</w:t>
      </w:r>
      <w:r w:rsidRPr="004F1C04">
        <w:rPr>
          <w:rFonts w:eastAsia="Traditional Arabic"/>
        </w:rPr>
        <w:t>aucune condamnation.</w:t>
      </w:r>
    </w:p>
    <w:p w:rsidR="00E3787F" w:rsidRPr="004F1C04" w:rsidRDefault="00E3787F" w:rsidP="00C00FC7">
      <w:pPr>
        <w:pStyle w:val="SingleTxtG"/>
        <w:rPr>
          <w:lang w:val="fr-FR"/>
        </w:rPr>
      </w:pPr>
      <w:r w:rsidRPr="004F1C04">
        <w:rPr>
          <w:rFonts w:eastAsia="Traditional Arabic"/>
        </w:rPr>
        <w:t>72.</w:t>
      </w:r>
      <w:r w:rsidRPr="004F1C04">
        <w:rPr>
          <w:rFonts w:eastAsia="Traditional Arabic"/>
        </w:rPr>
        <w:tab/>
        <w:t>Quant à la prescription des peines, l</w:t>
      </w:r>
      <w:r w:rsidR="0041394F">
        <w:rPr>
          <w:rFonts w:eastAsia="Traditional Arabic"/>
        </w:rPr>
        <w:t>’</w:t>
      </w:r>
      <w:r w:rsidRPr="004F1C04">
        <w:rPr>
          <w:rFonts w:eastAsia="Traditional Arabic"/>
        </w:rPr>
        <w:t xml:space="preserve">article 342 de la loi relative à la procédure pénale dispose ce qui </w:t>
      </w:r>
      <w:r w:rsidR="00E72FCE">
        <w:rPr>
          <w:rFonts w:eastAsia="Traditional Arabic"/>
        </w:rPr>
        <w:t>suit</w:t>
      </w:r>
      <w:r w:rsidR="00C17106">
        <w:rPr>
          <w:rFonts w:eastAsia="Traditional Arabic"/>
          <w:lang w:val="fr-FR" w:bidi="ar-JO"/>
        </w:rPr>
        <w:t>:</w:t>
      </w:r>
      <w:r w:rsidRPr="004F1C04">
        <w:rPr>
          <w:rFonts w:eastAsia="Traditional Arabic"/>
          <w:lang w:val="fr-FR" w:bidi="ar-JO"/>
        </w:rPr>
        <w:t xml:space="preserve"> «1. La peine capitale et les peines d</w:t>
      </w:r>
      <w:r w:rsidR="0041394F">
        <w:rPr>
          <w:rFonts w:eastAsia="Traditional Arabic"/>
          <w:lang w:val="fr-FR" w:bidi="ar-JO"/>
        </w:rPr>
        <w:t>’</w:t>
      </w:r>
      <w:r w:rsidRPr="004F1C04">
        <w:rPr>
          <w:rFonts w:eastAsia="Traditional Arabic"/>
          <w:lang w:val="fr-FR" w:bidi="ar-JO"/>
        </w:rPr>
        <w:t xml:space="preserve">emprisonnement à perpétuité se prescrivent par </w:t>
      </w:r>
      <w:r w:rsidR="00C4252A">
        <w:rPr>
          <w:rFonts w:eastAsia="Traditional Arabic"/>
          <w:lang w:val="fr-FR" w:bidi="ar-JO"/>
        </w:rPr>
        <w:t>25</w:t>
      </w:r>
      <w:r w:rsidRPr="004F1C04">
        <w:rPr>
          <w:rFonts w:eastAsia="Traditional Arabic"/>
          <w:lang w:val="fr-FR" w:bidi="ar-JO"/>
        </w:rPr>
        <w:t xml:space="preserve"> ans</w:t>
      </w:r>
      <w:r w:rsidR="00C17106">
        <w:rPr>
          <w:rFonts w:eastAsia="Traditional Arabic"/>
          <w:lang w:val="fr-FR" w:bidi="ar-JO"/>
        </w:rPr>
        <w:t>;</w:t>
      </w:r>
      <w:r w:rsidRPr="004F1C04">
        <w:rPr>
          <w:rFonts w:eastAsia="Traditional Arabic"/>
          <w:lang w:val="fr-FR" w:bidi="ar-JO"/>
        </w:rPr>
        <w:t xml:space="preserve"> 2. Les peines d</w:t>
      </w:r>
      <w:r w:rsidR="0041394F">
        <w:rPr>
          <w:rFonts w:eastAsia="Traditional Arabic"/>
          <w:lang w:val="fr-FR" w:bidi="ar-JO"/>
        </w:rPr>
        <w:t>’</w:t>
      </w:r>
      <w:r w:rsidRPr="004F1C04">
        <w:rPr>
          <w:rFonts w:eastAsia="Traditional Arabic"/>
          <w:lang w:val="fr-FR" w:bidi="ar-JO"/>
        </w:rPr>
        <w:t xml:space="preserve">emprisonnement à durée déterminée se prescrivent par un délai double de la peine prononcée par le tribunal, sans que ce délai puisse être supérieur à </w:t>
      </w:r>
      <w:r w:rsidR="00C4252A">
        <w:rPr>
          <w:rFonts w:eastAsia="Traditional Arabic"/>
          <w:lang w:val="fr-FR" w:bidi="ar-JO"/>
        </w:rPr>
        <w:t>20</w:t>
      </w:r>
      <w:r w:rsidRPr="004F1C04">
        <w:rPr>
          <w:rFonts w:eastAsia="Traditional Arabic"/>
          <w:lang w:val="fr-FR" w:bidi="ar-JO"/>
        </w:rPr>
        <w:t xml:space="preserve"> ans et inférieur à </w:t>
      </w:r>
      <w:r w:rsidR="00C4252A">
        <w:rPr>
          <w:rFonts w:eastAsia="Traditional Arabic"/>
          <w:lang w:val="fr-FR" w:bidi="ar-JO"/>
        </w:rPr>
        <w:t>10</w:t>
      </w:r>
      <w:r w:rsidRPr="004F1C04">
        <w:rPr>
          <w:rFonts w:eastAsia="Traditional Arabic"/>
          <w:lang w:val="fr-FR" w:bidi="ar-JO"/>
        </w:rPr>
        <w:t xml:space="preserve"> ans</w:t>
      </w:r>
      <w:r w:rsidR="00C17106">
        <w:rPr>
          <w:rFonts w:eastAsia="Traditional Arabic"/>
          <w:lang w:val="fr-FR" w:bidi="ar-JO"/>
        </w:rPr>
        <w:t>;</w:t>
      </w:r>
      <w:r w:rsidRPr="004F1C04">
        <w:rPr>
          <w:rFonts w:eastAsia="Traditional Arabic"/>
          <w:lang w:val="fr-FR" w:bidi="ar-JO"/>
        </w:rPr>
        <w:t xml:space="preserve"> 3. Les autres sanctions pénales se prescrivent par </w:t>
      </w:r>
      <w:r w:rsidR="00C4252A">
        <w:rPr>
          <w:rFonts w:eastAsia="Traditional Arabic"/>
          <w:lang w:val="fr-FR" w:bidi="ar-JO"/>
        </w:rPr>
        <w:t>10</w:t>
      </w:r>
      <w:r w:rsidRPr="004F1C04">
        <w:rPr>
          <w:rFonts w:eastAsia="Traditional Arabic"/>
          <w:lang w:val="fr-FR" w:bidi="ar-JO"/>
        </w:rPr>
        <w:t xml:space="preserve"> ans». </w:t>
      </w:r>
    </w:p>
    <w:p w:rsidR="00E3787F" w:rsidRPr="004F1C04" w:rsidRDefault="00E3787F" w:rsidP="00C00FC7">
      <w:pPr>
        <w:pStyle w:val="H1G"/>
      </w:pPr>
      <w:r w:rsidRPr="004F1C04">
        <w:tab/>
      </w:r>
      <w:bookmarkStart w:id="44" w:name="_Toc350173959"/>
      <w:bookmarkStart w:id="45" w:name="_Toc358307252"/>
      <w:r w:rsidRPr="004F1C04">
        <w:t xml:space="preserve">B. </w:t>
      </w:r>
      <w:r w:rsidRPr="004F1C04">
        <w:tab/>
        <w:t>Conventions ratifiées par la Jordanie</w:t>
      </w:r>
      <w:bookmarkEnd w:id="44"/>
      <w:bookmarkEnd w:id="45"/>
    </w:p>
    <w:p w:rsidR="00E3787F" w:rsidRPr="004F1C04" w:rsidRDefault="00E3787F" w:rsidP="00C00FC7">
      <w:pPr>
        <w:pStyle w:val="SingleTxtG"/>
        <w:rPr>
          <w:lang w:val="fr-FR"/>
        </w:rPr>
      </w:pPr>
      <w:r w:rsidRPr="004F1C04">
        <w:rPr>
          <w:rFonts w:eastAsia="Traditional Arabic"/>
          <w:lang w:val="fr-FR"/>
        </w:rPr>
        <w:t>73.</w:t>
      </w:r>
      <w:r w:rsidRPr="004F1C04">
        <w:rPr>
          <w:rFonts w:eastAsia="Traditional Arabic"/>
          <w:lang w:val="fr-FR"/>
        </w:rPr>
        <w:tab/>
        <w:t>La Jordanie s</w:t>
      </w:r>
      <w:r w:rsidR="0041394F">
        <w:rPr>
          <w:rFonts w:eastAsia="Traditional Arabic"/>
          <w:lang w:val="fr-FR"/>
        </w:rPr>
        <w:t>’</w:t>
      </w:r>
      <w:r w:rsidRPr="004F1C04">
        <w:rPr>
          <w:rFonts w:eastAsia="Traditional Arabic"/>
          <w:lang w:val="fr-FR"/>
        </w:rPr>
        <w:t>engage à respecter la Charte internationale et les résolutions des Nations Unies. La Jordanie a ratifié les quatre Conventions de Genève de 1949, ainsi que les Protocoles additionnels I et II aux Conventions de Genève de 1949 et de 1977, de même que le Statut de Rome de la Cour pénale internationale en 1998, qui couvre divers aspects des systèmes de protection garantis par le droit international pendant les conflits armés. La Jordanie fait partie des soixante pays dont la ratification a contribué à l</w:t>
      </w:r>
      <w:r w:rsidR="0045246A">
        <w:rPr>
          <w:rFonts w:eastAsia="Traditional Arabic"/>
          <w:lang w:val="fr-FR"/>
        </w:rPr>
        <w:t>’</w:t>
      </w:r>
      <w:r w:rsidRPr="004F1C04">
        <w:rPr>
          <w:rFonts w:eastAsia="Traditional Arabic"/>
          <w:lang w:val="fr-FR"/>
        </w:rPr>
        <w:t xml:space="preserve">entrée en vigueur du Statut de Rome. La Jordanie a également ratifié la Convention </w:t>
      </w:r>
      <w:r w:rsidR="0045246A">
        <w:rPr>
          <w:rFonts w:eastAsia="Traditional Arabic"/>
          <w:lang w:val="fr-FR" w:bidi="ar-JO"/>
        </w:rPr>
        <w:t>n</w:t>
      </w:r>
      <w:r w:rsidR="0045246A">
        <w:rPr>
          <w:rFonts w:eastAsia="Traditional Arabic"/>
          <w:vertAlign w:val="superscript"/>
          <w:lang w:val="fr-FR" w:bidi="ar-JO"/>
        </w:rPr>
        <w:t>o</w:t>
      </w:r>
      <w:r w:rsidRPr="004F1C04">
        <w:rPr>
          <w:rFonts w:eastAsia="Traditional Arabic"/>
          <w:lang w:val="fr-FR"/>
        </w:rPr>
        <w:t xml:space="preserve"> 182 de l</w:t>
      </w:r>
      <w:r w:rsidR="0045246A">
        <w:rPr>
          <w:rFonts w:eastAsia="Traditional Arabic"/>
          <w:lang w:val="fr-FR"/>
        </w:rPr>
        <w:t>’</w:t>
      </w:r>
      <w:r w:rsidRPr="004F1C04">
        <w:rPr>
          <w:rFonts w:eastAsia="Traditional Arabic"/>
          <w:lang w:val="fr-FR"/>
        </w:rPr>
        <w:t>OIT concernant l</w:t>
      </w:r>
      <w:r w:rsidR="0045246A">
        <w:rPr>
          <w:rFonts w:eastAsia="Traditional Arabic"/>
          <w:lang w:val="fr-FR"/>
        </w:rPr>
        <w:t>’</w:t>
      </w:r>
      <w:r w:rsidRPr="004F1C04">
        <w:rPr>
          <w:rFonts w:eastAsia="Traditional Arabic"/>
          <w:lang w:val="fr-FR"/>
        </w:rPr>
        <w:t>interdiction des pires formes de travail des enfants et l</w:t>
      </w:r>
      <w:r w:rsidR="0045246A">
        <w:rPr>
          <w:rFonts w:eastAsia="Traditional Arabic"/>
          <w:lang w:val="fr-FR"/>
        </w:rPr>
        <w:t>’</w:t>
      </w:r>
      <w:r w:rsidRPr="004F1C04">
        <w:rPr>
          <w:rFonts w:eastAsia="Traditional Arabic"/>
          <w:lang w:val="fr-FR"/>
        </w:rPr>
        <w:t>action immédiate en vue de leur élimination.</w:t>
      </w:r>
    </w:p>
    <w:p w:rsidR="00E3787F" w:rsidRPr="004F1C04" w:rsidRDefault="00E3787F" w:rsidP="00C00FC7">
      <w:pPr>
        <w:pStyle w:val="H1G"/>
      </w:pPr>
      <w:bookmarkStart w:id="46" w:name="_Toc350173960"/>
      <w:r w:rsidRPr="004F1C04">
        <w:tab/>
      </w:r>
      <w:bookmarkStart w:id="47" w:name="_Toc358307253"/>
      <w:r w:rsidR="00C00FC7">
        <w:t>C.</w:t>
      </w:r>
      <w:r w:rsidR="00C00FC7">
        <w:tab/>
      </w:r>
      <w:r w:rsidRPr="004F1C04">
        <w:t>Dispositions juridiques relatives à la compétence des juridictions nationales à l</w:t>
      </w:r>
      <w:r w:rsidR="0045246A">
        <w:t>’</w:t>
      </w:r>
      <w:r w:rsidRPr="004F1C04">
        <w:t xml:space="preserve">égard des infractions visées par le </w:t>
      </w:r>
      <w:r w:rsidR="00B02D75">
        <w:t>P</w:t>
      </w:r>
      <w:r w:rsidRPr="004F1C04">
        <w:t>rotocole</w:t>
      </w:r>
      <w:bookmarkEnd w:id="46"/>
      <w:bookmarkEnd w:id="47"/>
    </w:p>
    <w:p w:rsidR="00E3787F" w:rsidRPr="004F1C04" w:rsidRDefault="00E3787F" w:rsidP="00C00FC7">
      <w:pPr>
        <w:pStyle w:val="SingleTxtG"/>
        <w:rPr>
          <w:lang w:val="fr-FR"/>
        </w:rPr>
      </w:pPr>
      <w:r w:rsidRPr="004F1C04">
        <w:rPr>
          <w:rFonts w:eastAsia="Traditional Arabic"/>
          <w:lang w:val="fr-FR"/>
        </w:rPr>
        <w:t>74.</w:t>
      </w:r>
      <w:r w:rsidRPr="004F1C04">
        <w:rPr>
          <w:rFonts w:eastAsia="Traditional Arabic"/>
          <w:lang w:val="fr-FR"/>
        </w:rPr>
        <w:tab/>
        <w:t>Conformément à l</w:t>
      </w:r>
      <w:r w:rsidR="0045246A">
        <w:rPr>
          <w:rFonts w:eastAsia="Traditional Arabic"/>
          <w:lang w:val="fr-FR"/>
        </w:rPr>
        <w:t>’</w:t>
      </w:r>
      <w:r w:rsidRPr="004F1C04">
        <w:rPr>
          <w:rFonts w:eastAsia="Traditional Arabic"/>
          <w:lang w:val="fr-FR"/>
        </w:rPr>
        <w:t>article 4 du Code pénal militaire, les dispositions du Code pénal et les autres dispositions pénales s</w:t>
      </w:r>
      <w:r w:rsidR="0045246A">
        <w:rPr>
          <w:rFonts w:eastAsia="Traditional Arabic"/>
          <w:lang w:val="fr-FR"/>
        </w:rPr>
        <w:t>’</w:t>
      </w:r>
      <w:r w:rsidRPr="004F1C04">
        <w:rPr>
          <w:rFonts w:eastAsia="Traditional Arabic"/>
          <w:lang w:val="fr-FR"/>
        </w:rPr>
        <w:t>appliquent aux actes commis par les personnes visées à l</w:t>
      </w:r>
      <w:r w:rsidR="0045246A">
        <w:rPr>
          <w:rFonts w:eastAsia="Traditional Arabic"/>
          <w:lang w:val="fr-FR"/>
        </w:rPr>
        <w:t>’</w:t>
      </w:r>
      <w:r w:rsidRPr="004F1C04">
        <w:rPr>
          <w:rFonts w:eastAsia="Traditional Arabic"/>
          <w:lang w:val="fr-FR"/>
        </w:rPr>
        <w:t>article 3 de ce Code, sous réserve qu</w:t>
      </w:r>
      <w:r w:rsidR="0045246A">
        <w:rPr>
          <w:rFonts w:eastAsia="Traditional Arabic"/>
          <w:lang w:val="fr-FR"/>
        </w:rPr>
        <w:t>’</w:t>
      </w:r>
      <w:r w:rsidRPr="004F1C04">
        <w:rPr>
          <w:rFonts w:eastAsia="Traditional Arabic"/>
          <w:lang w:val="fr-FR"/>
        </w:rPr>
        <w:t>aucune disposition particulière n</w:t>
      </w:r>
      <w:r w:rsidR="0045246A">
        <w:rPr>
          <w:rFonts w:eastAsia="Traditional Arabic"/>
          <w:lang w:val="fr-FR"/>
        </w:rPr>
        <w:t>’</w:t>
      </w:r>
      <w:r w:rsidRPr="004F1C04">
        <w:rPr>
          <w:rFonts w:eastAsia="Traditional Arabic"/>
          <w:lang w:val="fr-FR"/>
        </w:rPr>
        <w:t>ait été édictée en la matière. Les dispositions générales du Code pénal s</w:t>
      </w:r>
      <w:r w:rsidR="0045246A">
        <w:rPr>
          <w:rFonts w:eastAsia="Traditional Arabic"/>
          <w:lang w:val="fr-FR"/>
        </w:rPr>
        <w:t>’</w:t>
      </w:r>
      <w:r w:rsidRPr="004F1C04">
        <w:rPr>
          <w:rFonts w:eastAsia="Traditional Arabic"/>
          <w:lang w:val="fr-FR"/>
        </w:rPr>
        <w:t xml:space="preserve">appliquent donc aux infractions prévues par le Code pénal militaire. </w:t>
      </w:r>
      <w:r w:rsidRPr="004F1C04">
        <w:rPr>
          <w:rFonts w:eastAsia="Traditional Arabic"/>
          <w:lang w:val="fr-FR" w:bidi="ar-JO"/>
        </w:rPr>
        <w:t>Les articles 7, 8, 10, et 13 du Code pénal ont défini les compétences territoriales et personnelles, ainsi que les dispositions applicables aux auteurs des infractions visées par le Code et commises au sein du Royaume. Une infraction est réputée commise sur le territoire du Royaume si l</w:t>
      </w:r>
      <w:r w:rsidR="0045246A">
        <w:rPr>
          <w:rFonts w:eastAsia="Traditional Arabic"/>
          <w:lang w:val="fr-FR" w:bidi="ar-JO"/>
        </w:rPr>
        <w:t>’</w:t>
      </w:r>
      <w:r w:rsidRPr="004F1C04">
        <w:rPr>
          <w:rFonts w:eastAsia="Traditional Arabic"/>
          <w:lang w:val="fr-FR" w:bidi="ar-JO"/>
        </w:rPr>
        <w:t>un de ses éléments constitutifs, un acte indissociable ou un acte principal ou subsidiaire de complicité a eu lieu sur le territoire jordanien</w:t>
      </w:r>
      <w:r w:rsidR="00C17106">
        <w:rPr>
          <w:rFonts w:eastAsia="Traditional Arabic"/>
          <w:lang w:val="fr-FR" w:bidi="ar-JO"/>
        </w:rPr>
        <w:t>:</w:t>
      </w:r>
    </w:p>
    <w:p w:rsidR="00E3787F" w:rsidRPr="004F1C04" w:rsidRDefault="00E3787F" w:rsidP="00C00FC7">
      <w:pPr>
        <w:pStyle w:val="SingleTxtG"/>
        <w:rPr>
          <w:lang w:val="fr-FR"/>
        </w:rPr>
      </w:pPr>
      <w:r w:rsidRPr="004F1C04">
        <w:rPr>
          <w:rFonts w:eastAsia="Traditional Arabic"/>
          <w:lang w:val="fr-FR"/>
        </w:rPr>
        <w:tab/>
        <w:t>a)</w:t>
      </w:r>
      <w:r w:rsidRPr="004F1C04">
        <w:rPr>
          <w:rFonts w:eastAsia="Traditional Arabic"/>
          <w:lang w:val="fr-FR"/>
        </w:rPr>
        <w:tab/>
      </w:r>
      <w:r w:rsidRPr="004F1C04">
        <w:rPr>
          <w:rFonts w:eastAsia="Traditional Arabic"/>
          <w:lang w:val="fr-FR" w:bidi="ar-JO"/>
        </w:rPr>
        <w:t>Le territoire du Royaume comprend l</w:t>
      </w:r>
      <w:r w:rsidR="0045246A">
        <w:rPr>
          <w:rFonts w:eastAsia="Traditional Arabic"/>
          <w:lang w:val="fr-FR" w:bidi="ar-JO"/>
        </w:rPr>
        <w:t>’</w:t>
      </w:r>
      <w:r w:rsidRPr="004F1C04">
        <w:rPr>
          <w:rFonts w:eastAsia="Traditional Arabic"/>
          <w:lang w:val="fr-FR" w:bidi="ar-JO"/>
        </w:rPr>
        <w:t>espace aérien qui le surplombe, la mer territoriale jusqu</w:t>
      </w:r>
      <w:r w:rsidR="0045246A">
        <w:rPr>
          <w:rFonts w:eastAsia="Traditional Arabic"/>
          <w:lang w:val="fr-FR" w:bidi="ar-JO"/>
        </w:rPr>
        <w:t>’</w:t>
      </w:r>
      <w:r w:rsidRPr="004F1C04">
        <w:rPr>
          <w:rFonts w:eastAsia="Traditional Arabic"/>
          <w:lang w:val="fr-FR" w:bidi="ar-JO"/>
        </w:rPr>
        <w:t xml:space="preserve">à </w:t>
      </w:r>
      <w:r w:rsidR="00C4252A">
        <w:rPr>
          <w:rFonts w:eastAsia="Traditional Arabic"/>
          <w:lang w:val="fr-FR" w:bidi="ar-JO"/>
        </w:rPr>
        <w:t>5</w:t>
      </w:r>
      <w:r w:rsidRPr="004F1C04">
        <w:rPr>
          <w:rFonts w:eastAsia="Traditional Arabic"/>
          <w:lang w:val="fr-FR" w:bidi="ar-JO"/>
        </w:rPr>
        <w:t xml:space="preserve"> kilomètres à partir de la côte, l</w:t>
      </w:r>
      <w:r w:rsidR="0045246A">
        <w:rPr>
          <w:rFonts w:eastAsia="Traditional Arabic"/>
          <w:lang w:val="fr-FR" w:bidi="ar-JO"/>
        </w:rPr>
        <w:t>’</w:t>
      </w:r>
      <w:r w:rsidRPr="004F1C04">
        <w:rPr>
          <w:rFonts w:eastAsia="Traditional Arabic"/>
          <w:lang w:val="fr-FR" w:bidi="ar-JO"/>
        </w:rPr>
        <w:t>espace aérien au-dessus de la mer territoriale, ainsi que les navires et aéronefs jordaniens</w:t>
      </w:r>
      <w:r w:rsidRPr="004F1C04">
        <w:rPr>
          <w:rFonts w:eastAsia="Traditional Arabic"/>
          <w:lang w:val="fr-FR"/>
        </w:rPr>
        <w:t>.</w:t>
      </w:r>
    </w:p>
    <w:p w:rsidR="00E3787F" w:rsidRPr="004F1C04" w:rsidRDefault="00E3787F" w:rsidP="00C00FC7">
      <w:pPr>
        <w:pStyle w:val="SingleTxtG"/>
        <w:rPr>
          <w:lang w:val="fr-FR"/>
        </w:rPr>
      </w:pPr>
      <w:r w:rsidRPr="004F1C04">
        <w:rPr>
          <w:rFonts w:eastAsia="Traditional Arabic"/>
          <w:lang w:val="fr-FR"/>
        </w:rPr>
        <w:tab/>
        <w:t>b)</w:t>
      </w:r>
      <w:r w:rsidRPr="004F1C04">
        <w:rPr>
          <w:rFonts w:eastAsia="Traditional Arabic"/>
          <w:lang w:val="fr-FR"/>
        </w:rPr>
        <w:tab/>
      </w:r>
      <w:r w:rsidRPr="004F1C04">
        <w:rPr>
          <w:rFonts w:eastAsia="Traditional Arabic"/>
          <w:lang w:val="fr-FR" w:bidi="ar-JO"/>
        </w:rPr>
        <w:t>Le territoire du Royaume inclut les territoires étrangers occupés par l</w:t>
      </w:r>
      <w:r w:rsidR="0045246A">
        <w:rPr>
          <w:rFonts w:eastAsia="Traditional Arabic"/>
          <w:lang w:val="fr-FR" w:bidi="ar-JO"/>
        </w:rPr>
        <w:t>’</w:t>
      </w:r>
      <w:r w:rsidRPr="004F1C04">
        <w:rPr>
          <w:rFonts w:eastAsia="Traditional Arabic"/>
          <w:lang w:val="fr-FR" w:bidi="ar-JO"/>
        </w:rPr>
        <w:t>armée jordanienne, si l</w:t>
      </w:r>
      <w:r w:rsidR="0045246A">
        <w:rPr>
          <w:rFonts w:eastAsia="Traditional Arabic"/>
          <w:lang w:val="fr-FR" w:bidi="ar-JO"/>
        </w:rPr>
        <w:t>’</w:t>
      </w:r>
      <w:r w:rsidRPr="004F1C04">
        <w:rPr>
          <w:rFonts w:eastAsia="Traditional Arabic"/>
          <w:lang w:val="fr-FR" w:bidi="ar-JO"/>
        </w:rPr>
        <w:t>infraction commise est dirigée contre la sécurité de l</w:t>
      </w:r>
      <w:r w:rsidR="0045246A">
        <w:rPr>
          <w:rFonts w:eastAsia="Traditional Arabic"/>
          <w:lang w:val="fr-FR" w:bidi="ar-JO"/>
        </w:rPr>
        <w:t>’</w:t>
      </w:r>
      <w:r w:rsidRPr="004F1C04">
        <w:rPr>
          <w:rFonts w:eastAsia="Traditional Arabic"/>
          <w:lang w:val="fr-FR" w:bidi="ar-JO"/>
        </w:rPr>
        <w:t>armée ou contre ses intérêts</w:t>
      </w:r>
      <w:r w:rsidRPr="004F1C04">
        <w:rPr>
          <w:rFonts w:eastAsia="Traditional Arabic"/>
          <w:lang w:val="fr-FR"/>
        </w:rPr>
        <w:t>.</w:t>
      </w:r>
    </w:p>
    <w:p w:rsidR="00E3787F" w:rsidRPr="004F1C04" w:rsidRDefault="00E3787F" w:rsidP="00C00FC7">
      <w:pPr>
        <w:pStyle w:val="SingleTxtG"/>
        <w:rPr>
          <w:lang w:val="fr-FR"/>
        </w:rPr>
      </w:pPr>
      <w:r w:rsidRPr="004F1C04">
        <w:rPr>
          <w:rFonts w:eastAsia="Traditional Arabic"/>
          <w:lang w:val="fr-FR"/>
        </w:rPr>
        <w:t>75.</w:t>
      </w:r>
      <w:r w:rsidRPr="004F1C04">
        <w:rPr>
          <w:rFonts w:eastAsia="Traditional Arabic"/>
          <w:lang w:val="fr-FR"/>
        </w:rPr>
        <w:tab/>
        <w:t>La loi pénale jordanienne ne s</w:t>
      </w:r>
      <w:r w:rsidR="0045246A">
        <w:rPr>
          <w:rFonts w:eastAsia="Traditional Arabic"/>
          <w:lang w:val="fr-FR"/>
        </w:rPr>
        <w:t>’</w:t>
      </w:r>
      <w:r w:rsidRPr="004F1C04">
        <w:rPr>
          <w:rFonts w:eastAsia="Traditional Arabic"/>
          <w:lang w:val="fr-FR"/>
        </w:rPr>
        <w:t>applique pas aux infractions suivantes</w:t>
      </w:r>
      <w:r w:rsidR="00C17106">
        <w:rPr>
          <w:rFonts w:eastAsia="Traditional Arabic"/>
          <w:lang w:val="fr-FR"/>
        </w:rPr>
        <w:t>:</w:t>
      </w:r>
    </w:p>
    <w:p w:rsidR="00E3787F" w:rsidRPr="004F1C04" w:rsidRDefault="00E3787F" w:rsidP="00C00FC7">
      <w:pPr>
        <w:pStyle w:val="SingleTxtG"/>
        <w:rPr>
          <w:lang w:val="fr-FR"/>
        </w:rPr>
      </w:pPr>
      <w:r w:rsidRPr="004F1C04">
        <w:rPr>
          <w:rFonts w:eastAsia="Traditional Arabic"/>
          <w:lang w:val="fr-FR"/>
        </w:rPr>
        <w:tab/>
        <w:t>1.</w:t>
      </w:r>
      <w:r w:rsidRPr="004F1C04">
        <w:rPr>
          <w:rFonts w:eastAsia="Traditional Arabic"/>
          <w:lang w:val="fr-FR"/>
        </w:rPr>
        <w:tab/>
      </w:r>
      <w:r w:rsidRPr="004F1C04">
        <w:rPr>
          <w:rFonts w:eastAsia="Traditional Arabic"/>
          <w:lang w:val="fr-FR" w:bidi="ar-JO"/>
        </w:rPr>
        <w:t>Les infractions commises dans l</w:t>
      </w:r>
      <w:r w:rsidR="0045246A">
        <w:rPr>
          <w:rFonts w:eastAsia="Traditional Arabic"/>
          <w:lang w:val="fr-FR" w:bidi="ar-JO"/>
        </w:rPr>
        <w:t>’</w:t>
      </w:r>
      <w:r w:rsidRPr="004F1C04">
        <w:rPr>
          <w:rFonts w:eastAsia="Traditional Arabic"/>
          <w:lang w:val="fr-FR" w:bidi="ar-JO"/>
        </w:rPr>
        <w:t>espace aérien jordanien à bord d</w:t>
      </w:r>
      <w:r w:rsidR="0045246A">
        <w:rPr>
          <w:rFonts w:eastAsia="Traditional Arabic"/>
          <w:lang w:val="fr-FR" w:bidi="ar-JO"/>
        </w:rPr>
        <w:t>’</w:t>
      </w:r>
      <w:r w:rsidRPr="004F1C04">
        <w:rPr>
          <w:rFonts w:eastAsia="Traditional Arabic"/>
          <w:lang w:val="fr-FR" w:bidi="ar-JO"/>
        </w:rPr>
        <w:t>un aéronef étranger, si l</w:t>
      </w:r>
      <w:r w:rsidR="0045246A">
        <w:rPr>
          <w:rFonts w:eastAsia="Traditional Arabic"/>
          <w:lang w:val="fr-FR" w:bidi="ar-JO"/>
        </w:rPr>
        <w:t>’</w:t>
      </w:r>
      <w:r w:rsidRPr="004F1C04">
        <w:rPr>
          <w:rFonts w:eastAsia="Traditional Arabic"/>
          <w:lang w:val="fr-FR" w:bidi="ar-JO"/>
        </w:rPr>
        <w:t>infraction est circonscrite à l</w:t>
      </w:r>
      <w:r w:rsidR="0045246A">
        <w:rPr>
          <w:rFonts w:eastAsia="Traditional Arabic"/>
          <w:lang w:val="fr-FR" w:bidi="ar-JO"/>
        </w:rPr>
        <w:t>’</w:t>
      </w:r>
      <w:r w:rsidRPr="004F1C04">
        <w:rPr>
          <w:rFonts w:eastAsia="Traditional Arabic"/>
          <w:lang w:val="fr-FR" w:bidi="ar-JO"/>
        </w:rPr>
        <w:t>aéronef concerné. Si l</w:t>
      </w:r>
      <w:r w:rsidR="0045246A">
        <w:rPr>
          <w:rFonts w:eastAsia="Traditional Arabic"/>
          <w:lang w:val="fr-FR" w:bidi="ar-JO"/>
        </w:rPr>
        <w:t>’</w:t>
      </w:r>
      <w:r w:rsidRPr="004F1C04">
        <w:rPr>
          <w:rFonts w:eastAsia="Traditional Arabic"/>
          <w:lang w:val="fr-FR" w:bidi="ar-JO"/>
        </w:rPr>
        <w:t>infraction n</w:t>
      </w:r>
      <w:r w:rsidR="0045246A">
        <w:rPr>
          <w:rFonts w:eastAsia="Traditional Arabic"/>
          <w:lang w:val="fr-FR" w:bidi="ar-JO"/>
        </w:rPr>
        <w:t>’</w:t>
      </w:r>
      <w:r w:rsidRPr="004F1C04">
        <w:rPr>
          <w:rFonts w:eastAsia="Traditional Arabic"/>
          <w:lang w:val="fr-FR" w:bidi="ar-JO"/>
        </w:rPr>
        <w:t>est pas circonscrite audit aéronef, le droit jordanien s</w:t>
      </w:r>
      <w:r w:rsidR="0045246A">
        <w:rPr>
          <w:rFonts w:eastAsia="Traditional Arabic"/>
          <w:lang w:val="fr-FR" w:bidi="ar-JO"/>
        </w:rPr>
        <w:t>’</w:t>
      </w:r>
      <w:r w:rsidRPr="004F1C04">
        <w:rPr>
          <w:rFonts w:eastAsia="Traditional Arabic"/>
          <w:lang w:val="fr-FR" w:bidi="ar-JO"/>
        </w:rPr>
        <w:t>applique si l</w:t>
      </w:r>
      <w:r w:rsidR="0072557F">
        <w:rPr>
          <w:rFonts w:eastAsia="Traditional Arabic"/>
          <w:lang w:val="fr-FR" w:bidi="ar-JO"/>
        </w:rPr>
        <w:t>’</w:t>
      </w:r>
      <w:r w:rsidRPr="004F1C04">
        <w:rPr>
          <w:rFonts w:eastAsia="Traditional Arabic"/>
          <w:lang w:val="fr-FR" w:bidi="ar-JO"/>
        </w:rPr>
        <w:t>auteur ou la victime est de nationalité jordanienne, ou si l</w:t>
      </w:r>
      <w:r w:rsidR="0045246A">
        <w:rPr>
          <w:rFonts w:eastAsia="Traditional Arabic"/>
          <w:lang w:val="fr-FR" w:bidi="ar-JO"/>
        </w:rPr>
        <w:t>’</w:t>
      </w:r>
      <w:r w:rsidRPr="004F1C04">
        <w:rPr>
          <w:rFonts w:eastAsia="Traditional Arabic"/>
          <w:lang w:val="fr-FR" w:bidi="ar-JO"/>
        </w:rPr>
        <w:t>aéronef atterrit sur le territoire du Royaume hachémite de Jordanie après la commission de l</w:t>
      </w:r>
      <w:r w:rsidR="0045246A">
        <w:rPr>
          <w:rFonts w:eastAsia="Traditional Arabic"/>
          <w:lang w:val="fr-FR" w:bidi="ar-JO"/>
        </w:rPr>
        <w:t>’</w:t>
      </w:r>
      <w:r w:rsidRPr="004F1C04">
        <w:rPr>
          <w:rFonts w:eastAsia="Traditional Arabic"/>
          <w:lang w:val="fr-FR" w:bidi="ar-JO"/>
        </w:rPr>
        <w:t>infraction</w:t>
      </w:r>
      <w:r w:rsidRPr="004F1C04">
        <w:rPr>
          <w:rFonts w:eastAsia="Traditional Arabic"/>
          <w:lang w:val="fr-FR"/>
        </w:rPr>
        <w:t>.</w:t>
      </w:r>
    </w:p>
    <w:p w:rsidR="00E3787F" w:rsidRPr="004F1C04" w:rsidRDefault="00E3787F" w:rsidP="00C00FC7">
      <w:pPr>
        <w:pStyle w:val="SingleTxtG"/>
        <w:rPr>
          <w:lang w:val="fr-FR"/>
        </w:rPr>
      </w:pPr>
      <w:r w:rsidRPr="004F1C04">
        <w:rPr>
          <w:rFonts w:eastAsia="Traditional Arabic"/>
          <w:lang w:val="fr-FR"/>
        </w:rPr>
        <w:tab/>
        <w:t>2.</w:t>
      </w:r>
      <w:r w:rsidRPr="004F1C04">
        <w:rPr>
          <w:rFonts w:eastAsia="Traditional Arabic"/>
          <w:lang w:val="fr-FR"/>
        </w:rPr>
        <w:tab/>
      </w:r>
      <w:r w:rsidRPr="004F1C04">
        <w:rPr>
          <w:rFonts w:eastAsia="Traditional Arabic"/>
          <w:lang w:val="fr-FR" w:bidi="ar-JO"/>
        </w:rPr>
        <w:t>Les infractions commises à bord d</w:t>
      </w:r>
      <w:r w:rsidR="0045246A">
        <w:rPr>
          <w:rFonts w:eastAsia="Traditional Arabic"/>
          <w:lang w:val="fr-FR" w:bidi="ar-JO"/>
        </w:rPr>
        <w:t>’</w:t>
      </w:r>
      <w:r w:rsidRPr="004F1C04">
        <w:rPr>
          <w:rFonts w:eastAsia="Traditional Arabic"/>
          <w:lang w:val="fr-FR" w:bidi="ar-JO"/>
        </w:rPr>
        <w:t>un navire navigant dans la mer territoriale jordanienne, ou à bord d</w:t>
      </w:r>
      <w:r w:rsidR="0045246A">
        <w:rPr>
          <w:rFonts w:eastAsia="Traditional Arabic"/>
          <w:lang w:val="fr-FR" w:bidi="ar-JO"/>
        </w:rPr>
        <w:t>’</w:t>
      </w:r>
      <w:r w:rsidRPr="004F1C04">
        <w:rPr>
          <w:rFonts w:eastAsia="Traditional Arabic"/>
          <w:lang w:val="fr-FR" w:bidi="ar-JO"/>
        </w:rPr>
        <w:t>un aéronef étranger dans son espace aérien, lorsqu’elles sont circonscrites au navire ou à l</w:t>
      </w:r>
      <w:r w:rsidR="0045246A">
        <w:rPr>
          <w:rFonts w:eastAsia="Traditional Arabic"/>
          <w:lang w:val="fr-FR" w:bidi="ar-JO"/>
        </w:rPr>
        <w:t>’</w:t>
      </w:r>
      <w:r w:rsidRPr="004F1C04">
        <w:rPr>
          <w:rFonts w:eastAsia="Traditional Arabic"/>
          <w:lang w:val="fr-FR" w:bidi="ar-JO"/>
        </w:rPr>
        <w:t>aéronef concerné.</w:t>
      </w:r>
    </w:p>
    <w:p w:rsidR="00E3787F" w:rsidRPr="004F1C04" w:rsidRDefault="00E3787F" w:rsidP="00C00FC7">
      <w:pPr>
        <w:pStyle w:val="SingleTxtG"/>
        <w:rPr>
          <w:lang w:val="fr-FR"/>
        </w:rPr>
      </w:pPr>
      <w:r w:rsidRPr="004F1C04">
        <w:rPr>
          <w:rFonts w:eastAsia="Traditional Arabic"/>
          <w:lang w:val="fr-FR"/>
        </w:rPr>
        <w:t>76.</w:t>
      </w:r>
      <w:r w:rsidRPr="004F1C04">
        <w:rPr>
          <w:rFonts w:eastAsia="Traditional Arabic"/>
          <w:lang w:val="fr-FR"/>
        </w:rPr>
        <w:tab/>
      </w:r>
      <w:r w:rsidRPr="004F1C04">
        <w:rPr>
          <w:rFonts w:eastAsia="Traditional Arabic"/>
          <w:lang w:val="fr-FR" w:bidi="ar-JO"/>
        </w:rPr>
        <w:t>Les dispositions du Code pénal jordanien sont applicables à tout jordanien qui, se trouvant hors du territoire jordanien, est l’auteur, l’instigateur ou le complice d</w:t>
      </w:r>
      <w:r w:rsidR="0045246A">
        <w:rPr>
          <w:rFonts w:eastAsia="Traditional Arabic"/>
          <w:lang w:val="fr-FR" w:bidi="ar-JO"/>
        </w:rPr>
        <w:t>’</w:t>
      </w:r>
      <w:r w:rsidRPr="004F1C04">
        <w:rPr>
          <w:rFonts w:eastAsia="Traditional Arabic"/>
          <w:lang w:val="fr-FR" w:bidi="ar-JO"/>
        </w:rPr>
        <w:t>un crime ou d</w:t>
      </w:r>
      <w:r w:rsidR="0045246A">
        <w:rPr>
          <w:rFonts w:eastAsia="Traditional Arabic"/>
          <w:lang w:val="fr-FR" w:bidi="ar-JO"/>
        </w:rPr>
        <w:t>’</w:t>
      </w:r>
      <w:r w:rsidRPr="004F1C04">
        <w:rPr>
          <w:rFonts w:eastAsia="Traditional Arabic"/>
          <w:lang w:val="fr-FR" w:bidi="ar-JO"/>
        </w:rPr>
        <w:t>un délit punissable en droit jordanien. Elles sont également applicables à l</w:t>
      </w:r>
      <w:r w:rsidR="0045246A">
        <w:rPr>
          <w:rFonts w:eastAsia="Traditional Arabic"/>
          <w:lang w:val="fr-FR" w:bidi="ar-JO"/>
        </w:rPr>
        <w:t>’</w:t>
      </w:r>
      <w:r w:rsidRPr="004F1C04">
        <w:rPr>
          <w:rFonts w:eastAsia="Traditional Arabic"/>
          <w:lang w:val="fr-FR" w:bidi="ar-JO"/>
        </w:rPr>
        <w:t>inculpé qui perd la nationalité jordanienne ou l</w:t>
      </w:r>
      <w:r w:rsidR="0045246A">
        <w:rPr>
          <w:rFonts w:eastAsia="Traditional Arabic"/>
          <w:lang w:val="fr-FR" w:bidi="ar-JO"/>
        </w:rPr>
        <w:t>’</w:t>
      </w:r>
      <w:r w:rsidRPr="004F1C04">
        <w:rPr>
          <w:rFonts w:eastAsia="Traditional Arabic"/>
          <w:lang w:val="fr-FR" w:bidi="ar-JO"/>
        </w:rPr>
        <w:t>acquiert postérieurement à la commission du crime ou du délit</w:t>
      </w:r>
      <w:r w:rsidR="00C17106">
        <w:rPr>
          <w:rFonts w:eastAsia="Traditional Arabic"/>
          <w:lang w:val="fr-FR" w:bidi="ar-JO"/>
        </w:rPr>
        <w:t>;</w:t>
      </w:r>
      <w:r w:rsidRPr="004F1C04">
        <w:rPr>
          <w:rFonts w:eastAsia="Traditional Arabic"/>
          <w:lang w:val="fr-FR" w:bidi="ar-JO"/>
        </w:rPr>
        <w:t xml:space="preserve"> aux infractions commises hors du territoire jordanien par des fonctionnaires jordaniens dans l</w:t>
      </w:r>
      <w:r w:rsidR="0045246A">
        <w:rPr>
          <w:rFonts w:eastAsia="Traditional Arabic"/>
          <w:lang w:val="fr-FR" w:bidi="ar-JO"/>
        </w:rPr>
        <w:t>’</w:t>
      </w:r>
      <w:r w:rsidRPr="004F1C04">
        <w:rPr>
          <w:rFonts w:eastAsia="Traditional Arabic"/>
          <w:lang w:val="fr-FR" w:bidi="ar-JO"/>
        </w:rPr>
        <w:t>exercice de leurs fonctions ou à cette occasion</w:t>
      </w:r>
      <w:r w:rsidR="00C17106">
        <w:rPr>
          <w:rFonts w:eastAsia="Traditional Arabic"/>
          <w:lang w:val="fr-FR" w:bidi="ar-JO"/>
        </w:rPr>
        <w:t>;</w:t>
      </w:r>
      <w:r w:rsidRPr="004F1C04">
        <w:rPr>
          <w:rFonts w:eastAsia="Traditional Arabic"/>
          <w:lang w:val="fr-FR" w:bidi="ar-JO"/>
        </w:rPr>
        <w:t xml:space="preserve"> aux infractions commises hors du territoire jordanien par les membres du corps diplomatique ou consulaire jordanien jouissant de l</w:t>
      </w:r>
      <w:r w:rsidR="0045246A">
        <w:rPr>
          <w:rFonts w:eastAsia="Traditional Arabic"/>
          <w:lang w:val="fr-FR" w:bidi="ar-JO"/>
        </w:rPr>
        <w:t>’</w:t>
      </w:r>
      <w:r w:rsidRPr="004F1C04">
        <w:rPr>
          <w:rFonts w:eastAsia="Traditional Arabic"/>
          <w:lang w:val="fr-FR" w:bidi="ar-JO"/>
        </w:rPr>
        <w:t>immunité en droit international</w:t>
      </w:r>
      <w:r w:rsidR="00C17106">
        <w:rPr>
          <w:rFonts w:eastAsia="Traditional Arabic"/>
          <w:lang w:val="fr-FR" w:bidi="ar-JO"/>
        </w:rPr>
        <w:t>;</w:t>
      </w:r>
      <w:r w:rsidRPr="004F1C04">
        <w:rPr>
          <w:rFonts w:eastAsia="Traditional Arabic"/>
          <w:lang w:val="fr-FR" w:bidi="ar-JO"/>
        </w:rPr>
        <w:t xml:space="preserve"> à tout étranger résidant sur le territoire du Royaume hachémite de Jordanie qui, hors du territoire jordanien, est l’auteur, l’instigateur ou le complice d</w:t>
      </w:r>
      <w:r w:rsidR="0045246A">
        <w:rPr>
          <w:rFonts w:eastAsia="Traditional Arabic"/>
          <w:lang w:val="fr-FR" w:bidi="ar-JO"/>
        </w:rPr>
        <w:t>’</w:t>
      </w:r>
      <w:r w:rsidRPr="004F1C04">
        <w:rPr>
          <w:rFonts w:eastAsia="Traditional Arabic"/>
          <w:lang w:val="fr-FR" w:bidi="ar-JO"/>
        </w:rPr>
        <w:t>un crime ou d</w:t>
      </w:r>
      <w:r w:rsidR="0045246A">
        <w:rPr>
          <w:rFonts w:eastAsia="Traditional Arabic"/>
          <w:lang w:val="fr-FR" w:bidi="ar-JO"/>
        </w:rPr>
        <w:t>’</w:t>
      </w:r>
      <w:r w:rsidRPr="004F1C04">
        <w:rPr>
          <w:rFonts w:eastAsia="Traditional Arabic"/>
          <w:lang w:val="fr-FR" w:bidi="ar-JO"/>
        </w:rPr>
        <w:t>un délit punissable en droit jordanien, lorsque son retour n</w:t>
      </w:r>
      <w:r w:rsidR="0045246A">
        <w:rPr>
          <w:rFonts w:eastAsia="Traditional Arabic"/>
          <w:lang w:val="fr-FR" w:bidi="ar-JO"/>
        </w:rPr>
        <w:t>’</w:t>
      </w:r>
      <w:r w:rsidRPr="004F1C04">
        <w:rPr>
          <w:rFonts w:eastAsia="Traditional Arabic"/>
          <w:lang w:val="fr-FR" w:bidi="ar-JO"/>
        </w:rPr>
        <w:t>a pas été demandé ou accepté</w:t>
      </w:r>
      <w:r w:rsidRPr="004F1C04">
        <w:rPr>
          <w:rFonts w:eastAsia="Traditional Arabic"/>
          <w:lang w:val="fr-FR"/>
        </w:rPr>
        <w:t>.</w:t>
      </w:r>
    </w:p>
    <w:p w:rsidR="00E3787F" w:rsidRPr="004F1C04" w:rsidRDefault="00E3787F" w:rsidP="00C00FC7">
      <w:pPr>
        <w:pStyle w:val="SingleTxtG"/>
        <w:rPr>
          <w:lang w:val="fr-FR"/>
        </w:rPr>
      </w:pPr>
      <w:r w:rsidRPr="004F1C04">
        <w:rPr>
          <w:rFonts w:eastAsia="Traditional Arabic"/>
          <w:lang w:val="fr-FR"/>
        </w:rPr>
        <w:t>77</w:t>
      </w:r>
      <w:r w:rsidRPr="004F1C04">
        <w:rPr>
          <w:rFonts w:eastAsia="Traditional Arabic"/>
          <w:rtl/>
          <w:lang w:val="fr-FR" w:bidi="fr-FR"/>
        </w:rPr>
        <w:t>.</w:t>
      </w:r>
      <w:r w:rsidRPr="004F1C04">
        <w:rPr>
          <w:rFonts w:eastAsia="Traditional Arabic"/>
          <w:rtl/>
          <w:lang w:val="fr-FR" w:bidi="fr-FR"/>
        </w:rPr>
        <w:tab/>
      </w:r>
      <w:r w:rsidRPr="004F1C04">
        <w:rPr>
          <w:rFonts w:eastAsia="Traditional Arabic"/>
          <w:lang w:val="fr-FR"/>
        </w:rPr>
        <w:t>Les jugements rendus à l</w:t>
      </w:r>
      <w:r w:rsidR="0045246A">
        <w:rPr>
          <w:rFonts w:eastAsia="Traditional Arabic"/>
          <w:lang w:val="fr-FR"/>
        </w:rPr>
        <w:t>’</w:t>
      </w:r>
      <w:r w:rsidRPr="004F1C04">
        <w:rPr>
          <w:rFonts w:eastAsia="Traditional Arabic"/>
          <w:lang w:val="fr-FR"/>
        </w:rPr>
        <w:t>étranger à propos de l</w:t>
      </w:r>
      <w:r w:rsidR="0045246A">
        <w:rPr>
          <w:rFonts w:eastAsia="Traditional Arabic"/>
          <w:lang w:val="fr-FR"/>
        </w:rPr>
        <w:t>’</w:t>
      </w:r>
      <w:r w:rsidRPr="004F1C04">
        <w:rPr>
          <w:rFonts w:eastAsia="Traditional Arabic"/>
          <w:lang w:val="fr-FR"/>
        </w:rPr>
        <w:t>une des infractions visées à l</w:t>
      </w:r>
      <w:r w:rsidR="0072557F">
        <w:rPr>
          <w:rFonts w:eastAsia="Traditional Arabic"/>
          <w:lang w:val="fr-FR"/>
        </w:rPr>
        <w:t>’</w:t>
      </w:r>
      <w:r w:rsidRPr="004F1C04">
        <w:rPr>
          <w:rFonts w:eastAsia="Traditional Arabic"/>
          <w:lang w:val="fr-FR"/>
        </w:rPr>
        <w:t>article 9 du Code pénal, ainsi que les jugements prononcés à l</w:t>
      </w:r>
      <w:r w:rsidR="0045246A">
        <w:rPr>
          <w:rFonts w:eastAsia="Traditional Arabic"/>
          <w:lang w:val="fr-FR"/>
        </w:rPr>
        <w:t>’</w:t>
      </w:r>
      <w:r w:rsidRPr="004F1C04">
        <w:rPr>
          <w:rFonts w:eastAsia="Traditional Arabic"/>
          <w:lang w:val="fr-FR"/>
        </w:rPr>
        <w:t>étranger pour toute infraction commise au sein du Royaume, peuvent faire l</w:t>
      </w:r>
      <w:r w:rsidR="0045246A">
        <w:rPr>
          <w:rFonts w:eastAsia="Traditional Arabic"/>
          <w:lang w:val="fr-FR"/>
        </w:rPr>
        <w:t>’</w:t>
      </w:r>
      <w:r w:rsidRPr="004F1C04">
        <w:rPr>
          <w:rFonts w:eastAsia="Traditional Arabic"/>
          <w:lang w:val="fr-FR"/>
        </w:rPr>
        <w:t>objet de poursuites en Jordanie et dans les deux cas de figure, ces infractions ne font pas l</w:t>
      </w:r>
      <w:r w:rsidR="0045246A">
        <w:rPr>
          <w:rFonts w:eastAsia="Traditional Arabic"/>
          <w:lang w:val="fr-FR"/>
        </w:rPr>
        <w:t>’</w:t>
      </w:r>
      <w:r w:rsidRPr="004F1C04">
        <w:rPr>
          <w:rFonts w:eastAsia="Traditional Arabic"/>
          <w:lang w:val="fr-FR"/>
        </w:rPr>
        <w:t>objet de poursuites au sein du Royaume si la décision du tribunal étranger a été rendue à la suite d</w:t>
      </w:r>
      <w:r w:rsidR="0045246A">
        <w:rPr>
          <w:rFonts w:eastAsia="Traditional Arabic"/>
          <w:lang w:val="fr-FR"/>
        </w:rPr>
        <w:t>’</w:t>
      </w:r>
      <w:r w:rsidRPr="004F1C04">
        <w:rPr>
          <w:rFonts w:eastAsia="Traditional Arabic"/>
          <w:lang w:val="fr-FR"/>
        </w:rPr>
        <w:t>une notification formelle des autorités jordaniennes</w:t>
      </w:r>
      <w:r w:rsidR="00C17106">
        <w:rPr>
          <w:rFonts w:eastAsia="Traditional Arabic"/>
          <w:lang w:val="fr-FR"/>
        </w:rPr>
        <w:t>;</w:t>
      </w:r>
      <w:r w:rsidRPr="004F1C04">
        <w:rPr>
          <w:rFonts w:eastAsia="Traditional Arabic"/>
          <w:lang w:val="fr-FR"/>
        </w:rPr>
        <w:t xml:space="preserve"> il est en outre tenu compte de la période que l</w:t>
      </w:r>
      <w:r w:rsidR="0045246A">
        <w:rPr>
          <w:rFonts w:eastAsia="Traditional Arabic"/>
          <w:lang w:val="fr-FR"/>
        </w:rPr>
        <w:t>’</w:t>
      </w:r>
      <w:r w:rsidRPr="004F1C04">
        <w:rPr>
          <w:rFonts w:eastAsia="Traditional Arabic"/>
          <w:lang w:val="fr-FR"/>
        </w:rPr>
        <w:t>intéressé a passé en détention suite à sa condamnation à l</w:t>
      </w:r>
      <w:r w:rsidR="0045246A">
        <w:rPr>
          <w:rFonts w:eastAsia="Traditional Arabic"/>
          <w:lang w:val="fr-FR"/>
        </w:rPr>
        <w:t>’</w:t>
      </w:r>
      <w:r w:rsidRPr="004F1C04">
        <w:rPr>
          <w:rFonts w:eastAsia="Traditional Arabic"/>
          <w:lang w:val="fr-FR"/>
        </w:rPr>
        <w:t>étranger, aux fins du décompte de la peine restant à purger en Jordanie.</w:t>
      </w:r>
    </w:p>
    <w:p w:rsidR="00E3787F" w:rsidRPr="004F1C04" w:rsidRDefault="00E3787F" w:rsidP="00C00FC7">
      <w:pPr>
        <w:pStyle w:val="H1G"/>
      </w:pPr>
      <w:bookmarkStart w:id="48" w:name="_Toc350173961"/>
      <w:r w:rsidRPr="004F1C04">
        <w:tab/>
      </w:r>
      <w:bookmarkStart w:id="49" w:name="_Toc358307254"/>
      <w:r w:rsidRPr="004F1C04">
        <w:t>D.</w:t>
      </w:r>
      <w:r w:rsidR="00C00FC7">
        <w:tab/>
      </w:r>
      <w:r w:rsidRPr="004F1C04">
        <w:t>Pratiques relatives à l</w:t>
      </w:r>
      <w:r w:rsidR="0045246A">
        <w:t>’</w:t>
      </w:r>
      <w:r w:rsidRPr="004F1C04">
        <w:t>extradition des criminels</w:t>
      </w:r>
      <w:bookmarkEnd w:id="48"/>
      <w:bookmarkEnd w:id="49"/>
      <w:r w:rsidRPr="004F1C04">
        <w:t xml:space="preserve"> </w:t>
      </w:r>
    </w:p>
    <w:p w:rsidR="00E3787F" w:rsidRPr="004F1C04" w:rsidRDefault="00E3787F" w:rsidP="00C00FC7">
      <w:pPr>
        <w:pStyle w:val="SingleTxtG"/>
        <w:rPr>
          <w:lang w:val="fr-FR"/>
        </w:rPr>
      </w:pPr>
      <w:r w:rsidRPr="004F1C04">
        <w:rPr>
          <w:rFonts w:eastAsia="Traditional Arabic"/>
          <w:lang w:val="fr-FR"/>
        </w:rPr>
        <w:t>78.</w:t>
      </w:r>
      <w:r w:rsidRPr="004F1C04">
        <w:rPr>
          <w:rFonts w:eastAsia="Traditional Arabic"/>
          <w:lang w:val="fr-FR"/>
        </w:rPr>
        <w:tab/>
      </w:r>
      <w:r w:rsidRPr="004F1C04">
        <w:rPr>
          <w:rFonts w:eastAsia="Traditional Arabic"/>
          <w:lang w:val="fr-FR" w:bidi="ar-JO"/>
        </w:rPr>
        <w:t>L</w:t>
      </w:r>
      <w:r w:rsidR="0045246A">
        <w:rPr>
          <w:rFonts w:eastAsia="Traditional Arabic"/>
          <w:lang w:val="fr-FR" w:bidi="ar-JO"/>
        </w:rPr>
        <w:t>’</w:t>
      </w:r>
      <w:r w:rsidRPr="004F1C04">
        <w:rPr>
          <w:rFonts w:eastAsia="Traditional Arabic"/>
          <w:lang w:val="fr-FR" w:bidi="ar-JO"/>
        </w:rPr>
        <w:t>article 21 de la Constitution du Royaume hachémite de Jordanie dispose que les accords internationaux et les lois fixent les procédures régissant l</w:t>
      </w:r>
      <w:r w:rsidR="0045246A">
        <w:rPr>
          <w:rFonts w:eastAsia="Traditional Arabic"/>
          <w:lang w:val="fr-FR" w:bidi="ar-JO"/>
        </w:rPr>
        <w:t>’</w:t>
      </w:r>
      <w:r w:rsidRPr="004F1C04">
        <w:rPr>
          <w:rFonts w:eastAsia="Traditional Arabic"/>
          <w:lang w:val="fr-FR" w:bidi="ar-JO"/>
        </w:rPr>
        <w:t>extradition des criminels de droit commun. La Jordanie est partie à des conventions relatives à l</w:t>
      </w:r>
      <w:r w:rsidR="0045246A">
        <w:rPr>
          <w:rFonts w:eastAsia="Traditional Arabic"/>
          <w:lang w:val="fr-FR" w:bidi="ar-JO"/>
        </w:rPr>
        <w:t>’</w:t>
      </w:r>
      <w:r w:rsidRPr="004F1C04">
        <w:rPr>
          <w:rFonts w:eastAsia="Traditional Arabic"/>
          <w:lang w:val="fr-FR" w:bidi="ar-JO"/>
        </w:rPr>
        <w:t>extradition des criminels et notamment à la Convention de la Ligue arabe sur l</w:t>
      </w:r>
      <w:r w:rsidR="0045246A">
        <w:rPr>
          <w:rFonts w:eastAsia="Traditional Arabic"/>
          <w:lang w:val="fr-FR" w:bidi="ar-JO"/>
        </w:rPr>
        <w:t>’</w:t>
      </w:r>
      <w:r w:rsidRPr="004F1C04">
        <w:rPr>
          <w:rFonts w:eastAsia="Traditional Arabic"/>
          <w:lang w:val="fr-FR" w:bidi="ar-JO"/>
        </w:rPr>
        <w:t xml:space="preserve">extradition de 1954, publiée au Journal officiel </w:t>
      </w:r>
      <w:r w:rsidR="0045246A">
        <w:rPr>
          <w:rFonts w:eastAsia="Traditional Arabic"/>
          <w:lang w:val="fr-FR" w:bidi="ar-JO"/>
        </w:rPr>
        <w:t>n</w:t>
      </w:r>
      <w:r w:rsidR="0045246A">
        <w:rPr>
          <w:rFonts w:eastAsia="Traditional Arabic"/>
          <w:vertAlign w:val="superscript"/>
          <w:lang w:val="fr-FR" w:bidi="ar-JO"/>
        </w:rPr>
        <w:t>o</w:t>
      </w:r>
      <w:r w:rsidRPr="004F1C04">
        <w:rPr>
          <w:rFonts w:eastAsia="Traditional Arabic"/>
          <w:lang w:val="fr-FR" w:bidi="ar-JO"/>
        </w:rPr>
        <w:t xml:space="preserve"> 1195 du 1</w:t>
      </w:r>
      <w:r w:rsidRPr="004F1C04">
        <w:rPr>
          <w:rFonts w:eastAsia="Traditional Arabic"/>
          <w:vertAlign w:val="superscript"/>
          <w:lang w:val="fr-FR" w:bidi="ar-JO"/>
        </w:rPr>
        <w:t>er</w:t>
      </w:r>
      <w:r w:rsidRPr="004F1C04">
        <w:rPr>
          <w:rFonts w:eastAsia="Traditional Arabic"/>
          <w:lang w:val="fr-FR" w:bidi="ar-JO"/>
        </w:rPr>
        <w:t xml:space="preserve"> septembre 1954. Selon l’</w:t>
      </w:r>
      <w:r w:rsidRPr="004F1C04">
        <w:rPr>
          <w:rFonts w:eastAsia="Traditional Arabic"/>
          <w:lang w:val="fr-FR"/>
        </w:rPr>
        <w:t xml:space="preserve">avis </w:t>
      </w:r>
      <w:r w:rsidR="0045246A">
        <w:rPr>
          <w:rFonts w:eastAsia="Traditional Arabic"/>
          <w:lang w:val="fr-FR" w:bidi="ar-JO"/>
        </w:rPr>
        <w:t>n</w:t>
      </w:r>
      <w:r w:rsidR="0045246A">
        <w:rPr>
          <w:rFonts w:eastAsia="Traditional Arabic"/>
          <w:vertAlign w:val="superscript"/>
          <w:lang w:val="fr-FR" w:bidi="ar-JO"/>
        </w:rPr>
        <w:t>o</w:t>
      </w:r>
      <w:r w:rsidRPr="004F1C04">
        <w:rPr>
          <w:rFonts w:eastAsia="Traditional Arabic"/>
          <w:lang w:val="fr-FR"/>
        </w:rPr>
        <w:t xml:space="preserve"> 1191/2004 de la Cour de cassation jordanienne rendu en matière pénale (formation composée de cinq magistrats) le 3 octobre 2004, l</w:t>
      </w:r>
      <w:r w:rsidR="0045246A">
        <w:rPr>
          <w:rFonts w:eastAsia="Traditional Arabic"/>
          <w:lang w:val="fr-FR"/>
        </w:rPr>
        <w:t>’</w:t>
      </w:r>
      <w:r w:rsidRPr="004F1C04">
        <w:rPr>
          <w:rFonts w:eastAsia="Traditional Arabic"/>
          <w:lang w:val="fr-FR"/>
        </w:rPr>
        <w:t>absence d</w:t>
      </w:r>
      <w:r w:rsidR="0045246A">
        <w:rPr>
          <w:rFonts w:eastAsia="Traditional Arabic"/>
          <w:lang w:val="fr-FR"/>
        </w:rPr>
        <w:t>’</w:t>
      </w:r>
      <w:r w:rsidRPr="004F1C04">
        <w:rPr>
          <w:rFonts w:eastAsia="Traditional Arabic"/>
          <w:lang w:val="fr-FR"/>
        </w:rPr>
        <w:t>un accord ou d</w:t>
      </w:r>
      <w:r w:rsidR="0045246A">
        <w:rPr>
          <w:rFonts w:eastAsia="Traditional Arabic"/>
          <w:lang w:val="fr-FR"/>
        </w:rPr>
        <w:t>’</w:t>
      </w:r>
      <w:r w:rsidRPr="004F1C04">
        <w:rPr>
          <w:rFonts w:eastAsia="Traditional Arabic"/>
          <w:lang w:val="fr-FR"/>
        </w:rPr>
        <w:t>un traité d</w:t>
      </w:r>
      <w:r w:rsidR="0045246A">
        <w:rPr>
          <w:rFonts w:eastAsia="Traditional Arabic"/>
          <w:lang w:val="fr-FR"/>
        </w:rPr>
        <w:t>’</w:t>
      </w:r>
      <w:r w:rsidRPr="004F1C04">
        <w:rPr>
          <w:rFonts w:eastAsia="Traditional Arabic"/>
          <w:lang w:val="fr-FR"/>
        </w:rPr>
        <w:t>extradition entre le Royaume hachémite de Jordanie et un État requérant, peut être invoquée pour refuser une requête, conformément aux dispositions de l</w:t>
      </w:r>
      <w:r w:rsidR="0045246A">
        <w:rPr>
          <w:rFonts w:eastAsia="Traditional Arabic"/>
          <w:lang w:val="fr-FR"/>
        </w:rPr>
        <w:t>’</w:t>
      </w:r>
      <w:r w:rsidRPr="004F1C04">
        <w:rPr>
          <w:rFonts w:eastAsia="Traditional Arabic"/>
          <w:lang w:val="fr-FR"/>
        </w:rPr>
        <w:t>article 21/2 de la Constitution jordanienne qui prévoit que les accords internationaux et les lois fixent les procédures régissant l</w:t>
      </w:r>
      <w:r w:rsidR="0045246A">
        <w:rPr>
          <w:rFonts w:eastAsia="Traditional Arabic"/>
          <w:lang w:val="fr-FR"/>
        </w:rPr>
        <w:t>’</w:t>
      </w:r>
      <w:r w:rsidRPr="004F1C04">
        <w:rPr>
          <w:rFonts w:eastAsia="Traditional Arabic"/>
          <w:lang w:val="fr-FR"/>
        </w:rPr>
        <w:t>extradition</w:t>
      </w:r>
      <w:r w:rsidR="00F44857">
        <w:rPr>
          <w:rFonts w:eastAsia="Traditional Arabic"/>
          <w:lang w:val="fr-FR"/>
        </w:rPr>
        <w:t xml:space="preserve"> des criminels de droit commun.</w:t>
      </w:r>
    </w:p>
    <w:p w:rsidR="00E3787F" w:rsidRPr="004F1C04" w:rsidRDefault="00E3787F" w:rsidP="00C00FC7">
      <w:pPr>
        <w:pStyle w:val="HChG"/>
      </w:pPr>
      <w:bookmarkStart w:id="50" w:name="_Toc350173962"/>
      <w:r w:rsidRPr="004F1C04">
        <w:tab/>
      </w:r>
      <w:bookmarkStart w:id="51" w:name="_Toc358307255"/>
      <w:r w:rsidRPr="004F1C04">
        <w:t>VI.</w:t>
      </w:r>
      <w:r w:rsidR="00C00FC7">
        <w:tab/>
      </w:r>
      <w:r w:rsidRPr="004F1C04">
        <w:t>Protection, rétablissement et réinsertion</w:t>
      </w:r>
      <w:bookmarkEnd w:id="50"/>
      <w:bookmarkEnd w:id="51"/>
    </w:p>
    <w:p w:rsidR="00E3787F" w:rsidRPr="004F1C04" w:rsidRDefault="00E3787F" w:rsidP="00C00FC7">
      <w:pPr>
        <w:pStyle w:val="H23G"/>
        <w:rPr>
          <w:lang w:val="fr-FR"/>
        </w:rPr>
      </w:pPr>
      <w:r w:rsidRPr="004F1C04">
        <w:rPr>
          <w:rFonts w:eastAsia="Traditional Arabic"/>
          <w:lang w:val="fr-FR"/>
        </w:rPr>
        <w:tab/>
      </w:r>
      <w:r w:rsidRPr="004F1C04">
        <w:rPr>
          <w:rFonts w:eastAsia="Traditional Arabic"/>
          <w:lang w:val="fr-FR"/>
        </w:rPr>
        <w:tab/>
        <w:t>Réfugiés</w:t>
      </w:r>
    </w:p>
    <w:p w:rsidR="00E3787F" w:rsidRPr="004F1C04" w:rsidRDefault="00E3787F" w:rsidP="00C00FC7">
      <w:pPr>
        <w:pStyle w:val="SingleTxtG"/>
        <w:rPr>
          <w:lang w:val="fr-FR"/>
        </w:rPr>
      </w:pPr>
      <w:r w:rsidRPr="004F1C04">
        <w:rPr>
          <w:rFonts w:eastAsia="Traditional Arabic"/>
          <w:lang w:val="fr-FR"/>
        </w:rPr>
        <w:t>79.</w:t>
      </w:r>
      <w:r w:rsidRPr="004F1C04">
        <w:rPr>
          <w:rFonts w:eastAsia="Traditional Arabic"/>
          <w:lang w:val="fr-FR"/>
        </w:rPr>
        <w:tab/>
        <w:t>Le Gouvernement jordanien accorde une attention particulière au problème des enfants réfugiés en pourvoyant à tous leurs besoins fondamentaux. Il continue de dispenser des services au sein de tous les camps de réfugiés dans le cadre de divers projets et plans de développement, comme le projet de sécurité sociale, d’un montant de 26 millions de dinars jordaniens, déployé dans les camps de 1999 à 2004. Tous les camps ont été pourvus d</w:t>
      </w:r>
      <w:r w:rsidR="0045246A">
        <w:rPr>
          <w:rFonts w:eastAsia="Traditional Arabic"/>
          <w:lang w:val="fr-FR"/>
        </w:rPr>
        <w:t>’</w:t>
      </w:r>
      <w:r w:rsidRPr="004F1C04">
        <w:rPr>
          <w:rFonts w:eastAsia="Traditional Arabic"/>
          <w:lang w:val="fr-FR"/>
        </w:rPr>
        <w:t xml:space="preserve">infrastructures matérielles et socio-économiques. </w:t>
      </w:r>
    </w:p>
    <w:p w:rsidR="00E3787F" w:rsidRPr="004F1C04" w:rsidRDefault="00E3787F" w:rsidP="00C00FC7">
      <w:pPr>
        <w:pStyle w:val="SingleTxtG"/>
        <w:rPr>
          <w:lang w:val="fr-FR"/>
        </w:rPr>
      </w:pPr>
      <w:r w:rsidRPr="004F1C04">
        <w:rPr>
          <w:rFonts w:eastAsia="Traditional Arabic"/>
          <w:lang w:val="fr-FR"/>
        </w:rPr>
        <w:t>80.</w:t>
      </w:r>
      <w:r w:rsidRPr="004F1C04">
        <w:rPr>
          <w:rFonts w:eastAsia="Traditional Arabic"/>
          <w:lang w:val="fr-FR"/>
        </w:rPr>
        <w:tab/>
        <w:t>Le Gouvernement loue des terrains en vue de les affecter à l</w:t>
      </w:r>
      <w:r w:rsidR="0045246A">
        <w:rPr>
          <w:rFonts w:eastAsia="Traditional Arabic"/>
          <w:lang w:val="fr-FR"/>
        </w:rPr>
        <w:t>’</w:t>
      </w:r>
      <w:r w:rsidRPr="004F1C04">
        <w:rPr>
          <w:rFonts w:eastAsia="Traditional Arabic"/>
          <w:lang w:val="fr-FR"/>
        </w:rPr>
        <w:t>usage des camps. Le Gouvernement s</w:t>
      </w:r>
      <w:r w:rsidR="0045246A">
        <w:rPr>
          <w:rFonts w:eastAsia="Traditional Arabic"/>
          <w:lang w:val="fr-FR"/>
        </w:rPr>
        <w:t>’</w:t>
      </w:r>
      <w:r w:rsidRPr="004F1C04">
        <w:rPr>
          <w:rFonts w:eastAsia="Traditional Arabic"/>
          <w:lang w:val="fr-FR"/>
        </w:rPr>
        <w:t>emploie également, en collaboration avec les institutions communautaires locales, à mettre en œuvre de nombreux projets visant à améliorer les conditions de vie et les services fournis dans les camps.</w:t>
      </w:r>
    </w:p>
    <w:p w:rsidR="00E3787F" w:rsidRPr="004F1C04" w:rsidRDefault="00E3787F" w:rsidP="00C00FC7">
      <w:pPr>
        <w:pStyle w:val="SingleTxtG"/>
        <w:rPr>
          <w:lang w:val="fr-FR"/>
        </w:rPr>
      </w:pPr>
      <w:r w:rsidRPr="004F1C04">
        <w:rPr>
          <w:rFonts w:eastAsia="Traditional Arabic"/>
          <w:lang w:val="fr-FR"/>
        </w:rPr>
        <w:t>81.</w:t>
      </w:r>
      <w:r w:rsidRPr="004F1C04">
        <w:rPr>
          <w:rFonts w:eastAsia="Traditional Arabic"/>
          <w:lang w:val="fr-FR"/>
        </w:rPr>
        <w:tab/>
        <w:t>En matière d</w:t>
      </w:r>
      <w:r w:rsidR="0045246A">
        <w:rPr>
          <w:rFonts w:eastAsia="Traditional Arabic"/>
          <w:lang w:val="fr-FR"/>
        </w:rPr>
        <w:t>’</w:t>
      </w:r>
      <w:r w:rsidRPr="004F1C04">
        <w:rPr>
          <w:rFonts w:eastAsia="Traditional Arabic"/>
          <w:lang w:val="fr-FR"/>
        </w:rPr>
        <w:t>enseignement, de nombreux enfants réfugiés, garçons et filles, bénéficient des services d</w:t>
      </w:r>
      <w:r w:rsidR="0045246A">
        <w:rPr>
          <w:rFonts w:eastAsia="Traditional Arabic"/>
          <w:lang w:val="fr-FR"/>
        </w:rPr>
        <w:t>’</w:t>
      </w:r>
      <w:r w:rsidRPr="004F1C04">
        <w:rPr>
          <w:rFonts w:eastAsia="Traditional Arabic"/>
          <w:lang w:val="fr-FR"/>
        </w:rPr>
        <w:t>enseignement fournis par l</w:t>
      </w:r>
      <w:r w:rsidR="0045246A">
        <w:rPr>
          <w:rFonts w:eastAsia="Traditional Arabic"/>
          <w:lang w:val="fr-FR"/>
        </w:rPr>
        <w:t>’</w:t>
      </w:r>
      <w:r w:rsidRPr="004F1C04">
        <w:rPr>
          <w:rFonts w:eastAsia="Traditional Arabic"/>
          <w:lang w:val="fr-FR"/>
        </w:rPr>
        <w:t>État au niveau primaire et secondaire, étant précisé que les écoles de l</w:t>
      </w:r>
      <w:r w:rsidR="0045246A">
        <w:rPr>
          <w:rFonts w:eastAsia="Traditional Arabic"/>
          <w:lang w:val="fr-FR"/>
        </w:rPr>
        <w:t>’</w:t>
      </w:r>
      <w:r w:rsidRPr="004F1C04">
        <w:rPr>
          <w:rFonts w:eastAsia="Traditional Arabic"/>
          <w:lang w:val="fr-FR"/>
        </w:rPr>
        <w:t>UNRWA ne dispensant qu</w:t>
      </w:r>
      <w:r w:rsidR="0045246A">
        <w:rPr>
          <w:rFonts w:eastAsia="Traditional Arabic"/>
          <w:lang w:val="fr-FR"/>
        </w:rPr>
        <w:t>’</w:t>
      </w:r>
      <w:r w:rsidRPr="004F1C04">
        <w:rPr>
          <w:rFonts w:eastAsia="Traditional Arabic"/>
          <w:lang w:val="fr-FR"/>
        </w:rPr>
        <w:t>un enseignement primaire. Les enfants réfugiés ont également accès à l</w:t>
      </w:r>
      <w:r w:rsidR="0045246A">
        <w:rPr>
          <w:rFonts w:eastAsia="Traditional Arabic"/>
          <w:lang w:val="fr-FR"/>
        </w:rPr>
        <w:t>’</w:t>
      </w:r>
      <w:r w:rsidRPr="004F1C04">
        <w:rPr>
          <w:rFonts w:eastAsia="Traditional Arabic"/>
          <w:lang w:val="fr-FR"/>
        </w:rPr>
        <w:t>éducation supérieure au sein des universités jordaniennes et participent au concours général d</w:t>
      </w:r>
      <w:r w:rsidR="0045246A">
        <w:rPr>
          <w:rFonts w:eastAsia="Traditional Arabic"/>
          <w:lang w:val="fr-FR"/>
        </w:rPr>
        <w:t>’</w:t>
      </w:r>
      <w:r w:rsidRPr="004F1C04">
        <w:rPr>
          <w:rFonts w:eastAsia="Traditional Arabic"/>
          <w:lang w:val="fr-FR"/>
        </w:rPr>
        <w:t>entrée organisé au niveau national</w:t>
      </w:r>
      <w:r w:rsidR="00C17106">
        <w:rPr>
          <w:rFonts w:eastAsia="Traditional Arabic"/>
          <w:lang w:val="fr-FR"/>
        </w:rPr>
        <w:t>;</w:t>
      </w:r>
      <w:r w:rsidRPr="004F1C04">
        <w:rPr>
          <w:rFonts w:eastAsia="Traditional Arabic"/>
          <w:lang w:val="fr-FR"/>
        </w:rPr>
        <w:t xml:space="preserve"> de plus, un quota de 300 places a été réservé aux étudiants issus de camps de réfugiés au sein des universités, par la grâce et la faveur royales.</w:t>
      </w:r>
    </w:p>
    <w:p w:rsidR="00E3787F" w:rsidRPr="004F1C04" w:rsidRDefault="00E3787F" w:rsidP="00C00FC7">
      <w:pPr>
        <w:pStyle w:val="SingleTxtG"/>
        <w:rPr>
          <w:lang w:val="fr-FR"/>
        </w:rPr>
      </w:pPr>
      <w:r w:rsidRPr="004F1C04">
        <w:rPr>
          <w:rFonts w:eastAsia="Traditional Arabic"/>
          <w:lang w:val="fr-FR"/>
        </w:rPr>
        <w:t>82.</w:t>
      </w:r>
      <w:r w:rsidRPr="004F1C04">
        <w:rPr>
          <w:rFonts w:eastAsia="Traditional Arabic"/>
          <w:lang w:val="fr-FR"/>
        </w:rPr>
        <w:tab/>
        <w:t>Dans le domaine des soins de santé, de nombreux réfugiés ont accès aux services de soins et d</w:t>
      </w:r>
      <w:r w:rsidR="0045246A">
        <w:rPr>
          <w:rFonts w:eastAsia="Traditional Arabic"/>
          <w:lang w:val="fr-FR"/>
        </w:rPr>
        <w:t>’</w:t>
      </w:r>
      <w:r w:rsidRPr="004F1C04">
        <w:rPr>
          <w:rFonts w:eastAsia="Traditional Arabic"/>
          <w:lang w:val="fr-FR"/>
        </w:rPr>
        <w:t>assurance maladie de l</w:t>
      </w:r>
      <w:r w:rsidR="0045246A">
        <w:rPr>
          <w:rFonts w:eastAsia="Traditional Arabic"/>
          <w:lang w:val="fr-FR"/>
        </w:rPr>
        <w:t>’</w:t>
      </w:r>
      <w:r w:rsidRPr="004F1C04">
        <w:rPr>
          <w:rFonts w:eastAsia="Traditional Arabic"/>
          <w:lang w:val="fr-FR"/>
        </w:rPr>
        <w:t>État. Le Gouvernement assure également les services qui ne sont pas couverts par l</w:t>
      </w:r>
      <w:r w:rsidR="0045246A">
        <w:rPr>
          <w:rFonts w:eastAsia="Traditional Arabic"/>
          <w:lang w:val="fr-FR"/>
        </w:rPr>
        <w:t>’</w:t>
      </w:r>
      <w:r w:rsidRPr="004F1C04">
        <w:rPr>
          <w:rFonts w:eastAsia="Traditional Arabic"/>
          <w:lang w:val="fr-FR"/>
        </w:rPr>
        <w:t>UNRWA et dispense des médicaments et vaccins essentiels.</w:t>
      </w:r>
    </w:p>
    <w:p w:rsidR="00E3787F" w:rsidRPr="004F1C04" w:rsidRDefault="00E3787F" w:rsidP="00C00FC7">
      <w:pPr>
        <w:pStyle w:val="SingleTxtG"/>
        <w:rPr>
          <w:lang w:val="fr-FR"/>
        </w:rPr>
      </w:pPr>
      <w:r w:rsidRPr="004F1C04">
        <w:rPr>
          <w:rFonts w:eastAsia="Traditional Arabic"/>
          <w:lang w:val="fr-FR"/>
        </w:rPr>
        <w:t>83.</w:t>
      </w:r>
      <w:r w:rsidRPr="004F1C04">
        <w:rPr>
          <w:rFonts w:eastAsia="Traditional Arabic"/>
          <w:lang w:val="fr-FR"/>
        </w:rPr>
        <w:tab/>
        <w:t>En collaboration avec les institutions donatrices internationales, le Gouvernement met en œuvre divers projets visant à améliorer les conditions de vie au sein des camps. C</w:t>
      </w:r>
      <w:r w:rsidR="0045246A">
        <w:rPr>
          <w:rFonts w:eastAsia="Traditional Arabic"/>
          <w:lang w:val="fr-FR"/>
        </w:rPr>
        <w:t>’</w:t>
      </w:r>
      <w:r w:rsidRPr="004F1C04">
        <w:rPr>
          <w:rFonts w:eastAsia="Traditional Arabic"/>
          <w:lang w:val="fr-FR"/>
        </w:rPr>
        <w:t>est ainsi qu</w:t>
      </w:r>
      <w:r w:rsidR="0072557F">
        <w:rPr>
          <w:rFonts w:eastAsia="Traditional Arabic"/>
          <w:lang w:val="fr-FR"/>
        </w:rPr>
        <w:t>’</w:t>
      </w:r>
      <w:r w:rsidRPr="004F1C04">
        <w:rPr>
          <w:rFonts w:eastAsia="Traditional Arabic"/>
          <w:lang w:val="fr-FR"/>
        </w:rPr>
        <w:t>ont été créés des centres de soins de santé et d</w:t>
      </w:r>
      <w:r w:rsidR="0045246A">
        <w:rPr>
          <w:rFonts w:eastAsia="Traditional Arabic"/>
          <w:lang w:val="fr-FR"/>
        </w:rPr>
        <w:t>’</w:t>
      </w:r>
      <w:r w:rsidRPr="004F1C04">
        <w:rPr>
          <w:rFonts w:eastAsia="Traditional Arabic"/>
          <w:lang w:val="fr-FR"/>
        </w:rPr>
        <w:t>autres centres dispensant divers services aux différents groupes de population, l</w:t>
      </w:r>
      <w:r w:rsidR="0045246A">
        <w:rPr>
          <w:rFonts w:eastAsia="Traditional Arabic"/>
          <w:lang w:val="fr-FR"/>
        </w:rPr>
        <w:t>’</w:t>
      </w:r>
      <w:r w:rsidRPr="004F1C04">
        <w:rPr>
          <w:rFonts w:eastAsia="Traditional Arabic"/>
          <w:lang w:val="fr-FR"/>
        </w:rPr>
        <w:t>accent étant mis en particulier sur les enfants. Ainsi, trois jardins publics ont été ouverts au niveau de trois camps de 2002 à 2004. Le Gouvernement jordanien a également créé des jardins d</w:t>
      </w:r>
      <w:r w:rsidR="0045246A">
        <w:rPr>
          <w:rFonts w:eastAsia="Traditional Arabic"/>
          <w:lang w:val="fr-FR"/>
        </w:rPr>
        <w:t>’</w:t>
      </w:r>
      <w:r w:rsidRPr="004F1C04">
        <w:rPr>
          <w:rFonts w:eastAsia="Traditional Arabic"/>
          <w:lang w:val="fr-FR"/>
        </w:rPr>
        <w:t>enfants, des bibliothèques et des bibliothèques pour enfants, de même qu</w:t>
      </w:r>
      <w:r w:rsidR="0045246A">
        <w:rPr>
          <w:rFonts w:eastAsia="Traditional Arabic"/>
          <w:lang w:val="fr-FR"/>
        </w:rPr>
        <w:t>’</w:t>
      </w:r>
      <w:r w:rsidRPr="004F1C04">
        <w:rPr>
          <w:rFonts w:eastAsia="Traditional Arabic"/>
          <w:lang w:val="fr-FR"/>
        </w:rPr>
        <w:t>il a réalisé d</w:t>
      </w:r>
      <w:r w:rsidR="0072557F">
        <w:rPr>
          <w:rFonts w:eastAsia="Traditional Arabic"/>
          <w:lang w:val="fr-FR"/>
        </w:rPr>
        <w:t>’</w:t>
      </w:r>
      <w:r w:rsidRPr="004F1C04">
        <w:rPr>
          <w:rFonts w:eastAsia="Traditional Arabic"/>
          <w:lang w:val="fr-FR"/>
        </w:rPr>
        <w:t>autres projets destinés aux enfants.</w:t>
      </w:r>
    </w:p>
    <w:p w:rsidR="00E3787F" w:rsidRPr="004F1C04" w:rsidRDefault="00E3787F" w:rsidP="00C00FC7">
      <w:pPr>
        <w:pStyle w:val="SingleTxtG"/>
        <w:rPr>
          <w:lang w:val="fr-FR"/>
        </w:rPr>
      </w:pPr>
      <w:r w:rsidRPr="004F1C04">
        <w:rPr>
          <w:rFonts w:eastAsia="Traditional Arabic"/>
          <w:lang w:val="fr-FR"/>
        </w:rPr>
        <w:t>84.</w:t>
      </w:r>
      <w:r w:rsidRPr="004F1C04">
        <w:rPr>
          <w:rFonts w:eastAsia="Traditional Arabic"/>
          <w:lang w:val="fr-FR"/>
        </w:rPr>
        <w:tab/>
        <w:t>Le Gouvernement agit au profit des réfugiés en général et des enfants en particulier, pour remédier à la situation insatisfaisante qui découle de l</w:t>
      </w:r>
      <w:r w:rsidR="0045246A">
        <w:rPr>
          <w:rFonts w:eastAsia="Traditional Arabic"/>
          <w:lang w:val="fr-FR"/>
        </w:rPr>
        <w:t>’</w:t>
      </w:r>
      <w:r w:rsidRPr="004F1C04">
        <w:rPr>
          <w:rFonts w:eastAsia="Traditional Arabic"/>
          <w:lang w:val="fr-FR"/>
        </w:rPr>
        <w:t>augmentation de leur nombre et de la croissance de leurs besoins, ainsi que de la réduction des dépenses de l</w:t>
      </w:r>
      <w:r w:rsidR="0045246A">
        <w:rPr>
          <w:rFonts w:eastAsia="Traditional Arabic"/>
          <w:lang w:val="fr-FR"/>
        </w:rPr>
        <w:t>’</w:t>
      </w:r>
      <w:r w:rsidRPr="004F1C04">
        <w:rPr>
          <w:rFonts w:eastAsia="Traditional Arabic"/>
          <w:lang w:val="fr-FR"/>
        </w:rPr>
        <w:t>UNRWA et des services dispensés par cet organisme. Ainsi, le budget annuel de l</w:t>
      </w:r>
      <w:r w:rsidR="00C155C6">
        <w:rPr>
          <w:rFonts w:eastAsia="Traditional Arabic"/>
          <w:lang w:val="fr-FR"/>
        </w:rPr>
        <w:t>’</w:t>
      </w:r>
      <w:r w:rsidRPr="004F1C04">
        <w:rPr>
          <w:rFonts w:eastAsia="Traditional Arabic"/>
          <w:lang w:val="fr-FR"/>
        </w:rPr>
        <w:t>UNRWA est d</w:t>
      </w:r>
      <w:r w:rsidR="00C155C6">
        <w:rPr>
          <w:rFonts w:eastAsia="Traditional Arabic"/>
          <w:lang w:val="fr-FR"/>
        </w:rPr>
        <w:t>’</w:t>
      </w:r>
      <w:r w:rsidRPr="004F1C04">
        <w:rPr>
          <w:rFonts w:eastAsia="Traditional Arabic"/>
          <w:lang w:val="fr-FR"/>
        </w:rPr>
        <w:t>environ 75 millions de dollars, alors que le Gouvernement jordanien a dépensé l</w:t>
      </w:r>
      <w:r w:rsidR="00C155C6">
        <w:rPr>
          <w:rFonts w:eastAsia="Traditional Arabic"/>
          <w:lang w:val="fr-FR"/>
        </w:rPr>
        <w:t>’</w:t>
      </w:r>
      <w:r w:rsidRPr="004F1C04">
        <w:rPr>
          <w:rFonts w:eastAsia="Traditional Arabic"/>
          <w:lang w:val="fr-FR"/>
        </w:rPr>
        <w:t>équivalent de 423 121 161 dollars pour fournir divers services. C</w:t>
      </w:r>
      <w:r w:rsidR="00C155C6">
        <w:rPr>
          <w:rFonts w:eastAsia="Traditional Arabic"/>
          <w:lang w:val="fr-FR"/>
        </w:rPr>
        <w:t>’</w:t>
      </w:r>
      <w:r w:rsidRPr="004F1C04">
        <w:rPr>
          <w:rFonts w:eastAsia="Traditional Arabic"/>
          <w:lang w:val="fr-FR"/>
        </w:rPr>
        <w:t>est pourquoi le Gouvernement travaille en collaboration avec l</w:t>
      </w:r>
      <w:r w:rsidR="00C155C6">
        <w:rPr>
          <w:rFonts w:eastAsia="Traditional Arabic"/>
          <w:lang w:val="fr-FR"/>
        </w:rPr>
        <w:t>’</w:t>
      </w:r>
      <w:r w:rsidRPr="004F1C04">
        <w:rPr>
          <w:rFonts w:eastAsia="Traditional Arabic"/>
          <w:lang w:val="fr-FR"/>
        </w:rPr>
        <w:t>UNRWA et les pays donateurs pour atténuer l</w:t>
      </w:r>
      <w:r w:rsidR="00C155C6">
        <w:rPr>
          <w:rFonts w:eastAsia="Traditional Arabic"/>
          <w:lang w:val="fr-FR"/>
        </w:rPr>
        <w:t>’</w:t>
      </w:r>
      <w:r w:rsidRPr="004F1C04">
        <w:rPr>
          <w:rFonts w:eastAsia="Traditional Arabic"/>
          <w:lang w:val="fr-FR"/>
        </w:rPr>
        <w:t>impact de ces réductions sur les réfugiés, et qu</w:t>
      </w:r>
      <w:r w:rsidR="00C155C6">
        <w:rPr>
          <w:rFonts w:eastAsia="Traditional Arabic"/>
          <w:lang w:val="fr-FR"/>
        </w:rPr>
        <w:t>’</w:t>
      </w:r>
      <w:r w:rsidRPr="004F1C04">
        <w:rPr>
          <w:rFonts w:eastAsia="Traditional Arabic"/>
          <w:lang w:val="fr-FR"/>
        </w:rPr>
        <w:t>il demande une assistance immédiate à cette fin.</w:t>
      </w:r>
    </w:p>
    <w:p w:rsidR="00E3787F" w:rsidRPr="004F1C04" w:rsidRDefault="00E3787F" w:rsidP="00C00FC7">
      <w:pPr>
        <w:pStyle w:val="SingleTxtG"/>
        <w:rPr>
          <w:lang w:val="fr-FR"/>
        </w:rPr>
      </w:pPr>
      <w:r w:rsidRPr="004F1C04">
        <w:rPr>
          <w:rFonts w:eastAsia="Traditional Arabic"/>
          <w:lang w:val="fr-FR"/>
        </w:rPr>
        <w:t>85.</w:t>
      </w:r>
      <w:r w:rsidRPr="004F1C04">
        <w:rPr>
          <w:rFonts w:eastAsia="Traditional Arabic"/>
          <w:lang w:val="fr-FR"/>
        </w:rPr>
        <w:tab/>
        <w:t>Le Gouvernement jordanien a signé deux mémorandums d</w:t>
      </w:r>
      <w:r w:rsidR="00C155C6">
        <w:rPr>
          <w:rFonts w:eastAsia="Traditional Arabic"/>
          <w:lang w:val="fr-FR"/>
        </w:rPr>
        <w:t>’</w:t>
      </w:r>
      <w:r w:rsidRPr="004F1C04">
        <w:rPr>
          <w:rFonts w:eastAsia="Traditional Arabic"/>
          <w:lang w:val="fr-FR"/>
        </w:rPr>
        <w:t>accord avec le Haut-commissariat des Nations Unies pour les réfugiés (HCR) en ce qui co</w:t>
      </w:r>
      <w:r w:rsidR="00F44857">
        <w:rPr>
          <w:rFonts w:eastAsia="Traditional Arabic"/>
          <w:lang w:val="fr-FR"/>
        </w:rPr>
        <w:t>ncerne les problèmes liés aux «</w:t>
      </w:r>
      <w:r w:rsidRPr="004F1C04">
        <w:rPr>
          <w:rFonts w:eastAsia="Traditional Arabic"/>
          <w:lang w:val="fr-FR"/>
        </w:rPr>
        <w:t>invités irakiens». Grâce à ces accords, les enfants irakiens ont pu accéder gratuitement aux écoles publiques au même titre que les élèves jordaniens, indépendamment du fait qu</w:t>
      </w:r>
      <w:r w:rsidR="00C155C6">
        <w:rPr>
          <w:rFonts w:eastAsia="Traditional Arabic"/>
          <w:lang w:val="fr-FR"/>
        </w:rPr>
        <w:t>’</w:t>
      </w:r>
      <w:r w:rsidRPr="004F1C04">
        <w:rPr>
          <w:rFonts w:eastAsia="Traditional Arabic"/>
          <w:lang w:val="fr-FR"/>
        </w:rPr>
        <w:t>ils soient accompagnés ou non par leurs parents.</w:t>
      </w:r>
    </w:p>
    <w:p w:rsidR="00E3787F" w:rsidRPr="004F1C04" w:rsidRDefault="00E3787F" w:rsidP="00C00FC7">
      <w:pPr>
        <w:pStyle w:val="SingleTxtG"/>
        <w:rPr>
          <w:lang w:val="fr-FR"/>
        </w:rPr>
      </w:pPr>
      <w:r w:rsidRPr="004F1C04">
        <w:rPr>
          <w:rFonts w:eastAsia="Traditional Arabic"/>
          <w:lang w:val="fr-FR"/>
        </w:rPr>
        <w:t>86</w:t>
      </w:r>
      <w:r w:rsidRPr="004F1C04">
        <w:rPr>
          <w:rFonts w:eastAsia="Traditional Arabic"/>
          <w:rtl/>
          <w:lang w:val="fr-FR" w:bidi="fr-FR"/>
        </w:rPr>
        <w:t>.</w:t>
      </w:r>
      <w:r w:rsidRPr="004F1C04">
        <w:rPr>
          <w:rFonts w:eastAsia="Traditional Arabic"/>
          <w:rtl/>
          <w:lang w:val="fr-FR" w:bidi="fr-FR"/>
        </w:rPr>
        <w:tab/>
      </w:r>
      <w:r w:rsidRPr="004F1C04">
        <w:rPr>
          <w:rFonts w:eastAsia="Traditional Arabic"/>
          <w:lang w:val="fr-FR"/>
        </w:rPr>
        <w:t>Les réfugiés et leurs enfants ont le droit d</w:t>
      </w:r>
      <w:r w:rsidR="00C155C6">
        <w:rPr>
          <w:rFonts w:eastAsia="Traditional Arabic"/>
          <w:lang w:val="fr-FR"/>
        </w:rPr>
        <w:t>’</w:t>
      </w:r>
      <w:r w:rsidRPr="004F1C04">
        <w:rPr>
          <w:rFonts w:eastAsia="Traditional Arabic"/>
          <w:lang w:val="fr-FR"/>
        </w:rPr>
        <w:t>ester en justice et de recourir aux services des administrations publiques</w:t>
      </w:r>
      <w:r w:rsidR="00C17106">
        <w:rPr>
          <w:rFonts w:eastAsia="Traditional Arabic"/>
          <w:lang w:val="fr-FR"/>
        </w:rPr>
        <w:t>;</w:t>
      </w:r>
      <w:r w:rsidRPr="004F1C04">
        <w:rPr>
          <w:rFonts w:eastAsia="Traditional Arabic"/>
          <w:lang w:val="fr-FR"/>
        </w:rPr>
        <w:t xml:space="preserve"> ainsi, des actes de naissance ou de mariage, ainsi que d</w:t>
      </w:r>
      <w:r w:rsidR="00C155C6">
        <w:rPr>
          <w:rFonts w:eastAsia="Traditional Arabic"/>
          <w:lang w:val="fr-FR"/>
        </w:rPr>
        <w:t>’</w:t>
      </w:r>
      <w:r w:rsidRPr="004F1C04">
        <w:rPr>
          <w:rFonts w:eastAsia="Traditional Arabic"/>
          <w:lang w:val="fr-FR"/>
        </w:rPr>
        <w:t>autres documents nécessaires, leur sont couramment délivrés.</w:t>
      </w:r>
    </w:p>
    <w:p w:rsidR="00E3787F" w:rsidRPr="004F1C04" w:rsidRDefault="00E3787F" w:rsidP="00C00FC7">
      <w:pPr>
        <w:pStyle w:val="SingleTxtG"/>
        <w:rPr>
          <w:lang w:val="fr-FR"/>
        </w:rPr>
      </w:pPr>
      <w:r w:rsidRPr="004F1C04">
        <w:rPr>
          <w:rFonts w:eastAsia="Traditional Arabic"/>
          <w:lang w:val="fr-FR"/>
        </w:rPr>
        <w:t>87.</w:t>
      </w:r>
      <w:r w:rsidRPr="004F1C04">
        <w:rPr>
          <w:rFonts w:eastAsia="Traditional Arabic"/>
          <w:lang w:val="fr-FR"/>
        </w:rPr>
        <w:tab/>
        <w:t>Le gouvernement a aussi signé un accord avec le Comité international de la Croix-Rouge (CICR) pour assurer des services de santé et de conseil, ainsi qu’un abri aux enfants non accompagnés par leurs parents, outre les autres services de base offerts par le Croissant-Rouge jordanien</w:t>
      </w:r>
      <w:r w:rsidRPr="004F1C04">
        <w:rPr>
          <w:rFonts w:eastAsia="Traditional Arabic"/>
          <w:rtl/>
          <w:lang w:val="fr-FR" w:bidi="fr-FR"/>
        </w:rPr>
        <w:t xml:space="preserve">. </w:t>
      </w:r>
    </w:p>
    <w:p w:rsidR="00E3787F" w:rsidRPr="004F1C04" w:rsidRDefault="00E3787F" w:rsidP="00C00FC7">
      <w:pPr>
        <w:pStyle w:val="HChG"/>
      </w:pPr>
      <w:bookmarkStart w:id="52" w:name="_Toc350173963"/>
      <w:r w:rsidRPr="004F1C04">
        <w:tab/>
      </w:r>
      <w:bookmarkStart w:id="53" w:name="_Toc358307256"/>
      <w:r w:rsidRPr="004F1C04">
        <w:t>VII.</w:t>
      </w:r>
      <w:r w:rsidR="00C00FC7">
        <w:tab/>
      </w:r>
      <w:r w:rsidRPr="004F1C04">
        <w:t>Assistance et coopération internationale</w:t>
      </w:r>
      <w:bookmarkEnd w:id="52"/>
      <w:bookmarkEnd w:id="53"/>
    </w:p>
    <w:p w:rsidR="00E3787F" w:rsidRPr="004F1C04" w:rsidRDefault="00E3787F" w:rsidP="00C00FC7">
      <w:pPr>
        <w:pStyle w:val="SingleTxtG"/>
        <w:rPr>
          <w:lang w:val="fr-FR"/>
        </w:rPr>
      </w:pPr>
      <w:r w:rsidRPr="004F1C04">
        <w:rPr>
          <w:rFonts w:eastAsia="Traditional Arabic"/>
          <w:lang w:val="fr-FR"/>
        </w:rPr>
        <w:t>89.</w:t>
      </w:r>
      <w:r w:rsidRPr="004F1C04">
        <w:rPr>
          <w:rFonts w:eastAsia="Traditional Arabic"/>
          <w:lang w:val="fr-FR"/>
        </w:rPr>
        <w:tab/>
        <w:t xml:space="preserve">La Jordanie a salué l’adoption par le Conseil de sécurité de la résolution </w:t>
      </w:r>
      <w:r w:rsidR="00C155C6">
        <w:rPr>
          <w:rFonts w:eastAsia="Traditional Arabic"/>
          <w:lang w:val="fr-FR" w:bidi="ar-JO"/>
        </w:rPr>
        <w:t>n</w:t>
      </w:r>
      <w:r w:rsidR="00C155C6">
        <w:rPr>
          <w:rFonts w:eastAsia="Traditional Arabic"/>
          <w:vertAlign w:val="superscript"/>
          <w:lang w:val="fr-FR" w:bidi="ar-JO"/>
        </w:rPr>
        <w:t>o</w:t>
      </w:r>
      <w:r w:rsidRPr="004F1C04">
        <w:rPr>
          <w:rFonts w:eastAsia="Traditional Arabic"/>
          <w:lang w:val="fr-FR"/>
        </w:rPr>
        <w:t xml:space="preserve"> 1612 du 26 juillet 2005, ainsi que les mécanismes mis en place par le Secrétaire général dans son cinquième rapport relatif aux enfants touchés par les conflits armés pour surveiller les </w:t>
      </w:r>
      <w:r w:rsidR="00B32A44">
        <w:rPr>
          <w:rFonts w:eastAsia="Traditional Arabic"/>
          <w:lang w:val="fr-FR"/>
        </w:rPr>
        <w:t>6</w:t>
      </w:r>
      <w:r w:rsidRPr="004F1C04">
        <w:rPr>
          <w:rFonts w:eastAsia="Traditional Arabic"/>
          <w:lang w:val="fr-FR"/>
        </w:rPr>
        <w:t xml:space="preserve"> violations graves citées dans le même rapport. La résolution </w:t>
      </w:r>
      <w:r w:rsidR="00C155C6">
        <w:rPr>
          <w:rFonts w:eastAsia="Traditional Arabic"/>
          <w:lang w:val="fr-FR" w:bidi="ar-JO"/>
        </w:rPr>
        <w:t>n</w:t>
      </w:r>
      <w:r w:rsidR="00C155C6">
        <w:rPr>
          <w:rFonts w:eastAsia="Traditional Arabic"/>
          <w:vertAlign w:val="superscript"/>
          <w:lang w:val="fr-FR" w:bidi="ar-JO"/>
        </w:rPr>
        <w:t>o</w:t>
      </w:r>
      <w:r w:rsidRPr="004F1C04">
        <w:rPr>
          <w:rFonts w:eastAsia="Traditional Arabic"/>
          <w:lang w:val="fr-FR"/>
        </w:rPr>
        <w:t xml:space="preserve"> 1612 est considérée comme l</w:t>
      </w:r>
      <w:r w:rsidR="00C155C6">
        <w:rPr>
          <w:rFonts w:eastAsia="Traditional Arabic"/>
          <w:lang w:val="fr-FR"/>
        </w:rPr>
        <w:t>’</w:t>
      </w:r>
      <w:r w:rsidRPr="004F1C04">
        <w:rPr>
          <w:rFonts w:eastAsia="Traditional Arabic"/>
          <w:lang w:val="fr-FR"/>
        </w:rPr>
        <w:t>une des principales résolutions à l</w:t>
      </w:r>
      <w:r w:rsidR="00C155C6">
        <w:rPr>
          <w:rFonts w:eastAsia="Traditional Arabic"/>
          <w:lang w:val="fr-FR"/>
        </w:rPr>
        <w:t>’</w:t>
      </w:r>
      <w:r w:rsidRPr="004F1C04">
        <w:rPr>
          <w:rFonts w:eastAsia="Traditional Arabic"/>
          <w:lang w:val="fr-FR"/>
        </w:rPr>
        <w:t>origine des mesures concrètes visant à mettre fin à l</w:t>
      </w:r>
      <w:r w:rsidR="00C155C6">
        <w:rPr>
          <w:rFonts w:eastAsia="Traditional Arabic"/>
          <w:lang w:val="fr-FR"/>
        </w:rPr>
        <w:t>’</w:t>
      </w:r>
      <w:r w:rsidRPr="004F1C04">
        <w:rPr>
          <w:rFonts w:eastAsia="Traditional Arabic"/>
          <w:lang w:val="fr-FR"/>
        </w:rPr>
        <w:t>impunité des auteurs de ces violations. Parmi les violations recensées, on peut citer le meurtre, la mutilation, le recrutement et l</w:t>
      </w:r>
      <w:r w:rsidR="00C155C6">
        <w:rPr>
          <w:rFonts w:eastAsia="Traditional Arabic"/>
          <w:lang w:val="fr-FR"/>
        </w:rPr>
        <w:t>’</w:t>
      </w:r>
      <w:r w:rsidRPr="004F1C04">
        <w:rPr>
          <w:rFonts w:eastAsia="Traditional Arabic"/>
          <w:lang w:val="fr-FR"/>
        </w:rPr>
        <w:t>emploi d</w:t>
      </w:r>
      <w:r w:rsidR="00C155C6">
        <w:rPr>
          <w:rFonts w:eastAsia="Traditional Arabic"/>
          <w:lang w:val="fr-FR"/>
        </w:rPr>
        <w:t>’</w:t>
      </w:r>
      <w:r w:rsidRPr="004F1C04">
        <w:rPr>
          <w:rFonts w:eastAsia="Traditional Arabic"/>
          <w:lang w:val="fr-FR"/>
        </w:rPr>
        <w:t>enfants soldats, le viol et les autres violences sexuelles graves infligées aux enfants.</w:t>
      </w:r>
    </w:p>
    <w:p w:rsidR="00E3787F" w:rsidRPr="004F1C04" w:rsidRDefault="00E3787F" w:rsidP="00C00FC7">
      <w:pPr>
        <w:pStyle w:val="H23G"/>
        <w:rPr>
          <w:lang w:val="fr-FR"/>
        </w:rPr>
      </w:pPr>
      <w:r w:rsidRPr="004F1C04">
        <w:rPr>
          <w:rFonts w:eastAsia="Traditional Arabic"/>
          <w:lang w:val="fr-FR"/>
        </w:rPr>
        <w:tab/>
      </w:r>
      <w:r w:rsidRPr="004F1C04">
        <w:rPr>
          <w:rFonts w:eastAsia="Traditional Arabic"/>
          <w:lang w:val="fr-FR"/>
        </w:rPr>
        <w:tab/>
        <w:t xml:space="preserve">Conférences </w:t>
      </w:r>
    </w:p>
    <w:p w:rsidR="00E3787F" w:rsidRPr="004F1C04" w:rsidRDefault="00E3787F" w:rsidP="00C00FC7">
      <w:pPr>
        <w:pStyle w:val="SingleTxtG"/>
        <w:rPr>
          <w:lang w:val="fr-FR"/>
        </w:rPr>
      </w:pPr>
      <w:r w:rsidRPr="004F1C04">
        <w:rPr>
          <w:rFonts w:eastAsia="Traditional Arabic"/>
          <w:lang w:val="fr-FR"/>
        </w:rPr>
        <w:t>90.</w:t>
      </w:r>
      <w:r w:rsidRPr="004F1C04">
        <w:rPr>
          <w:rFonts w:eastAsia="Traditional Arabic"/>
          <w:lang w:val="fr-FR"/>
        </w:rPr>
        <w:tab/>
      </w:r>
      <w:r w:rsidRPr="004F1C04">
        <w:rPr>
          <w:rFonts w:eastAsia="Traditional Arabic"/>
          <w:b/>
          <w:lang w:val="fr-FR"/>
        </w:rPr>
        <w:t>Conférence mondiale pour l</w:t>
      </w:r>
      <w:r w:rsidR="00C155C6">
        <w:rPr>
          <w:rFonts w:eastAsia="Traditional Arabic"/>
          <w:b/>
          <w:lang w:val="fr-FR"/>
        </w:rPr>
        <w:t>’</w:t>
      </w:r>
      <w:r w:rsidRPr="004F1C04">
        <w:rPr>
          <w:rFonts w:eastAsia="Traditional Arabic"/>
          <w:b/>
          <w:lang w:val="fr-FR"/>
        </w:rPr>
        <w:t>inauguration du réseau mondial féminin pour l</w:t>
      </w:r>
      <w:r w:rsidR="00C155C6">
        <w:rPr>
          <w:rFonts w:eastAsia="Traditional Arabic"/>
          <w:b/>
          <w:lang w:val="fr-FR"/>
        </w:rPr>
        <w:t>’</w:t>
      </w:r>
      <w:r w:rsidRPr="004F1C04">
        <w:rPr>
          <w:rFonts w:eastAsia="Traditional Arabic"/>
          <w:b/>
          <w:lang w:val="fr-FR"/>
        </w:rPr>
        <w:t>enfance</w:t>
      </w:r>
      <w:r w:rsidR="00C17106" w:rsidRPr="00C155C6">
        <w:rPr>
          <w:rFonts w:eastAsia="Traditional Arabic"/>
          <w:lang w:val="fr-FR"/>
        </w:rPr>
        <w:t>:</w:t>
      </w:r>
      <w:r w:rsidRPr="004F1C04">
        <w:rPr>
          <w:rFonts w:eastAsia="Traditional Arabic"/>
          <w:lang w:val="fr-FR"/>
        </w:rPr>
        <w:t xml:space="preserve"> La Conférence s</w:t>
      </w:r>
      <w:r w:rsidR="00C155C6">
        <w:rPr>
          <w:rFonts w:eastAsia="Traditional Arabic"/>
          <w:lang w:val="fr-FR"/>
        </w:rPr>
        <w:t>’</w:t>
      </w:r>
      <w:r w:rsidRPr="004F1C04">
        <w:rPr>
          <w:rFonts w:eastAsia="Traditional Arabic"/>
          <w:lang w:val="fr-FR"/>
        </w:rPr>
        <w:t>est tenue en 2006 sous les auspices de Sa Majesté la Reine Rania Al-Abdullah. Elle vise à atteindre les objectifs du troisième millénaire concernant la mortalité maternelle, la mortalité infantile et l</w:t>
      </w:r>
      <w:r w:rsidR="00C155C6">
        <w:rPr>
          <w:rFonts w:eastAsia="Traditional Arabic"/>
          <w:lang w:val="fr-FR"/>
        </w:rPr>
        <w:t>’</w:t>
      </w:r>
      <w:r w:rsidRPr="004F1C04">
        <w:rPr>
          <w:rFonts w:eastAsia="Traditional Arabic"/>
          <w:lang w:val="fr-FR"/>
        </w:rPr>
        <w:t>accès des jeunes filles à l</w:t>
      </w:r>
      <w:r w:rsidR="00C155C6">
        <w:rPr>
          <w:rFonts w:eastAsia="Traditional Arabic"/>
          <w:lang w:val="fr-FR"/>
        </w:rPr>
        <w:t>’</w:t>
      </w:r>
      <w:r w:rsidRPr="004F1C04">
        <w:rPr>
          <w:rFonts w:eastAsia="Traditional Arabic"/>
          <w:lang w:val="fr-FR"/>
        </w:rPr>
        <w:t>éducation</w:t>
      </w:r>
      <w:r w:rsidR="00C17106">
        <w:rPr>
          <w:rFonts w:eastAsia="Traditional Arabic"/>
          <w:lang w:val="fr-FR"/>
        </w:rPr>
        <w:t>;</w:t>
      </w:r>
      <w:r w:rsidRPr="004F1C04">
        <w:rPr>
          <w:rFonts w:eastAsia="Traditional Arabic"/>
          <w:lang w:val="fr-FR"/>
        </w:rPr>
        <w:t xml:space="preserve"> ainsi qu’à établir un partenariat entre les défenseurs de la cause des enfants et des femmes et les dirigeants des institutions concernées qui œuvrent dans tous les secteurs et faire entendre la voix universelle, forte et audacieuse des femmes et des enfants par tous les moyens permettant de faire parvenir leurs préoccupations à tous les acteurs ayant la capacité de provoquer des changements. La conférence a été organisée en collaboration entre le Conseil national des affaires familiales et le Fonds de soutien aux enfants (USA)</w:t>
      </w:r>
      <w:r w:rsidR="00C17106">
        <w:rPr>
          <w:rFonts w:eastAsia="Traditional Arabic"/>
          <w:lang w:val="fr-FR"/>
        </w:rPr>
        <w:t>;</w:t>
      </w:r>
      <w:r w:rsidRPr="004F1C04">
        <w:rPr>
          <w:rFonts w:eastAsia="Traditional Arabic"/>
          <w:lang w:val="fr-FR"/>
        </w:rPr>
        <w:t xml:space="preserve"> elle a réuni plus de 150 femmes dirigeantes renommées spécialisées dans les domaines de l</w:t>
      </w:r>
      <w:r w:rsidR="00C155C6">
        <w:rPr>
          <w:rFonts w:eastAsia="Traditional Arabic"/>
          <w:lang w:val="fr-FR"/>
        </w:rPr>
        <w:t>’</w:t>
      </w:r>
      <w:r w:rsidRPr="004F1C04">
        <w:rPr>
          <w:rFonts w:eastAsia="Traditional Arabic"/>
          <w:lang w:val="fr-FR"/>
        </w:rPr>
        <w:t>éducation et de la santé issues du monde entier. La conférence a conclu ses travaux par un appel à la mobilisation des efforts du réseau, afin de s</w:t>
      </w:r>
      <w:r w:rsidR="00C155C6">
        <w:rPr>
          <w:rFonts w:eastAsia="Traditional Arabic"/>
          <w:lang w:val="fr-FR"/>
        </w:rPr>
        <w:t>’</w:t>
      </w:r>
      <w:r w:rsidRPr="004F1C04">
        <w:rPr>
          <w:rFonts w:eastAsia="Traditional Arabic"/>
          <w:lang w:val="fr-FR"/>
        </w:rPr>
        <w:t>assurer que la santé de la mère et de l</w:t>
      </w:r>
      <w:r w:rsidR="00C155C6">
        <w:rPr>
          <w:rFonts w:eastAsia="Traditional Arabic"/>
          <w:lang w:val="fr-FR"/>
        </w:rPr>
        <w:t>’</w:t>
      </w:r>
      <w:r w:rsidRPr="004F1C04">
        <w:rPr>
          <w:rFonts w:eastAsia="Traditional Arabic"/>
          <w:lang w:val="fr-FR"/>
        </w:rPr>
        <w:t>enfant et la mortalité infantile soient au premier rang des préoccupations des gouvernements, des dirigeants, des investisseurs, des décideurs et des politiciens du monde entier.</w:t>
      </w:r>
    </w:p>
    <w:p w:rsidR="00E3787F" w:rsidRPr="004F1C04" w:rsidRDefault="00E3787F" w:rsidP="00C00FC7">
      <w:pPr>
        <w:pStyle w:val="SingleTxtG"/>
        <w:rPr>
          <w:lang w:val="fr-FR"/>
        </w:rPr>
      </w:pPr>
      <w:r w:rsidRPr="004F1C04">
        <w:rPr>
          <w:rFonts w:eastAsia="Traditional Arabic"/>
          <w:lang w:val="fr-FR"/>
        </w:rPr>
        <w:t>91.</w:t>
      </w:r>
      <w:r w:rsidRPr="004F1C04">
        <w:rPr>
          <w:rFonts w:eastAsia="Traditional Arabic"/>
          <w:lang w:val="fr-FR"/>
        </w:rPr>
        <w:tab/>
      </w:r>
      <w:r w:rsidRPr="004F1C04">
        <w:rPr>
          <w:rFonts w:eastAsia="Traditional Arabic"/>
          <w:b/>
          <w:lang w:val="fr-FR"/>
        </w:rPr>
        <w:t>Sommet mondial de la famille</w:t>
      </w:r>
      <w:r w:rsidR="00C17106" w:rsidRPr="00C155C6">
        <w:rPr>
          <w:rFonts w:eastAsia="Traditional Arabic"/>
          <w:lang w:val="fr-FR"/>
        </w:rPr>
        <w:t>:</w:t>
      </w:r>
      <w:r w:rsidRPr="00C155C6">
        <w:rPr>
          <w:rFonts w:eastAsia="Traditional Arabic"/>
          <w:lang w:val="fr-FR"/>
        </w:rPr>
        <w:t xml:space="preserve"> </w:t>
      </w:r>
      <w:r w:rsidRPr="004F1C04">
        <w:rPr>
          <w:rFonts w:eastAsia="Traditional Arabic"/>
          <w:lang w:val="fr-FR"/>
        </w:rPr>
        <w:t xml:space="preserve">le sommet mondial de la famille </w:t>
      </w:r>
      <w:r w:rsidR="00F44857">
        <w:rPr>
          <w:rFonts w:eastAsia="Traditional Arabic"/>
          <w:lang w:val="fr-FR"/>
        </w:rPr>
        <w:t xml:space="preserve">+ </w:t>
      </w:r>
      <w:r w:rsidRPr="004F1C04">
        <w:rPr>
          <w:rFonts w:eastAsia="Traditional Arabic"/>
          <w:lang w:val="fr-FR"/>
        </w:rPr>
        <w:t>2, qui s</w:t>
      </w:r>
      <w:r w:rsidR="0072557F">
        <w:rPr>
          <w:rFonts w:eastAsia="Traditional Arabic"/>
          <w:lang w:val="fr-FR"/>
        </w:rPr>
        <w:t>’</w:t>
      </w:r>
      <w:r w:rsidRPr="004F1C04">
        <w:rPr>
          <w:rFonts w:eastAsia="Traditional Arabic"/>
          <w:lang w:val="fr-FR"/>
        </w:rPr>
        <w:t>est tenu en 2006, a constitué une plateforme internationale pour l</w:t>
      </w:r>
      <w:r w:rsidR="00C155C6">
        <w:rPr>
          <w:rFonts w:eastAsia="Traditional Arabic"/>
          <w:lang w:val="fr-FR"/>
        </w:rPr>
        <w:t>’</w:t>
      </w:r>
      <w:r w:rsidRPr="004F1C04">
        <w:rPr>
          <w:rFonts w:eastAsia="Traditional Arabic"/>
          <w:lang w:val="fr-FR"/>
        </w:rPr>
        <w:t>interaction, le dialogue et le partenariat entre les parties concernées, les autorités locales, les organisations non gouvernementales, les organisations de la société civile, les parlementaires, les universitaires, le monde des affaires et des médias, les ministres et les maires. Le sommet, qui a été organisé par le Conseil national des affaires familiales et l</w:t>
      </w:r>
      <w:r w:rsidR="00C155C6">
        <w:rPr>
          <w:rFonts w:eastAsia="Traditional Arabic"/>
          <w:lang w:val="fr-FR"/>
        </w:rPr>
        <w:t>’</w:t>
      </w:r>
      <w:r w:rsidRPr="004F1C04">
        <w:rPr>
          <w:rFonts w:eastAsia="Traditional Arabic"/>
          <w:lang w:val="fr-FR"/>
        </w:rPr>
        <w:t>Organisation mondiale de la famille, a conduit à l</w:t>
      </w:r>
      <w:r w:rsidR="00C155C6">
        <w:rPr>
          <w:rFonts w:eastAsia="Traditional Arabic"/>
          <w:lang w:val="fr-FR"/>
        </w:rPr>
        <w:t>’</w:t>
      </w:r>
      <w:r w:rsidRPr="004F1C04">
        <w:rPr>
          <w:rFonts w:eastAsia="Traditional Arabic"/>
          <w:lang w:val="fr-FR"/>
        </w:rPr>
        <w:t>adoption de recommandations dont les plus importantes préconisent l</w:t>
      </w:r>
      <w:r w:rsidR="00C155C6">
        <w:rPr>
          <w:rFonts w:eastAsia="Traditional Arabic"/>
          <w:lang w:val="fr-FR"/>
        </w:rPr>
        <w:t>’</w:t>
      </w:r>
      <w:r w:rsidRPr="004F1C04">
        <w:rPr>
          <w:rFonts w:eastAsia="Traditional Arabic"/>
          <w:lang w:val="fr-FR"/>
        </w:rPr>
        <w:t>élaboration de stratégies visant à lutter contre l</w:t>
      </w:r>
      <w:r w:rsidR="00C155C6">
        <w:rPr>
          <w:rFonts w:eastAsia="Traditional Arabic"/>
          <w:lang w:val="fr-FR"/>
        </w:rPr>
        <w:t>’</w:t>
      </w:r>
      <w:r w:rsidRPr="004F1C04">
        <w:rPr>
          <w:rFonts w:eastAsia="Traditional Arabic"/>
          <w:lang w:val="fr-FR"/>
        </w:rPr>
        <w:t>abandon scolaire par l</w:t>
      </w:r>
      <w:r w:rsidR="00C155C6">
        <w:rPr>
          <w:rFonts w:eastAsia="Traditional Arabic"/>
          <w:lang w:val="fr-FR"/>
        </w:rPr>
        <w:t>’</w:t>
      </w:r>
      <w:r w:rsidRPr="004F1C04">
        <w:rPr>
          <w:rFonts w:eastAsia="Traditional Arabic"/>
          <w:lang w:val="fr-FR"/>
        </w:rPr>
        <w:t>augmentation du taux de scolarisation, l</w:t>
      </w:r>
      <w:r w:rsidR="00C155C6">
        <w:rPr>
          <w:rFonts w:eastAsia="Traditional Arabic"/>
          <w:lang w:val="fr-FR"/>
        </w:rPr>
        <w:t>’</w:t>
      </w:r>
      <w:r w:rsidRPr="004F1C04">
        <w:rPr>
          <w:rFonts w:eastAsia="Traditional Arabic"/>
          <w:lang w:val="fr-FR"/>
        </w:rPr>
        <w:t>exonération des droits de scolarité et la mise en place de programmes de santé et de nutrition à l</w:t>
      </w:r>
      <w:r w:rsidR="00C155C6">
        <w:rPr>
          <w:rFonts w:eastAsia="Traditional Arabic"/>
          <w:lang w:val="fr-FR"/>
        </w:rPr>
        <w:t>’</w:t>
      </w:r>
      <w:r w:rsidRPr="004F1C04">
        <w:rPr>
          <w:rFonts w:eastAsia="Traditional Arabic"/>
          <w:lang w:val="fr-FR"/>
        </w:rPr>
        <w:t>école. Les recommandations préconisent également le renforcement du soutien apporté par les gouvernements aux familles, afin qu</w:t>
      </w:r>
      <w:r w:rsidR="00C155C6">
        <w:rPr>
          <w:rFonts w:eastAsia="Traditional Arabic"/>
          <w:lang w:val="fr-FR"/>
        </w:rPr>
        <w:t>’</w:t>
      </w:r>
      <w:r w:rsidRPr="004F1C04">
        <w:rPr>
          <w:rFonts w:eastAsia="Traditional Arabic"/>
          <w:lang w:val="fr-FR"/>
        </w:rPr>
        <w:t>elles puissent jouer pleinement leur rôle au stade le plus précoce de l</w:t>
      </w:r>
      <w:r w:rsidR="00C155C6">
        <w:rPr>
          <w:rFonts w:eastAsia="Traditional Arabic"/>
          <w:lang w:val="fr-FR"/>
        </w:rPr>
        <w:t>’</w:t>
      </w:r>
      <w:r w:rsidRPr="004F1C04">
        <w:rPr>
          <w:rFonts w:eastAsia="Traditional Arabic"/>
          <w:lang w:val="fr-FR"/>
        </w:rPr>
        <w:t>éducation à savoir l</w:t>
      </w:r>
      <w:r w:rsidR="00C155C6">
        <w:rPr>
          <w:rFonts w:eastAsia="Traditional Arabic"/>
          <w:lang w:val="fr-FR"/>
        </w:rPr>
        <w:t>’</w:t>
      </w:r>
      <w:r w:rsidRPr="004F1C04">
        <w:rPr>
          <w:rFonts w:eastAsia="Traditional Arabic"/>
          <w:lang w:val="fr-FR"/>
        </w:rPr>
        <w:t>enseignement pré-primaire</w:t>
      </w:r>
      <w:r w:rsidR="00C17106">
        <w:rPr>
          <w:rFonts w:eastAsia="Traditional Arabic"/>
          <w:lang w:val="fr-FR"/>
        </w:rPr>
        <w:t>;</w:t>
      </w:r>
      <w:r w:rsidRPr="004F1C04">
        <w:rPr>
          <w:rFonts w:eastAsia="Traditional Arabic"/>
          <w:lang w:val="fr-FR"/>
        </w:rPr>
        <w:t xml:space="preserve"> l</w:t>
      </w:r>
      <w:r w:rsidR="00C155C6">
        <w:rPr>
          <w:rFonts w:eastAsia="Traditional Arabic"/>
          <w:lang w:val="fr-FR"/>
        </w:rPr>
        <w:t>’</w:t>
      </w:r>
      <w:r w:rsidRPr="004F1C04">
        <w:rPr>
          <w:rFonts w:eastAsia="Traditional Arabic"/>
          <w:lang w:val="fr-FR"/>
        </w:rPr>
        <w:t>élaboration de programmes de sensibilisation à l</w:t>
      </w:r>
      <w:r w:rsidR="00C155C6">
        <w:rPr>
          <w:rFonts w:eastAsia="Traditional Arabic"/>
          <w:lang w:val="fr-FR"/>
        </w:rPr>
        <w:t>’</w:t>
      </w:r>
      <w:r w:rsidRPr="004F1C04">
        <w:rPr>
          <w:rFonts w:eastAsia="Traditional Arabic"/>
          <w:lang w:val="fr-FR"/>
        </w:rPr>
        <w:t>intention des parents</w:t>
      </w:r>
      <w:r w:rsidR="00C17106">
        <w:rPr>
          <w:rFonts w:eastAsia="Traditional Arabic"/>
          <w:lang w:val="fr-FR"/>
        </w:rPr>
        <w:t>;</w:t>
      </w:r>
      <w:r w:rsidRPr="004F1C04">
        <w:rPr>
          <w:rFonts w:eastAsia="Traditional Arabic"/>
          <w:lang w:val="fr-FR"/>
        </w:rPr>
        <w:t xml:space="preserve"> l</w:t>
      </w:r>
      <w:r w:rsidR="00C155C6">
        <w:rPr>
          <w:rFonts w:eastAsia="Traditional Arabic"/>
          <w:lang w:val="fr-FR"/>
        </w:rPr>
        <w:t>’</w:t>
      </w:r>
      <w:r w:rsidRPr="004F1C04">
        <w:rPr>
          <w:rFonts w:eastAsia="Traditional Arabic"/>
          <w:lang w:val="fr-FR"/>
        </w:rPr>
        <w:t>égalité d</w:t>
      </w:r>
      <w:r w:rsidR="00C155C6">
        <w:rPr>
          <w:rFonts w:eastAsia="Traditional Arabic"/>
          <w:lang w:val="fr-FR"/>
        </w:rPr>
        <w:t>’</w:t>
      </w:r>
      <w:r w:rsidRPr="004F1C04">
        <w:rPr>
          <w:rFonts w:eastAsia="Traditional Arabic"/>
          <w:lang w:val="fr-FR"/>
        </w:rPr>
        <w:t>accès des enfants issus à la fois de milieux défavorisés ou aisés à l</w:t>
      </w:r>
      <w:r w:rsidR="00C155C6">
        <w:rPr>
          <w:rFonts w:eastAsia="Traditional Arabic"/>
          <w:lang w:val="fr-FR"/>
        </w:rPr>
        <w:t>’</w:t>
      </w:r>
      <w:r w:rsidRPr="004F1C04">
        <w:rPr>
          <w:rFonts w:eastAsia="Traditional Arabic"/>
          <w:lang w:val="fr-FR"/>
        </w:rPr>
        <w:t>éducation par une répartition égalitaire des ressources allouées aux régions et aux différentes écoles.</w:t>
      </w:r>
    </w:p>
    <w:p w:rsidR="00E3787F" w:rsidRPr="004F1C04" w:rsidRDefault="00E3787F" w:rsidP="00C00FC7">
      <w:pPr>
        <w:pStyle w:val="SingleTxtG"/>
        <w:rPr>
          <w:lang w:val="fr-FR"/>
        </w:rPr>
      </w:pPr>
      <w:r w:rsidRPr="004F1C04">
        <w:rPr>
          <w:rFonts w:eastAsia="Traditional Arabic"/>
          <w:lang w:val="fr-FR"/>
        </w:rPr>
        <w:t>92.</w:t>
      </w:r>
      <w:r w:rsidRPr="004F1C04">
        <w:rPr>
          <w:rFonts w:eastAsia="Traditional Arabic"/>
          <w:lang w:val="fr-FR"/>
        </w:rPr>
        <w:tab/>
      </w:r>
      <w:r w:rsidRPr="004F1C04">
        <w:rPr>
          <w:rFonts w:eastAsia="Traditional Arabic"/>
          <w:b/>
          <w:lang w:val="fr-FR"/>
        </w:rPr>
        <w:t>Conférence sur les enfants, les municipalités et la société</w:t>
      </w:r>
      <w:r w:rsidR="00C17106" w:rsidRPr="00C155C6">
        <w:rPr>
          <w:rFonts w:eastAsia="Traditional Arabic"/>
          <w:lang w:val="fr-FR"/>
        </w:rPr>
        <w:t>:</w:t>
      </w:r>
      <w:r w:rsidRPr="004F1C04">
        <w:rPr>
          <w:rFonts w:eastAsia="Traditional Arabic"/>
          <w:lang w:val="fr-FR"/>
        </w:rPr>
        <w:t xml:space="preserve"> organisée à l</w:t>
      </w:r>
      <w:r w:rsidR="0072557F">
        <w:rPr>
          <w:rFonts w:eastAsia="Traditional Arabic"/>
          <w:lang w:val="fr-FR"/>
        </w:rPr>
        <w:t>’</w:t>
      </w:r>
      <w:r w:rsidRPr="004F1C04">
        <w:rPr>
          <w:rFonts w:eastAsia="Traditional Arabic"/>
          <w:lang w:val="fr-FR"/>
        </w:rPr>
        <w:t>initiative de l</w:t>
      </w:r>
      <w:r w:rsidR="00C155C6">
        <w:rPr>
          <w:rFonts w:eastAsia="Traditional Arabic"/>
          <w:lang w:val="fr-FR"/>
        </w:rPr>
        <w:t>’</w:t>
      </w:r>
      <w:r w:rsidRPr="004F1C04">
        <w:rPr>
          <w:rFonts w:eastAsia="Traditional Arabic"/>
          <w:lang w:val="fr-FR"/>
        </w:rPr>
        <w:t>Association de protection de la famille et de l</w:t>
      </w:r>
      <w:r w:rsidR="00C155C6">
        <w:rPr>
          <w:rFonts w:eastAsia="Traditional Arabic"/>
          <w:lang w:val="fr-FR"/>
        </w:rPr>
        <w:t>’</w:t>
      </w:r>
      <w:r w:rsidRPr="004F1C04">
        <w:rPr>
          <w:rFonts w:eastAsia="Traditional Arabic"/>
          <w:lang w:val="fr-FR"/>
        </w:rPr>
        <w:t>enfance, cette conférence s</w:t>
      </w:r>
      <w:r w:rsidR="00C155C6">
        <w:rPr>
          <w:rFonts w:eastAsia="Traditional Arabic"/>
          <w:lang w:val="fr-FR"/>
        </w:rPr>
        <w:t>’</w:t>
      </w:r>
      <w:r w:rsidRPr="004F1C04">
        <w:rPr>
          <w:rFonts w:eastAsia="Traditional Arabic"/>
          <w:lang w:val="fr-FR"/>
        </w:rPr>
        <w:t>est tenue à Irbid en 2007 et a permis de réunir la plupart des institutions et les enfants eux-mêmes. La Conférence a examiné le rôle que peuvent jouer les municipalités dans l</w:t>
      </w:r>
      <w:r w:rsidR="00C155C6">
        <w:rPr>
          <w:rFonts w:eastAsia="Traditional Arabic"/>
          <w:lang w:val="fr-FR"/>
        </w:rPr>
        <w:t>’</w:t>
      </w:r>
      <w:r w:rsidRPr="004F1C04">
        <w:rPr>
          <w:rFonts w:eastAsia="Traditional Arabic"/>
          <w:lang w:val="fr-FR"/>
        </w:rPr>
        <w:t>élaboration des budgets consacrés à l</w:t>
      </w:r>
      <w:r w:rsidR="00C155C6">
        <w:rPr>
          <w:rFonts w:eastAsia="Traditional Arabic"/>
          <w:lang w:val="fr-FR"/>
        </w:rPr>
        <w:t>’</w:t>
      </w:r>
      <w:r w:rsidRPr="004F1C04">
        <w:rPr>
          <w:rFonts w:eastAsia="Traditional Arabic"/>
          <w:lang w:val="fr-FR"/>
        </w:rPr>
        <w:t>enfance</w:t>
      </w:r>
      <w:r w:rsidR="00C17106">
        <w:rPr>
          <w:rFonts w:eastAsia="Traditional Arabic"/>
          <w:lang w:val="fr-FR"/>
        </w:rPr>
        <w:t>;</w:t>
      </w:r>
      <w:r w:rsidRPr="004F1C04">
        <w:rPr>
          <w:rFonts w:eastAsia="Traditional Arabic"/>
          <w:lang w:val="fr-FR"/>
        </w:rPr>
        <w:t xml:space="preserve"> la lutte contre le phénomène du travail des enfants et le problème des enfants en danger. Les travaux de la Conférence se sont achevés par l</w:t>
      </w:r>
      <w:r w:rsidR="00C155C6">
        <w:rPr>
          <w:rFonts w:eastAsia="Traditional Arabic"/>
          <w:lang w:val="fr-FR"/>
        </w:rPr>
        <w:t>’</w:t>
      </w:r>
      <w:r w:rsidRPr="004F1C04">
        <w:rPr>
          <w:rFonts w:eastAsia="Traditional Arabic"/>
          <w:lang w:val="fr-FR"/>
        </w:rPr>
        <w:t>adoption de plusieurs recommandations dont la plus importante préconise d</w:t>
      </w:r>
      <w:r w:rsidR="00C155C6">
        <w:rPr>
          <w:rFonts w:eastAsia="Traditional Arabic"/>
          <w:lang w:val="fr-FR"/>
        </w:rPr>
        <w:t>’</w:t>
      </w:r>
      <w:r w:rsidRPr="004F1C04">
        <w:rPr>
          <w:rFonts w:eastAsia="Traditional Arabic"/>
          <w:lang w:val="fr-FR"/>
        </w:rPr>
        <w:t xml:space="preserve">associer les municipalités à la résolution des problèmes auxquels font face les enfants. </w:t>
      </w:r>
    </w:p>
    <w:p w:rsidR="00E3787F" w:rsidRPr="004F1C04" w:rsidRDefault="00E3787F" w:rsidP="00C00FC7">
      <w:pPr>
        <w:pStyle w:val="SingleTxtG"/>
        <w:rPr>
          <w:lang w:val="fr-FR"/>
        </w:rPr>
      </w:pPr>
      <w:r w:rsidRPr="004F1C04">
        <w:rPr>
          <w:rFonts w:eastAsia="Traditional Arabic"/>
          <w:lang w:val="fr-FR"/>
        </w:rPr>
        <w:t>93</w:t>
      </w:r>
      <w:r w:rsidR="00C04FF8">
        <w:rPr>
          <w:rFonts w:eastAsia="Traditional Arabic"/>
          <w:lang w:val="fr-FR"/>
        </w:rPr>
        <w:t>.</w:t>
      </w:r>
      <w:r w:rsidRPr="004F1C04">
        <w:rPr>
          <w:rFonts w:eastAsia="Traditional Arabic"/>
          <w:lang w:val="fr-FR"/>
        </w:rPr>
        <w:tab/>
      </w:r>
      <w:r w:rsidRPr="004F1C04">
        <w:rPr>
          <w:rFonts w:eastAsia="Traditional Arabic"/>
          <w:b/>
          <w:lang w:val="fr-FR"/>
        </w:rPr>
        <w:t>Ateliers sur les progrès accomplis par la Jordanie dans le domaine de la protection de la famille et de l</w:t>
      </w:r>
      <w:r w:rsidR="00C155C6">
        <w:rPr>
          <w:rFonts w:eastAsia="Traditional Arabic"/>
          <w:b/>
          <w:lang w:val="fr-FR"/>
        </w:rPr>
        <w:t>’</w:t>
      </w:r>
      <w:r w:rsidRPr="004F1C04">
        <w:rPr>
          <w:rFonts w:eastAsia="Traditional Arabic"/>
          <w:b/>
          <w:lang w:val="fr-FR"/>
        </w:rPr>
        <w:t>enfance (2007)</w:t>
      </w:r>
      <w:r w:rsidR="00C17106" w:rsidRPr="00C155C6">
        <w:rPr>
          <w:rFonts w:eastAsia="Traditional Arabic"/>
          <w:lang w:val="fr-FR"/>
        </w:rPr>
        <w:t>:</w:t>
      </w:r>
      <w:r w:rsidRPr="004F1C04">
        <w:rPr>
          <w:rFonts w:eastAsia="Traditional Arabic"/>
          <w:lang w:val="fr-FR"/>
        </w:rPr>
        <w:t xml:space="preserve"> l</w:t>
      </w:r>
      <w:r w:rsidR="00C155C6">
        <w:rPr>
          <w:rFonts w:eastAsia="Traditional Arabic"/>
          <w:lang w:val="fr-FR"/>
        </w:rPr>
        <w:t>’</w:t>
      </w:r>
      <w:r w:rsidRPr="004F1C04">
        <w:rPr>
          <w:rFonts w:eastAsia="Traditional Arabic"/>
          <w:lang w:val="fr-FR"/>
        </w:rPr>
        <w:t>atelier organisé par le Conseil national des affaires familiales et l</w:t>
      </w:r>
      <w:r w:rsidR="00C155C6">
        <w:rPr>
          <w:rFonts w:eastAsia="Traditional Arabic"/>
          <w:lang w:val="fr-FR"/>
        </w:rPr>
        <w:t>’</w:t>
      </w:r>
      <w:r w:rsidRPr="004F1C04">
        <w:rPr>
          <w:rFonts w:eastAsia="Traditional Arabic"/>
          <w:lang w:val="fr-FR"/>
        </w:rPr>
        <w:t>UNICEF et parrainé par Sa Majesté la Reine Rania Al-Abdullah, a abordé la question de la protection de la famille et de l</w:t>
      </w:r>
      <w:r w:rsidR="00C155C6">
        <w:rPr>
          <w:rFonts w:eastAsia="Traditional Arabic"/>
          <w:lang w:val="fr-FR"/>
        </w:rPr>
        <w:t>’</w:t>
      </w:r>
      <w:r w:rsidRPr="004F1C04">
        <w:rPr>
          <w:rFonts w:eastAsia="Traditional Arabic"/>
          <w:lang w:val="fr-FR"/>
        </w:rPr>
        <w:t>enfant contre la violence en Jordanie, conformément aux recommandations de l</w:t>
      </w:r>
      <w:r w:rsidR="00C155C6">
        <w:rPr>
          <w:rFonts w:eastAsia="Traditional Arabic"/>
          <w:lang w:val="fr-FR"/>
        </w:rPr>
        <w:t>’</w:t>
      </w:r>
      <w:r w:rsidRPr="004F1C04">
        <w:rPr>
          <w:rFonts w:eastAsia="Traditional Arabic"/>
          <w:lang w:val="fr-FR"/>
        </w:rPr>
        <w:t>étude du Secrétaire général des Nations Unies sur la violence à l</w:t>
      </w:r>
      <w:r w:rsidR="00C155C6">
        <w:rPr>
          <w:rFonts w:eastAsia="Traditional Arabic"/>
          <w:lang w:val="fr-FR"/>
        </w:rPr>
        <w:t>’</w:t>
      </w:r>
      <w:r w:rsidRPr="004F1C04">
        <w:rPr>
          <w:rFonts w:eastAsia="Traditional Arabic"/>
          <w:lang w:val="fr-FR"/>
        </w:rPr>
        <w:t>encontre des enfants en Jordanie, ainsi que la nécessité d’établir des priorités nationales dans ce domaine. Un rapport détaillé sur les recommandations formulées à l</w:t>
      </w:r>
      <w:r w:rsidR="00C155C6">
        <w:rPr>
          <w:rFonts w:eastAsia="Traditional Arabic"/>
          <w:lang w:val="fr-FR"/>
        </w:rPr>
        <w:t>’</w:t>
      </w:r>
      <w:r w:rsidRPr="004F1C04">
        <w:rPr>
          <w:rFonts w:eastAsia="Traditional Arabic"/>
          <w:lang w:val="fr-FR"/>
        </w:rPr>
        <w:t>issue de l</w:t>
      </w:r>
      <w:r w:rsidR="00C155C6">
        <w:rPr>
          <w:rFonts w:eastAsia="Traditional Arabic"/>
          <w:lang w:val="fr-FR"/>
        </w:rPr>
        <w:t>’</w:t>
      </w:r>
      <w:r w:rsidRPr="004F1C04">
        <w:rPr>
          <w:rFonts w:eastAsia="Traditional Arabic"/>
          <w:lang w:val="fr-FR"/>
        </w:rPr>
        <w:t>atelier a été élaboré conformément aux recommandations de chacun des cinq volets de l</w:t>
      </w:r>
      <w:r w:rsidR="00C155C6">
        <w:rPr>
          <w:rFonts w:eastAsia="Traditional Arabic"/>
          <w:lang w:val="fr-FR"/>
        </w:rPr>
        <w:t>’</w:t>
      </w:r>
      <w:r w:rsidRPr="004F1C04">
        <w:rPr>
          <w:rFonts w:eastAsia="Traditional Arabic"/>
          <w:lang w:val="fr-FR"/>
        </w:rPr>
        <w:t xml:space="preserve">étude et les responsables devant assurer le suivi de leur mise en œuvre ont été désignés </w:t>
      </w:r>
    </w:p>
    <w:p w:rsidR="00E3787F" w:rsidRPr="004F1C04" w:rsidRDefault="00E3787F" w:rsidP="00C00FC7">
      <w:pPr>
        <w:pStyle w:val="SingleTxtG"/>
        <w:rPr>
          <w:lang w:val="fr-FR"/>
        </w:rPr>
      </w:pPr>
      <w:r w:rsidRPr="004F1C04">
        <w:rPr>
          <w:rFonts w:eastAsia="Traditional Arabic"/>
          <w:lang w:val="fr-FR"/>
        </w:rPr>
        <w:t>94.</w:t>
      </w:r>
      <w:r w:rsidRPr="004F1C04">
        <w:rPr>
          <w:rFonts w:eastAsia="Traditional Arabic"/>
          <w:lang w:val="fr-FR"/>
        </w:rPr>
        <w:tab/>
      </w:r>
      <w:r w:rsidRPr="004F1C04">
        <w:rPr>
          <w:rFonts w:eastAsia="Traditional Arabic"/>
          <w:b/>
          <w:lang w:val="fr-FR"/>
        </w:rPr>
        <w:t>Atelier pour lancer le rapport analysant la situation des enfants (2008)</w:t>
      </w:r>
      <w:r w:rsidR="00C17106" w:rsidRPr="00C155C6">
        <w:rPr>
          <w:rFonts w:eastAsia="Traditional Arabic"/>
          <w:lang w:val="fr-FR"/>
        </w:rPr>
        <w:t>:</w:t>
      </w:r>
      <w:r w:rsidRPr="004F1C04">
        <w:rPr>
          <w:rFonts w:eastAsia="Traditional Arabic"/>
          <w:lang w:val="fr-FR"/>
        </w:rPr>
        <w:t xml:space="preserve"> l</w:t>
      </w:r>
      <w:r w:rsidR="00C155C6">
        <w:rPr>
          <w:rFonts w:eastAsia="Traditional Arabic"/>
          <w:lang w:val="fr-FR"/>
        </w:rPr>
        <w:t>’</w:t>
      </w:r>
      <w:r w:rsidRPr="004F1C04">
        <w:rPr>
          <w:rFonts w:eastAsia="Traditional Arabic"/>
          <w:lang w:val="fr-FR"/>
        </w:rPr>
        <w:t>atelier a été organisé conjointement par le Conseil national des affaires familiales et l</w:t>
      </w:r>
      <w:r w:rsidR="00C155C6">
        <w:rPr>
          <w:rFonts w:eastAsia="Traditional Arabic"/>
          <w:lang w:val="fr-FR"/>
        </w:rPr>
        <w:t>’</w:t>
      </w:r>
      <w:r w:rsidRPr="004F1C04">
        <w:rPr>
          <w:rFonts w:eastAsia="Traditional Arabic"/>
          <w:lang w:val="fr-FR"/>
        </w:rPr>
        <w:t>UNICEF, sous les auspices de Sa Majesté la Reine Rania Al-Abdullah, en vue de présenter un rapport analysant la situation des enfants en Jordanie</w:t>
      </w:r>
      <w:r w:rsidR="00C17106">
        <w:rPr>
          <w:rFonts w:eastAsia="Traditional Arabic"/>
          <w:lang w:val="fr-FR"/>
        </w:rPr>
        <w:t>;</w:t>
      </w:r>
      <w:r w:rsidRPr="004F1C04">
        <w:rPr>
          <w:rFonts w:eastAsia="Traditional Arabic"/>
          <w:lang w:val="fr-FR"/>
        </w:rPr>
        <w:t xml:space="preserve"> y ont pris part les acteurs gouvernementaux et non gouvernementaux. Le rapport inclut en outre les opinions des adolescents, des enfants issus de milieux défavorisés et des enfants qui souffrent d</w:t>
      </w:r>
      <w:r w:rsidR="00C155C6">
        <w:rPr>
          <w:rFonts w:eastAsia="Traditional Arabic"/>
          <w:lang w:val="fr-FR"/>
        </w:rPr>
        <w:t>’</w:t>
      </w:r>
      <w:r w:rsidRPr="004F1C04">
        <w:rPr>
          <w:rFonts w:eastAsia="Traditional Arabic"/>
          <w:lang w:val="fr-FR"/>
        </w:rPr>
        <w:t>un handicap ou qui vivent dans des institutions de protection sociale. Le rapport a examiné les conditions dans lesquelles vivent les enfants, notamment l</w:t>
      </w:r>
      <w:r w:rsidR="00C155C6">
        <w:rPr>
          <w:rFonts w:eastAsia="Traditional Arabic"/>
          <w:lang w:val="fr-FR"/>
        </w:rPr>
        <w:t>’</w:t>
      </w:r>
      <w:r w:rsidRPr="004F1C04">
        <w:rPr>
          <w:rFonts w:eastAsia="Traditional Arabic"/>
          <w:lang w:val="fr-FR"/>
        </w:rPr>
        <w:t>environnement, le logement, la gouvernance, l</w:t>
      </w:r>
      <w:r w:rsidR="00C155C6">
        <w:rPr>
          <w:rFonts w:eastAsia="Traditional Arabic"/>
          <w:lang w:val="fr-FR"/>
        </w:rPr>
        <w:t>’</w:t>
      </w:r>
      <w:r w:rsidRPr="004F1C04">
        <w:rPr>
          <w:rFonts w:eastAsia="Traditional Arabic"/>
          <w:lang w:val="fr-FR"/>
        </w:rPr>
        <w:t xml:space="preserve">économie, la culture et les facteurs sociaux qui affectent considérablement la vie des enfants au niveau national, dans les provinces et au sein du milieu familial. </w:t>
      </w:r>
    </w:p>
    <w:p w:rsidR="00E3787F" w:rsidRPr="004F1C04" w:rsidRDefault="00E3787F" w:rsidP="00C00FC7">
      <w:pPr>
        <w:pStyle w:val="SingleTxtG"/>
        <w:rPr>
          <w:lang w:val="fr-FR"/>
        </w:rPr>
      </w:pPr>
      <w:r w:rsidRPr="004F1C04">
        <w:rPr>
          <w:rFonts w:eastAsia="Traditional Arabic"/>
          <w:lang w:val="fr-FR"/>
        </w:rPr>
        <w:t>95.</w:t>
      </w:r>
      <w:r w:rsidRPr="004F1C04">
        <w:rPr>
          <w:rFonts w:eastAsia="Traditional Arabic"/>
          <w:lang w:val="fr-FR"/>
        </w:rPr>
        <w:tab/>
      </w:r>
      <w:r w:rsidRPr="004F1C04">
        <w:rPr>
          <w:rFonts w:eastAsia="Traditional Arabic"/>
          <w:b/>
          <w:lang w:val="fr-FR"/>
        </w:rPr>
        <w:t>Forum des adolescents arabes (2009)</w:t>
      </w:r>
      <w:r w:rsidR="00C17106" w:rsidRPr="00C155C6">
        <w:rPr>
          <w:rFonts w:eastAsia="Traditional Arabic"/>
          <w:lang w:val="fr-FR"/>
        </w:rPr>
        <w:t>:</w:t>
      </w:r>
      <w:r w:rsidRPr="004F1C04">
        <w:rPr>
          <w:rFonts w:eastAsia="Traditional Arabic"/>
          <w:lang w:val="fr-FR"/>
        </w:rPr>
        <w:t xml:space="preserve"> il a été organisé par la Fondation du Jourdain, à l</w:t>
      </w:r>
      <w:r w:rsidR="00C155C6">
        <w:rPr>
          <w:rFonts w:eastAsia="Traditional Arabic"/>
          <w:lang w:val="fr-FR"/>
        </w:rPr>
        <w:t>’</w:t>
      </w:r>
      <w:r w:rsidRPr="004F1C04">
        <w:rPr>
          <w:rFonts w:eastAsia="Traditional Arabic"/>
          <w:lang w:val="fr-FR"/>
        </w:rPr>
        <w:t>occasion de la Journée mondiale pour la prévention des abus envers les enfants. Quatre-vingt adolescents et adolescentes représentant neuf pays arabes (Arabie Saoudite, Soudan, Yémen, Bahreïn, Qatar, Syrie, Liban, Palestine, Egypte et Jordanie), ainsi que les institutions nationales et régionales actives dans le domaine de l</w:t>
      </w:r>
      <w:r w:rsidR="00C155C6">
        <w:rPr>
          <w:rFonts w:eastAsia="Traditional Arabic"/>
          <w:lang w:val="fr-FR"/>
        </w:rPr>
        <w:t>’</w:t>
      </w:r>
      <w:r w:rsidRPr="004F1C04">
        <w:rPr>
          <w:rFonts w:eastAsia="Traditional Arabic"/>
          <w:lang w:val="fr-FR"/>
        </w:rPr>
        <w:t>enfant, y ont participé. Le forum a duré trois jours et avait pour objet de démontrer que la maltraitance envers les enfants était un phénomène universel affectant les enfants dans tous les pays du monde, d’où la nécessité d’une approche à la fois individuelle et collective</w:t>
      </w:r>
      <w:r w:rsidR="00C17106">
        <w:rPr>
          <w:rFonts w:eastAsia="Traditional Arabic"/>
          <w:lang w:val="fr-FR"/>
        </w:rPr>
        <w:t>;</w:t>
      </w:r>
      <w:r w:rsidRPr="004F1C04">
        <w:rPr>
          <w:rFonts w:eastAsia="Traditional Arabic"/>
          <w:lang w:val="fr-FR"/>
        </w:rPr>
        <w:t xml:space="preserve"> il visait également à promouvoir la participation des enfants au niveau national et arabe et à leur fournir un espace sûr leur permettant d</w:t>
      </w:r>
      <w:r w:rsidR="00C155C6">
        <w:rPr>
          <w:rFonts w:eastAsia="Traditional Arabic"/>
          <w:lang w:val="fr-FR"/>
        </w:rPr>
        <w:t>’</w:t>
      </w:r>
      <w:r w:rsidRPr="004F1C04">
        <w:rPr>
          <w:rFonts w:eastAsia="Traditional Arabic"/>
          <w:lang w:val="fr-FR"/>
        </w:rPr>
        <w:t>exprimer leurs opinions et de discuter des questions relatives à la protection des enfants ainsi qu</w:t>
      </w:r>
      <w:r w:rsidR="00C155C6">
        <w:rPr>
          <w:rFonts w:eastAsia="Traditional Arabic"/>
          <w:lang w:val="fr-FR"/>
        </w:rPr>
        <w:t>’</w:t>
      </w:r>
      <w:r w:rsidRPr="004F1C04">
        <w:rPr>
          <w:rFonts w:eastAsia="Traditional Arabic"/>
          <w:lang w:val="fr-FR"/>
        </w:rPr>
        <w:t>à donner aux enfants l</w:t>
      </w:r>
      <w:r w:rsidR="00C04FF8">
        <w:rPr>
          <w:rFonts w:eastAsia="Traditional Arabic"/>
          <w:lang w:val="fr-FR"/>
        </w:rPr>
        <w:t>’</w:t>
      </w:r>
      <w:r w:rsidRPr="004F1C04">
        <w:rPr>
          <w:rFonts w:eastAsia="Traditional Arabic"/>
          <w:lang w:val="fr-FR"/>
        </w:rPr>
        <w:t>occasion de connaître les expériences des autres pays et d’en tirer profit. Le forum s</w:t>
      </w:r>
      <w:r w:rsidR="00C04FF8">
        <w:rPr>
          <w:rFonts w:eastAsia="Traditional Arabic"/>
          <w:lang w:val="fr-FR"/>
        </w:rPr>
        <w:t>’</w:t>
      </w:r>
      <w:r w:rsidRPr="004F1C04">
        <w:rPr>
          <w:rFonts w:eastAsia="Traditional Arabic"/>
          <w:lang w:val="fr-FR"/>
        </w:rPr>
        <w:t>est employé à créer un réseau électronique regroupant les enfants, afin de donner l</w:t>
      </w:r>
      <w:r w:rsidR="00C04FF8">
        <w:rPr>
          <w:rFonts w:eastAsia="Traditional Arabic"/>
          <w:lang w:val="fr-FR"/>
        </w:rPr>
        <w:t>’</w:t>
      </w:r>
      <w:r w:rsidRPr="004F1C04">
        <w:rPr>
          <w:rFonts w:eastAsia="Traditional Arabic"/>
          <w:lang w:val="fr-FR"/>
        </w:rPr>
        <w:t>occasion aux participants d</w:t>
      </w:r>
      <w:r w:rsidR="00C04FF8">
        <w:rPr>
          <w:rFonts w:eastAsia="Traditional Arabic"/>
          <w:lang w:val="fr-FR"/>
        </w:rPr>
        <w:t>’</w:t>
      </w:r>
      <w:r w:rsidRPr="004F1C04">
        <w:rPr>
          <w:rFonts w:eastAsia="Traditional Arabic"/>
          <w:lang w:val="fr-FR"/>
        </w:rPr>
        <w:t>échanger des expériences avec des enfants issus d</w:t>
      </w:r>
      <w:r w:rsidR="00C04FF8">
        <w:rPr>
          <w:rFonts w:eastAsia="Traditional Arabic"/>
          <w:lang w:val="fr-FR"/>
        </w:rPr>
        <w:t>’a</w:t>
      </w:r>
      <w:r w:rsidRPr="004F1C04">
        <w:rPr>
          <w:rFonts w:eastAsia="Traditional Arabic"/>
          <w:lang w:val="fr-FR"/>
        </w:rPr>
        <w:t>utres pays et d</w:t>
      </w:r>
      <w:r w:rsidR="00C04FF8">
        <w:rPr>
          <w:rFonts w:eastAsia="Traditional Arabic"/>
          <w:lang w:val="fr-FR"/>
        </w:rPr>
        <w:t>’</w:t>
      </w:r>
      <w:r w:rsidRPr="004F1C04">
        <w:rPr>
          <w:rFonts w:eastAsia="Traditional Arabic"/>
          <w:lang w:val="fr-FR"/>
        </w:rPr>
        <w:t>exprimer leurs opinions et avis.</w:t>
      </w:r>
    </w:p>
    <w:p w:rsidR="00E3787F" w:rsidRPr="004F1C04" w:rsidRDefault="00E3787F" w:rsidP="00C00FC7">
      <w:pPr>
        <w:pStyle w:val="SingleTxtG"/>
        <w:rPr>
          <w:lang w:val="fr-FR"/>
        </w:rPr>
      </w:pPr>
      <w:r w:rsidRPr="004F1C04">
        <w:rPr>
          <w:rFonts w:eastAsia="Traditional Arabic"/>
          <w:lang w:val="fr-FR"/>
        </w:rPr>
        <w:t>96.</w:t>
      </w:r>
      <w:r w:rsidRPr="004F1C04">
        <w:rPr>
          <w:rFonts w:eastAsia="Traditional Arabic"/>
          <w:lang w:val="fr-FR"/>
        </w:rPr>
        <w:tab/>
      </w:r>
      <w:r w:rsidRPr="004F1C04">
        <w:rPr>
          <w:rFonts w:eastAsia="Traditional Arabic"/>
          <w:b/>
          <w:lang w:val="fr-FR"/>
        </w:rPr>
        <w:t>Deuxième conférence arabe pour la protection de la famille contre la violence familiale (2009)</w:t>
      </w:r>
      <w:r w:rsidR="00C17106" w:rsidRPr="00C04FF8">
        <w:rPr>
          <w:rFonts w:eastAsia="Traditional Arabic"/>
          <w:lang w:val="fr-FR"/>
        </w:rPr>
        <w:t>:</w:t>
      </w:r>
      <w:r w:rsidRPr="004F1C04">
        <w:rPr>
          <w:rFonts w:eastAsia="Traditional Arabic"/>
          <w:lang w:val="fr-FR"/>
        </w:rPr>
        <w:t xml:space="preserve"> cette conférence a été organisée en collaboration avec le Conseil national des affaires familiales et le Ministère du développement social et en partenariat avec la Ligue des États arabes, l</w:t>
      </w:r>
      <w:r w:rsidR="00C04FF8">
        <w:rPr>
          <w:rFonts w:eastAsia="Traditional Arabic"/>
          <w:lang w:val="fr-FR"/>
        </w:rPr>
        <w:t>’</w:t>
      </w:r>
      <w:r w:rsidRPr="004F1C04">
        <w:rPr>
          <w:rFonts w:eastAsia="Traditional Arabic"/>
          <w:lang w:val="fr-FR"/>
        </w:rPr>
        <w:t>Organisation de la famille arabe et la plupart des institutions nationales compétentes</w:t>
      </w:r>
      <w:r w:rsidR="00C17106">
        <w:rPr>
          <w:rFonts w:eastAsia="Traditional Arabic"/>
          <w:lang w:val="fr-FR"/>
        </w:rPr>
        <w:t>;</w:t>
      </w:r>
      <w:r w:rsidRPr="004F1C04">
        <w:rPr>
          <w:rFonts w:eastAsia="Traditional Arabic"/>
          <w:lang w:val="fr-FR"/>
        </w:rPr>
        <w:t xml:space="preserve"> elle s</w:t>
      </w:r>
      <w:r w:rsidR="00C04FF8">
        <w:rPr>
          <w:rFonts w:eastAsia="Traditional Arabic"/>
          <w:lang w:val="fr-FR"/>
        </w:rPr>
        <w:t>’</w:t>
      </w:r>
      <w:r w:rsidRPr="004F1C04">
        <w:rPr>
          <w:rFonts w:eastAsia="Traditional Arabic"/>
          <w:lang w:val="fr-FR"/>
        </w:rPr>
        <w:t>est tenue sous le haut patronage de Sa Majesté la Reine Rania Al-Abdullah autour du thème suivant</w:t>
      </w:r>
      <w:r w:rsidR="00C17106">
        <w:rPr>
          <w:rFonts w:eastAsia="Traditional Arabic"/>
          <w:lang w:val="fr-FR"/>
        </w:rPr>
        <w:t>:</w:t>
      </w:r>
      <w:r w:rsidRPr="004F1C04">
        <w:rPr>
          <w:rFonts w:eastAsia="Traditional Arabic"/>
          <w:lang w:val="fr-FR"/>
        </w:rPr>
        <w:t xml:space="preserve"> «Vers un Plan d</w:t>
      </w:r>
      <w:r w:rsidR="0072557F">
        <w:rPr>
          <w:rFonts w:eastAsia="Traditional Arabic"/>
          <w:lang w:val="fr-FR"/>
        </w:rPr>
        <w:t>’</w:t>
      </w:r>
      <w:r w:rsidRPr="004F1C04">
        <w:rPr>
          <w:rFonts w:eastAsia="Traditional Arabic"/>
          <w:lang w:val="fr-FR"/>
        </w:rPr>
        <w:t>action arabe contre la violence familiale». La conférence était destinée à mettre en place un processus participatif permettant aux États arabes de redoubler d</w:t>
      </w:r>
      <w:r w:rsidR="00C04FF8">
        <w:rPr>
          <w:rFonts w:eastAsia="Traditional Arabic"/>
          <w:lang w:val="fr-FR"/>
        </w:rPr>
        <w:t>’</w:t>
      </w:r>
      <w:r w:rsidRPr="004F1C04">
        <w:rPr>
          <w:rFonts w:eastAsia="Traditional Arabic"/>
          <w:lang w:val="fr-FR"/>
        </w:rPr>
        <w:t>efforts en matière de protection de la famille contre la violence, à travers l</w:t>
      </w:r>
      <w:r w:rsidR="00C04FF8">
        <w:rPr>
          <w:rFonts w:eastAsia="Traditional Arabic"/>
          <w:lang w:val="fr-FR"/>
        </w:rPr>
        <w:t>’</w:t>
      </w:r>
      <w:r w:rsidRPr="004F1C04">
        <w:rPr>
          <w:rFonts w:eastAsia="Traditional Arabic"/>
          <w:lang w:val="fr-FR"/>
        </w:rPr>
        <w:t>élaboration de politiques nationales et d</w:t>
      </w:r>
      <w:r w:rsidR="00C04FF8">
        <w:rPr>
          <w:rFonts w:eastAsia="Traditional Arabic"/>
          <w:lang w:val="fr-FR"/>
        </w:rPr>
        <w:t>’</w:t>
      </w:r>
      <w:r w:rsidRPr="004F1C04">
        <w:rPr>
          <w:rFonts w:eastAsia="Traditional Arabic"/>
          <w:lang w:val="fr-FR"/>
        </w:rPr>
        <w:t>échanges systématiques d</w:t>
      </w:r>
      <w:r w:rsidR="00C04FF8">
        <w:rPr>
          <w:rFonts w:eastAsia="Traditional Arabic"/>
          <w:lang w:val="fr-FR"/>
        </w:rPr>
        <w:t>’</w:t>
      </w:r>
      <w:r w:rsidRPr="004F1C04">
        <w:rPr>
          <w:rFonts w:eastAsia="Traditional Arabic"/>
          <w:lang w:val="fr-FR"/>
        </w:rPr>
        <w:t>expériences scientifiques et pratiques par l</w:t>
      </w:r>
      <w:r w:rsidR="00C04FF8">
        <w:rPr>
          <w:rFonts w:eastAsia="Traditional Arabic"/>
          <w:lang w:val="fr-FR"/>
        </w:rPr>
        <w:t>’</w:t>
      </w:r>
      <w:r w:rsidRPr="004F1C04">
        <w:rPr>
          <w:rFonts w:eastAsia="Traditional Arabic"/>
          <w:lang w:val="fr-FR"/>
        </w:rPr>
        <w:t>entremise du Réseau arabe pour la protection de la famille contre la violence familiale, la mise en place de mécanismes de communication et de réseautage, ainsi que l</w:t>
      </w:r>
      <w:r w:rsidR="00C04FF8">
        <w:rPr>
          <w:rFonts w:eastAsia="Traditional Arabic"/>
          <w:lang w:val="fr-FR"/>
        </w:rPr>
        <w:t>’</w:t>
      </w:r>
      <w:r w:rsidRPr="004F1C04">
        <w:rPr>
          <w:rFonts w:eastAsia="Traditional Arabic"/>
          <w:lang w:val="fr-FR"/>
        </w:rPr>
        <w:t xml:space="preserve">élaboration et </w:t>
      </w:r>
      <w:r w:rsidR="00C04FF8">
        <w:rPr>
          <w:rFonts w:eastAsia="Traditional Arabic"/>
          <w:lang w:val="fr-FR"/>
        </w:rPr>
        <w:t>l’</w:t>
      </w:r>
      <w:r w:rsidRPr="004F1C04">
        <w:rPr>
          <w:rFonts w:eastAsia="Traditional Arabic"/>
          <w:lang w:val="fr-FR"/>
        </w:rPr>
        <w:t>adoption du Plan d</w:t>
      </w:r>
      <w:r w:rsidR="00C04FF8">
        <w:rPr>
          <w:rFonts w:eastAsia="Traditional Arabic"/>
          <w:lang w:val="fr-FR"/>
        </w:rPr>
        <w:t>’</w:t>
      </w:r>
      <w:r w:rsidRPr="004F1C04">
        <w:rPr>
          <w:rFonts w:eastAsia="Traditional Arabic"/>
          <w:lang w:val="fr-FR"/>
        </w:rPr>
        <w:t xml:space="preserve">action arabe contre la violence familiale. </w:t>
      </w:r>
    </w:p>
    <w:p w:rsidR="00E3787F" w:rsidRPr="004F1C04" w:rsidRDefault="00E3787F" w:rsidP="00C00FC7">
      <w:pPr>
        <w:pStyle w:val="HChG"/>
      </w:pPr>
      <w:bookmarkStart w:id="54" w:name="_Toc350173964"/>
      <w:r w:rsidRPr="004F1C04">
        <w:tab/>
      </w:r>
      <w:bookmarkStart w:id="55" w:name="_Toc358307257"/>
      <w:r w:rsidRPr="004F1C04">
        <w:t>VIII.</w:t>
      </w:r>
      <w:r w:rsidRPr="004F1C04">
        <w:tab/>
        <w:t>Conclusion</w:t>
      </w:r>
      <w:bookmarkEnd w:id="54"/>
      <w:bookmarkEnd w:id="55"/>
    </w:p>
    <w:p w:rsidR="0033122A" w:rsidRDefault="00E3787F" w:rsidP="00C00FC7">
      <w:pPr>
        <w:pStyle w:val="SingleTxtG"/>
        <w:rPr>
          <w:rFonts w:eastAsia="Traditional Arabic"/>
          <w:lang w:val="fr-FR"/>
        </w:rPr>
      </w:pPr>
      <w:r w:rsidRPr="004F1C04">
        <w:rPr>
          <w:rFonts w:eastAsia="Traditional Arabic"/>
          <w:lang w:val="fr-FR"/>
        </w:rPr>
        <w:t>97.</w:t>
      </w:r>
      <w:r w:rsidRPr="004F1C04">
        <w:rPr>
          <w:rFonts w:eastAsia="Traditional Arabic"/>
          <w:lang w:val="fr-FR"/>
        </w:rPr>
        <w:tab/>
        <w:t>Au moyen du présent rapport, la Jordanie espère avoir abordé la plupart des efforts déployés par l</w:t>
      </w:r>
      <w:r w:rsidR="00C04FF8">
        <w:rPr>
          <w:rFonts w:eastAsia="Traditional Arabic"/>
          <w:lang w:val="fr-FR"/>
        </w:rPr>
        <w:t>’</w:t>
      </w:r>
      <w:r w:rsidRPr="004F1C04">
        <w:rPr>
          <w:rFonts w:eastAsia="Traditional Arabic"/>
          <w:lang w:val="fr-FR"/>
        </w:rPr>
        <w:t>État en vue de la mise en œuvre des dispositions du Protocole facultatif et souhaite indiquer qu</w:t>
      </w:r>
      <w:r w:rsidR="00C04FF8">
        <w:rPr>
          <w:rFonts w:eastAsia="Traditional Arabic"/>
          <w:lang w:val="fr-FR"/>
        </w:rPr>
        <w:t>’</w:t>
      </w:r>
      <w:r w:rsidRPr="004F1C04">
        <w:rPr>
          <w:rFonts w:eastAsia="Traditional Arabic"/>
          <w:lang w:val="fr-FR"/>
        </w:rPr>
        <w:t>il n</w:t>
      </w:r>
      <w:r w:rsidR="00C04FF8">
        <w:rPr>
          <w:rFonts w:eastAsia="Traditional Arabic"/>
          <w:lang w:val="fr-FR"/>
        </w:rPr>
        <w:t>’</w:t>
      </w:r>
      <w:r w:rsidRPr="004F1C04">
        <w:rPr>
          <w:rFonts w:eastAsia="Traditional Arabic"/>
          <w:lang w:val="fr-FR"/>
        </w:rPr>
        <w:t>y a pas de conflits armés sur son territoire, qu</w:t>
      </w:r>
      <w:r w:rsidR="00C04FF8">
        <w:rPr>
          <w:rFonts w:eastAsia="Traditional Arabic"/>
          <w:lang w:val="fr-FR"/>
        </w:rPr>
        <w:t>’</w:t>
      </w:r>
      <w:r w:rsidRPr="004F1C04">
        <w:rPr>
          <w:rFonts w:eastAsia="Traditional Arabic"/>
          <w:lang w:val="fr-FR"/>
        </w:rPr>
        <w:t>elle accueille des milliers de réfugiés issus des pays voisins, notamment les enfants victimes de conflits armés et qu</w:t>
      </w:r>
      <w:r w:rsidR="00C04FF8">
        <w:rPr>
          <w:rFonts w:eastAsia="Traditional Arabic"/>
          <w:lang w:val="fr-FR"/>
        </w:rPr>
        <w:t>’</w:t>
      </w:r>
      <w:r w:rsidRPr="004F1C04">
        <w:rPr>
          <w:rFonts w:eastAsia="Traditional Arabic"/>
          <w:lang w:val="fr-FR"/>
        </w:rPr>
        <w:t>elle déploie de grands efforts pour assurer la protection et la réinsertion de ces enfants au sein de la société. Cependant, tout cela nécessite une plus grande coopération internationale en vue d</w:t>
      </w:r>
      <w:r w:rsidR="00C04FF8">
        <w:rPr>
          <w:rFonts w:eastAsia="Traditional Arabic"/>
          <w:lang w:val="fr-FR"/>
        </w:rPr>
        <w:t>’</w:t>
      </w:r>
      <w:r w:rsidRPr="004F1C04">
        <w:rPr>
          <w:rFonts w:eastAsia="Traditional Arabic"/>
          <w:lang w:val="fr-FR"/>
        </w:rPr>
        <w:t>aider la Jordanie à accomplir sa mission dans le cadre de son engagement moral et humanitaire.</w:t>
      </w:r>
    </w:p>
    <w:p w:rsidR="00E3787F" w:rsidRPr="004F1C04" w:rsidRDefault="0033122A" w:rsidP="0033122A">
      <w:pPr>
        <w:pStyle w:val="HChG"/>
        <w:rPr>
          <w:lang w:val="fr-FR"/>
        </w:rPr>
      </w:pPr>
      <w:r>
        <w:rPr>
          <w:rFonts w:eastAsia="Traditional Arabic"/>
          <w:lang w:val="fr-FR"/>
        </w:rPr>
        <w:br w:type="page"/>
      </w:r>
      <w:bookmarkStart w:id="56" w:name="_Toc350173965"/>
      <w:r w:rsidR="00E3787F" w:rsidRPr="004F1C04">
        <w:rPr>
          <w:rFonts w:eastAsia="Traditional Arabic"/>
          <w:lang w:val="fr-FR"/>
        </w:rPr>
        <w:t>Annexe</w:t>
      </w:r>
      <w:bookmarkEnd w:id="56"/>
    </w:p>
    <w:p w:rsidR="00E3787F" w:rsidRPr="004F1C04" w:rsidRDefault="00E3787F" w:rsidP="00C00FC7">
      <w:pPr>
        <w:pStyle w:val="HChG"/>
        <w:rPr>
          <w:lang w:val="fr-FR"/>
        </w:rPr>
      </w:pPr>
      <w:r w:rsidRPr="004F1C04">
        <w:rPr>
          <w:rFonts w:eastAsia="Traditional Arabic"/>
          <w:lang w:val="fr-FR"/>
        </w:rPr>
        <w:tab/>
      </w:r>
      <w:r w:rsidRPr="004F1C04">
        <w:rPr>
          <w:rFonts w:eastAsia="Traditional Arabic"/>
          <w:lang w:val="fr-FR"/>
        </w:rPr>
        <w:tab/>
      </w:r>
      <w:bookmarkStart w:id="57" w:name="_Toc350173966"/>
      <w:r w:rsidRPr="004F1C04">
        <w:rPr>
          <w:rFonts w:eastAsia="Traditional Arabic"/>
          <w:lang w:val="fr-FR"/>
        </w:rPr>
        <w:t>Les Ministères et institutions ayant participé à l</w:t>
      </w:r>
      <w:r w:rsidR="00C04FF8">
        <w:rPr>
          <w:rFonts w:eastAsia="Traditional Arabic"/>
          <w:lang w:val="fr-FR"/>
        </w:rPr>
        <w:t>’</w:t>
      </w:r>
      <w:r w:rsidRPr="004F1C04">
        <w:rPr>
          <w:rFonts w:eastAsia="Traditional Arabic"/>
          <w:lang w:val="fr-FR"/>
        </w:rPr>
        <w:t>élaboration du présent rapport</w:t>
      </w:r>
      <w:bookmarkEnd w:id="57"/>
    </w:p>
    <w:p w:rsidR="0000565D" w:rsidRDefault="00E3787F" w:rsidP="00C00FC7">
      <w:pPr>
        <w:pStyle w:val="SingleTxtG"/>
        <w:rPr>
          <w:rFonts w:eastAsia="Traditional Arabic"/>
          <w:lang w:val="fr-FR"/>
        </w:rPr>
      </w:pPr>
      <w:r w:rsidRPr="004F1C04">
        <w:rPr>
          <w:rFonts w:eastAsia="Traditional Arabic"/>
          <w:lang w:val="fr-FR"/>
        </w:rPr>
        <w:tab/>
        <w:t>Le Conseil de la magistrature, le Bureau du Grand Cadi, le Ministère de la santé, le Ministère de l</w:t>
      </w:r>
      <w:r w:rsidR="00C04FF8">
        <w:rPr>
          <w:rFonts w:eastAsia="Traditional Arabic"/>
          <w:lang w:val="fr-FR"/>
        </w:rPr>
        <w:t>’</w:t>
      </w:r>
      <w:r w:rsidRPr="004F1C04">
        <w:rPr>
          <w:rFonts w:eastAsia="Traditional Arabic"/>
          <w:lang w:val="fr-FR"/>
        </w:rPr>
        <w:t>éducation, le Ministère du développement social, le Ministère de la justice, le Ministère du travail, le Ministère de la planification et de la coopération internationale, le Ministère des awqafs et des affaires islamiques, le Ministère de l</w:t>
      </w:r>
      <w:r w:rsidR="00C04FF8">
        <w:rPr>
          <w:rFonts w:eastAsia="Traditional Arabic"/>
          <w:lang w:val="fr-FR"/>
        </w:rPr>
        <w:t>’</w:t>
      </w:r>
      <w:r w:rsidRPr="004F1C04">
        <w:rPr>
          <w:rFonts w:eastAsia="Traditional Arabic"/>
          <w:lang w:val="fr-FR"/>
        </w:rPr>
        <w:t>intérieur, le Ministère de la culture, le Conseil supérieur de la population, le Conseil supérieur de la jeunesse, le Conseil supérieur des personnes handicapées, la Direction de la sûreté publique, Le Département chargé du budget général de l’État, le Département des statistiques, la Direction de l’état civil et des passeports, les forces armées jordaniennes et le Bureau des plaintes), ont participé à l’élaboration du présent rapport.</w:t>
      </w:r>
    </w:p>
    <w:p w:rsidR="00C00FC7" w:rsidRPr="00C00FC7" w:rsidRDefault="00C00FC7" w:rsidP="00C00FC7">
      <w:pPr>
        <w:pStyle w:val="SingleTxtG"/>
        <w:spacing w:before="240" w:after="0"/>
        <w:jc w:val="center"/>
        <w:rPr>
          <w:u w:val="single"/>
          <w:lang w:val="fr-FR"/>
        </w:rPr>
      </w:pPr>
      <w:r>
        <w:rPr>
          <w:rFonts w:eastAsia="Traditional Arabic"/>
          <w:u w:val="single"/>
          <w:lang w:val="fr-FR"/>
        </w:rPr>
        <w:tab/>
      </w:r>
      <w:r>
        <w:rPr>
          <w:rFonts w:eastAsia="Traditional Arabic"/>
          <w:u w:val="single"/>
          <w:lang w:val="fr-FR"/>
        </w:rPr>
        <w:tab/>
      </w:r>
      <w:r>
        <w:rPr>
          <w:rFonts w:eastAsia="Traditional Arabic"/>
          <w:u w:val="single"/>
          <w:lang w:val="fr-FR"/>
        </w:rPr>
        <w:tab/>
      </w:r>
    </w:p>
    <w:sectPr w:rsidR="00C00FC7" w:rsidRPr="00C00FC7" w:rsidSect="00F440C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1E5A" w:rsidRDefault="00751E5A"/>
  </w:endnote>
  <w:endnote w:type="continuationSeparator" w:id="0">
    <w:p w:rsidR="00751E5A" w:rsidRDefault="00751E5A"/>
  </w:endnote>
  <w:endnote w:type="continuationNotice" w:id="1">
    <w:p w:rsidR="00751E5A" w:rsidRDefault="00751E5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F8" w:rsidRPr="00F440CD" w:rsidRDefault="00C04FF8" w:rsidP="00F440CD">
    <w:pPr>
      <w:pStyle w:val="Footer"/>
      <w:tabs>
        <w:tab w:val="right" w:pos="9638"/>
      </w:tabs>
    </w:pPr>
    <w:r w:rsidRPr="00F440CD">
      <w:rPr>
        <w:b/>
        <w:sz w:val="18"/>
      </w:rPr>
      <w:fldChar w:fldCharType="begin"/>
    </w:r>
    <w:r w:rsidRPr="00F440CD">
      <w:rPr>
        <w:b/>
        <w:sz w:val="18"/>
      </w:rPr>
      <w:instrText xml:space="preserve"> PAGE  \* MERGEFORMAT </w:instrText>
    </w:r>
    <w:r w:rsidRPr="00F440CD">
      <w:rPr>
        <w:b/>
        <w:sz w:val="18"/>
      </w:rPr>
      <w:fldChar w:fldCharType="separate"/>
    </w:r>
    <w:r w:rsidR="003323A9">
      <w:rPr>
        <w:b/>
        <w:noProof/>
        <w:sz w:val="18"/>
      </w:rPr>
      <w:t>20</w:t>
    </w:r>
    <w:r w:rsidRPr="00F440CD">
      <w:rPr>
        <w:b/>
        <w:sz w:val="18"/>
      </w:rPr>
      <w:fldChar w:fldCharType="end"/>
    </w:r>
    <w:r>
      <w:rPr>
        <w:sz w:val="18"/>
      </w:rPr>
      <w:tab/>
    </w:r>
    <w:r w:rsidRPr="0000565D">
      <w:rPr>
        <w:szCs w:val="16"/>
      </w:rPr>
      <w:t>GE.13-4154</w:t>
    </w:r>
    <w:r>
      <w:rPr>
        <w:szCs w:val="16"/>
      </w:rPr>
      <w:t>9</w:t>
    </w:r>
    <w:r w:rsidRPr="0000565D">
      <w:rPr>
        <w:szCs w:val="16"/>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F8" w:rsidRPr="00F440CD" w:rsidRDefault="00C04FF8" w:rsidP="00F440CD">
    <w:pPr>
      <w:pStyle w:val="Footer"/>
      <w:tabs>
        <w:tab w:val="right" w:pos="9638"/>
      </w:tabs>
      <w:rPr>
        <w:b/>
        <w:sz w:val="18"/>
      </w:rPr>
    </w:pPr>
    <w:r w:rsidRPr="0000565D">
      <w:rPr>
        <w:szCs w:val="16"/>
      </w:rPr>
      <w:t>GE.13-4154</w:t>
    </w:r>
    <w:r>
      <w:rPr>
        <w:szCs w:val="16"/>
      </w:rPr>
      <w:t>9</w:t>
    </w:r>
    <w:r w:rsidRPr="0000565D">
      <w:rPr>
        <w:szCs w:val="16"/>
      </w:rPr>
      <w:t xml:space="preserve">  (EXT)</w:t>
    </w:r>
    <w:r>
      <w:tab/>
    </w:r>
    <w:r w:rsidRPr="00F440CD">
      <w:rPr>
        <w:b/>
        <w:sz w:val="18"/>
      </w:rPr>
      <w:fldChar w:fldCharType="begin"/>
    </w:r>
    <w:r w:rsidRPr="00F440CD">
      <w:rPr>
        <w:b/>
        <w:sz w:val="18"/>
      </w:rPr>
      <w:instrText xml:space="preserve"> PAGE  \* MERGEFORMAT </w:instrText>
    </w:r>
    <w:r w:rsidRPr="00F440CD">
      <w:rPr>
        <w:b/>
        <w:sz w:val="18"/>
      </w:rPr>
      <w:fldChar w:fldCharType="separate"/>
    </w:r>
    <w:r w:rsidR="003323A9">
      <w:rPr>
        <w:b/>
        <w:noProof/>
        <w:sz w:val="18"/>
      </w:rPr>
      <w:t>21</w:t>
    </w:r>
    <w:r w:rsidRPr="00F440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F8" w:rsidRPr="00F440CD" w:rsidRDefault="00C04FF8">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
          <v:imagedata r:id="rId1" o:title="recycle_French"/>
        </v:shape>
      </w:pict>
    </w:r>
    <w:r>
      <w:rPr>
        <w:sz w:val="20"/>
      </w:rPr>
      <w:t>GE.13-41549  (EXT)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1E5A" w:rsidRPr="00D27D5E" w:rsidRDefault="00751E5A" w:rsidP="00D27D5E">
      <w:pPr>
        <w:tabs>
          <w:tab w:val="right" w:pos="2155"/>
        </w:tabs>
        <w:spacing w:after="80"/>
        <w:ind w:left="680"/>
        <w:rPr>
          <w:u w:val="single"/>
        </w:rPr>
      </w:pPr>
      <w:r>
        <w:rPr>
          <w:u w:val="single"/>
        </w:rPr>
        <w:tab/>
      </w:r>
    </w:p>
  </w:footnote>
  <w:footnote w:type="continuationSeparator" w:id="0">
    <w:p w:rsidR="00751E5A" w:rsidRPr="00EA0E33" w:rsidRDefault="00751E5A" w:rsidP="00EA0E33">
      <w:pPr>
        <w:tabs>
          <w:tab w:val="right" w:pos="2155"/>
        </w:tabs>
        <w:spacing w:after="80"/>
        <w:ind w:left="680"/>
        <w:rPr>
          <w:u w:val="single"/>
        </w:rPr>
      </w:pPr>
      <w:r w:rsidRPr="00EA0E33">
        <w:rPr>
          <w:u w:val="single"/>
        </w:rPr>
        <w:tab/>
      </w:r>
    </w:p>
  </w:footnote>
  <w:footnote w:type="continuationNotice" w:id="1">
    <w:p w:rsidR="00751E5A" w:rsidRDefault="00751E5A"/>
  </w:footnote>
  <w:footnote w:id="2">
    <w:p w:rsidR="00C04FF8" w:rsidRPr="0000565D" w:rsidRDefault="00C04FF8" w:rsidP="00346298">
      <w:pPr>
        <w:pStyle w:val="FootnoteText"/>
        <w:rPr>
          <w:rStyle w:val="FootnoteTextChar"/>
          <w:rtl/>
        </w:rPr>
      </w:pPr>
      <w:r w:rsidRPr="00F568D1">
        <w:rPr>
          <w:lang w:val="fr-FR"/>
        </w:rPr>
        <w:tab/>
      </w:r>
      <w:r w:rsidRPr="0000565D">
        <w:rPr>
          <w:rStyle w:val="FootnoteReference"/>
          <w:rFonts w:eastAsia="Traditional Arabic"/>
          <w:sz w:val="20"/>
          <w:vertAlign w:val="baseline"/>
          <w:lang w:val="fr-FR"/>
        </w:rPr>
        <w:t>*</w:t>
      </w:r>
      <w:r w:rsidRPr="00F568D1">
        <w:rPr>
          <w:lang w:val="fr-FR"/>
        </w:rPr>
        <w:tab/>
      </w:r>
      <w:r w:rsidRPr="0000565D">
        <w:rPr>
          <w:rStyle w:val="FootnoteTextChar"/>
          <w:rFonts w:eastAsia="Traditional Arabic"/>
        </w:rPr>
        <w:t>Conformément aux informations communiquées aux États parties concernant l’élaboration de leurs rapports, le pré</w:t>
      </w:r>
      <w:r w:rsidR="003323A9">
        <w:rPr>
          <w:rStyle w:val="FootnoteTextChar"/>
          <w:rFonts w:eastAsia="Traditional Arabic"/>
        </w:rPr>
        <w:t>sent document n</w:t>
      </w:r>
      <w:r w:rsidR="003323A9">
        <w:rPr>
          <w:rFonts w:eastAsia="Traditional Arabic"/>
          <w:lang w:val="fr-FR"/>
        </w:rPr>
        <w:t>’</w:t>
      </w:r>
      <w:r w:rsidRPr="0000565D">
        <w:rPr>
          <w:rStyle w:val="FootnoteTextChar"/>
          <w:rFonts w:eastAsia="Traditional Arabic"/>
        </w:rPr>
        <w:t xml:space="preserve">a </w:t>
      </w:r>
      <w:r w:rsidRPr="0000565D">
        <w:rPr>
          <w:rStyle w:val="FootnoteTextChar"/>
        </w:rPr>
        <w:t>pas été revu par les services d’édition</w:t>
      </w:r>
      <w:r w:rsidRPr="0000565D">
        <w:rPr>
          <w:rStyle w:val="FootnoteTextChar"/>
          <w:rFonts w:eastAsia="Traditional Arabic"/>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F8" w:rsidRPr="00F440CD" w:rsidRDefault="00C04FF8">
    <w:pPr>
      <w:pStyle w:val="Header"/>
    </w:pPr>
    <w:r>
      <w:t>CRC/C/OPAC/JOR/1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04FF8" w:rsidRPr="00F440CD" w:rsidRDefault="00C04FF8" w:rsidP="00F440CD">
    <w:pPr>
      <w:pStyle w:val="Header"/>
      <w:jc w:val="right"/>
    </w:pPr>
    <w:r>
      <w:t>CRC/C/OPAC/JOR/1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6">
    <w:nsid w:val="7ACA643D"/>
    <w:multiLevelType w:val="singleLevel"/>
    <w:tmpl w:val="0409000F"/>
    <w:styleLink w:val="111111"/>
    <w:lvl w:ilvl="0">
      <w:start w:val="1"/>
      <w:numFmt w:val="decimal"/>
      <w:lvlText w:val="%1."/>
      <w:lvlJc w:val="left"/>
      <w:pPr>
        <w:tabs>
          <w:tab w:val="num" w:pos="360"/>
        </w:tabs>
        <w:ind w:left="360" w:hanging="360"/>
      </w:pPr>
    </w:lvl>
  </w:abstractNum>
  <w:abstractNum w:abstractNumId="7">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8">
    <w:nsid w:val="7DBF6B58"/>
    <w:multiLevelType w:val="singleLevel"/>
    <w:tmpl w:val="0409000F"/>
    <w:styleLink w:val="1ai"/>
    <w:lvl w:ilvl="0">
      <w:start w:val="1"/>
      <w:numFmt w:val="decimal"/>
      <w:lvlText w:val="%1."/>
      <w:lvlJc w:val="left"/>
      <w:pPr>
        <w:tabs>
          <w:tab w:val="num" w:pos="360"/>
        </w:tabs>
        <w:ind w:left="360" w:hanging="360"/>
      </w:pPr>
    </w:lvl>
  </w:abstractNum>
  <w:num w:numId="1">
    <w:abstractNumId w:val="6"/>
  </w:num>
  <w:num w:numId="2">
    <w:abstractNumId w:val="8"/>
  </w:num>
  <w:num w:numId="3">
    <w:abstractNumId w:val="5"/>
  </w:num>
  <w:num w:numId="4">
    <w:abstractNumId w:val="3"/>
  </w:num>
  <w:num w:numId="5">
    <w:abstractNumId w:val="2"/>
  </w:num>
  <w:num w:numId="6">
    <w:abstractNumId w:val="0"/>
  </w:num>
  <w:num w:numId="7">
    <w:abstractNumId w:val="4"/>
  </w:num>
  <w:num w:numId="8">
    <w:abstractNumId w:val="1"/>
  </w:num>
  <w:num w:numId="9">
    <w:abstractNumId w:val="7"/>
  </w:num>
  <w:numIdMacAtCleanup w:val="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s-ES"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565D"/>
    <w:rsid w:val="0000565D"/>
    <w:rsid w:val="0000767A"/>
    <w:rsid w:val="00016AC5"/>
    <w:rsid w:val="00046C3D"/>
    <w:rsid w:val="00060E82"/>
    <w:rsid w:val="000B696A"/>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1567F"/>
    <w:rsid w:val="0033122A"/>
    <w:rsid w:val="00331C04"/>
    <w:rsid w:val="003323A9"/>
    <w:rsid w:val="00346298"/>
    <w:rsid w:val="003515AA"/>
    <w:rsid w:val="00374106"/>
    <w:rsid w:val="003976D5"/>
    <w:rsid w:val="003A1723"/>
    <w:rsid w:val="003D2F6C"/>
    <w:rsid w:val="003D6C68"/>
    <w:rsid w:val="003E7F2E"/>
    <w:rsid w:val="003F1784"/>
    <w:rsid w:val="003F4CA4"/>
    <w:rsid w:val="0041394F"/>
    <w:rsid w:val="004159D0"/>
    <w:rsid w:val="004377D2"/>
    <w:rsid w:val="0045246A"/>
    <w:rsid w:val="004D6CA7"/>
    <w:rsid w:val="004F1C04"/>
    <w:rsid w:val="005079C9"/>
    <w:rsid w:val="00543D5E"/>
    <w:rsid w:val="00547BC0"/>
    <w:rsid w:val="005603E0"/>
    <w:rsid w:val="00564901"/>
    <w:rsid w:val="00571F41"/>
    <w:rsid w:val="005D20D6"/>
    <w:rsid w:val="005E5D1F"/>
    <w:rsid w:val="0060753B"/>
    <w:rsid w:val="00611D43"/>
    <w:rsid w:val="00612D48"/>
    <w:rsid w:val="00616B45"/>
    <w:rsid w:val="006171D8"/>
    <w:rsid w:val="00630D9B"/>
    <w:rsid w:val="00631953"/>
    <w:rsid w:val="006439EC"/>
    <w:rsid w:val="006963C7"/>
    <w:rsid w:val="006A2FF6"/>
    <w:rsid w:val="006B4590"/>
    <w:rsid w:val="006C340C"/>
    <w:rsid w:val="006E637C"/>
    <w:rsid w:val="0070347C"/>
    <w:rsid w:val="00716BD0"/>
    <w:rsid w:val="007176C1"/>
    <w:rsid w:val="0072557F"/>
    <w:rsid w:val="00751E5A"/>
    <w:rsid w:val="00755632"/>
    <w:rsid w:val="0077123A"/>
    <w:rsid w:val="007A6A87"/>
    <w:rsid w:val="007C3C0D"/>
    <w:rsid w:val="007F0AD0"/>
    <w:rsid w:val="007F55CB"/>
    <w:rsid w:val="00844750"/>
    <w:rsid w:val="00872098"/>
    <w:rsid w:val="008B44C4"/>
    <w:rsid w:val="008E7FAE"/>
    <w:rsid w:val="00901884"/>
    <w:rsid w:val="00911BF7"/>
    <w:rsid w:val="00913EBF"/>
    <w:rsid w:val="009252B7"/>
    <w:rsid w:val="00977EC8"/>
    <w:rsid w:val="00993C56"/>
    <w:rsid w:val="009C2D18"/>
    <w:rsid w:val="009D3A8C"/>
    <w:rsid w:val="009E2ADE"/>
    <w:rsid w:val="009E7956"/>
    <w:rsid w:val="00A133AF"/>
    <w:rsid w:val="00A2492E"/>
    <w:rsid w:val="00A26631"/>
    <w:rsid w:val="00A63C60"/>
    <w:rsid w:val="00AB31EC"/>
    <w:rsid w:val="00AC67A1"/>
    <w:rsid w:val="00AC7977"/>
    <w:rsid w:val="00AD1127"/>
    <w:rsid w:val="00AE352C"/>
    <w:rsid w:val="00B02D75"/>
    <w:rsid w:val="00B32A44"/>
    <w:rsid w:val="00B32E2D"/>
    <w:rsid w:val="00B61990"/>
    <w:rsid w:val="00B93DB1"/>
    <w:rsid w:val="00BE6AE4"/>
    <w:rsid w:val="00BF0556"/>
    <w:rsid w:val="00C00FC7"/>
    <w:rsid w:val="00C04FF8"/>
    <w:rsid w:val="00C155C6"/>
    <w:rsid w:val="00C17106"/>
    <w:rsid w:val="00C261F8"/>
    <w:rsid w:val="00C33100"/>
    <w:rsid w:val="00C36B9B"/>
    <w:rsid w:val="00C4252A"/>
    <w:rsid w:val="00CC4D81"/>
    <w:rsid w:val="00CD1A71"/>
    <w:rsid w:val="00CD1FBB"/>
    <w:rsid w:val="00D016B5"/>
    <w:rsid w:val="00D034F1"/>
    <w:rsid w:val="00D10597"/>
    <w:rsid w:val="00D21AD3"/>
    <w:rsid w:val="00D27D5E"/>
    <w:rsid w:val="00D77231"/>
    <w:rsid w:val="00D838EB"/>
    <w:rsid w:val="00DA3BE9"/>
    <w:rsid w:val="00DC3A9E"/>
    <w:rsid w:val="00DE01E2"/>
    <w:rsid w:val="00DE6D90"/>
    <w:rsid w:val="00DF002F"/>
    <w:rsid w:val="00E0244D"/>
    <w:rsid w:val="00E36FE5"/>
    <w:rsid w:val="00E3787F"/>
    <w:rsid w:val="00E606B8"/>
    <w:rsid w:val="00E72FCE"/>
    <w:rsid w:val="00E81E94"/>
    <w:rsid w:val="00E82607"/>
    <w:rsid w:val="00EA0E33"/>
    <w:rsid w:val="00EF01B5"/>
    <w:rsid w:val="00F440CD"/>
    <w:rsid w:val="00F44857"/>
    <w:rsid w:val="00F47851"/>
    <w:rsid w:val="00F51559"/>
    <w:rsid w:val="00FA5A79"/>
    <w:rsid w:val="00FB0BFE"/>
    <w:rsid w:val="00FB4C51"/>
    <w:rsid w:val="00FC32B3"/>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Table_GA"/>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link w:val="HMGCar"/>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ar"/>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3"/>
      </w:numPr>
      <w:spacing w:after="120"/>
      <w:ind w:right="1134"/>
      <w:jc w:val="both"/>
    </w:pPr>
  </w:style>
  <w:style w:type="paragraph" w:customStyle="1" w:styleId="Bullet2G">
    <w:name w:val="_Bullet 2_G"/>
    <w:basedOn w:val="Normal"/>
    <w:rsid w:val="00716BD0"/>
    <w:pPr>
      <w:numPr>
        <w:numId w:val="4"/>
      </w:numPr>
      <w:spacing w:after="120"/>
      <w:ind w:right="1134"/>
      <w:jc w:val="both"/>
    </w:pPr>
  </w:style>
  <w:style w:type="character" w:styleId="FootnoteReference">
    <w:name w:val="footnote reference"/>
    <w:aliases w:val="4_G,4_GA"/>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6_GA"/>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link w:val="FootnoteTextChar"/>
    <w:rsid w:val="00346298"/>
    <w:pPr>
      <w:tabs>
        <w:tab w:val="right" w:pos="1021"/>
      </w:tabs>
      <w:spacing w:line="220" w:lineRule="exact"/>
      <w:ind w:left="1134" w:right="1134" w:hanging="1134"/>
    </w:pPr>
    <w:rPr>
      <w:rFonts w:eastAsia="SimSun"/>
      <w:sz w:val="18"/>
      <w:lang w:val="es-ES" w:eastAsia="zh-CN"/>
    </w:rPr>
  </w:style>
  <w:style w:type="paragraph" w:styleId="EndnoteText">
    <w:name w:val="endnote text"/>
    <w:aliases w:val="2_G,2_ GA"/>
    <w:basedOn w:val="FootnoteText"/>
    <w:rsid w:val="003F4CA4"/>
  </w:style>
  <w:style w:type="character" w:styleId="PageNumber">
    <w:name w:val="page number"/>
    <w:aliases w:val="7_G,7_GA"/>
    <w:basedOn w:val="DefaultParagraphFont"/>
    <w:rsid w:val="00716BD0"/>
    <w:rPr>
      <w:rFonts w:ascii="Times New Roman" w:hAnsi="Times New Roman"/>
      <w:b/>
      <w:sz w:val="18"/>
      <w:lang w:val="fr-CH"/>
    </w:rPr>
  </w:style>
  <w:style w:type="paragraph" w:styleId="Footer">
    <w:name w:val="footer"/>
    <w:aliases w:val="3_G,3_GA"/>
    <w:basedOn w:val="Normal"/>
    <w:next w:val="Normal"/>
    <w:rsid w:val="00716BD0"/>
    <w:pPr>
      <w:spacing w:line="240" w:lineRule="auto"/>
    </w:pPr>
    <w:rPr>
      <w:sz w:val="16"/>
    </w:rPr>
  </w:style>
  <w:style w:type="character" w:styleId="Hyperlink">
    <w:name w:val="Hyperlink"/>
    <w:basedOn w:val="DefaultParagraphFont"/>
    <w:semiHidden/>
    <w:rsid w:val="00755632"/>
    <w:rPr>
      <w:color w:val="auto"/>
      <w:u w:val="none"/>
    </w:rPr>
  </w:style>
  <w:style w:type="character" w:styleId="FollowedHyperlink">
    <w:name w:val="FollowedHyperlink"/>
    <w:basedOn w:val="DefaultParagraphFont"/>
    <w:semiHidden/>
    <w:rsid w:val="00755632"/>
    <w:rPr>
      <w:color w:val="auto"/>
      <w:u w:val="none"/>
    </w:rPr>
  </w:style>
  <w:style w:type="table" w:styleId="TableGrid">
    <w:name w:val="Table Grid"/>
    <w:basedOn w:val="TableNormal"/>
    <w:semiHidden/>
    <w:rsid w:val="00755632"/>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paragraph" w:customStyle="1" w:styleId="HMGA">
    <w:name w:val="_ H __M_GA"/>
    <w:basedOn w:val="Normal"/>
    <w:next w:val="Normal"/>
    <w:rsid w:val="0000565D"/>
    <w:pPr>
      <w:keepNext/>
      <w:keepLines/>
      <w:tabs>
        <w:tab w:val="right" w:pos="1021"/>
      </w:tabs>
      <w:bidi/>
      <w:spacing w:before="360" w:after="240" w:line="480" w:lineRule="exact"/>
      <w:ind w:left="1247" w:right="1247" w:hanging="1247"/>
      <w:jc w:val="lowKashida"/>
    </w:pPr>
    <w:rPr>
      <w:rFonts w:cs="Traditional Arabic"/>
      <w:b/>
      <w:bCs/>
      <w:sz w:val="34"/>
      <w:szCs w:val="44"/>
      <w:lang w:val="en-US"/>
    </w:rPr>
  </w:style>
  <w:style w:type="paragraph" w:customStyle="1" w:styleId="HChGA">
    <w:name w:val="_ H _Ch_GA"/>
    <w:basedOn w:val="Normal"/>
    <w:next w:val="Normal"/>
    <w:rsid w:val="0000565D"/>
    <w:pPr>
      <w:keepNext/>
      <w:keepLines/>
      <w:tabs>
        <w:tab w:val="right" w:pos="1021"/>
      </w:tabs>
      <w:bidi/>
      <w:spacing w:before="360" w:after="240" w:line="440" w:lineRule="exact"/>
      <w:ind w:left="1247" w:right="1247" w:hanging="1247"/>
      <w:jc w:val="lowKashida"/>
    </w:pPr>
    <w:rPr>
      <w:rFonts w:cs="Traditional Arabic"/>
      <w:b/>
      <w:bCs/>
      <w:sz w:val="28"/>
      <w:szCs w:val="38"/>
      <w:lang w:val="en-US"/>
    </w:rPr>
  </w:style>
  <w:style w:type="paragraph" w:customStyle="1" w:styleId="SingleTxtGA">
    <w:name w:val="_ Single Txt_GA"/>
    <w:basedOn w:val="Normal"/>
    <w:rsid w:val="0000565D"/>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character" w:customStyle="1" w:styleId="HMGCar">
    <w:name w:val="_ H __M_G Car"/>
    <w:basedOn w:val="DefaultParagraphFont"/>
    <w:link w:val="HMG"/>
    <w:rsid w:val="0000565D"/>
    <w:rPr>
      <w:b/>
      <w:sz w:val="34"/>
      <w:lang w:val="fr-CH" w:eastAsia="en-US" w:bidi="ar-SA"/>
    </w:rPr>
  </w:style>
  <w:style w:type="character" w:customStyle="1" w:styleId="FootnoteTextChar">
    <w:name w:val="Footnote Text Char"/>
    <w:aliases w:val="5_G Char"/>
    <w:basedOn w:val="DefaultParagraphFont"/>
    <w:link w:val="FootnoteText"/>
    <w:rsid w:val="0000565D"/>
    <w:rPr>
      <w:rFonts w:eastAsia="SimSun"/>
      <w:sz w:val="18"/>
      <w:lang w:val="es-ES" w:eastAsia="zh-CN" w:bidi="ar-SA"/>
    </w:rPr>
  </w:style>
  <w:style w:type="paragraph" w:styleId="TOC1">
    <w:name w:val="toc 1"/>
    <w:basedOn w:val="Normal"/>
    <w:next w:val="Normal"/>
    <w:autoRedefine/>
    <w:semiHidden/>
    <w:rsid w:val="0000565D"/>
    <w:pPr>
      <w:suppressAutoHyphens w:val="0"/>
      <w:bidi/>
      <w:jc w:val="lowKashida"/>
    </w:pPr>
    <w:rPr>
      <w:rFonts w:cs="Traditional Arabic"/>
      <w:sz w:val="28"/>
      <w:szCs w:val="30"/>
      <w:lang w:val="en-US"/>
    </w:rPr>
  </w:style>
  <w:style w:type="paragraph" w:styleId="TOC2">
    <w:name w:val="toc 2"/>
    <w:basedOn w:val="Normal"/>
    <w:next w:val="Normal"/>
    <w:autoRedefine/>
    <w:semiHidden/>
    <w:rsid w:val="0000565D"/>
    <w:pPr>
      <w:suppressAutoHyphens w:val="0"/>
      <w:bidi/>
      <w:ind w:left="200"/>
      <w:jc w:val="lowKashida"/>
    </w:pPr>
    <w:rPr>
      <w:rFonts w:cs="Traditional Arabic"/>
      <w:sz w:val="24"/>
      <w:szCs w:val="30"/>
      <w:lang w:val="en-US"/>
    </w:rPr>
  </w:style>
  <w:style w:type="paragraph" w:customStyle="1" w:styleId="H1GA">
    <w:name w:val="_ H_1_GA"/>
    <w:basedOn w:val="Normal"/>
    <w:next w:val="Normal"/>
    <w:rsid w:val="00E3787F"/>
    <w:pPr>
      <w:keepNext/>
      <w:keepLines/>
      <w:tabs>
        <w:tab w:val="right" w:pos="1021"/>
      </w:tabs>
      <w:bidi/>
      <w:spacing w:before="240" w:after="240" w:line="400" w:lineRule="exact"/>
      <w:ind w:left="1247" w:right="1247" w:hanging="1247"/>
      <w:jc w:val="lowKashida"/>
    </w:pPr>
    <w:rPr>
      <w:rFonts w:cs="Traditional Arabic"/>
      <w:b/>
      <w:bCs/>
      <w:sz w:val="24"/>
      <w:szCs w:val="34"/>
      <w:lang w:val="en-US"/>
    </w:rPr>
  </w:style>
  <w:style w:type="paragraph" w:customStyle="1" w:styleId="H23GA">
    <w:name w:val="_ H_2/3_GA"/>
    <w:basedOn w:val="Normal"/>
    <w:next w:val="Normal"/>
    <w:rsid w:val="00E3787F"/>
    <w:pPr>
      <w:keepNext/>
      <w:keepLines/>
      <w:tabs>
        <w:tab w:val="right" w:pos="1021"/>
      </w:tabs>
      <w:suppressAutoHyphens w:val="0"/>
      <w:bidi/>
      <w:spacing w:before="120" w:after="120" w:line="380" w:lineRule="exact"/>
      <w:ind w:left="1247" w:right="1247" w:hanging="1247"/>
      <w:jc w:val="lowKashida"/>
    </w:pPr>
    <w:rPr>
      <w:rFonts w:cs="Traditional Arabic"/>
      <w:b/>
      <w:bCs/>
      <w:szCs w:val="30"/>
      <w:lang w:val="en-US" w:eastAsia="ar-SA"/>
    </w:rPr>
  </w:style>
  <w:style w:type="paragraph" w:customStyle="1" w:styleId="H4GA">
    <w:name w:val="_ H_4_GA"/>
    <w:basedOn w:val="Normal"/>
    <w:next w:val="Normal"/>
    <w:rsid w:val="00E3787F"/>
    <w:pPr>
      <w:keepNext/>
      <w:keepLines/>
      <w:tabs>
        <w:tab w:val="right" w:pos="1021"/>
      </w:tabs>
      <w:bidi/>
      <w:spacing w:before="120" w:after="120" w:line="380" w:lineRule="exact"/>
      <w:ind w:left="1247" w:right="1247" w:hanging="1247"/>
      <w:jc w:val="lowKashida"/>
    </w:pPr>
    <w:rPr>
      <w:rFonts w:cs="Traditional Arabic"/>
      <w:i/>
      <w:iCs/>
      <w:szCs w:val="30"/>
      <w:lang w:val="en-US"/>
    </w:rPr>
  </w:style>
  <w:style w:type="paragraph" w:customStyle="1" w:styleId="H56GA">
    <w:name w:val="_ H_5/6_GA"/>
    <w:basedOn w:val="Normal"/>
    <w:next w:val="Normal"/>
    <w:rsid w:val="00E3787F"/>
    <w:pPr>
      <w:keepNext/>
      <w:keepLines/>
      <w:tabs>
        <w:tab w:val="right" w:pos="1021"/>
      </w:tabs>
      <w:bidi/>
      <w:spacing w:before="120" w:after="120" w:line="380" w:lineRule="exact"/>
      <w:ind w:left="1247" w:right="1247" w:hanging="1247"/>
      <w:jc w:val="lowKashida"/>
    </w:pPr>
    <w:rPr>
      <w:rFonts w:cs="Traditional Arabic"/>
      <w:szCs w:val="30"/>
      <w:lang w:val="en-US"/>
    </w:rPr>
  </w:style>
  <w:style w:type="paragraph" w:customStyle="1" w:styleId="SLGA">
    <w:name w:val="__S_L_GA"/>
    <w:basedOn w:val="Normal"/>
    <w:next w:val="Normal"/>
    <w:rsid w:val="00E3787F"/>
    <w:pPr>
      <w:keepNext/>
      <w:keepLines/>
      <w:spacing w:before="240" w:after="240" w:line="800" w:lineRule="exact"/>
      <w:ind w:left="1247" w:right="1247"/>
      <w:jc w:val="lowKashida"/>
    </w:pPr>
    <w:rPr>
      <w:rFonts w:cs="Traditional Arabic"/>
      <w:b/>
      <w:bCs/>
      <w:sz w:val="56"/>
      <w:szCs w:val="84"/>
      <w:lang w:val="en-US"/>
    </w:rPr>
  </w:style>
  <w:style w:type="paragraph" w:customStyle="1" w:styleId="SMGA">
    <w:name w:val="__S_M_GA"/>
    <w:basedOn w:val="Normal"/>
    <w:next w:val="Normal"/>
    <w:rsid w:val="00E3787F"/>
    <w:pPr>
      <w:keepNext/>
      <w:keepLines/>
      <w:spacing w:before="240" w:after="240" w:line="560" w:lineRule="exact"/>
      <w:ind w:left="1247" w:right="1247"/>
      <w:jc w:val="lowKashida"/>
    </w:pPr>
    <w:rPr>
      <w:rFonts w:cs="Traditional Arabic"/>
      <w:b/>
      <w:bCs/>
      <w:sz w:val="40"/>
      <w:szCs w:val="60"/>
      <w:lang w:val="en-US"/>
    </w:rPr>
  </w:style>
  <w:style w:type="paragraph" w:customStyle="1" w:styleId="SSGA">
    <w:name w:val="__S_S_GA"/>
    <w:basedOn w:val="Normal"/>
    <w:next w:val="Normal"/>
    <w:rsid w:val="00E3787F"/>
    <w:pPr>
      <w:keepNext/>
      <w:keepLines/>
      <w:spacing w:before="240" w:after="240" w:line="440" w:lineRule="exact"/>
      <w:ind w:left="1134" w:right="1134"/>
      <w:jc w:val="lowKashida"/>
    </w:pPr>
    <w:rPr>
      <w:rFonts w:cs="Traditional Arabic"/>
      <w:b/>
      <w:bCs/>
      <w:sz w:val="28"/>
      <w:szCs w:val="38"/>
      <w:lang w:val="en-US"/>
    </w:rPr>
  </w:style>
  <w:style w:type="paragraph" w:customStyle="1" w:styleId="XLargeGA">
    <w:name w:val="__XLarge_GA"/>
    <w:basedOn w:val="Normal"/>
    <w:rsid w:val="00E3787F"/>
    <w:pPr>
      <w:keepNext/>
      <w:keepLines/>
      <w:tabs>
        <w:tab w:val="right" w:leader="dot" w:pos="360"/>
      </w:tabs>
      <w:bidi/>
      <w:spacing w:before="240" w:after="240" w:line="580" w:lineRule="exact"/>
      <w:ind w:left="1247" w:right="1247"/>
      <w:jc w:val="lowKashida"/>
    </w:pPr>
    <w:rPr>
      <w:rFonts w:cs="Traditional Arabic"/>
      <w:b/>
      <w:bCs/>
      <w:sz w:val="40"/>
      <w:szCs w:val="60"/>
      <w:lang w:val="en-US"/>
    </w:rPr>
  </w:style>
  <w:style w:type="paragraph" w:customStyle="1" w:styleId="Bullet1GA">
    <w:name w:val="_Bullet 1_GA"/>
    <w:basedOn w:val="Normal"/>
    <w:rsid w:val="00E3787F"/>
    <w:pPr>
      <w:numPr>
        <w:numId w:val="6"/>
      </w:numPr>
      <w:spacing w:after="120" w:line="380" w:lineRule="exact"/>
      <w:ind w:right="1247"/>
      <w:jc w:val="lowKashida"/>
    </w:pPr>
    <w:rPr>
      <w:rFonts w:cs="Traditional Arabic"/>
      <w:szCs w:val="30"/>
      <w:lang w:val="en-US"/>
    </w:rPr>
  </w:style>
  <w:style w:type="paragraph" w:customStyle="1" w:styleId="Bullet2GA">
    <w:name w:val="_Bullet 2_GA"/>
    <w:basedOn w:val="Normal"/>
    <w:rsid w:val="00E3787F"/>
    <w:pPr>
      <w:numPr>
        <w:numId w:val="7"/>
      </w:numPr>
      <w:tabs>
        <w:tab w:val="clear" w:pos="1644"/>
        <w:tab w:val="left" w:pos="2438"/>
      </w:tabs>
      <w:spacing w:after="120" w:line="380" w:lineRule="exact"/>
      <w:ind w:left="2438" w:right="1247" w:hanging="397"/>
      <w:jc w:val="lowKashida"/>
    </w:pPr>
    <w:rPr>
      <w:rFonts w:cs="Traditional Arabic"/>
      <w:szCs w:val="30"/>
      <w:lang w:val="en-US"/>
    </w:rPr>
  </w:style>
  <w:style w:type="paragraph" w:customStyle="1" w:styleId="ParaNoGA">
    <w:name w:val="_ParaNo._GA"/>
    <w:basedOn w:val="SingleTxtGA"/>
    <w:rsid w:val="00E3787F"/>
    <w:pPr>
      <w:numPr>
        <w:numId w:val="5"/>
      </w:numPr>
      <w:suppressAutoHyphens/>
      <w:bidi w:val="0"/>
    </w:pPr>
  </w:style>
  <w:style w:type="character" w:customStyle="1" w:styleId="EndtnoteReference">
    <w:name w:val="Endtnote Reference"/>
    <w:aliases w:val="1_GA"/>
    <w:basedOn w:val="DefaultParagraphFont"/>
    <w:rsid w:val="00E3787F"/>
    <w:rPr>
      <w:rFonts w:ascii="Times New Roman" w:hAnsi="Times New Roman" w:cs="Traditional Arabic"/>
      <w:b/>
      <w:kern w:val="0"/>
      <w:sz w:val="18"/>
      <w:szCs w:val="28"/>
      <w:vertAlign w:val="superscript"/>
    </w:rPr>
  </w:style>
  <w:style w:type="paragraph" w:customStyle="1" w:styleId="XXLargeGA">
    <w:name w:val="XXLarge_GA"/>
    <w:basedOn w:val="XLargeGA"/>
    <w:next w:val="Normal"/>
    <w:rsid w:val="00E3787F"/>
    <w:pPr>
      <w:spacing w:line="820" w:lineRule="exact"/>
    </w:pPr>
    <w:rPr>
      <w:spacing w:val="-8"/>
      <w:w w:val="96"/>
      <w:sz w:val="57"/>
      <w:szCs w:val="86"/>
    </w:rPr>
  </w:style>
  <w:style w:type="paragraph" w:customStyle="1" w:styleId="Roman1GA">
    <w:name w:val="_Roman 1_GA"/>
    <w:basedOn w:val="Normal"/>
    <w:rsid w:val="00E3787F"/>
    <w:pPr>
      <w:numPr>
        <w:numId w:val="8"/>
      </w:numPr>
      <w:spacing w:after="120" w:line="380" w:lineRule="exact"/>
      <w:ind w:right="1247"/>
      <w:jc w:val="lowKashida"/>
    </w:pPr>
    <w:rPr>
      <w:rFonts w:cs="Traditional Arabic"/>
      <w:szCs w:val="30"/>
      <w:lang w:val="en-US"/>
    </w:rPr>
  </w:style>
  <w:style w:type="paragraph" w:customStyle="1" w:styleId="Roman2GA">
    <w:name w:val="_Roman 2_GA"/>
    <w:basedOn w:val="Normal"/>
    <w:next w:val="Normal"/>
    <w:rsid w:val="00E3787F"/>
    <w:pPr>
      <w:numPr>
        <w:numId w:val="9"/>
      </w:numPr>
      <w:suppressAutoHyphens w:val="0"/>
      <w:bidi/>
      <w:spacing w:after="120" w:line="380" w:lineRule="exact"/>
      <w:ind w:right="1247"/>
      <w:jc w:val="lowKashida"/>
    </w:pPr>
    <w:rPr>
      <w:rFonts w:cs="Traditional Arabic"/>
      <w:szCs w:val="30"/>
      <w:lang w:val="en-US"/>
    </w:rPr>
  </w:style>
  <w:style w:type="numbering" w:styleId="111111">
    <w:name w:val="Outline List 2"/>
    <w:basedOn w:val="NoList"/>
    <w:semiHidden/>
    <w:rsid w:val="00E3787F"/>
    <w:pPr>
      <w:numPr>
        <w:numId w:val="1"/>
      </w:numPr>
    </w:pPr>
  </w:style>
  <w:style w:type="numbering" w:styleId="1ai">
    <w:name w:val="Outline List 1"/>
    <w:basedOn w:val="NoList"/>
    <w:semiHidden/>
    <w:rsid w:val="00E3787F"/>
    <w:pPr>
      <w:numPr>
        <w:numId w:val="2"/>
      </w:numPr>
    </w:pPr>
  </w:style>
  <w:style w:type="paragraph" w:styleId="Title">
    <w:name w:val="Title"/>
    <w:basedOn w:val="HChGA"/>
    <w:qFormat/>
    <w:rsid w:val="00E3787F"/>
    <w:pPr>
      <w:bidi w:val="0"/>
    </w:pPr>
    <w:rPr>
      <w:rFonts w:eastAsia="Traditional Arabic" w:cs="Times New Roman"/>
      <w:sz w:val="38"/>
      <w:lang w:val="fr-FR"/>
    </w:rPr>
  </w:style>
  <w:style w:type="character" w:customStyle="1" w:styleId="SingleTxtGCar">
    <w:name w:val="_ Single Txt_G Car"/>
    <w:basedOn w:val="DefaultParagraphFont"/>
    <w:link w:val="SingleTxtG"/>
    <w:rsid w:val="004F1C04"/>
    <w:rPr>
      <w:lang w:val="fr-CH" w:eastAsia="en-US" w:bidi="ar-SA"/>
    </w:rPr>
  </w:style>
  <w:style w:type="character" w:customStyle="1" w:styleId="H23GCar">
    <w:name w:val="_ H_2/3_G Car"/>
    <w:basedOn w:val="DefaultParagraphFont"/>
    <w:link w:val="H23G"/>
    <w:rsid w:val="0077123A"/>
    <w:rPr>
      <w:b/>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s_Fre\CRC_F.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CRC_F.dot</Template>
  <TotalTime>8</TotalTime>
  <Pages>1</Pages>
  <Words>9367</Words>
  <Characters>53396</Characters>
  <Application>Microsoft Office Outlook</Application>
  <DocSecurity>4</DocSecurity>
  <Lines>444</Lines>
  <Paragraphs>125</Paragraphs>
  <ScaleCrop>false</ScaleCrop>
  <HeadingPairs>
    <vt:vector size="2" baseType="variant">
      <vt:variant>
        <vt:lpstr>Titre</vt:lpstr>
      </vt:variant>
      <vt:variant>
        <vt:i4>1</vt:i4>
      </vt:variant>
    </vt:vector>
  </HeadingPairs>
  <TitlesOfParts>
    <vt:vector size="1" baseType="lpstr">
      <vt:lpstr>CRC</vt:lpstr>
    </vt:vector>
  </TitlesOfParts>
  <Company>Corine</Company>
  <LinksUpToDate>false</LinksUpToDate>
  <CharactersWithSpaces>62638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dc:title>
  <dc:subject/>
  <dc:creator>Rosa Comitre</dc:creator>
  <cp:keywords/>
  <dc:description/>
  <cp:lastModifiedBy>DCM</cp:lastModifiedBy>
  <cp:revision>2</cp:revision>
  <cp:lastPrinted>2013-07-23T12:08:00Z</cp:lastPrinted>
  <dcterms:created xsi:type="dcterms:W3CDTF">2013-07-23T12:11:00Z</dcterms:created>
  <dcterms:modified xsi:type="dcterms:W3CDTF">2013-07-23T12:11:00Z</dcterms:modified>
</cp:coreProperties>
</file>