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FB8" w:rsidRDefault="00937FB8" w:rsidP="00937FB8">
      <w:pPr>
        <w:spacing w:line="60" w:lineRule="exact"/>
        <w:rPr>
          <w:rStyle w:val="a4"/>
          <w:color w:val="auto"/>
          <w:w w:val="100"/>
          <w:sz w:val="6"/>
          <w:vertAlign w:val="baseline"/>
        </w:rPr>
        <w:sectPr w:rsidR="00937FB8" w:rsidSect="00937FB8">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203A4B" w:rsidRPr="00203A4B" w:rsidRDefault="00203A4B" w:rsidP="00203A4B">
      <w:pPr>
        <w:spacing w:line="120" w:lineRule="exact"/>
        <w:rPr>
          <w:sz w:val="10"/>
        </w:rPr>
      </w:pPr>
    </w:p>
    <w:p w:rsidR="00203A4B" w:rsidRPr="00203A4B" w:rsidRDefault="00203A4B" w:rsidP="00203A4B">
      <w:pPr>
        <w:rPr>
          <w:rFonts w:ascii="黑体" w:eastAsia="黑体"/>
          <w:sz w:val="24"/>
          <w:szCs w:val="24"/>
        </w:rPr>
      </w:pPr>
      <w:r w:rsidRPr="00203A4B">
        <w:rPr>
          <w:rFonts w:ascii="黑体" w:eastAsia="黑体"/>
          <w:sz w:val="24"/>
          <w:szCs w:val="24"/>
        </w:rPr>
        <w:t>强迫失踪问题委员会</w:t>
      </w:r>
    </w:p>
    <w:p w:rsidR="00203A4B" w:rsidRPr="00203A4B" w:rsidRDefault="00203A4B" w:rsidP="00203A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关于黑山根据《公约》</w:t>
      </w:r>
      <w:bookmarkStart w:id="1" w:name="_GoBack"/>
      <w:bookmarkEnd w:id="1"/>
      <w:r w:rsidRPr="00203A4B">
        <w:t>第二十九条第一款提交的报告的结论性意见</w:t>
      </w:r>
      <w:r w:rsidRPr="00203A4B">
        <w:rPr>
          <w:rStyle w:val="a3"/>
          <w:rFonts w:asciiTheme="majorBidi" w:hAnsiTheme="majorBidi" w:cstheme="majorBidi"/>
          <w:bCs/>
          <w:sz w:val="21"/>
          <w:szCs w:val="21"/>
        </w:rPr>
        <w:footnoteReference w:customMarkFollows="1" w:id="1"/>
        <w:t>*</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pPr>
      <w:r w:rsidRPr="00203A4B">
        <w:t>1.</w:t>
      </w:r>
      <w:r w:rsidRPr="00203A4B">
        <w:tab/>
      </w:r>
      <w:r w:rsidRPr="00203A4B">
        <w:t>强迫失踪问题委员会在</w:t>
      </w:r>
      <w:r w:rsidRPr="00203A4B">
        <w:t>2015</w:t>
      </w:r>
      <w:r w:rsidRPr="00203A4B">
        <w:t>年</w:t>
      </w:r>
      <w:r w:rsidRPr="00203A4B">
        <w:t>9</w:t>
      </w:r>
      <w:r w:rsidRPr="00203A4B">
        <w:t>月</w:t>
      </w:r>
      <w:r w:rsidRPr="00203A4B">
        <w:t>8</w:t>
      </w:r>
      <w:r w:rsidRPr="00203A4B">
        <w:t>日和</w:t>
      </w:r>
      <w:r w:rsidRPr="00203A4B">
        <w:t>9</w:t>
      </w:r>
      <w:r w:rsidRPr="00203A4B">
        <w:t>日举行的第</w:t>
      </w:r>
      <w:r w:rsidRPr="00203A4B">
        <w:t>142</w:t>
      </w:r>
      <w:r w:rsidRPr="00203A4B">
        <w:t>和</w:t>
      </w:r>
      <w:r w:rsidRPr="00203A4B">
        <w:t>143</w:t>
      </w:r>
      <w:r w:rsidRPr="00203A4B">
        <w:t>次会议</w:t>
      </w:r>
      <w:r w:rsidRPr="00203A4B">
        <w:t>(CED/C/SR.142</w:t>
      </w:r>
      <w:r w:rsidRPr="00203A4B">
        <w:t>和</w:t>
      </w:r>
      <w:r w:rsidRPr="00203A4B">
        <w:t>143)</w:t>
      </w:r>
      <w:r w:rsidRPr="00203A4B">
        <w:t>上审议了黑山根据《公约》第二十九条第一款提交的报告</w:t>
      </w:r>
      <w:r w:rsidRPr="00203A4B">
        <w:t>(CED/C/MNE/1)</w:t>
      </w:r>
      <w:r w:rsidRPr="00203A4B">
        <w:t>。在</w:t>
      </w:r>
      <w:r w:rsidRPr="00203A4B">
        <w:t>2015</w:t>
      </w:r>
      <w:r w:rsidRPr="00203A4B">
        <w:t>年</w:t>
      </w:r>
      <w:r w:rsidRPr="00203A4B">
        <w:t>9</w:t>
      </w:r>
      <w:r w:rsidRPr="00203A4B">
        <w:t>月</w:t>
      </w:r>
      <w:r w:rsidRPr="00203A4B">
        <w:t>16</w:t>
      </w:r>
      <w:r w:rsidRPr="00203A4B">
        <w:t>日举行的第</w:t>
      </w:r>
      <w:r w:rsidRPr="00203A4B">
        <w:t>152</w:t>
      </w:r>
      <w:r w:rsidRPr="00203A4B">
        <w:t>次会议上，委员会通过了以下结论性意见。</w:t>
      </w: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t>A.</w:t>
      </w:r>
      <w:r w:rsidRPr="00203A4B">
        <w:tab/>
        <w:t>导言</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pPr>
      <w:r w:rsidRPr="00203A4B">
        <w:t>2.</w:t>
      </w:r>
      <w:r w:rsidRPr="00203A4B">
        <w:tab/>
      </w:r>
      <w:r w:rsidRPr="00203A4B">
        <w:t>委员会欢迎黑山根据《公约》第二十九条第一款提交的报告</w:t>
      </w:r>
      <w:r w:rsidRPr="00203A4B">
        <w:t>(</w:t>
      </w:r>
      <w:r w:rsidRPr="00203A4B">
        <w:t>该报告是按照报告准则编写的</w:t>
      </w:r>
      <w:r w:rsidRPr="00203A4B">
        <w:t>)</w:t>
      </w:r>
      <w:r w:rsidRPr="00203A4B">
        <w:t>和其中所载资料。委员会赞赏与缔约国高级代表团就执行《公约》条款所采取的措施进行的坦率和建设性的对话，该对话消除了委员会的许多关切。此外，委员会还感谢缔约国对问题单</w:t>
      </w:r>
      <w:r w:rsidRPr="00203A4B">
        <w:t>(CED/C/MNE/Q/1)</w:t>
      </w:r>
      <w:r w:rsidRPr="00203A4B">
        <w:t>提交的书面答复</w:t>
      </w:r>
      <w:r w:rsidRPr="00203A4B">
        <w:t>(CED/C/MNE/Q/1/Add.1)</w:t>
      </w:r>
      <w:r w:rsidRPr="00203A4B">
        <w:t>，代表团作出的详细答复对这些书面答复作了补充。</w:t>
      </w: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t>B.</w:t>
      </w:r>
      <w:r w:rsidRPr="00203A4B">
        <w:tab/>
        <w:t>积极方面</w:t>
      </w:r>
    </w:p>
    <w:p w:rsidR="00551E2E" w:rsidRPr="00551E2E" w:rsidRDefault="00551E2E" w:rsidP="00551E2E">
      <w:pPr>
        <w:pStyle w:val="SingleTxt"/>
        <w:spacing w:after="0" w:line="120" w:lineRule="exact"/>
        <w:rPr>
          <w:sz w:val="10"/>
        </w:rPr>
      </w:pPr>
    </w:p>
    <w:p w:rsidR="00551E2E" w:rsidRPr="00551E2E" w:rsidRDefault="00551E2E" w:rsidP="00551E2E">
      <w:pPr>
        <w:pStyle w:val="SingleTxt"/>
        <w:spacing w:after="0" w:line="120" w:lineRule="exact"/>
        <w:rPr>
          <w:sz w:val="10"/>
        </w:rPr>
      </w:pPr>
    </w:p>
    <w:p w:rsidR="00203A4B" w:rsidRPr="00203A4B" w:rsidRDefault="00203A4B" w:rsidP="00203A4B">
      <w:pPr>
        <w:pStyle w:val="SingleTxt"/>
      </w:pPr>
      <w:r w:rsidRPr="00203A4B">
        <w:t>3.</w:t>
      </w:r>
      <w:r w:rsidRPr="00203A4B">
        <w:tab/>
      </w:r>
      <w:r w:rsidRPr="00203A4B">
        <w:t>委员会赞扬缔约国批准了联合国几乎所有的核心人权文书及其任择议定书，以及《国际刑事法院罗马规约》。</w:t>
      </w:r>
    </w:p>
    <w:p w:rsidR="00203A4B" w:rsidRPr="00203A4B" w:rsidRDefault="00203A4B" w:rsidP="00203A4B">
      <w:pPr>
        <w:pStyle w:val="SingleTxt"/>
      </w:pPr>
      <w:r w:rsidRPr="00203A4B">
        <w:t>4.</w:t>
      </w:r>
      <w:r w:rsidRPr="00203A4B">
        <w:tab/>
      </w:r>
      <w:r w:rsidRPr="00203A4B">
        <w:rPr>
          <w:rStyle w:val="shorttext"/>
          <w:rFonts w:asciiTheme="majorBidi" w:hAnsiTheme="majorBidi" w:cstheme="majorBidi"/>
          <w:szCs w:val="21"/>
        </w:rPr>
        <w:t>缔约国</w:t>
      </w:r>
      <w:r w:rsidRPr="00203A4B">
        <w:t>承认委员会有权根据《公约》第三十一和第三十二条处理个人和国家间来文，</w:t>
      </w:r>
      <w:r w:rsidRPr="00203A4B">
        <w:rPr>
          <w:rStyle w:val="shorttext"/>
          <w:rFonts w:asciiTheme="majorBidi" w:hAnsiTheme="majorBidi" w:cstheme="majorBidi"/>
          <w:szCs w:val="21"/>
        </w:rPr>
        <w:t>委员会对此表示欢迎。</w:t>
      </w:r>
    </w:p>
    <w:p w:rsidR="00203A4B" w:rsidRPr="00203A4B" w:rsidRDefault="00203A4B" w:rsidP="00203A4B">
      <w:pPr>
        <w:pStyle w:val="SingleTxt"/>
      </w:pPr>
      <w:r w:rsidRPr="00203A4B">
        <w:t>5.</w:t>
      </w:r>
      <w:r w:rsidRPr="00203A4B">
        <w:tab/>
      </w:r>
      <w:r w:rsidRPr="00203A4B">
        <w:t>委员会还赞扬缔约国在《公约》相关领域采取的各项措施，包括：</w:t>
      </w:r>
    </w:p>
    <w:p w:rsidR="00203A4B" w:rsidRPr="00203A4B" w:rsidRDefault="00203A4B" w:rsidP="00203A4B">
      <w:pPr>
        <w:pStyle w:val="SingleTxt"/>
      </w:pPr>
      <w:r w:rsidRPr="00203A4B">
        <w:tab/>
        <w:t>(a)</w:t>
      </w:r>
      <w:r w:rsidRPr="00203A4B">
        <w:tab/>
      </w:r>
      <w:r w:rsidRPr="00203A4B">
        <w:t>设立失踪人员委员会；</w:t>
      </w:r>
    </w:p>
    <w:p w:rsidR="00203A4B" w:rsidRPr="00203A4B" w:rsidRDefault="00203A4B" w:rsidP="00203A4B">
      <w:pPr>
        <w:pStyle w:val="SingleTxt"/>
      </w:pPr>
      <w:r w:rsidRPr="00203A4B">
        <w:tab/>
        <w:t>(b)</w:t>
      </w:r>
      <w:r w:rsidRPr="00203A4B">
        <w:tab/>
      </w:r>
      <w:r w:rsidRPr="00203A4B">
        <w:t>黑山的检察官与波斯尼亚和黑塞哥维那</w:t>
      </w:r>
      <w:r w:rsidR="00CF157B">
        <w:t>(</w:t>
      </w:r>
      <w:r w:rsidRPr="00203A4B">
        <w:t>2014</w:t>
      </w:r>
      <w:r w:rsidRPr="00203A4B">
        <w:t>年</w:t>
      </w:r>
      <w:r w:rsidR="00CF157B">
        <w:t>)</w:t>
      </w:r>
      <w:r w:rsidRPr="00203A4B">
        <w:t>、克罗地亚</w:t>
      </w:r>
      <w:r w:rsidR="00CF157B">
        <w:t>(</w:t>
      </w:r>
      <w:r w:rsidRPr="00203A4B">
        <w:t>2006</w:t>
      </w:r>
      <w:r w:rsidRPr="00203A4B">
        <w:t>年</w:t>
      </w:r>
      <w:r w:rsidR="00CF157B">
        <w:t>)</w:t>
      </w:r>
      <w:r w:rsidRPr="00203A4B">
        <w:t>以及塞尔维亚</w:t>
      </w:r>
      <w:r w:rsidR="00CF157B">
        <w:t>(</w:t>
      </w:r>
      <w:r w:rsidRPr="00203A4B">
        <w:t>2007</w:t>
      </w:r>
      <w:r w:rsidRPr="00203A4B">
        <w:t>年</w:t>
      </w:r>
      <w:r w:rsidR="00CF157B">
        <w:t>)</w:t>
      </w:r>
      <w:r w:rsidRPr="00203A4B">
        <w:t>的检察官之间签署《起诉战争罪、危害人类罪和种族灭绝罪肇事者合作议定书》，并在</w:t>
      </w:r>
      <w:r w:rsidRPr="00203A4B">
        <w:t>2014</w:t>
      </w:r>
      <w:r w:rsidRPr="00203A4B">
        <w:t>年</w:t>
      </w:r>
      <w:r w:rsidRPr="00203A4B">
        <w:t>7</w:t>
      </w:r>
      <w:r w:rsidRPr="00203A4B">
        <w:t>月通过了关于刑事案件国际法律援助的法律。</w:t>
      </w:r>
    </w:p>
    <w:p w:rsidR="00203A4B" w:rsidRPr="00203A4B" w:rsidRDefault="00203A4B" w:rsidP="00203A4B">
      <w:pPr>
        <w:pStyle w:val="SingleTxt"/>
      </w:pPr>
      <w:r w:rsidRPr="00203A4B">
        <w:tab/>
        <w:t>(c)</w:t>
      </w:r>
      <w:r w:rsidRPr="00203A4B">
        <w:tab/>
      </w:r>
      <w:r w:rsidRPr="00203A4B">
        <w:t>《自由获取信息法》于</w:t>
      </w:r>
      <w:r w:rsidRPr="00203A4B">
        <w:t>2013</w:t>
      </w:r>
      <w:r w:rsidRPr="00203A4B">
        <w:t>年开始生效，该法律规定了以下义务：积极主动披露信息并设立一个负责处理信息请求的公共实体；</w:t>
      </w:r>
    </w:p>
    <w:p w:rsidR="00203A4B" w:rsidRPr="00203A4B" w:rsidRDefault="00203A4B" w:rsidP="00203A4B">
      <w:pPr>
        <w:pStyle w:val="SingleTxt"/>
      </w:pPr>
      <w:r w:rsidRPr="00203A4B">
        <w:tab/>
        <w:t>(d)</w:t>
      </w:r>
      <w:r w:rsidRPr="00203A4B">
        <w:tab/>
      </w:r>
      <w:r w:rsidRPr="00203A4B">
        <w:t>给予部分受害人赔偿，间接承认在将穆斯林难民驱逐出新海尔采格的案件中的国家责任，并为</w:t>
      </w:r>
      <w:r w:rsidRPr="00203A4B">
        <w:t>1991</w:t>
      </w:r>
      <w:r w:rsidRPr="00203A4B">
        <w:t>年至</w:t>
      </w:r>
      <w:r w:rsidRPr="00203A4B">
        <w:t>1995</w:t>
      </w:r>
      <w:r w:rsidRPr="00203A4B">
        <w:t>年期间内战受害人建造一座纪念碑。</w:t>
      </w:r>
    </w:p>
    <w:p w:rsidR="00203A4B" w:rsidRPr="00203A4B" w:rsidRDefault="00203A4B" w:rsidP="00203A4B">
      <w:pPr>
        <w:pStyle w:val="SingleTxt"/>
      </w:pPr>
      <w:r w:rsidRPr="00203A4B">
        <w:t>6.</w:t>
      </w:r>
      <w:r w:rsidRPr="00203A4B">
        <w:tab/>
      </w:r>
      <w:r w:rsidRPr="00203A4B">
        <w:t>委员会满意地注意到，缔约国向人权理事会所有特别程序任务负责人发出访问黑山的长期有效邀请。在这方面，委员会欢迎强迫或非自愿失踪问题工作组在</w:t>
      </w:r>
      <w:r w:rsidRPr="00203A4B">
        <w:t>2014</w:t>
      </w:r>
      <w:r w:rsidRPr="00203A4B">
        <w:t>年</w:t>
      </w:r>
      <w:r w:rsidRPr="00203A4B">
        <w:t>6</w:t>
      </w:r>
      <w:r w:rsidRPr="00203A4B">
        <w:t>月对黑山的访问，并鼓励缔约国继续与该机构在其任务范围内合作并执行其建议。</w:t>
      </w: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t>C.</w:t>
      </w:r>
      <w:r w:rsidRPr="00203A4B">
        <w:tab/>
        <w:t>关切的主要问题和建议</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pPr>
      <w:r w:rsidRPr="00203A4B">
        <w:t>7.</w:t>
      </w:r>
      <w:r w:rsidRPr="00203A4B">
        <w:tab/>
      </w:r>
      <w:r w:rsidRPr="00203A4B">
        <w:t>委员会认为，在通过本结论性意见时，缔约国关于防止和惩治强迫失踪的现行法律不完全符合已批准《公约》的国家所承担的义务。委员会鼓励缔约国执行其基于建设性和有益精神提出的建议，以确保现有法律框架以及国家机关执法的方式完全符合《公约》所载权利和义务。</w:t>
      </w: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强迫失踪的定义和刑事定罪(第一至第七条)</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强迫失踪罪</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pPr>
      <w:r w:rsidRPr="00203A4B">
        <w:t>8.</w:t>
      </w:r>
      <w:r w:rsidRPr="00203A4B">
        <w:tab/>
      </w:r>
      <w:r w:rsidRPr="00203A4B">
        <w:t>委员会注意到黑山《刑法典》的许多条款包含的元素与《公约》规定的强迫失踪的定义相对应。但是，委员会仍感到关切的是，这些条款不足以充分涵盖《公约》第二条定义的强迫失踪的所有构成要素，因此不符合第四条所产生的义务。委员会感到遗憾的是，缔约国国内法并未将强迫失踪定为一项单独的罪行。在这方面，委员会认为，只有将强迫失踪定为一项单独的罪行，才能使缔约国履行根据第四条所承担的义务，这与涉及立法的其他公约义务密切相关，例如《公约》第六条、第七条和第八条所载义务</w:t>
      </w:r>
      <w:r w:rsidR="00CF157B">
        <w:t>(</w:t>
      </w:r>
      <w:r w:rsidRPr="00203A4B">
        <w:t>第二、第四、第六、第七和第八条</w:t>
      </w:r>
      <w:r w:rsidR="00CF157B">
        <w:t>)</w:t>
      </w:r>
      <w:r w:rsidRPr="00203A4B">
        <w:t>。</w:t>
      </w:r>
    </w:p>
    <w:p w:rsidR="00203A4B" w:rsidRPr="00203A4B" w:rsidRDefault="00203A4B" w:rsidP="00203A4B">
      <w:pPr>
        <w:pStyle w:val="SingleTxt"/>
        <w:rPr>
          <w:rFonts w:ascii="黑体" w:eastAsia="黑体"/>
        </w:rPr>
      </w:pPr>
      <w:r w:rsidRPr="00203A4B">
        <w:rPr>
          <w:rFonts w:ascii="黑体" w:eastAsia="黑体"/>
        </w:rPr>
        <w:t>9.</w:t>
      </w:r>
      <w:r w:rsidRPr="00203A4B">
        <w:rPr>
          <w:rFonts w:ascii="黑体" w:eastAsia="黑体"/>
        </w:rPr>
        <w:tab/>
        <w:t>委员会建议缔约国采取必要的措施，按照《公约》第二条所载定义，将强迫失踪定为一项单独的罪行。委员会进一步建议对该罪行判以适当刑罚，量刑时考虑该罪行的极端严重性；并且，按照《公约》第六条第一款第二项，对此犯罪行为适用上级责任制。</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Default="00203A4B">
      <w:pPr>
        <w:spacing w:line="240" w:lineRule="auto"/>
        <w:jc w:val="left"/>
        <w:rPr>
          <w:rFonts w:ascii="黑体" w:eastAsia="黑体"/>
          <w:spacing w:val="2"/>
        </w:rPr>
      </w:pPr>
      <w:r>
        <w:br w:type="page"/>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强迫失踪犯罪的持续性</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rPr>
          <w:vertAlign w:val="superscript"/>
        </w:rPr>
      </w:pPr>
      <w:r w:rsidRPr="00203A4B">
        <w:t>10.</w:t>
      </w:r>
      <w:r w:rsidRPr="00203A4B">
        <w:tab/>
      </w:r>
      <w:r w:rsidRPr="00203A4B">
        <w:rPr>
          <w:vertAlign w:val="superscript"/>
        </w:rPr>
        <w:t xml:space="preserve"> </w:t>
      </w:r>
      <w:r w:rsidRPr="00203A4B">
        <w:t>虽然注意到《刑法典》第四十九条规定了持续性罪行的定义，但委员会希望提请缔约国注意，强迫失踪是一种独特的综合性行为，一直持续到受害人的命运或下落得到确定为止，而不是一系列单一行为。《公约》对强迫失踪犯罪行为的持续性作了规定，特别是确保时效期限从强迫失踪犯罪行为结束时开始算起</w:t>
      </w:r>
      <w:r w:rsidR="00CF157B">
        <w:t>(</w:t>
      </w:r>
      <w:r w:rsidRPr="00203A4B">
        <w:t>第八条</w:t>
      </w:r>
      <w:r w:rsidR="00CF157B">
        <w:t>)</w:t>
      </w:r>
      <w:r w:rsidRPr="00203A4B">
        <w:t>。</w:t>
      </w:r>
    </w:p>
    <w:p w:rsidR="00203A4B" w:rsidRPr="00551E2E" w:rsidRDefault="00203A4B" w:rsidP="00203A4B">
      <w:pPr>
        <w:pStyle w:val="SingleTxt"/>
        <w:rPr>
          <w:rFonts w:ascii="黑体" w:eastAsia="黑体" w:hAnsiTheme="majorBidi" w:cstheme="majorBidi"/>
          <w:szCs w:val="21"/>
        </w:rPr>
      </w:pPr>
      <w:r w:rsidRPr="00551E2E">
        <w:rPr>
          <w:rFonts w:ascii="黑体" w:eastAsia="黑体" w:hAnsiTheme="majorBidi" w:cstheme="majorBidi"/>
          <w:szCs w:val="21"/>
        </w:rPr>
        <w:t>11.</w:t>
      </w:r>
      <w:r w:rsidRPr="00551E2E">
        <w:rPr>
          <w:rFonts w:ascii="黑体" w:eastAsia="黑体" w:hAnsiTheme="majorBidi" w:cstheme="majorBidi"/>
          <w:szCs w:val="21"/>
        </w:rPr>
        <w:tab/>
        <w:t xml:space="preserve"> 委员会建议缔约国确保其刑法系统承认强迫失踪犯罪行为的持续性。按照《公约》第八条，委员会建议缔约国确保，若法定时效适用于强迫失踪，则时效应较长，与罪行的极端严重性相称，而且应从犯罪停止时开始算起。</w:t>
      </w: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与强迫失踪相关的刑事责任和司法合作</w:t>
      </w:r>
      <w:r w:rsidR="00CF157B">
        <w:t>(</w:t>
      </w:r>
      <w:r w:rsidRPr="00203A4B">
        <w:t>第八至第十五条</w:t>
      </w:r>
      <w:r w:rsidR="00CF157B">
        <w:t>)</w:t>
      </w: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r>
      <w:r w:rsidRPr="00203A4B">
        <w:rPr>
          <w:rStyle w:val="shorttext"/>
          <w:rFonts w:asciiTheme="majorBidi" w:hAnsiTheme="majorBidi" w:cstheme="majorBidi"/>
          <w:szCs w:val="21"/>
        </w:rPr>
        <w:t>在前南斯拉夫武装冲突情况下</w:t>
      </w:r>
      <w:r w:rsidRPr="00203A4B">
        <w:t>所犯强迫失踪案件的调查</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pPr>
      <w:r w:rsidRPr="00203A4B">
        <w:t>12.</w:t>
      </w:r>
      <w:r w:rsidRPr="00203A4B">
        <w:tab/>
      </w:r>
      <w:r w:rsidRPr="00203A4B">
        <w:t>委员会指出，据称在前南斯拉夫冲突中在缔约国失踪的</w:t>
      </w:r>
      <w:r w:rsidRPr="00203A4B">
        <w:t>72</w:t>
      </w:r>
      <w:r w:rsidRPr="00203A4B">
        <w:t>个人中有６１个人的命运和下落仍然未知，委员会欢迎缔约国坚定地致力于确定他们的命运和下落。在这方面，委员会满意地注意到，</w:t>
      </w:r>
      <w:r w:rsidRPr="00203A4B">
        <w:t>2015</w:t>
      </w:r>
      <w:r w:rsidRPr="00203A4B">
        <w:t>年２月设立了一个新的失踪人员委员会，自其成立以来在搜寻失踪人员方面似乎更积极和果断。委员会欢迎为寻找失踪人员形成区域合作而采取的措施，包括波斯尼亚和黑塞哥维那、克罗地亚、黑山和塞尔维亚于</w:t>
      </w:r>
      <w:r w:rsidRPr="00203A4B">
        <w:t>2014</w:t>
      </w:r>
      <w:r w:rsidRPr="00203A4B">
        <w:t>年</w:t>
      </w:r>
      <w:r w:rsidRPr="00203A4B">
        <w:t>8</w:t>
      </w:r>
      <w:r w:rsidRPr="00203A4B">
        <w:t>月签署《</w:t>
      </w:r>
      <w:r w:rsidRPr="00203A4B">
        <w:rPr>
          <w:rStyle w:val="shorttext"/>
          <w:rFonts w:asciiTheme="majorBidi" w:hAnsiTheme="majorBidi" w:cstheme="majorBidi"/>
          <w:szCs w:val="21"/>
        </w:rPr>
        <w:t>国家在处理因武装冲突和侵犯人权行为失踪的人员问题方面的作用宣言》，以及</w:t>
      </w:r>
      <w:r w:rsidRPr="00203A4B">
        <w:t>黑山失踪人员委员会与塞尔维亚失踪人员委员会于</w:t>
      </w:r>
      <w:r w:rsidRPr="00203A4B">
        <w:t>2012</w:t>
      </w:r>
      <w:r w:rsidRPr="00203A4B">
        <w:t>年签署了关于定位失踪人员过程中共同合作的协议</w:t>
      </w:r>
      <w:r w:rsidR="00CF157B">
        <w:t>(</w:t>
      </w:r>
      <w:r w:rsidRPr="00203A4B">
        <w:t>第十二和第二十四条</w:t>
      </w:r>
      <w:r w:rsidR="00CF157B">
        <w:t>)</w:t>
      </w:r>
      <w:r w:rsidRPr="00203A4B">
        <w:t>。</w:t>
      </w:r>
    </w:p>
    <w:p w:rsidR="00203A4B" w:rsidRPr="00551E2E" w:rsidRDefault="00203A4B" w:rsidP="00203A4B">
      <w:pPr>
        <w:pStyle w:val="SingleTxt"/>
        <w:rPr>
          <w:rFonts w:ascii="黑体" w:eastAsia="黑体"/>
        </w:rPr>
      </w:pPr>
      <w:r w:rsidRPr="00551E2E">
        <w:rPr>
          <w:rFonts w:ascii="黑体" w:eastAsia="黑体"/>
        </w:rPr>
        <w:t>13.</w:t>
      </w:r>
      <w:r w:rsidRPr="00551E2E">
        <w:rPr>
          <w:rFonts w:ascii="黑体" w:eastAsia="黑体"/>
        </w:rPr>
        <w:tab/>
        <w:t>委员会鼓励缔约国继续努力，以查明真相并确定在前南斯拉夫武装冲突之后所有被报失踪人员的命运和下落。委员会建议，新的失踪人员委员会继续努力搜寻失踪人员，并在这方面采取积极主动的方式。缔约国应加强与该地区其他各方的合作，包括与波斯尼亚和黑塞哥维那、克罗地亚和科索沃</w:t>
      </w:r>
      <w:r w:rsidRPr="00551E2E">
        <w:rPr>
          <w:rStyle w:val="a3"/>
          <w:rFonts w:ascii="黑体" w:eastAsia="黑体" w:hAnsiTheme="majorBidi" w:cstheme="majorBidi"/>
          <w:bCs/>
          <w:szCs w:val="21"/>
        </w:rPr>
        <w:footnoteReference w:id="2"/>
      </w:r>
      <w:r w:rsidRPr="00551E2E">
        <w:rPr>
          <w:rFonts w:ascii="黑体" w:eastAsia="黑体"/>
        </w:rPr>
        <w:t>失踪人员委员会之间签订合作协定，以便加快身份识别过程。</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r>
      <w:r w:rsidRPr="00203A4B">
        <w:rPr>
          <w:rStyle w:val="shorttext"/>
          <w:rFonts w:asciiTheme="majorBidi" w:hAnsiTheme="majorBidi" w:cstheme="majorBidi"/>
          <w:szCs w:val="21"/>
        </w:rPr>
        <w:t>在刑事案件中的司法合作</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pPr>
      <w:r w:rsidRPr="00203A4B">
        <w:t>14.</w:t>
      </w:r>
      <w:r w:rsidRPr="00203A4B">
        <w:tab/>
      </w:r>
      <w:r w:rsidRPr="00203A4B">
        <w:t>委员会欢迎缔约国强化司法合作的法律框架，并注意到缔约国认为《公约》第十条适用于其法律秩序。但是，委员会仍然对《刑事司法互助法》所载国际法律援助条款中的互惠要求感到关切</w:t>
      </w:r>
      <w:r w:rsidR="00CF157B">
        <w:t>(</w:t>
      </w:r>
      <w:r w:rsidRPr="00203A4B">
        <w:t>第十和第十四条</w:t>
      </w:r>
      <w:r w:rsidR="00CF157B">
        <w:t>)</w:t>
      </w:r>
      <w:r w:rsidRPr="00203A4B">
        <w:t>。</w:t>
      </w:r>
    </w:p>
    <w:p w:rsidR="00203A4B" w:rsidRPr="00203A4B" w:rsidRDefault="00203A4B" w:rsidP="00203A4B">
      <w:pPr>
        <w:pStyle w:val="SingleTxt"/>
        <w:rPr>
          <w:rFonts w:ascii="黑体" w:eastAsia="黑体"/>
        </w:rPr>
      </w:pPr>
      <w:r w:rsidRPr="00203A4B">
        <w:rPr>
          <w:rFonts w:ascii="黑体" w:eastAsia="黑体"/>
        </w:rPr>
        <w:t>15.</w:t>
      </w:r>
      <w:r w:rsidRPr="00203A4B">
        <w:rPr>
          <w:rFonts w:ascii="黑体" w:eastAsia="黑体"/>
        </w:rPr>
        <w:tab/>
        <w:t>委员会建议缔约国确保《刑事司法互助法》所载互惠要求不会阻碍缔约国充分执行《公约》第十条。委员会还建议缔约国积极促进加强该地区各国司法当局之间的合作，以促进信息和证据共享，搜寻并确定失踪人员，开展调查并将对战争罪负有责任者绳之以法。</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起诉战争罪案件</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pPr>
      <w:r w:rsidRPr="00203A4B">
        <w:t>16.</w:t>
      </w:r>
      <w:r w:rsidRPr="00203A4B">
        <w:tab/>
      </w:r>
      <w:r w:rsidRPr="00203A4B">
        <w:t>虽然注意到与过去在前南斯拉夫境内武装冲突的情况下犯下的罪行相关的六宗战争罪案件已在黑山受到起诉和审判，但委员会感到关切的是，多个信息来源显示诉讼程序存在缺陷，导致最近审判的案件中大部分被告被宣判无罪，这可能会令人对缔约国打击有罪不罚现象的措施产生质疑。委员会尤其注意到，有资料指出，缺乏对指挥官责任、合作犯、协助及教唆事宜的调查，导致很少有高级别肇事者被追究责任，而且对被告的判决从宽处理，在某些案件中刑期比基于减刑因素的法定最短期限更短。在此背景下，委员会欢迎缔约国在</w:t>
      </w:r>
      <w:r w:rsidRPr="00203A4B">
        <w:t>2015</w:t>
      </w:r>
      <w:r w:rsidRPr="00203A4B">
        <w:t>年５月通过了《调查战争罪战略》，并设立了负责调查和起诉战争罪案件的专门机构，包括在波德戈里察市高级法院内设立一个新的特别检察官办公室和战争罪特别部门</w:t>
      </w:r>
      <w:r w:rsidR="00CF157B">
        <w:t>(</w:t>
      </w:r>
      <w:r w:rsidRPr="00203A4B">
        <w:t>第八、第十二和第二十四条</w:t>
      </w:r>
      <w:r w:rsidR="00CF157B">
        <w:t>)</w:t>
      </w:r>
      <w:r w:rsidRPr="00203A4B">
        <w:t>。</w:t>
      </w:r>
    </w:p>
    <w:p w:rsidR="00203A4B" w:rsidRPr="00203A4B" w:rsidRDefault="00203A4B" w:rsidP="00203A4B">
      <w:pPr>
        <w:pStyle w:val="SingleTxt"/>
        <w:rPr>
          <w:rStyle w:val="shorttext"/>
          <w:rFonts w:ascii="黑体" w:eastAsia="黑体" w:hAnsiTheme="majorBidi" w:cstheme="majorBidi"/>
          <w:szCs w:val="21"/>
        </w:rPr>
      </w:pPr>
      <w:r w:rsidRPr="00203A4B">
        <w:rPr>
          <w:rFonts w:ascii="黑体" w:eastAsia="黑体"/>
        </w:rPr>
        <w:t>17.</w:t>
      </w:r>
      <w:r w:rsidRPr="00203A4B">
        <w:rPr>
          <w:rFonts w:ascii="黑体" w:eastAsia="黑体"/>
        </w:rPr>
        <w:tab/>
      </w:r>
      <w:r w:rsidRPr="00203A4B">
        <w:rPr>
          <w:rStyle w:val="shorttext"/>
          <w:rFonts w:ascii="黑体" w:eastAsia="黑体" w:hAnsiTheme="majorBidi" w:cstheme="majorBidi"/>
          <w:szCs w:val="21"/>
        </w:rPr>
        <w:t>考虑到强迫失踪罪行的持续性，委员会建议缔约国确保可能由国家官员或得到他们授权、支持或默许的个人或团体在前南斯拉夫境内武装冲突中所犯的强迫失踪案件尽快得到彻底和公正的调查；而那些被裁定负有责任者，包括指挥官和文职上级，则根据其行为的严重性予以处罚。缔约国也应确保特别检察官办公室有权调查和起诉所有强迫失踪案件，包括《公约》第二条涵盖的所有情况。缔约国还应确保向特别检察官办公室和其他主管机构提供充分的培训和充足的人员、技术和资金，使其能够及时有效地履行其职责。</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停职</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pPr>
      <w:r w:rsidRPr="00203A4B">
        <w:t>18.</w:t>
      </w:r>
      <w:r w:rsidRPr="00203A4B">
        <w:tab/>
      </w:r>
      <w:r w:rsidRPr="00203A4B">
        <w:t>委员会注意到，《劳动法》第</w:t>
      </w:r>
      <w:r w:rsidRPr="00203A4B">
        <w:t>130</w:t>
      </w:r>
      <w:r w:rsidRPr="00203A4B">
        <w:t>条规定涉嫌犯罪的人员会被暂时停职，该条款在辅助性的基础上适用于公务员和雇员。但委员会感到遗憾的是，缔约国缺乏具体的立法，明确规定在调查期间对涉嫌犯有强迫失踪罪的国家工作人员</w:t>
      </w:r>
      <w:r w:rsidR="00CF157B">
        <w:t>(</w:t>
      </w:r>
      <w:r w:rsidRPr="00203A4B">
        <w:t>文职或军事人员</w:t>
      </w:r>
      <w:r w:rsidR="00CF157B">
        <w:t>)</w:t>
      </w:r>
      <w:r w:rsidRPr="00203A4B">
        <w:t>予以停职</w:t>
      </w:r>
      <w:r w:rsidR="00CF157B">
        <w:t>(</w:t>
      </w:r>
      <w:r w:rsidRPr="00203A4B">
        <w:t>第十二条</w:t>
      </w:r>
      <w:r w:rsidR="00CF157B">
        <w:t>)</w:t>
      </w:r>
      <w:r w:rsidRPr="00203A4B">
        <w:t>。</w:t>
      </w:r>
    </w:p>
    <w:p w:rsidR="00203A4B" w:rsidRPr="00551E2E" w:rsidRDefault="00203A4B" w:rsidP="00551E2E">
      <w:pPr>
        <w:pStyle w:val="SingleTxt"/>
        <w:rPr>
          <w:rFonts w:ascii="黑体" w:eastAsia="黑体" w:hAnsiTheme="majorBidi" w:cstheme="majorBidi"/>
          <w:b/>
          <w:bCs/>
          <w:szCs w:val="21"/>
        </w:rPr>
      </w:pPr>
      <w:r w:rsidRPr="00551E2E">
        <w:rPr>
          <w:rFonts w:ascii="黑体" w:eastAsia="黑体"/>
        </w:rPr>
        <w:t>19.</w:t>
      </w:r>
      <w:r w:rsidRPr="00551E2E">
        <w:rPr>
          <w:rFonts w:ascii="黑体" w:eastAsia="黑体"/>
        </w:rPr>
        <w:tab/>
        <w:t>为了强化现有的法律框架，并确保《公约》第十二条第四款得到充分实施，委员会建议缔约国通过明确的法律条款，明确规定：</w:t>
      </w:r>
      <w:r w:rsidR="00551E2E">
        <w:rPr>
          <w:rFonts w:ascii="黑体" w:eastAsia="黑体" w:hint="eastAsia"/>
        </w:rPr>
        <w:t xml:space="preserve">(a) </w:t>
      </w:r>
      <w:r w:rsidRPr="00551E2E">
        <w:rPr>
          <w:rFonts w:ascii="黑体" w:eastAsia="黑体"/>
        </w:rPr>
        <w:t>在调查期间对涉嫌犯有强迫失踪罪的国家工作人员</w:t>
      </w:r>
      <w:r w:rsidR="00CF157B" w:rsidRPr="00551E2E">
        <w:rPr>
          <w:rFonts w:ascii="黑体" w:eastAsia="黑体"/>
        </w:rPr>
        <w:t>(</w:t>
      </w:r>
      <w:r w:rsidRPr="00551E2E">
        <w:rPr>
          <w:rFonts w:ascii="黑体" w:eastAsia="黑体"/>
        </w:rPr>
        <w:t>文职或军事人员</w:t>
      </w:r>
      <w:r w:rsidR="00CF157B" w:rsidRPr="00551E2E">
        <w:rPr>
          <w:rFonts w:ascii="黑体" w:eastAsia="黑体"/>
        </w:rPr>
        <w:t>)</w:t>
      </w:r>
      <w:r w:rsidRPr="00551E2E">
        <w:rPr>
          <w:rFonts w:ascii="黑体" w:eastAsia="黑体"/>
        </w:rPr>
        <w:t>予以停职</w:t>
      </w:r>
      <w:r w:rsidR="00CF157B" w:rsidRPr="00551E2E">
        <w:rPr>
          <w:rFonts w:ascii="黑体" w:eastAsia="黑体"/>
        </w:rPr>
        <w:t>；</w:t>
      </w:r>
      <w:r w:rsidR="00551E2E" w:rsidRPr="00551E2E">
        <w:rPr>
          <w:rStyle w:val="hps"/>
          <w:rFonts w:ascii="黑体" w:eastAsia="黑体" w:hAnsiTheme="majorBidi" w:cstheme="majorBidi" w:hint="eastAsia"/>
          <w:szCs w:val="21"/>
        </w:rPr>
        <w:t xml:space="preserve">(b) </w:t>
      </w:r>
      <w:r w:rsidRPr="00551E2E">
        <w:rPr>
          <w:rFonts w:ascii="黑体" w:eastAsia="黑体"/>
        </w:rPr>
        <w:t>设立一个机制，确保涉嫌犯下强迫失踪罪的执法或安全部队人员</w:t>
      </w:r>
      <w:r w:rsidR="00CF157B" w:rsidRPr="00551E2E">
        <w:rPr>
          <w:rFonts w:ascii="黑体" w:eastAsia="黑体"/>
        </w:rPr>
        <w:t>(</w:t>
      </w:r>
      <w:r w:rsidRPr="00551E2E">
        <w:rPr>
          <w:rFonts w:ascii="黑体" w:eastAsia="黑体"/>
        </w:rPr>
        <w:t>无论是文职或军事人员</w:t>
      </w:r>
      <w:r w:rsidR="00CF157B" w:rsidRPr="00551E2E">
        <w:rPr>
          <w:rFonts w:ascii="黑体" w:eastAsia="黑体"/>
        </w:rPr>
        <w:t>)</w:t>
      </w:r>
      <w:r w:rsidRPr="00551E2E">
        <w:rPr>
          <w:rFonts w:ascii="黑体" w:eastAsia="黑体"/>
        </w:rPr>
        <w:t>不得参与此类调查。</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保护参与调查的人</w:t>
      </w: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20.</w:t>
      </w:r>
      <w:r w:rsidRPr="00203A4B">
        <w:rPr>
          <w:rFonts w:asciiTheme="majorBidi" w:hAnsiTheme="majorBidi" w:cstheme="majorBidi"/>
          <w:szCs w:val="21"/>
        </w:rPr>
        <w:tab/>
      </w:r>
      <w:r w:rsidRPr="00203A4B">
        <w:rPr>
          <w:rFonts w:asciiTheme="majorBidi" w:hAnsiTheme="majorBidi" w:cstheme="majorBidi"/>
          <w:szCs w:val="21"/>
        </w:rPr>
        <w:t>委员会欢迎缔约国于</w:t>
      </w:r>
      <w:r w:rsidRPr="00203A4B">
        <w:rPr>
          <w:rFonts w:asciiTheme="majorBidi" w:hAnsiTheme="majorBidi" w:cstheme="majorBidi"/>
          <w:szCs w:val="21"/>
        </w:rPr>
        <w:t>2014</w:t>
      </w:r>
      <w:r w:rsidRPr="00203A4B">
        <w:rPr>
          <w:rFonts w:asciiTheme="majorBidi" w:hAnsiTheme="majorBidi" w:cstheme="majorBidi"/>
          <w:szCs w:val="21"/>
        </w:rPr>
        <w:t>年</w:t>
      </w:r>
      <w:r w:rsidRPr="00203A4B">
        <w:rPr>
          <w:rFonts w:asciiTheme="majorBidi" w:hAnsiTheme="majorBidi" w:cstheme="majorBidi"/>
          <w:szCs w:val="21"/>
        </w:rPr>
        <w:t>6</w:t>
      </w:r>
      <w:r w:rsidRPr="00203A4B">
        <w:rPr>
          <w:rFonts w:asciiTheme="majorBidi" w:hAnsiTheme="majorBidi" w:cstheme="majorBidi"/>
          <w:szCs w:val="21"/>
        </w:rPr>
        <w:t>月通过《证人保护法》修正案，该法案旨在改善缔约国证人保护体系。但是，委员会与禁止酷刑委员会同样感到关切的是</w:t>
      </w:r>
      <w:r w:rsidR="00CF157B">
        <w:rPr>
          <w:rFonts w:asciiTheme="majorBidi" w:hAnsiTheme="majorBidi" w:cstheme="majorBidi"/>
          <w:szCs w:val="21"/>
        </w:rPr>
        <w:t>(</w:t>
      </w:r>
      <w:r w:rsidRPr="00203A4B">
        <w:rPr>
          <w:rFonts w:asciiTheme="majorBidi" w:hAnsiTheme="majorBidi" w:cstheme="majorBidi"/>
          <w:szCs w:val="21"/>
        </w:rPr>
        <w:t>见</w:t>
      </w:r>
      <w:r w:rsidRPr="00203A4B">
        <w:rPr>
          <w:rFonts w:asciiTheme="majorBidi" w:hAnsiTheme="majorBidi" w:cstheme="majorBidi"/>
          <w:szCs w:val="21"/>
        </w:rPr>
        <w:t>CAT/C/</w:t>
      </w:r>
      <w:r w:rsidRPr="00203A4B">
        <w:rPr>
          <w:rStyle w:val="hps"/>
          <w:rFonts w:asciiTheme="majorBidi" w:hAnsiTheme="majorBidi" w:cstheme="majorBidi"/>
          <w:szCs w:val="21"/>
        </w:rPr>
        <w:t>MNE</w:t>
      </w:r>
      <w:r w:rsidRPr="00203A4B">
        <w:rPr>
          <w:rFonts w:asciiTheme="majorBidi" w:hAnsiTheme="majorBidi" w:cstheme="majorBidi"/>
          <w:szCs w:val="21"/>
        </w:rPr>
        <w:t>/CO/</w:t>
      </w:r>
      <w:r w:rsidR="00CF157B">
        <w:rPr>
          <w:rFonts w:asciiTheme="majorBidi" w:hAnsiTheme="majorBidi" w:cstheme="majorBidi"/>
          <w:szCs w:val="21"/>
        </w:rPr>
        <w:t>2,</w:t>
      </w:r>
      <w:r w:rsidRPr="00203A4B">
        <w:rPr>
          <w:rFonts w:asciiTheme="majorBidi" w:hAnsiTheme="majorBidi" w:cstheme="majorBidi"/>
          <w:szCs w:val="21"/>
        </w:rPr>
        <w:t>第</w:t>
      </w:r>
      <w:r w:rsidRPr="00203A4B">
        <w:rPr>
          <w:rFonts w:asciiTheme="majorBidi" w:hAnsiTheme="majorBidi" w:cstheme="majorBidi"/>
          <w:szCs w:val="21"/>
        </w:rPr>
        <w:t>15</w:t>
      </w:r>
      <w:r w:rsidRPr="00203A4B">
        <w:rPr>
          <w:rFonts w:asciiTheme="majorBidi" w:hAnsiTheme="majorBidi" w:cstheme="majorBidi"/>
          <w:szCs w:val="21"/>
        </w:rPr>
        <w:t>段</w:t>
      </w:r>
      <w:r w:rsidR="00CF157B">
        <w:rPr>
          <w:rFonts w:asciiTheme="majorBidi" w:hAnsiTheme="majorBidi" w:cstheme="majorBidi"/>
          <w:szCs w:val="21"/>
        </w:rPr>
        <w:t>)</w:t>
      </w:r>
      <w:r w:rsidRPr="00203A4B">
        <w:rPr>
          <w:rFonts w:asciiTheme="majorBidi" w:hAnsiTheme="majorBidi" w:cstheme="majorBidi"/>
          <w:szCs w:val="21"/>
        </w:rPr>
        <w:t>，缔约国缺乏有效措施，为受害人和证人提供保护以免他们因提出申诉或提供证据而遭到虐待或恫吓</w:t>
      </w:r>
      <w:r w:rsidR="00CF157B">
        <w:rPr>
          <w:rFonts w:asciiTheme="majorBidi" w:hAnsiTheme="majorBidi" w:cstheme="majorBidi"/>
          <w:szCs w:val="21"/>
        </w:rPr>
        <w:t>(</w:t>
      </w:r>
      <w:r w:rsidRPr="00203A4B">
        <w:rPr>
          <w:rFonts w:asciiTheme="majorBidi" w:hAnsiTheme="majorBidi" w:cstheme="majorBidi"/>
          <w:szCs w:val="21"/>
        </w:rPr>
        <w:t>第十二和第十八条</w:t>
      </w:r>
      <w:r w:rsidR="00CF157B">
        <w:rPr>
          <w:rFonts w:asciiTheme="majorBidi" w:hAnsiTheme="majorBidi" w:cstheme="majorBidi"/>
          <w:szCs w:val="21"/>
        </w:rPr>
        <w:t>)</w:t>
      </w:r>
      <w:r w:rsidRPr="00203A4B">
        <w:rPr>
          <w:rFonts w:asciiTheme="majorBidi" w:hAnsiTheme="majorBidi" w:cstheme="majorBidi"/>
          <w:szCs w:val="21"/>
        </w:rPr>
        <w:t>。</w:t>
      </w:r>
    </w:p>
    <w:p w:rsidR="00203A4B" w:rsidRPr="00551E2E" w:rsidRDefault="00203A4B" w:rsidP="00203A4B">
      <w:pPr>
        <w:pStyle w:val="SingleTxt"/>
        <w:rPr>
          <w:rFonts w:ascii="黑体" w:eastAsia="黑体" w:hAnsiTheme="majorBidi" w:cstheme="majorBidi"/>
          <w:szCs w:val="21"/>
        </w:rPr>
      </w:pPr>
      <w:r w:rsidRPr="00551E2E">
        <w:rPr>
          <w:rFonts w:ascii="黑体" w:eastAsia="黑体" w:hAnsiTheme="majorBidi" w:cstheme="majorBidi"/>
          <w:szCs w:val="21"/>
        </w:rPr>
        <w:t>21.</w:t>
      </w:r>
      <w:r w:rsidRPr="00551E2E">
        <w:rPr>
          <w:rFonts w:ascii="黑体" w:eastAsia="黑体" w:hAnsiTheme="majorBidi" w:cstheme="majorBidi"/>
          <w:szCs w:val="21"/>
        </w:rPr>
        <w:tab/>
        <w:t>委员会建议缔约国确保有效执行现有保护措施，并使其适用于《公约》第十二条第一款提及的所有人员。委员会进一步建议缔约国确保，即使无人提起正式的申诉，在战争罪审判程序中威胁或恐吓证人的所有潜在指控也应得到迅速、彻底和公正的调查，犯罪嫌疑人受到起诉；若被判有罪，则对他们处以相应的处罚。</w:t>
      </w: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防范强迫失踪的措施</w:t>
      </w:r>
      <w:r w:rsidR="00CF157B">
        <w:t>(</w:t>
      </w:r>
      <w:r w:rsidRPr="00203A4B">
        <w:t>第十六至第二十三条</w:t>
      </w:r>
      <w:r w:rsidR="00CF157B">
        <w:t>)</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r>
      <w:r w:rsidRPr="00203A4B">
        <w:rPr>
          <w:color w:val="000000"/>
        </w:rPr>
        <w:t>不驱回</w:t>
      </w: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22.</w:t>
      </w:r>
      <w:r w:rsidRPr="00203A4B">
        <w:rPr>
          <w:rFonts w:asciiTheme="majorBidi" w:hAnsiTheme="majorBidi" w:cstheme="majorBidi"/>
          <w:szCs w:val="21"/>
        </w:rPr>
        <w:tab/>
      </w:r>
      <w:r w:rsidRPr="00203A4B">
        <w:rPr>
          <w:rFonts w:asciiTheme="majorBidi" w:hAnsiTheme="majorBidi" w:cstheme="majorBidi"/>
          <w:szCs w:val="21"/>
        </w:rPr>
        <w:t>虽然委员会对一次上诉推迟了执行引渡令的事实表示欢迎，但委员会指出，在这方面它尚未收到关于驱逐和遣返决定方面的详细资料。委员会也指出其未收到资料，说明适用于驱逐、遣返、移交或引渡程序框架的标准，以及被驳回的庇护申请的上诉程序是否规定对事实进行实质性审查。</w:t>
      </w:r>
      <w:r w:rsidRPr="00203A4B">
        <w:rPr>
          <w:rFonts w:asciiTheme="majorBidi" w:hAnsiTheme="majorBidi" w:cstheme="majorBidi"/>
          <w:snapToGrid w:val="0"/>
          <w:szCs w:val="21"/>
        </w:rPr>
        <w:t>此外，委员会指出缔约国的国内法未明确列入一条禁令，即</w:t>
      </w:r>
      <w:r w:rsidRPr="00203A4B">
        <w:rPr>
          <w:rFonts w:asciiTheme="majorBidi" w:hAnsiTheme="majorBidi" w:cstheme="majorBidi"/>
          <w:bCs/>
          <w:snapToGrid w:val="0"/>
          <w:szCs w:val="21"/>
        </w:rPr>
        <w:t>在有充分理由认为有关人员有遭受强迫失踪危险时，禁止实施驱逐</w:t>
      </w:r>
      <w:r w:rsidRPr="00203A4B">
        <w:rPr>
          <w:rFonts w:asciiTheme="majorBidi" w:hAnsiTheme="majorBidi" w:cstheme="majorBidi"/>
          <w:bCs/>
          <w:snapToGrid w:val="0"/>
          <w:szCs w:val="21"/>
        </w:rPr>
        <w:t>(</w:t>
      </w:r>
      <w:r w:rsidRPr="00203A4B">
        <w:rPr>
          <w:rFonts w:asciiTheme="majorBidi" w:hAnsiTheme="majorBidi" w:cstheme="majorBidi"/>
          <w:bCs/>
          <w:snapToGrid w:val="0"/>
          <w:szCs w:val="21"/>
        </w:rPr>
        <w:t>第</w:t>
      </w:r>
      <w:r w:rsidRPr="00203A4B">
        <w:rPr>
          <w:rFonts w:asciiTheme="majorBidi" w:hAnsiTheme="majorBidi" w:cstheme="majorBidi"/>
          <w:snapToGrid w:val="0"/>
          <w:szCs w:val="21"/>
        </w:rPr>
        <w:t>十六条</w:t>
      </w:r>
      <w:r w:rsidRPr="00203A4B">
        <w:rPr>
          <w:rFonts w:asciiTheme="majorBidi" w:hAnsiTheme="majorBidi" w:cstheme="majorBidi"/>
          <w:snapToGrid w:val="0"/>
          <w:szCs w:val="21"/>
        </w:rPr>
        <w:t>)</w:t>
      </w:r>
      <w:r w:rsidRPr="00203A4B">
        <w:rPr>
          <w:rFonts w:asciiTheme="majorBidi" w:hAnsiTheme="majorBidi" w:cstheme="majorBidi"/>
          <w:snapToGrid w:val="0"/>
          <w:szCs w:val="21"/>
        </w:rPr>
        <w:t>。</w:t>
      </w:r>
    </w:p>
    <w:p w:rsidR="00203A4B" w:rsidRPr="00551E2E" w:rsidRDefault="00203A4B" w:rsidP="00203A4B">
      <w:pPr>
        <w:pStyle w:val="SingleTxt"/>
        <w:rPr>
          <w:rFonts w:ascii="黑体" w:eastAsia="黑体" w:hAnsiTheme="majorBidi" w:cstheme="majorBidi"/>
          <w:bCs/>
          <w:szCs w:val="21"/>
        </w:rPr>
      </w:pPr>
      <w:r w:rsidRPr="00551E2E">
        <w:rPr>
          <w:rFonts w:ascii="黑体" w:eastAsia="黑体" w:hAnsiTheme="majorBidi" w:cstheme="majorBidi"/>
          <w:szCs w:val="21"/>
        </w:rPr>
        <w:t>23.</w:t>
      </w:r>
      <w:r w:rsidRPr="00551E2E">
        <w:rPr>
          <w:rFonts w:ascii="黑体" w:eastAsia="黑体" w:hAnsiTheme="majorBidi" w:cstheme="majorBidi"/>
          <w:szCs w:val="21"/>
        </w:rPr>
        <w:tab/>
      </w:r>
      <w:r w:rsidRPr="00551E2E">
        <w:rPr>
          <w:rFonts w:ascii="黑体" w:eastAsia="黑体" w:hAnsiTheme="majorBidi" w:cstheme="majorBidi"/>
          <w:bCs/>
          <w:szCs w:val="21"/>
        </w:rPr>
        <w:t>缔约国应确保引渡的上诉程序也适用于驱逐或遣返。缔约国还应考虑在国内法律中明确规定在有充分理由相信相关人员有遭受强迫失踪危险的情况下禁止实施驱逐、遣返、移交或引渡。</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基本法律保障</w:t>
      </w: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24.</w:t>
      </w:r>
      <w:r w:rsidRPr="00203A4B">
        <w:rPr>
          <w:rFonts w:asciiTheme="majorBidi" w:hAnsiTheme="majorBidi" w:cstheme="majorBidi"/>
          <w:szCs w:val="21"/>
        </w:rPr>
        <w:tab/>
      </w:r>
      <w:r w:rsidRPr="00203A4B">
        <w:rPr>
          <w:rFonts w:asciiTheme="majorBidi" w:hAnsiTheme="majorBidi" w:cstheme="majorBidi"/>
          <w:szCs w:val="21"/>
        </w:rPr>
        <w:t>委员会对《刑事诉讼法》修正案表示欢迎，该修正案现在规定被剥夺自由的人有权将其所处的情况</w:t>
      </w:r>
      <w:r w:rsidRPr="00203A4B">
        <w:rPr>
          <w:rStyle w:val="atn"/>
          <w:rFonts w:asciiTheme="majorBidi" w:hAnsiTheme="majorBidi" w:cstheme="majorBidi"/>
          <w:szCs w:val="21"/>
        </w:rPr>
        <w:t>“</w:t>
      </w:r>
      <w:r w:rsidRPr="00203A4B">
        <w:rPr>
          <w:rStyle w:val="atn"/>
          <w:rFonts w:asciiTheme="majorBidi" w:hAnsiTheme="majorBidi" w:cstheme="majorBidi"/>
          <w:szCs w:val="21"/>
        </w:rPr>
        <w:t>立即</w:t>
      </w:r>
      <w:r w:rsidRPr="00203A4B">
        <w:rPr>
          <w:rStyle w:val="atn"/>
          <w:rFonts w:asciiTheme="majorBidi" w:hAnsiTheme="majorBidi" w:cstheme="majorBidi"/>
          <w:szCs w:val="21"/>
        </w:rPr>
        <w:t>”</w:t>
      </w:r>
      <w:r w:rsidRPr="00203A4B">
        <w:rPr>
          <w:rFonts w:asciiTheme="majorBidi" w:hAnsiTheme="majorBidi" w:cstheme="majorBidi"/>
          <w:szCs w:val="21"/>
        </w:rPr>
        <w:t>通知其选择的人员。但是，委员会与禁止酷刑委员会同样感到关切的是</w:t>
      </w:r>
      <w:r w:rsidR="00CF157B">
        <w:rPr>
          <w:rFonts w:asciiTheme="majorBidi" w:hAnsiTheme="majorBidi" w:cstheme="majorBidi"/>
          <w:szCs w:val="21"/>
        </w:rPr>
        <w:t>(</w:t>
      </w:r>
      <w:r w:rsidRPr="00203A4B">
        <w:rPr>
          <w:rFonts w:asciiTheme="majorBidi" w:hAnsiTheme="majorBidi" w:cstheme="majorBidi"/>
          <w:szCs w:val="21"/>
        </w:rPr>
        <w:t>见</w:t>
      </w:r>
      <w:r w:rsidRPr="00203A4B">
        <w:rPr>
          <w:rFonts w:asciiTheme="majorBidi" w:hAnsiTheme="majorBidi" w:cstheme="majorBidi"/>
          <w:szCs w:val="21"/>
        </w:rPr>
        <w:t>CAT/C/</w:t>
      </w:r>
      <w:r w:rsidRPr="00203A4B">
        <w:rPr>
          <w:rStyle w:val="hps"/>
          <w:rFonts w:asciiTheme="majorBidi" w:hAnsiTheme="majorBidi" w:cstheme="majorBidi"/>
          <w:szCs w:val="21"/>
        </w:rPr>
        <w:t>MNE</w:t>
      </w:r>
      <w:r w:rsidRPr="00203A4B">
        <w:rPr>
          <w:rFonts w:asciiTheme="majorBidi" w:hAnsiTheme="majorBidi" w:cstheme="majorBidi"/>
          <w:szCs w:val="21"/>
        </w:rPr>
        <w:t>/CO/</w:t>
      </w:r>
      <w:r w:rsidR="00CF157B">
        <w:rPr>
          <w:rFonts w:asciiTheme="majorBidi" w:hAnsiTheme="majorBidi" w:cstheme="majorBidi"/>
          <w:szCs w:val="21"/>
        </w:rPr>
        <w:t>2,</w:t>
      </w:r>
      <w:r w:rsidRPr="00203A4B">
        <w:rPr>
          <w:rFonts w:asciiTheme="majorBidi" w:hAnsiTheme="majorBidi" w:cstheme="majorBidi"/>
          <w:szCs w:val="21"/>
        </w:rPr>
        <w:t>第</w:t>
      </w:r>
      <w:r w:rsidRPr="00203A4B">
        <w:rPr>
          <w:rFonts w:asciiTheme="majorBidi" w:hAnsiTheme="majorBidi" w:cstheme="majorBidi"/>
          <w:szCs w:val="21"/>
        </w:rPr>
        <w:t>7</w:t>
      </w:r>
      <w:r w:rsidRPr="00203A4B">
        <w:rPr>
          <w:rFonts w:asciiTheme="majorBidi" w:hAnsiTheme="majorBidi" w:cstheme="majorBidi"/>
          <w:szCs w:val="21"/>
        </w:rPr>
        <w:t>段</w:t>
      </w:r>
      <w:r w:rsidR="00CF157B">
        <w:rPr>
          <w:rFonts w:asciiTheme="majorBidi" w:hAnsiTheme="majorBidi" w:cstheme="majorBidi"/>
          <w:szCs w:val="21"/>
        </w:rPr>
        <w:t>)</w:t>
      </w:r>
      <w:r w:rsidRPr="00203A4B">
        <w:rPr>
          <w:rFonts w:asciiTheme="majorBidi" w:hAnsiTheme="majorBidi" w:cstheme="majorBidi"/>
          <w:szCs w:val="21"/>
        </w:rPr>
        <w:t>，在实践中被剥夺自由的人从被剥夺自由时开始就都没有系统地获得所有基本法律保障。委员会还感到遗憾的是，在战争或紧急状态下不受限制的权利清单并未提及在独立的法庭前质疑拘留合法性的权利</w:t>
      </w:r>
      <w:r w:rsidR="00CF157B">
        <w:rPr>
          <w:rFonts w:asciiTheme="majorBidi" w:hAnsiTheme="majorBidi" w:cstheme="majorBidi"/>
          <w:szCs w:val="21"/>
        </w:rPr>
        <w:t>(</w:t>
      </w:r>
      <w:r w:rsidRPr="00203A4B">
        <w:rPr>
          <w:rFonts w:asciiTheme="majorBidi" w:hAnsiTheme="majorBidi" w:cstheme="majorBidi"/>
          <w:szCs w:val="21"/>
        </w:rPr>
        <w:t>第十七和第十八条</w:t>
      </w:r>
      <w:r w:rsidR="00CF157B">
        <w:rPr>
          <w:rFonts w:asciiTheme="majorBidi" w:hAnsiTheme="majorBidi" w:cstheme="majorBidi"/>
          <w:szCs w:val="21"/>
        </w:rPr>
        <w:t>)</w:t>
      </w:r>
      <w:r w:rsidRPr="00203A4B">
        <w:rPr>
          <w:rFonts w:asciiTheme="majorBidi" w:hAnsiTheme="majorBidi" w:cstheme="majorBidi"/>
          <w:szCs w:val="21"/>
        </w:rPr>
        <w:t>。</w:t>
      </w:r>
    </w:p>
    <w:p w:rsidR="00203A4B" w:rsidRPr="00551E2E" w:rsidRDefault="00203A4B" w:rsidP="00203A4B">
      <w:pPr>
        <w:pStyle w:val="SingleTxt"/>
        <w:rPr>
          <w:rFonts w:ascii="黑体" w:eastAsia="黑体"/>
        </w:rPr>
      </w:pPr>
      <w:r w:rsidRPr="00551E2E">
        <w:rPr>
          <w:rFonts w:ascii="黑体" w:eastAsia="黑体"/>
        </w:rPr>
        <w:t>25.</w:t>
      </w:r>
      <w:r w:rsidRPr="00551E2E">
        <w:rPr>
          <w:rFonts w:ascii="黑体" w:eastAsia="黑体"/>
        </w:rPr>
        <w:tab/>
        <w:t>委员会建议缔约国采取必要措施以确保，在实践中，所有被剥夺自由的人从被剥夺自由时开始就可以毫不拖延地与家属或他们选择的任何人沟通，并能联系独立的律师。委员会还建议将质疑拘留合法性的权利纳入在战争或紧急状态下不受限制的权利清单。缔约国还应确保按照标准协议将关于被剥夺自由的所有人的资料有效地输入登记册和/或记录中，其中包含的信息至少包括《公约》第十七条第三款要求的信息。</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关于《公约》的培训</w:t>
      </w: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26.</w:t>
      </w:r>
      <w:r w:rsidRPr="00203A4B">
        <w:rPr>
          <w:rFonts w:asciiTheme="majorBidi" w:hAnsiTheme="majorBidi" w:cstheme="majorBidi"/>
          <w:szCs w:val="21"/>
        </w:rPr>
        <w:tab/>
      </w:r>
      <w:r w:rsidRPr="00203A4B">
        <w:rPr>
          <w:rFonts w:asciiTheme="majorBidi" w:hAnsiTheme="majorBidi" w:cstheme="majorBidi"/>
          <w:szCs w:val="21"/>
        </w:rPr>
        <w:t>虽然注意缔约国为各种国家行为者提供关于人权以及与《公约》相关的其他主题的培训，但委员会感到遗憾的是，缔约国缺乏有关《公约》的具体和定期的培训</w:t>
      </w:r>
      <w:r w:rsidR="00CF157B">
        <w:rPr>
          <w:rFonts w:asciiTheme="majorBidi" w:hAnsiTheme="majorBidi" w:cstheme="majorBidi"/>
          <w:szCs w:val="21"/>
        </w:rPr>
        <w:t>(</w:t>
      </w:r>
      <w:r w:rsidRPr="00203A4B">
        <w:rPr>
          <w:rFonts w:asciiTheme="majorBidi" w:hAnsiTheme="majorBidi" w:cstheme="majorBidi"/>
          <w:szCs w:val="21"/>
        </w:rPr>
        <w:t>第二十三条</w:t>
      </w:r>
      <w:r w:rsidR="00CF157B">
        <w:rPr>
          <w:rFonts w:asciiTheme="majorBidi" w:hAnsiTheme="majorBidi" w:cstheme="majorBidi"/>
          <w:szCs w:val="21"/>
        </w:rPr>
        <w:t>)</w:t>
      </w:r>
      <w:r w:rsidRPr="00203A4B">
        <w:rPr>
          <w:rFonts w:asciiTheme="majorBidi" w:hAnsiTheme="majorBidi" w:cstheme="majorBidi"/>
          <w:szCs w:val="21"/>
        </w:rPr>
        <w:t>。</w:t>
      </w:r>
    </w:p>
    <w:p w:rsidR="00203A4B" w:rsidRPr="00551E2E" w:rsidRDefault="00203A4B" w:rsidP="00203A4B">
      <w:pPr>
        <w:pStyle w:val="SingleTxt"/>
        <w:rPr>
          <w:rFonts w:ascii="黑体" w:eastAsia="黑体" w:hAnsiTheme="majorBidi" w:cstheme="majorBidi"/>
          <w:szCs w:val="21"/>
        </w:rPr>
      </w:pPr>
      <w:r w:rsidRPr="00551E2E">
        <w:rPr>
          <w:rFonts w:ascii="黑体" w:eastAsia="黑体" w:hAnsiTheme="majorBidi" w:cstheme="majorBidi"/>
          <w:szCs w:val="21"/>
        </w:rPr>
        <w:t>27.</w:t>
      </w:r>
      <w:r w:rsidRPr="00551E2E">
        <w:rPr>
          <w:rFonts w:ascii="黑体" w:eastAsia="黑体" w:hAnsiTheme="majorBidi" w:cstheme="majorBidi"/>
          <w:szCs w:val="21"/>
        </w:rPr>
        <w:tab/>
      </w:r>
      <w:r w:rsidRPr="00551E2E">
        <w:rPr>
          <w:rFonts w:ascii="黑体" w:eastAsia="黑体" w:hAnsiTheme="majorBidi" w:cstheme="majorBidi"/>
          <w:bCs/>
          <w:szCs w:val="21"/>
        </w:rPr>
        <w:t>委员会建议缔约国确保可能参与拘押或处理被剥夺自由人员的所有执法人员</w:t>
      </w:r>
      <w:r w:rsidR="00CF157B" w:rsidRPr="00551E2E">
        <w:rPr>
          <w:rFonts w:ascii="黑体" w:eastAsia="黑体" w:hAnsiTheme="majorBidi" w:cstheme="majorBidi"/>
          <w:bCs/>
          <w:szCs w:val="21"/>
        </w:rPr>
        <w:t>(</w:t>
      </w:r>
      <w:r w:rsidRPr="00551E2E">
        <w:rPr>
          <w:rFonts w:ascii="黑体" w:eastAsia="黑体" w:hAnsiTheme="majorBidi" w:cstheme="majorBidi"/>
          <w:bCs/>
          <w:szCs w:val="21"/>
        </w:rPr>
        <w:t>无论是文职或军事人员</w:t>
      </w:r>
      <w:r w:rsidR="00CF157B" w:rsidRPr="00551E2E">
        <w:rPr>
          <w:rFonts w:ascii="黑体" w:eastAsia="黑体" w:hAnsiTheme="majorBidi" w:cstheme="majorBidi"/>
          <w:bCs/>
          <w:szCs w:val="21"/>
        </w:rPr>
        <w:t>)</w:t>
      </w:r>
      <w:r w:rsidRPr="00551E2E">
        <w:rPr>
          <w:rFonts w:ascii="黑体" w:eastAsia="黑体" w:hAnsiTheme="majorBidi" w:cstheme="majorBidi"/>
          <w:bCs/>
          <w:szCs w:val="21"/>
        </w:rPr>
        <w:t>、医务人员、政府官员和其他人员，以及负责强迫失踪案件的司法工作或调查和起诉的其他官员，都接受关于《公约》条款的适当和定期的培训。</w:t>
      </w: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提供赔偿及保护儿童免遭强迫失踪的措施(第二十四和第二十五条)</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受害人定义</w:t>
      </w:r>
    </w:p>
    <w:p w:rsidR="00203A4B" w:rsidRPr="00203A4B" w:rsidRDefault="00203A4B" w:rsidP="00203A4B">
      <w:pPr>
        <w:pStyle w:val="SingleTxt"/>
        <w:spacing w:after="0" w:line="120" w:lineRule="exact"/>
        <w:rPr>
          <w:sz w:val="10"/>
        </w:rPr>
      </w:pPr>
    </w:p>
    <w:p w:rsidR="00203A4B" w:rsidRPr="00203A4B" w:rsidRDefault="00203A4B" w:rsidP="00203A4B">
      <w:pPr>
        <w:pStyle w:val="SingleTxt"/>
        <w:spacing w:after="0" w:line="120" w:lineRule="exact"/>
        <w:rPr>
          <w:sz w:val="10"/>
        </w:rPr>
      </w:pPr>
    </w:p>
    <w:p w:rsidR="00203A4B" w:rsidRPr="00203A4B" w:rsidRDefault="00203A4B" w:rsidP="00203A4B">
      <w:pPr>
        <w:pStyle w:val="SingleTxt"/>
      </w:pPr>
      <w:r w:rsidRPr="00203A4B">
        <w:t>28.</w:t>
      </w:r>
      <w:r w:rsidRPr="00203A4B">
        <w:tab/>
      </w:r>
      <w:r w:rsidRPr="00203A4B">
        <w:t>委员会虽然注意到缔约国的《刑法典》以及关于暴力犯罪受害人受损赔偿的新法律都引入了受害人定义，但委员会感到遗憾的是，此定义比《公约》第二十四条所指的受害人概念较窄。委员会还感到关切的是，如果未发起针对肇事者的刑事诉讼程序，则现有法律框架不授予受害人地位</w:t>
      </w:r>
      <w:r w:rsidRPr="00203A4B">
        <w:t>(</w:t>
      </w:r>
      <w:r w:rsidRPr="00203A4B">
        <w:t>第二十四条</w:t>
      </w:r>
      <w:r w:rsidRPr="00203A4B">
        <w:t>)</w:t>
      </w:r>
      <w:r w:rsidRPr="00203A4B">
        <w:t>。</w:t>
      </w:r>
    </w:p>
    <w:p w:rsidR="00203A4B" w:rsidRPr="00551E2E" w:rsidRDefault="00203A4B" w:rsidP="00203A4B">
      <w:pPr>
        <w:pStyle w:val="SingleTxt"/>
        <w:rPr>
          <w:rFonts w:ascii="黑体" w:eastAsia="黑体"/>
        </w:rPr>
      </w:pPr>
      <w:r w:rsidRPr="00551E2E">
        <w:rPr>
          <w:rFonts w:ascii="黑体" w:eastAsia="黑体"/>
        </w:rPr>
        <w:t>29.</w:t>
      </w:r>
      <w:r w:rsidRPr="00551E2E">
        <w:rPr>
          <w:rFonts w:ascii="黑体" w:eastAsia="黑体"/>
        </w:rPr>
        <w:tab/>
        <w:t>缔约国应考虑进行必要的法律修订，以确定一个符合《公约》第二十四条第一款规定的受害人定义，确保任何由于强迫失踪行为受到直接伤害的个人充分享有《公约》规定的权利，特别是第二十四条第二、四和五款规定的获得真相和赔偿的权利。</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获得补偿及迅速、公平和充分赔偿的权利</w:t>
      </w: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30.</w:t>
      </w:r>
      <w:r w:rsidRPr="00203A4B">
        <w:rPr>
          <w:rFonts w:asciiTheme="majorBidi" w:hAnsiTheme="majorBidi" w:cstheme="majorBidi"/>
          <w:szCs w:val="21"/>
        </w:rPr>
        <w:tab/>
      </w:r>
      <w:r w:rsidRPr="00203A4B">
        <w:rPr>
          <w:rFonts w:asciiTheme="majorBidi" w:hAnsiTheme="majorBidi" w:cstheme="majorBidi"/>
          <w:szCs w:val="21"/>
        </w:rPr>
        <w:t>委员会指出，《宪法》第</w:t>
      </w:r>
      <w:r w:rsidRPr="00203A4B">
        <w:rPr>
          <w:rFonts w:asciiTheme="majorBidi" w:hAnsiTheme="majorBidi" w:cstheme="majorBidi"/>
          <w:szCs w:val="21"/>
        </w:rPr>
        <w:t>38</w:t>
      </w:r>
      <w:r w:rsidRPr="00203A4B">
        <w:rPr>
          <w:rFonts w:asciiTheme="majorBidi" w:hAnsiTheme="majorBidi" w:cstheme="majorBidi"/>
          <w:szCs w:val="21"/>
        </w:rPr>
        <w:t>条保障获得赔偿的权利，但委员会感到遗憾的是，缔约国的法律制度没有规定获得足够赔偿</w:t>
      </w:r>
      <w:r w:rsidR="00CF157B">
        <w:rPr>
          <w:rFonts w:asciiTheme="majorBidi" w:hAnsiTheme="majorBidi" w:cstheme="majorBidi"/>
          <w:szCs w:val="21"/>
        </w:rPr>
        <w:t>(</w:t>
      </w:r>
      <w:r w:rsidRPr="00203A4B">
        <w:rPr>
          <w:rFonts w:asciiTheme="majorBidi" w:hAnsiTheme="majorBidi" w:cstheme="majorBidi"/>
          <w:szCs w:val="21"/>
        </w:rPr>
        <w:t>包括《公约》第二十四条第五款规定的所有赔偿性措施</w:t>
      </w:r>
      <w:r w:rsidR="00CF157B">
        <w:rPr>
          <w:rFonts w:asciiTheme="majorBidi" w:hAnsiTheme="majorBidi" w:cstheme="majorBidi"/>
          <w:szCs w:val="21"/>
        </w:rPr>
        <w:t>)</w:t>
      </w:r>
      <w:r w:rsidRPr="00203A4B">
        <w:rPr>
          <w:rFonts w:asciiTheme="majorBidi" w:hAnsiTheme="majorBidi" w:cstheme="majorBidi"/>
          <w:szCs w:val="21"/>
        </w:rPr>
        <w:t>的法定权利。此外，委员会感到关切的是，只能依据《合同和侵权行为法》通过民事诉讼才能获得赔偿，失踪者亲属需要启动宣告失踪者死亡的程序，才能获得抚恤金权或赔偿金。关于前南斯拉夫境内的冲突，一些受害人已获得赔偿委员会对此表示欢迎，但委员会指出，仍有许多受害人在等待适当和有效的赔偿</w:t>
      </w:r>
      <w:r w:rsidR="00CF157B">
        <w:rPr>
          <w:rFonts w:asciiTheme="majorBidi" w:hAnsiTheme="majorBidi" w:cstheme="majorBidi"/>
          <w:szCs w:val="21"/>
        </w:rPr>
        <w:t>(</w:t>
      </w:r>
      <w:r w:rsidRPr="00203A4B">
        <w:rPr>
          <w:rFonts w:asciiTheme="majorBidi" w:hAnsiTheme="majorBidi" w:cstheme="majorBidi"/>
          <w:szCs w:val="21"/>
        </w:rPr>
        <w:t>第二十四条</w:t>
      </w:r>
      <w:r w:rsidR="00CF157B">
        <w:rPr>
          <w:rFonts w:asciiTheme="majorBidi" w:hAnsiTheme="majorBidi" w:cstheme="majorBidi"/>
          <w:szCs w:val="21"/>
        </w:rPr>
        <w:t>)</w:t>
      </w:r>
      <w:r w:rsidRPr="00203A4B">
        <w:rPr>
          <w:rFonts w:asciiTheme="majorBidi" w:hAnsiTheme="majorBidi" w:cstheme="majorBidi"/>
          <w:szCs w:val="21"/>
        </w:rPr>
        <w:t>。</w:t>
      </w:r>
    </w:p>
    <w:p w:rsidR="00203A4B" w:rsidRPr="00551E2E" w:rsidRDefault="00203A4B" w:rsidP="00203A4B">
      <w:pPr>
        <w:pStyle w:val="SingleTxt"/>
        <w:rPr>
          <w:rFonts w:ascii="黑体" w:eastAsia="黑体"/>
        </w:rPr>
      </w:pPr>
      <w:r w:rsidRPr="00551E2E">
        <w:rPr>
          <w:rFonts w:ascii="黑体" w:eastAsia="黑体"/>
        </w:rPr>
        <w:t>31.</w:t>
      </w:r>
      <w:r w:rsidRPr="00551E2E">
        <w:rPr>
          <w:rFonts w:ascii="黑体" w:eastAsia="黑体"/>
        </w:rPr>
        <w:tab/>
        <w:t>缔约国应确保即使没有对犯罪嫌疑人提起刑事诉讼或后者尚未确定，所有由于无论何时发生的强迫失踪而遭受直接伤害的人都有权获得补偿</w:t>
      </w:r>
      <w:r w:rsidR="00CF157B" w:rsidRPr="00551E2E">
        <w:rPr>
          <w:rFonts w:ascii="黑体" w:eastAsia="黑体"/>
        </w:rPr>
        <w:t>(</w:t>
      </w:r>
      <w:r w:rsidRPr="00551E2E">
        <w:rPr>
          <w:rFonts w:ascii="黑体" w:eastAsia="黑体"/>
        </w:rPr>
        <w:t>包括医疗和心理康复、恢复原状和抵偿，包括恢复尊严和名誉</w:t>
      </w:r>
      <w:r w:rsidR="00CF157B" w:rsidRPr="00551E2E">
        <w:rPr>
          <w:rFonts w:ascii="黑体" w:eastAsia="黑体"/>
        </w:rPr>
        <w:t>)</w:t>
      </w:r>
      <w:r w:rsidRPr="00551E2E">
        <w:rPr>
          <w:rFonts w:ascii="黑体" w:eastAsia="黑体"/>
        </w:rPr>
        <w:t>及迅速、公平和充分的赔偿。</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下落不明的失踪者及其亲属的法律地位</w:t>
      </w: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88738A" w:rsidP="00203A4B">
      <w:pPr>
        <w:pStyle w:val="SingleTxt"/>
        <w:rPr>
          <w:rFonts w:asciiTheme="majorBidi" w:hAnsiTheme="majorBidi" w:cstheme="majorBidi"/>
          <w:szCs w:val="21"/>
        </w:rPr>
      </w:pPr>
      <w:r>
        <w:rPr>
          <w:rFonts w:asciiTheme="majorBidi" w:hAnsiTheme="majorBidi" w:cstheme="majorBidi"/>
          <w:szCs w:val="21"/>
        </w:rPr>
        <w:t>32.</w:t>
      </w:r>
      <w:r>
        <w:rPr>
          <w:rFonts w:asciiTheme="majorBidi" w:hAnsiTheme="majorBidi" w:cstheme="majorBidi" w:hint="eastAsia"/>
          <w:szCs w:val="21"/>
        </w:rPr>
        <w:t xml:space="preserve">  </w:t>
      </w:r>
      <w:r w:rsidR="00203A4B" w:rsidRPr="00203A4B">
        <w:rPr>
          <w:rFonts w:asciiTheme="majorBidi" w:hAnsiTheme="majorBidi" w:cstheme="majorBidi"/>
          <w:szCs w:val="21"/>
        </w:rPr>
        <w:t>委员会关切地注意到，缔约国的法律既不承认失踪者亲属是强迫失踪的受害人，也没有规定他们在社会福利、经济问题、家庭法和财产权等方面的权利</w:t>
      </w:r>
      <w:r w:rsidR="00203A4B" w:rsidRPr="00203A4B">
        <w:rPr>
          <w:rFonts w:asciiTheme="majorBidi" w:hAnsiTheme="majorBidi" w:cstheme="majorBidi"/>
          <w:bCs/>
          <w:szCs w:val="21"/>
        </w:rPr>
        <w:t>。</w:t>
      </w:r>
      <w:r w:rsidR="00203A4B" w:rsidRPr="00203A4B">
        <w:rPr>
          <w:rFonts w:asciiTheme="majorBidi" w:hAnsiTheme="majorBidi" w:cstheme="majorBidi"/>
          <w:szCs w:val="21"/>
        </w:rPr>
        <w:t>委员会尤其关切的是，</w:t>
      </w:r>
      <w:r w:rsidR="00203A4B" w:rsidRPr="00203A4B">
        <w:rPr>
          <w:rStyle w:val="shorttext"/>
          <w:rFonts w:asciiTheme="majorBidi" w:hAnsiTheme="majorBidi" w:cstheme="majorBidi"/>
          <w:szCs w:val="21"/>
        </w:rPr>
        <w:t>必须启动宣布失踪者已死亡的程序，失踪者亲属才能受益于抚恤金权</w:t>
      </w:r>
      <w:r w:rsidR="00203A4B" w:rsidRPr="00203A4B">
        <w:rPr>
          <w:rFonts w:asciiTheme="majorBidi" w:hAnsiTheme="majorBidi" w:cstheme="majorBidi"/>
          <w:szCs w:val="21"/>
        </w:rPr>
        <w:t>。鉴于强迫失踪的持续性，委员会认为，原则上在确定失踪者命运之前没有理由假定其已死亡</w:t>
      </w:r>
      <w:r w:rsidR="00CF157B">
        <w:rPr>
          <w:rFonts w:asciiTheme="majorBidi" w:hAnsiTheme="majorBidi" w:cstheme="majorBidi"/>
          <w:szCs w:val="21"/>
        </w:rPr>
        <w:t>(</w:t>
      </w:r>
      <w:r w:rsidR="00203A4B" w:rsidRPr="00203A4B">
        <w:rPr>
          <w:rFonts w:asciiTheme="majorBidi" w:hAnsiTheme="majorBidi" w:cstheme="majorBidi"/>
          <w:szCs w:val="21"/>
        </w:rPr>
        <w:t>第二十四条</w:t>
      </w:r>
      <w:r w:rsidR="00CF157B">
        <w:rPr>
          <w:rFonts w:asciiTheme="majorBidi" w:hAnsiTheme="majorBidi" w:cstheme="majorBidi"/>
          <w:szCs w:val="21"/>
        </w:rPr>
        <w:t>)</w:t>
      </w:r>
      <w:r w:rsidR="00203A4B" w:rsidRPr="00203A4B">
        <w:rPr>
          <w:rFonts w:asciiTheme="majorBidi" w:hAnsiTheme="majorBidi" w:cstheme="majorBidi"/>
          <w:szCs w:val="21"/>
        </w:rPr>
        <w:t>。</w:t>
      </w:r>
    </w:p>
    <w:p w:rsidR="00203A4B" w:rsidRPr="00551E2E" w:rsidRDefault="00203A4B" w:rsidP="00203A4B">
      <w:pPr>
        <w:pStyle w:val="SingleTxt"/>
        <w:rPr>
          <w:rFonts w:ascii="黑体" w:eastAsia="黑体"/>
        </w:rPr>
      </w:pPr>
      <w:r w:rsidRPr="00551E2E">
        <w:rPr>
          <w:rFonts w:ascii="黑体" w:eastAsia="黑体"/>
        </w:rPr>
        <w:t>33.</w:t>
      </w:r>
      <w:r w:rsidRPr="00551E2E">
        <w:rPr>
          <w:rFonts w:ascii="黑体" w:eastAsia="黑体"/>
        </w:rPr>
        <w:tab/>
        <w:t>根据《公约》第二十四条第六款，委员会建议缔约国采取必要措施，以确保适当处理失踪者的法律地位问题，以及失踪者亲属在社会福利、经济问题、家庭法和财产权等方面的法律地位问题，而不用宣布失踪者死亡。在这方面，委员会鼓励缔约国设立一个程序，以获取关于因强迫失踪而不在的声明。</w:t>
      </w: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r>
      <w:r w:rsidRPr="00203A4B">
        <w:tab/>
        <w:t>关于非法带离儿童的立法</w:t>
      </w: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34.</w:t>
      </w:r>
      <w:r w:rsidRPr="00203A4B">
        <w:rPr>
          <w:rFonts w:asciiTheme="majorBidi" w:hAnsiTheme="majorBidi" w:cstheme="majorBidi"/>
          <w:szCs w:val="21"/>
        </w:rPr>
        <w:tab/>
      </w:r>
      <w:r w:rsidRPr="00203A4B">
        <w:rPr>
          <w:rFonts w:asciiTheme="majorBidi" w:hAnsiTheme="majorBidi" w:cstheme="majorBidi"/>
          <w:szCs w:val="21"/>
        </w:rPr>
        <w:t>委员会关切地注意到，缔约国的刑法未列入条款，明确惩罚与《公约》第二十五条第一款所述的带离儿童相关的行为。</w:t>
      </w:r>
    </w:p>
    <w:p w:rsidR="00203A4B" w:rsidRPr="00551E2E" w:rsidRDefault="00203A4B" w:rsidP="00203A4B">
      <w:pPr>
        <w:pStyle w:val="SingleTxt"/>
        <w:rPr>
          <w:rFonts w:ascii="黑体" w:eastAsia="黑体"/>
        </w:rPr>
      </w:pPr>
      <w:r w:rsidRPr="00551E2E">
        <w:rPr>
          <w:rFonts w:ascii="黑体" w:eastAsia="黑体"/>
        </w:rPr>
        <w:t>35.</w:t>
      </w:r>
      <w:r w:rsidRPr="00551E2E">
        <w:rPr>
          <w:rFonts w:ascii="黑体" w:eastAsia="黑体"/>
        </w:rPr>
        <w:tab/>
        <w:t>委员会建议缔约国采取必要的立法措施，将</w:t>
      </w:r>
      <w:r w:rsidRPr="00551E2E">
        <w:rPr>
          <w:rStyle w:val="shorttext"/>
          <w:rFonts w:ascii="黑体" w:eastAsia="黑体" w:hAnsiTheme="majorBidi" w:cstheme="majorBidi"/>
          <w:szCs w:val="21"/>
        </w:rPr>
        <w:t>《公约》第二十五条第一款所述行为明确定为犯罪，</w:t>
      </w:r>
      <w:r w:rsidRPr="00551E2E">
        <w:rPr>
          <w:rFonts w:ascii="黑体" w:eastAsia="黑体"/>
        </w:rPr>
        <w:t>并按照这些行动的严重性规定相称处罚。</w:t>
      </w: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203A4B" w:rsidRPr="00203A4B" w:rsidRDefault="00203A4B" w:rsidP="00203A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03A4B">
        <w:tab/>
        <w:t>D.</w:t>
      </w:r>
      <w:r w:rsidRPr="00203A4B">
        <w:tab/>
        <w:t>传播和后续行动</w:t>
      </w: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spacing w:after="0" w:line="120" w:lineRule="exact"/>
        <w:rPr>
          <w:rFonts w:asciiTheme="majorBidi" w:hAnsiTheme="majorBidi" w:cstheme="majorBidi"/>
          <w:sz w:val="10"/>
          <w:szCs w:val="21"/>
        </w:rPr>
      </w:pP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36.</w:t>
      </w:r>
      <w:r w:rsidRPr="00203A4B">
        <w:rPr>
          <w:rFonts w:asciiTheme="majorBidi" w:hAnsiTheme="majorBidi" w:cstheme="majorBidi"/>
          <w:szCs w:val="21"/>
        </w:rPr>
        <w:tab/>
      </w:r>
      <w:r w:rsidRPr="00203A4B">
        <w:rPr>
          <w:rFonts w:asciiTheme="majorBidi" w:hAnsiTheme="majorBidi" w:cstheme="majorBidi"/>
          <w:szCs w:val="21"/>
        </w:rPr>
        <w:t>委员会希望重申各国在批准《公约》时承担的义务。为此，委员会促请缔约国确保其所采取的所有措施，无论其性质如何，也不论源于何种权威，均完全符合它在批准《公约》和其他有关国际文书时所承担的义务。委员会尤其促请缔约国确保对所有强迫失踪案件进行有效调查，对受害人享有的《公约》权利予以充分满足。</w:t>
      </w: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37.</w:t>
      </w:r>
      <w:r w:rsidRPr="00203A4B">
        <w:rPr>
          <w:rFonts w:asciiTheme="majorBidi" w:hAnsiTheme="majorBidi" w:cstheme="majorBidi"/>
          <w:szCs w:val="21"/>
        </w:rPr>
        <w:tab/>
      </w:r>
      <w:r w:rsidRPr="00203A4B">
        <w:rPr>
          <w:rFonts w:asciiTheme="majorBidi" w:hAnsiTheme="majorBidi" w:cstheme="majorBidi"/>
          <w:szCs w:val="21"/>
        </w:rPr>
        <w:t>委员会还希望强调强迫失踪对妇女和儿童人权的特别残酷的影响。遭受强迫失踪的妇女特别容易遭受性侵犯和其他形式的性暴力伤害。作为失踪者亲属的妇女在社会和经济上特别有可能处于弱势地位，因为努力寻找其亲人的下落而遭受暴力、迫害和报复。因本人遭受强迫失踪或亲属失踪造成的后果而受害的儿童，其人权特别容易受到诸多侵犯，包括改换身份。在这方面，委员会特别强调，缔约国有必要确保在落实《公约》规定的权利和义务时从性别角度看问题，同时考虑到儿童的特点。</w:t>
      </w: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38.</w:t>
      </w:r>
      <w:r w:rsidRPr="00203A4B">
        <w:rPr>
          <w:rFonts w:asciiTheme="majorBidi" w:hAnsiTheme="majorBidi" w:cstheme="majorBidi"/>
          <w:szCs w:val="21"/>
        </w:rPr>
        <w:tab/>
      </w:r>
      <w:r w:rsidRPr="00203A4B">
        <w:rPr>
          <w:rFonts w:asciiTheme="majorBidi" w:hAnsiTheme="majorBidi" w:cstheme="majorBidi"/>
          <w:szCs w:val="21"/>
        </w:rPr>
        <w:t>委员会鼓励缔约国广泛宣传《公约》、其根据《公约》第二十九条第一款提交的报告、对委员会起草的问题单的书面答复和本结论性意见，以提高司法机关、立法机关、行政机关、民间社会和在缔约国运作的非政府组织和公众的认识。委员会还鼓励缔约国促进民间社会，特别是受害人亲属组织参与按照本结论性意见采取的行动。</w:t>
      </w: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39.</w:t>
      </w:r>
      <w:r w:rsidRPr="00203A4B">
        <w:rPr>
          <w:rFonts w:asciiTheme="majorBidi" w:hAnsiTheme="majorBidi" w:cstheme="majorBidi"/>
          <w:szCs w:val="21"/>
        </w:rPr>
        <w:tab/>
      </w:r>
      <w:r w:rsidRPr="00203A4B">
        <w:rPr>
          <w:rFonts w:asciiTheme="majorBidi" w:hAnsiTheme="majorBidi" w:cstheme="majorBidi"/>
          <w:szCs w:val="21"/>
        </w:rPr>
        <w:t>根据委员会议事规则，最迟在</w:t>
      </w:r>
      <w:r w:rsidRPr="00203A4B">
        <w:rPr>
          <w:rFonts w:asciiTheme="majorBidi" w:hAnsiTheme="majorBidi" w:cstheme="majorBidi"/>
          <w:szCs w:val="21"/>
        </w:rPr>
        <w:t>2016</w:t>
      </w:r>
      <w:r w:rsidRPr="00203A4B">
        <w:rPr>
          <w:rFonts w:asciiTheme="majorBidi" w:hAnsiTheme="majorBidi" w:cstheme="majorBidi"/>
          <w:szCs w:val="21"/>
        </w:rPr>
        <w:t>年</w:t>
      </w:r>
      <w:r w:rsidRPr="00203A4B">
        <w:rPr>
          <w:rFonts w:asciiTheme="majorBidi" w:hAnsiTheme="majorBidi" w:cstheme="majorBidi"/>
          <w:szCs w:val="21"/>
        </w:rPr>
        <w:t>9</w:t>
      </w:r>
      <w:r w:rsidRPr="00203A4B">
        <w:rPr>
          <w:rFonts w:asciiTheme="majorBidi" w:hAnsiTheme="majorBidi" w:cstheme="majorBidi"/>
          <w:szCs w:val="21"/>
        </w:rPr>
        <w:t>月</w:t>
      </w:r>
      <w:r w:rsidRPr="00203A4B">
        <w:rPr>
          <w:rFonts w:asciiTheme="majorBidi" w:hAnsiTheme="majorBidi" w:cstheme="majorBidi"/>
          <w:szCs w:val="21"/>
        </w:rPr>
        <w:t>18</w:t>
      </w:r>
      <w:r w:rsidRPr="00203A4B">
        <w:rPr>
          <w:rFonts w:asciiTheme="majorBidi" w:hAnsiTheme="majorBidi" w:cstheme="majorBidi"/>
          <w:szCs w:val="21"/>
        </w:rPr>
        <w:t>日前，缔约国应提供有关资料，说明第</w:t>
      </w:r>
      <w:r w:rsidRPr="00203A4B">
        <w:rPr>
          <w:rFonts w:asciiTheme="majorBidi" w:hAnsiTheme="majorBidi" w:cstheme="majorBidi"/>
          <w:szCs w:val="21"/>
        </w:rPr>
        <w:t>9</w:t>
      </w:r>
      <w:r w:rsidRPr="00203A4B">
        <w:rPr>
          <w:rFonts w:asciiTheme="majorBidi" w:hAnsiTheme="majorBidi" w:cstheme="majorBidi"/>
          <w:szCs w:val="21"/>
        </w:rPr>
        <w:t>、</w:t>
      </w:r>
      <w:r w:rsidRPr="00203A4B">
        <w:rPr>
          <w:rFonts w:asciiTheme="majorBidi" w:hAnsiTheme="majorBidi" w:cstheme="majorBidi"/>
          <w:szCs w:val="21"/>
        </w:rPr>
        <w:t>25</w:t>
      </w:r>
      <w:r w:rsidRPr="00203A4B">
        <w:rPr>
          <w:rFonts w:asciiTheme="majorBidi" w:hAnsiTheme="majorBidi" w:cstheme="majorBidi"/>
          <w:szCs w:val="21"/>
        </w:rPr>
        <w:t>和</w:t>
      </w:r>
      <w:r w:rsidRPr="00203A4B">
        <w:rPr>
          <w:rFonts w:asciiTheme="majorBidi" w:hAnsiTheme="majorBidi" w:cstheme="majorBidi"/>
          <w:szCs w:val="21"/>
        </w:rPr>
        <w:t>29</w:t>
      </w:r>
      <w:r w:rsidRPr="00203A4B">
        <w:rPr>
          <w:rFonts w:asciiTheme="majorBidi" w:hAnsiTheme="majorBidi" w:cstheme="majorBidi"/>
          <w:szCs w:val="21"/>
        </w:rPr>
        <w:t>段所载委员会建议的落实情况。</w:t>
      </w:r>
    </w:p>
    <w:p w:rsidR="00203A4B" w:rsidRPr="00203A4B" w:rsidRDefault="00203A4B" w:rsidP="00203A4B">
      <w:pPr>
        <w:pStyle w:val="SingleTxt"/>
        <w:rPr>
          <w:rFonts w:asciiTheme="majorBidi" w:hAnsiTheme="majorBidi" w:cstheme="majorBidi"/>
          <w:szCs w:val="21"/>
        </w:rPr>
      </w:pPr>
      <w:r w:rsidRPr="00203A4B">
        <w:rPr>
          <w:rFonts w:asciiTheme="majorBidi" w:hAnsiTheme="majorBidi" w:cstheme="majorBidi"/>
          <w:szCs w:val="21"/>
        </w:rPr>
        <w:t>40.</w:t>
      </w:r>
      <w:r w:rsidRPr="00203A4B">
        <w:rPr>
          <w:rFonts w:asciiTheme="majorBidi" w:hAnsiTheme="majorBidi" w:cstheme="majorBidi"/>
          <w:szCs w:val="21"/>
        </w:rPr>
        <w:tab/>
      </w:r>
      <w:r w:rsidRPr="00203A4B">
        <w:rPr>
          <w:rFonts w:asciiTheme="majorBidi" w:hAnsiTheme="majorBidi" w:cstheme="majorBidi"/>
          <w:szCs w:val="21"/>
        </w:rPr>
        <w:t>根据《公约》第二十九条第四款，委员会请缔约国按照《公约》缔约国根据第二十九条提交报告的形式和内容的准则</w:t>
      </w:r>
      <w:r w:rsidRPr="00203A4B">
        <w:rPr>
          <w:rFonts w:asciiTheme="majorBidi" w:hAnsiTheme="majorBidi" w:cstheme="majorBidi"/>
          <w:szCs w:val="21"/>
        </w:rPr>
        <w:t>(CED/C/2)</w:t>
      </w:r>
      <w:r w:rsidRPr="00203A4B">
        <w:rPr>
          <w:rFonts w:asciiTheme="majorBidi" w:hAnsiTheme="majorBidi" w:cstheme="majorBidi"/>
          <w:szCs w:val="21"/>
        </w:rPr>
        <w:t>第</w:t>
      </w:r>
      <w:r w:rsidRPr="00203A4B">
        <w:rPr>
          <w:rFonts w:asciiTheme="majorBidi" w:hAnsiTheme="majorBidi" w:cstheme="majorBidi"/>
          <w:szCs w:val="21"/>
        </w:rPr>
        <w:t>39</w:t>
      </w:r>
      <w:r w:rsidRPr="00203A4B">
        <w:rPr>
          <w:rFonts w:asciiTheme="majorBidi" w:hAnsiTheme="majorBidi" w:cstheme="majorBidi"/>
          <w:szCs w:val="21"/>
        </w:rPr>
        <w:t>段的规定，不迟于</w:t>
      </w:r>
      <w:r w:rsidRPr="00203A4B">
        <w:rPr>
          <w:rFonts w:asciiTheme="majorBidi" w:hAnsiTheme="majorBidi" w:cstheme="majorBidi"/>
          <w:szCs w:val="21"/>
        </w:rPr>
        <w:t>2021</w:t>
      </w:r>
      <w:r w:rsidRPr="00203A4B">
        <w:rPr>
          <w:rFonts w:asciiTheme="majorBidi" w:hAnsiTheme="majorBidi" w:cstheme="majorBidi"/>
          <w:szCs w:val="21"/>
        </w:rPr>
        <w:t>年</w:t>
      </w:r>
      <w:r w:rsidRPr="00203A4B">
        <w:rPr>
          <w:rFonts w:asciiTheme="majorBidi" w:hAnsiTheme="majorBidi" w:cstheme="majorBidi"/>
          <w:szCs w:val="21"/>
        </w:rPr>
        <w:t>9</w:t>
      </w:r>
      <w:r w:rsidRPr="00203A4B">
        <w:rPr>
          <w:rFonts w:asciiTheme="majorBidi" w:hAnsiTheme="majorBidi" w:cstheme="majorBidi"/>
          <w:szCs w:val="21"/>
        </w:rPr>
        <w:t>月</w:t>
      </w:r>
      <w:r w:rsidRPr="00203A4B">
        <w:rPr>
          <w:rFonts w:asciiTheme="majorBidi" w:hAnsiTheme="majorBidi" w:cstheme="majorBidi"/>
          <w:szCs w:val="21"/>
        </w:rPr>
        <w:t>18</w:t>
      </w:r>
      <w:r w:rsidRPr="00203A4B">
        <w:rPr>
          <w:rFonts w:asciiTheme="majorBidi" w:hAnsiTheme="majorBidi" w:cstheme="majorBidi"/>
          <w:szCs w:val="21"/>
        </w:rPr>
        <w:t>日以一份文件的形式提交关于委员会所有建议落实情况的最新具体资料，以及履行《公约》所载义务的任何其他新情况。委员会鼓励缔约国促进和方便民间社会特别是受害人亲属组织参与编写这一资料。</w:t>
      </w:r>
    </w:p>
    <w:p w:rsidR="00B31E9D" w:rsidRPr="00203A4B" w:rsidRDefault="00203A4B" w:rsidP="00203A4B">
      <w:pPr>
        <w:pStyle w:val="SingleTxt"/>
        <w:spacing w:after="0" w:line="240" w:lineRule="auto"/>
        <w:rPr>
          <w:rStyle w:val="a4"/>
          <w:color w:val="auto"/>
          <w:w w:val="100"/>
          <w:sz w:val="20"/>
          <w:vertAlign w:val="baseline"/>
          <w:lang w:val="en-GB"/>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203A4B" w:rsidSect="00937FB8">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3T16:03:00Z" w:initials="Start">
    <w:p w:rsidR="00937FB8" w:rsidRDefault="00937FB8">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NO&gt;&gt;N1523803C&lt;&lt;ODS JOB NO&gt;&gt;</w:t>
      </w:r>
    </w:p>
    <w:p w:rsidR="00937FB8" w:rsidRDefault="00937FB8">
      <w:pPr>
        <w:pStyle w:val="a7"/>
      </w:pPr>
      <w:r>
        <w:t>&lt;&lt;ODS DOC SYMBOL1&gt;&gt;CED/C/MNE/CO/1&lt;&lt;ODS DOC SYMBOL1&gt;&gt;</w:t>
      </w:r>
    </w:p>
    <w:p w:rsidR="00937FB8" w:rsidRDefault="00937FB8">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4E2" w:rsidRDefault="005464E2">
      <w:r>
        <w:separator/>
      </w:r>
    </w:p>
  </w:endnote>
  <w:endnote w:type="continuationSeparator" w:id="0">
    <w:p w:rsidR="005464E2" w:rsidRDefault="00546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37FB8" w:rsidTr="00937FB8">
      <w:tblPrEx>
        <w:tblCellMar>
          <w:top w:w="0" w:type="dxa"/>
          <w:bottom w:w="0" w:type="dxa"/>
        </w:tblCellMar>
      </w:tblPrEx>
      <w:trPr>
        <w:jc w:val="center"/>
      </w:trPr>
      <w:tc>
        <w:tcPr>
          <w:tcW w:w="5126" w:type="dxa"/>
          <w:shd w:val="clear" w:color="auto" w:fill="auto"/>
        </w:tcPr>
        <w:p w:rsidR="00937FB8" w:rsidRPr="00937FB8" w:rsidRDefault="00937FB8" w:rsidP="00937FB8">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25D6">
            <w:rPr>
              <w:b w:val="0"/>
              <w:w w:val="103"/>
              <w:sz w:val="14"/>
            </w:rPr>
            <w:t>GE.15-17367 (C)</w:t>
          </w:r>
          <w:r>
            <w:rPr>
              <w:b w:val="0"/>
              <w:w w:val="103"/>
              <w:sz w:val="14"/>
            </w:rPr>
            <w:fldChar w:fldCharType="end"/>
          </w:r>
        </w:p>
      </w:tc>
      <w:tc>
        <w:tcPr>
          <w:tcW w:w="5127" w:type="dxa"/>
          <w:shd w:val="clear" w:color="auto" w:fill="auto"/>
        </w:tcPr>
        <w:p w:rsidR="00937FB8" w:rsidRPr="00937FB8" w:rsidRDefault="00937FB8" w:rsidP="00937FB8">
          <w:pPr>
            <w:pStyle w:val="ac"/>
            <w:jc w:val="left"/>
            <w:rPr>
              <w:w w:val="103"/>
            </w:rPr>
          </w:pPr>
          <w:r>
            <w:rPr>
              <w:w w:val="103"/>
            </w:rPr>
            <w:fldChar w:fldCharType="begin"/>
          </w:r>
          <w:r>
            <w:rPr>
              <w:w w:val="103"/>
            </w:rPr>
            <w:instrText xml:space="preserve"> PAGE  \* Arabic  \* MERGEFORMAT </w:instrText>
          </w:r>
          <w:r>
            <w:rPr>
              <w:w w:val="103"/>
            </w:rPr>
            <w:fldChar w:fldCharType="separate"/>
          </w:r>
          <w:r w:rsidR="007725D6">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725D6">
            <w:rPr>
              <w:w w:val="103"/>
            </w:rPr>
            <w:t>7</w:t>
          </w:r>
          <w:r>
            <w:rPr>
              <w:w w:val="103"/>
            </w:rPr>
            <w:fldChar w:fldCharType="end"/>
          </w:r>
        </w:p>
      </w:tc>
    </w:tr>
  </w:tbl>
  <w:p w:rsidR="00937FB8" w:rsidRPr="00937FB8" w:rsidRDefault="00937FB8" w:rsidP="00937FB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37FB8" w:rsidTr="00937FB8">
      <w:tblPrEx>
        <w:tblCellMar>
          <w:top w:w="0" w:type="dxa"/>
          <w:bottom w:w="0" w:type="dxa"/>
        </w:tblCellMar>
      </w:tblPrEx>
      <w:trPr>
        <w:jc w:val="center"/>
      </w:trPr>
      <w:tc>
        <w:tcPr>
          <w:tcW w:w="5126" w:type="dxa"/>
          <w:shd w:val="clear" w:color="auto" w:fill="auto"/>
        </w:tcPr>
        <w:p w:rsidR="00937FB8" w:rsidRPr="00937FB8" w:rsidRDefault="00937FB8" w:rsidP="00937FB8">
          <w:pPr>
            <w:pStyle w:val="ac"/>
            <w:jc w:val="right"/>
          </w:pPr>
          <w:r>
            <w:fldChar w:fldCharType="begin"/>
          </w:r>
          <w:r>
            <w:instrText xml:space="preserve"> PAGE  \* Arabic  \* MERGEFORMAT </w:instrText>
          </w:r>
          <w:r>
            <w:fldChar w:fldCharType="separate"/>
          </w:r>
          <w:r w:rsidR="007725D6">
            <w:t>7</w:t>
          </w:r>
          <w:r>
            <w:fldChar w:fldCharType="end"/>
          </w:r>
          <w:r>
            <w:t>/</w:t>
          </w:r>
          <w:fldSimple w:instr=" NUMPAGES  \* Arabic  \* MERGEFORMAT ">
            <w:r w:rsidR="007725D6">
              <w:t>7</w:t>
            </w:r>
          </w:fldSimple>
        </w:p>
      </w:tc>
      <w:tc>
        <w:tcPr>
          <w:tcW w:w="5127" w:type="dxa"/>
          <w:shd w:val="clear" w:color="auto" w:fill="auto"/>
        </w:tcPr>
        <w:p w:rsidR="00937FB8" w:rsidRPr="00937FB8" w:rsidRDefault="00937FB8" w:rsidP="00937FB8">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25D6">
            <w:rPr>
              <w:b w:val="0"/>
              <w:w w:val="103"/>
              <w:sz w:val="14"/>
            </w:rPr>
            <w:t>GE.15-17367 (C)</w:t>
          </w:r>
          <w:r>
            <w:rPr>
              <w:b w:val="0"/>
              <w:w w:val="103"/>
              <w:sz w:val="14"/>
            </w:rPr>
            <w:fldChar w:fldCharType="end"/>
          </w:r>
        </w:p>
      </w:tc>
    </w:tr>
  </w:tbl>
  <w:p w:rsidR="00937FB8" w:rsidRPr="00937FB8" w:rsidRDefault="00937FB8" w:rsidP="00937FB8">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937FB8" w:rsidTr="00937FB8">
      <w:tblPrEx>
        <w:tblCellMar>
          <w:top w:w="0" w:type="dxa"/>
          <w:bottom w:w="0" w:type="dxa"/>
        </w:tblCellMar>
      </w:tblPrEx>
      <w:tc>
        <w:tcPr>
          <w:tcW w:w="3873" w:type="dxa"/>
        </w:tcPr>
        <w:p w:rsidR="00937FB8" w:rsidRDefault="00937FB8" w:rsidP="00937FB8">
          <w:pPr>
            <w:pStyle w:val="Release"/>
          </w:pPr>
          <w:r>
            <w:rPr>
              <w:noProof/>
            </w:rPr>
            <w:drawing>
              <wp:anchor distT="0" distB="0" distL="114300" distR="114300" simplePos="0" relativeHeight="251658240" behindDoc="0" locked="0" layoutInCell="1" allowOverlap="1" wp14:anchorId="15FEE63B" wp14:editId="6ED3160F">
                <wp:simplePos x="0" y="0"/>
                <wp:positionH relativeFrom="column">
                  <wp:posOffset>5692889</wp:posOffset>
                </wp:positionH>
                <wp:positionV relativeFrom="paragraph">
                  <wp:posOffset>-364895</wp:posOffset>
                </wp:positionV>
                <wp:extent cx="694690" cy="694690"/>
                <wp:effectExtent l="0" t="0" r="0" b="0"/>
                <wp:wrapNone/>
                <wp:docPr id="3" name="图片 3" descr="http://undocs.org/m2/QRCode2.ashx?DS=CED/C/MNE/CO/1&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MNE/CO/1&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7725D6">
              <w:t>GE.15-17367 (C)</w:t>
            </w:r>
          </w:fldSimple>
          <w:r>
            <w:t xml:space="preserve">    130116    130116</w:t>
          </w:r>
        </w:p>
        <w:p w:rsidR="00937FB8" w:rsidRPr="00937FB8" w:rsidRDefault="00937FB8" w:rsidP="00937FB8">
          <w:pPr>
            <w:spacing w:before="80" w:line="210" w:lineRule="exact"/>
            <w:rPr>
              <w:rFonts w:ascii="Barcode 3 of 9 by request" w:hAnsi="Barcode 3 of 9 by request"/>
              <w:sz w:val="24"/>
            </w:rPr>
          </w:pPr>
          <w:r>
            <w:rPr>
              <w:rFonts w:ascii="Barcode 3 of 9 by request" w:hAnsi="Barcode 3 of 9 by request"/>
              <w:sz w:val="24"/>
            </w:rPr>
            <w:t>*1517367*</w:t>
          </w:r>
        </w:p>
      </w:tc>
      <w:tc>
        <w:tcPr>
          <w:tcW w:w="5127" w:type="dxa"/>
        </w:tcPr>
        <w:p w:rsidR="00937FB8" w:rsidRDefault="00937FB8" w:rsidP="00937FB8">
          <w:pPr>
            <w:pStyle w:val="ac"/>
            <w:jc w:val="right"/>
            <w:rPr>
              <w:b w:val="0"/>
              <w:sz w:val="21"/>
            </w:rPr>
          </w:pPr>
          <w:r>
            <w:rPr>
              <w:b w:val="0"/>
              <w:sz w:val="21"/>
            </w:rPr>
            <w:drawing>
              <wp:inline distT="0" distB="0" distL="0" distR="0" wp14:anchorId="3302393B" wp14:editId="775A68F8">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937FB8" w:rsidRPr="00937FB8" w:rsidRDefault="00937FB8" w:rsidP="00937FB8">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4E2" w:rsidRPr="00203A4B" w:rsidRDefault="00203A4B" w:rsidP="00203A4B">
      <w:pPr>
        <w:pStyle w:val="ac"/>
        <w:spacing w:after="80"/>
        <w:ind w:left="792"/>
        <w:rPr>
          <w:sz w:val="16"/>
        </w:rPr>
      </w:pPr>
      <w:r w:rsidRPr="00203A4B">
        <w:rPr>
          <w:sz w:val="16"/>
        </w:rPr>
        <w:t>__________________</w:t>
      </w:r>
    </w:p>
  </w:footnote>
  <w:footnote w:type="continuationSeparator" w:id="0">
    <w:p w:rsidR="005464E2" w:rsidRPr="00203A4B" w:rsidRDefault="00203A4B" w:rsidP="00203A4B">
      <w:pPr>
        <w:pStyle w:val="ac"/>
        <w:spacing w:after="80"/>
        <w:ind w:left="792"/>
        <w:rPr>
          <w:sz w:val="16"/>
        </w:rPr>
      </w:pPr>
      <w:r w:rsidRPr="00203A4B">
        <w:rPr>
          <w:sz w:val="16"/>
        </w:rPr>
        <w:t>__________________</w:t>
      </w:r>
    </w:p>
  </w:footnote>
  <w:footnote w:id="1">
    <w:p w:rsidR="00203A4B" w:rsidRPr="00746091" w:rsidRDefault="00203A4B" w:rsidP="00203A4B">
      <w:pPr>
        <w:pStyle w:val="a5"/>
        <w:tabs>
          <w:tab w:val="clear" w:pos="418"/>
          <w:tab w:val="right" w:pos="1195"/>
          <w:tab w:val="left" w:pos="1264"/>
          <w:tab w:val="left" w:pos="1695"/>
          <w:tab w:val="left" w:pos="2126"/>
          <w:tab w:val="left" w:pos="2557"/>
        </w:tabs>
        <w:ind w:left="1264" w:right="1264" w:hanging="432"/>
      </w:pPr>
      <w:r w:rsidRPr="00746091">
        <w:rPr>
          <w:rStyle w:val="a3"/>
        </w:rPr>
        <w:tab/>
      </w:r>
      <w:r w:rsidRPr="001E6E54">
        <w:rPr>
          <w:rStyle w:val="a3"/>
          <w:sz w:val="20"/>
        </w:rPr>
        <w:t>*</w:t>
      </w:r>
      <w:r w:rsidRPr="001E6E54">
        <w:rPr>
          <w:rStyle w:val="a3"/>
          <w:sz w:val="20"/>
        </w:rPr>
        <w:tab/>
      </w:r>
      <w:r>
        <w:rPr>
          <w:rFonts w:hint="eastAsia"/>
        </w:rPr>
        <w:t>委员会</w:t>
      </w:r>
      <w:r w:rsidRPr="00FA452F">
        <w:rPr>
          <w:rFonts w:hint="eastAsia"/>
        </w:rPr>
        <w:t>第九届会议</w:t>
      </w:r>
      <w:r>
        <w:rPr>
          <w:rFonts w:hint="eastAsia"/>
        </w:rPr>
        <w:t>(2015</w:t>
      </w:r>
      <w:r w:rsidRPr="00FA452F">
        <w:rPr>
          <w:rFonts w:hint="eastAsia"/>
        </w:rPr>
        <w:t>年</w:t>
      </w:r>
      <w:r>
        <w:rPr>
          <w:rFonts w:hint="eastAsia"/>
        </w:rPr>
        <w:t>9</w:t>
      </w:r>
      <w:r w:rsidRPr="00FA452F">
        <w:rPr>
          <w:rFonts w:hint="eastAsia"/>
        </w:rPr>
        <w:t>月</w:t>
      </w:r>
      <w:r>
        <w:rPr>
          <w:rFonts w:hint="eastAsia"/>
        </w:rPr>
        <w:t>7</w:t>
      </w:r>
      <w:r w:rsidRPr="00FA452F">
        <w:rPr>
          <w:rFonts w:hint="eastAsia"/>
        </w:rPr>
        <w:t>日至</w:t>
      </w:r>
      <w:r>
        <w:rPr>
          <w:rFonts w:hint="eastAsia"/>
        </w:rPr>
        <w:t>18</w:t>
      </w:r>
      <w:r w:rsidRPr="00FA452F">
        <w:rPr>
          <w:rFonts w:hint="eastAsia"/>
        </w:rPr>
        <w:t>日</w:t>
      </w:r>
      <w:r w:rsidRPr="00FA452F">
        <w:rPr>
          <w:rFonts w:hint="eastAsia"/>
        </w:rPr>
        <w:t>)</w:t>
      </w:r>
      <w:r>
        <w:rPr>
          <w:rFonts w:hint="eastAsia"/>
        </w:rPr>
        <w:t>通过。</w:t>
      </w:r>
    </w:p>
  </w:footnote>
  <w:footnote w:id="2">
    <w:p w:rsidR="00203A4B" w:rsidRPr="00746091" w:rsidRDefault="00203A4B" w:rsidP="00203A4B">
      <w:pPr>
        <w:pStyle w:val="a5"/>
        <w:tabs>
          <w:tab w:val="clear" w:pos="418"/>
          <w:tab w:val="right" w:pos="1195"/>
          <w:tab w:val="left" w:pos="1264"/>
          <w:tab w:val="left" w:pos="1695"/>
          <w:tab w:val="left" w:pos="2126"/>
          <w:tab w:val="left" w:pos="2557"/>
        </w:tabs>
        <w:ind w:left="1264" w:right="1264" w:hanging="432"/>
      </w:pPr>
      <w:r>
        <w:tab/>
      </w:r>
      <w:r w:rsidRPr="00FF6585">
        <w:rPr>
          <w:rStyle w:val="a3"/>
        </w:rPr>
        <w:footnoteRef/>
      </w:r>
      <w:r w:rsidRPr="00FF6585">
        <w:tab/>
      </w:r>
      <w:r>
        <w:rPr>
          <w:rFonts w:hint="eastAsia"/>
        </w:rPr>
        <w:t>本文件凡提及科索沃的内容，均应完全按照安全理事会第</w:t>
      </w:r>
      <w:r>
        <w:rPr>
          <w:rFonts w:hint="eastAsia"/>
        </w:rPr>
        <w:t>1244</w:t>
      </w:r>
      <w:r>
        <w:rPr>
          <w:rFonts w:hint="eastAsia"/>
        </w:rPr>
        <w:t>号决议</w:t>
      </w:r>
      <w:r>
        <w:rPr>
          <w:rFonts w:hint="eastAsia"/>
        </w:rPr>
        <w:t>(1999</w:t>
      </w:r>
      <w:r>
        <w:rPr>
          <w:rFonts w:hint="eastAsia"/>
        </w:rPr>
        <w:t>年</w:t>
      </w:r>
      <w:r>
        <w:rPr>
          <w:rFonts w:hint="eastAsia"/>
        </w:rPr>
        <w:t>)</w:t>
      </w:r>
      <w:r>
        <w:rPr>
          <w:rFonts w:hint="eastAsia"/>
        </w:rPr>
        <w:t>理解。</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37FB8" w:rsidTr="00937FB8">
      <w:tblPrEx>
        <w:tblCellMar>
          <w:top w:w="0" w:type="dxa"/>
          <w:bottom w:w="0" w:type="dxa"/>
        </w:tblCellMar>
      </w:tblPrEx>
      <w:trPr>
        <w:trHeight w:hRule="exact" w:val="864"/>
        <w:jc w:val="center"/>
      </w:trPr>
      <w:tc>
        <w:tcPr>
          <w:tcW w:w="4882" w:type="dxa"/>
          <w:shd w:val="clear" w:color="auto" w:fill="auto"/>
          <w:vAlign w:val="bottom"/>
        </w:tcPr>
        <w:p w:rsidR="00937FB8" w:rsidRPr="00937FB8" w:rsidRDefault="00937FB8" w:rsidP="00937FB8">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725D6">
            <w:rPr>
              <w:b/>
              <w:sz w:val="17"/>
            </w:rPr>
            <w:t>CED/C/MNE/CO/1</w:t>
          </w:r>
          <w:r>
            <w:rPr>
              <w:b/>
              <w:sz w:val="17"/>
            </w:rPr>
            <w:fldChar w:fldCharType="end"/>
          </w:r>
        </w:p>
      </w:tc>
      <w:tc>
        <w:tcPr>
          <w:tcW w:w="5127" w:type="dxa"/>
          <w:shd w:val="clear" w:color="auto" w:fill="auto"/>
          <w:vAlign w:val="bottom"/>
        </w:tcPr>
        <w:p w:rsidR="00937FB8" w:rsidRDefault="00937FB8" w:rsidP="00937FB8">
          <w:pPr>
            <w:pStyle w:val="ab"/>
          </w:pPr>
        </w:p>
      </w:tc>
    </w:tr>
  </w:tbl>
  <w:p w:rsidR="00937FB8" w:rsidRPr="00937FB8" w:rsidRDefault="00937FB8" w:rsidP="00937FB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37FB8" w:rsidTr="00937FB8">
      <w:tblPrEx>
        <w:tblCellMar>
          <w:top w:w="0" w:type="dxa"/>
          <w:bottom w:w="0" w:type="dxa"/>
        </w:tblCellMar>
      </w:tblPrEx>
      <w:trPr>
        <w:trHeight w:hRule="exact" w:val="864"/>
        <w:jc w:val="center"/>
      </w:trPr>
      <w:tc>
        <w:tcPr>
          <w:tcW w:w="4882" w:type="dxa"/>
          <w:shd w:val="clear" w:color="auto" w:fill="auto"/>
          <w:vAlign w:val="bottom"/>
        </w:tcPr>
        <w:p w:rsidR="00937FB8" w:rsidRDefault="00937FB8" w:rsidP="00937FB8">
          <w:pPr>
            <w:pStyle w:val="ab"/>
          </w:pPr>
        </w:p>
      </w:tc>
      <w:tc>
        <w:tcPr>
          <w:tcW w:w="5127" w:type="dxa"/>
          <w:shd w:val="clear" w:color="auto" w:fill="auto"/>
          <w:vAlign w:val="bottom"/>
        </w:tcPr>
        <w:p w:rsidR="00937FB8" w:rsidRPr="00937FB8" w:rsidRDefault="00937FB8" w:rsidP="00937FB8">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725D6">
            <w:rPr>
              <w:b/>
              <w:sz w:val="17"/>
            </w:rPr>
            <w:t>CED/C/MNE/CO/1</w:t>
          </w:r>
          <w:r>
            <w:rPr>
              <w:b/>
              <w:sz w:val="17"/>
            </w:rPr>
            <w:fldChar w:fldCharType="end"/>
          </w:r>
        </w:p>
      </w:tc>
    </w:tr>
  </w:tbl>
  <w:p w:rsidR="00937FB8" w:rsidRPr="00937FB8" w:rsidRDefault="00937FB8" w:rsidP="00937FB8">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37FB8" w:rsidTr="00937FB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37FB8" w:rsidRDefault="00937FB8" w:rsidP="00937FB8">
          <w:pPr>
            <w:pStyle w:val="ab"/>
            <w:spacing w:after="120"/>
          </w:pPr>
        </w:p>
      </w:tc>
      <w:tc>
        <w:tcPr>
          <w:tcW w:w="1872" w:type="dxa"/>
          <w:tcBorders>
            <w:bottom w:val="single" w:sz="4" w:space="0" w:color="auto"/>
          </w:tcBorders>
          <w:shd w:val="clear" w:color="auto" w:fill="auto"/>
          <w:vAlign w:val="bottom"/>
        </w:tcPr>
        <w:p w:rsidR="00937FB8" w:rsidRPr="00937FB8" w:rsidRDefault="00937FB8" w:rsidP="00937FB8">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937FB8" w:rsidRDefault="00937FB8" w:rsidP="00937FB8">
          <w:pPr>
            <w:pStyle w:val="ab"/>
            <w:spacing w:after="120"/>
          </w:pPr>
        </w:p>
      </w:tc>
      <w:tc>
        <w:tcPr>
          <w:tcW w:w="6653" w:type="dxa"/>
          <w:gridSpan w:val="4"/>
          <w:tcBorders>
            <w:bottom w:val="single" w:sz="4" w:space="0" w:color="auto"/>
          </w:tcBorders>
          <w:shd w:val="clear" w:color="auto" w:fill="auto"/>
          <w:vAlign w:val="bottom"/>
        </w:tcPr>
        <w:p w:rsidR="00937FB8" w:rsidRPr="00937FB8" w:rsidRDefault="00937FB8" w:rsidP="00937FB8">
          <w:pPr>
            <w:spacing w:after="80" w:line="240" w:lineRule="auto"/>
            <w:jc w:val="right"/>
            <w:rPr>
              <w:position w:val="-4"/>
            </w:rPr>
          </w:pPr>
          <w:r>
            <w:rPr>
              <w:position w:val="-4"/>
              <w:sz w:val="40"/>
            </w:rPr>
            <w:t>CED</w:t>
          </w:r>
          <w:r>
            <w:rPr>
              <w:position w:val="-4"/>
            </w:rPr>
            <w:t>/C/MNE/CO/1</w:t>
          </w:r>
        </w:p>
      </w:tc>
    </w:tr>
    <w:tr w:rsidR="00937FB8" w:rsidRPr="00937FB8" w:rsidTr="00937FB8">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937FB8" w:rsidRPr="00937FB8" w:rsidRDefault="00937FB8" w:rsidP="00937FB8">
          <w:pPr>
            <w:pStyle w:val="ab"/>
            <w:spacing w:before="109"/>
            <w:ind w:left="-72"/>
          </w:pPr>
          <w:r>
            <w:t xml:space="preserve"> </w:t>
          </w:r>
          <w:r>
            <w:drawing>
              <wp:inline distT="0" distB="0" distL="0" distR="0" wp14:anchorId="0D06DA94" wp14:editId="5AFC240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37FB8" w:rsidRPr="00937FB8" w:rsidRDefault="00937FB8" w:rsidP="00937FB8">
          <w:pPr>
            <w:pStyle w:val="XLarge"/>
            <w:spacing w:before="109" w:after="140" w:line="440" w:lineRule="exact"/>
            <w:rPr>
              <w:sz w:val="38"/>
            </w:rPr>
          </w:pPr>
          <w:r>
            <w:rPr>
              <w:rFonts w:hint="eastAsia"/>
              <w:sz w:val="38"/>
            </w:rPr>
            <w:t>保护所有人免遭强迫失踪</w:t>
          </w:r>
          <w:r>
            <w:rPr>
              <w:rFonts w:hint="eastAsia"/>
              <w:sz w:val="38"/>
            </w:rPr>
            <w:br/>
            <w:t>国际公约</w:t>
          </w:r>
        </w:p>
      </w:tc>
      <w:tc>
        <w:tcPr>
          <w:tcW w:w="245" w:type="dxa"/>
          <w:tcBorders>
            <w:top w:val="single" w:sz="4" w:space="0" w:color="auto"/>
            <w:bottom w:val="single" w:sz="12" w:space="0" w:color="auto"/>
          </w:tcBorders>
          <w:shd w:val="clear" w:color="auto" w:fill="auto"/>
        </w:tcPr>
        <w:p w:rsidR="00937FB8" w:rsidRPr="00937FB8" w:rsidRDefault="00937FB8" w:rsidP="00937FB8">
          <w:pPr>
            <w:pStyle w:val="ab"/>
            <w:spacing w:before="109"/>
          </w:pPr>
        </w:p>
      </w:tc>
      <w:tc>
        <w:tcPr>
          <w:tcW w:w="3280" w:type="dxa"/>
          <w:tcBorders>
            <w:top w:val="single" w:sz="4" w:space="0" w:color="auto"/>
            <w:bottom w:val="single" w:sz="12" w:space="0" w:color="auto"/>
          </w:tcBorders>
          <w:shd w:val="clear" w:color="auto" w:fill="auto"/>
        </w:tcPr>
        <w:p w:rsidR="00937FB8" w:rsidRDefault="00937FB8" w:rsidP="00937FB8">
          <w:pPr>
            <w:pStyle w:val="Distr"/>
          </w:pPr>
          <w:r>
            <w:t>Distr.: General</w:t>
          </w:r>
        </w:p>
        <w:p w:rsidR="00937FB8" w:rsidRDefault="00937FB8" w:rsidP="00937FB8">
          <w:pPr>
            <w:pStyle w:val="Publication"/>
          </w:pPr>
          <w:r>
            <w:t>16 October 2015</w:t>
          </w:r>
        </w:p>
        <w:p w:rsidR="00937FB8" w:rsidRDefault="00937FB8" w:rsidP="00937FB8">
          <w:pPr>
            <w:spacing w:line="240" w:lineRule="exact"/>
          </w:pPr>
          <w:r>
            <w:t>Chinese</w:t>
          </w:r>
        </w:p>
        <w:p w:rsidR="00937FB8" w:rsidRDefault="00937FB8" w:rsidP="00937FB8">
          <w:pPr>
            <w:pStyle w:val="Original"/>
          </w:pPr>
          <w:r>
            <w:t>Original: English</w:t>
          </w:r>
        </w:p>
        <w:p w:rsidR="00937FB8" w:rsidRPr="00937FB8" w:rsidRDefault="00937FB8" w:rsidP="00937FB8"/>
      </w:tc>
    </w:tr>
  </w:tbl>
  <w:p w:rsidR="00937FB8" w:rsidRPr="00937FB8" w:rsidRDefault="00937FB8" w:rsidP="00937FB8">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367*"/>
    <w:docVar w:name="CreationDt" w:val="13/01/2016 16:03:19"/>
    <w:docVar w:name="DocCategory" w:val="Doc"/>
    <w:docVar w:name="DocType" w:val="Final"/>
    <w:docVar w:name="DutyStation" w:val="Geneva"/>
    <w:docVar w:name="FooterJN" w:val="GE.15-17367 (C)"/>
    <w:docVar w:name="jobn" w:val="GE.15-17367 (C)"/>
    <w:docVar w:name="jobnDT" w:val="15-17367 (C)   130116"/>
    <w:docVar w:name="jobnDTDT" w:val="15-17367 (C)   130116   130116"/>
    <w:docVar w:name="JobNo" w:val="GE.1517367C"/>
    <w:docVar w:name="LocalDrive" w:val="0"/>
    <w:docVar w:name="OandT" w:val="kong"/>
    <w:docVar w:name="PaperSize" w:val="A4"/>
    <w:docVar w:name="sss1" w:val="CED/C/MNE/CO/1"/>
    <w:docVar w:name="sss2" w:val="-"/>
    <w:docVar w:name="Symbol1" w:val="CED/C/MNE/CO/1"/>
    <w:docVar w:name="Symbol2" w:val="-"/>
  </w:docVars>
  <w:rsids>
    <w:rsidRoot w:val="005464E2"/>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E4FFB"/>
    <w:rsid w:val="000F1058"/>
    <w:rsid w:val="000F55DC"/>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3B03"/>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3A4B"/>
    <w:rsid w:val="002046D7"/>
    <w:rsid w:val="00207135"/>
    <w:rsid w:val="00212008"/>
    <w:rsid w:val="002145EA"/>
    <w:rsid w:val="002200D0"/>
    <w:rsid w:val="00221884"/>
    <w:rsid w:val="002253E5"/>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25EA"/>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4E2"/>
    <w:rsid w:val="00546CC5"/>
    <w:rsid w:val="00547EC6"/>
    <w:rsid w:val="00551E2E"/>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6B55"/>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25D6"/>
    <w:rsid w:val="00774DE5"/>
    <w:rsid w:val="00776537"/>
    <w:rsid w:val="00780C90"/>
    <w:rsid w:val="00782137"/>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722B1"/>
    <w:rsid w:val="00872730"/>
    <w:rsid w:val="00883DB0"/>
    <w:rsid w:val="008843BC"/>
    <w:rsid w:val="00884C8F"/>
    <w:rsid w:val="0088738A"/>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22E0"/>
    <w:rsid w:val="00913351"/>
    <w:rsid w:val="00923D95"/>
    <w:rsid w:val="009248ED"/>
    <w:rsid w:val="009264B1"/>
    <w:rsid w:val="00937FB8"/>
    <w:rsid w:val="00946C87"/>
    <w:rsid w:val="00957134"/>
    <w:rsid w:val="0096193C"/>
    <w:rsid w:val="009769E1"/>
    <w:rsid w:val="00977E0D"/>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89B"/>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57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
    <w:name w:val="_ H _Ch_G"/>
    <w:basedOn w:val="a"/>
    <w:next w:val="a"/>
    <w:rsid w:val="00203A4B"/>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ingleTxtG">
    <w:name w:val="_ Single Txt_G"/>
    <w:basedOn w:val="a"/>
    <w:rsid w:val="00203A4B"/>
    <w:pPr>
      <w:suppressAutoHyphens/>
      <w:spacing w:after="120" w:line="240" w:lineRule="atLeast"/>
      <w:ind w:left="1134" w:right="1134"/>
    </w:pPr>
    <w:rPr>
      <w:rFonts w:eastAsiaTheme="minorEastAsia"/>
      <w:kern w:val="0"/>
      <w:sz w:val="20"/>
      <w:lang w:val="en-GB" w:eastAsia="en-US"/>
    </w:rPr>
  </w:style>
  <w:style w:type="character" w:customStyle="1" w:styleId="Char">
    <w:name w:val="脚注文本 Char"/>
    <w:aliases w:val="5_G Char"/>
    <w:basedOn w:val="a0"/>
    <w:link w:val="a5"/>
    <w:rsid w:val="00203A4B"/>
    <w:rPr>
      <w:rFonts w:eastAsia="宋体"/>
      <w:noProof/>
      <w:kern w:val="14"/>
      <w:sz w:val="18"/>
      <w:lang w:val="en-US"/>
    </w:rPr>
  </w:style>
  <w:style w:type="paragraph" w:customStyle="1" w:styleId="H1G">
    <w:name w:val="_ H_1_G"/>
    <w:basedOn w:val="a"/>
    <w:next w:val="a"/>
    <w:rsid w:val="00203A4B"/>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203A4B"/>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horttext">
    <w:name w:val="short_text"/>
    <w:rsid w:val="00203A4B"/>
  </w:style>
  <w:style w:type="character" w:customStyle="1" w:styleId="hps">
    <w:name w:val="hps"/>
    <w:rsid w:val="00203A4B"/>
  </w:style>
  <w:style w:type="character" w:customStyle="1" w:styleId="atn">
    <w:name w:val="atn"/>
    <w:rsid w:val="00203A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
    <w:name w:val="_ H _Ch_G"/>
    <w:basedOn w:val="a"/>
    <w:next w:val="a"/>
    <w:rsid w:val="00203A4B"/>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ingleTxtG">
    <w:name w:val="_ Single Txt_G"/>
    <w:basedOn w:val="a"/>
    <w:rsid w:val="00203A4B"/>
    <w:pPr>
      <w:suppressAutoHyphens/>
      <w:spacing w:after="120" w:line="240" w:lineRule="atLeast"/>
      <w:ind w:left="1134" w:right="1134"/>
    </w:pPr>
    <w:rPr>
      <w:rFonts w:eastAsiaTheme="minorEastAsia"/>
      <w:kern w:val="0"/>
      <w:sz w:val="20"/>
      <w:lang w:val="en-GB" w:eastAsia="en-US"/>
    </w:rPr>
  </w:style>
  <w:style w:type="character" w:customStyle="1" w:styleId="Char">
    <w:name w:val="脚注文本 Char"/>
    <w:aliases w:val="5_G Char"/>
    <w:basedOn w:val="a0"/>
    <w:link w:val="a5"/>
    <w:rsid w:val="00203A4B"/>
    <w:rPr>
      <w:rFonts w:eastAsia="宋体"/>
      <w:noProof/>
      <w:kern w:val="14"/>
      <w:sz w:val="18"/>
      <w:lang w:val="en-US"/>
    </w:rPr>
  </w:style>
  <w:style w:type="paragraph" w:customStyle="1" w:styleId="H1G">
    <w:name w:val="_ H_1_G"/>
    <w:basedOn w:val="a"/>
    <w:next w:val="a"/>
    <w:rsid w:val="00203A4B"/>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203A4B"/>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horttext">
    <w:name w:val="short_text"/>
    <w:rsid w:val="00203A4B"/>
  </w:style>
  <w:style w:type="character" w:customStyle="1" w:styleId="hps">
    <w:name w:val="hps"/>
    <w:rsid w:val="00203A4B"/>
  </w:style>
  <w:style w:type="character" w:customStyle="1" w:styleId="atn">
    <w:name w:val="atn"/>
    <w:rsid w:val="00203A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16B7A-9530-4E31-8B1B-E40E3DF06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971</Words>
  <Characters>5537</Characters>
  <Application>Microsoft Office Word</Application>
  <DocSecurity>0</DocSecurity>
  <Lines>46</Lines>
  <Paragraphs>12</Paragraphs>
  <ScaleCrop>false</ScaleCrop>
  <Company>DCM</Company>
  <LinksUpToDate>false</LinksUpToDate>
  <CharactersWithSpaces>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Kong L.</dc:creator>
  <cp:keywords/>
  <dc:description/>
  <cp:lastModifiedBy>Kong L.</cp:lastModifiedBy>
  <cp:revision>3</cp:revision>
  <cp:lastPrinted>2016-01-13T15:59:00Z</cp:lastPrinted>
  <dcterms:created xsi:type="dcterms:W3CDTF">2016-01-13T15:59:00Z</dcterms:created>
  <dcterms:modified xsi:type="dcterms:W3CDTF">2016-01-13T15:59:00Z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1517367</vt:lpwstr>
  </property>
  <property fmtid="{D5CDD505-2E9C-101B-9397-08002B2CF9AE}" pid="3" name="ODSRefJobNo">
    <vt:lpwstr>1523803C</vt:lpwstr>
  </property>
  <property fmtid="{D5CDD505-2E9C-101B-9397-08002B2CF9AE}" pid="4" name="Symbol1">
    <vt:lpwstr>CED/C/MNE/CO/1</vt:lpwstr>
  </property>
  <property fmtid="{D5CDD505-2E9C-101B-9397-08002B2CF9AE}" pid="5" name="Symbol2">
    <vt:lpwstr/>
  </property>
  <property fmtid="{D5CDD505-2E9C-101B-9397-08002B2CF9AE}" pid="6" name="Translator">
    <vt:lpwstr/>
  </property>
  <property fmtid="{D5CDD505-2E9C-101B-9397-08002B2CF9AE}" pid="7" name="Operator">
    <vt:lpwstr>kong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16 October 2015</vt:lpwstr>
  </property>
  <property fmtid="{D5CDD505-2E9C-101B-9397-08002B2CF9AE}" pid="12" name="Original">
    <vt:lpwstr>English</vt:lpwstr>
  </property>
  <property fmtid="{D5CDD505-2E9C-101B-9397-08002B2CF9AE}" pid="13" name="Release Date">
    <vt:lpwstr>130116</vt:lpwstr>
  </property>
</Properties>
</file>