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E121F" w:rsidP="007E121F">
            <w:pPr>
              <w:bidi w:val="0"/>
              <w:spacing w:after="20"/>
              <w:jc w:val="left"/>
              <w:rPr>
                <w:szCs w:val="20"/>
              </w:rPr>
            </w:pPr>
            <w:r w:rsidRPr="007E121F">
              <w:rPr>
                <w:sz w:val="40"/>
                <w:szCs w:val="20"/>
              </w:rPr>
              <w:t>CERD</w:t>
            </w:r>
            <w:r>
              <w:rPr>
                <w:szCs w:val="20"/>
              </w:rPr>
              <w:t>/C/CHE/CO/7-9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E121F" w:rsidRDefault="007E121F" w:rsidP="007E121F">
            <w:pPr>
              <w:bidi w:val="0"/>
              <w:spacing w:before="240"/>
              <w:jc w:val="left"/>
            </w:pPr>
            <w:r>
              <w:t>Distr.: General</w:t>
            </w:r>
          </w:p>
          <w:p w:rsidR="007E121F" w:rsidRDefault="007E121F" w:rsidP="007E121F">
            <w:pPr>
              <w:bidi w:val="0"/>
              <w:jc w:val="left"/>
            </w:pPr>
            <w:r>
              <w:t>13 March 2014</w:t>
            </w:r>
          </w:p>
          <w:p w:rsidR="007E121F" w:rsidRDefault="007E121F" w:rsidP="007E121F">
            <w:pPr>
              <w:bidi w:val="0"/>
              <w:jc w:val="left"/>
            </w:pPr>
            <w:r>
              <w:t>Arabic</w:t>
            </w:r>
          </w:p>
          <w:p w:rsidR="00257225" w:rsidRPr="008B4BC6" w:rsidRDefault="007E121F" w:rsidP="007E121F">
            <w:pPr>
              <w:bidi w:val="0"/>
              <w:jc w:val="left"/>
            </w:pPr>
            <w:r>
              <w:t>Original: English</w:t>
            </w:r>
          </w:p>
        </w:tc>
      </w:tr>
    </w:tbl>
    <w:p w:rsidR="00B84B9F" w:rsidRPr="00FB0E6A" w:rsidRDefault="00B84B9F" w:rsidP="002778B0">
      <w:pPr>
        <w:spacing w:before="120" w:line="380" w:lineRule="exact"/>
        <w:rPr>
          <w:rFonts w:hint="cs"/>
          <w:b/>
          <w:bCs/>
          <w:szCs w:val="36"/>
          <w:rtl/>
        </w:rPr>
      </w:pPr>
      <w:r w:rsidRPr="00FB0E6A">
        <w:rPr>
          <w:rFonts w:hint="cs"/>
          <w:b/>
          <w:bCs/>
          <w:szCs w:val="36"/>
          <w:rtl/>
        </w:rPr>
        <w:t>لجنة القضاء على التمييز العنصري</w:t>
      </w:r>
    </w:p>
    <w:p w:rsidR="00B84B9F" w:rsidRDefault="00DB1DFE" w:rsidP="005821AA">
      <w:pPr>
        <w:pStyle w:val="HChGA"/>
        <w:rPr>
          <w:rFonts w:hint="cs"/>
          <w:rtl/>
        </w:rPr>
      </w:pPr>
      <w:r>
        <w:rPr>
          <w:rFonts w:hint="cs"/>
          <w:rtl/>
        </w:rPr>
        <w:tab/>
      </w:r>
      <w:r>
        <w:rPr>
          <w:rFonts w:hint="cs"/>
          <w:rtl/>
        </w:rPr>
        <w:tab/>
      </w:r>
      <w:r w:rsidR="00B84B9F">
        <w:rPr>
          <w:rFonts w:hint="cs"/>
          <w:rtl/>
        </w:rPr>
        <w:t xml:space="preserve">الملاحظات الختامية بشأن التقرير الجامع للتقارير الدورية من السابع </w:t>
      </w:r>
      <w:r w:rsidR="002778B0">
        <w:rPr>
          <w:rFonts w:hint="cs"/>
          <w:rtl/>
        </w:rPr>
        <w:t>إلى</w:t>
      </w:r>
      <w:r w:rsidR="00B84B9F">
        <w:rPr>
          <w:rFonts w:hint="cs"/>
          <w:rtl/>
        </w:rPr>
        <w:t xml:space="preserve"> التاسع لسويسرا</w:t>
      </w:r>
      <w:r w:rsidR="003A47A7" w:rsidRPr="00EC249B">
        <w:rPr>
          <w:rStyle w:val="FootnoteReference"/>
          <w:b/>
          <w:bCs w:val="0"/>
          <w:sz w:val="20"/>
          <w:vertAlign w:val="baseline"/>
          <w:rtl/>
        </w:rPr>
        <w:footnoteReference w:customMarkFollows="1" w:id="1"/>
        <w:t>*</w:t>
      </w:r>
    </w:p>
    <w:p w:rsidR="00CB2B40" w:rsidRDefault="00CB2B40" w:rsidP="00E432A5">
      <w:pPr>
        <w:pStyle w:val="SingleTxtGA"/>
        <w:rPr>
          <w:rtl/>
          <w:lang/>
        </w:rPr>
      </w:pPr>
      <w:r>
        <w:rPr>
          <w:rtl/>
          <w:lang/>
        </w:rPr>
        <w:t>1-</w:t>
      </w:r>
      <w:r>
        <w:rPr>
          <w:rtl/>
          <w:lang/>
        </w:rPr>
        <w:tab/>
        <w:t>نظرت اللجنة</w:t>
      </w:r>
      <w:r w:rsidR="00CE3167">
        <w:rPr>
          <w:rtl/>
          <w:lang/>
        </w:rPr>
        <w:t xml:space="preserve"> في التق</w:t>
      </w:r>
      <w:r w:rsidR="00CE3167">
        <w:rPr>
          <w:rFonts w:hint="cs"/>
          <w:rtl/>
          <w:lang/>
        </w:rPr>
        <w:t xml:space="preserve">رير الجامع للتقارير </w:t>
      </w:r>
      <w:r>
        <w:rPr>
          <w:rtl/>
          <w:lang/>
        </w:rPr>
        <w:t xml:space="preserve">الدورية من </w:t>
      </w:r>
      <w:r w:rsidR="00F1267E">
        <w:rPr>
          <w:rFonts w:hint="cs"/>
          <w:rtl/>
          <w:lang/>
        </w:rPr>
        <w:t xml:space="preserve">السابع </w:t>
      </w:r>
      <w:r w:rsidR="00F00E77">
        <w:rPr>
          <w:rFonts w:hint="cs"/>
          <w:rtl/>
          <w:lang/>
        </w:rPr>
        <w:t xml:space="preserve">إلى </w:t>
      </w:r>
      <w:r>
        <w:rPr>
          <w:rtl/>
          <w:lang/>
        </w:rPr>
        <w:t xml:space="preserve">التاسع </w:t>
      </w:r>
      <w:r w:rsidR="005A14B5">
        <w:rPr>
          <w:rFonts w:hint="cs"/>
          <w:rtl/>
          <w:lang/>
        </w:rPr>
        <w:t>ل</w:t>
      </w:r>
      <w:r>
        <w:rPr>
          <w:rtl/>
          <w:lang/>
        </w:rPr>
        <w:t xml:space="preserve">سويسرا </w:t>
      </w:r>
      <w:r w:rsidR="005A14B5">
        <w:rPr>
          <w:rFonts w:hint="cs"/>
          <w:rtl/>
          <w:lang/>
        </w:rPr>
        <w:t>والوارد</w:t>
      </w:r>
      <w:r>
        <w:rPr>
          <w:rtl/>
          <w:lang/>
        </w:rPr>
        <w:t xml:space="preserve"> في وثيقة واحدة</w:t>
      </w:r>
      <w:r w:rsidR="00012532">
        <w:rPr>
          <w:rFonts w:hint="cs"/>
          <w:rtl/>
          <w:lang/>
        </w:rPr>
        <w:t xml:space="preserve"> </w:t>
      </w:r>
      <w:r>
        <w:rPr>
          <w:rtl/>
          <w:lang/>
        </w:rPr>
        <w:t>(</w:t>
      </w:r>
      <w:r>
        <w:rPr>
          <w:lang/>
        </w:rPr>
        <w:t>CERD/C/CHE</w:t>
      </w:r>
      <w:r w:rsidR="00EF5A80">
        <w:rPr>
          <w:lang/>
        </w:rPr>
        <w:t>/7-</w:t>
      </w:r>
      <w:r>
        <w:rPr>
          <w:lang/>
        </w:rPr>
        <w:t>9</w:t>
      </w:r>
      <w:r>
        <w:rPr>
          <w:rtl/>
          <w:lang/>
        </w:rPr>
        <w:t>)</w:t>
      </w:r>
      <w:r w:rsidR="0066511E">
        <w:rPr>
          <w:rFonts w:hint="cs"/>
          <w:rtl/>
          <w:lang/>
        </w:rPr>
        <w:t>،</w:t>
      </w:r>
      <w:r>
        <w:rPr>
          <w:rtl/>
          <w:lang/>
        </w:rPr>
        <w:t xml:space="preserve"> في جلستيها 2283 و2284 </w:t>
      </w:r>
      <w:r w:rsidR="00E432A5">
        <w:rPr>
          <w:rFonts w:hint="cs"/>
          <w:rtl/>
        </w:rPr>
        <w:t>(</w:t>
      </w:r>
      <w:r>
        <w:rPr>
          <w:lang/>
        </w:rPr>
        <w:t>CERD/C/SR.2283</w:t>
      </w:r>
      <w:r>
        <w:rPr>
          <w:rtl/>
          <w:lang/>
        </w:rPr>
        <w:t xml:space="preserve"> و</w:t>
      </w:r>
      <w:r>
        <w:rPr>
          <w:lang/>
        </w:rPr>
        <w:t>SR.2284</w:t>
      </w:r>
      <w:r w:rsidR="00E432A5">
        <w:rPr>
          <w:rtl/>
          <w:lang/>
        </w:rPr>
        <w:t>)</w:t>
      </w:r>
      <w:r>
        <w:rPr>
          <w:rtl/>
          <w:lang/>
        </w:rPr>
        <w:t>، المعقودتين في 14 و17 شباط/</w:t>
      </w:r>
      <w:r w:rsidR="0066511E">
        <w:rPr>
          <w:rFonts w:hint="cs"/>
          <w:rtl/>
          <w:lang/>
        </w:rPr>
        <w:t>فبراير 2014</w:t>
      </w:r>
      <w:r>
        <w:rPr>
          <w:rtl/>
          <w:lang/>
        </w:rPr>
        <w:t xml:space="preserve">. واعتمدت </w:t>
      </w:r>
      <w:r w:rsidR="005A4846">
        <w:rPr>
          <w:rFonts w:hint="cs"/>
          <w:rtl/>
          <w:lang/>
        </w:rPr>
        <w:t xml:space="preserve">اللجنة </w:t>
      </w:r>
      <w:r>
        <w:rPr>
          <w:rtl/>
          <w:lang/>
        </w:rPr>
        <w:t>الملاحظات الختامية التالية في جلستها 2291 (</w:t>
      </w:r>
      <w:r>
        <w:rPr>
          <w:lang/>
        </w:rPr>
        <w:t>CERD/C/SR.2291</w:t>
      </w:r>
      <w:r>
        <w:rPr>
          <w:rtl/>
          <w:lang/>
        </w:rPr>
        <w:t>) المعقودة في 20 شباط/</w:t>
      </w:r>
      <w:r w:rsidR="005A4846">
        <w:rPr>
          <w:rFonts w:hint="cs"/>
          <w:rtl/>
          <w:lang/>
        </w:rPr>
        <w:t>فبراير</w:t>
      </w:r>
      <w:r>
        <w:rPr>
          <w:rtl/>
          <w:lang/>
        </w:rPr>
        <w:t xml:space="preserve"> 2014.</w:t>
      </w:r>
    </w:p>
    <w:p w:rsidR="00CB2B40" w:rsidRDefault="00CB2B40" w:rsidP="00EC249B">
      <w:pPr>
        <w:pStyle w:val="H1GA"/>
        <w:rPr>
          <w:rtl/>
          <w:lang/>
        </w:rPr>
      </w:pPr>
      <w:r>
        <w:rPr>
          <w:rFonts w:hint="cs"/>
          <w:rtl/>
          <w:lang/>
        </w:rPr>
        <w:tab/>
      </w:r>
      <w:r>
        <w:rPr>
          <w:rtl/>
          <w:lang/>
        </w:rPr>
        <w:t>ألف-</w:t>
      </w:r>
      <w:r>
        <w:rPr>
          <w:rFonts w:hint="cs"/>
          <w:rtl/>
          <w:lang/>
        </w:rPr>
        <w:tab/>
      </w:r>
      <w:r>
        <w:rPr>
          <w:rtl/>
          <w:lang/>
        </w:rPr>
        <w:t>مقدمة</w:t>
      </w:r>
    </w:p>
    <w:p w:rsidR="00CB2B40" w:rsidRDefault="00CB2B40" w:rsidP="0033065C">
      <w:pPr>
        <w:pStyle w:val="SingleTxtGA"/>
        <w:rPr>
          <w:rtl/>
          <w:lang/>
        </w:rPr>
      </w:pPr>
      <w:r>
        <w:rPr>
          <w:rtl/>
          <w:lang/>
        </w:rPr>
        <w:t>2-</w:t>
      </w:r>
      <w:r>
        <w:rPr>
          <w:rtl/>
          <w:lang/>
        </w:rPr>
        <w:tab/>
        <w:t xml:space="preserve">ترحب اللجنة بتقديم سويسرا </w:t>
      </w:r>
      <w:r w:rsidR="00660723">
        <w:rPr>
          <w:rFonts w:hint="cs"/>
          <w:rtl/>
          <w:lang/>
        </w:rPr>
        <w:t xml:space="preserve">التقرير </w:t>
      </w:r>
      <w:r>
        <w:rPr>
          <w:rtl/>
          <w:lang/>
        </w:rPr>
        <w:t xml:space="preserve">الجامع </w:t>
      </w:r>
      <w:r w:rsidR="00660723">
        <w:rPr>
          <w:rFonts w:hint="cs"/>
          <w:rtl/>
          <w:lang/>
        </w:rPr>
        <w:t xml:space="preserve">لتقاريرها </w:t>
      </w:r>
      <w:r>
        <w:rPr>
          <w:rtl/>
          <w:lang/>
        </w:rPr>
        <w:t>الدورية من</w:t>
      </w:r>
      <w:r w:rsidR="00600572">
        <w:rPr>
          <w:rFonts w:hint="cs"/>
          <w:rtl/>
          <w:lang/>
        </w:rPr>
        <w:t xml:space="preserve"> </w:t>
      </w:r>
      <w:r>
        <w:rPr>
          <w:rtl/>
          <w:lang/>
        </w:rPr>
        <w:t>السابع إلى</w:t>
      </w:r>
      <w:r w:rsidR="00881F9C">
        <w:rPr>
          <w:rFonts w:hint="cs"/>
          <w:rtl/>
          <w:lang/>
        </w:rPr>
        <w:t xml:space="preserve"> </w:t>
      </w:r>
      <w:r>
        <w:rPr>
          <w:rtl/>
          <w:lang/>
        </w:rPr>
        <w:t xml:space="preserve"> التاسع، الذي يتضمن معلومات مفصلة عن تنفيذ التوصيات الواردة في الملاحظات الختامية </w:t>
      </w:r>
      <w:r w:rsidR="00DA6E5C">
        <w:rPr>
          <w:rFonts w:hint="cs"/>
          <w:rtl/>
          <w:lang/>
        </w:rPr>
        <w:t xml:space="preserve">السابقة </w:t>
      </w:r>
      <w:r>
        <w:rPr>
          <w:rtl/>
          <w:lang/>
        </w:rPr>
        <w:t>للجنة.</w:t>
      </w:r>
    </w:p>
    <w:p w:rsidR="00446FA1" w:rsidRDefault="00CB2B40" w:rsidP="006D75F6">
      <w:pPr>
        <w:pStyle w:val="SingleTxtGA"/>
        <w:rPr>
          <w:rFonts w:hint="cs"/>
          <w:rtl/>
          <w:lang/>
        </w:rPr>
      </w:pPr>
      <w:r>
        <w:rPr>
          <w:rtl/>
          <w:lang/>
        </w:rPr>
        <w:t>3-</w:t>
      </w:r>
      <w:r>
        <w:rPr>
          <w:rtl/>
          <w:lang/>
        </w:rPr>
        <w:tab/>
        <w:t xml:space="preserve">وترحب اللجنة أيضاً بالمعلومات الإضافية التي قدمها وفد الدولة الطرف رداً على </w:t>
      </w:r>
      <w:r w:rsidR="006D75F6">
        <w:rPr>
          <w:rFonts w:hint="cs"/>
          <w:rtl/>
          <w:lang/>
        </w:rPr>
        <w:t>القضايا</w:t>
      </w:r>
      <w:r>
        <w:rPr>
          <w:rtl/>
          <w:lang/>
        </w:rPr>
        <w:t xml:space="preserve"> التي طرحتها اللجنة خلال الحوار الصريح والبناء.</w:t>
      </w:r>
    </w:p>
    <w:p w:rsidR="00CB2B40" w:rsidRPr="00B42250" w:rsidRDefault="00996935" w:rsidP="00EC249B">
      <w:pPr>
        <w:pStyle w:val="H1GA"/>
        <w:rPr>
          <w:rFonts w:hint="cs"/>
          <w:rtl/>
          <w:lang w:val="fr-CH"/>
        </w:rPr>
      </w:pPr>
      <w:r>
        <w:rPr>
          <w:rFonts w:hint="cs"/>
          <w:rtl/>
          <w:lang/>
        </w:rPr>
        <w:tab/>
      </w:r>
      <w:r w:rsidR="00CB2B40" w:rsidRPr="00D66897">
        <w:rPr>
          <w:rFonts w:hint="cs"/>
          <w:rtl/>
          <w:lang/>
        </w:rPr>
        <w:t>باء</w:t>
      </w:r>
      <w:r w:rsidR="007D00CF">
        <w:rPr>
          <w:rFonts w:hint="cs"/>
          <w:rtl/>
          <w:lang/>
        </w:rPr>
        <w:t>-</w:t>
      </w:r>
      <w:r w:rsidR="00446FA1">
        <w:rPr>
          <w:rFonts w:hint="cs"/>
          <w:rtl/>
          <w:lang/>
        </w:rPr>
        <w:tab/>
      </w:r>
      <w:r w:rsidR="007D00CF">
        <w:rPr>
          <w:rFonts w:hint="cs"/>
          <w:rtl/>
          <w:lang/>
        </w:rPr>
        <w:t>الجوان</w:t>
      </w:r>
      <w:r w:rsidR="00EC249B">
        <w:rPr>
          <w:rFonts w:hint="cs"/>
          <w:rtl/>
          <w:lang/>
        </w:rPr>
        <w:t>ب الإيجابية</w:t>
      </w:r>
    </w:p>
    <w:p w:rsidR="00CB2B40" w:rsidRDefault="00CB2B40" w:rsidP="00A12807">
      <w:pPr>
        <w:pStyle w:val="SingleTxtGA"/>
        <w:rPr>
          <w:rFonts w:hint="cs"/>
          <w:rtl/>
          <w:lang w:val="fr-CH"/>
        </w:rPr>
      </w:pPr>
      <w:r>
        <w:rPr>
          <w:rFonts w:hint="cs"/>
          <w:rtl/>
          <w:lang w:val="fr-CH"/>
        </w:rPr>
        <w:t>4-</w:t>
      </w:r>
      <w:r>
        <w:rPr>
          <w:rFonts w:hint="cs"/>
          <w:rtl/>
          <w:lang w:val="fr-CH"/>
        </w:rPr>
        <w:tab/>
        <w:t xml:space="preserve">تلاحظ اللجنة مع الارتياح التطورات التشريعية والسياساتية في مجال مكافحة </w:t>
      </w:r>
      <w:r w:rsidR="00BA29C5">
        <w:rPr>
          <w:rFonts w:hint="cs"/>
          <w:rtl/>
          <w:lang w:val="fr-CH"/>
        </w:rPr>
        <w:t>التمييز العنصري في الدولة الطرف</w:t>
      </w:r>
      <w:r>
        <w:rPr>
          <w:rFonts w:hint="cs"/>
          <w:rtl/>
          <w:lang w:val="fr-CH"/>
        </w:rPr>
        <w:t xml:space="preserve"> منذ تقريرها الأخير، بما في ذلك:</w:t>
      </w:r>
    </w:p>
    <w:p w:rsidR="00CB2B40" w:rsidRDefault="00CB2B40" w:rsidP="00CF49CF">
      <w:pPr>
        <w:pStyle w:val="SingleTxtGA"/>
        <w:rPr>
          <w:rFonts w:hint="cs"/>
          <w:rtl/>
          <w:lang w:val="fr-CH"/>
        </w:rPr>
      </w:pPr>
      <w:r>
        <w:rPr>
          <w:rtl/>
          <w:lang w:val="fr-CH"/>
        </w:rPr>
        <w:tab/>
      </w:r>
      <w:r>
        <w:rPr>
          <w:rFonts w:hint="cs"/>
          <w:rtl/>
          <w:lang w:val="fr-CH"/>
        </w:rPr>
        <w:t>(أ)</w:t>
      </w:r>
      <w:r>
        <w:rPr>
          <w:rFonts w:hint="cs"/>
          <w:rtl/>
          <w:lang w:val="fr-CH"/>
        </w:rPr>
        <w:tab/>
        <w:t xml:space="preserve">إنشاء </w:t>
      </w:r>
      <w:r w:rsidR="00A12807">
        <w:rPr>
          <w:rFonts w:hint="cs"/>
          <w:rtl/>
          <w:lang w:val="fr-CH"/>
        </w:rPr>
        <w:t>بيت الخبرة</w:t>
      </w:r>
      <w:r>
        <w:rPr>
          <w:rFonts w:hint="cs"/>
          <w:rtl/>
          <w:lang w:val="fr-CH"/>
        </w:rPr>
        <w:t xml:space="preserve"> السويسري </w:t>
      </w:r>
      <w:r w:rsidR="003B4EF5">
        <w:rPr>
          <w:rFonts w:hint="cs"/>
          <w:rtl/>
          <w:lang w:val="fr-CH"/>
        </w:rPr>
        <w:t>ل</w:t>
      </w:r>
      <w:r>
        <w:rPr>
          <w:rFonts w:hint="cs"/>
          <w:rtl/>
          <w:lang w:val="fr-CH"/>
        </w:rPr>
        <w:t>حقوق الإنسان، في عام 2010</w:t>
      </w:r>
      <w:r w:rsidR="00B1269A">
        <w:rPr>
          <w:rFonts w:hint="cs"/>
          <w:rtl/>
          <w:lang w:val="fr-CH"/>
        </w:rPr>
        <w:t>،</w:t>
      </w:r>
      <w:r>
        <w:rPr>
          <w:rFonts w:hint="cs"/>
          <w:rtl/>
          <w:lang w:val="fr-CH"/>
        </w:rPr>
        <w:t xml:space="preserve"> كمشروع رائد لمدة 5 سنوات لتيسير تنفيذ الالتزامات الدولية للدولة الطرف في مجال</w:t>
      </w:r>
      <w:r w:rsidR="003B4EF5">
        <w:rPr>
          <w:rFonts w:hint="cs"/>
          <w:rtl/>
          <w:lang w:val="fr-CH"/>
        </w:rPr>
        <w:t xml:space="preserve"> </w:t>
      </w:r>
      <w:r w:rsidR="00CF49CF">
        <w:rPr>
          <w:rFonts w:hint="cs"/>
          <w:rtl/>
          <w:lang w:val="fr-CH"/>
        </w:rPr>
        <w:t xml:space="preserve">          </w:t>
      </w:r>
      <w:r w:rsidR="003B4EF5">
        <w:rPr>
          <w:rFonts w:hint="cs"/>
          <w:rtl/>
          <w:lang w:val="fr-CH"/>
        </w:rPr>
        <w:t xml:space="preserve">    </w:t>
      </w:r>
      <w:r>
        <w:rPr>
          <w:rFonts w:hint="cs"/>
          <w:rtl/>
          <w:lang w:val="fr-CH"/>
        </w:rPr>
        <w:t xml:space="preserve"> حقوق الإنسان؛</w:t>
      </w:r>
    </w:p>
    <w:p w:rsidR="00CB2B40" w:rsidRDefault="00CB2B40" w:rsidP="00E27195">
      <w:pPr>
        <w:pStyle w:val="SingleTxtGA"/>
        <w:rPr>
          <w:rFonts w:hint="cs"/>
          <w:rtl/>
          <w:lang w:val="fr-CH"/>
        </w:rPr>
      </w:pPr>
      <w:r>
        <w:rPr>
          <w:rtl/>
          <w:lang w:val="fr-CH"/>
        </w:rPr>
        <w:tab/>
      </w:r>
      <w:r>
        <w:rPr>
          <w:rFonts w:hint="cs"/>
          <w:rtl/>
          <w:lang w:val="fr-CH"/>
        </w:rPr>
        <w:t>(ب)</w:t>
      </w:r>
      <w:r>
        <w:rPr>
          <w:rFonts w:hint="cs"/>
          <w:rtl/>
          <w:lang w:val="fr-CH"/>
        </w:rPr>
        <w:tab/>
        <w:t>شروع المكتب الاتحادي للهجرة والكانتونات، في كانون الثاني/</w:t>
      </w:r>
      <w:r w:rsidR="00E27195">
        <w:rPr>
          <w:rFonts w:hint="cs"/>
          <w:rtl/>
          <w:lang w:val="fr-CH"/>
        </w:rPr>
        <w:t xml:space="preserve">            </w:t>
      </w:r>
      <w:r>
        <w:rPr>
          <w:rFonts w:hint="cs"/>
          <w:rtl/>
          <w:lang w:val="fr-CH"/>
        </w:rPr>
        <w:t>يناير 2014، في برنامج إدماج مدته 4 سنوات من شأنه أن يؤدي، في جملة أمور، إلى توفير خدمات استشارية لضحايا التمييز العنصري، في جميع الكانتونات.</w:t>
      </w:r>
    </w:p>
    <w:p w:rsidR="00CB2B40" w:rsidRDefault="00CB2B40" w:rsidP="001C137D">
      <w:pPr>
        <w:pStyle w:val="SingleTxtGA"/>
        <w:rPr>
          <w:rFonts w:hint="cs"/>
          <w:rtl/>
          <w:lang w:val="fr-CH"/>
        </w:rPr>
      </w:pPr>
      <w:r>
        <w:rPr>
          <w:rFonts w:hint="cs"/>
          <w:rtl/>
          <w:lang w:val="fr-CH"/>
        </w:rPr>
        <w:t>5-</w:t>
      </w:r>
      <w:r>
        <w:rPr>
          <w:rFonts w:hint="cs"/>
          <w:rtl/>
          <w:lang w:val="fr-CH"/>
        </w:rPr>
        <w:tab/>
        <w:t>وترحب اللجنة أيضاً بتصديق الدولة الطرف على البروتوكول الاختياري لاتفاقية القضاء على جميع أشكال التمييز ضد المرأة، في عام 2008، والبروتوكول الاختياري لاتفاقية مناهضة التعذيب وغيره من ضروب المعاملة أو العقوبة القاسية أو اللاإنسانية</w:t>
      </w:r>
      <w:r w:rsidR="001C137D">
        <w:rPr>
          <w:rFonts w:hint="cs"/>
          <w:rtl/>
          <w:lang w:val="fr-CH"/>
        </w:rPr>
        <w:t xml:space="preserve"> </w:t>
      </w:r>
      <w:r w:rsidR="00272948">
        <w:rPr>
          <w:rFonts w:hint="cs"/>
          <w:rtl/>
          <w:lang w:val="fr-CH"/>
        </w:rPr>
        <w:t xml:space="preserve">          </w:t>
      </w:r>
      <w:r w:rsidR="001C137D">
        <w:rPr>
          <w:rFonts w:hint="cs"/>
          <w:rtl/>
          <w:lang w:val="fr-CH"/>
        </w:rPr>
        <w:t>أو المهينة</w:t>
      </w:r>
      <w:r>
        <w:rPr>
          <w:rFonts w:hint="cs"/>
          <w:rtl/>
          <w:lang w:val="fr-CH"/>
        </w:rPr>
        <w:t>، في عام 2009.</w:t>
      </w:r>
    </w:p>
    <w:p w:rsidR="00CB2B40" w:rsidRPr="00B42250" w:rsidRDefault="00272948" w:rsidP="00EC249B">
      <w:pPr>
        <w:pStyle w:val="H1GA"/>
        <w:rPr>
          <w:rFonts w:hint="cs"/>
          <w:rtl/>
          <w:lang w:val="fr-CH"/>
        </w:rPr>
      </w:pPr>
      <w:r>
        <w:rPr>
          <w:rFonts w:hint="cs"/>
          <w:rtl/>
          <w:lang w:val="fr-CH"/>
        </w:rPr>
        <w:tab/>
      </w:r>
      <w:r w:rsidR="00CB2B40" w:rsidRPr="00B42250">
        <w:rPr>
          <w:rFonts w:hint="cs"/>
          <w:rtl/>
          <w:lang w:val="fr-CH"/>
        </w:rPr>
        <w:t>جيم-</w:t>
      </w:r>
      <w:r w:rsidR="00CB2B40" w:rsidRPr="00B42250">
        <w:rPr>
          <w:rFonts w:hint="cs"/>
          <w:rtl/>
          <w:lang w:val="fr-CH"/>
        </w:rPr>
        <w:tab/>
        <w:t>دواعي القلق والتوصيات</w:t>
      </w:r>
    </w:p>
    <w:p w:rsidR="00CB2B40" w:rsidRPr="00B42250" w:rsidRDefault="00FD0965" w:rsidP="00EC249B">
      <w:pPr>
        <w:pStyle w:val="H23GA"/>
        <w:rPr>
          <w:rFonts w:hint="cs"/>
          <w:rtl/>
          <w:lang w:val="fr-CH"/>
        </w:rPr>
      </w:pPr>
      <w:r>
        <w:rPr>
          <w:rFonts w:hint="cs"/>
          <w:rtl/>
          <w:lang w:val="fr-CH"/>
        </w:rPr>
        <w:tab/>
      </w:r>
      <w:r>
        <w:rPr>
          <w:rFonts w:hint="cs"/>
          <w:rtl/>
          <w:lang w:val="fr-CH"/>
        </w:rPr>
        <w:tab/>
      </w:r>
      <w:r w:rsidR="00CB2B40" w:rsidRPr="00B42250">
        <w:rPr>
          <w:rFonts w:hint="cs"/>
          <w:rtl/>
          <w:lang w:val="fr-CH"/>
        </w:rPr>
        <w:t xml:space="preserve">تطبيق الاتفاقية </w:t>
      </w:r>
      <w:r w:rsidR="00CB2B40">
        <w:rPr>
          <w:rFonts w:hint="cs"/>
          <w:rtl/>
          <w:lang w:val="fr-CH"/>
        </w:rPr>
        <w:t xml:space="preserve">في </w:t>
      </w:r>
      <w:r w:rsidR="00CB2B40" w:rsidRPr="00B42250">
        <w:rPr>
          <w:rFonts w:hint="cs"/>
          <w:rtl/>
          <w:lang w:val="fr-CH"/>
        </w:rPr>
        <w:t>القانون المحلي</w:t>
      </w:r>
    </w:p>
    <w:p w:rsidR="00CB2B40" w:rsidRDefault="00CB2B40" w:rsidP="002A5B76">
      <w:pPr>
        <w:pStyle w:val="SingleTxtGA"/>
        <w:rPr>
          <w:rFonts w:hint="cs"/>
          <w:rtl/>
          <w:lang w:val="fr-CH"/>
        </w:rPr>
      </w:pPr>
      <w:r>
        <w:rPr>
          <w:rFonts w:hint="cs"/>
          <w:rtl/>
          <w:lang w:val="fr-CH"/>
        </w:rPr>
        <w:t>6-</w:t>
      </w:r>
      <w:r>
        <w:rPr>
          <w:rFonts w:hint="cs"/>
          <w:rtl/>
          <w:lang w:val="fr-CH"/>
        </w:rPr>
        <w:tab/>
        <w:t xml:space="preserve">تكرر اللجنة </w:t>
      </w:r>
      <w:r w:rsidR="00E80173">
        <w:rPr>
          <w:rFonts w:hint="cs"/>
          <w:rtl/>
          <w:lang w:val="fr-CH"/>
        </w:rPr>
        <w:t xml:space="preserve">الإعراب عن </w:t>
      </w:r>
      <w:r>
        <w:rPr>
          <w:rFonts w:hint="cs"/>
          <w:rtl/>
          <w:lang w:val="fr-CH"/>
        </w:rPr>
        <w:t xml:space="preserve">قلقها لعدم تنفيذ الاتفاقية بشكل فعال بحكم القانون، </w:t>
      </w:r>
      <w:r w:rsidR="002A5B76">
        <w:rPr>
          <w:rFonts w:hint="cs"/>
          <w:rtl/>
          <w:lang w:val="fr-CH"/>
        </w:rPr>
        <w:t xml:space="preserve">         </w:t>
      </w:r>
      <w:r>
        <w:rPr>
          <w:rFonts w:hint="cs"/>
          <w:rtl/>
          <w:lang w:val="fr-CH"/>
        </w:rPr>
        <w:t>بما في ذلك عدم إحراز تقدم في إصدار تشريع على المستوى الاتحادي:</w:t>
      </w:r>
    </w:p>
    <w:p w:rsidR="00CB2B40" w:rsidRDefault="00CB2B40" w:rsidP="00B9543C">
      <w:pPr>
        <w:pStyle w:val="SingleTxtGA"/>
        <w:rPr>
          <w:rFonts w:hint="cs"/>
          <w:rtl/>
          <w:lang w:val="fr-CH"/>
        </w:rPr>
      </w:pPr>
      <w:r>
        <w:rPr>
          <w:rtl/>
          <w:lang w:val="fr-CH"/>
        </w:rPr>
        <w:tab/>
      </w:r>
      <w:r>
        <w:rPr>
          <w:rFonts w:hint="cs"/>
          <w:rtl/>
          <w:lang w:val="fr-CH"/>
        </w:rPr>
        <w:t>(أ)</w:t>
      </w:r>
      <w:r>
        <w:rPr>
          <w:rFonts w:hint="cs"/>
          <w:rtl/>
          <w:lang w:val="fr-CH"/>
        </w:rPr>
        <w:tab/>
        <w:t>يتضمن تعريفاً واضحاً للتمييز العنصري المباشر وغير المباشر، وفقاً للتعريف المنصوص عليه في الفقرة 1 من المادة 1 من الاتفاقية؛</w:t>
      </w:r>
    </w:p>
    <w:p w:rsidR="00CB2B40" w:rsidRDefault="00CB2B40" w:rsidP="00B9543C">
      <w:pPr>
        <w:pStyle w:val="SingleTxtGA"/>
        <w:rPr>
          <w:rFonts w:hint="cs"/>
          <w:rtl/>
          <w:lang w:val="fr-CH"/>
        </w:rPr>
      </w:pPr>
      <w:r>
        <w:rPr>
          <w:rtl/>
          <w:lang w:val="fr-CH"/>
        </w:rPr>
        <w:tab/>
      </w:r>
      <w:r>
        <w:rPr>
          <w:rFonts w:hint="cs"/>
          <w:rtl/>
          <w:lang w:val="fr-CH"/>
        </w:rPr>
        <w:t>(ب)</w:t>
      </w:r>
      <w:r>
        <w:rPr>
          <w:rFonts w:hint="cs"/>
          <w:rtl/>
          <w:lang w:val="fr-CH"/>
        </w:rPr>
        <w:tab/>
        <w:t>يحظر صراحة التمييز العنصري بموجب القانون المدني والإداري بما في ذلك في مجالات من قبيل العمل والتعليم والسكن، ويقدم سبل انتصاف مناسبة؛</w:t>
      </w:r>
    </w:p>
    <w:p w:rsidR="00CB2B40" w:rsidRDefault="00CB2B40" w:rsidP="00B9543C">
      <w:pPr>
        <w:pStyle w:val="SingleTxtGA"/>
        <w:rPr>
          <w:rFonts w:hint="cs"/>
          <w:rtl/>
          <w:lang w:val="fr-CH"/>
        </w:rPr>
      </w:pPr>
      <w:r>
        <w:rPr>
          <w:rtl/>
          <w:lang w:val="fr-CH"/>
        </w:rPr>
        <w:tab/>
      </w:r>
      <w:r>
        <w:rPr>
          <w:rFonts w:hint="cs"/>
          <w:rtl/>
          <w:lang w:val="fr-CH"/>
        </w:rPr>
        <w:t>(ج)</w:t>
      </w:r>
      <w:r>
        <w:rPr>
          <w:rFonts w:hint="cs"/>
          <w:rtl/>
          <w:lang w:val="fr-CH"/>
        </w:rPr>
        <w:tab/>
        <w:t>يجعل ارتكاب جريمة بدافع أو بهدف عنصري ظرفاً مشدداً بموجب القانون الجنائي (المواد 1 و2 و6).</w:t>
      </w:r>
    </w:p>
    <w:p w:rsidR="00CB2B40" w:rsidRPr="00B9543C" w:rsidRDefault="004E5C71" w:rsidP="00B57AAB">
      <w:pPr>
        <w:pStyle w:val="SingleTxtGA"/>
        <w:rPr>
          <w:rFonts w:hint="cs"/>
          <w:b/>
          <w:bCs/>
          <w:rtl/>
          <w:lang w:val="fr-CH"/>
        </w:rPr>
      </w:pPr>
      <w:r>
        <w:rPr>
          <w:rFonts w:hint="cs"/>
          <w:b/>
          <w:bCs/>
          <w:rtl/>
          <w:lang w:val="fr-CH"/>
        </w:rPr>
        <w:tab/>
      </w:r>
      <w:r w:rsidR="00CB2B40" w:rsidRPr="00B9543C">
        <w:rPr>
          <w:rFonts w:hint="cs"/>
          <w:b/>
          <w:bCs/>
          <w:rtl/>
          <w:lang w:val="fr-CH"/>
        </w:rPr>
        <w:t>توصي اللجنة الدولة الطرف بأن:</w:t>
      </w:r>
    </w:p>
    <w:p w:rsidR="00CB2B40" w:rsidRDefault="00CB2B40" w:rsidP="00BC0648">
      <w:pPr>
        <w:pStyle w:val="SingleTxtGA"/>
        <w:rPr>
          <w:rFonts w:hint="cs"/>
          <w:b/>
          <w:bCs/>
          <w:rtl/>
          <w:lang w:val="fr-CH"/>
        </w:rPr>
      </w:pPr>
      <w:r>
        <w:rPr>
          <w:b/>
          <w:bCs/>
          <w:rtl/>
          <w:lang w:val="fr-CH"/>
        </w:rPr>
        <w:tab/>
      </w:r>
      <w:r>
        <w:rPr>
          <w:rFonts w:hint="cs"/>
          <w:b/>
          <w:bCs/>
          <w:rtl/>
          <w:lang w:val="fr-CH"/>
        </w:rPr>
        <w:t>(أ)</w:t>
      </w:r>
      <w:r>
        <w:rPr>
          <w:rFonts w:hint="cs"/>
          <w:b/>
          <w:bCs/>
          <w:rtl/>
          <w:lang w:val="fr-CH"/>
        </w:rPr>
        <w:tab/>
        <w:t>تعتمد تعريفاً واضحاً وشاملاً للتمييز العنصري يتضمن التمييز المباشر وغير المباشر ويشمل جميع ميادين القانون والحياة العامة، وفقاً للفقرة 1 من المادة 1</w:t>
      </w:r>
      <w:r w:rsidR="00BC0648">
        <w:rPr>
          <w:rFonts w:hint="cs"/>
          <w:b/>
          <w:bCs/>
          <w:rtl/>
          <w:lang w:val="fr-CH"/>
        </w:rPr>
        <w:t xml:space="preserve">          الاتفاقية</w:t>
      </w:r>
      <w:r>
        <w:rPr>
          <w:rFonts w:hint="cs"/>
          <w:b/>
          <w:bCs/>
          <w:rtl/>
          <w:lang w:val="fr-CH"/>
        </w:rPr>
        <w:t>؛</w:t>
      </w:r>
    </w:p>
    <w:p w:rsidR="00CB2B40" w:rsidRDefault="00CB2B40" w:rsidP="00B57AAB">
      <w:pPr>
        <w:pStyle w:val="SingleTxtGA"/>
        <w:rPr>
          <w:rFonts w:hint="cs"/>
          <w:b/>
          <w:bCs/>
          <w:rtl/>
          <w:lang w:val="fr-CH"/>
        </w:rPr>
      </w:pPr>
      <w:r>
        <w:rPr>
          <w:b/>
          <w:bCs/>
          <w:rtl/>
          <w:lang w:val="fr-CH"/>
        </w:rPr>
        <w:tab/>
      </w:r>
      <w:r>
        <w:rPr>
          <w:rFonts w:hint="cs"/>
          <w:b/>
          <w:bCs/>
          <w:rtl/>
          <w:lang w:val="fr-CH"/>
        </w:rPr>
        <w:t>(ب)</w:t>
      </w:r>
      <w:r>
        <w:rPr>
          <w:rFonts w:hint="cs"/>
          <w:b/>
          <w:bCs/>
          <w:rtl/>
          <w:lang w:val="fr-CH"/>
        </w:rPr>
        <w:tab/>
        <w:t>تصدر حكماً شاملاً في قانونيها المدني والإداري يحظر كل من التمييز العنصري المباشر وغير المباشر في جميع مجالات الحياة الخاصة والعامة، ويقدم سبل انتصاف مناسبة لجبر هذا التمييز؛</w:t>
      </w:r>
    </w:p>
    <w:p w:rsidR="00CB2B40" w:rsidRDefault="00CB2B40" w:rsidP="000B04FD">
      <w:pPr>
        <w:pStyle w:val="SingleTxtGA"/>
        <w:rPr>
          <w:rFonts w:hint="cs"/>
          <w:b/>
          <w:bCs/>
          <w:rtl/>
          <w:lang w:val="fr-CH"/>
        </w:rPr>
      </w:pPr>
      <w:r>
        <w:rPr>
          <w:b/>
          <w:bCs/>
          <w:rtl/>
          <w:lang w:val="fr-CH"/>
        </w:rPr>
        <w:tab/>
      </w:r>
      <w:r>
        <w:rPr>
          <w:rFonts w:hint="cs"/>
          <w:b/>
          <w:bCs/>
          <w:rtl/>
          <w:lang w:val="fr-CH"/>
        </w:rPr>
        <w:t>(ج)</w:t>
      </w:r>
      <w:r w:rsidR="000B04FD">
        <w:rPr>
          <w:rFonts w:hint="cs"/>
          <w:b/>
          <w:bCs/>
          <w:rtl/>
          <w:lang w:val="fr-CH"/>
        </w:rPr>
        <w:tab/>
      </w:r>
      <w:r>
        <w:rPr>
          <w:rFonts w:hint="cs"/>
          <w:b/>
          <w:bCs/>
          <w:rtl/>
          <w:lang w:val="fr-CH"/>
        </w:rPr>
        <w:t xml:space="preserve">تدمج حكماً في القانون الجنائي يعتبر ارتكاب جريمة بدافع أو هدف عنصري ظرفاً مشدداً يسمح </w:t>
      </w:r>
      <w:r w:rsidR="000B04FD">
        <w:rPr>
          <w:rFonts w:hint="cs"/>
          <w:b/>
          <w:bCs/>
          <w:rtl/>
          <w:lang w:val="fr-CH"/>
        </w:rPr>
        <w:t>بعقوبة أشد</w:t>
      </w:r>
      <w:r>
        <w:rPr>
          <w:rFonts w:hint="cs"/>
          <w:b/>
          <w:bCs/>
          <w:rtl/>
          <w:lang w:val="fr-CH"/>
        </w:rPr>
        <w:t xml:space="preserve">، وفقاً لما يرد في توصية اللجنة العامة </w:t>
      </w:r>
      <w:r w:rsidR="00F11768">
        <w:rPr>
          <w:rFonts w:hint="cs"/>
          <w:b/>
          <w:bCs/>
          <w:rtl/>
          <w:lang w:val="fr-CH"/>
        </w:rPr>
        <w:t xml:space="preserve">          </w:t>
      </w:r>
      <w:r>
        <w:rPr>
          <w:rFonts w:hint="cs"/>
          <w:b/>
          <w:bCs/>
          <w:rtl/>
          <w:lang w:val="fr-CH"/>
        </w:rPr>
        <w:t>رقم 30(2004) بشأن التمييز ضد غير المو</w:t>
      </w:r>
      <w:r w:rsidR="00C5014D">
        <w:rPr>
          <w:rFonts w:hint="cs"/>
          <w:b/>
          <w:bCs/>
          <w:rtl/>
          <w:lang w:val="fr-CH"/>
        </w:rPr>
        <w:t>اطنين، وت</w:t>
      </w:r>
      <w:r>
        <w:rPr>
          <w:rFonts w:hint="cs"/>
          <w:b/>
          <w:bCs/>
          <w:rtl/>
          <w:lang w:val="fr-CH"/>
        </w:rPr>
        <w:t>راعي توصية اللجنة العامة</w:t>
      </w:r>
      <w:r w:rsidR="00F11768">
        <w:rPr>
          <w:rFonts w:hint="cs"/>
          <w:b/>
          <w:bCs/>
          <w:rtl/>
          <w:lang w:val="fr-CH"/>
        </w:rPr>
        <w:t xml:space="preserve">            </w:t>
      </w:r>
      <w:r>
        <w:rPr>
          <w:rFonts w:hint="cs"/>
          <w:b/>
          <w:bCs/>
          <w:rtl/>
          <w:lang w:val="fr-CH"/>
        </w:rPr>
        <w:t xml:space="preserve"> رقم 31(2005) بشأن منع التمييز العنصري في إدارة وسير عمل نظام العدالة الجنائية.</w:t>
      </w:r>
    </w:p>
    <w:p w:rsidR="00CB2B40" w:rsidRDefault="00CB2B40" w:rsidP="00C5014D">
      <w:pPr>
        <w:pStyle w:val="SingleTxtGA"/>
        <w:rPr>
          <w:rFonts w:hint="cs"/>
          <w:rtl/>
          <w:lang w:val="fr-CH"/>
        </w:rPr>
      </w:pPr>
      <w:r w:rsidRPr="001D7184">
        <w:rPr>
          <w:rFonts w:hint="cs"/>
          <w:rtl/>
          <w:lang w:val="fr-CH"/>
        </w:rPr>
        <w:t>7-</w:t>
      </w:r>
      <w:r w:rsidRPr="001D7184">
        <w:rPr>
          <w:rFonts w:hint="cs"/>
          <w:rtl/>
          <w:lang w:val="fr-CH"/>
        </w:rPr>
        <w:tab/>
      </w:r>
      <w:r>
        <w:rPr>
          <w:rFonts w:hint="cs"/>
          <w:rtl/>
          <w:lang w:val="fr-CH"/>
        </w:rPr>
        <w:t xml:space="preserve">ويساور اللجنة القلق إزاء التفسير التقييدي للمادة 261 مكرراً من القانون الجنائي من جانب السلطات القضائية، </w:t>
      </w:r>
      <w:r w:rsidR="000920EA">
        <w:rPr>
          <w:rFonts w:hint="cs"/>
          <w:rtl/>
          <w:lang w:val="fr-CH"/>
        </w:rPr>
        <w:t>وتلاحظ أن</w:t>
      </w:r>
      <w:r>
        <w:rPr>
          <w:rFonts w:hint="cs"/>
          <w:rtl/>
          <w:lang w:val="fr-CH"/>
        </w:rPr>
        <w:t xml:space="preserve"> قضايا </w:t>
      </w:r>
      <w:r w:rsidR="000920EA">
        <w:rPr>
          <w:rFonts w:hint="cs"/>
          <w:rtl/>
          <w:lang w:val="fr-CH"/>
        </w:rPr>
        <w:t xml:space="preserve">التعليقات </w:t>
      </w:r>
      <w:r>
        <w:rPr>
          <w:rFonts w:hint="cs"/>
          <w:rtl/>
          <w:lang w:val="fr-CH"/>
        </w:rPr>
        <w:t>أو الأفعال التمييزية الموجهة ضد أشخاص من مناطق أو إثنيات معينة يتم تجاهلها في أحيان كثير</w:t>
      </w:r>
      <w:r w:rsidR="00E03BA7">
        <w:rPr>
          <w:rFonts w:hint="cs"/>
          <w:rtl/>
          <w:lang w:val="fr-CH"/>
        </w:rPr>
        <w:t>ة</w:t>
      </w:r>
      <w:r>
        <w:rPr>
          <w:rFonts w:hint="cs"/>
          <w:rtl/>
          <w:lang w:val="fr-CH"/>
        </w:rPr>
        <w:t xml:space="preserve"> بالاستناد إلى أنها لا تقوم على جنسية أو إثنية معينة. وتعرب عن مزيد من القلق لأنه بعد أن تمت مراجعة قانون الإجراءات الجنائية الذي دخل حيز النفاذ في كانون الثاني/يناير 2011</w:t>
      </w:r>
      <w:r w:rsidR="004F48A6">
        <w:rPr>
          <w:rFonts w:hint="cs"/>
          <w:rtl/>
          <w:lang w:val="fr-CH"/>
        </w:rPr>
        <w:t xml:space="preserve">، </w:t>
      </w:r>
      <w:r>
        <w:rPr>
          <w:rFonts w:hint="cs"/>
          <w:rtl/>
          <w:lang w:val="fr-CH"/>
        </w:rPr>
        <w:t>تنص المادة 115 منه على أنه لا يجوز إلاّ للشخص الذي تعرض مباشرة للأذى أن يكون طرفاً في الدعاوى، وبذلك تُستبعد الرابطات والمنظمات من إمكانية رفع شكاوى تتعلق بالتمييز العنصري. وتأسف اللجنة لأن سبل الانتصاف في مجال القانونين المدني والإداري تقتصر على التعويض لا غير (المادتان 2 و6).</w:t>
      </w:r>
    </w:p>
    <w:p w:rsidR="00CB2B40" w:rsidRDefault="00CB2B40" w:rsidP="00F91CC2">
      <w:pPr>
        <w:pStyle w:val="SingleTxtGA"/>
        <w:rPr>
          <w:b/>
          <w:bCs/>
          <w:rtl/>
          <w:lang w:val="fr-CH"/>
        </w:rPr>
      </w:pPr>
      <w:r>
        <w:rPr>
          <w:rtl/>
          <w:lang w:val="fr-CH"/>
        </w:rPr>
        <w:tab/>
      </w:r>
      <w:r>
        <w:rPr>
          <w:rFonts w:hint="cs"/>
          <w:b/>
          <w:bCs/>
          <w:rtl/>
          <w:lang w:val="fr-CH"/>
        </w:rPr>
        <w:t xml:space="preserve">تحث اللجنة الدولة الطرف على أن تتخذ تدابير فعالة وفقاً لما هو منصوص عليه في المادة 6 من الاتفاقية، لضمان تمتع جميع الأشخاص ضمن ولايتها القضائية بالحماية </w:t>
      </w:r>
      <w:r w:rsidR="000C4328">
        <w:rPr>
          <w:rFonts w:hint="cs"/>
          <w:b/>
          <w:bCs/>
          <w:rtl/>
          <w:lang w:val="fr-CH"/>
        </w:rPr>
        <w:t>وحصولهم</w:t>
      </w:r>
      <w:r>
        <w:rPr>
          <w:rFonts w:hint="cs"/>
          <w:b/>
          <w:bCs/>
          <w:rtl/>
          <w:lang w:val="fr-CH"/>
        </w:rPr>
        <w:t xml:space="preserve"> على سبل الانتصاف بشكل فعال، من أي فعل من أفعال التمييز العنصري الذي ينتهك حقوقهم، وذلك من خلال </w:t>
      </w:r>
      <w:r w:rsidR="001467E6">
        <w:rPr>
          <w:rFonts w:hint="cs"/>
          <w:b/>
          <w:bCs/>
          <w:rtl/>
          <w:lang w:val="fr-CH"/>
        </w:rPr>
        <w:t>ال</w:t>
      </w:r>
      <w:r>
        <w:rPr>
          <w:rFonts w:hint="cs"/>
          <w:b/>
          <w:bCs/>
          <w:rtl/>
          <w:lang w:val="fr-CH"/>
        </w:rPr>
        <w:t xml:space="preserve">محاكم </w:t>
      </w:r>
      <w:r w:rsidR="001467E6">
        <w:rPr>
          <w:rFonts w:hint="cs"/>
          <w:b/>
          <w:bCs/>
          <w:rtl/>
          <w:lang w:val="fr-CH"/>
        </w:rPr>
        <w:t>ال</w:t>
      </w:r>
      <w:r>
        <w:rPr>
          <w:rFonts w:hint="cs"/>
          <w:b/>
          <w:bCs/>
          <w:rtl/>
          <w:lang w:val="fr-CH"/>
        </w:rPr>
        <w:t xml:space="preserve">وطنية </w:t>
      </w:r>
      <w:r w:rsidR="001467E6">
        <w:rPr>
          <w:rFonts w:hint="cs"/>
          <w:b/>
          <w:bCs/>
          <w:rtl/>
          <w:lang w:val="fr-CH"/>
        </w:rPr>
        <w:t>ال</w:t>
      </w:r>
      <w:r>
        <w:rPr>
          <w:rFonts w:hint="cs"/>
          <w:b/>
          <w:bCs/>
          <w:rtl/>
          <w:lang w:val="fr-CH"/>
        </w:rPr>
        <w:t>مختصة وغيرها من مؤسسات الدولة</w:t>
      </w:r>
      <w:r w:rsidR="004F48A6">
        <w:rPr>
          <w:rFonts w:hint="cs"/>
          <w:b/>
          <w:bCs/>
          <w:rtl/>
          <w:lang w:val="fr-CH"/>
        </w:rPr>
        <w:t xml:space="preserve">، </w:t>
      </w:r>
      <w:r>
        <w:rPr>
          <w:rFonts w:hint="cs"/>
          <w:b/>
          <w:bCs/>
          <w:rtl/>
          <w:lang w:val="fr-CH"/>
        </w:rPr>
        <w:t xml:space="preserve">وكذلك تمتعهم بالحق في التماس تعويض أو </w:t>
      </w:r>
      <w:r w:rsidR="00BC38B9">
        <w:rPr>
          <w:rFonts w:hint="cs"/>
          <w:b/>
          <w:bCs/>
          <w:rtl/>
          <w:lang w:val="fr-CH"/>
        </w:rPr>
        <w:t>الترضية بشكل</w:t>
      </w:r>
      <w:r>
        <w:rPr>
          <w:rFonts w:hint="cs"/>
          <w:b/>
          <w:bCs/>
          <w:rtl/>
          <w:lang w:val="fr-CH"/>
        </w:rPr>
        <w:t xml:space="preserve"> عادل ومناسب من هذه المحاكم عن أي أذى يتعرضون له نتيجة ذلك التمييز، بما في ذلك رد الاعتبار. وتدعو اللجنة الدولة الطرف أيضاً إلى توعية العاملين في مجال القانون، بما في ذلك هيئة القضاء، بالمعايير الدولية المتعلقة بمكافحة التمييز العنصري.</w:t>
      </w:r>
    </w:p>
    <w:p w:rsidR="00CB2B40" w:rsidRDefault="00CB2B40" w:rsidP="00EE6613">
      <w:pPr>
        <w:pStyle w:val="SingleTxtGA"/>
        <w:rPr>
          <w:rFonts w:hint="cs"/>
          <w:rtl/>
          <w:lang w:val="fr-CH"/>
        </w:rPr>
      </w:pPr>
      <w:r>
        <w:rPr>
          <w:rFonts w:hint="cs"/>
          <w:rtl/>
          <w:lang w:val="fr-CH"/>
        </w:rPr>
        <w:t>8-</w:t>
      </w:r>
      <w:r>
        <w:rPr>
          <w:rFonts w:hint="cs"/>
          <w:rtl/>
          <w:lang w:val="fr-CH"/>
        </w:rPr>
        <w:tab/>
        <w:t xml:space="preserve">واللجنة إذ </w:t>
      </w:r>
      <w:r w:rsidR="00EE6613">
        <w:rPr>
          <w:rFonts w:hint="cs"/>
          <w:rtl/>
          <w:lang w:val="fr-CH"/>
        </w:rPr>
        <w:t>تحيط</w:t>
      </w:r>
      <w:r>
        <w:rPr>
          <w:rFonts w:hint="cs"/>
          <w:rtl/>
          <w:lang w:val="fr-CH"/>
        </w:rPr>
        <w:t xml:space="preserve"> علماً بالنظام الوحيد للديمقراطية المباشرة في الدولة الطرف، تعرب عن قلق بالغ لعدم وجود ضمانات كافية تكفل عدم تناقض المبادرات الشعبية التي يقترحها المواطنون، مع التزامات الدولة الطرف بموجب الاتفاقية (المادة 2).</w:t>
      </w:r>
    </w:p>
    <w:p w:rsidR="00CB2B40" w:rsidRDefault="00CB2B40" w:rsidP="00B57AAB">
      <w:pPr>
        <w:pStyle w:val="SingleTxtGA"/>
        <w:rPr>
          <w:rFonts w:hint="cs"/>
          <w:b/>
          <w:bCs/>
          <w:rtl/>
          <w:lang w:val="fr-CH"/>
        </w:rPr>
      </w:pPr>
      <w:r>
        <w:rPr>
          <w:rFonts w:hint="cs"/>
          <w:rtl/>
          <w:lang w:val="fr-CH"/>
        </w:rPr>
        <w:tab/>
      </w:r>
      <w:r>
        <w:rPr>
          <w:rFonts w:hint="cs"/>
          <w:b/>
          <w:bCs/>
          <w:rtl/>
          <w:lang w:val="fr-CH"/>
        </w:rPr>
        <w:t xml:space="preserve">تحث اللجنة الدولة الطرف على تكثيف جهودها لإنشاء آلية فعالة ومستقلة لمراجعة تطابق المبادرات الشعبية مع التزامات الدولة الطرف بموجب القانون الدولي لحقوق الإنسان، بما في ذلك الاتفاقية. وتوصي اللجنة الدولة الطرف أيضاً بأن تعزز بصورة عاجلة ومنتظمة جهودها على جميع المستويات لكي تنشر على نطاق واسع وتبث الوعي في صفوف الجمهور بشأن أي تناقض بين المبادرات المقترحة والالتزامات الدولية للدولة الطرف في مجال حقوق الإنسان، وكذلك بالنتائج المترتبة على ذلك. </w:t>
      </w:r>
    </w:p>
    <w:p w:rsidR="009D5A8E" w:rsidRDefault="009D5A8E" w:rsidP="00B57AAB">
      <w:pPr>
        <w:pStyle w:val="SingleTxtGA"/>
        <w:rPr>
          <w:rFonts w:hint="cs"/>
          <w:b/>
          <w:bCs/>
          <w:rtl/>
          <w:lang w:val="fr-CH"/>
        </w:rPr>
      </w:pPr>
    </w:p>
    <w:p w:rsidR="00CB2B40" w:rsidRDefault="009D5A8E" w:rsidP="007F315D">
      <w:pPr>
        <w:pStyle w:val="H23GA"/>
        <w:rPr>
          <w:rFonts w:hint="cs"/>
          <w:rtl/>
          <w:lang w:val="fr-CH"/>
        </w:rPr>
      </w:pPr>
      <w:r>
        <w:rPr>
          <w:rFonts w:hint="cs"/>
          <w:rtl/>
          <w:lang w:val="fr-CH"/>
        </w:rPr>
        <w:tab/>
      </w:r>
      <w:r>
        <w:rPr>
          <w:rFonts w:hint="cs"/>
          <w:rtl/>
          <w:lang w:val="fr-CH"/>
        </w:rPr>
        <w:tab/>
      </w:r>
      <w:r w:rsidR="00CB2B40">
        <w:rPr>
          <w:rFonts w:hint="cs"/>
          <w:rtl/>
          <w:lang w:val="fr-CH"/>
        </w:rPr>
        <w:t>عدم تقديم بيانات يمكن التعويل عليها بشأن التمييز</w:t>
      </w:r>
    </w:p>
    <w:p w:rsidR="00CB2B40" w:rsidRDefault="00CB2B40" w:rsidP="00AB4884">
      <w:pPr>
        <w:pStyle w:val="SingleTxtGA"/>
        <w:rPr>
          <w:rFonts w:hint="cs"/>
          <w:rtl/>
        </w:rPr>
      </w:pPr>
      <w:r>
        <w:rPr>
          <w:rFonts w:hint="cs"/>
          <w:rtl/>
          <w:lang w:val="fr-CH"/>
        </w:rPr>
        <w:t>9-</w:t>
      </w:r>
      <w:r>
        <w:rPr>
          <w:rFonts w:hint="cs"/>
          <w:rtl/>
          <w:lang w:val="fr-CH"/>
        </w:rPr>
        <w:tab/>
        <w:t xml:space="preserve">على الرغم من الادعاءات بالتمييز القائم على </w:t>
      </w:r>
      <w:r w:rsidR="0042744B">
        <w:rPr>
          <w:rFonts w:hint="cs"/>
          <w:rtl/>
          <w:lang w:val="fr-CH"/>
        </w:rPr>
        <w:t>العرق</w:t>
      </w:r>
      <w:r>
        <w:rPr>
          <w:rFonts w:hint="cs"/>
          <w:rtl/>
          <w:lang w:val="fr-CH"/>
        </w:rPr>
        <w:t xml:space="preserve"> أو اللون أو </w:t>
      </w:r>
      <w:r w:rsidR="0042744B">
        <w:rPr>
          <w:rFonts w:hint="cs"/>
          <w:rtl/>
          <w:lang w:val="fr-CH"/>
        </w:rPr>
        <w:t xml:space="preserve">النسب </w:t>
      </w:r>
      <w:r>
        <w:rPr>
          <w:rFonts w:hint="cs"/>
          <w:rtl/>
          <w:lang w:val="fr-CH"/>
        </w:rPr>
        <w:t xml:space="preserve">أو الأصل القومي أو الإثني في مختلف مجالات الحياة العامة والخاصة، ولا سيما في الوصول إلى السكن وسوق العمل، وفي المعاملة داخل العمل وفي المدارس، يساور اللجنة القلق لعدم تقديم بيانات </w:t>
      </w:r>
      <w:r w:rsidR="00683B82">
        <w:rPr>
          <w:rFonts w:hint="cs"/>
          <w:rtl/>
          <w:lang w:val="fr-CH"/>
        </w:rPr>
        <w:t xml:space="preserve">شاملة </w:t>
      </w:r>
      <w:r>
        <w:rPr>
          <w:rFonts w:hint="cs"/>
          <w:rtl/>
          <w:lang w:val="fr-CH"/>
        </w:rPr>
        <w:t xml:space="preserve">يمكن التعويل عليها بشأن مثل هذه الحالات، بما في ذلك الدعاوى المرفوعة أمام المحاكم. وفضلاً عن ذلك، وفيما </w:t>
      </w:r>
      <w:r w:rsidR="00683B82">
        <w:rPr>
          <w:rFonts w:hint="cs"/>
          <w:rtl/>
          <w:lang w:val="fr-CH"/>
        </w:rPr>
        <w:t>تحيط</w:t>
      </w:r>
      <w:r>
        <w:rPr>
          <w:rFonts w:hint="cs"/>
          <w:rtl/>
          <w:lang w:val="fr-CH"/>
        </w:rPr>
        <w:t xml:space="preserve"> اللجنة علماً بإنشاء نظام </w:t>
      </w:r>
      <w:r>
        <w:t>DoSyRa</w:t>
      </w:r>
      <w:r>
        <w:rPr>
          <w:rFonts w:hint="cs"/>
          <w:rtl/>
        </w:rPr>
        <w:t xml:space="preserve"> للتوثيق والرصد في عام 2008 لتسجيل حالات </w:t>
      </w:r>
      <w:r w:rsidR="00E44FD1">
        <w:rPr>
          <w:rFonts w:hint="cs"/>
          <w:rtl/>
        </w:rPr>
        <w:t>العنصرية</w:t>
      </w:r>
      <w:r>
        <w:rPr>
          <w:rFonts w:hint="cs"/>
          <w:rtl/>
        </w:rPr>
        <w:t xml:space="preserve"> التي تسجلها دوائر تقديم المشورة </w:t>
      </w:r>
      <w:r w:rsidR="007038A9">
        <w:rPr>
          <w:rFonts w:hint="cs"/>
          <w:rtl/>
        </w:rPr>
        <w:t>التابعة ل</w:t>
      </w:r>
      <w:r>
        <w:rPr>
          <w:rFonts w:hint="cs"/>
          <w:rtl/>
        </w:rPr>
        <w:t xml:space="preserve">شبكة تقديم المشورة إلى ضحايا العنصرية، وبأنه أسندت إلى اللجنة الاتحادية لمكافحة العنصرية مهمة جمع الإحصاءات بشأن الحالات </w:t>
      </w:r>
      <w:r w:rsidR="00502384">
        <w:rPr>
          <w:rFonts w:hint="cs"/>
          <w:rtl/>
        </w:rPr>
        <w:t xml:space="preserve">التي تندرج </w:t>
      </w:r>
      <w:r>
        <w:rPr>
          <w:rFonts w:hint="cs"/>
          <w:rtl/>
        </w:rPr>
        <w:t>في إطار المادة 261 مكرراً من القانون الجنائي، فإن</w:t>
      </w:r>
      <w:r w:rsidR="00DB1424">
        <w:rPr>
          <w:rFonts w:hint="cs"/>
          <w:rtl/>
        </w:rPr>
        <w:t>ها</w:t>
      </w:r>
      <w:r>
        <w:rPr>
          <w:rFonts w:hint="cs"/>
          <w:rtl/>
        </w:rPr>
        <w:t xml:space="preserve"> </w:t>
      </w:r>
      <w:r w:rsidR="00AB4884">
        <w:rPr>
          <w:rFonts w:hint="cs"/>
          <w:rtl/>
        </w:rPr>
        <w:t xml:space="preserve">تعرب عن </w:t>
      </w:r>
      <w:r>
        <w:rPr>
          <w:rFonts w:hint="cs"/>
          <w:rtl/>
        </w:rPr>
        <w:t>القلق لأنه لا توجد ممارسة للإبلاغ مكرسة على مستوى البلاد (المادتان 2 و6).</w:t>
      </w:r>
    </w:p>
    <w:p w:rsidR="00CB2B40" w:rsidRDefault="00CB2B40" w:rsidP="00C5014D">
      <w:pPr>
        <w:pStyle w:val="SingleTxtGA"/>
        <w:rPr>
          <w:rFonts w:hint="cs"/>
          <w:b/>
          <w:bCs/>
          <w:rtl/>
        </w:rPr>
      </w:pPr>
      <w:r>
        <w:rPr>
          <w:rtl/>
        </w:rPr>
        <w:tab/>
      </w:r>
      <w:r>
        <w:rPr>
          <w:rFonts w:hint="cs"/>
          <w:b/>
          <w:bCs/>
          <w:rtl/>
        </w:rPr>
        <w:t>توصي اللجنة الدولة الطرف بأن تنشئ نظاماً فعالاً لجمع البيانات، باستخدام مؤشرات مختلفة للتنوع الإثني تقوم على إغفال الهوية و</w:t>
      </w:r>
      <w:r w:rsidR="00D84C7D">
        <w:rPr>
          <w:rFonts w:hint="cs"/>
          <w:b/>
          <w:bCs/>
          <w:rtl/>
        </w:rPr>
        <w:t>ال</w:t>
      </w:r>
      <w:r>
        <w:rPr>
          <w:rFonts w:hint="cs"/>
          <w:b/>
          <w:bCs/>
          <w:rtl/>
        </w:rPr>
        <w:t xml:space="preserve">تعريف </w:t>
      </w:r>
      <w:r w:rsidR="00D84C7D">
        <w:rPr>
          <w:rFonts w:hint="cs"/>
          <w:b/>
          <w:bCs/>
          <w:rtl/>
        </w:rPr>
        <w:t>الذاتي للأشخاص والجماعات</w:t>
      </w:r>
      <w:r>
        <w:rPr>
          <w:rFonts w:hint="cs"/>
          <w:b/>
          <w:bCs/>
          <w:rtl/>
        </w:rPr>
        <w:t>، بغية إتاحة أساس عملي مناسب للسياسات الرامية إلى تعزيز تمتع</w:t>
      </w:r>
      <w:r w:rsidR="00F35C5C">
        <w:rPr>
          <w:rFonts w:hint="cs"/>
          <w:b/>
          <w:bCs/>
          <w:rtl/>
        </w:rPr>
        <w:t xml:space="preserve"> جميع </w:t>
      </w:r>
      <w:r>
        <w:rPr>
          <w:rFonts w:hint="cs"/>
          <w:b/>
          <w:bCs/>
          <w:rtl/>
        </w:rPr>
        <w:t xml:space="preserve"> الأفراد على قدم المساواة </w:t>
      </w:r>
      <w:r w:rsidR="00746F1A">
        <w:rPr>
          <w:rFonts w:hint="cs"/>
          <w:b/>
          <w:bCs/>
          <w:rtl/>
        </w:rPr>
        <w:t>ب</w:t>
      </w:r>
      <w:r>
        <w:rPr>
          <w:rFonts w:hint="cs"/>
          <w:b/>
          <w:bCs/>
          <w:rtl/>
        </w:rPr>
        <w:t>الحقوق المكرسة في الاتفاقية وتيسير أعمال الرصد في هذا المجال، على النحو الوارد في المبادئ التوجيهية المنقحة المتعلقة بإعداد التقارير (</w:t>
      </w:r>
      <w:r>
        <w:rPr>
          <w:b/>
          <w:bCs/>
        </w:rPr>
        <w:t>CERD/C/2007/1</w:t>
      </w:r>
      <w:r>
        <w:rPr>
          <w:rFonts w:hint="cs"/>
          <w:b/>
          <w:bCs/>
          <w:rtl/>
        </w:rPr>
        <w:t>، الفقرتان 10 و12)، مع مراعاة تعليق اللجنة العام</w:t>
      </w:r>
      <w:r w:rsidR="00C5014D">
        <w:rPr>
          <w:rFonts w:hint="cs"/>
          <w:b/>
          <w:bCs/>
          <w:rtl/>
        </w:rPr>
        <w:t xml:space="preserve">                    </w:t>
      </w:r>
      <w:r>
        <w:rPr>
          <w:rFonts w:hint="cs"/>
          <w:b/>
          <w:bCs/>
          <w:rtl/>
        </w:rPr>
        <w:t xml:space="preserve"> رقم </w:t>
      </w:r>
      <w:r w:rsidR="00C5014D">
        <w:rPr>
          <w:rFonts w:hint="cs"/>
          <w:b/>
          <w:bCs/>
          <w:rtl/>
        </w:rPr>
        <w:t>24</w:t>
      </w:r>
      <w:r>
        <w:rPr>
          <w:rFonts w:hint="cs"/>
          <w:b/>
          <w:bCs/>
          <w:rtl/>
        </w:rPr>
        <w:t xml:space="preserve">(1999) بشأن الإبلاغ عن الأشخاص المنتمين لأعراق </w:t>
      </w:r>
      <w:r w:rsidR="00423562">
        <w:rPr>
          <w:rFonts w:hint="cs"/>
          <w:b/>
          <w:bCs/>
          <w:rtl/>
        </w:rPr>
        <w:t xml:space="preserve">مختلفة، </w:t>
      </w:r>
      <w:r w:rsidR="00137E5F">
        <w:rPr>
          <w:rFonts w:hint="cs"/>
          <w:b/>
          <w:bCs/>
          <w:rtl/>
        </w:rPr>
        <w:t xml:space="preserve">أو </w:t>
      </w:r>
      <w:r>
        <w:rPr>
          <w:rFonts w:hint="cs"/>
          <w:b/>
          <w:bCs/>
          <w:rtl/>
        </w:rPr>
        <w:t>مجموعات وطنية/إثنية</w:t>
      </w:r>
      <w:r w:rsidR="006F7B0B">
        <w:rPr>
          <w:rFonts w:hint="cs"/>
          <w:b/>
          <w:bCs/>
          <w:rtl/>
        </w:rPr>
        <w:t>،</w:t>
      </w:r>
      <w:r>
        <w:rPr>
          <w:rFonts w:hint="cs"/>
          <w:b/>
          <w:bCs/>
          <w:rtl/>
        </w:rPr>
        <w:t xml:space="preserve"> أو شعوب أصلية. وتحث اللجنة الدولة الطرف </w:t>
      </w:r>
      <w:r w:rsidR="006F7B0B">
        <w:rPr>
          <w:rFonts w:hint="cs"/>
          <w:b/>
          <w:bCs/>
          <w:rtl/>
        </w:rPr>
        <w:t xml:space="preserve">كذلك </w:t>
      </w:r>
      <w:r>
        <w:rPr>
          <w:rFonts w:hint="cs"/>
          <w:b/>
          <w:bCs/>
          <w:rtl/>
        </w:rPr>
        <w:t xml:space="preserve">على </w:t>
      </w:r>
      <w:r w:rsidR="00140BF3">
        <w:rPr>
          <w:rFonts w:hint="cs"/>
          <w:b/>
          <w:bCs/>
          <w:rtl/>
        </w:rPr>
        <w:t xml:space="preserve">ضمان تمتع </w:t>
      </w:r>
      <w:r>
        <w:rPr>
          <w:rFonts w:hint="cs"/>
          <w:b/>
          <w:bCs/>
          <w:rtl/>
        </w:rPr>
        <w:t xml:space="preserve">جميع الأشخاص المتواجدين ضمن ولايتها القضائية بالحق في </w:t>
      </w:r>
      <w:r w:rsidR="00682C43">
        <w:rPr>
          <w:rFonts w:hint="cs"/>
          <w:b/>
          <w:bCs/>
          <w:rtl/>
        </w:rPr>
        <w:t>ال</w:t>
      </w:r>
      <w:r>
        <w:rPr>
          <w:rFonts w:hint="cs"/>
          <w:b/>
          <w:bCs/>
          <w:rtl/>
        </w:rPr>
        <w:t>حماية وسبل ا</w:t>
      </w:r>
      <w:r w:rsidR="00682C43">
        <w:rPr>
          <w:rFonts w:hint="cs"/>
          <w:b/>
          <w:bCs/>
          <w:rtl/>
        </w:rPr>
        <w:t>لا</w:t>
      </w:r>
      <w:r>
        <w:rPr>
          <w:rFonts w:hint="cs"/>
          <w:b/>
          <w:bCs/>
          <w:rtl/>
        </w:rPr>
        <w:t xml:space="preserve">نتصاف </w:t>
      </w:r>
      <w:r w:rsidR="00682C43">
        <w:rPr>
          <w:rFonts w:hint="cs"/>
          <w:b/>
          <w:bCs/>
          <w:rtl/>
        </w:rPr>
        <w:t>ال</w:t>
      </w:r>
      <w:r>
        <w:rPr>
          <w:rFonts w:hint="cs"/>
          <w:b/>
          <w:bCs/>
          <w:rtl/>
        </w:rPr>
        <w:t xml:space="preserve">فعالة من التمييز في جميع مجالات الحياة العامة والخاصة، بما في ذلك الوصول إلى السكن وسوق العمل، وفي </w:t>
      </w:r>
      <w:r w:rsidR="008575CA">
        <w:rPr>
          <w:rFonts w:hint="cs"/>
          <w:b/>
          <w:bCs/>
          <w:rtl/>
        </w:rPr>
        <w:t>المعاملة</w:t>
      </w:r>
      <w:r>
        <w:rPr>
          <w:rFonts w:hint="cs"/>
          <w:b/>
          <w:bCs/>
          <w:rtl/>
        </w:rPr>
        <w:t xml:space="preserve"> داخل العمل وفي المدارس، مع تقديم التعويض أو </w:t>
      </w:r>
      <w:r w:rsidR="007C2E4F">
        <w:rPr>
          <w:rFonts w:hint="cs"/>
          <w:b/>
          <w:bCs/>
          <w:rtl/>
        </w:rPr>
        <w:t xml:space="preserve">الترضية على النحو المناسب </w:t>
      </w:r>
      <w:r>
        <w:rPr>
          <w:rFonts w:hint="cs"/>
          <w:b/>
          <w:bCs/>
          <w:rtl/>
        </w:rPr>
        <w:t>عن أي ضرر يلحق بالفرد نتيجة هذا التمييز، وفقاً للمادة 6 من الاتفاقية.</w:t>
      </w:r>
    </w:p>
    <w:p w:rsidR="00CB2B40" w:rsidRDefault="00034605" w:rsidP="007F315D">
      <w:pPr>
        <w:pStyle w:val="H23GA"/>
        <w:rPr>
          <w:rFonts w:hint="cs"/>
          <w:rtl/>
        </w:rPr>
      </w:pPr>
      <w:r>
        <w:rPr>
          <w:rFonts w:hint="cs"/>
          <w:rtl/>
        </w:rPr>
        <w:tab/>
      </w:r>
      <w:r>
        <w:rPr>
          <w:rFonts w:hint="cs"/>
          <w:rtl/>
        </w:rPr>
        <w:tab/>
      </w:r>
      <w:r w:rsidR="00CB2B40">
        <w:rPr>
          <w:rFonts w:hint="cs"/>
          <w:rtl/>
        </w:rPr>
        <w:t>المؤسسة الوطنية لحقوق الإنسان</w:t>
      </w:r>
    </w:p>
    <w:p w:rsidR="00CB2B40" w:rsidRDefault="00CB2B40" w:rsidP="006A09F6">
      <w:pPr>
        <w:pStyle w:val="SingleTxtGA"/>
        <w:rPr>
          <w:rFonts w:hint="cs"/>
          <w:rtl/>
        </w:rPr>
      </w:pPr>
      <w:r>
        <w:rPr>
          <w:rFonts w:hint="cs"/>
          <w:rtl/>
        </w:rPr>
        <w:t>10-</w:t>
      </w:r>
      <w:r>
        <w:rPr>
          <w:rFonts w:hint="cs"/>
          <w:rtl/>
        </w:rPr>
        <w:tab/>
        <w:t xml:space="preserve">فيما ترحب اللجنة بإصدار أمر تعيين جديد من جانب المجلس الاتحادي لتعزيز استقلالية اللجنة الاتحادية </w:t>
      </w:r>
      <w:r w:rsidR="006A09F6">
        <w:rPr>
          <w:rFonts w:hint="cs"/>
          <w:rtl/>
        </w:rPr>
        <w:t>لمناهضة</w:t>
      </w:r>
      <w:r>
        <w:rPr>
          <w:rFonts w:hint="cs"/>
          <w:rtl/>
        </w:rPr>
        <w:t xml:space="preserve"> التمييز، في أيار/مايو 2013، وإنشاء </w:t>
      </w:r>
      <w:r w:rsidR="006A09F6">
        <w:rPr>
          <w:rFonts w:hint="cs"/>
          <w:rtl/>
        </w:rPr>
        <w:t>بيت الخبرة</w:t>
      </w:r>
      <w:r>
        <w:rPr>
          <w:rFonts w:hint="cs"/>
          <w:rtl/>
        </w:rPr>
        <w:t xml:space="preserve"> السويسري </w:t>
      </w:r>
      <w:r w:rsidR="006A09F6">
        <w:rPr>
          <w:rFonts w:hint="cs"/>
          <w:rtl/>
        </w:rPr>
        <w:t>ل</w:t>
      </w:r>
      <w:r>
        <w:rPr>
          <w:rFonts w:hint="cs"/>
          <w:rtl/>
        </w:rPr>
        <w:t>حقوق الإنسان، في عام 2010، تكرر</w:t>
      </w:r>
      <w:r w:rsidR="00182664">
        <w:rPr>
          <w:rFonts w:hint="cs"/>
          <w:rtl/>
        </w:rPr>
        <w:t xml:space="preserve"> الإعراب عن</w:t>
      </w:r>
      <w:r>
        <w:rPr>
          <w:rFonts w:hint="cs"/>
          <w:rtl/>
        </w:rPr>
        <w:t xml:space="preserve"> قلقها لعدم وجود مؤسسة وطنية لحقوق الإنسان وفقاً لمبادئ باريس. وتلاحظ أيضاً أن اللجنة الاتحادية لمناهضة التمييز مُنحت مركز "جيم" من جانب لجنة التنسيق الدولية للمؤسسات الوطنية لتعزيز وحماية حقوق الإنسان (المادة 2).</w:t>
      </w:r>
    </w:p>
    <w:p w:rsidR="00CB2B40" w:rsidRPr="00F03BA7" w:rsidRDefault="00CB2B40" w:rsidP="00B57AAB">
      <w:pPr>
        <w:pStyle w:val="SingleTxtGA"/>
        <w:rPr>
          <w:rFonts w:hint="cs"/>
          <w:b/>
          <w:bCs/>
          <w:rtl/>
        </w:rPr>
      </w:pPr>
      <w:r>
        <w:rPr>
          <w:rFonts w:hint="cs"/>
          <w:rtl/>
        </w:rPr>
        <w:tab/>
      </w:r>
      <w:r>
        <w:rPr>
          <w:rFonts w:hint="cs"/>
          <w:b/>
          <w:bCs/>
          <w:rtl/>
        </w:rPr>
        <w:t>تكرر اللجنة توصياتها السابقة بأن تنظر الدولة الطرف في إنشاء مؤسسة وطنية لحقوق الإنسان وفقاً للمبادئ المتعلقة بمركز المؤسسات الوطنية (مبادئ باريس)، مع مراعاة تعليق اللجنة العام رقم 17(1993) بشأن إنشاء مؤسسات وطنية لتيسير تنفيذ الاتفاقية. وتوصي اللجنة أيضاً بأن تزو</w:t>
      </w:r>
      <w:r w:rsidR="00752D3C">
        <w:rPr>
          <w:rFonts w:hint="cs"/>
          <w:b/>
          <w:bCs/>
          <w:rtl/>
        </w:rPr>
        <w:t>َّ</w:t>
      </w:r>
      <w:r>
        <w:rPr>
          <w:rFonts w:hint="cs"/>
          <w:b/>
          <w:bCs/>
          <w:rtl/>
        </w:rPr>
        <w:t>د اللجنة الاتحادية لمناهضة التمييز بما يكفي من تمويل وموارد لكي تضطلع بفعالية واستقلالية بولايتها لمكافحة التمييز العنصري.</w:t>
      </w:r>
    </w:p>
    <w:p w:rsidR="00CB2B40" w:rsidRDefault="0042744B" w:rsidP="007F315D">
      <w:pPr>
        <w:pStyle w:val="H23GA"/>
        <w:rPr>
          <w:rFonts w:hint="cs"/>
          <w:rtl/>
          <w:lang w:val="fr-CH"/>
        </w:rPr>
      </w:pPr>
      <w:r>
        <w:rPr>
          <w:rFonts w:hint="cs"/>
          <w:rtl/>
          <w:lang w:val="fr-CH"/>
        </w:rPr>
        <w:tab/>
      </w:r>
      <w:r>
        <w:rPr>
          <w:rFonts w:hint="cs"/>
          <w:rtl/>
          <w:lang w:val="fr-CH"/>
        </w:rPr>
        <w:tab/>
      </w:r>
      <w:r w:rsidR="00CB2B40">
        <w:rPr>
          <w:rFonts w:hint="cs"/>
          <w:rtl/>
          <w:lang w:val="fr-CH"/>
        </w:rPr>
        <w:t>التحفظات</w:t>
      </w:r>
    </w:p>
    <w:p w:rsidR="00CB2B40" w:rsidRDefault="00CB2B40" w:rsidP="00096F48">
      <w:pPr>
        <w:pStyle w:val="SingleTxtGA"/>
        <w:rPr>
          <w:rFonts w:hint="cs"/>
          <w:rtl/>
          <w:lang w:val="fr-CH"/>
        </w:rPr>
      </w:pPr>
      <w:r>
        <w:rPr>
          <w:rFonts w:hint="cs"/>
          <w:rtl/>
          <w:lang w:val="fr-CH"/>
        </w:rPr>
        <w:t>11-</w:t>
      </w:r>
      <w:r>
        <w:rPr>
          <w:rFonts w:hint="cs"/>
          <w:rtl/>
          <w:lang w:val="fr-CH"/>
        </w:rPr>
        <w:tab/>
        <w:t xml:space="preserve">تكرر اللجنة </w:t>
      </w:r>
      <w:r w:rsidR="003403FE">
        <w:rPr>
          <w:rFonts w:hint="cs"/>
          <w:rtl/>
          <w:lang w:val="fr-CH"/>
        </w:rPr>
        <w:t xml:space="preserve">الإعراب عن </w:t>
      </w:r>
      <w:r>
        <w:rPr>
          <w:rFonts w:hint="cs"/>
          <w:rtl/>
          <w:lang w:val="fr-CH"/>
        </w:rPr>
        <w:t xml:space="preserve">قلقها </w:t>
      </w:r>
      <w:r w:rsidR="003403FE">
        <w:rPr>
          <w:rFonts w:hint="cs"/>
          <w:rtl/>
          <w:lang w:val="fr-CH"/>
        </w:rPr>
        <w:t xml:space="preserve">لإبقاء </w:t>
      </w:r>
      <w:r>
        <w:rPr>
          <w:rFonts w:hint="cs"/>
          <w:rtl/>
          <w:lang w:val="fr-CH"/>
        </w:rPr>
        <w:t xml:space="preserve">الدولة الطرف </w:t>
      </w:r>
      <w:r w:rsidR="003403FE">
        <w:rPr>
          <w:rFonts w:hint="cs"/>
          <w:rtl/>
          <w:lang w:val="fr-CH"/>
        </w:rPr>
        <w:t xml:space="preserve">على </w:t>
      </w:r>
      <w:r>
        <w:rPr>
          <w:rFonts w:hint="cs"/>
          <w:rtl/>
          <w:lang w:val="fr-CH"/>
        </w:rPr>
        <w:t xml:space="preserve">تحفظاتها على المادة 2 من الاتفاقية </w:t>
      </w:r>
      <w:r w:rsidR="00EB5458">
        <w:rPr>
          <w:rFonts w:hint="cs"/>
          <w:rtl/>
          <w:lang w:val="fr-CH"/>
        </w:rPr>
        <w:t xml:space="preserve">فيما يخص حقها </w:t>
      </w:r>
      <w:r>
        <w:rPr>
          <w:rFonts w:hint="cs"/>
          <w:rtl/>
          <w:lang w:val="fr-CH"/>
        </w:rPr>
        <w:t xml:space="preserve">في تطبيق أحكامها القانونية </w:t>
      </w:r>
      <w:r w:rsidR="0081642E">
        <w:rPr>
          <w:rFonts w:hint="cs"/>
          <w:rtl/>
          <w:lang w:val="fr-CH"/>
        </w:rPr>
        <w:t xml:space="preserve">بشأن </w:t>
      </w:r>
      <w:r>
        <w:rPr>
          <w:rFonts w:hint="cs"/>
          <w:rtl/>
          <w:lang w:val="fr-CH"/>
        </w:rPr>
        <w:t>دخول الأجانب إلى سوق العمل السويسري</w:t>
      </w:r>
      <w:r w:rsidR="008C4DCD">
        <w:rPr>
          <w:rFonts w:hint="cs"/>
          <w:rtl/>
          <w:lang w:val="fr-CH"/>
        </w:rPr>
        <w:t>ة</w:t>
      </w:r>
      <w:r>
        <w:rPr>
          <w:rFonts w:hint="cs"/>
          <w:rtl/>
          <w:lang w:val="fr-CH"/>
        </w:rPr>
        <w:t>، و</w:t>
      </w:r>
      <w:r w:rsidR="008C4DCD">
        <w:rPr>
          <w:rFonts w:hint="cs"/>
          <w:rtl/>
          <w:lang w:val="fr-CH"/>
        </w:rPr>
        <w:t xml:space="preserve">على </w:t>
      </w:r>
      <w:r>
        <w:rPr>
          <w:rFonts w:hint="cs"/>
          <w:rtl/>
          <w:lang w:val="fr-CH"/>
        </w:rPr>
        <w:t xml:space="preserve">المادة 4 </w:t>
      </w:r>
      <w:r w:rsidR="00096F48">
        <w:rPr>
          <w:rFonts w:hint="cs"/>
          <w:rtl/>
          <w:lang w:val="fr-CH"/>
        </w:rPr>
        <w:t xml:space="preserve">فيما يخص حقها </w:t>
      </w:r>
      <w:r>
        <w:rPr>
          <w:rFonts w:hint="cs"/>
          <w:rtl/>
          <w:lang w:val="fr-CH"/>
        </w:rPr>
        <w:t>في اتخاذ التدابير التشريعية اللازمة مع إيلاء المراعاة الواجبة لحرية الرأي وحرية التجمع (المادتان 2 و4).</w:t>
      </w:r>
    </w:p>
    <w:p w:rsidR="00CB2B40" w:rsidRDefault="00CB2B40" w:rsidP="00206B43">
      <w:pPr>
        <w:pStyle w:val="SingleTxtGA"/>
        <w:rPr>
          <w:rFonts w:hint="cs"/>
          <w:b/>
          <w:bCs/>
          <w:rtl/>
          <w:lang w:val="fr-CH"/>
        </w:rPr>
      </w:pPr>
      <w:r>
        <w:rPr>
          <w:rFonts w:hint="cs"/>
          <w:b/>
          <w:bCs/>
          <w:rtl/>
          <w:lang w:val="fr-CH"/>
        </w:rPr>
        <w:tab/>
        <w:t xml:space="preserve">تكرر اللجنة توصيتها السابقة بأن تنظر الدولة الطرف في سحب تحفظاتها على الفقرة 1(أ) من المادة 2 والمادة 4 من الاتفاقية. وإذا قررت الدولة الطرف أن </w:t>
      </w:r>
      <w:r w:rsidR="00DE27DC">
        <w:rPr>
          <w:rFonts w:hint="cs"/>
          <w:b/>
          <w:bCs/>
          <w:rtl/>
          <w:lang w:val="fr-CH"/>
        </w:rPr>
        <w:t xml:space="preserve">تبقي على </w:t>
      </w:r>
      <w:r>
        <w:rPr>
          <w:rFonts w:hint="cs"/>
          <w:b/>
          <w:bCs/>
          <w:rtl/>
          <w:lang w:val="fr-CH"/>
        </w:rPr>
        <w:t xml:space="preserve">تحفظاتها، فإن اللجنة تطلب منها أن تقدم في تقريرها الدوري المقبل معلومات مفصلة تبين سبب ضرورة هذه التحفظات، </w:t>
      </w:r>
      <w:r w:rsidR="00206B43">
        <w:rPr>
          <w:rFonts w:hint="cs"/>
          <w:b/>
          <w:bCs/>
          <w:rtl/>
          <w:lang w:val="fr-CH"/>
        </w:rPr>
        <w:t>وطابعها</w:t>
      </w:r>
      <w:r>
        <w:rPr>
          <w:rFonts w:hint="cs"/>
          <w:b/>
          <w:bCs/>
          <w:rtl/>
          <w:lang w:val="fr-CH"/>
        </w:rPr>
        <w:t xml:space="preserve"> ونطاق</w:t>
      </w:r>
      <w:r w:rsidR="00206B43">
        <w:rPr>
          <w:rFonts w:hint="cs"/>
          <w:b/>
          <w:bCs/>
          <w:rtl/>
          <w:lang w:val="fr-CH"/>
        </w:rPr>
        <w:t>ها</w:t>
      </w:r>
      <w:r>
        <w:rPr>
          <w:rFonts w:hint="cs"/>
          <w:b/>
          <w:bCs/>
          <w:rtl/>
          <w:lang w:val="fr-CH"/>
        </w:rPr>
        <w:t>، وآثارها الدقيقة من حيث القوانين والسياسات الوطنية، وما إذا كانت هناك أية خطط لوضع حد للتحفظات أو سحبها ضمن إطار زمني محدد.</w:t>
      </w:r>
    </w:p>
    <w:p w:rsidR="00CB2B40" w:rsidRPr="00AA187D" w:rsidRDefault="00CB2B40" w:rsidP="007F315D">
      <w:pPr>
        <w:pStyle w:val="H23GA"/>
        <w:rPr>
          <w:rFonts w:hint="cs"/>
          <w:rtl/>
          <w:lang w:val="fr-CH"/>
        </w:rPr>
      </w:pPr>
      <w:r>
        <w:rPr>
          <w:rFonts w:hint="cs"/>
          <w:rtl/>
          <w:lang w:val="fr-CH"/>
        </w:rPr>
        <w:tab/>
      </w:r>
      <w:r>
        <w:rPr>
          <w:rFonts w:hint="cs"/>
          <w:rtl/>
          <w:lang w:val="fr-CH"/>
        </w:rPr>
        <w:tab/>
        <w:t>العنصرية وكره الأجانب في الوسطين السياسي والإعلامي</w:t>
      </w:r>
    </w:p>
    <w:p w:rsidR="00CB2B40" w:rsidRDefault="00CB2B40" w:rsidP="001168EF">
      <w:pPr>
        <w:pStyle w:val="SingleTxtGA"/>
        <w:rPr>
          <w:rFonts w:hint="cs"/>
          <w:rtl/>
          <w:lang w:val="fr-CH"/>
        </w:rPr>
      </w:pPr>
      <w:r>
        <w:rPr>
          <w:rFonts w:hint="cs"/>
          <w:rtl/>
          <w:lang w:val="fr-CH"/>
        </w:rPr>
        <w:t>12-</w:t>
      </w:r>
      <w:r>
        <w:rPr>
          <w:rFonts w:hint="cs"/>
          <w:rtl/>
          <w:lang w:val="fr-CH"/>
        </w:rPr>
        <w:tab/>
        <w:t xml:space="preserve">يساور اللجنة قلق بالغ إزاء التنميط العنصري الذي يروجه أعضاء الأحزاب الشعبية لليمين المتطرف </w:t>
      </w:r>
      <w:r w:rsidR="00A57E78">
        <w:rPr>
          <w:rFonts w:hint="cs"/>
          <w:rtl/>
          <w:lang w:val="fr-CH"/>
        </w:rPr>
        <w:t>وبعض وسائط الإعلام</w:t>
      </w:r>
      <w:r>
        <w:rPr>
          <w:rFonts w:hint="cs"/>
          <w:rtl/>
          <w:lang w:val="fr-CH"/>
        </w:rPr>
        <w:t xml:space="preserve">، لا سيما ضد </w:t>
      </w:r>
      <w:r w:rsidR="00A57E78">
        <w:rPr>
          <w:rFonts w:hint="cs"/>
          <w:rtl/>
          <w:lang w:val="fr-CH"/>
        </w:rPr>
        <w:t xml:space="preserve">المنتمين إلى </w:t>
      </w:r>
      <w:r>
        <w:rPr>
          <w:rFonts w:hint="cs"/>
          <w:rtl/>
          <w:lang w:val="fr-CH"/>
        </w:rPr>
        <w:t>أفريقيا وجنوب شرق أوروبا</w:t>
      </w:r>
      <w:r w:rsidR="005B495C">
        <w:rPr>
          <w:rFonts w:hint="cs"/>
          <w:rtl/>
          <w:lang w:val="fr-CH"/>
        </w:rPr>
        <w:t>،</w:t>
      </w:r>
      <w:r>
        <w:rPr>
          <w:rFonts w:hint="cs"/>
          <w:rtl/>
          <w:lang w:val="fr-CH"/>
        </w:rPr>
        <w:t xml:space="preserve"> والمسلمين والرحَّل، والينيش والروما، وملتمسي اللجوء والمهاجرين. ويساورها القلق أيضاً إزاء عرض الملصقات السياسية ذات المحتوى العنصري و/أو المشير لكره الأجانب والرموز العنصرية، وكذلك إزاء السلوك العنصري وعدم الملاحقة القضائية في مثل هذه الحالات. ويساور اللجنة </w:t>
      </w:r>
      <w:r w:rsidR="0046243C">
        <w:rPr>
          <w:rFonts w:hint="cs"/>
          <w:rtl/>
          <w:lang w:val="fr-CH"/>
        </w:rPr>
        <w:t>ال</w:t>
      </w:r>
      <w:r>
        <w:rPr>
          <w:rFonts w:hint="cs"/>
          <w:rtl/>
          <w:lang w:val="fr-CH"/>
        </w:rPr>
        <w:t xml:space="preserve">قلق أيضاً إزاء نغمة كره الأجانب التي تعكسها المبادرات الشعبية التي تستهدف غير المواطنين، مثل المبادرة </w:t>
      </w:r>
      <w:r w:rsidR="001168EF">
        <w:rPr>
          <w:rFonts w:hint="cs"/>
          <w:rtl/>
          <w:lang w:val="fr-CH"/>
        </w:rPr>
        <w:t>"</w:t>
      </w:r>
      <w:r>
        <w:rPr>
          <w:rFonts w:hint="cs"/>
          <w:rtl/>
          <w:lang w:val="fr-CH"/>
        </w:rPr>
        <w:t xml:space="preserve">المناهِضة لبناء المآذن" التي اعتُمدت في </w:t>
      </w:r>
      <w:r w:rsidRPr="00504AE2">
        <w:rPr>
          <w:rFonts w:hint="cs"/>
          <w:sz w:val="30"/>
          <w:rtl/>
          <w:lang w:val="fr-CH"/>
        </w:rPr>
        <w:t xml:space="preserve">تشرين الثاني/نوفمبر </w:t>
      </w:r>
      <w:r>
        <w:rPr>
          <w:rFonts w:hint="cs"/>
          <w:rtl/>
          <w:lang w:val="fr-CH"/>
        </w:rPr>
        <w:t xml:space="preserve">2009، ومبادرة "طرد المجرمين الأجانب"، التي اعتُمدت في </w:t>
      </w:r>
      <w:r w:rsidRPr="0047370A">
        <w:rPr>
          <w:rFonts w:hint="cs"/>
          <w:sz w:val="30"/>
          <w:rtl/>
          <w:lang w:val="fr-CH"/>
        </w:rPr>
        <w:t xml:space="preserve">تشرين الثاني/نوفمبر </w:t>
      </w:r>
      <w:r>
        <w:rPr>
          <w:rFonts w:hint="cs"/>
          <w:rtl/>
          <w:lang w:val="fr-CH"/>
        </w:rPr>
        <w:t>2010، والمبادرة "المناه</w:t>
      </w:r>
      <w:r w:rsidR="003B759B">
        <w:rPr>
          <w:rFonts w:hint="cs"/>
          <w:rtl/>
          <w:lang w:val="fr-CH"/>
        </w:rPr>
        <w:t>ِ</w:t>
      </w:r>
      <w:r>
        <w:rPr>
          <w:rFonts w:hint="cs"/>
          <w:rtl/>
          <w:lang w:val="fr-CH"/>
        </w:rPr>
        <w:t xml:space="preserve">ضة للهجرة بأعداد هائلة" التي اعتُمدت في </w:t>
      </w:r>
      <w:r w:rsidRPr="00C333EE">
        <w:rPr>
          <w:rFonts w:hint="cs"/>
          <w:sz w:val="30"/>
          <w:rtl/>
          <w:lang w:val="fr-CH"/>
        </w:rPr>
        <w:t>شباط/</w:t>
      </w:r>
      <w:r w:rsidR="00EB28E5">
        <w:rPr>
          <w:rFonts w:hint="cs"/>
          <w:sz w:val="30"/>
          <w:rtl/>
          <w:lang w:val="fr-CH"/>
        </w:rPr>
        <w:t xml:space="preserve">            </w:t>
      </w:r>
      <w:r w:rsidRPr="00C333EE">
        <w:rPr>
          <w:rFonts w:hint="cs"/>
          <w:sz w:val="30"/>
          <w:rtl/>
          <w:lang w:val="fr-CH"/>
        </w:rPr>
        <w:t xml:space="preserve">فبراير </w:t>
      </w:r>
      <w:r>
        <w:rPr>
          <w:rFonts w:hint="cs"/>
          <w:rtl/>
          <w:lang w:val="fr-CH"/>
        </w:rPr>
        <w:t>2014. وتلاحظ اللجنة أن مثل هذه المبادرات أدت إلى خلق شعور بالقلق في صفوف المجتمعات المتأثرة وداخل المجتمع السويسري بشكل عام (المواد 2 و4 و6).</w:t>
      </w:r>
    </w:p>
    <w:p w:rsidR="00CB2B40" w:rsidRPr="009D5A8E" w:rsidRDefault="00CB2B40" w:rsidP="009D5A8E">
      <w:pPr>
        <w:pStyle w:val="SingleTxtGA"/>
        <w:rPr>
          <w:rFonts w:hint="cs"/>
          <w:b/>
          <w:bCs/>
          <w:rtl/>
          <w:lang w:val="fr-CH"/>
        </w:rPr>
      </w:pPr>
      <w:r w:rsidRPr="009D5A8E">
        <w:rPr>
          <w:rFonts w:hint="cs"/>
          <w:b/>
          <w:bCs/>
          <w:rtl/>
          <w:lang w:val="fr-CH"/>
        </w:rPr>
        <w:tab/>
        <w:t>توصي اللجنة الدولة الطرف بما يلي:</w:t>
      </w:r>
    </w:p>
    <w:p w:rsidR="00CB2B40" w:rsidRDefault="00CB2B40" w:rsidP="00EE185B">
      <w:pPr>
        <w:pStyle w:val="SingleTxtGA"/>
        <w:rPr>
          <w:rFonts w:hint="cs"/>
          <w:b/>
          <w:bCs/>
          <w:rtl/>
          <w:lang w:val="fr-CH"/>
        </w:rPr>
      </w:pPr>
      <w:r>
        <w:rPr>
          <w:rFonts w:hint="cs"/>
          <w:b/>
          <w:bCs/>
          <w:rtl/>
          <w:lang w:val="fr-CH"/>
        </w:rPr>
        <w:tab/>
        <w:t>(أ)</w:t>
      </w:r>
      <w:r>
        <w:rPr>
          <w:rFonts w:hint="cs"/>
          <w:b/>
          <w:bCs/>
          <w:rtl/>
          <w:lang w:val="fr-CH"/>
        </w:rPr>
        <w:tab/>
        <w:t xml:space="preserve">أن تضطلع بأنشطة واسعة النطاق ومنتظمة لبث الوعي على جميع المستويات في المجالين العام والسياسي لمكافحة الوصم، والتعميم، والتنميط، والتحيز ضد غير المواطنين، </w:t>
      </w:r>
      <w:r w:rsidR="00EE185B">
        <w:rPr>
          <w:rFonts w:hint="cs"/>
          <w:b/>
          <w:bCs/>
          <w:rtl/>
          <w:lang w:val="fr-CH"/>
        </w:rPr>
        <w:t>وتوجيه</w:t>
      </w:r>
      <w:r>
        <w:rPr>
          <w:rFonts w:hint="cs"/>
          <w:b/>
          <w:bCs/>
          <w:rtl/>
          <w:lang w:val="fr-CH"/>
        </w:rPr>
        <w:t xml:space="preserve"> رسالة واضحة تعكس الاشمئزاز من التمييز العنصري، الذي يحط من مستوى الأفراد والمجموعات في تقدير </w:t>
      </w:r>
      <w:r w:rsidR="00EE185B">
        <w:rPr>
          <w:rFonts w:hint="cs"/>
          <w:b/>
          <w:bCs/>
          <w:rtl/>
          <w:lang w:val="fr-CH"/>
        </w:rPr>
        <w:t>ال</w:t>
      </w:r>
      <w:r>
        <w:rPr>
          <w:rFonts w:hint="cs"/>
          <w:b/>
          <w:bCs/>
          <w:rtl/>
          <w:lang w:val="fr-CH"/>
        </w:rPr>
        <w:t xml:space="preserve">مجتمع، مع مراعاة </w:t>
      </w:r>
      <w:r w:rsidR="00EE185B">
        <w:rPr>
          <w:rFonts w:hint="cs"/>
          <w:b/>
          <w:bCs/>
          <w:rtl/>
          <w:lang w:val="fr-CH"/>
        </w:rPr>
        <w:t xml:space="preserve">توصية </w:t>
      </w:r>
      <w:r>
        <w:rPr>
          <w:rFonts w:hint="cs"/>
          <w:b/>
          <w:bCs/>
          <w:rtl/>
          <w:lang w:val="fr-CH"/>
        </w:rPr>
        <w:t>اللجنة العام</w:t>
      </w:r>
      <w:r w:rsidR="00EE185B">
        <w:rPr>
          <w:rFonts w:hint="cs"/>
          <w:b/>
          <w:bCs/>
          <w:rtl/>
          <w:lang w:val="fr-CH"/>
        </w:rPr>
        <w:t>ة</w:t>
      </w:r>
      <w:r w:rsidR="0042744B">
        <w:rPr>
          <w:rFonts w:hint="cs"/>
          <w:b/>
          <w:bCs/>
          <w:rtl/>
          <w:lang w:val="fr-CH"/>
        </w:rPr>
        <w:t xml:space="preserve">             </w:t>
      </w:r>
      <w:r>
        <w:rPr>
          <w:rFonts w:hint="cs"/>
          <w:b/>
          <w:bCs/>
          <w:rtl/>
          <w:lang w:val="fr-CH"/>
        </w:rPr>
        <w:t xml:space="preserve"> رقم 30(2004) بشأن التمييز ضد غير المواطنين؛</w:t>
      </w:r>
    </w:p>
    <w:p w:rsidR="00CB2B40" w:rsidRDefault="00CB2B40" w:rsidP="00C77C85">
      <w:pPr>
        <w:pStyle w:val="SingleTxtGA"/>
        <w:rPr>
          <w:rFonts w:hint="cs"/>
          <w:b/>
          <w:bCs/>
          <w:rtl/>
          <w:lang w:val="fr-CH"/>
        </w:rPr>
      </w:pPr>
      <w:r>
        <w:rPr>
          <w:rFonts w:hint="cs"/>
          <w:b/>
          <w:bCs/>
          <w:rtl/>
          <w:lang w:val="fr-CH"/>
        </w:rPr>
        <w:tab/>
        <w:t>(ب)</w:t>
      </w:r>
      <w:r>
        <w:rPr>
          <w:rFonts w:hint="cs"/>
          <w:b/>
          <w:bCs/>
          <w:rtl/>
          <w:lang w:val="fr-CH"/>
        </w:rPr>
        <w:tab/>
        <w:t>أن تتخذ التدابير المناسبة لضمان أن يكون تمثيل المجتمعات الإثنية في وسائ</w:t>
      </w:r>
      <w:r w:rsidR="00CE2B3B">
        <w:rPr>
          <w:rFonts w:hint="cs"/>
          <w:b/>
          <w:bCs/>
          <w:rtl/>
          <w:lang w:val="fr-CH"/>
        </w:rPr>
        <w:t>ط</w:t>
      </w:r>
      <w:r w:rsidR="00B06436">
        <w:rPr>
          <w:rFonts w:hint="cs"/>
          <w:b/>
          <w:bCs/>
          <w:rtl/>
          <w:lang w:val="fr-CH"/>
        </w:rPr>
        <w:t xml:space="preserve"> الإعلام </w:t>
      </w:r>
      <w:r w:rsidR="00C77C85">
        <w:rPr>
          <w:rFonts w:hint="cs"/>
          <w:b/>
          <w:bCs/>
          <w:rtl/>
          <w:lang w:val="fr-CH"/>
        </w:rPr>
        <w:t xml:space="preserve">قائماً على </w:t>
      </w:r>
      <w:r>
        <w:rPr>
          <w:rFonts w:hint="cs"/>
          <w:b/>
          <w:bCs/>
          <w:rtl/>
          <w:lang w:val="fr-CH"/>
        </w:rPr>
        <w:t>مبادئ الاحترام والعدالة وتجنب التنميط، وأن تتجنب</w:t>
      </w:r>
      <w:r w:rsidR="002C4AEF">
        <w:rPr>
          <w:rFonts w:hint="cs"/>
          <w:b/>
          <w:bCs/>
          <w:rtl/>
          <w:lang w:val="fr-CH"/>
        </w:rPr>
        <w:t xml:space="preserve">         </w:t>
      </w:r>
      <w:r>
        <w:rPr>
          <w:rFonts w:hint="cs"/>
          <w:b/>
          <w:bCs/>
          <w:rtl/>
          <w:lang w:val="fr-CH"/>
        </w:rPr>
        <w:t xml:space="preserve"> وسائ</w:t>
      </w:r>
      <w:r w:rsidR="00804FD4">
        <w:rPr>
          <w:rFonts w:hint="cs"/>
          <w:b/>
          <w:bCs/>
          <w:rtl/>
          <w:lang w:val="fr-CH"/>
        </w:rPr>
        <w:t>ط</w:t>
      </w:r>
      <w:r>
        <w:rPr>
          <w:rFonts w:hint="cs"/>
          <w:b/>
          <w:bCs/>
          <w:rtl/>
          <w:lang w:val="fr-CH"/>
        </w:rPr>
        <w:t xml:space="preserve"> الإعلام الإشارة بلا ضرورة إلى العرق والإثنية والدين وغيرها من خصائص مجموعة ما بطريقة قد تعزّز التعصب؛</w:t>
      </w:r>
    </w:p>
    <w:p w:rsidR="00CB2B40" w:rsidRDefault="00CB2B40" w:rsidP="007E7B2E">
      <w:pPr>
        <w:pStyle w:val="SingleTxtGA"/>
        <w:rPr>
          <w:rFonts w:hint="cs"/>
          <w:b/>
          <w:bCs/>
          <w:rtl/>
          <w:lang w:val="fr-CH"/>
        </w:rPr>
      </w:pPr>
      <w:r>
        <w:rPr>
          <w:rFonts w:hint="cs"/>
          <w:b/>
          <w:bCs/>
          <w:rtl/>
          <w:lang w:val="fr-CH"/>
        </w:rPr>
        <w:tab/>
        <w:t>(ج)</w:t>
      </w:r>
      <w:r>
        <w:rPr>
          <w:rFonts w:hint="cs"/>
          <w:b/>
          <w:bCs/>
          <w:rtl/>
          <w:lang w:val="fr-CH"/>
        </w:rPr>
        <w:tab/>
        <w:t>أن تعمل على توعية الموظفين القانونيين</w:t>
      </w:r>
      <w:r w:rsidR="00FA502A">
        <w:rPr>
          <w:rFonts w:hint="cs"/>
          <w:b/>
          <w:bCs/>
          <w:rtl/>
          <w:lang w:val="fr-CH"/>
        </w:rPr>
        <w:t>،</w:t>
      </w:r>
      <w:r>
        <w:rPr>
          <w:rFonts w:hint="cs"/>
          <w:b/>
          <w:bCs/>
          <w:rtl/>
          <w:lang w:val="fr-CH"/>
        </w:rPr>
        <w:t xml:space="preserve"> بمَن فيهم العاملون في هيئات القضاء، </w:t>
      </w:r>
      <w:r w:rsidR="007E7B2E">
        <w:rPr>
          <w:rFonts w:hint="cs"/>
          <w:b/>
          <w:bCs/>
          <w:rtl/>
          <w:lang w:val="fr-CH"/>
        </w:rPr>
        <w:t>ب</w:t>
      </w:r>
      <w:r>
        <w:rPr>
          <w:rFonts w:hint="cs"/>
          <w:b/>
          <w:bCs/>
          <w:rtl/>
          <w:lang w:val="fr-CH"/>
        </w:rPr>
        <w:t>المعايير الدولية التي تحمي حرية الرأي والتعبير و</w:t>
      </w:r>
      <w:r w:rsidR="007E7B2E">
        <w:rPr>
          <w:rFonts w:hint="cs"/>
          <w:b/>
          <w:bCs/>
          <w:rtl/>
          <w:lang w:val="fr-CH"/>
        </w:rPr>
        <w:t>ال</w:t>
      </w:r>
      <w:r>
        <w:rPr>
          <w:rFonts w:hint="cs"/>
          <w:b/>
          <w:bCs/>
          <w:rtl/>
          <w:lang w:val="fr-CH"/>
        </w:rPr>
        <w:t xml:space="preserve">معايير </w:t>
      </w:r>
      <w:r w:rsidR="007E7B2E">
        <w:rPr>
          <w:rFonts w:hint="cs"/>
          <w:b/>
          <w:bCs/>
          <w:rtl/>
          <w:lang w:val="fr-CH"/>
        </w:rPr>
        <w:t>ال</w:t>
      </w:r>
      <w:r>
        <w:rPr>
          <w:rFonts w:hint="cs"/>
          <w:b/>
          <w:bCs/>
          <w:rtl/>
          <w:lang w:val="fr-CH"/>
        </w:rPr>
        <w:t xml:space="preserve">مناهضة </w:t>
      </w:r>
      <w:r w:rsidR="007E7B2E">
        <w:rPr>
          <w:rFonts w:hint="cs"/>
          <w:b/>
          <w:bCs/>
          <w:rtl/>
          <w:lang w:val="fr-CH"/>
        </w:rPr>
        <w:t xml:space="preserve">لخطاب </w:t>
      </w:r>
      <w:r>
        <w:rPr>
          <w:rFonts w:hint="cs"/>
          <w:b/>
          <w:bCs/>
          <w:rtl/>
          <w:lang w:val="fr-CH"/>
        </w:rPr>
        <w:t xml:space="preserve">التحريض على الكراهية العنصرية، وفقاً لما تنص عليه توصية اللجنة العامة </w:t>
      </w:r>
      <w:r w:rsidR="0042744B">
        <w:rPr>
          <w:rFonts w:hint="cs"/>
          <w:b/>
          <w:bCs/>
          <w:rtl/>
          <w:lang w:val="fr-CH"/>
        </w:rPr>
        <w:t xml:space="preserve">              </w:t>
      </w:r>
      <w:r>
        <w:rPr>
          <w:rFonts w:hint="cs"/>
          <w:b/>
          <w:bCs/>
          <w:rtl/>
          <w:lang w:val="fr-CH"/>
        </w:rPr>
        <w:t xml:space="preserve">رقم 35(2013) بشأن مكافحة </w:t>
      </w:r>
      <w:r w:rsidR="007E7B2E">
        <w:rPr>
          <w:rFonts w:hint="cs"/>
          <w:b/>
          <w:bCs/>
          <w:rtl/>
          <w:lang w:val="fr-CH"/>
        </w:rPr>
        <w:t>خطاب</w:t>
      </w:r>
      <w:r>
        <w:rPr>
          <w:rFonts w:hint="cs"/>
          <w:b/>
          <w:bCs/>
          <w:rtl/>
          <w:lang w:val="fr-CH"/>
        </w:rPr>
        <w:t xml:space="preserve"> التحريض على الكراهية العنصرية؛</w:t>
      </w:r>
    </w:p>
    <w:p w:rsidR="00CB2B40" w:rsidRDefault="00CB2B40" w:rsidP="00CE3CB0">
      <w:pPr>
        <w:pStyle w:val="SingleTxtGA"/>
        <w:rPr>
          <w:rFonts w:hint="cs"/>
          <w:b/>
          <w:bCs/>
          <w:rtl/>
          <w:lang w:val="fr-CH"/>
        </w:rPr>
      </w:pPr>
      <w:r>
        <w:rPr>
          <w:rFonts w:hint="cs"/>
          <w:b/>
          <w:bCs/>
          <w:rtl/>
          <w:lang w:val="fr-CH"/>
        </w:rPr>
        <w:tab/>
        <w:t>(د)</w:t>
      </w:r>
      <w:r>
        <w:rPr>
          <w:rFonts w:hint="cs"/>
          <w:b/>
          <w:bCs/>
          <w:rtl/>
          <w:lang w:val="fr-CH"/>
        </w:rPr>
        <w:tab/>
        <w:t>اتخاذ تدابير سريعة</w:t>
      </w:r>
      <w:r w:rsidR="00164FDE">
        <w:rPr>
          <w:rFonts w:hint="cs"/>
          <w:b/>
          <w:bCs/>
          <w:rtl/>
          <w:lang w:val="fr-CH"/>
        </w:rPr>
        <w:t>،</w:t>
      </w:r>
      <w:r>
        <w:rPr>
          <w:rFonts w:hint="cs"/>
          <w:b/>
          <w:bCs/>
          <w:rtl/>
          <w:lang w:val="fr-CH"/>
        </w:rPr>
        <w:t xml:space="preserve"> إلى جانب الملاحقة القضائية، </w:t>
      </w:r>
      <w:r w:rsidR="00164FDE">
        <w:rPr>
          <w:rFonts w:hint="cs"/>
          <w:b/>
          <w:bCs/>
          <w:rtl/>
          <w:lang w:val="fr-CH"/>
        </w:rPr>
        <w:t>للتصدي</w:t>
      </w:r>
      <w:r>
        <w:rPr>
          <w:rFonts w:hint="cs"/>
          <w:b/>
          <w:bCs/>
          <w:rtl/>
          <w:lang w:val="fr-CH"/>
        </w:rPr>
        <w:t xml:space="preserve"> </w:t>
      </w:r>
      <w:r w:rsidR="00164FDE">
        <w:rPr>
          <w:rFonts w:hint="cs"/>
          <w:b/>
          <w:bCs/>
          <w:rtl/>
          <w:lang w:val="fr-CH"/>
        </w:rPr>
        <w:t>ل</w:t>
      </w:r>
      <w:r>
        <w:rPr>
          <w:rFonts w:hint="cs"/>
          <w:b/>
          <w:bCs/>
          <w:rtl/>
          <w:lang w:val="fr-CH"/>
        </w:rPr>
        <w:t xml:space="preserve">حالات التعليقات أو التصرفات العنصرية، بما في ذلك الرفض الرسمي من جانب موظفين عموميين رفيعي المستوى وإدانة الأفكار المعرب عنها التي تحرّض على الكراهية، وفقاً للتوصية العامة للجنة رقم 35(2013) بشأن مكافحة </w:t>
      </w:r>
      <w:r w:rsidR="00CE3CB0">
        <w:rPr>
          <w:rFonts w:hint="cs"/>
          <w:b/>
          <w:bCs/>
          <w:rtl/>
          <w:lang w:val="fr-CH"/>
        </w:rPr>
        <w:t>خطاب</w:t>
      </w:r>
      <w:r>
        <w:rPr>
          <w:rFonts w:hint="cs"/>
          <w:b/>
          <w:bCs/>
          <w:rtl/>
          <w:lang w:val="fr-CH"/>
        </w:rPr>
        <w:t xml:space="preserve"> التحريض على الكراهية العنصرية.</w:t>
      </w:r>
    </w:p>
    <w:p w:rsidR="00CB2B40" w:rsidRPr="006115E9" w:rsidRDefault="00CB2B40" w:rsidP="007F315D">
      <w:pPr>
        <w:pStyle w:val="H23GA"/>
        <w:rPr>
          <w:rFonts w:hint="cs"/>
          <w:rtl/>
          <w:lang w:val="fr-CH"/>
        </w:rPr>
      </w:pPr>
      <w:r>
        <w:rPr>
          <w:rFonts w:hint="cs"/>
          <w:rtl/>
          <w:lang w:val="fr-CH"/>
        </w:rPr>
        <w:tab/>
      </w:r>
      <w:r>
        <w:rPr>
          <w:rFonts w:hint="cs"/>
          <w:rtl/>
          <w:lang w:val="fr-CH"/>
        </w:rPr>
        <w:tab/>
        <w:t>التجنس</w:t>
      </w:r>
    </w:p>
    <w:p w:rsidR="00CB2B40" w:rsidRDefault="00CB2B40" w:rsidP="00012933">
      <w:pPr>
        <w:pStyle w:val="SingleTxtGA"/>
        <w:rPr>
          <w:rFonts w:hint="cs"/>
          <w:rtl/>
          <w:lang w:val="fr-CH"/>
        </w:rPr>
      </w:pPr>
      <w:r>
        <w:rPr>
          <w:rFonts w:hint="cs"/>
          <w:rtl/>
          <w:lang w:val="fr-CH"/>
        </w:rPr>
        <w:t>13-</w:t>
      </w:r>
      <w:r>
        <w:rPr>
          <w:rFonts w:hint="cs"/>
          <w:rtl/>
          <w:lang w:val="fr-CH"/>
        </w:rPr>
        <w:tab/>
        <w:t xml:space="preserve">إن اللجنة إذ </w:t>
      </w:r>
      <w:r w:rsidR="00BF0C21">
        <w:rPr>
          <w:rFonts w:hint="cs"/>
          <w:rtl/>
          <w:lang w:val="fr-CH"/>
        </w:rPr>
        <w:t>تحيط</w:t>
      </w:r>
      <w:r>
        <w:rPr>
          <w:rFonts w:hint="cs"/>
          <w:rtl/>
          <w:lang w:val="fr-CH"/>
        </w:rPr>
        <w:t xml:space="preserve"> علماً بأن قانون المواطنة السويسرية قيد المراجعة حالياً، تعرب عن قلقها إزاء المبادرات الداعية إلى تطبيق معيار للتجنس أكثر صرامة</w:t>
      </w:r>
      <w:r w:rsidR="00012933">
        <w:rPr>
          <w:rFonts w:hint="cs"/>
          <w:rtl/>
          <w:lang w:val="fr-CH"/>
        </w:rPr>
        <w:t>،</w:t>
      </w:r>
      <w:r>
        <w:rPr>
          <w:rFonts w:hint="cs"/>
          <w:rtl/>
          <w:lang w:val="fr-CH"/>
        </w:rPr>
        <w:t xml:space="preserve"> بما في ذلك المبادرة الشعبية التي اعتُمدت في برن في </w:t>
      </w:r>
      <w:r w:rsidRPr="004F0B95">
        <w:rPr>
          <w:rFonts w:hint="cs"/>
          <w:sz w:val="30"/>
          <w:rtl/>
          <w:lang w:val="fr-CH"/>
        </w:rPr>
        <w:t xml:space="preserve">تشرين الثاني/نوفمبر </w:t>
      </w:r>
      <w:r w:rsidR="00012933">
        <w:rPr>
          <w:rFonts w:hint="cs"/>
          <w:rtl/>
          <w:lang w:val="fr-CH"/>
        </w:rPr>
        <w:t>2013</w:t>
      </w:r>
      <w:r>
        <w:rPr>
          <w:rFonts w:hint="cs"/>
          <w:rtl/>
          <w:lang w:val="fr-CH"/>
        </w:rPr>
        <w:t xml:space="preserve"> </w:t>
      </w:r>
      <w:r w:rsidR="00012933">
        <w:rPr>
          <w:rFonts w:hint="cs"/>
          <w:rtl/>
          <w:lang w:val="fr-CH"/>
        </w:rPr>
        <w:t>و</w:t>
      </w:r>
      <w:r>
        <w:rPr>
          <w:rFonts w:hint="cs"/>
          <w:rtl/>
          <w:lang w:val="fr-CH"/>
        </w:rPr>
        <w:t>تنص على عدم جواز تجنس الأشخاص الذين يتلقون إعانات اجتماعية. وعلى الرغم من أن اللجنة تدرك أن هذه المبادرة هي قيد المراجعة حالياً في الجمعية البرلمانية، يساورها القلق لأن المناخ السياسي العام السائد في الدولة الطرف قد يفضي إلى نظام تجنس يتسم بقدر أكبر من التمييز (المادتان 1 و5).</w:t>
      </w:r>
    </w:p>
    <w:p w:rsidR="00CB2B40" w:rsidRDefault="00CB2B40" w:rsidP="007C1C60">
      <w:pPr>
        <w:pStyle w:val="SingleTxtGA"/>
        <w:rPr>
          <w:rFonts w:hint="cs"/>
          <w:b/>
          <w:bCs/>
          <w:rtl/>
          <w:lang w:val="fr-CH"/>
        </w:rPr>
      </w:pPr>
      <w:r w:rsidRPr="00973703">
        <w:rPr>
          <w:rFonts w:hint="cs"/>
          <w:b/>
          <w:bCs/>
          <w:rtl/>
          <w:lang w:val="fr-CH"/>
        </w:rPr>
        <w:tab/>
        <w:t>توصي اللجنة الدولة الطرف</w:t>
      </w:r>
      <w:r w:rsidR="007C1C60">
        <w:rPr>
          <w:rFonts w:hint="cs"/>
          <w:b/>
          <w:bCs/>
          <w:rtl/>
          <w:lang w:val="fr-CH"/>
        </w:rPr>
        <w:t xml:space="preserve"> بأن تكفل أ</w:t>
      </w:r>
      <w:r>
        <w:rPr>
          <w:rFonts w:hint="cs"/>
          <w:b/>
          <w:bCs/>
          <w:rtl/>
          <w:lang w:val="fr-CH"/>
        </w:rPr>
        <w:t xml:space="preserve">لا تؤدي أية مراجعة لقانون المواطنة السويسرية إلى أثر </w:t>
      </w:r>
      <w:r w:rsidR="007C1C60">
        <w:rPr>
          <w:rFonts w:hint="cs"/>
          <w:b/>
          <w:bCs/>
          <w:rtl/>
          <w:lang w:val="fr-CH"/>
        </w:rPr>
        <w:t>تمييزي و</w:t>
      </w:r>
      <w:r>
        <w:rPr>
          <w:rFonts w:hint="cs"/>
          <w:b/>
          <w:bCs/>
          <w:rtl/>
          <w:lang w:val="fr-CH"/>
        </w:rPr>
        <w:t>غير متناسب على بعض المجموعات. وتكرر أيضاً توصيتها السابقة بأن تعتمد الدولة الطرف معايير موحدة</w:t>
      </w:r>
      <w:r w:rsidRPr="00501FB6">
        <w:rPr>
          <w:rFonts w:hint="cs"/>
          <w:b/>
          <w:bCs/>
          <w:rtl/>
          <w:lang w:val="fr-CH"/>
        </w:rPr>
        <w:t xml:space="preserve"> </w:t>
      </w:r>
      <w:r>
        <w:rPr>
          <w:rFonts w:hint="cs"/>
          <w:b/>
          <w:bCs/>
          <w:rtl/>
          <w:lang w:val="fr-CH"/>
        </w:rPr>
        <w:t>للاندماج أثناء عملية التجنس، وفقاً للاتفاقية، وأن تتخذ جميع التدابير الفعالة والمناسبة لضمان عدم رفض طلبات التجنس بالاستناد إلى أسس تمييزية في جميع أنحاء إقليم الدولة الطرف، بما في ذلك من خلال إرساء إجراء مستقل وموحد للطعن في جميع الكانتونات.</w:t>
      </w:r>
    </w:p>
    <w:p w:rsidR="00CB2B40" w:rsidRPr="00973703" w:rsidRDefault="00CB2B40" w:rsidP="007F315D">
      <w:pPr>
        <w:pStyle w:val="H23GA"/>
        <w:rPr>
          <w:rFonts w:hint="cs"/>
          <w:rtl/>
          <w:lang w:val="fr-CH"/>
        </w:rPr>
      </w:pPr>
      <w:r>
        <w:rPr>
          <w:rFonts w:hint="cs"/>
          <w:rtl/>
          <w:lang w:val="fr-CH"/>
        </w:rPr>
        <w:tab/>
      </w:r>
      <w:r>
        <w:rPr>
          <w:rFonts w:hint="cs"/>
          <w:rtl/>
          <w:lang w:val="fr-CH"/>
        </w:rPr>
        <w:tab/>
        <w:t xml:space="preserve">التنميط </w:t>
      </w:r>
      <w:r w:rsidR="006133A1">
        <w:rPr>
          <w:rFonts w:hint="cs"/>
          <w:rtl/>
          <w:lang w:val="fr-CH"/>
        </w:rPr>
        <w:t>العنصري</w:t>
      </w:r>
      <w:r>
        <w:rPr>
          <w:rFonts w:hint="cs"/>
          <w:rtl/>
          <w:lang w:val="fr-CH"/>
        </w:rPr>
        <w:t xml:space="preserve"> والإفراط في استخدام القوة</w:t>
      </w:r>
    </w:p>
    <w:p w:rsidR="00CB2B40" w:rsidRDefault="00CB2B40" w:rsidP="00E75D41">
      <w:pPr>
        <w:pStyle w:val="SingleTxtGA"/>
        <w:rPr>
          <w:rFonts w:hint="cs"/>
          <w:rtl/>
          <w:lang w:val="fr-CH"/>
        </w:rPr>
      </w:pPr>
      <w:r>
        <w:rPr>
          <w:rFonts w:hint="cs"/>
          <w:rtl/>
          <w:lang w:val="fr-CH"/>
        </w:rPr>
        <w:t>14-</w:t>
      </w:r>
      <w:r>
        <w:rPr>
          <w:rFonts w:hint="cs"/>
          <w:rtl/>
          <w:lang w:val="fr-CH"/>
        </w:rPr>
        <w:tab/>
        <w:t xml:space="preserve">تكرر اللجنة </w:t>
      </w:r>
      <w:r w:rsidR="00E75D41">
        <w:rPr>
          <w:rFonts w:hint="cs"/>
          <w:rtl/>
          <w:lang w:val="fr-CH"/>
        </w:rPr>
        <w:t xml:space="preserve">ما </w:t>
      </w:r>
      <w:r>
        <w:rPr>
          <w:rFonts w:hint="cs"/>
          <w:rtl/>
          <w:lang w:val="fr-CH"/>
        </w:rPr>
        <w:t xml:space="preserve">أعربت عنه سابقاً </w:t>
      </w:r>
      <w:r w:rsidR="00E75D41">
        <w:rPr>
          <w:rFonts w:hint="cs"/>
          <w:rtl/>
          <w:lang w:val="fr-CH"/>
        </w:rPr>
        <w:t xml:space="preserve">من قلق </w:t>
      </w:r>
      <w:r>
        <w:rPr>
          <w:rFonts w:hint="cs"/>
          <w:rtl/>
          <w:lang w:val="fr-CH"/>
        </w:rPr>
        <w:t>إزاء لجوء</w:t>
      </w:r>
      <w:r w:rsidRPr="00501FB6">
        <w:rPr>
          <w:rFonts w:hint="cs"/>
          <w:rtl/>
          <w:lang w:val="fr-CH"/>
        </w:rPr>
        <w:t xml:space="preserve"> </w:t>
      </w:r>
      <w:r>
        <w:rPr>
          <w:rFonts w:hint="cs"/>
          <w:rtl/>
          <w:lang w:val="fr-CH"/>
        </w:rPr>
        <w:t xml:space="preserve">الموظفين المكلفين بإنفاذ القانون إلى التنميط </w:t>
      </w:r>
      <w:r w:rsidR="00E75D41">
        <w:rPr>
          <w:rFonts w:hint="cs"/>
          <w:rtl/>
          <w:lang w:val="fr-CH"/>
        </w:rPr>
        <w:t>العنصري</w:t>
      </w:r>
      <w:r>
        <w:rPr>
          <w:rFonts w:hint="cs"/>
          <w:rtl/>
          <w:lang w:val="fr-CH"/>
        </w:rPr>
        <w:t xml:space="preserve"> وإزاء عدم تقديم إحصاءات ذات صلة. ويساورها القلق أيضاً إزاء </w:t>
      </w:r>
      <w:r w:rsidR="00E75D41">
        <w:rPr>
          <w:rFonts w:hint="cs"/>
          <w:rtl/>
          <w:lang w:val="fr-CH"/>
        </w:rPr>
        <w:t xml:space="preserve">التقارير عن </w:t>
      </w:r>
      <w:r>
        <w:rPr>
          <w:rFonts w:hint="cs"/>
          <w:rtl/>
          <w:lang w:val="fr-CH"/>
        </w:rPr>
        <w:t>الاستخدام المفرط للقوة خلال عمليات التحقق من الهوية التي تجريها الشرطة</w:t>
      </w:r>
      <w:r w:rsidR="00FA502A">
        <w:rPr>
          <w:rFonts w:hint="cs"/>
          <w:rtl/>
          <w:lang w:val="fr-CH"/>
        </w:rPr>
        <w:t>،</w:t>
      </w:r>
      <w:r>
        <w:rPr>
          <w:rFonts w:hint="cs"/>
          <w:rtl/>
          <w:lang w:val="fr-CH"/>
        </w:rPr>
        <w:t xml:space="preserve"> ومضايقة الروما والمنحدرين من أصل أفريقي من جانب الشرطة</w:t>
      </w:r>
      <w:r w:rsidR="00FA502A">
        <w:rPr>
          <w:rFonts w:hint="cs"/>
          <w:rtl/>
          <w:lang w:val="fr-CH"/>
        </w:rPr>
        <w:t>،</w:t>
      </w:r>
      <w:r>
        <w:rPr>
          <w:rFonts w:hint="cs"/>
          <w:rtl/>
          <w:lang w:val="fr-CH"/>
        </w:rPr>
        <w:t xml:space="preserve"> وعدم وجود آلية مستقلة في جميع أنحاء الدولة الطرف لتلقي الشكاوى المتعل</w:t>
      </w:r>
      <w:r w:rsidR="008F2F57">
        <w:rPr>
          <w:rFonts w:hint="cs"/>
          <w:rtl/>
          <w:lang w:val="fr-CH"/>
        </w:rPr>
        <w:t>قة بسوء المعاملة من جانب الشرطة</w:t>
      </w:r>
      <w:r>
        <w:rPr>
          <w:rFonts w:hint="cs"/>
          <w:rtl/>
          <w:lang w:val="fr-CH"/>
        </w:rPr>
        <w:t xml:space="preserve"> والتحق</w:t>
      </w:r>
      <w:r w:rsidR="008F2F57">
        <w:rPr>
          <w:rFonts w:hint="cs"/>
          <w:rtl/>
          <w:lang w:val="fr-CH"/>
        </w:rPr>
        <w:t>ي</w:t>
      </w:r>
      <w:r>
        <w:rPr>
          <w:rFonts w:hint="cs"/>
          <w:rtl/>
          <w:lang w:val="fr-CH"/>
        </w:rPr>
        <w:t>ق فيها (المادتان 2 و5).</w:t>
      </w:r>
    </w:p>
    <w:p w:rsidR="00CB2B40" w:rsidRDefault="00CB2B40" w:rsidP="00936651">
      <w:pPr>
        <w:pStyle w:val="SingleTxtGA"/>
        <w:rPr>
          <w:rFonts w:hint="cs"/>
          <w:b/>
          <w:bCs/>
          <w:rtl/>
          <w:lang w:val="fr-CH"/>
        </w:rPr>
      </w:pPr>
      <w:r>
        <w:rPr>
          <w:rFonts w:hint="cs"/>
          <w:rtl/>
          <w:lang w:val="fr-CH"/>
        </w:rPr>
        <w:tab/>
      </w:r>
      <w:r>
        <w:rPr>
          <w:rFonts w:hint="cs"/>
          <w:b/>
          <w:bCs/>
          <w:rtl/>
          <w:lang w:val="fr-CH"/>
        </w:rPr>
        <w:t xml:space="preserve">واللجنة إذ تذكّر بتوصيتها العامة رقم 31(2005) بشأن منع التمييز العنصري في إدارة وسير عمل نظام العدالة الجنائية، تدعو الدولة الطرف إلى اتخاذ تدابير فعالة لضمان عدم استهداف الأفراد </w:t>
      </w:r>
      <w:r w:rsidR="00936651">
        <w:rPr>
          <w:rFonts w:hint="cs"/>
          <w:b/>
          <w:bCs/>
          <w:rtl/>
          <w:lang w:val="fr-CH"/>
        </w:rPr>
        <w:t>ب</w:t>
      </w:r>
      <w:r>
        <w:rPr>
          <w:rFonts w:hint="cs"/>
          <w:b/>
          <w:bCs/>
          <w:rtl/>
          <w:lang w:val="fr-CH"/>
        </w:rPr>
        <w:t xml:space="preserve">عمليات التحقق من الهوية والتفتيش وغيرها من العمليات التي تقوم بها الشرطة، بالاستناد إلى العرق أو الإثنية، وإلى اتخاذ التدابير القانونية المناسبة ضد الموظفين المكلفين بإنفاذ القانون على تصرفاتهم غير القانونية التي تستند إلى التمييز العنصري. وتوصي أيضاً الدولة الطرف بأن تُنشئ </w:t>
      </w:r>
      <w:r w:rsidR="00936651">
        <w:rPr>
          <w:rFonts w:hint="cs"/>
          <w:b/>
          <w:bCs/>
          <w:rtl/>
          <w:lang w:val="fr-CH"/>
        </w:rPr>
        <w:t xml:space="preserve">في كل كانتون </w:t>
      </w:r>
      <w:r>
        <w:rPr>
          <w:rFonts w:hint="cs"/>
          <w:b/>
          <w:bCs/>
          <w:rtl/>
          <w:lang w:val="fr-CH"/>
        </w:rPr>
        <w:t>آلية مستقلة لت</w:t>
      </w:r>
      <w:r w:rsidR="00936651">
        <w:rPr>
          <w:rFonts w:hint="cs"/>
          <w:b/>
          <w:bCs/>
          <w:rtl/>
          <w:lang w:val="fr-CH"/>
        </w:rPr>
        <w:t>لقي الشكاوى المتعلقة بسوء تصرف</w:t>
      </w:r>
      <w:r>
        <w:rPr>
          <w:rFonts w:hint="cs"/>
          <w:b/>
          <w:bCs/>
          <w:rtl/>
          <w:lang w:val="fr-CH"/>
        </w:rPr>
        <w:t xml:space="preserve"> أفراد الشرطة والتحق</w:t>
      </w:r>
      <w:r w:rsidR="009A032A">
        <w:rPr>
          <w:rFonts w:hint="cs"/>
          <w:b/>
          <w:bCs/>
          <w:rtl/>
          <w:lang w:val="fr-CH"/>
        </w:rPr>
        <w:t>ي</w:t>
      </w:r>
      <w:r>
        <w:rPr>
          <w:rFonts w:hint="cs"/>
          <w:b/>
          <w:bCs/>
          <w:rtl/>
          <w:lang w:val="fr-CH"/>
        </w:rPr>
        <w:t xml:space="preserve">ق فيها، وضمان تقديم التدريب في مجال حقوق الإنسان لأفراد الشرطة في جميع الكانتونات، وفقاً للتوصية العامة </w:t>
      </w:r>
      <w:r w:rsidR="009A032A">
        <w:rPr>
          <w:rFonts w:hint="cs"/>
          <w:b/>
          <w:bCs/>
          <w:rtl/>
          <w:lang w:val="fr-CH"/>
        </w:rPr>
        <w:t xml:space="preserve">           </w:t>
      </w:r>
      <w:r>
        <w:rPr>
          <w:rFonts w:hint="cs"/>
          <w:b/>
          <w:bCs/>
          <w:rtl/>
          <w:lang w:val="fr-CH"/>
        </w:rPr>
        <w:t>رقم 13(1993) بشأن تدريب الموظفين المكلفين بإنفاذ القانون في مجال حماية حقوق الإنسان.</w:t>
      </w:r>
    </w:p>
    <w:p w:rsidR="00CB2B40" w:rsidRPr="007C400D" w:rsidRDefault="00CB2B40" w:rsidP="009A032A">
      <w:pPr>
        <w:pStyle w:val="H23GA"/>
        <w:rPr>
          <w:rFonts w:hint="cs"/>
          <w:rtl/>
          <w:lang w:val="fr-CH"/>
        </w:rPr>
      </w:pPr>
      <w:r>
        <w:rPr>
          <w:rFonts w:hint="cs"/>
          <w:rtl/>
          <w:lang w:val="fr-CH"/>
        </w:rPr>
        <w:tab/>
      </w:r>
      <w:r>
        <w:rPr>
          <w:rFonts w:hint="cs"/>
          <w:rtl/>
          <w:lang w:val="fr-CH"/>
        </w:rPr>
        <w:tab/>
        <w:t xml:space="preserve">الأقليات </w:t>
      </w:r>
      <w:r w:rsidR="009A032A">
        <w:rPr>
          <w:rFonts w:hint="cs"/>
          <w:rtl/>
          <w:lang w:val="fr-CH"/>
        </w:rPr>
        <w:t>القومية</w:t>
      </w:r>
    </w:p>
    <w:p w:rsidR="00CB2B40" w:rsidRDefault="00CB2B40" w:rsidP="00BC4AF9">
      <w:pPr>
        <w:pStyle w:val="SingleTxtGA"/>
        <w:rPr>
          <w:rFonts w:hint="cs"/>
          <w:rtl/>
          <w:lang w:val="fr-CH"/>
        </w:rPr>
      </w:pPr>
      <w:r>
        <w:rPr>
          <w:rFonts w:hint="cs"/>
          <w:rtl/>
          <w:lang w:val="fr-CH"/>
        </w:rPr>
        <w:t>15-</w:t>
      </w:r>
      <w:r>
        <w:rPr>
          <w:rFonts w:hint="cs"/>
          <w:rtl/>
          <w:lang w:val="fr-CH"/>
        </w:rPr>
        <w:tab/>
        <w:t xml:space="preserve">فيما ترحب اللجنة بجهود الدولة الطرف لضمان حقوق الأقليات </w:t>
      </w:r>
      <w:r w:rsidR="00AE3268">
        <w:rPr>
          <w:rFonts w:hint="cs"/>
          <w:rtl/>
          <w:lang w:val="fr-CH"/>
        </w:rPr>
        <w:t>القومية</w:t>
      </w:r>
      <w:r>
        <w:rPr>
          <w:rFonts w:hint="cs"/>
          <w:rtl/>
          <w:lang w:val="fr-CH"/>
        </w:rPr>
        <w:t xml:space="preserve">، </w:t>
      </w:r>
      <w:r w:rsidR="00AE3268">
        <w:rPr>
          <w:rFonts w:hint="cs"/>
          <w:rtl/>
          <w:lang w:val="fr-CH"/>
        </w:rPr>
        <w:t xml:space="preserve">فإن </w:t>
      </w:r>
      <w:r>
        <w:rPr>
          <w:rFonts w:hint="cs"/>
          <w:rtl/>
          <w:lang w:val="fr-CH"/>
        </w:rPr>
        <w:t xml:space="preserve">القلق </w:t>
      </w:r>
      <w:r w:rsidR="00AE3268">
        <w:rPr>
          <w:rFonts w:hint="cs"/>
          <w:rtl/>
          <w:lang w:val="fr-CH"/>
        </w:rPr>
        <w:t xml:space="preserve">لا يزال يساورها </w:t>
      </w:r>
      <w:r>
        <w:rPr>
          <w:rFonts w:hint="cs"/>
          <w:rtl/>
          <w:lang w:val="fr-CH"/>
        </w:rPr>
        <w:t>لأن مجتمعات الرحّل والين</w:t>
      </w:r>
      <w:r w:rsidR="00AE3268">
        <w:rPr>
          <w:rFonts w:hint="cs"/>
          <w:rtl/>
          <w:lang w:val="fr-CH"/>
        </w:rPr>
        <w:t>ي</w:t>
      </w:r>
      <w:r>
        <w:rPr>
          <w:rFonts w:hint="cs"/>
          <w:rtl/>
          <w:lang w:val="fr-CH"/>
        </w:rPr>
        <w:t xml:space="preserve">ش والمانوش والسنتي والروما لا تزال تواجه عقبات </w:t>
      </w:r>
      <w:r w:rsidR="00AE3268">
        <w:rPr>
          <w:rFonts w:hint="cs"/>
          <w:rtl/>
          <w:lang w:val="fr-CH"/>
        </w:rPr>
        <w:t>في الحصول على</w:t>
      </w:r>
      <w:r>
        <w:rPr>
          <w:rFonts w:hint="cs"/>
          <w:rtl/>
          <w:lang w:val="fr-CH"/>
        </w:rPr>
        <w:t xml:space="preserve"> التعليم والاحتفاظ بلغتها ونمط حياتها. وتعرب اللجنة عن القلق لأن هذه المجموعات قد تواجه تمييزاً غير مباشر نتيجة قوانين وسياسات تبدو أنها غير متحيزة</w:t>
      </w:r>
      <w:r w:rsidR="001A28C3">
        <w:rPr>
          <w:rFonts w:hint="cs"/>
          <w:rtl/>
          <w:lang w:val="fr-CH"/>
        </w:rPr>
        <w:t xml:space="preserve">، </w:t>
      </w:r>
      <w:r>
        <w:rPr>
          <w:rFonts w:hint="cs"/>
          <w:rtl/>
          <w:lang w:val="fr-CH"/>
        </w:rPr>
        <w:t xml:space="preserve"> ولا سيما فيما يتعلق بتخطيط استخدام الأرض وأنظمة الشرطة بشأن نشاط التجارة </w:t>
      </w:r>
      <w:r w:rsidR="00BC4AF9">
        <w:rPr>
          <w:rFonts w:hint="cs"/>
          <w:rtl/>
          <w:lang w:val="fr-CH"/>
        </w:rPr>
        <w:t xml:space="preserve">واللوائح المنظمة لأماكن </w:t>
      </w:r>
      <w:r>
        <w:rPr>
          <w:rFonts w:hint="cs"/>
          <w:rtl/>
          <w:lang w:val="fr-CH"/>
        </w:rPr>
        <w:t>وقوف</w:t>
      </w:r>
      <w:r w:rsidR="00BC4AF9">
        <w:rPr>
          <w:rFonts w:hint="cs"/>
          <w:rtl/>
          <w:lang w:val="fr-CH"/>
        </w:rPr>
        <w:t xml:space="preserve"> البيوت المتنقلة</w:t>
      </w:r>
      <w:r>
        <w:rPr>
          <w:rFonts w:hint="cs"/>
          <w:rtl/>
          <w:lang w:val="fr-CH"/>
        </w:rPr>
        <w:t>. وتلاحظ أيضاً أن هذه المجتمعات تتعرض في أحيان</w:t>
      </w:r>
      <w:r w:rsidR="009F436D">
        <w:rPr>
          <w:rFonts w:hint="cs"/>
          <w:rtl/>
          <w:lang w:val="fr-CH"/>
        </w:rPr>
        <w:t xml:space="preserve"> كثيرة للتعميم والتنميط في وسائط</w:t>
      </w:r>
      <w:r>
        <w:rPr>
          <w:rFonts w:hint="cs"/>
          <w:rtl/>
          <w:lang w:val="fr-CH"/>
        </w:rPr>
        <w:t xml:space="preserve"> الإعلام</w:t>
      </w:r>
      <w:r w:rsidR="009F436D">
        <w:rPr>
          <w:rFonts w:hint="cs"/>
          <w:rtl/>
          <w:lang w:val="fr-CH"/>
        </w:rPr>
        <w:t>،</w:t>
      </w:r>
      <w:r>
        <w:rPr>
          <w:rFonts w:hint="cs"/>
          <w:rtl/>
          <w:lang w:val="fr-CH"/>
        </w:rPr>
        <w:t xml:space="preserve"> الأمر الذي قد يؤدي إلى الوصم (المادة 5).</w:t>
      </w:r>
    </w:p>
    <w:p w:rsidR="00CB2B40" w:rsidRDefault="00CB2B40" w:rsidP="00F338CE">
      <w:pPr>
        <w:pStyle w:val="SingleTxtGA"/>
        <w:rPr>
          <w:rFonts w:hint="cs"/>
          <w:b/>
          <w:bCs/>
          <w:rtl/>
          <w:lang w:val="fr-CH"/>
        </w:rPr>
      </w:pPr>
      <w:r>
        <w:rPr>
          <w:rFonts w:hint="cs"/>
          <w:rtl/>
          <w:lang w:val="fr-CH"/>
        </w:rPr>
        <w:tab/>
      </w:r>
      <w:r>
        <w:rPr>
          <w:rFonts w:hint="cs"/>
          <w:b/>
          <w:bCs/>
          <w:rtl/>
          <w:lang w:val="fr-CH"/>
        </w:rPr>
        <w:t xml:space="preserve">توصي اللجنة الدولة الطرف بتعزيز جهودها للنهوض بحقوق الأقليات </w:t>
      </w:r>
      <w:r w:rsidR="00F47C5E">
        <w:rPr>
          <w:rFonts w:hint="cs"/>
          <w:b/>
          <w:bCs/>
          <w:rtl/>
          <w:lang w:val="fr-CH"/>
        </w:rPr>
        <w:t xml:space="preserve">القومية </w:t>
      </w:r>
      <w:r>
        <w:rPr>
          <w:rFonts w:hint="cs"/>
          <w:b/>
          <w:bCs/>
          <w:rtl/>
          <w:lang w:val="fr-CH"/>
        </w:rPr>
        <w:t xml:space="preserve">وحمايتها ولا سيما فيما يتعلق </w:t>
      </w:r>
      <w:r w:rsidR="00F47C5E">
        <w:rPr>
          <w:rFonts w:hint="cs"/>
          <w:b/>
          <w:bCs/>
          <w:rtl/>
          <w:lang w:val="fr-CH"/>
        </w:rPr>
        <w:t>بالحصول على</w:t>
      </w:r>
      <w:r>
        <w:rPr>
          <w:rFonts w:hint="cs"/>
          <w:b/>
          <w:bCs/>
          <w:rtl/>
          <w:lang w:val="fr-CH"/>
        </w:rPr>
        <w:t xml:space="preserve"> التعليم وصَون لغ</w:t>
      </w:r>
      <w:r w:rsidR="00F47C5E">
        <w:rPr>
          <w:rFonts w:hint="cs"/>
          <w:b/>
          <w:bCs/>
          <w:rtl/>
          <w:lang w:val="fr-CH"/>
        </w:rPr>
        <w:t>ا</w:t>
      </w:r>
      <w:r>
        <w:rPr>
          <w:rFonts w:hint="cs"/>
          <w:b/>
          <w:bCs/>
          <w:rtl/>
          <w:lang w:val="fr-CH"/>
        </w:rPr>
        <w:t xml:space="preserve">تها وأنماط حياتها. وتدعو الدولة الطرف إلى </w:t>
      </w:r>
      <w:r w:rsidR="00F47C5E">
        <w:rPr>
          <w:rFonts w:hint="cs"/>
          <w:b/>
          <w:bCs/>
          <w:rtl/>
          <w:lang w:val="fr-CH"/>
        </w:rPr>
        <w:t>ضمان ألا يكون ل</w:t>
      </w:r>
      <w:r>
        <w:rPr>
          <w:rFonts w:hint="cs"/>
          <w:b/>
          <w:bCs/>
          <w:rtl/>
          <w:lang w:val="fr-CH"/>
        </w:rPr>
        <w:t>لقوانين والسياسات التي قد تبدو غير متحيزة</w:t>
      </w:r>
      <w:r w:rsidR="00F338CE">
        <w:rPr>
          <w:rFonts w:hint="cs"/>
          <w:b/>
          <w:bCs/>
          <w:rtl/>
          <w:lang w:val="fr-CH"/>
        </w:rPr>
        <w:t xml:space="preserve"> أي تأثير تمييزي</w:t>
      </w:r>
      <w:r>
        <w:rPr>
          <w:rFonts w:hint="cs"/>
          <w:b/>
          <w:bCs/>
          <w:rtl/>
          <w:lang w:val="fr-CH"/>
        </w:rPr>
        <w:t xml:space="preserve"> على حقوق أفراد الأقليات</w:t>
      </w:r>
      <w:r w:rsidR="00F338CE">
        <w:rPr>
          <w:rFonts w:hint="cs"/>
          <w:b/>
          <w:bCs/>
          <w:rtl/>
          <w:lang w:val="fr-CH"/>
        </w:rPr>
        <w:t xml:space="preserve"> القومية</w:t>
      </w:r>
      <w:r>
        <w:rPr>
          <w:rFonts w:hint="cs"/>
          <w:b/>
          <w:bCs/>
          <w:rtl/>
          <w:lang w:val="fr-CH"/>
        </w:rPr>
        <w:t xml:space="preserve">. وتشجع اللجنة الدولة الطرف </w:t>
      </w:r>
      <w:r w:rsidR="00F338CE">
        <w:rPr>
          <w:rFonts w:hint="cs"/>
          <w:b/>
          <w:bCs/>
          <w:rtl/>
          <w:lang w:val="fr-CH"/>
        </w:rPr>
        <w:t xml:space="preserve">كذلك </w:t>
      </w:r>
      <w:r>
        <w:rPr>
          <w:rFonts w:hint="cs"/>
          <w:b/>
          <w:bCs/>
          <w:rtl/>
          <w:lang w:val="fr-CH"/>
        </w:rPr>
        <w:t xml:space="preserve">على بث الوعي في صفوف الجمهور بشأن تاريخ وخصائص مختلف الأقليات </w:t>
      </w:r>
      <w:r w:rsidR="00F338CE">
        <w:rPr>
          <w:rFonts w:hint="cs"/>
          <w:b/>
          <w:bCs/>
          <w:rtl/>
          <w:lang w:val="fr-CH"/>
        </w:rPr>
        <w:t>القومية</w:t>
      </w:r>
      <w:r>
        <w:rPr>
          <w:rFonts w:hint="cs"/>
          <w:b/>
          <w:bCs/>
          <w:rtl/>
          <w:lang w:val="fr-CH"/>
        </w:rPr>
        <w:t xml:space="preserve"> واتخاذ التدابير المناسبة والفعالة</w:t>
      </w:r>
      <w:r w:rsidR="00F338CE">
        <w:rPr>
          <w:rFonts w:hint="cs"/>
          <w:b/>
          <w:bCs/>
          <w:rtl/>
          <w:lang w:val="fr-CH"/>
        </w:rPr>
        <w:t xml:space="preserve"> لتجنب التعميم والتنميط في وسائط</w:t>
      </w:r>
      <w:r>
        <w:rPr>
          <w:rFonts w:hint="cs"/>
          <w:b/>
          <w:bCs/>
          <w:rtl/>
          <w:lang w:val="fr-CH"/>
        </w:rPr>
        <w:t xml:space="preserve"> الإعلام.</w:t>
      </w:r>
    </w:p>
    <w:p w:rsidR="00775322" w:rsidRDefault="00775322" w:rsidP="00F338CE">
      <w:pPr>
        <w:pStyle w:val="SingleTxtGA"/>
        <w:rPr>
          <w:rFonts w:hint="cs"/>
          <w:b/>
          <w:bCs/>
          <w:rtl/>
          <w:lang w:val="fr-CH"/>
        </w:rPr>
      </w:pPr>
    </w:p>
    <w:p w:rsidR="00775322" w:rsidRDefault="00775322" w:rsidP="00F338CE">
      <w:pPr>
        <w:pStyle w:val="SingleTxtGA"/>
        <w:rPr>
          <w:rFonts w:hint="cs"/>
          <w:b/>
          <w:bCs/>
          <w:rtl/>
          <w:lang w:val="fr-CH"/>
        </w:rPr>
      </w:pPr>
    </w:p>
    <w:p w:rsidR="00775322" w:rsidRPr="00BD5F32" w:rsidRDefault="00775322" w:rsidP="00F338CE">
      <w:pPr>
        <w:pStyle w:val="SingleTxtGA"/>
        <w:rPr>
          <w:rFonts w:hint="cs"/>
          <w:b/>
          <w:bCs/>
          <w:rtl/>
          <w:lang w:val="fr-CH"/>
        </w:rPr>
      </w:pPr>
    </w:p>
    <w:p w:rsidR="00CB2B40" w:rsidRDefault="00CB2B40" w:rsidP="00541691">
      <w:pPr>
        <w:pStyle w:val="H23GA"/>
        <w:rPr>
          <w:rFonts w:hint="cs"/>
          <w:rtl/>
          <w:lang w:val="fr-CH"/>
        </w:rPr>
      </w:pPr>
      <w:r>
        <w:rPr>
          <w:rFonts w:hint="cs"/>
          <w:rtl/>
          <w:lang w:val="fr-CH"/>
        </w:rPr>
        <w:tab/>
      </w:r>
      <w:r w:rsidR="007F315D">
        <w:rPr>
          <w:rFonts w:hint="cs"/>
          <w:rtl/>
          <w:lang w:val="fr-CH"/>
        </w:rPr>
        <w:tab/>
      </w:r>
      <w:r>
        <w:rPr>
          <w:rFonts w:hint="cs"/>
          <w:rtl/>
          <w:lang w:val="fr-CH"/>
        </w:rPr>
        <w:t>الأشخاص الذين يُمنحون ترخيصاً مؤقتاً للدخول (الترخيص"</w:t>
      </w:r>
      <w:r w:rsidR="00541691">
        <w:rPr>
          <w:lang w:val="fr-CH"/>
        </w:rPr>
        <w:t>F</w:t>
      </w:r>
      <w:r>
        <w:rPr>
          <w:rFonts w:hint="cs"/>
          <w:rtl/>
          <w:lang w:val="fr-CH"/>
        </w:rPr>
        <w:t>")</w:t>
      </w:r>
    </w:p>
    <w:p w:rsidR="00CB2B40" w:rsidRPr="005D1BE7" w:rsidRDefault="00CB2B40" w:rsidP="00CC319B">
      <w:pPr>
        <w:pStyle w:val="SingleTxtGA"/>
        <w:rPr>
          <w:rFonts w:hint="cs"/>
          <w:rtl/>
          <w:lang w:val="fr-CH"/>
        </w:rPr>
      </w:pPr>
      <w:r w:rsidRPr="0062411C">
        <w:rPr>
          <w:rFonts w:hint="cs"/>
          <w:rtl/>
          <w:lang w:val="fr-CH"/>
        </w:rPr>
        <w:t>16-</w:t>
      </w:r>
      <w:r w:rsidRPr="0062411C">
        <w:rPr>
          <w:rFonts w:hint="cs"/>
          <w:rtl/>
          <w:lang w:val="fr-CH"/>
        </w:rPr>
        <w:tab/>
        <w:t xml:space="preserve">فيما ترحِّب اللجنة </w:t>
      </w:r>
      <w:r w:rsidR="00851139">
        <w:rPr>
          <w:rFonts w:hint="cs"/>
          <w:rtl/>
          <w:lang w:val="fr-CH"/>
        </w:rPr>
        <w:t>ب</w:t>
      </w:r>
      <w:r w:rsidR="00091AC4">
        <w:rPr>
          <w:rFonts w:hint="cs"/>
          <w:rtl/>
          <w:lang w:val="fr-CH"/>
        </w:rPr>
        <w:t>مركز</w:t>
      </w:r>
      <w:r w:rsidRPr="0062411C">
        <w:rPr>
          <w:rFonts w:hint="cs"/>
          <w:rtl/>
          <w:lang w:val="fr-CH"/>
        </w:rPr>
        <w:t xml:space="preserve"> القبول المؤقت على أساس إنساني</w:t>
      </w:r>
      <w:r w:rsidR="00851139">
        <w:rPr>
          <w:rFonts w:hint="cs"/>
          <w:rtl/>
          <w:lang w:val="fr-CH"/>
        </w:rPr>
        <w:t>،</w:t>
      </w:r>
      <w:r w:rsidRPr="0062411C">
        <w:rPr>
          <w:rFonts w:hint="cs"/>
          <w:rtl/>
          <w:lang w:val="fr-CH"/>
        </w:rPr>
        <w:t xml:space="preserve"> الممنوح للأشخاص</w:t>
      </w:r>
      <w:r w:rsidRPr="005D1BE7">
        <w:rPr>
          <w:rFonts w:hint="cs"/>
          <w:rtl/>
          <w:lang w:val="fr-CH"/>
        </w:rPr>
        <w:t xml:space="preserve"> الذين </w:t>
      </w:r>
      <w:r w:rsidR="00851139">
        <w:rPr>
          <w:rFonts w:hint="cs"/>
          <w:rtl/>
          <w:lang w:val="fr-CH"/>
        </w:rPr>
        <w:t xml:space="preserve">يفرون </w:t>
      </w:r>
      <w:r w:rsidRPr="005D1BE7">
        <w:rPr>
          <w:rFonts w:hint="cs"/>
          <w:rtl/>
          <w:lang w:val="fr-CH"/>
        </w:rPr>
        <w:t xml:space="preserve">من النزاع والعنف العام </w:t>
      </w:r>
      <w:r w:rsidR="00851139">
        <w:rPr>
          <w:rFonts w:hint="cs"/>
          <w:rtl/>
          <w:lang w:val="fr-CH"/>
        </w:rPr>
        <w:t>و</w:t>
      </w:r>
      <w:r w:rsidRPr="005D1BE7">
        <w:rPr>
          <w:rFonts w:hint="cs"/>
          <w:rtl/>
          <w:lang w:val="fr-CH"/>
        </w:rPr>
        <w:t xml:space="preserve">لا يستطيعون العودة إلى بلدانهم الأصلية </w:t>
      </w:r>
      <w:r w:rsidR="00775322">
        <w:rPr>
          <w:rFonts w:hint="cs"/>
          <w:rtl/>
          <w:lang w:val="fr-CH"/>
        </w:rPr>
        <w:t xml:space="preserve">           </w:t>
      </w:r>
      <w:r w:rsidRPr="005D1BE7">
        <w:rPr>
          <w:rFonts w:hint="cs"/>
          <w:rtl/>
          <w:lang w:val="fr-CH"/>
        </w:rPr>
        <w:t>(</w:t>
      </w:r>
      <w:r w:rsidR="0043466A">
        <w:rPr>
          <w:rFonts w:hint="cs"/>
          <w:rtl/>
          <w:lang w:val="fr-CH"/>
        </w:rPr>
        <w:t>ال</w:t>
      </w:r>
      <w:r w:rsidRPr="005D1BE7">
        <w:rPr>
          <w:rFonts w:hint="cs"/>
          <w:rtl/>
          <w:lang w:val="fr-CH"/>
        </w:rPr>
        <w:t>ترخيص "</w:t>
      </w:r>
      <w:r w:rsidR="00775322">
        <w:rPr>
          <w:lang w:val="fr-CH"/>
        </w:rPr>
        <w:t>F</w:t>
      </w:r>
      <w:r w:rsidRPr="005D1BE7">
        <w:rPr>
          <w:rFonts w:hint="cs"/>
          <w:rtl/>
          <w:lang w:val="fr-CH"/>
        </w:rPr>
        <w:t xml:space="preserve">")، </w:t>
      </w:r>
      <w:r w:rsidR="00775322">
        <w:rPr>
          <w:rFonts w:hint="cs"/>
          <w:rtl/>
          <w:lang w:val="fr-CH"/>
        </w:rPr>
        <w:t xml:space="preserve">فإنها </w:t>
      </w:r>
      <w:r w:rsidRPr="005D1BE7">
        <w:rPr>
          <w:rFonts w:hint="cs"/>
          <w:rtl/>
          <w:lang w:val="fr-CH"/>
        </w:rPr>
        <w:t xml:space="preserve">تعرب عن قلق بالغ إزاء المشقة غير الضرورية التي يواجهها الأشخاص الذين يُمنحون هذا المركز في حال بقائهم في الدولة الطرف لفترة طويلة. </w:t>
      </w:r>
      <w:r w:rsidR="00121D4F">
        <w:rPr>
          <w:rFonts w:hint="cs"/>
          <w:rtl/>
          <w:lang w:val="fr-CH"/>
        </w:rPr>
        <w:t xml:space="preserve">وتحيط </w:t>
      </w:r>
      <w:r w:rsidRPr="005D1BE7">
        <w:rPr>
          <w:rFonts w:hint="cs"/>
          <w:rtl/>
          <w:lang w:val="fr-CH"/>
        </w:rPr>
        <w:t xml:space="preserve">اللجنة علماً مع القلق بأن هذا </w:t>
      </w:r>
      <w:r w:rsidR="00A91966">
        <w:rPr>
          <w:rFonts w:hint="cs"/>
          <w:rtl/>
          <w:lang w:val="fr-CH"/>
        </w:rPr>
        <w:t>المركز</w:t>
      </w:r>
      <w:r w:rsidRPr="005D1BE7">
        <w:rPr>
          <w:rFonts w:hint="cs"/>
          <w:rtl/>
          <w:lang w:val="fr-CH"/>
        </w:rPr>
        <w:t xml:space="preserve"> غير مرتبط </w:t>
      </w:r>
      <w:r w:rsidR="00A91966">
        <w:rPr>
          <w:rFonts w:hint="cs"/>
          <w:rtl/>
          <w:lang w:val="fr-CH"/>
        </w:rPr>
        <w:t xml:space="preserve">بتصريح </w:t>
      </w:r>
      <w:r w:rsidRPr="005D1BE7">
        <w:rPr>
          <w:rFonts w:hint="cs"/>
          <w:rtl/>
          <w:lang w:val="fr-CH"/>
        </w:rPr>
        <w:t xml:space="preserve">إقامة، ويفرض قيوداً على حاملي </w:t>
      </w:r>
      <w:r w:rsidR="00292F7B">
        <w:rPr>
          <w:rFonts w:hint="cs"/>
          <w:rtl/>
          <w:lang w:val="fr-CH"/>
        </w:rPr>
        <w:t xml:space="preserve">الترخيص </w:t>
      </w:r>
      <w:r w:rsidRPr="005D1BE7">
        <w:rPr>
          <w:rFonts w:hint="cs"/>
          <w:rtl/>
          <w:lang w:val="fr-CH"/>
        </w:rPr>
        <w:t>"</w:t>
      </w:r>
      <w:r w:rsidR="00292F7B">
        <w:rPr>
          <w:lang w:val="fr-CH"/>
        </w:rPr>
        <w:t>F</w:t>
      </w:r>
      <w:r w:rsidRPr="005D1BE7">
        <w:rPr>
          <w:rFonts w:hint="cs"/>
          <w:rtl/>
          <w:lang w:val="fr-CH"/>
        </w:rPr>
        <w:t>" في معظم مجالات حياتهم، الأمر الذي قد يؤدِّي إلى التمييز بفعل الواقع ضد أولئك الأشخاص المستضعفين</w:t>
      </w:r>
      <w:r w:rsidR="005E289F">
        <w:rPr>
          <w:rFonts w:hint="cs"/>
          <w:rtl/>
          <w:lang w:val="fr-CH"/>
        </w:rPr>
        <w:t xml:space="preserve"> غير المواطنين</w:t>
      </w:r>
      <w:r w:rsidRPr="005D1BE7">
        <w:rPr>
          <w:rFonts w:hint="cs"/>
          <w:rtl/>
          <w:lang w:val="fr-CH"/>
        </w:rPr>
        <w:t xml:space="preserve">، بما </w:t>
      </w:r>
      <w:r w:rsidR="005E289F">
        <w:rPr>
          <w:rFonts w:hint="cs"/>
          <w:rtl/>
          <w:lang w:val="fr-CH"/>
        </w:rPr>
        <w:t xml:space="preserve">يشمل: </w:t>
      </w:r>
      <w:r w:rsidRPr="005D1BE7">
        <w:rPr>
          <w:rFonts w:hint="cs"/>
          <w:rtl/>
          <w:lang w:val="fr-CH"/>
        </w:rPr>
        <w:t xml:space="preserve">(أ) القيود المفروضة على حرية التنقُّل، بما في ذلك من كانتون إلى آخر ضمن الدولة الطرف، وكذلك السفر إلى الخارج؛ (ب) عدم إمكانية </w:t>
      </w:r>
      <w:r w:rsidR="00335DC7">
        <w:rPr>
          <w:rFonts w:hint="cs"/>
          <w:rtl/>
          <w:lang w:val="fr-CH"/>
        </w:rPr>
        <w:t xml:space="preserve">الحصول على </w:t>
      </w:r>
      <w:r w:rsidRPr="005D1BE7">
        <w:rPr>
          <w:rFonts w:hint="cs"/>
          <w:rtl/>
          <w:lang w:val="fr-CH"/>
        </w:rPr>
        <w:t xml:space="preserve">عمل بفعل الواقع بسبب أمور منها </w:t>
      </w:r>
      <w:r w:rsidR="00F57F46">
        <w:rPr>
          <w:rFonts w:hint="cs"/>
          <w:rtl/>
          <w:lang w:val="fr-CH"/>
        </w:rPr>
        <w:t>الشعور ب</w:t>
      </w:r>
      <w:r w:rsidRPr="005D1BE7">
        <w:rPr>
          <w:rFonts w:hint="cs"/>
          <w:rtl/>
          <w:lang w:val="fr-CH"/>
        </w:rPr>
        <w:t xml:space="preserve">عدم اليقين فيما يتعلق بمركز القبول المؤقت؛ (ج) فترة الانتظار المطوَّلة التي تستغرق ثلاث سنوات أو أكثر </w:t>
      </w:r>
      <w:r w:rsidR="00964F4B">
        <w:rPr>
          <w:rFonts w:hint="cs"/>
          <w:rtl/>
          <w:lang w:val="fr-CH"/>
        </w:rPr>
        <w:t>لجمع</w:t>
      </w:r>
      <w:r w:rsidRPr="005D1BE7">
        <w:rPr>
          <w:rFonts w:hint="cs"/>
          <w:rtl/>
          <w:lang w:val="fr-CH"/>
        </w:rPr>
        <w:t xml:space="preserve"> شمل الأسرة، </w:t>
      </w:r>
      <w:r w:rsidR="00CC319B">
        <w:rPr>
          <w:rFonts w:hint="cs"/>
          <w:rtl/>
          <w:lang w:val="fr-CH"/>
        </w:rPr>
        <w:t>الذي ي</w:t>
      </w:r>
      <w:r w:rsidRPr="005D1BE7">
        <w:rPr>
          <w:rFonts w:hint="cs"/>
          <w:rtl/>
          <w:lang w:val="fr-CH"/>
        </w:rPr>
        <w:t>تطلَّب أيضاً مستوى مناسب</w:t>
      </w:r>
      <w:r w:rsidR="00CC319B">
        <w:rPr>
          <w:rFonts w:hint="cs"/>
          <w:rtl/>
          <w:lang w:val="fr-CH"/>
        </w:rPr>
        <w:t>اً</w:t>
      </w:r>
      <w:r w:rsidRPr="005D1BE7">
        <w:rPr>
          <w:rFonts w:hint="cs"/>
          <w:rtl/>
          <w:lang w:val="fr-CH"/>
        </w:rPr>
        <w:t xml:space="preserve"> من الدخل ومكاناً لائقاً للعيش؛ (د) </w:t>
      </w:r>
      <w:r w:rsidR="00CC319B">
        <w:rPr>
          <w:rFonts w:hint="cs"/>
          <w:rtl/>
          <w:lang w:val="fr-CH"/>
        </w:rPr>
        <w:t xml:space="preserve">الإمكانية المحدودة للحصول على </w:t>
      </w:r>
      <w:r w:rsidRPr="005D1BE7">
        <w:rPr>
          <w:rFonts w:hint="cs"/>
          <w:rtl/>
          <w:lang w:val="fr-CH"/>
        </w:rPr>
        <w:t>التعليم وفرص التدريب والرعاية الصحية (المادة 5).</w:t>
      </w:r>
    </w:p>
    <w:p w:rsidR="00CB2B40" w:rsidRPr="00555801" w:rsidRDefault="00CB2B40" w:rsidP="00477701">
      <w:pPr>
        <w:pStyle w:val="SingleTxtGA"/>
        <w:rPr>
          <w:rFonts w:hint="cs"/>
          <w:b/>
          <w:bCs/>
          <w:rtl/>
        </w:rPr>
      </w:pPr>
      <w:r w:rsidRPr="00555801">
        <w:rPr>
          <w:rFonts w:hint="cs"/>
          <w:b/>
          <w:bCs/>
          <w:rtl/>
          <w:lang w:val="fr-CH"/>
        </w:rPr>
        <w:tab/>
        <w:t>تحث اللجنة الدولة الطرف على القضاء على أي تمييز غير مباشر و</w:t>
      </w:r>
      <w:r>
        <w:rPr>
          <w:rFonts w:hint="cs"/>
          <w:b/>
          <w:bCs/>
          <w:rtl/>
          <w:lang w:val="fr-CH"/>
        </w:rPr>
        <w:t xml:space="preserve">على </w:t>
      </w:r>
      <w:r w:rsidRPr="00555801">
        <w:rPr>
          <w:rFonts w:hint="cs"/>
          <w:b/>
          <w:bCs/>
          <w:rtl/>
          <w:lang w:val="fr-CH"/>
        </w:rPr>
        <w:t xml:space="preserve">العقبات غير الضرورية </w:t>
      </w:r>
      <w:r>
        <w:rPr>
          <w:rFonts w:hint="cs"/>
          <w:b/>
          <w:bCs/>
          <w:rtl/>
          <w:lang w:val="fr-CH"/>
        </w:rPr>
        <w:t xml:space="preserve">التي يواجهها </w:t>
      </w:r>
      <w:r w:rsidRPr="00555801">
        <w:rPr>
          <w:rFonts w:hint="cs"/>
          <w:b/>
          <w:bCs/>
          <w:rtl/>
          <w:lang w:val="fr-CH"/>
        </w:rPr>
        <w:t>أشخاص</w:t>
      </w:r>
      <w:r w:rsidR="00600572">
        <w:rPr>
          <w:rFonts w:hint="cs"/>
          <w:b/>
          <w:bCs/>
          <w:rtl/>
          <w:lang w:val="fr-CH"/>
        </w:rPr>
        <w:t xml:space="preserve"> </w:t>
      </w:r>
      <w:r w:rsidRPr="00555801">
        <w:rPr>
          <w:rFonts w:hint="cs"/>
          <w:b/>
          <w:bCs/>
          <w:rtl/>
          <w:lang w:val="fr-CH"/>
        </w:rPr>
        <w:t xml:space="preserve">يُمنحون مركز القبول المؤقت، </w:t>
      </w:r>
      <w:r>
        <w:rPr>
          <w:rFonts w:hint="cs"/>
          <w:b/>
          <w:bCs/>
          <w:rtl/>
          <w:lang w:val="fr-CH"/>
        </w:rPr>
        <w:t xml:space="preserve">في </w:t>
      </w:r>
      <w:r w:rsidR="005146CF">
        <w:rPr>
          <w:rFonts w:hint="cs"/>
          <w:b/>
          <w:bCs/>
          <w:rtl/>
          <w:lang w:val="fr-CH"/>
        </w:rPr>
        <w:t xml:space="preserve">تمتعهم بحقوق الإنسان </w:t>
      </w:r>
      <w:r w:rsidRPr="00555801">
        <w:rPr>
          <w:rFonts w:hint="cs"/>
          <w:b/>
          <w:bCs/>
          <w:rtl/>
        </w:rPr>
        <w:t>الأساسية. وفي هذا الصدد، تذكر اللجنة الدولة الطرف بأن المعاملة التفضيلية على أساس المواطنة أو مركز الهجرة تشكل تمييزاً إذا كان معيار هذا التفضيل، على ضوء أهداف وغايات الاتفاقية، غير مطبَّق لتحقيق هدف مشروع وإذا لم يكن متناسباً مع بلوغ هذا الهدف، وفقاً لتوصية اللجنة العامة رقم 30(2004) بشأن التمييز ضد غير المواطنين. وتوصي اللجنة الدولة الطرف ب</w:t>
      </w:r>
      <w:r>
        <w:rPr>
          <w:rFonts w:hint="cs"/>
          <w:b/>
          <w:bCs/>
          <w:rtl/>
        </w:rPr>
        <w:t>إزالة</w:t>
      </w:r>
      <w:r w:rsidRPr="00555801">
        <w:rPr>
          <w:rFonts w:hint="cs"/>
          <w:b/>
          <w:bCs/>
          <w:rtl/>
        </w:rPr>
        <w:t xml:space="preserve"> القيود غير المتناسبة المفروضة على حقوق الأشخاص الذين يتم قبولهم مؤقتاً، ولا سيما الأشخاص الذين هم في الدولة الطرف منذ وقت طويل، من خلال السماح لهم بالتنقل بحرية داخل الدولة الطرف وتيسير إجراءات لمّ شمل الأسرة </w:t>
      </w:r>
      <w:r w:rsidR="00477701">
        <w:rPr>
          <w:rFonts w:hint="cs"/>
          <w:b/>
          <w:bCs/>
          <w:rtl/>
        </w:rPr>
        <w:t xml:space="preserve">والحصول على </w:t>
      </w:r>
      <w:r w:rsidRPr="00555801">
        <w:rPr>
          <w:rFonts w:hint="cs"/>
          <w:b/>
          <w:bCs/>
          <w:rtl/>
        </w:rPr>
        <w:t>العمل وفرص التعليم والرعاية الصحية.</w:t>
      </w:r>
    </w:p>
    <w:p w:rsidR="00CB2B40" w:rsidRPr="00BE010C" w:rsidRDefault="00CB2B40" w:rsidP="00AA75DD">
      <w:pPr>
        <w:pStyle w:val="H23GA"/>
        <w:rPr>
          <w:rFonts w:hint="cs"/>
          <w:rtl/>
        </w:rPr>
      </w:pPr>
      <w:r w:rsidRPr="00555801">
        <w:rPr>
          <w:rFonts w:hint="cs"/>
          <w:rtl/>
        </w:rPr>
        <w:tab/>
      </w:r>
      <w:r w:rsidRPr="00BE010C">
        <w:rPr>
          <w:rFonts w:hint="cs"/>
          <w:rtl/>
        </w:rPr>
        <w:tab/>
        <w:t>غير المواطنين</w:t>
      </w:r>
    </w:p>
    <w:p w:rsidR="00CB2B40" w:rsidRPr="005D1BE7" w:rsidRDefault="00CB2B40" w:rsidP="00FA502A">
      <w:pPr>
        <w:pStyle w:val="SingleTxtGA"/>
        <w:rPr>
          <w:rFonts w:hint="cs"/>
          <w:rtl/>
        </w:rPr>
      </w:pPr>
      <w:r w:rsidRPr="00C026DD">
        <w:rPr>
          <w:rFonts w:hint="cs"/>
          <w:rtl/>
        </w:rPr>
        <w:t>17-</w:t>
      </w:r>
      <w:r w:rsidRPr="00C026DD">
        <w:rPr>
          <w:rFonts w:hint="cs"/>
          <w:rtl/>
        </w:rPr>
        <w:tab/>
      </w:r>
      <w:r w:rsidR="00AA75DD">
        <w:rPr>
          <w:rFonts w:hint="cs"/>
          <w:rtl/>
        </w:rPr>
        <w:t>لا ي</w:t>
      </w:r>
      <w:r w:rsidRPr="00C026DD">
        <w:rPr>
          <w:rFonts w:hint="cs"/>
          <w:rtl/>
        </w:rPr>
        <w:t xml:space="preserve">زال القلق </w:t>
      </w:r>
      <w:r w:rsidR="00AA75DD">
        <w:rPr>
          <w:rFonts w:hint="cs"/>
          <w:rtl/>
        </w:rPr>
        <w:t xml:space="preserve">يساور اللجنة </w:t>
      </w:r>
      <w:r w:rsidRPr="00C026DD">
        <w:rPr>
          <w:rFonts w:hint="cs"/>
          <w:rtl/>
        </w:rPr>
        <w:t>إزاء حالة ملتمسي اللجوء واللاجئين الذين يتم إيواؤهم</w:t>
      </w:r>
      <w:r w:rsidRPr="005D1BE7">
        <w:rPr>
          <w:rFonts w:hint="cs"/>
          <w:rtl/>
        </w:rPr>
        <w:t xml:space="preserve"> في مراكز استقبال نائية مع إمكانية محدودة </w:t>
      </w:r>
      <w:r w:rsidR="002708B4">
        <w:rPr>
          <w:rFonts w:hint="cs"/>
          <w:rtl/>
        </w:rPr>
        <w:t xml:space="preserve">للحصول على </w:t>
      </w:r>
      <w:r w:rsidRPr="005D1BE7">
        <w:rPr>
          <w:rFonts w:hint="cs"/>
          <w:rtl/>
        </w:rPr>
        <w:t>العمل وفرص التدريب، والذين تكون حقوقهم معرضة باستمرار لخطر تقييدها بصورة أك</w:t>
      </w:r>
      <w:r w:rsidR="00172CCE">
        <w:rPr>
          <w:rFonts w:hint="cs"/>
          <w:rtl/>
        </w:rPr>
        <w:t>ب</w:t>
      </w:r>
      <w:r w:rsidRPr="005D1BE7">
        <w:rPr>
          <w:rFonts w:hint="cs"/>
          <w:rtl/>
        </w:rPr>
        <w:t xml:space="preserve">ر. وتعرب عن قلق خاص إزاء تقييد حرية حركة ملتمسي اللجوء في بعض المناطق العامة في بعض البلديات. ويساور اللجنة القلق أيضاً إزاء حالة المهاجرين والأشخاص غير الحاملين لوثائق، ولا سيما النساء، </w:t>
      </w:r>
      <w:r w:rsidR="00172CCE">
        <w:rPr>
          <w:rFonts w:hint="cs"/>
          <w:rtl/>
        </w:rPr>
        <w:t xml:space="preserve">فهم </w:t>
      </w:r>
      <w:r w:rsidRPr="005D1BE7">
        <w:rPr>
          <w:rFonts w:hint="cs"/>
          <w:rtl/>
        </w:rPr>
        <w:t xml:space="preserve">أكثر عرضة للفقر والعنف </w:t>
      </w:r>
      <w:r w:rsidR="00BD446B">
        <w:rPr>
          <w:rFonts w:hint="cs"/>
          <w:rtl/>
        </w:rPr>
        <w:t>و</w:t>
      </w:r>
      <w:r w:rsidRPr="005D1BE7">
        <w:rPr>
          <w:rFonts w:hint="cs"/>
          <w:rtl/>
        </w:rPr>
        <w:t xml:space="preserve">لخطر أشكال متعدِّدة للتمييز في مجالات من قبيل </w:t>
      </w:r>
      <w:r w:rsidR="00BD446B">
        <w:rPr>
          <w:rFonts w:hint="cs"/>
          <w:rtl/>
        </w:rPr>
        <w:t xml:space="preserve">الحصول على </w:t>
      </w:r>
      <w:r w:rsidRPr="005D1BE7">
        <w:rPr>
          <w:rFonts w:hint="cs"/>
          <w:rtl/>
        </w:rPr>
        <w:t>السكن والعمل. وفيما ترحِّب اللجنة بمراجعة القانون الاتحادي للمواطنين الأجانب في تموز/</w:t>
      </w:r>
      <w:r w:rsidR="004454B7">
        <w:rPr>
          <w:rFonts w:hint="cs"/>
          <w:rtl/>
        </w:rPr>
        <w:t xml:space="preserve">        </w:t>
      </w:r>
      <w:r w:rsidRPr="005D1BE7">
        <w:rPr>
          <w:rFonts w:hint="cs"/>
          <w:rtl/>
        </w:rPr>
        <w:t xml:space="preserve">يوليه 2013، الذي ينص على حق ضحايا العنف الزوجي في البقاء في سويسرا، </w:t>
      </w:r>
      <w:r w:rsidR="004454B7">
        <w:rPr>
          <w:rFonts w:hint="cs"/>
          <w:rtl/>
        </w:rPr>
        <w:t xml:space="preserve">فإنها </w:t>
      </w:r>
      <w:r w:rsidRPr="005D1BE7">
        <w:rPr>
          <w:rFonts w:hint="cs"/>
          <w:rtl/>
        </w:rPr>
        <w:t xml:space="preserve">تعرب عن قلقها لأن مستوى العنف ينبغي أن يصل إلى حد أدنى من الشدة </w:t>
      </w:r>
      <w:r w:rsidR="004454B7">
        <w:rPr>
          <w:rFonts w:hint="cs"/>
          <w:rtl/>
        </w:rPr>
        <w:t xml:space="preserve">حتى </w:t>
      </w:r>
      <w:r w:rsidRPr="005D1BE7">
        <w:rPr>
          <w:rFonts w:hint="cs"/>
          <w:rtl/>
        </w:rPr>
        <w:t>تستفيد الضحية من تطبيق هذا القانون (المادتان 2 و5).</w:t>
      </w:r>
    </w:p>
    <w:p w:rsidR="00CB2B40" w:rsidRPr="00555801" w:rsidRDefault="00CB2B40" w:rsidP="00B57AAB">
      <w:pPr>
        <w:pStyle w:val="SingleTxtGA"/>
        <w:rPr>
          <w:rFonts w:hint="cs"/>
          <w:b/>
          <w:bCs/>
          <w:rtl/>
        </w:rPr>
      </w:pPr>
      <w:r w:rsidRPr="00555801">
        <w:rPr>
          <w:rFonts w:hint="cs"/>
          <w:b/>
          <w:bCs/>
          <w:rtl/>
        </w:rPr>
        <w:tab/>
        <w:t>تدعو اللجنة الدولة الطرف إلى اتخاذ تدابير فعَّالة للقضاء على التمييز ضد غير المواطنين، ولا سيما المهاجرون والأشخاص الذين لا يملكون وثائق، وملتمسو اللجوء واللاجئون</w:t>
      </w:r>
      <w:r w:rsidR="0030180E">
        <w:rPr>
          <w:rFonts w:hint="cs"/>
          <w:b/>
          <w:bCs/>
          <w:rtl/>
        </w:rPr>
        <w:t>،</w:t>
      </w:r>
      <w:r w:rsidRPr="00555801">
        <w:rPr>
          <w:rFonts w:hint="cs"/>
          <w:b/>
          <w:bCs/>
          <w:rtl/>
        </w:rPr>
        <w:t xml:space="preserve"> وضمان أن تكون أية قيود تُفرض على حقوقهم مستندة إلى هدف مشروع وتتناسب مع بلوغ هذا الهدف، وفقاً للتوصية العامة للجنة رقم 30(2004) بشأن التمييز ضد غير المواطنين. وتحث الدولة الطرف أيضاً على التصدِّي ل</w:t>
      </w:r>
      <w:r>
        <w:rPr>
          <w:rFonts w:hint="cs"/>
          <w:b/>
          <w:bCs/>
          <w:rtl/>
        </w:rPr>
        <w:t xml:space="preserve">ما </w:t>
      </w:r>
      <w:r w:rsidRPr="00555801">
        <w:rPr>
          <w:rFonts w:hint="cs"/>
          <w:b/>
          <w:bCs/>
          <w:rtl/>
        </w:rPr>
        <w:t xml:space="preserve">تتعرض له المرأة المنتمية لهذه المجموعات </w:t>
      </w:r>
      <w:r>
        <w:rPr>
          <w:rFonts w:hint="cs"/>
          <w:b/>
          <w:bCs/>
          <w:rtl/>
        </w:rPr>
        <w:t xml:space="preserve">من </w:t>
      </w:r>
      <w:r w:rsidRPr="00555801">
        <w:rPr>
          <w:rFonts w:hint="cs"/>
          <w:b/>
          <w:bCs/>
          <w:rtl/>
        </w:rPr>
        <w:t xml:space="preserve">مخاطر </w:t>
      </w:r>
      <w:r>
        <w:rPr>
          <w:rFonts w:hint="cs"/>
          <w:b/>
          <w:bCs/>
          <w:rtl/>
        </w:rPr>
        <w:t>محددة و</w:t>
      </w:r>
      <w:r w:rsidRPr="00555801">
        <w:rPr>
          <w:rFonts w:hint="cs"/>
          <w:b/>
          <w:bCs/>
          <w:rtl/>
        </w:rPr>
        <w:t>ضعف، وضمان تمكُّن ضحايا العنف الزوج</w:t>
      </w:r>
      <w:r>
        <w:rPr>
          <w:rFonts w:hint="cs"/>
          <w:b/>
          <w:bCs/>
          <w:rtl/>
        </w:rPr>
        <w:t>ي</w:t>
      </w:r>
      <w:r w:rsidRPr="00555801">
        <w:rPr>
          <w:rFonts w:hint="cs"/>
          <w:b/>
          <w:bCs/>
          <w:rtl/>
        </w:rPr>
        <w:t xml:space="preserve"> من البقاء في الدولة الطرف دون عقبات إجرائية غير لازمة. وفي هذا الصدد، تلفت اللجنة انتباه الدولة الطرف إلى تعليقها العام رقم 25(2000) بشأن الأبعاد الجنسانية للتمييز العنصري.</w:t>
      </w:r>
    </w:p>
    <w:p w:rsidR="00CB2B40" w:rsidRPr="00BE010C" w:rsidRDefault="00CB2B40" w:rsidP="00241906">
      <w:pPr>
        <w:pStyle w:val="H23GA"/>
        <w:rPr>
          <w:rFonts w:hint="cs"/>
          <w:rtl/>
          <w:lang w:val="fr-CH"/>
        </w:rPr>
      </w:pPr>
      <w:r w:rsidRPr="00555801">
        <w:rPr>
          <w:rFonts w:hint="cs"/>
          <w:rtl/>
          <w:lang w:val="fr-CH"/>
        </w:rPr>
        <w:tab/>
      </w:r>
      <w:r w:rsidRPr="00BE010C">
        <w:rPr>
          <w:rFonts w:hint="cs"/>
          <w:rtl/>
          <w:lang w:val="fr-CH"/>
        </w:rPr>
        <w:tab/>
        <w:t>التعليم والتدريب بشأن مكافحة التمييز العنصري</w:t>
      </w:r>
    </w:p>
    <w:p w:rsidR="00CB2B40" w:rsidRDefault="00CB2B40" w:rsidP="00DA2119">
      <w:pPr>
        <w:pStyle w:val="SingleTxtGA"/>
        <w:rPr>
          <w:rFonts w:hint="cs"/>
          <w:rtl/>
          <w:lang w:val="fr-CH" w:eastAsia="ar-SA"/>
        </w:rPr>
      </w:pPr>
      <w:r>
        <w:rPr>
          <w:rFonts w:hint="cs"/>
          <w:rtl/>
          <w:lang w:val="fr-CH"/>
        </w:rPr>
        <w:t>18-</w:t>
      </w:r>
      <w:r>
        <w:rPr>
          <w:rFonts w:hint="cs"/>
          <w:rtl/>
          <w:lang w:val="fr-CH"/>
        </w:rPr>
        <w:tab/>
        <w:t xml:space="preserve">فيما </w:t>
      </w:r>
      <w:r w:rsidR="001B6879">
        <w:rPr>
          <w:rFonts w:hint="cs"/>
          <w:rtl/>
          <w:lang w:val="fr-CH"/>
        </w:rPr>
        <w:t>تحيط</w:t>
      </w:r>
      <w:r>
        <w:rPr>
          <w:rFonts w:hint="cs"/>
          <w:rtl/>
          <w:lang w:val="fr-CH"/>
        </w:rPr>
        <w:t xml:space="preserve"> اللجنة علماً بالتدابير المختلفة التي اتخذتها الدولة الطرف</w:t>
      </w:r>
      <w:r>
        <w:rPr>
          <w:rFonts w:hint="cs"/>
          <w:rtl/>
          <w:lang w:val="fr-CH" w:eastAsia="ar-SA"/>
        </w:rPr>
        <w:t xml:space="preserve"> لتعزيز اندماج الأجانب والمجتمعات الإثنية والدينية في الدولة الطرف، تعرب عن قلقها لعدم تنظيم حملات موجّهة إلى الجمهور لمكافحة التمييز العنصري في جميع أنحاء الدولة الطرف. وتكرر أيضاً </w:t>
      </w:r>
      <w:r w:rsidR="008C0B56">
        <w:rPr>
          <w:rFonts w:hint="cs"/>
          <w:rtl/>
          <w:lang w:val="fr-CH" w:eastAsia="ar-SA"/>
        </w:rPr>
        <w:t xml:space="preserve">الإعراب عن قلقها </w:t>
      </w:r>
      <w:r>
        <w:rPr>
          <w:rFonts w:hint="cs"/>
          <w:rtl/>
          <w:lang w:val="fr-CH" w:eastAsia="ar-SA"/>
        </w:rPr>
        <w:t>لعدم وجود خطة عمل وطنية لمكافحة التمييز العنصري، كما هو مشار إليه في إعلان وبرنامج عمل ديربان (المادتان 2 و7).</w:t>
      </w:r>
    </w:p>
    <w:p w:rsidR="00CB2B40" w:rsidRDefault="00CB2B40" w:rsidP="00B57AAB">
      <w:pPr>
        <w:pStyle w:val="SingleTxtGA"/>
        <w:rPr>
          <w:rFonts w:hint="cs"/>
          <w:b/>
          <w:bCs/>
          <w:rtl/>
          <w:lang w:val="fr-CH" w:eastAsia="ar-SA"/>
        </w:rPr>
      </w:pPr>
      <w:r w:rsidRPr="007B3E1E">
        <w:rPr>
          <w:rFonts w:hint="cs"/>
          <w:b/>
          <w:bCs/>
          <w:rtl/>
          <w:lang w:val="fr-CH" w:eastAsia="ar-SA"/>
        </w:rPr>
        <w:tab/>
        <w:t>تذكر ال</w:t>
      </w:r>
      <w:r>
        <w:rPr>
          <w:rFonts w:hint="cs"/>
          <w:b/>
          <w:bCs/>
          <w:rtl/>
          <w:lang w:val="fr-CH" w:eastAsia="ar-SA"/>
        </w:rPr>
        <w:t>لجنة الدولة الطرف بأن الاندماج هو عملية ذات مسارين تتعلق بكل من المجتمعات ذات الأغلبية والأقلية، وتوصي الدولة الطرف باعتماد تدابير إضافية تستهدف مجتمع الأغلبية لمكافحة التمييز العنصري. وفي هذا الصدد، تكرر اللجنة توصيتها السابقة إلى الدولة الطرف باعتماد خطة عمل وطنية لمكافحة التمييز العنصري وتنظيم حملات إعلامية لبث الوعي في صفوف الجمهور بشأن مظاهر وأضرار التمييز العنصري. وتشجع اللجنة الدولة الطرف على أن تكفل صياغة المناهج الدراسية والكتب المدرسية والمواد التعليمية بشكل يسترشد بمواضيع حقوق الإنسان ويعالجها، وعلى أن تسعى إلى تعزيز الاحترام المتبادل والتسامح فيما بين الأمم والمجموعات العرقية والإثنية.</w:t>
      </w:r>
    </w:p>
    <w:p w:rsidR="00F4682C" w:rsidRDefault="00F4682C" w:rsidP="00215361">
      <w:pPr>
        <w:pStyle w:val="H1GA"/>
        <w:rPr>
          <w:rFonts w:hint="cs"/>
          <w:rtl/>
        </w:rPr>
      </w:pPr>
      <w:r>
        <w:rPr>
          <w:rFonts w:hint="cs"/>
          <w:rtl/>
        </w:rPr>
        <w:tab/>
        <w:t>دال-</w:t>
      </w:r>
      <w:r>
        <w:rPr>
          <w:rFonts w:hint="cs"/>
          <w:rtl/>
        </w:rPr>
        <w:tab/>
        <w:t xml:space="preserve">توصيات أخرى </w:t>
      </w:r>
    </w:p>
    <w:p w:rsidR="00F4682C" w:rsidRDefault="00F4682C" w:rsidP="00215361">
      <w:pPr>
        <w:pStyle w:val="H23GA"/>
        <w:rPr>
          <w:rFonts w:hint="cs"/>
          <w:rtl/>
        </w:rPr>
      </w:pPr>
      <w:r>
        <w:rPr>
          <w:rFonts w:hint="cs"/>
          <w:rtl/>
        </w:rPr>
        <w:tab/>
      </w:r>
      <w:r>
        <w:rPr>
          <w:rFonts w:hint="cs"/>
          <w:rtl/>
        </w:rPr>
        <w:tab/>
        <w:t>التصديق على معاهدات أخرى</w:t>
      </w:r>
    </w:p>
    <w:p w:rsidR="00F4682C" w:rsidRDefault="008F37E6" w:rsidP="003E59A4">
      <w:pPr>
        <w:pStyle w:val="SingleTxtGA"/>
        <w:rPr>
          <w:rFonts w:hint="cs"/>
          <w:rtl/>
        </w:rPr>
      </w:pPr>
      <w:r>
        <w:rPr>
          <w:rFonts w:hint="cs"/>
          <w:rtl/>
        </w:rPr>
        <w:t>19</w:t>
      </w:r>
      <w:r w:rsidR="00F4682C">
        <w:rPr>
          <w:rFonts w:hint="cs"/>
          <w:rtl/>
        </w:rPr>
        <w:t>-</w:t>
      </w:r>
      <w:r w:rsidR="00F4682C">
        <w:rPr>
          <w:rFonts w:hint="cs"/>
          <w:rtl/>
        </w:rPr>
        <w:tab/>
        <w:t xml:space="preserve">إن اللجنة إذ تضع في اعتبارها أن جميع حقوق الإنسان غير قابلة للتجزئة، فإنها تشجِّع الدولة الطرف على أن تنظر في التصديق على المعاهدات الدولية لحقوق الإنسان التي لم تصدِّق عليها بعد، ولا سيما المعاهدات التي لأحكامها علاقة مباشرة </w:t>
      </w:r>
      <w:r w:rsidR="001305DE">
        <w:rPr>
          <w:rFonts w:hint="cs"/>
          <w:rtl/>
        </w:rPr>
        <w:t>بالمجتمعات التي قد تكون عرضة</w:t>
      </w:r>
      <w:r w:rsidR="00F4682C">
        <w:rPr>
          <w:rFonts w:hint="cs"/>
          <w:rtl/>
        </w:rPr>
        <w:t xml:space="preserve"> </w:t>
      </w:r>
      <w:r w:rsidR="001305DE">
        <w:rPr>
          <w:rFonts w:hint="cs"/>
          <w:rtl/>
        </w:rPr>
        <w:t>ل</w:t>
      </w:r>
      <w:r w:rsidR="00F4682C">
        <w:rPr>
          <w:rFonts w:hint="cs"/>
          <w:rtl/>
        </w:rPr>
        <w:t>لتمييز العنصري، مثل الاتفاقية الدولية لحماية حقوق جمي</w:t>
      </w:r>
      <w:r w:rsidR="00804F25">
        <w:rPr>
          <w:rFonts w:hint="cs"/>
          <w:rtl/>
        </w:rPr>
        <w:t>ع العمال المهاجرين وأفراد أسرهم،</w:t>
      </w:r>
      <w:r w:rsidR="00076B62">
        <w:rPr>
          <w:rFonts w:hint="cs"/>
          <w:rtl/>
        </w:rPr>
        <w:t xml:space="preserve"> </w:t>
      </w:r>
      <w:r w:rsidR="00F4682C">
        <w:rPr>
          <w:rFonts w:hint="cs"/>
          <w:rtl/>
        </w:rPr>
        <w:t>واتفاقية منظمة العمل الدولية رقم</w:t>
      </w:r>
      <w:r w:rsidR="00F4682C">
        <w:rPr>
          <w:rFonts w:hint="eastAsia"/>
          <w:rtl/>
        </w:rPr>
        <w:t> </w:t>
      </w:r>
      <w:r w:rsidR="00F4682C">
        <w:rPr>
          <w:rFonts w:hint="cs"/>
          <w:rtl/>
        </w:rPr>
        <w:t>189(2011) بشأن العمل اللائق للعمال المنزليين</w:t>
      </w:r>
      <w:r w:rsidR="00FB6DB0">
        <w:rPr>
          <w:rFonts w:hint="cs"/>
          <w:rtl/>
        </w:rPr>
        <w:t>، واتفاقية عام 1961 بشأن خفض حالات انعدام الجنسية، واتفاقية منظمة الأمم المتحدة للتربية والعلم والثقافة بشأن مكافحة التمييز في مجال التعليم</w:t>
      </w:r>
      <w:r w:rsidR="00F4682C">
        <w:rPr>
          <w:rFonts w:hint="cs"/>
          <w:rtl/>
        </w:rPr>
        <w:t>.</w:t>
      </w:r>
    </w:p>
    <w:p w:rsidR="00F4682C" w:rsidRDefault="00F4682C" w:rsidP="00F4682C">
      <w:pPr>
        <w:pStyle w:val="H23GA"/>
        <w:rPr>
          <w:rFonts w:hint="cs"/>
          <w:rtl/>
        </w:rPr>
      </w:pPr>
      <w:r>
        <w:rPr>
          <w:rFonts w:hint="cs"/>
          <w:rtl/>
        </w:rPr>
        <w:tab/>
      </w:r>
      <w:r>
        <w:rPr>
          <w:rFonts w:hint="cs"/>
          <w:rtl/>
        </w:rPr>
        <w:tab/>
        <w:t>التشاور مع منظمات المجتمع المدني</w:t>
      </w:r>
    </w:p>
    <w:p w:rsidR="00F4682C" w:rsidRDefault="00F4682C" w:rsidP="000D738A">
      <w:pPr>
        <w:pStyle w:val="SingleTxtGA"/>
        <w:rPr>
          <w:rFonts w:hint="cs"/>
          <w:rtl/>
        </w:rPr>
      </w:pPr>
      <w:r>
        <w:rPr>
          <w:rFonts w:hint="cs"/>
          <w:rtl/>
        </w:rPr>
        <w:t>2</w:t>
      </w:r>
      <w:r w:rsidR="000D738A">
        <w:rPr>
          <w:rFonts w:hint="cs"/>
          <w:rtl/>
        </w:rPr>
        <w:t>0</w:t>
      </w:r>
      <w:r>
        <w:rPr>
          <w:rFonts w:hint="cs"/>
          <w:rtl/>
        </w:rPr>
        <w:t>-</w:t>
      </w:r>
      <w:r>
        <w:rPr>
          <w:rFonts w:hint="cs"/>
          <w:rtl/>
        </w:rPr>
        <w:tab/>
        <w:t>توصي اللجنة الدولة الطرف بمواصلة التشاور مع منظمات المجتمع المدني العاملة في مجال حماية حقوق الإنسان وتوسيع نطاق حوارها معها، ولا سيما في مجال مكافحة التمييز العنصري، لدى إعداد تقريرها الدوري المقبل ومتابعة هذه الملاحظات الختامية.</w:t>
      </w:r>
    </w:p>
    <w:p w:rsidR="00F4682C" w:rsidRDefault="00F4682C" w:rsidP="00210444">
      <w:pPr>
        <w:pStyle w:val="H23GA"/>
        <w:rPr>
          <w:rFonts w:hint="cs"/>
          <w:rtl/>
        </w:rPr>
      </w:pPr>
      <w:r>
        <w:rPr>
          <w:rFonts w:hint="cs"/>
          <w:rtl/>
        </w:rPr>
        <w:tab/>
      </w:r>
      <w:r>
        <w:rPr>
          <w:rFonts w:hint="cs"/>
          <w:rtl/>
        </w:rPr>
        <w:tab/>
        <w:t>النشر</w:t>
      </w:r>
    </w:p>
    <w:p w:rsidR="00F4682C" w:rsidRDefault="00210444" w:rsidP="00F4682C">
      <w:pPr>
        <w:pStyle w:val="SingleTxtGA"/>
        <w:rPr>
          <w:rFonts w:hint="cs"/>
          <w:rtl/>
        </w:rPr>
      </w:pPr>
      <w:r>
        <w:rPr>
          <w:rFonts w:hint="cs"/>
          <w:rtl/>
        </w:rPr>
        <w:t>21</w:t>
      </w:r>
      <w:r w:rsidR="00F4682C">
        <w:rPr>
          <w:rFonts w:hint="cs"/>
          <w:rtl/>
        </w:rPr>
        <w:t>-</w:t>
      </w:r>
      <w:r w:rsidR="00F4682C">
        <w:rPr>
          <w:rFonts w:hint="cs"/>
          <w:rtl/>
        </w:rPr>
        <w:tab/>
        <w:t>توصي اللجنة الدولة الطرف بأن تُيسِّر حصول الجمهور على تقارير الدولة الطرف فور تقديمها</w:t>
      </w:r>
      <w:r w:rsidR="00FA502A">
        <w:rPr>
          <w:rFonts w:hint="cs"/>
          <w:rtl/>
        </w:rPr>
        <w:t>،</w:t>
      </w:r>
      <w:r w:rsidR="00F4682C">
        <w:rPr>
          <w:rFonts w:hint="cs"/>
          <w:rtl/>
        </w:rPr>
        <w:t xml:space="preserve"> وبأن تنشر بالمثل ملاحظات اللجنة المتعلِّقة بتلك التقارير بلغاتها الرسمية وغيرها من اللغات التي يشيع استخدامها</w:t>
      </w:r>
      <w:r>
        <w:rPr>
          <w:rFonts w:hint="cs"/>
          <w:rtl/>
        </w:rPr>
        <w:t>،</w:t>
      </w:r>
      <w:r w:rsidR="00F4682C">
        <w:rPr>
          <w:rFonts w:hint="cs"/>
          <w:rtl/>
        </w:rPr>
        <w:t xml:space="preserve"> حسب الاقتضاء.</w:t>
      </w:r>
    </w:p>
    <w:p w:rsidR="00F4682C" w:rsidRDefault="00F4682C" w:rsidP="00210444">
      <w:pPr>
        <w:pStyle w:val="H23GA"/>
        <w:rPr>
          <w:rFonts w:hint="cs"/>
          <w:rtl/>
        </w:rPr>
      </w:pPr>
      <w:r>
        <w:rPr>
          <w:rFonts w:hint="cs"/>
          <w:rtl/>
        </w:rPr>
        <w:tab/>
      </w:r>
      <w:r>
        <w:rPr>
          <w:rFonts w:hint="cs"/>
          <w:rtl/>
        </w:rPr>
        <w:tab/>
        <w:t xml:space="preserve">الوثيقة الأساسية </w:t>
      </w:r>
      <w:r w:rsidR="00210444">
        <w:rPr>
          <w:rFonts w:hint="cs"/>
          <w:rtl/>
        </w:rPr>
        <w:t>المشتركة</w:t>
      </w:r>
    </w:p>
    <w:p w:rsidR="00F4682C" w:rsidRDefault="00210444" w:rsidP="00F12EB3">
      <w:pPr>
        <w:pStyle w:val="SingleTxtGA"/>
        <w:rPr>
          <w:rFonts w:hint="cs"/>
          <w:rtl/>
        </w:rPr>
      </w:pPr>
      <w:r>
        <w:rPr>
          <w:rFonts w:hint="cs"/>
          <w:rtl/>
        </w:rPr>
        <w:t>22</w:t>
      </w:r>
      <w:r w:rsidR="00F4682C">
        <w:rPr>
          <w:rFonts w:hint="cs"/>
          <w:rtl/>
        </w:rPr>
        <w:t>-</w:t>
      </w:r>
      <w:r w:rsidR="00F4682C">
        <w:rPr>
          <w:rFonts w:hint="cs"/>
          <w:rtl/>
        </w:rPr>
        <w:tab/>
        <w:t xml:space="preserve">تلاحظ اللجنة أن الدولة الطرف قدَّمت وثيقتها </w:t>
      </w:r>
      <w:r w:rsidR="00892E81">
        <w:rPr>
          <w:rFonts w:hint="cs"/>
          <w:rtl/>
        </w:rPr>
        <w:t>المشتركة</w:t>
      </w:r>
      <w:r w:rsidR="00F4682C">
        <w:rPr>
          <w:rFonts w:hint="cs"/>
          <w:rtl/>
        </w:rPr>
        <w:t xml:space="preserve"> في عام </w:t>
      </w:r>
      <w:r w:rsidR="00892E81">
        <w:rPr>
          <w:rFonts w:hint="cs"/>
          <w:rtl/>
        </w:rPr>
        <w:t>2001</w:t>
      </w:r>
      <w:r w:rsidR="00A80B95">
        <w:rPr>
          <w:rFonts w:hint="cs"/>
          <w:rtl/>
        </w:rPr>
        <w:t xml:space="preserve">، </w:t>
      </w:r>
      <w:r w:rsidR="00FA502A">
        <w:rPr>
          <w:rFonts w:hint="cs"/>
          <w:rtl/>
        </w:rPr>
        <w:t>ول</w:t>
      </w:r>
      <w:r w:rsidR="0059131E">
        <w:rPr>
          <w:rFonts w:hint="cs"/>
          <w:rtl/>
        </w:rPr>
        <w:t xml:space="preserve">ذلك </w:t>
      </w:r>
      <w:r w:rsidR="00F4682C">
        <w:rPr>
          <w:rFonts w:hint="cs"/>
          <w:rtl/>
        </w:rPr>
        <w:t>تشجِّع</w:t>
      </w:r>
      <w:r w:rsidR="0059131E">
        <w:rPr>
          <w:rFonts w:hint="cs"/>
          <w:rtl/>
        </w:rPr>
        <w:t>ها</w:t>
      </w:r>
      <w:r w:rsidR="00F4682C">
        <w:rPr>
          <w:rFonts w:hint="cs"/>
          <w:rtl/>
        </w:rPr>
        <w:t xml:space="preserve"> على تقديم وثيقة </w:t>
      </w:r>
      <w:r w:rsidR="0059131E">
        <w:rPr>
          <w:rFonts w:hint="cs"/>
          <w:rtl/>
        </w:rPr>
        <w:t xml:space="preserve">مشتركة </w:t>
      </w:r>
      <w:r w:rsidR="00F4682C">
        <w:rPr>
          <w:rFonts w:hint="cs"/>
          <w:rtl/>
        </w:rPr>
        <w:t xml:space="preserve">محدَّثة وفقاً للمبادئ التوجيهية المنسَّقة </w:t>
      </w:r>
      <w:r w:rsidR="0059131E">
        <w:rPr>
          <w:rFonts w:hint="cs"/>
          <w:rtl/>
        </w:rPr>
        <w:t xml:space="preserve">لتقديم </w:t>
      </w:r>
      <w:r w:rsidR="00F4682C">
        <w:rPr>
          <w:rFonts w:hint="cs"/>
          <w:rtl/>
        </w:rPr>
        <w:t xml:space="preserve">التقارير بموجب المعاهدات الدولية لحقوق الإنسان، ولا سيما تلك المتعلِّقة بالوثيقة الأساسية </w:t>
      </w:r>
      <w:r w:rsidR="009205FD">
        <w:rPr>
          <w:rFonts w:hint="cs"/>
          <w:rtl/>
        </w:rPr>
        <w:t xml:space="preserve">المشتركة، </w:t>
      </w:r>
      <w:r w:rsidR="00F4682C">
        <w:rPr>
          <w:rFonts w:hint="cs"/>
          <w:rtl/>
        </w:rPr>
        <w:t>بصيغتها التي اعتمدها الاجتماع الخامس المشترك بين لجان هيئات معاهدات حقوق الإنسان المعقود في حزيران/يونيه 2006 (</w:t>
      </w:r>
      <w:r w:rsidR="00F4682C">
        <w:t>HRI/GEN.2/Rev.6</w:t>
      </w:r>
      <w:r w:rsidR="00F4682C">
        <w:rPr>
          <w:rFonts w:hint="cs"/>
          <w:rtl/>
        </w:rPr>
        <w:t>، الفصل الأول).</w:t>
      </w:r>
    </w:p>
    <w:p w:rsidR="00F4682C" w:rsidRDefault="00F4682C" w:rsidP="00F4682C">
      <w:pPr>
        <w:pStyle w:val="H23GA"/>
        <w:rPr>
          <w:rFonts w:hint="cs"/>
          <w:rtl/>
        </w:rPr>
      </w:pPr>
      <w:r>
        <w:rPr>
          <w:rFonts w:hint="cs"/>
          <w:rtl/>
        </w:rPr>
        <w:tab/>
      </w:r>
      <w:r>
        <w:rPr>
          <w:rFonts w:hint="cs"/>
          <w:rtl/>
        </w:rPr>
        <w:tab/>
      </w:r>
      <w:r w:rsidRPr="003E45DD">
        <w:rPr>
          <w:rFonts w:hint="cs"/>
          <w:rtl/>
        </w:rPr>
        <w:t>متابعة الملاحظات الختامية</w:t>
      </w:r>
    </w:p>
    <w:p w:rsidR="00F4682C" w:rsidRDefault="00F12EB3" w:rsidP="00F12EB3">
      <w:pPr>
        <w:pStyle w:val="SingleTxtGA"/>
        <w:rPr>
          <w:rFonts w:hint="cs"/>
          <w:rtl/>
        </w:rPr>
      </w:pPr>
      <w:r>
        <w:rPr>
          <w:rFonts w:hint="cs"/>
          <w:rtl/>
        </w:rPr>
        <w:t>23</w:t>
      </w:r>
      <w:r w:rsidR="00F4682C">
        <w:rPr>
          <w:rFonts w:hint="cs"/>
          <w:rtl/>
        </w:rPr>
        <w:t>-</w:t>
      </w:r>
      <w:r w:rsidR="00F4682C">
        <w:rPr>
          <w:rFonts w:hint="cs"/>
          <w:rtl/>
        </w:rPr>
        <w:tab/>
        <w:t>وفقاً لأحكام الفقرة 1 من المادة 9 من الاتفاقية والمادة 65 من نظام اللجنة الداخلي المعدَّل، تطلب اللجنة إلى الدولة الطرف أن توافيها في غضون عام واحد من تاريخ اعتماد هذه الملاحظات الختامية بمعلومات عن متابعتها لتنفيذ التوصيات الواردة في الفقرات 12و13 و</w:t>
      </w:r>
      <w:r>
        <w:rPr>
          <w:rFonts w:hint="cs"/>
          <w:rtl/>
        </w:rPr>
        <w:t xml:space="preserve">16 </w:t>
      </w:r>
      <w:r w:rsidR="00F4682C">
        <w:rPr>
          <w:rFonts w:hint="cs"/>
          <w:rtl/>
        </w:rPr>
        <w:t>أعلاه.</w:t>
      </w:r>
    </w:p>
    <w:p w:rsidR="00F4682C" w:rsidRDefault="00F4682C" w:rsidP="006E7AC7">
      <w:pPr>
        <w:pStyle w:val="H23GA"/>
        <w:rPr>
          <w:rFonts w:hint="cs"/>
          <w:rtl/>
        </w:rPr>
      </w:pPr>
      <w:r>
        <w:rPr>
          <w:rFonts w:hint="cs"/>
          <w:rtl/>
        </w:rPr>
        <w:tab/>
      </w:r>
      <w:r>
        <w:rPr>
          <w:rFonts w:hint="cs"/>
          <w:rtl/>
        </w:rPr>
        <w:tab/>
        <w:t>فقرات ذات أهمية خاصة</w:t>
      </w:r>
    </w:p>
    <w:p w:rsidR="00F4682C" w:rsidRDefault="006E7AC7" w:rsidP="009B0481">
      <w:pPr>
        <w:pStyle w:val="SingleTxtGA"/>
        <w:rPr>
          <w:rFonts w:hint="cs"/>
          <w:rtl/>
        </w:rPr>
      </w:pPr>
      <w:r>
        <w:rPr>
          <w:rFonts w:hint="cs"/>
          <w:rtl/>
        </w:rPr>
        <w:t>24</w:t>
      </w:r>
      <w:r w:rsidR="00F4682C" w:rsidRPr="003E45DD">
        <w:rPr>
          <w:rFonts w:hint="cs"/>
          <w:rtl/>
        </w:rPr>
        <w:t>-</w:t>
      </w:r>
      <w:r w:rsidR="00F4682C">
        <w:rPr>
          <w:rFonts w:hint="cs"/>
          <w:rtl/>
        </w:rPr>
        <w:tab/>
        <w:t xml:space="preserve">تودُّ اللجنة أيضاً أن تلفت انتباه الدولة الطرف إلى الأهمية الخاصة للتوصيات الواردة في الفقرات </w:t>
      </w:r>
      <w:r>
        <w:rPr>
          <w:rFonts w:hint="cs"/>
          <w:rtl/>
        </w:rPr>
        <w:t>6</w:t>
      </w:r>
      <w:r w:rsidR="00F4682C">
        <w:rPr>
          <w:rFonts w:hint="cs"/>
          <w:rtl/>
        </w:rPr>
        <w:t xml:space="preserve"> و</w:t>
      </w:r>
      <w:r>
        <w:rPr>
          <w:rFonts w:hint="cs"/>
          <w:rtl/>
        </w:rPr>
        <w:t>7</w:t>
      </w:r>
      <w:r w:rsidR="00F4682C">
        <w:rPr>
          <w:rFonts w:hint="cs"/>
          <w:rtl/>
        </w:rPr>
        <w:t xml:space="preserve"> </w:t>
      </w:r>
      <w:r>
        <w:rPr>
          <w:rFonts w:hint="cs"/>
          <w:rtl/>
        </w:rPr>
        <w:t>و9</w:t>
      </w:r>
      <w:r w:rsidR="00F4682C">
        <w:rPr>
          <w:rFonts w:hint="cs"/>
          <w:rtl/>
        </w:rPr>
        <w:t xml:space="preserve"> أعلاه، وتطلب إليها أن تقدِّم معلومات مفصَّلة في تقريرها الدوري المقبل عن التدابير المحدَّدة </w:t>
      </w:r>
      <w:r w:rsidR="009B0481">
        <w:rPr>
          <w:rFonts w:hint="cs"/>
          <w:rtl/>
        </w:rPr>
        <w:t>المتخذة</w:t>
      </w:r>
      <w:r w:rsidR="00F4682C">
        <w:rPr>
          <w:rFonts w:hint="cs"/>
          <w:rtl/>
        </w:rPr>
        <w:t xml:space="preserve"> لتنفيذ هذه التوصيات.</w:t>
      </w:r>
    </w:p>
    <w:p w:rsidR="000A4FC7" w:rsidRDefault="000A4FC7" w:rsidP="009B0481">
      <w:pPr>
        <w:pStyle w:val="SingleTxtGA"/>
        <w:rPr>
          <w:rFonts w:hint="cs"/>
          <w:rtl/>
        </w:rPr>
      </w:pPr>
    </w:p>
    <w:p w:rsidR="00F4682C" w:rsidRDefault="00F4682C" w:rsidP="00594ED3">
      <w:pPr>
        <w:pStyle w:val="H23GA"/>
        <w:rPr>
          <w:rFonts w:hint="cs"/>
          <w:rtl/>
        </w:rPr>
      </w:pPr>
      <w:r>
        <w:rPr>
          <w:rFonts w:hint="cs"/>
          <w:rtl/>
        </w:rPr>
        <w:tab/>
      </w:r>
      <w:r>
        <w:rPr>
          <w:rFonts w:hint="cs"/>
          <w:rtl/>
        </w:rPr>
        <w:tab/>
        <w:t>إعداد التقرير الدوري المقبل</w:t>
      </w:r>
    </w:p>
    <w:p w:rsidR="00F4682C" w:rsidRDefault="00594ED3" w:rsidP="00547E05">
      <w:pPr>
        <w:pStyle w:val="SingleTxtGA"/>
        <w:rPr>
          <w:rFonts w:hint="cs"/>
          <w:rtl/>
        </w:rPr>
      </w:pPr>
      <w:r>
        <w:rPr>
          <w:rFonts w:hint="cs"/>
          <w:rtl/>
        </w:rPr>
        <w:t>25</w:t>
      </w:r>
      <w:r w:rsidR="00F4682C">
        <w:rPr>
          <w:rFonts w:hint="cs"/>
          <w:rtl/>
        </w:rPr>
        <w:t>-</w:t>
      </w:r>
      <w:r w:rsidR="00F4682C">
        <w:rPr>
          <w:rFonts w:hint="cs"/>
          <w:rtl/>
        </w:rPr>
        <w:tab/>
        <w:t xml:space="preserve">توصي اللجنة الدولة الطرف بأن تقدِّم في وثيقة واحدة </w:t>
      </w:r>
      <w:r>
        <w:rPr>
          <w:rFonts w:hint="cs"/>
          <w:rtl/>
        </w:rPr>
        <w:t xml:space="preserve">التقرير الجامع لتقاريرها الدورية من العاشر إلى الثاني عشر بحلول 29 </w:t>
      </w:r>
      <w:r w:rsidRPr="00594ED3">
        <w:rPr>
          <w:rFonts w:hint="cs"/>
          <w:sz w:val="30"/>
          <w:rtl/>
        </w:rPr>
        <w:t xml:space="preserve">كانون الأول/ديسمبر </w:t>
      </w:r>
      <w:r>
        <w:rPr>
          <w:rFonts w:hint="cs"/>
          <w:rtl/>
        </w:rPr>
        <w:t xml:space="preserve">2017، </w:t>
      </w:r>
      <w:r w:rsidR="00F4682C">
        <w:rPr>
          <w:rFonts w:hint="cs"/>
          <w:rtl/>
        </w:rPr>
        <w:t>مع مراعاة المبادئ التوجيهية لتقديم الوثيقة الخاصة بلجنة القضاء على التمييز العنصري التي اعتمدتها اللجنة في دورتها الحادية والسبعين (</w:t>
      </w:r>
      <w:r w:rsidR="00F4682C">
        <w:t>CERD/C/2007/1</w:t>
      </w:r>
      <w:r w:rsidR="00F4682C">
        <w:rPr>
          <w:rFonts w:hint="cs"/>
          <w:rtl/>
        </w:rPr>
        <w:t xml:space="preserve">)، وأن تتناول جميع النقاط المطروحة في هذه الملاحظات الختامية. وتحث اللجنة الدولة الطرف أيضاً على مراعاة عدد الصفحات الأقصى المحدَّد </w:t>
      </w:r>
      <w:r w:rsidR="00F4682C">
        <w:rPr>
          <w:rFonts w:hint="cs"/>
          <w:sz w:val="30"/>
          <w:rtl/>
        </w:rPr>
        <w:t xml:space="preserve">بأربعين صفحة </w:t>
      </w:r>
      <w:r w:rsidR="00F4682C">
        <w:rPr>
          <w:rFonts w:hint="cs"/>
          <w:rtl/>
        </w:rPr>
        <w:t xml:space="preserve">للتقارير الخاصة بالمعاهدات وبما يتراوح بين 60 و80 صفحة للوثيقة الأساسية </w:t>
      </w:r>
      <w:r w:rsidR="00547E05">
        <w:rPr>
          <w:rFonts w:hint="cs"/>
          <w:rtl/>
        </w:rPr>
        <w:t>المشتركة</w:t>
      </w:r>
      <w:r w:rsidR="00F4682C">
        <w:rPr>
          <w:rFonts w:hint="cs"/>
          <w:rtl/>
        </w:rPr>
        <w:t xml:space="preserve"> (</w:t>
      </w:r>
      <w:r w:rsidR="00F4682C">
        <w:t>HRI/GEN.2/Rev.6</w:t>
      </w:r>
      <w:r w:rsidR="00F4682C">
        <w:rPr>
          <w:rFonts w:hint="cs"/>
          <w:rtl/>
        </w:rPr>
        <w:t>، الفصل الأول، الفقرة 19).</w:t>
      </w:r>
    </w:p>
    <w:p w:rsidR="00DA2119" w:rsidRPr="008F109E" w:rsidRDefault="008F109E" w:rsidP="008F109E">
      <w:pPr>
        <w:spacing w:before="120"/>
        <w:jc w:val="center"/>
        <w:rPr>
          <w:rFonts w:hint="cs"/>
          <w:u w:val="single"/>
          <w:rtl/>
          <w:lang w:val="fr-CH" w:eastAsia="ar-SA"/>
        </w:rPr>
      </w:pPr>
      <w:r>
        <w:rPr>
          <w:u w:val="single"/>
          <w:rtl/>
          <w:lang w:val="fr-CH" w:eastAsia="ar-SA"/>
        </w:rPr>
        <w:tab/>
      </w:r>
      <w:r>
        <w:rPr>
          <w:u w:val="single"/>
          <w:rtl/>
          <w:lang w:val="fr-CH" w:eastAsia="ar-SA"/>
        </w:rPr>
        <w:tab/>
      </w:r>
      <w:r>
        <w:rPr>
          <w:u w:val="single"/>
          <w:rtl/>
          <w:lang w:val="fr-CH" w:eastAsia="ar-SA"/>
        </w:rPr>
        <w:tab/>
      </w:r>
    </w:p>
    <w:sectPr w:rsidR="00DA2119" w:rsidRPr="008F109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995" w:rsidRPr="00FE6865" w:rsidRDefault="00E50995" w:rsidP="00FE6865">
      <w:pPr>
        <w:pStyle w:val="Footer"/>
      </w:pPr>
    </w:p>
  </w:endnote>
  <w:endnote w:type="continuationSeparator" w:id="0">
    <w:p w:rsidR="00E50995" w:rsidRDefault="00E509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21F" w:rsidRPr="007E121F" w:rsidRDefault="007E121F" w:rsidP="007E121F">
    <w:pPr>
      <w:pStyle w:val="Footer"/>
      <w:tabs>
        <w:tab w:val="right" w:pos="9598"/>
      </w:tabs>
    </w:pPr>
    <w:r>
      <w:t>GE.14-41586</w:t>
    </w:r>
    <w:r>
      <w:tab/>
    </w:r>
    <w:r w:rsidRPr="007E121F">
      <w:rPr>
        <w:b/>
        <w:sz w:val="18"/>
      </w:rPr>
      <w:fldChar w:fldCharType="begin"/>
    </w:r>
    <w:r w:rsidRPr="007E121F">
      <w:rPr>
        <w:b/>
        <w:sz w:val="18"/>
      </w:rPr>
      <w:instrText xml:space="preserve"> PAGE  \* MERGEFORMAT </w:instrText>
    </w:r>
    <w:r w:rsidRPr="007E121F">
      <w:rPr>
        <w:b/>
        <w:sz w:val="18"/>
      </w:rPr>
      <w:fldChar w:fldCharType="separate"/>
    </w:r>
    <w:r w:rsidR="000C5A0F">
      <w:rPr>
        <w:b/>
        <w:noProof/>
        <w:sz w:val="18"/>
      </w:rPr>
      <w:t>2</w:t>
    </w:r>
    <w:r w:rsidRPr="007E121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21F" w:rsidRPr="007E121F" w:rsidRDefault="007E121F" w:rsidP="007E121F">
    <w:pPr>
      <w:pStyle w:val="Footer"/>
      <w:tabs>
        <w:tab w:val="right" w:pos="9598"/>
      </w:tabs>
      <w:rPr>
        <w:b/>
        <w:sz w:val="18"/>
      </w:rPr>
    </w:pPr>
    <w:r w:rsidRPr="007E121F">
      <w:rPr>
        <w:b/>
        <w:sz w:val="18"/>
      </w:rPr>
      <w:fldChar w:fldCharType="begin"/>
    </w:r>
    <w:r w:rsidRPr="007E121F">
      <w:rPr>
        <w:b/>
        <w:sz w:val="18"/>
      </w:rPr>
      <w:instrText xml:space="preserve"> PAGE  \* MERGEFORMAT </w:instrText>
    </w:r>
    <w:r w:rsidRPr="007E121F">
      <w:rPr>
        <w:b/>
        <w:sz w:val="18"/>
      </w:rPr>
      <w:fldChar w:fldCharType="separate"/>
    </w:r>
    <w:r w:rsidR="000C5A0F">
      <w:rPr>
        <w:b/>
        <w:noProof/>
        <w:sz w:val="18"/>
      </w:rPr>
      <w:t>11</w:t>
    </w:r>
    <w:r w:rsidRPr="007E121F">
      <w:rPr>
        <w:b/>
        <w:sz w:val="18"/>
      </w:rPr>
      <w:fldChar w:fldCharType="end"/>
    </w:r>
    <w:r>
      <w:rPr>
        <w:b/>
        <w:sz w:val="18"/>
      </w:rPr>
      <w:tab/>
    </w:r>
    <w:r>
      <w:t>GE.14-41586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38A" w:rsidRDefault="007E121F" w:rsidP="00E432A5">
    <w:pPr>
      <w:pStyle w:val="Footer"/>
      <w:jc w:val="right"/>
    </w:pPr>
    <w:r>
      <w:rPr>
        <w:sz w:val="20"/>
      </w:rPr>
      <w:t>(A)   GE.14-4158</w:t>
    </w:r>
    <w:r w:rsidR="00DB1DFE">
      <w:rPr>
        <w:sz w:val="20"/>
      </w:rPr>
      <w:t>6   310314    0</w:t>
    </w:r>
    <w:r w:rsidR="00E432A5">
      <w:rPr>
        <w:sz w:val="20"/>
      </w:rPr>
      <w:t>2</w:t>
    </w:r>
    <w:r w:rsidR="00DB1DFE">
      <w:rPr>
        <w:sz w:val="20"/>
      </w:rPr>
      <w:t>0414</w:t>
    </w:r>
    <w:r w:rsidR="0084738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0C5A0F">
      <w:br/>
    </w:r>
    <w:r w:rsidR="000C5A0F" w:rsidRPr="000C5A0F">
      <w:rPr>
        <w:rFonts w:ascii="C39T30Lfz" w:hAnsi="C39T30Lfz"/>
        <w:sz w:val="56"/>
      </w:rPr>
      <w:t></w:t>
    </w:r>
    <w:r w:rsidR="000C5A0F" w:rsidRPr="000C5A0F">
      <w:rPr>
        <w:rFonts w:ascii="C39T30Lfz" w:hAnsi="C39T30Lfz"/>
        <w:sz w:val="56"/>
      </w:rPr>
      <w:t></w:t>
    </w:r>
    <w:r w:rsidR="000C5A0F" w:rsidRPr="000C5A0F">
      <w:rPr>
        <w:rFonts w:ascii="C39T30Lfz" w:hAnsi="C39T30Lfz"/>
        <w:sz w:val="56"/>
      </w:rPr>
      <w:t></w:t>
    </w:r>
    <w:r w:rsidR="000C5A0F" w:rsidRPr="000C5A0F">
      <w:rPr>
        <w:rFonts w:ascii="C39T30Lfz" w:hAnsi="C39T30Lfz"/>
        <w:sz w:val="56"/>
      </w:rPr>
      <w:t></w:t>
    </w:r>
    <w:r w:rsidR="000C5A0F" w:rsidRPr="000C5A0F">
      <w:rPr>
        <w:rFonts w:ascii="C39T30Lfz" w:hAnsi="C39T30Lfz"/>
        <w:sz w:val="56"/>
      </w:rPr>
      <w:t></w:t>
    </w:r>
    <w:r w:rsidR="000C5A0F" w:rsidRPr="000C5A0F">
      <w:rPr>
        <w:rFonts w:ascii="C39T30Lfz" w:hAnsi="C39T30Lfz"/>
        <w:sz w:val="56"/>
      </w:rPr>
      <w:t></w:t>
    </w:r>
    <w:r w:rsidR="000C5A0F" w:rsidRPr="000C5A0F">
      <w:rPr>
        <w:rFonts w:ascii="C39T30Lfz" w:hAnsi="C39T30Lfz"/>
        <w:sz w:val="56"/>
      </w:rPr>
      <w:t></w:t>
    </w:r>
    <w:r w:rsidR="000C5A0F" w:rsidRPr="000C5A0F">
      <w:rPr>
        <w:rFonts w:ascii="C39T30Lfz" w:hAnsi="C39T30Lfz"/>
        <w:sz w:val="56"/>
      </w:rPr>
      <w:t></w:t>
    </w:r>
    <w:r w:rsidR="000C5A0F" w:rsidRPr="000C5A0F">
      <w:rPr>
        <w:rFonts w:ascii="C39T30Lfz" w:hAnsi="C39T30Lfz"/>
        <w:sz w:val="56"/>
      </w:rPr>
      <w:t></w:t>
    </w:r>
    <w:r w:rsidR="000C5A0F">
      <w:tab/>
    </w:r>
    <w:r w:rsidR="000C5A0F">
      <w:rPr>
        <w:noProof/>
        <w:lang w:val="en-US"/>
      </w:rPr>
      <w:pict>
        <v:shape id="_x0000_s2054" type="#_x0000_t75" style="position:absolute;left:0;text-align:left;margin-left:.05pt;margin-top:0;width:50.25pt;height:50.25pt;z-index:3;mso-position-horizontal-relative:text;mso-position-vertical-relative:text" o:allowincell="f">
          <v:imagedata r:id="rId2" o:title="7-9&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995" w:rsidRDefault="00E50995" w:rsidP="00300142">
      <w:pPr>
        <w:pStyle w:val="Footer"/>
        <w:bidi/>
        <w:spacing w:after="80" w:line="200" w:lineRule="exact"/>
        <w:ind w:left="680"/>
      </w:pPr>
      <w:r>
        <w:rPr>
          <w:rFonts w:hint="cs"/>
          <w:rtl/>
        </w:rPr>
        <w:t>__________</w:t>
      </w:r>
    </w:p>
  </w:footnote>
  <w:footnote w:type="continuationSeparator" w:id="0">
    <w:p w:rsidR="00E50995" w:rsidRDefault="00E50995" w:rsidP="00300142">
      <w:pPr>
        <w:pStyle w:val="Footer"/>
        <w:bidi/>
        <w:spacing w:after="80" w:line="200" w:lineRule="exact"/>
        <w:ind w:left="680"/>
      </w:pPr>
      <w:r>
        <w:rPr>
          <w:rFonts w:hint="cs"/>
          <w:rtl/>
        </w:rPr>
        <w:t>__________</w:t>
      </w:r>
    </w:p>
  </w:footnote>
  <w:footnote w:id="1">
    <w:p w:rsidR="003A47A7" w:rsidRPr="00B60F4B" w:rsidRDefault="003A47A7" w:rsidP="000C5A0F">
      <w:pPr>
        <w:pStyle w:val="footnoteText0"/>
        <w:spacing w:after="240"/>
        <w:rPr>
          <w:rFonts w:hint="cs"/>
          <w:sz w:val="26"/>
          <w:rtl/>
        </w:rPr>
      </w:pPr>
      <w:r w:rsidRPr="00B60F4B">
        <w:rPr>
          <w:sz w:val="26"/>
          <w:rtl/>
        </w:rPr>
        <w:tab/>
      </w:r>
      <w:r w:rsidRPr="00B60F4B">
        <w:rPr>
          <w:rStyle w:val="FootnoteReference"/>
          <w:sz w:val="26"/>
          <w:szCs w:val="26"/>
          <w:vertAlign w:val="baseline"/>
          <w:rtl/>
        </w:rPr>
        <w:t>*</w:t>
      </w:r>
      <w:r w:rsidRPr="00B60F4B">
        <w:rPr>
          <w:sz w:val="26"/>
          <w:rtl/>
        </w:rPr>
        <w:tab/>
      </w:r>
      <w:r w:rsidRPr="00B60F4B">
        <w:rPr>
          <w:rFonts w:hint="cs"/>
          <w:sz w:val="26"/>
          <w:rtl/>
        </w:rPr>
        <w:t>اعتمدتها اللجنة في دورتها الرابعة والثمانين (3-21 شباط/فبراير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21F" w:rsidRPr="007E121F" w:rsidRDefault="007E121F" w:rsidP="007E121F">
    <w:pPr>
      <w:pStyle w:val="Header"/>
      <w:jc w:val="right"/>
    </w:pPr>
    <w:r w:rsidRPr="007E121F">
      <w:t>CERD/C/CHE/CO/7-9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38A" w:rsidRPr="007E121F" w:rsidRDefault="007E121F" w:rsidP="007E121F">
    <w:pPr>
      <w:pStyle w:val="Header"/>
      <w:jc w:val="left"/>
    </w:pPr>
    <w:r w:rsidRPr="007E121F">
      <w:t>CERD/C/CHE/CO/7-9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38A" w:rsidRDefault="0084738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84738A" w:rsidRPr="00A85A54" w:rsidRDefault="0084738A"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BD871D5"/>
    <w:multiLevelType w:val="hybridMultilevel"/>
    <w:tmpl w:val="278A4C52"/>
    <w:lvl w:ilvl="0" w:tplc="931AF3C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738A"/>
    <w:rsid w:val="00012532"/>
    <w:rsid w:val="00012933"/>
    <w:rsid w:val="00034605"/>
    <w:rsid w:val="00035B79"/>
    <w:rsid w:val="00040E25"/>
    <w:rsid w:val="00042149"/>
    <w:rsid w:val="00050A56"/>
    <w:rsid w:val="000648EA"/>
    <w:rsid w:val="00076443"/>
    <w:rsid w:val="00076B62"/>
    <w:rsid w:val="00091AC4"/>
    <w:rsid w:val="000920EA"/>
    <w:rsid w:val="000957C8"/>
    <w:rsid w:val="00096F48"/>
    <w:rsid w:val="00097049"/>
    <w:rsid w:val="000A04D5"/>
    <w:rsid w:val="000A4FC7"/>
    <w:rsid w:val="000B04FD"/>
    <w:rsid w:val="000B52F2"/>
    <w:rsid w:val="000C1B28"/>
    <w:rsid w:val="000C4328"/>
    <w:rsid w:val="000C5A0F"/>
    <w:rsid w:val="000D0EAE"/>
    <w:rsid w:val="000D5380"/>
    <w:rsid w:val="000D6654"/>
    <w:rsid w:val="000D738A"/>
    <w:rsid w:val="000E103D"/>
    <w:rsid w:val="000E4D35"/>
    <w:rsid w:val="000F0264"/>
    <w:rsid w:val="000F2EBF"/>
    <w:rsid w:val="000F3A9F"/>
    <w:rsid w:val="000F5FF6"/>
    <w:rsid w:val="001022B5"/>
    <w:rsid w:val="00113FA5"/>
    <w:rsid w:val="001168EF"/>
    <w:rsid w:val="00121D4F"/>
    <w:rsid w:val="001305DE"/>
    <w:rsid w:val="00137E5F"/>
    <w:rsid w:val="00140BF3"/>
    <w:rsid w:val="001455A0"/>
    <w:rsid w:val="001467E6"/>
    <w:rsid w:val="001602A3"/>
    <w:rsid w:val="00164FDE"/>
    <w:rsid w:val="00172CCE"/>
    <w:rsid w:val="00182664"/>
    <w:rsid w:val="001A28C3"/>
    <w:rsid w:val="001A5161"/>
    <w:rsid w:val="001A60BD"/>
    <w:rsid w:val="001B6879"/>
    <w:rsid w:val="001C137D"/>
    <w:rsid w:val="001C3E81"/>
    <w:rsid w:val="00203B25"/>
    <w:rsid w:val="00206B43"/>
    <w:rsid w:val="00210444"/>
    <w:rsid w:val="00215361"/>
    <w:rsid w:val="00232277"/>
    <w:rsid w:val="0023736D"/>
    <w:rsid w:val="00241906"/>
    <w:rsid w:val="00257225"/>
    <w:rsid w:val="002708B4"/>
    <w:rsid w:val="00272948"/>
    <w:rsid w:val="002778B0"/>
    <w:rsid w:val="00292F7B"/>
    <w:rsid w:val="002A5B76"/>
    <w:rsid w:val="002C4AEF"/>
    <w:rsid w:val="00300142"/>
    <w:rsid w:val="0030180E"/>
    <w:rsid w:val="00310160"/>
    <w:rsid w:val="0033065C"/>
    <w:rsid w:val="00335DC7"/>
    <w:rsid w:val="003403FE"/>
    <w:rsid w:val="00341A8C"/>
    <w:rsid w:val="003519E6"/>
    <w:rsid w:val="00355F81"/>
    <w:rsid w:val="00392CB5"/>
    <w:rsid w:val="003A47A7"/>
    <w:rsid w:val="003B4356"/>
    <w:rsid w:val="003B4EF5"/>
    <w:rsid w:val="003B759B"/>
    <w:rsid w:val="003E59A4"/>
    <w:rsid w:val="003F08A8"/>
    <w:rsid w:val="00423562"/>
    <w:rsid w:val="004250E3"/>
    <w:rsid w:val="004261D2"/>
    <w:rsid w:val="0042744B"/>
    <w:rsid w:val="0043466A"/>
    <w:rsid w:val="004454B7"/>
    <w:rsid w:val="00446FA1"/>
    <w:rsid w:val="00450332"/>
    <w:rsid w:val="0046243C"/>
    <w:rsid w:val="00472A81"/>
    <w:rsid w:val="00477701"/>
    <w:rsid w:val="004A20A6"/>
    <w:rsid w:val="004B2C92"/>
    <w:rsid w:val="004D62E5"/>
    <w:rsid w:val="004D6A3A"/>
    <w:rsid w:val="004E5C71"/>
    <w:rsid w:val="004F48A6"/>
    <w:rsid w:val="004F4AD7"/>
    <w:rsid w:val="00502384"/>
    <w:rsid w:val="005146CF"/>
    <w:rsid w:val="00524C6B"/>
    <w:rsid w:val="00541691"/>
    <w:rsid w:val="00543BB8"/>
    <w:rsid w:val="0054755A"/>
    <w:rsid w:val="00547E05"/>
    <w:rsid w:val="00557CD3"/>
    <w:rsid w:val="005640C4"/>
    <w:rsid w:val="00571432"/>
    <w:rsid w:val="005732A2"/>
    <w:rsid w:val="005762A5"/>
    <w:rsid w:val="005821AA"/>
    <w:rsid w:val="00590BA3"/>
    <w:rsid w:val="0059131E"/>
    <w:rsid w:val="00594ED3"/>
    <w:rsid w:val="005A14B5"/>
    <w:rsid w:val="005A4846"/>
    <w:rsid w:val="005B46D9"/>
    <w:rsid w:val="005B495C"/>
    <w:rsid w:val="005B7AE0"/>
    <w:rsid w:val="005D1BE7"/>
    <w:rsid w:val="005E23F5"/>
    <w:rsid w:val="005E289F"/>
    <w:rsid w:val="005F146F"/>
    <w:rsid w:val="005F71B6"/>
    <w:rsid w:val="00600572"/>
    <w:rsid w:val="006133A1"/>
    <w:rsid w:val="0062411C"/>
    <w:rsid w:val="006250CA"/>
    <w:rsid w:val="00654786"/>
    <w:rsid w:val="00660723"/>
    <w:rsid w:val="00660FD4"/>
    <w:rsid w:val="0066511E"/>
    <w:rsid w:val="00665BE4"/>
    <w:rsid w:val="00680101"/>
    <w:rsid w:val="00682C43"/>
    <w:rsid w:val="00683B82"/>
    <w:rsid w:val="006A09F6"/>
    <w:rsid w:val="006A4425"/>
    <w:rsid w:val="006B00A4"/>
    <w:rsid w:val="006B4669"/>
    <w:rsid w:val="006D2E58"/>
    <w:rsid w:val="006D3CFA"/>
    <w:rsid w:val="006D75F6"/>
    <w:rsid w:val="006E7AC7"/>
    <w:rsid w:val="006F6BF8"/>
    <w:rsid w:val="006F7B0B"/>
    <w:rsid w:val="007038A9"/>
    <w:rsid w:val="00707BDF"/>
    <w:rsid w:val="00710727"/>
    <w:rsid w:val="00715F45"/>
    <w:rsid w:val="00731815"/>
    <w:rsid w:val="00731B84"/>
    <w:rsid w:val="00734AE7"/>
    <w:rsid w:val="00746F1A"/>
    <w:rsid w:val="00752D3C"/>
    <w:rsid w:val="00775322"/>
    <w:rsid w:val="0079344E"/>
    <w:rsid w:val="007C1C60"/>
    <w:rsid w:val="007C2E4F"/>
    <w:rsid w:val="007D00CF"/>
    <w:rsid w:val="007D145D"/>
    <w:rsid w:val="007E121F"/>
    <w:rsid w:val="007E197F"/>
    <w:rsid w:val="007E7B2E"/>
    <w:rsid w:val="007F315D"/>
    <w:rsid w:val="007F68C4"/>
    <w:rsid w:val="00804F25"/>
    <w:rsid w:val="00804FD4"/>
    <w:rsid w:val="008153DE"/>
    <w:rsid w:val="0081642E"/>
    <w:rsid w:val="0084738A"/>
    <w:rsid w:val="00851139"/>
    <w:rsid w:val="00852A10"/>
    <w:rsid w:val="008575CA"/>
    <w:rsid w:val="00862634"/>
    <w:rsid w:val="00866C59"/>
    <w:rsid w:val="00877306"/>
    <w:rsid w:val="00881F9C"/>
    <w:rsid w:val="00885524"/>
    <w:rsid w:val="00892E81"/>
    <w:rsid w:val="008A6242"/>
    <w:rsid w:val="008B4BC6"/>
    <w:rsid w:val="008C0B56"/>
    <w:rsid w:val="008C4DCD"/>
    <w:rsid w:val="008D1BC3"/>
    <w:rsid w:val="008F109E"/>
    <w:rsid w:val="008F2F57"/>
    <w:rsid w:val="008F37E6"/>
    <w:rsid w:val="008F6743"/>
    <w:rsid w:val="009017BF"/>
    <w:rsid w:val="00901E57"/>
    <w:rsid w:val="009070DF"/>
    <w:rsid w:val="009205FD"/>
    <w:rsid w:val="00935F0E"/>
    <w:rsid w:val="00936651"/>
    <w:rsid w:val="00945899"/>
    <w:rsid w:val="0095208F"/>
    <w:rsid w:val="00964F4B"/>
    <w:rsid w:val="00977B3F"/>
    <w:rsid w:val="009814AE"/>
    <w:rsid w:val="0098523B"/>
    <w:rsid w:val="009901D3"/>
    <w:rsid w:val="00996935"/>
    <w:rsid w:val="00996BBE"/>
    <w:rsid w:val="009A032A"/>
    <w:rsid w:val="009B0481"/>
    <w:rsid w:val="009B2C03"/>
    <w:rsid w:val="009D17B9"/>
    <w:rsid w:val="009D1DD5"/>
    <w:rsid w:val="009D5A8E"/>
    <w:rsid w:val="009F436D"/>
    <w:rsid w:val="009F722C"/>
    <w:rsid w:val="00A12807"/>
    <w:rsid w:val="00A23C72"/>
    <w:rsid w:val="00A26157"/>
    <w:rsid w:val="00A265C3"/>
    <w:rsid w:val="00A40E3A"/>
    <w:rsid w:val="00A43F9A"/>
    <w:rsid w:val="00A53F38"/>
    <w:rsid w:val="00A543D4"/>
    <w:rsid w:val="00A57E78"/>
    <w:rsid w:val="00A62C26"/>
    <w:rsid w:val="00A62E3E"/>
    <w:rsid w:val="00A80B95"/>
    <w:rsid w:val="00A85A54"/>
    <w:rsid w:val="00A91966"/>
    <w:rsid w:val="00AA75DD"/>
    <w:rsid w:val="00AB4884"/>
    <w:rsid w:val="00AD0014"/>
    <w:rsid w:val="00AD4CF2"/>
    <w:rsid w:val="00AE3268"/>
    <w:rsid w:val="00AF0BBA"/>
    <w:rsid w:val="00B06436"/>
    <w:rsid w:val="00B1269A"/>
    <w:rsid w:val="00B25159"/>
    <w:rsid w:val="00B30468"/>
    <w:rsid w:val="00B44E31"/>
    <w:rsid w:val="00B57AAB"/>
    <w:rsid w:val="00B60F4B"/>
    <w:rsid w:val="00B84B9F"/>
    <w:rsid w:val="00B9543C"/>
    <w:rsid w:val="00BA29C5"/>
    <w:rsid w:val="00BA4F7E"/>
    <w:rsid w:val="00BB2C41"/>
    <w:rsid w:val="00BC0648"/>
    <w:rsid w:val="00BC38B9"/>
    <w:rsid w:val="00BC4AF9"/>
    <w:rsid w:val="00BC55C8"/>
    <w:rsid w:val="00BC5C10"/>
    <w:rsid w:val="00BD446B"/>
    <w:rsid w:val="00BE2964"/>
    <w:rsid w:val="00BF0C21"/>
    <w:rsid w:val="00BF6CF0"/>
    <w:rsid w:val="00C026DD"/>
    <w:rsid w:val="00C21623"/>
    <w:rsid w:val="00C24FBD"/>
    <w:rsid w:val="00C473BA"/>
    <w:rsid w:val="00C5014D"/>
    <w:rsid w:val="00C60EE1"/>
    <w:rsid w:val="00C611ED"/>
    <w:rsid w:val="00C6490A"/>
    <w:rsid w:val="00C64FE1"/>
    <w:rsid w:val="00C726D2"/>
    <w:rsid w:val="00C74296"/>
    <w:rsid w:val="00C77C85"/>
    <w:rsid w:val="00C8345E"/>
    <w:rsid w:val="00CA5F7C"/>
    <w:rsid w:val="00CB2B40"/>
    <w:rsid w:val="00CC319B"/>
    <w:rsid w:val="00CE2B3B"/>
    <w:rsid w:val="00CE3167"/>
    <w:rsid w:val="00CE3CB0"/>
    <w:rsid w:val="00CF3922"/>
    <w:rsid w:val="00CF49CF"/>
    <w:rsid w:val="00D01318"/>
    <w:rsid w:val="00D51067"/>
    <w:rsid w:val="00D62346"/>
    <w:rsid w:val="00D64615"/>
    <w:rsid w:val="00D75657"/>
    <w:rsid w:val="00D84C7D"/>
    <w:rsid w:val="00D960AD"/>
    <w:rsid w:val="00DA0E0E"/>
    <w:rsid w:val="00DA2119"/>
    <w:rsid w:val="00DA6E5C"/>
    <w:rsid w:val="00DB0885"/>
    <w:rsid w:val="00DB0C39"/>
    <w:rsid w:val="00DB1424"/>
    <w:rsid w:val="00DB1DFE"/>
    <w:rsid w:val="00DB7679"/>
    <w:rsid w:val="00DC5058"/>
    <w:rsid w:val="00DE27DC"/>
    <w:rsid w:val="00DF0344"/>
    <w:rsid w:val="00DF1702"/>
    <w:rsid w:val="00DF4DD8"/>
    <w:rsid w:val="00DF668E"/>
    <w:rsid w:val="00E03BA7"/>
    <w:rsid w:val="00E04826"/>
    <w:rsid w:val="00E14D2B"/>
    <w:rsid w:val="00E20DBA"/>
    <w:rsid w:val="00E27195"/>
    <w:rsid w:val="00E31966"/>
    <w:rsid w:val="00E432A5"/>
    <w:rsid w:val="00E44FD1"/>
    <w:rsid w:val="00E465F9"/>
    <w:rsid w:val="00E50995"/>
    <w:rsid w:val="00E6524A"/>
    <w:rsid w:val="00E660D6"/>
    <w:rsid w:val="00E75D41"/>
    <w:rsid w:val="00E771AB"/>
    <w:rsid w:val="00E80173"/>
    <w:rsid w:val="00EA796F"/>
    <w:rsid w:val="00EB077B"/>
    <w:rsid w:val="00EB28E5"/>
    <w:rsid w:val="00EB5458"/>
    <w:rsid w:val="00EC249B"/>
    <w:rsid w:val="00EC50B9"/>
    <w:rsid w:val="00ED0C63"/>
    <w:rsid w:val="00ED26A0"/>
    <w:rsid w:val="00EE185B"/>
    <w:rsid w:val="00EE6613"/>
    <w:rsid w:val="00EF5A80"/>
    <w:rsid w:val="00F00E77"/>
    <w:rsid w:val="00F11768"/>
    <w:rsid w:val="00F1267E"/>
    <w:rsid w:val="00F12EB3"/>
    <w:rsid w:val="00F1727A"/>
    <w:rsid w:val="00F24DA8"/>
    <w:rsid w:val="00F338CE"/>
    <w:rsid w:val="00F34764"/>
    <w:rsid w:val="00F35C5C"/>
    <w:rsid w:val="00F4682C"/>
    <w:rsid w:val="00F47C5E"/>
    <w:rsid w:val="00F54E3C"/>
    <w:rsid w:val="00F57F46"/>
    <w:rsid w:val="00F73227"/>
    <w:rsid w:val="00F874BD"/>
    <w:rsid w:val="00F91CC2"/>
    <w:rsid w:val="00FA502A"/>
    <w:rsid w:val="00FB1D0B"/>
    <w:rsid w:val="00FB6DB0"/>
    <w:rsid w:val="00FD096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11</Pages>
  <Words>3061</Words>
  <Characters>17450</Characters>
  <Application>Microsoft Office Outlook</Application>
  <DocSecurity>4</DocSecurity>
  <Lines>145</Lines>
  <Paragraphs>40</Paragraphs>
  <ScaleCrop>false</ScaleCrop>
  <HeadingPairs>
    <vt:vector size="2" baseType="variant">
      <vt:variant>
        <vt:lpstr>العنوان</vt:lpstr>
      </vt:variant>
      <vt:variant>
        <vt:i4>1</vt:i4>
      </vt:variant>
    </vt:vector>
  </HeadingPairs>
  <TitlesOfParts>
    <vt:vector size="1" baseType="lpstr">
      <vt:lpstr>CERD/C/CHE/CO/7-9</vt:lpstr>
    </vt:vector>
  </TitlesOfParts>
  <Company>CSD</Company>
  <LinksUpToDate>false</LinksUpToDate>
  <CharactersWithSpaces>20471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CERD/C/CHE/CO/7-9</dc:title>
  <dc:subject>Khadhairi-Emara</dc:subject>
  <dc:creator>Mervat</dc:creator>
  <cp:keywords/>
  <dc:description/>
  <cp:lastModifiedBy>TPS</cp:lastModifiedBy>
  <cp:revision>2</cp:revision>
  <cp:lastPrinted>2014-04-02T06:40:00Z</cp:lastPrinted>
  <dcterms:created xsi:type="dcterms:W3CDTF">2014-04-02T12:26:00Z</dcterms:created>
  <dcterms:modified xsi:type="dcterms:W3CDTF">2014-04-02T12:26:00Z</dcterms:modified>
</cp:coreProperties>
</file>