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63F" w:rsidRPr="00A8430C" w:rsidRDefault="00A7563F" w:rsidP="00A7563F">
      <w:pPr>
        <w:spacing w:line="240" w:lineRule="auto"/>
        <w:rPr>
          <w:sz w:val="6"/>
        </w:rPr>
        <w:sectPr w:rsidR="00A7563F" w:rsidRPr="00A8430C" w:rsidSect="00CE369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A8430C">
        <w:rPr>
          <w:rStyle w:val="CommentReference"/>
          <w:szCs w:val="20"/>
        </w:rPr>
        <w:commentReference w:id="0"/>
      </w:r>
      <w:bookmarkStart w:id="1" w:name="_GoBack"/>
      <w:bookmarkEnd w:id="1"/>
    </w:p>
    <w:p w:rsidR="00A8430C" w:rsidRPr="00E257BB" w:rsidRDefault="00A8430C" w:rsidP="00A8430C">
      <w:pPr>
        <w:pStyle w:val="H1"/>
        <w:ind w:right="4075"/>
      </w:pPr>
      <w:r w:rsidRPr="00E257BB">
        <w:lastRenderedPageBreak/>
        <w:t xml:space="preserve">Comité para la Eliminación de la Discriminación contra la Mujer </w:t>
      </w:r>
    </w:p>
    <w:p w:rsidR="00A8430C" w:rsidRPr="00E257BB" w:rsidRDefault="00A8430C" w:rsidP="00A8430C">
      <w:pPr>
        <w:ind w:right="4080"/>
        <w:rPr>
          <w:b/>
        </w:rPr>
      </w:pPr>
      <w:r w:rsidRPr="00E257BB">
        <w:rPr>
          <w:b/>
        </w:rPr>
        <w:t>64º período de sesiones</w:t>
      </w:r>
    </w:p>
    <w:p w:rsidR="00A8430C" w:rsidRPr="00E257BB" w:rsidRDefault="00A8430C" w:rsidP="00A8430C">
      <w:pPr>
        <w:ind w:right="4080"/>
      </w:pPr>
      <w:r w:rsidRPr="00E257BB">
        <w:t>4 a 22 de julio de 2016</w:t>
      </w:r>
    </w:p>
    <w:p w:rsidR="00A8430C" w:rsidRPr="00E257BB" w:rsidRDefault="00A8430C" w:rsidP="00A8430C">
      <w:pPr>
        <w:ind w:right="4080"/>
      </w:pPr>
      <w:r w:rsidRPr="00E257BB">
        <w:t>Tema 2 del programa provisional</w:t>
      </w:r>
    </w:p>
    <w:p w:rsidR="00A8430C" w:rsidRPr="00E257BB" w:rsidRDefault="00A8430C" w:rsidP="00A8430C">
      <w:pPr>
        <w:ind w:right="4080"/>
        <w:rPr>
          <w:b/>
        </w:rPr>
      </w:pPr>
      <w:r w:rsidRPr="00E257BB">
        <w:rPr>
          <w:b/>
        </w:rPr>
        <w:t>Aprobación del programa y organización de los trabajos</w:t>
      </w:r>
    </w:p>
    <w:p w:rsidR="00A8430C" w:rsidRPr="00E257BB" w:rsidRDefault="00A8430C" w:rsidP="00A8430C">
      <w:pPr>
        <w:spacing w:line="120" w:lineRule="exact"/>
        <w:rPr>
          <w:sz w:val="10"/>
        </w:rPr>
      </w:pPr>
    </w:p>
    <w:p w:rsidR="00A8430C" w:rsidRPr="00E257BB" w:rsidRDefault="00A8430C" w:rsidP="00A8430C">
      <w:pPr>
        <w:spacing w:line="120" w:lineRule="exact"/>
        <w:rPr>
          <w:sz w:val="10"/>
        </w:rPr>
      </w:pPr>
    </w:p>
    <w:p w:rsidR="00A8430C" w:rsidRPr="00E257BB" w:rsidRDefault="00A8430C" w:rsidP="00A8430C">
      <w:pPr>
        <w:spacing w:line="120" w:lineRule="exact"/>
        <w:rPr>
          <w:sz w:val="10"/>
        </w:rPr>
      </w:pPr>
    </w:p>
    <w:p w:rsidR="00A8430C" w:rsidRPr="00E257BB" w:rsidRDefault="00A8430C" w:rsidP="00A843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257BB">
        <w:tab/>
        <w:t>Programa provisional anotado</w:t>
      </w:r>
    </w:p>
    <w:p w:rsidR="00A8430C" w:rsidRPr="00E257BB" w:rsidRDefault="00A8430C" w:rsidP="00A8430C">
      <w:pPr>
        <w:pStyle w:val="SingleTxt"/>
        <w:spacing w:after="0" w:line="120" w:lineRule="exact"/>
        <w:rPr>
          <w:sz w:val="10"/>
        </w:rPr>
      </w:pPr>
    </w:p>
    <w:p w:rsidR="00A8430C" w:rsidRPr="00E257BB" w:rsidRDefault="00A8430C" w:rsidP="00A8430C">
      <w:pPr>
        <w:pStyle w:val="SingleTxt"/>
        <w:spacing w:after="0" w:line="120" w:lineRule="exact"/>
        <w:rPr>
          <w:sz w:val="10"/>
        </w:rPr>
      </w:pPr>
    </w:p>
    <w:p w:rsidR="00A8430C" w:rsidRPr="00E257BB" w:rsidRDefault="00A8430C" w:rsidP="00A843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tab/>
      </w:r>
      <w:r w:rsidRPr="00E257BB">
        <w:tab/>
        <w:t>Programa provisional</w:t>
      </w:r>
    </w:p>
    <w:p w:rsidR="00A8430C" w:rsidRPr="00E257BB" w:rsidRDefault="00A8430C" w:rsidP="00A8430C">
      <w:pPr>
        <w:pStyle w:val="SingleTxt"/>
        <w:spacing w:after="0" w:line="120" w:lineRule="exact"/>
        <w:rPr>
          <w:sz w:val="10"/>
        </w:rPr>
      </w:pPr>
    </w:p>
    <w:p w:rsidR="00A8430C" w:rsidRPr="00E257BB" w:rsidRDefault="00A8430C" w:rsidP="00A8430C">
      <w:pPr>
        <w:pStyle w:val="SingleTxt"/>
        <w:spacing w:after="0" w:line="120" w:lineRule="exact"/>
        <w:rPr>
          <w:sz w:val="10"/>
        </w:rPr>
      </w:pPr>
    </w:p>
    <w:p w:rsidR="00A8430C" w:rsidRPr="00E257BB" w:rsidRDefault="00A8430C" w:rsidP="00A8430C">
      <w:pPr>
        <w:pStyle w:val="SingleTxt"/>
        <w:ind w:left="1742" w:hanging="475"/>
        <w:jc w:val="left"/>
      </w:pPr>
      <w:r w:rsidRPr="00E257BB">
        <w:t>1.</w:t>
      </w:r>
      <w:r w:rsidRPr="00E257BB">
        <w:tab/>
        <w:t>Apertura del período de sesiones.</w:t>
      </w:r>
    </w:p>
    <w:p w:rsidR="00A8430C" w:rsidRPr="00E257BB" w:rsidRDefault="00A8430C" w:rsidP="00A8430C">
      <w:pPr>
        <w:pStyle w:val="SingleTxt"/>
        <w:ind w:left="1742" w:hanging="475"/>
        <w:jc w:val="left"/>
      </w:pPr>
      <w:r w:rsidRPr="00E257BB">
        <w:t>2.</w:t>
      </w:r>
      <w:r w:rsidRPr="00E257BB">
        <w:tab/>
        <w:t>Aprobación del programa y organización de los trabajos.</w:t>
      </w:r>
    </w:p>
    <w:p w:rsidR="00A8430C" w:rsidRPr="00E257BB" w:rsidRDefault="00A8430C" w:rsidP="00A8430C">
      <w:pPr>
        <w:pStyle w:val="SingleTxt"/>
        <w:ind w:left="1742" w:hanging="475"/>
        <w:jc w:val="left"/>
      </w:pPr>
      <w:r w:rsidRPr="00E257BB">
        <w:t>3.</w:t>
      </w:r>
      <w:r w:rsidRPr="00E257BB">
        <w:tab/>
        <w:t>Informe de la Presidenta sobre las actividades realizadas entre los períodos de sesiones 63º y 64º del Comité.</w:t>
      </w:r>
    </w:p>
    <w:p w:rsidR="00A8430C" w:rsidRPr="00E257BB" w:rsidRDefault="00A8430C" w:rsidP="00A8430C">
      <w:pPr>
        <w:pStyle w:val="SingleTxt"/>
        <w:ind w:left="1742" w:hanging="475"/>
        <w:jc w:val="left"/>
      </w:pPr>
      <w:r w:rsidRPr="00E257BB">
        <w:t>4.</w:t>
      </w:r>
      <w:r w:rsidRPr="00E257BB">
        <w:tab/>
        <w:t>Examen de los informes presentados por los Estados partes en virtud del artículo 18 de la Convención sobre la Eliminación de Todas las Formas de Discriminación contra la Mujer.</w:t>
      </w:r>
    </w:p>
    <w:p w:rsidR="00A8430C" w:rsidRPr="00E257BB" w:rsidRDefault="00A8430C" w:rsidP="00A8430C">
      <w:pPr>
        <w:pStyle w:val="SingleTxt"/>
        <w:ind w:left="1742" w:hanging="475"/>
        <w:jc w:val="left"/>
      </w:pPr>
      <w:r w:rsidRPr="00E257BB">
        <w:t>5.</w:t>
      </w:r>
      <w:r w:rsidRPr="00E257BB">
        <w:tab/>
        <w:t>Seguimiento del examen de los informes presentados por los Estados partes en virtud del artículo 18 de la Convención.</w:t>
      </w:r>
    </w:p>
    <w:p w:rsidR="00A8430C" w:rsidRPr="00E257BB" w:rsidRDefault="00A8430C" w:rsidP="00A8430C">
      <w:pPr>
        <w:pStyle w:val="SingleTxt"/>
        <w:ind w:left="1742" w:hanging="475"/>
        <w:jc w:val="left"/>
      </w:pPr>
      <w:r w:rsidRPr="00E257BB">
        <w:t>6.</w:t>
      </w:r>
      <w:r w:rsidRPr="00E257BB">
        <w:tab/>
        <w:t>Aplicación de los artículos 21 y 22 de la Convención.</w:t>
      </w:r>
    </w:p>
    <w:p w:rsidR="00A8430C" w:rsidRPr="00E257BB" w:rsidRDefault="00A8430C" w:rsidP="00A8430C">
      <w:pPr>
        <w:pStyle w:val="SingleTxt"/>
        <w:ind w:left="1742" w:hanging="475"/>
        <w:jc w:val="left"/>
      </w:pPr>
      <w:r w:rsidRPr="00E257BB">
        <w:t>7.</w:t>
      </w:r>
      <w:r w:rsidRPr="00E257BB">
        <w:tab/>
        <w:t>Medios de agilizar los trabajos del Comité.</w:t>
      </w:r>
    </w:p>
    <w:p w:rsidR="00A8430C" w:rsidRPr="00E257BB" w:rsidRDefault="00A8430C" w:rsidP="00A8430C">
      <w:pPr>
        <w:pStyle w:val="SingleTxt"/>
        <w:ind w:left="1742" w:hanging="475"/>
        <w:jc w:val="left"/>
      </w:pPr>
      <w:r w:rsidRPr="00E257BB">
        <w:t>8.</w:t>
      </w:r>
      <w:r w:rsidRPr="00E257BB">
        <w:tab/>
        <w:t>Actividades del Comité en relación con el Protocolo Facultativo de la Convención.</w:t>
      </w:r>
    </w:p>
    <w:p w:rsidR="00A8430C" w:rsidRPr="00E257BB" w:rsidRDefault="00A8430C" w:rsidP="00A8430C">
      <w:pPr>
        <w:pStyle w:val="SingleTxt"/>
        <w:ind w:left="1742" w:hanging="475"/>
        <w:jc w:val="left"/>
      </w:pPr>
      <w:r w:rsidRPr="00E257BB">
        <w:t>9.</w:t>
      </w:r>
      <w:r w:rsidRPr="00E257BB">
        <w:tab/>
        <w:t>Programa provisional del 65º período de sesiones del Comité.</w:t>
      </w:r>
    </w:p>
    <w:p w:rsidR="00A8430C" w:rsidRPr="00E257BB" w:rsidRDefault="00A8430C" w:rsidP="00A8430C">
      <w:pPr>
        <w:pStyle w:val="SingleTxt"/>
        <w:ind w:left="1742" w:hanging="475"/>
        <w:jc w:val="left"/>
      </w:pPr>
      <w:r w:rsidRPr="00E257BB">
        <w:t>10.</w:t>
      </w:r>
      <w:r w:rsidRPr="00E257BB">
        <w:tab/>
        <w:t>Aprobación del informe del Comité sobre su 64º período de sesiones.</w:t>
      </w:r>
    </w:p>
    <w:p w:rsidR="00A8430C" w:rsidRPr="00E257BB" w:rsidRDefault="00A8430C" w:rsidP="00A8430C">
      <w:pPr>
        <w:pStyle w:val="SingleTxt"/>
        <w:spacing w:after="0" w:line="120" w:lineRule="exact"/>
        <w:rPr>
          <w:sz w:val="10"/>
        </w:rPr>
      </w:pPr>
    </w:p>
    <w:p w:rsidR="00A8430C" w:rsidRPr="00E257BB" w:rsidRDefault="00A8430C" w:rsidP="00A8430C">
      <w:pPr>
        <w:pStyle w:val="SingleTxt"/>
        <w:spacing w:after="0" w:line="120" w:lineRule="exact"/>
        <w:rPr>
          <w:sz w:val="10"/>
        </w:rPr>
      </w:pPr>
    </w:p>
    <w:p w:rsidR="00A8430C" w:rsidRPr="00E257BB" w:rsidRDefault="00A8430C" w:rsidP="00A8430C">
      <w:pPr>
        <w:framePr w:w="9792" w:h="432" w:hSpace="187" w:wrap="around" w:vAnchor="page" w:hAnchor="page" w:x="1211" w:y="13523"/>
        <w:tabs>
          <w:tab w:val="left" w:pos="1035"/>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US"/>
        </w:rPr>
        <mc:AlternateContent>
          <mc:Choice Requires="wps">
            <w:drawing>
              <wp:anchor distT="4294967295" distB="4294967295" distL="114300" distR="114300" simplePos="0" relativeHeight="251659264"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E257BB">
        <w:rPr>
          <w:spacing w:val="5"/>
          <w:w w:val="104"/>
          <w:sz w:val="17"/>
        </w:rPr>
        <w:tab/>
      </w:r>
      <w:r w:rsidRPr="00E257BB">
        <w:rPr>
          <w:i/>
          <w:spacing w:val="5"/>
          <w:w w:val="104"/>
          <w:sz w:val="17"/>
        </w:rPr>
        <w:t>Nota</w:t>
      </w:r>
      <w:r w:rsidRPr="00E257BB">
        <w:rPr>
          <w:spacing w:val="5"/>
          <w:w w:val="104"/>
          <w:sz w:val="17"/>
        </w:rPr>
        <w:t>: El presente documento se distribuye únicamente en español, francés e inglés.</w:t>
      </w:r>
    </w:p>
    <w:p w:rsidR="00A8430C" w:rsidRPr="00E257BB" w:rsidRDefault="00A8430C" w:rsidP="00A843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br w:type="page"/>
      </w:r>
      <w:r w:rsidRPr="00E257BB">
        <w:lastRenderedPageBreak/>
        <w:tab/>
      </w:r>
      <w:r w:rsidRPr="00E257BB">
        <w:tab/>
        <w:t>Anotaciones</w:t>
      </w:r>
    </w:p>
    <w:p w:rsidR="00A8430C" w:rsidRPr="00E257BB" w:rsidRDefault="00A8430C" w:rsidP="00A8430C">
      <w:pPr>
        <w:pStyle w:val="SingleTxt"/>
        <w:spacing w:after="0" w:line="120" w:lineRule="exact"/>
        <w:rPr>
          <w:sz w:val="10"/>
        </w:rPr>
      </w:pP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tab/>
        <w:t>1.</w:t>
      </w:r>
      <w:r w:rsidRPr="00E257BB">
        <w:tab/>
        <w:t xml:space="preserve">Apertura del período de sesiones </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La Presidenta del Comité inaugurará el 64º período de sesiones del Comité para la Eliminación de la Discriminación contra la Mujer.</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tab/>
        <w:t>2.</w:t>
      </w:r>
      <w:r w:rsidRPr="00E257BB">
        <w:tab/>
        <w:t>Aprobación del programa y organización de los trabajos</w:t>
      </w:r>
    </w:p>
    <w:p w:rsidR="00A8430C" w:rsidRPr="00E257BB" w:rsidRDefault="00A8430C" w:rsidP="00A8430C">
      <w:pPr>
        <w:pStyle w:val="SingleTxt"/>
        <w:spacing w:after="0" w:line="120" w:lineRule="exact"/>
        <w:rPr>
          <w:sz w:val="10"/>
        </w:rPr>
      </w:pPr>
    </w:p>
    <w:p w:rsidR="00A8430C" w:rsidRPr="00E51341" w:rsidRDefault="00A8430C" w:rsidP="00A8430C">
      <w:pPr>
        <w:pStyle w:val="SingleTxt"/>
        <w:rPr>
          <w:spacing w:val="2"/>
        </w:rPr>
      </w:pPr>
      <w:r w:rsidRPr="00E51341">
        <w:rPr>
          <w:spacing w:val="2"/>
        </w:rPr>
        <w:t>En virtud del artículo 9 del Reglamento, la aprobación del programa será el primer tema sustantivo del programa provisional de cada período de sesiones. En el artículo 7 se establece que el Secretario General, en consulta con la Presidencia del</w:t>
      </w:r>
      <w:r w:rsidR="00E51341" w:rsidRPr="00E51341">
        <w:rPr>
          <w:spacing w:val="2"/>
        </w:rPr>
        <w:t xml:space="preserve"> </w:t>
      </w:r>
      <w:r w:rsidRPr="00E51341">
        <w:rPr>
          <w:spacing w:val="2"/>
        </w:rPr>
        <w:t>Comité, preparará el programa provisional de cada período de sesiones de conformidad con las disposiciones pertinentes de los artículos 17 a 22 de la</w:t>
      </w:r>
      <w:r w:rsidR="00E51341" w:rsidRPr="00E51341">
        <w:rPr>
          <w:spacing w:val="2"/>
        </w:rPr>
        <w:t xml:space="preserve"> </w:t>
      </w:r>
      <w:r w:rsidRPr="00E51341">
        <w:rPr>
          <w:spacing w:val="2"/>
        </w:rPr>
        <w:t>Convención.</w:t>
      </w:r>
    </w:p>
    <w:p w:rsidR="00A8430C" w:rsidRPr="00E257BB" w:rsidRDefault="00A8430C" w:rsidP="00A8430C">
      <w:pPr>
        <w:pStyle w:val="SingleTxt"/>
      </w:pPr>
      <w:r w:rsidRPr="00E257BB">
        <w:t>En su 63er período de sesiones, el Comité aprobó el programa provisional de su 64º período de sesiones.</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84" w:hanging="1267"/>
      </w:pPr>
      <w:r w:rsidRPr="00E257BB">
        <w:tab/>
        <w:t>3.</w:t>
      </w:r>
      <w:r w:rsidRPr="00E257BB">
        <w:tab/>
        <w:t>Informe de la Presidenta sobre las actividades realizadas entre los períodos de sesiones 63º y 64º del Comité</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La Presidenta informará al Comité sobre las actividades y los acontecimientos relacionados con la labor del Comité que hayan tenido lugar desde el período de sesiones anterior.</w:t>
      </w:r>
    </w:p>
    <w:p w:rsidR="00A8430C" w:rsidRPr="00E257BB" w:rsidRDefault="00A8430C" w:rsidP="00A8430C">
      <w:pPr>
        <w:pStyle w:val="SingleTxt"/>
        <w:spacing w:after="0" w:line="120" w:lineRule="exact"/>
        <w:rPr>
          <w:sz w:val="10"/>
        </w:rPr>
      </w:pPr>
    </w:p>
    <w:p w:rsidR="00A8430C" w:rsidRPr="00E257BB" w:rsidRDefault="00A8430C" w:rsidP="00A843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tab/>
      </w:r>
      <w:r w:rsidRPr="00E257BB">
        <w:tab/>
        <w:t>Documentación</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Programa provisional anotado (</w:t>
      </w:r>
      <w:hyperlink r:id="rId16" w:history="1">
        <w:r w:rsidRPr="00E257BB">
          <w:rPr>
            <w:rStyle w:val="Hyperlink"/>
          </w:rPr>
          <w:t>CEDAW/C/64/1</w:t>
        </w:r>
      </w:hyperlink>
      <w:r w:rsidRPr="00E257BB">
        <w:t>)</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tab/>
        <w:t>4.</w:t>
      </w:r>
      <w:r w:rsidRPr="00E257BB">
        <w:tab/>
        <w:t>Examen de los informes presentados por los Estados partes en virtud del artículo 18 de la Convención sobre la Eliminación de Todas las Formas de Discriminación contra la Mujer</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Conforme a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este sentido. Los informes deberán presentarse en el plazo de un año a partir de la entrada en vigor de la Convención para el Estado en cuestión y, en lo sucesivo, al menos cada cuatro años, además de cuando el Comité lo solicite.</w:t>
      </w:r>
    </w:p>
    <w:p w:rsidR="00A8430C" w:rsidRPr="00E257BB" w:rsidRDefault="00A8430C" w:rsidP="00A8430C">
      <w:pPr>
        <w:pStyle w:val="SingleTxt"/>
      </w:pPr>
      <w:r w:rsidRPr="00E257BB">
        <w:t>En el 64º período de sesiones del Comité, está previsto que se examinen los informes de los siguientes Estados partes: Albania, Filipinas, Francia, Malí, Myanmar, Trinidad y Tabago, Turquía y Uruguay.</w:t>
      </w:r>
    </w:p>
    <w:p w:rsidR="00A8430C" w:rsidRPr="00E257BB" w:rsidRDefault="00A8430C" w:rsidP="00A8430C">
      <w:pPr>
        <w:pStyle w:val="SingleTxt"/>
      </w:pPr>
      <w:r w:rsidRPr="00E257BB">
        <w:t>Con arreglo a lo dispuesto en el artículo 51 del Reglamento, los representantes de los Estados partes asistirán a las sesiones del Comité en las que se vayan a examinar sus respectivos informes, participarán en las deliberaciones y responderán a las preguntas relativas a dichos informes.</w:t>
      </w:r>
    </w:p>
    <w:p w:rsidR="00A8430C" w:rsidRPr="00E257BB" w:rsidRDefault="00A8430C" w:rsidP="00E51341">
      <w:pPr>
        <w:pStyle w:val="SingleTxt"/>
      </w:pPr>
      <w:r w:rsidRPr="00E257BB">
        <w:t xml:space="preserve">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facilitará también al Comité una lista de los informes </w:t>
      </w:r>
      <w:r w:rsidRPr="00E257BB">
        <w:lastRenderedPageBreak/>
        <w:t>presentados por los Estados partes en la Convención, así como una lista de los informes de este tipo que todavía no hayan sido examinados por el Comité.</w:t>
      </w:r>
    </w:p>
    <w:p w:rsidR="00A8430C" w:rsidRPr="00E257BB" w:rsidRDefault="00A8430C" w:rsidP="00A8430C">
      <w:pPr>
        <w:pStyle w:val="SingleTxt"/>
      </w:pPr>
      <w:r w:rsidRPr="00E257BB">
        <w:t>Antes de cada período de sesiones se reúne un grupo de trabajo del Comité encargado de preparar listas de cuestiones y preguntas relativas a los informes, las cuales se transmiten a los Estados partes con antelación a las sesiones en las que se han de examinar sus respectivos informes. El grupo de trabajo anterior al 64º período de sesiones se reunió en Ginebra del 23 al 27 de noviembre de 2015. El Comité tendrá ante sí el informe de dicho grupo de trabajo (</w:t>
      </w:r>
      <w:hyperlink r:id="rId17" w:history="1">
        <w:r w:rsidRPr="00E257BB">
          <w:rPr>
            <w:rStyle w:val="Hyperlink"/>
            <w:spacing w:val="0"/>
          </w:rPr>
          <w:t>CEDAW/C/PSWG/64/1</w:t>
        </w:r>
      </w:hyperlink>
      <w:r w:rsidRPr="00E257BB">
        <w:t>) y las respuestas de los Estados partes a las listas de cuestiones y preguntas.</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r>
      <w:r w:rsidRPr="00E257BB">
        <w:tab/>
        <w:t>Documentación</w:t>
      </w:r>
    </w:p>
    <w:p w:rsidR="00A8430C" w:rsidRPr="00E257BB" w:rsidRDefault="00A8430C" w:rsidP="00A8430C">
      <w:pPr>
        <w:pStyle w:val="SingleTxt"/>
        <w:spacing w:after="0" w:line="120" w:lineRule="exact"/>
        <w:rPr>
          <w:sz w:val="10"/>
        </w:rPr>
      </w:pPr>
    </w:p>
    <w:p w:rsidR="00A8430C" w:rsidRPr="00E257BB" w:rsidRDefault="00A8430C" w:rsidP="00A843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r>
      <w:r w:rsidRPr="00E257BB">
        <w:tab/>
        <w:t>Informes</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Cuarto informe periódico de Albania (</w:t>
      </w:r>
      <w:hyperlink r:id="rId18" w:history="1">
        <w:r w:rsidRPr="00E257BB">
          <w:rPr>
            <w:rStyle w:val="Hyperlink"/>
            <w:szCs w:val="24"/>
          </w:rPr>
          <w:t>CEDAW/C/ALB/4</w:t>
        </w:r>
      </w:hyperlink>
      <w:r w:rsidRPr="00E257BB">
        <w:t>)</w:t>
      </w:r>
    </w:p>
    <w:p w:rsidR="00A8430C" w:rsidRPr="00E51341" w:rsidRDefault="00A8430C" w:rsidP="00A8430C">
      <w:pPr>
        <w:pStyle w:val="SingleTxt"/>
        <w:rPr>
          <w:spacing w:val="2"/>
        </w:rPr>
      </w:pPr>
      <w:r w:rsidRPr="00E51341">
        <w:rPr>
          <w:spacing w:val="2"/>
        </w:rPr>
        <w:t>Informes periódicos séptimo y octavo combinados de Filipinas (</w:t>
      </w:r>
      <w:hyperlink r:id="rId19" w:history="1">
        <w:r w:rsidRPr="00E51341">
          <w:rPr>
            <w:rStyle w:val="Hyperlink"/>
            <w:spacing w:val="2"/>
            <w:szCs w:val="24"/>
          </w:rPr>
          <w:t>CEDAW/C/PHL/7-8</w:t>
        </w:r>
      </w:hyperlink>
      <w:r w:rsidRPr="00E51341">
        <w:rPr>
          <w:spacing w:val="2"/>
        </w:rPr>
        <w:t>)</w:t>
      </w:r>
    </w:p>
    <w:p w:rsidR="00A8430C" w:rsidRPr="00E257BB" w:rsidRDefault="00A8430C" w:rsidP="00A8430C">
      <w:pPr>
        <w:pStyle w:val="SingleTxt"/>
      </w:pPr>
      <w:r w:rsidRPr="00E257BB">
        <w:t>Informes periódicos séptimo y octavo combinados de Francia (</w:t>
      </w:r>
      <w:hyperlink r:id="rId20" w:history="1">
        <w:r w:rsidRPr="00E257BB">
          <w:rPr>
            <w:rStyle w:val="Hyperlink"/>
            <w:szCs w:val="24"/>
          </w:rPr>
          <w:t>CEDAW/C/FRA/7-8</w:t>
        </w:r>
      </w:hyperlink>
      <w:r w:rsidRPr="00E257BB">
        <w:t>)</w:t>
      </w:r>
    </w:p>
    <w:p w:rsidR="00A8430C" w:rsidRPr="00E257BB" w:rsidRDefault="00A8430C" w:rsidP="00A8430C">
      <w:pPr>
        <w:pStyle w:val="SingleTxt"/>
      </w:pPr>
      <w:r w:rsidRPr="00E257BB">
        <w:t>Informes periódicos sexto y séptimo combinados de Malí (</w:t>
      </w:r>
      <w:hyperlink r:id="rId21" w:history="1">
        <w:r w:rsidRPr="00E257BB">
          <w:rPr>
            <w:rStyle w:val="Hyperlink"/>
            <w:szCs w:val="24"/>
          </w:rPr>
          <w:t>CEDAW/C/MLI/6-7</w:t>
        </w:r>
      </w:hyperlink>
      <w:r w:rsidRPr="00E257BB">
        <w:t>)</w:t>
      </w:r>
    </w:p>
    <w:p w:rsidR="00A8430C" w:rsidRPr="00E51341" w:rsidRDefault="00A8430C" w:rsidP="00A8430C">
      <w:pPr>
        <w:pStyle w:val="SingleTxt"/>
        <w:rPr>
          <w:spacing w:val="2"/>
        </w:rPr>
      </w:pPr>
      <w:r w:rsidRPr="00E51341">
        <w:rPr>
          <w:spacing w:val="2"/>
        </w:rPr>
        <w:t>Informes periódicos cuarto y quinto combinados de Myanmar (</w:t>
      </w:r>
      <w:hyperlink r:id="rId22" w:history="1">
        <w:r w:rsidRPr="00E51341">
          <w:rPr>
            <w:rStyle w:val="Hyperlink"/>
            <w:spacing w:val="2"/>
            <w:szCs w:val="24"/>
          </w:rPr>
          <w:t>CEDAW/C/MMR/4-5</w:t>
        </w:r>
      </w:hyperlink>
      <w:r w:rsidRPr="00E51341">
        <w:rPr>
          <w:spacing w:val="2"/>
        </w:rPr>
        <w:t>)</w:t>
      </w:r>
    </w:p>
    <w:p w:rsidR="00A8430C" w:rsidRPr="00E257BB" w:rsidRDefault="00A8430C" w:rsidP="00A8430C">
      <w:pPr>
        <w:pStyle w:val="SingleTxt"/>
      </w:pPr>
      <w:r w:rsidRPr="00E257BB">
        <w:t>Informes periódicos cuarto a séptimo combinados de Trinidad y Tabago (</w:t>
      </w:r>
      <w:hyperlink r:id="rId23" w:history="1">
        <w:r w:rsidRPr="00E257BB">
          <w:rPr>
            <w:rStyle w:val="Hyperlink"/>
            <w:szCs w:val="24"/>
          </w:rPr>
          <w:t>CEDAW/C/TTO/4-7</w:t>
        </w:r>
      </w:hyperlink>
      <w:r w:rsidRPr="00E257BB">
        <w:t>)</w:t>
      </w:r>
    </w:p>
    <w:p w:rsidR="00A8430C" w:rsidRPr="00E257BB" w:rsidRDefault="00A8430C" w:rsidP="00A8430C">
      <w:pPr>
        <w:pStyle w:val="SingleTxt"/>
      </w:pPr>
      <w:r w:rsidRPr="00E257BB">
        <w:t>Séptimo informe periódico de Turquía (</w:t>
      </w:r>
      <w:hyperlink r:id="rId24" w:history="1">
        <w:r w:rsidRPr="00E257BB">
          <w:rPr>
            <w:rStyle w:val="Hyperlink"/>
            <w:szCs w:val="24"/>
          </w:rPr>
          <w:t>CEDAW/C/TUR/7</w:t>
        </w:r>
      </w:hyperlink>
      <w:r w:rsidRPr="00E257BB">
        <w:t>)</w:t>
      </w:r>
    </w:p>
    <w:p w:rsidR="00A8430C" w:rsidRPr="00E51341" w:rsidRDefault="00A8430C" w:rsidP="00A8430C">
      <w:pPr>
        <w:pStyle w:val="SingleTxt"/>
        <w:rPr>
          <w:spacing w:val="2"/>
        </w:rPr>
      </w:pPr>
      <w:r w:rsidRPr="00E51341">
        <w:rPr>
          <w:spacing w:val="2"/>
        </w:rPr>
        <w:t>Informes periódicos octavo y noveno combinados del Uruguay (</w:t>
      </w:r>
      <w:hyperlink r:id="rId25" w:history="1">
        <w:r w:rsidRPr="00E51341">
          <w:rPr>
            <w:rStyle w:val="Hyperlink"/>
            <w:spacing w:val="2"/>
            <w:szCs w:val="24"/>
          </w:rPr>
          <w:t>CEDAW/C/URY/8-9</w:t>
        </w:r>
      </w:hyperlink>
      <w:r w:rsidRPr="00E51341">
        <w:rPr>
          <w:spacing w:val="2"/>
        </w:rPr>
        <w:t>)</w:t>
      </w:r>
    </w:p>
    <w:p w:rsidR="00A8430C" w:rsidRPr="00E257BB" w:rsidRDefault="00A8430C" w:rsidP="00A8430C">
      <w:pPr>
        <w:pStyle w:val="SingleTxt"/>
        <w:spacing w:after="0" w:line="120" w:lineRule="exact"/>
        <w:rPr>
          <w:sz w:val="10"/>
        </w:rPr>
      </w:pPr>
    </w:p>
    <w:p w:rsidR="00A8430C" w:rsidRPr="00E257BB" w:rsidRDefault="00A8430C" w:rsidP="00A843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r>
      <w:r w:rsidRPr="00E257BB">
        <w:tab/>
        <w:t>Listas de cuestiones y preguntas</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Albania (</w:t>
      </w:r>
      <w:hyperlink r:id="rId26" w:history="1">
        <w:r w:rsidRPr="00E257BB">
          <w:rPr>
            <w:rStyle w:val="Hyperlink"/>
            <w:szCs w:val="24"/>
          </w:rPr>
          <w:t>CEDAW/C/ALB/Q/4</w:t>
        </w:r>
      </w:hyperlink>
      <w:r w:rsidRPr="00E257BB">
        <w:t>)</w:t>
      </w:r>
    </w:p>
    <w:p w:rsidR="00A8430C" w:rsidRPr="00E257BB" w:rsidRDefault="00A8430C" w:rsidP="00A8430C">
      <w:pPr>
        <w:pStyle w:val="SingleTxt"/>
      </w:pPr>
      <w:r w:rsidRPr="00E257BB">
        <w:t>Filipinas (</w:t>
      </w:r>
      <w:hyperlink r:id="rId27" w:history="1">
        <w:r w:rsidRPr="00E257BB">
          <w:rPr>
            <w:rStyle w:val="Hyperlink"/>
            <w:szCs w:val="24"/>
          </w:rPr>
          <w:t>CEDAW/C/PHL/Q/7-8</w:t>
        </w:r>
      </w:hyperlink>
      <w:r w:rsidRPr="00E257BB">
        <w:t>)</w:t>
      </w:r>
    </w:p>
    <w:p w:rsidR="00A8430C" w:rsidRPr="00E257BB" w:rsidRDefault="00A8430C" w:rsidP="00A8430C">
      <w:pPr>
        <w:pStyle w:val="SingleTxt"/>
      </w:pPr>
      <w:r w:rsidRPr="00E257BB">
        <w:t>Francia (</w:t>
      </w:r>
      <w:hyperlink r:id="rId28" w:history="1">
        <w:r w:rsidRPr="00E257BB">
          <w:rPr>
            <w:rStyle w:val="Hyperlink"/>
            <w:szCs w:val="24"/>
          </w:rPr>
          <w:t>CEDAW/C/FRA/Q/7-8</w:t>
        </w:r>
      </w:hyperlink>
      <w:r w:rsidRPr="00E257BB">
        <w:t>)</w:t>
      </w:r>
    </w:p>
    <w:p w:rsidR="00A8430C" w:rsidRPr="00E257BB" w:rsidRDefault="00A8430C" w:rsidP="00A8430C">
      <w:pPr>
        <w:pStyle w:val="SingleTxt"/>
      </w:pPr>
      <w:r w:rsidRPr="00E257BB">
        <w:t>Malí (</w:t>
      </w:r>
      <w:hyperlink r:id="rId29" w:history="1">
        <w:r w:rsidRPr="00E257BB">
          <w:rPr>
            <w:rStyle w:val="Hyperlink"/>
            <w:szCs w:val="24"/>
          </w:rPr>
          <w:t>CEDAW/C/MLI/Q/6-7</w:t>
        </w:r>
      </w:hyperlink>
      <w:r w:rsidRPr="00E257BB">
        <w:t>)</w:t>
      </w:r>
    </w:p>
    <w:p w:rsidR="00A8430C" w:rsidRPr="00E257BB" w:rsidRDefault="00A8430C" w:rsidP="00A8430C">
      <w:pPr>
        <w:pStyle w:val="SingleTxt"/>
      </w:pPr>
      <w:r w:rsidRPr="00E257BB">
        <w:t>Myanmar (</w:t>
      </w:r>
      <w:hyperlink r:id="rId30" w:history="1">
        <w:r w:rsidRPr="00E257BB">
          <w:rPr>
            <w:rStyle w:val="Hyperlink"/>
            <w:szCs w:val="24"/>
          </w:rPr>
          <w:t>CEDAW/C/MMR/Q/4-5</w:t>
        </w:r>
      </w:hyperlink>
      <w:r w:rsidRPr="00E257BB">
        <w:t>)</w:t>
      </w:r>
    </w:p>
    <w:p w:rsidR="00A8430C" w:rsidRPr="00E257BB" w:rsidRDefault="00A8430C" w:rsidP="00A8430C">
      <w:pPr>
        <w:pStyle w:val="SingleTxt"/>
      </w:pPr>
      <w:r w:rsidRPr="00E257BB">
        <w:t>Trinidad y Tabago (</w:t>
      </w:r>
      <w:hyperlink r:id="rId31" w:history="1">
        <w:r w:rsidRPr="00E257BB">
          <w:rPr>
            <w:rStyle w:val="Hyperlink"/>
            <w:szCs w:val="24"/>
          </w:rPr>
          <w:t>CEDAW/C/TTO/Q/4-7</w:t>
        </w:r>
      </w:hyperlink>
      <w:r w:rsidRPr="00E257BB">
        <w:t>)</w:t>
      </w:r>
    </w:p>
    <w:p w:rsidR="00A8430C" w:rsidRPr="00E257BB" w:rsidRDefault="00A8430C" w:rsidP="00A8430C">
      <w:pPr>
        <w:pStyle w:val="SingleTxt"/>
      </w:pPr>
      <w:r w:rsidRPr="00E257BB">
        <w:t>Turquía (</w:t>
      </w:r>
      <w:hyperlink r:id="rId32" w:history="1">
        <w:r w:rsidRPr="00E257BB">
          <w:rPr>
            <w:rStyle w:val="Hyperlink"/>
            <w:szCs w:val="24"/>
          </w:rPr>
          <w:t>CEDAW/C/TUR/Q/7</w:t>
        </w:r>
      </w:hyperlink>
      <w:r w:rsidRPr="00E257BB">
        <w:t>)</w:t>
      </w:r>
    </w:p>
    <w:p w:rsidR="00A8430C" w:rsidRPr="00E257BB" w:rsidRDefault="00A8430C" w:rsidP="00A8430C">
      <w:pPr>
        <w:pStyle w:val="SingleTxt"/>
      </w:pPr>
      <w:r w:rsidRPr="00E257BB">
        <w:t>Uruguay (</w:t>
      </w:r>
      <w:hyperlink r:id="rId33" w:history="1">
        <w:r w:rsidRPr="00E257BB">
          <w:rPr>
            <w:rStyle w:val="Hyperlink"/>
            <w:szCs w:val="24"/>
          </w:rPr>
          <w:t>CEDAW/C/URY/Q/8-9</w:t>
        </w:r>
      </w:hyperlink>
      <w:r w:rsidRPr="00E257BB">
        <w:t>)</w:t>
      </w:r>
    </w:p>
    <w:p w:rsidR="00A8430C" w:rsidRPr="00E257BB" w:rsidRDefault="00A8430C" w:rsidP="00A8430C">
      <w:pPr>
        <w:pStyle w:val="SingleTxt"/>
        <w:spacing w:after="0" w:line="120" w:lineRule="exact"/>
        <w:rPr>
          <w:sz w:val="10"/>
        </w:rPr>
      </w:pPr>
    </w:p>
    <w:p w:rsidR="00A8430C" w:rsidRPr="00E257BB" w:rsidRDefault="00A8430C" w:rsidP="00A843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r>
      <w:r w:rsidRPr="00E257BB">
        <w:tab/>
        <w:t>Respuestas a las listas de cuestiones y preguntas</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Albania (</w:t>
      </w:r>
      <w:hyperlink r:id="rId34" w:history="1">
        <w:r w:rsidRPr="00E257BB">
          <w:rPr>
            <w:rStyle w:val="Hyperlink"/>
            <w:szCs w:val="24"/>
          </w:rPr>
          <w:t>CEDAW/C/ALB/Q/4/Add.1</w:t>
        </w:r>
      </w:hyperlink>
      <w:r w:rsidRPr="00E257BB">
        <w:t>)</w:t>
      </w:r>
    </w:p>
    <w:p w:rsidR="00A8430C" w:rsidRPr="00E257BB" w:rsidRDefault="00A8430C" w:rsidP="00A8430C">
      <w:pPr>
        <w:pStyle w:val="SingleTxt"/>
      </w:pPr>
      <w:r w:rsidRPr="00E257BB">
        <w:t>Filipinas (</w:t>
      </w:r>
      <w:hyperlink r:id="rId35" w:history="1">
        <w:r w:rsidRPr="00E257BB">
          <w:rPr>
            <w:rStyle w:val="Hyperlink"/>
            <w:szCs w:val="24"/>
          </w:rPr>
          <w:t>CEDAW/C/PHL/Q/7-8/Add.1</w:t>
        </w:r>
      </w:hyperlink>
      <w:r w:rsidRPr="00E257BB">
        <w:t>)</w:t>
      </w:r>
    </w:p>
    <w:p w:rsidR="00A8430C" w:rsidRPr="00E257BB" w:rsidRDefault="00A8430C" w:rsidP="00A8430C">
      <w:pPr>
        <w:pStyle w:val="SingleTxt"/>
      </w:pPr>
      <w:r w:rsidRPr="00E257BB">
        <w:t>Francia (</w:t>
      </w:r>
      <w:hyperlink r:id="rId36" w:history="1">
        <w:r w:rsidRPr="00E257BB">
          <w:rPr>
            <w:rStyle w:val="Hyperlink"/>
            <w:szCs w:val="24"/>
          </w:rPr>
          <w:t>CEDAW/C/FRA/Q/7-8/Add.1</w:t>
        </w:r>
      </w:hyperlink>
      <w:r w:rsidRPr="00E257BB">
        <w:t>)</w:t>
      </w:r>
    </w:p>
    <w:p w:rsidR="00A8430C" w:rsidRPr="00E257BB" w:rsidRDefault="00A8430C" w:rsidP="00A8430C">
      <w:pPr>
        <w:pStyle w:val="SingleTxt"/>
      </w:pPr>
      <w:r w:rsidRPr="00E257BB">
        <w:t>Malí (</w:t>
      </w:r>
      <w:hyperlink r:id="rId37" w:history="1">
        <w:r w:rsidRPr="00E257BB">
          <w:rPr>
            <w:rStyle w:val="Hyperlink"/>
            <w:szCs w:val="24"/>
          </w:rPr>
          <w:t>CEDAW/C/MLI/Q/6-7/Add.1</w:t>
        </w:r>
      </w:hyperlink>
      <w:r w:rsidRPr="00E257BB">
        <w:t>)</w:t>
      </w:r>
    </w:p>
    <w:p w:rsidR="00A8430C" w:rsidRPr="00A8430C" w:rsidRDefault="00A8430C" w:rsidP="00A8430C">
      <w:pPr>
        <w:pStyle w:val="SingleTxt"/>
        <w:rPr>
          <w:lang w:val="en-US"/>
        </w:rPr>
      </w:pPr>
      <w:r w:rsidRPr="00A8430C">
        <w:rPr>
          <w:lang w:val="en-US"/>
        </w:rPr>
        <w:t>Myanmar (</w:t>
      </w:r>
      <w:hyperlink r:id="rId38" w:history="1">
        <w:r w:rsidRPr="00A8430C">
          <w:rPr>
            <w:rStyle w:val="Hyperlink"/>
            <w:szCs w:val="24"/>
            <w:lang w:val="en-US"/>
          </w:rPr>
          <w:t>CEDAW/C/MMR/Q/4-5/Add.1</w:t>
        </w:r>
      </w:hyperlink>
      <w:r w:rsidRPr="00A8430C">
        <w:rPr>
          <w:lang w:val="en-US"/>
        </w:rPr>
        <w:t>)</w:t>
      </w:r>
    </w:p>
    <w:p w:rsidR="00A8430C" w:rsidRPr="00E257BB" w:rsidRDefault="00A8430C" w:rsidP="00A8430C">
      <w:pPr>
        <w:pStyle w:val="SingleTxt"/>
      </w:pPr>
      <w:r w:rsidRPr="00E257BB">
        <w:t>Trinidad y Tabago (</w:t>
      </w:r>
      <w:hyperlink r:id="rId39" w:history="1">
        <w:r w:rsidRPr="00E257BB">
          <w:rPr>
            <w:rStyle w:val="Hyperlink"/>
            <w:szCs w:val="24"/>
          </w:rPr>
          <w:t>CEDAW/C/TTO/Q/4-7/Add.1</w:t>
        </w:r>
      </w:hyperlink>
      <w:r w:rsidRPr="00E257BB">
        <w:t>)</w:t>
      </w:r>
    </w:p>
    <w:p w:rsidR="00A8430C" w:rsidRPr="00E257BB" w:rsidRDefault="00A8430C" w:rsidP="00A8430C">
      <w:pPr>
        <w:pStyle w:val="SingleTxt"/>
      </w:pPr>
      <w:r w:rsidRPr="00E257BB">
        <w:t>Turquía (</w:t>
      </w:r>
      <w:hyperlink r:id="rId40" w:history="1">
        <w:r w:rsidRPr="00E257BB">
          <w:rPr>
            <w:rStyle w:val="Hyperlink"/>
            <w:szCs w:val="24"/>
          </w:rPr>
          <w:t>CEDAW/C/TUR/Q/7/Add.1</w:t>
        </w:r>
      </w:hyperlink>
      <w:r w:rsidRPr="00E257BB">
        <w:t>)</w:t>
      </w:r>
    </w:p>
    <w:p w:rsidR="00A8430C" w:rsidRPr="00A8430C" w:rsidRDefault="00A8430C" w:rsidP="00A8430C">
      <w:pPr>
        <w:pStyle w:val="SingleTxt"/>
        <w:rPr>
          <w:lang w:val="en-US"/>
        </w:rPr>
      </w:pPr>
      <w:r w:rsidRPr="00A8430C">
        <w:rPr>
          <w:lang w:val="en-US"/>
        </w:rPr>
        <w:t>Uruguay (</w:t>
      </w:r>
      <w:hyperlink r:id="rId41" w:history="1">
        <w:r w:rsidRPr="00A8430C">
          <w:rPr>
            <w:rStyle w:val="Hyperlink"/>
            <w:szCs w:val="24"/>
            <w:lang w:val="en-US"/>
          </w:rPr>
          <w:t>CEDAW/C/URY/Q/8-9/Add.1</w:t>
        </w:r>
      </w:hyperlink>
      <w:r w:rsidRPr="00A8430C">
        <w:rPr>
          <w:lang w:val="en-US"/>
        </w:rPr>
        <w:t>)</w:t>
      </w:r>
    </w:p>
    <w:p w:rsidR="00A8430C" w:rsidRPr="00A8430C" w:rsidRDefault="00A8430C" w:rsidP="00A8430C">
      <w:pPr>
        <w:pStyle w:val="SingleTxt"/>
        <w:spacing w:after="0" w:line="120" w:lineRule="exact"/>
        <w:rPr>
          <w:sz w:val="10"/>
          <w:lang w:val="en-US"/>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6" w:hanging="1267"/>
      </w:pPr>
      <w:r w:rsidRPr="00A8430C">
        <w:rPr>
          <w:lang w:val="en-US"/>
        </w:rPr>
        <w:tab/>
      </w:r>
      <w:r w:rsidRPr="00E257BB">
        <w:t>5.</w:t>
      </w:r>
      <w:r w:rsidRPr="00E257BB">
        <w:tab/>
        <w:t>Seguimiento del examen de los informes presentados por los Estados partes en virtud del artículo 18 de la Convención</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El Comité examinará cuestiones relacionadas con el seguimiento de las observaciones finales.</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t>6.</w:t>
      </w:r>
      <w:r w:rsidRPr="00E257BB">
        <w:tab/>
        <w:t>Aplicación de los artículos 21 y 22 de la Convención</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A8430C" w:rsidRPr="00E257BB" w:rsidRDefault="00A8430C" w:rsidP="00A8430C">
      <w:pPr>
        <w:pStyle w:val="SingleTxt"/>
      </w:pPr>
      <w:r w:rsidRPr="00E257BB">
        <w:t>En virtud del artículo 22 de la Convención, los organismos especializados tendrán derecho a estar representados en el examen de la aplicación de las disposiciones de la Convención que correspondan a sus ámbitos de competencia y el Comité podrá invitar a los organismos especializados a presentar informes sobre la aplicación de la Convención en dichos ámbitos.</w:t>
      </w:r>
    </w:p>
    <w:p w:rsidR="00A8430C" w:rsidRPr="00E257BB" w:rsidRDefault="00A8430C" w:rsidP="00A8430C">
      <w:pPr>
        <w:pStyle w:val="SingleTxt"/>
        <w:spacing w:after="0" w:line="120" w:lineRule="exact"/>
        <w:rPr>
          <w:sz w:val="10"/>
        </w:rPr>
      </w:pPr>
    </w:p>
    <w:p w:rsidR="00A8430C" w:rsidRPr="00E257BB" w:rsidRDefault="00A8430C" w:rsidP="00A843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r>
      <w:r w:rsidRPr="00E257BB">
        <w:tab/>
        <w:t>Documentación</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Informes presentados por los organismos especializados de las Naciones Unidas sobre la aplicación de la Convención en sus ámbitos de competencia</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t>7.</w:t>
      </w:r>
      <w:r w:rsidRPr="00E257BB">
        <w:tab/>
        <w:t>Medios de agilizar los trabajos del Comité</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El Comité examinará cuestiones relacionadas con sus métodos de trabajo.</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t>8.</w:t>
      </w:r>
      <w:r w:rsidRPr="00E257BB">
        <w:tab/>
        <w:t>Actividades del Comité en relación con el Protocolo Facultativo de la Convención</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El 35º período de sesiones del Grupo de Trabajo sobre las Comunicaciones Presentadas en virtud del Protocolo Facultativo se celebrará del 29 de junio al 1 de julio de 2016 en Ginebra.</w:t>
      </w:r>
    </w:p>
    <w:p w:rsidR="00A8430C" w:rsidRPr="00E257BB" w:rsidRDefault="00A8430C" w:rsidP="00A8430C">
      <w:pPr>
        <w:pStyle w:val="SingleTxt"/>
      </w:pPr>
      <w:r w:rsidRPr="00E257BB">
        <w:t>El cuarto período de sesiones del Grupo de Trabajo sobre Investigaciones con arreglo al Protocolo Facultativo se celebrará los días 30 de junio y 1 de julio de 2016 en Ginebra.</w:t>
      </w:r>
    </w:p>
    <w:p w:rsidR="00A8430C" w:rsidRPr="00E257BB" w:rsidRDefault="00A8430C" w:rsidP="00A8430C">
      <w:pPr>
        <w:pStyle w:val="SingleTxt"/>
      </w:pPr>
      <w:r w:rsidRPr="00E257BB">
        <w:t>En su 64º período de sesiones, el Comité continuará cumpliendo su mandato en virtud de los artículos 2 y 8 del Protocolo Facultativo de la Convención.</w:t>
      </w:r>
    </w:p>
    <w:p w:rsidR="00A8430C" w:rsidRPr="00E257BB" w:rsidRDefault="00A8430C" w:rsidP="00A8430C">
      <w:pPr>
        <w:pStyle w:val="SingleTxt"/>
        <w:spacing w:after="0" w:line="120" w:lineRule="exact"/>
        <w:rPr>
          <w:sz w:val="10"/>
        </w:rPr>
      </w:pPr>
    </w:p>
    <w:p w:rsidR="00A8430C" w:rsidRPr="00E257BB"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t>9.</w:t>
      </w:r>
      <w:r w:rsidRPr="00E257BB">
        <w:tab/>
        <w:t>Programa provisional del 65º período de sesiones del Comité</w:t>
      </w:r>
    </w:p>
    <w:p w:rsidR="00A8430C" w:rsidRPr="00E257BB" w:rsidRDefault="00A8430C" w:rsidP="00A8430C">
      <w:pPr>
        <w:pStyle w:val="SingleTxt"/>
        <w:spacing w:after="0" w:line="120" w:lineRule="exact"/>
        <w:rPr>
          <w:sz w:val="10"/>
        </w:rPr>
      </w:pPr>
    </w:p>
    <w:p w:rsidR="00A8430C" w:rsidRPr="00E257BB" w:rsidRDefault="00A8430C" w:rsidP="00A843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57BB">
        <w:tab/>
      </w:r>
      <w:r w:rsidRPr="00E257BB">
        <w:tab/>
        <w:t>Documentación</w:t>
      </w:r>
    </w:p>
    <w:p w:rsidR="00A8430C" w:rsidRPr="00E257BB" w:rsidRDefault="00A8430C" w:rsidP="00A8430C">
      <w:pPr>
        <w:pStyle w:val="SingleTxt"/>
        <w:spacing w:after="0" w:line="120" w:lineRule="exact"/>
        <w:rPr>
          <w:sz w:val="10"/>
        </w:rPr>
      </w:pPr>
    </w:p>
    <w:p w:rsidR="00A8430C" w:rsidRPr="00E257BB" w:rsidRDefault="00A8430C" w:rsidP="00A8430C">
      <w:pPr>
        <w:pStyle w:val="SingleTxt"/>
      </w:pPr>
      <w:r w:rsidRPr="00E257BB">
        <w:t>Programa provisional anotado del 65º período de sesiones (</w:t>
      </w:r>
      <w:hyperlink r:id="rId42" w:history="1">
        <w:r w:rsidRPr="00E257BB">
          <w:rPr>
            <w:rStyle w:val="Hyperlink"/>
            <w:szCs w:val="24"/>
          </w:rPr>
          <w:t>CEDAW/C/65/1</w:t>
        </w:r>
      </w:hyperlink>
      <w:r w:rsidRPr="00E257BB">
        <w:t>)</w:t>
      </w:r>
    </w:p>
    <w:p w:rsidR="00A8430C" w:rsidRPr="00E257BB" w:rsidRDefault="00A8430C" w:rsidP="00A8430C">
      <w:pPr>
        <w:pStyle w:val="SingleTxt"/>
        <w:spacing w:after="0" w:line="120" w:lineRule="exact"/>
        <w:rPr>
          <w:sz w:val="10"/>
        </w:rPr>
      </w:pPr>
    </w:p>
    <w:p w:rsidR="00A7563F" w:rsidRDefault="00A8430C" w:rsidP="00A84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7BB">
        <w:tab/>
        <w:t>10.</w:t>
      </w:r>
      <w:r w:rsidRPr="00E257BB">
        <w:tab/>
        <w:t>Aprobación del informe del Comité</w:t>
      </w:r>
      <w:bookmarkStart w:id="2" w:name="TmpSave"/>
      <w:bookmarkEnd w:id="2"/>
      <w:r w:rsidRPr="00E257BB">
        <w:t xml:space="preserve"> sobre su 64º período de sesiones</w:t>
      </w:r>
    </w:p>
    <w:p w:rsidR="00A8430C" w:rsidRPr="00A8430C" w:rsidRDefault="00A8430C" w:rsidP="00A8430C">
      <w:pPr>
        <w:pStyle w:val="SingleTxt"/>
        <w:spacing w:after="0" w:line="120" w:lineRule="exact"/>
        <w:rPr>
          <w:sz w:val="10"/>
        </w:rPr>
      </w:pPr>
    </w:p>
    <w:p w:rsidR="00A8430C" w:rsidRPr="00A8430C" w:rsidRDefault="00A8430C" w:rsidP="00A8430C">
      <w:pPr>
        <w:pStyle w:val="SingleTxt"/>
      </w:pPr>
      <w:r>
        <w:rPr>
          <w:noProof/>
          <w:w w:val="100"/>
          <w:lang w:val="en-US"/>
        </w:rPr>
        <mc:AlternateContent>
          <mc:Choice Requires="wps">
            <w:drawing>
              <wp:anchor distT="0" distB="0" distL="114300" distR="114300" simplePos="0" relativeHeight="251660288" behindDoc="0" locked="0" layoutInCell="1" allowOverlap="1" wp14:anchorId="6280651D" wp14:editId="72B3E6F8">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8430C" w:rsidRPr="00A8430C" w:rsidSect="00CE369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5-04T14:17:00Z" w:initials="Start">
    <w:p w:rsidR="00A7563F" w:rsidRPr="00A8430C" w:rsidRDefault="00A7563F">
      <w:pPr>
        <w:pStyle w:val="CommentText"/>
        <w:rPr>
          <w:lang w:val="en-US"/>
        </w:rPr>
      </w:pPr>
      <w:r>
        <w:fldChar w:fldCharType="begin"/>
      </w:r>
      <w:r w:rsidRPr="00A8430C">
        <w:rPr>
          <w:rStyle w:val="CommentReference"/>
          <w:lang w:val="en-US"/>
        </w:rPr>
        <w:instrText xml:space="preserve"> </w:instrText>
      </w:r>
      <w:r w:rsidRPr="00A8430C">
        <w:rPr>
          <w:lang w:val="en-US"/>
        </w:rPr>
        <w:instrText>PAGE \# "'Page: '#'</w:instrText>
      </w:r>
      <w:r w:rsidRPr="00A8430C">
        <w:rPr>
          <w:lang w:val="en-US"/>
        </w:rPr>
        <w:br/>
        <w:instrText>'"</w:instrText>
      </w:r>
      <w:r w:rsidRPr="00A8430C">
        <w:rPr>
          <w:rStyle w:val="CommentReference"/>
          <w:lang w:val="en-US"/>
        </w:rPr>
        <w:instrText xml:space="preserve"> </w:instrText>
      </w:r>
      <w:r>
        <w:fldChar w:fldCharType="end"/>
      </w:r>
      <w:r>
        <w:rPr>
          <w:rStyle w:val="CommentReference"/>
        </w:rPr>
        <w:annotationRef/>
      </w:r>
      <w:r w:rsidRPr="00A8430C">
        <w:rPr>
          <w:lang w:val="en-US"/>
        </w:rPr>
        <w:t>&lt;&lt;ODS JOB NO&gt;&gt;N1610772S&lt;&lt;ODS JOB NO&gt;&gt;</w:t>
      </w:r>
    </w:p>
    <w:p w:rsidR="00A7563F" w:rsidRPr="00A8430C" w:rsidRDefault="00A7563F">
      <w:pPr>
        <w:pStyle w:val="CommentText"/>
        <w:rPr>
          <w:lang w:val="en-US"/>
        </w:rPr>
      </w:pPr>
      <w:r w:rsidRPr="00A8430C">
        <w:rPr>
          <w:lang w:val="en-US"/>
        </w:rPr>
        <w:t>&lt;&lt;ODS DOC SYMBOL1&gt;&gt;CEDAW/C/64/1&lt;&lt;ODS DOC SYMBOL1&gt;&gt;</w:t>
      </w:r>
    </w:p>
    <w:p w:rsidR="00A7563F" w:rsidRPr="00A8430C" w:rsidRDefault="00A7563F">
      <w:pPr>
        <w:pStyle w:val="CommentText"/>
        <w:rPr>
          <w:lang w:val="en-US"/>
        </w:rPr>
      </w:pPr>
      <w:r w:rsidRPr="00A8430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C72" w:rsidRDefault="00A54C72" w:rsidP="008F1E8F">
      <w:pPr>
        <w:spacing w:line="240" w:lineRule="auto"/>
      </w:pPr>
      <w:r>
        <w:separator/>
      </w:r>
    </w:p>
  </w:endnote>
  <w:endnote w:type="continuationSeparator" w:id="0">
    <w:p w:rsidR="00A54C72" w:rsidRDefault="00A54C7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A7563F" w:rsidTr="00A7563F">
      <w:tc>
        <w:tcPr>
          <w:tcW w:w="4990" w:type="dxa"/>
          <w:shd w:val="clear" w:color="auto" w:fill="auto"/>
        </w:tcPr>
        <w:p w:rsidR="00A7563F" w:rsidRPr="00A7563F" w:rsidRDefault="00A7563F" w:rsidP="00A7563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450B7">
            <w:rPr>
              <w:b w:val="0"/>
              <w:color w:val="000000"/>
              <w:w w:val="103"/>
              <w:sz w:val="14"/>
            </w:rPr>
            <w:t>16-06293</w:t>
          </w:r>
          <w:r>
            <w:rPr>
              <w:b w:val="0"/>
              <w:color w:val="000000"/>
              <w:w w:val="103"/>
              <w:sz w:val="14"/>
            </w:rPr>
            <w:fldChar w:fldCharType="end"/>
          </w:r>
        </w:p>
      </w:tc>
      <w:tc>
        <w:tcPr>
          <w:tcW w:w="4990" w:type="dxa"/>
          <w:shd w:val="clear" w:color="auto" w:fill="auto"/>
        </w:tcPr>
        <w:p w:rsidR="00A7563F" w:rsidRPr="00A7563F" w:rsidRDefault="00A7563F" w:rsidP="00A7563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2675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2675E">
            <w:rPr>
              <w:color w:val="000000"/>
              <w:w w:val="103"/>
            </w:rPr>
            <w:t>2</w:t>
          </w:r>
          <w:r>
            <w:rPr>
              <w:color w:val="000000"/>
              <w:w w:val="103"/>
            </w:rPr>
            <w:fldChar w:fldCharType="end"/>
          </w:r>
        </w:p>
      </w:tc>
    </w:tr>
  </w:tbl>
  <w:p w:rsidR="00A7563F" w:rsidRPr="00A7563F" w:rsidRDefault="00A7563F" w:rsidP="00A756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A7563F" w:rsidTr="00A7563F">
      <w:tc>
        <w:tcPr>
          <w:tcW w:w="4990" w:type="dxa"/>
          <w:shd w:val="clear" w:color="auto" w:fill="auto"/>
        </w:tcPr>
        <w:p w:rsidR="00A7563F" w:rsidRPr="00A7563F" w:rsidRDefault="00A7563F" w:rsidP="00A7563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450B7">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450B7">
            <w:rPr>
              <w:color w:val="000000"/>
              <w:w w:val="103"/>
            </w:rPr>
            <w:t>4</w:t>
          </w:r>
          <w:r>
            <w:rPr>
              <w:color w:val="000000"/>
              <w:w w:val="103"/>
            </w:rPr>
            <w:fldChar w:fldCharType="end"/>
          </w:r>
        </w:p>
      </w:tc>
      <w:tc>
        <w:tcPr>
          <w:tcW w:w="4990" w:type="dxa"/>
          <w:shd w:val="clear" w:color="auto" w:fill="auto"/>
        </w:tcPr>
        <w:p w:rsidR="00A7563F" w:rsidRPr="00A7563F" w:rsidRDefault="00A7563F" w:rsidP="00A7563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450B7">
            <w:rPr>
              <w:b w:val="0"/>
              <w:color w:val="000000"/>
              <w:w w:val="103"/>
              <w:sz w:val="14"/>
            </w:rPr>
            <w:t>16-06293</w:t>
          </w:r>
          <w:r>
            <w:rPr>
              <w:b w:val="0"/>
              <w:color w:val="000000"/>
              <w:w w:val="103"/>
              <w:sz w:val="14"/>
            </w:rPr>
            <w:fldChar w:fldCharType="end"/>
          </w:r>
        </w:p>
      </w:tc>
    </w:tr>
  </w:tbl>
  <w:p w:rsidR="00A7563F" w:rsidRPr="00A7563F" w:rsidRDefault="00A7563F" w:rsidP="00A756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63F" w:rsidRPr="00A7563F" w:rsidRDefault="00A7563F" w:rsidP="00A7563F">
    <w:pPr>
      <w:pStyle w:val="Footer"/>
      <w:spacing w:line="120" w:lineRule="exact"/>
      <w:rPr>
        <w:b w:val="0"/>
        <w:sz w:val="10"/>
      </w:rPr>
    </w:pPr>
    <w:r>
      <w:rPr>
        <w:b w:val="0"/>
        <w:sz w:val="10"/>
      </w:rPr>
      <w:drawing>
        <wp:anchor distT="0" distB="0" distL="114300" distR="114300" simplePos="0" relativeHeight="251658240" behindDoc="0" locked="0" layoutInCell="1" allowOverlap="1" wp14:anchorId="2FD488E5" wp14:editId="079493A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64/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4/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A7563F" w:rsidTr="00A7563F">
      <w:tc>
        <w:tcPr>
          <w:tcW w:w="3830" w:type="dxa"/>
        </w:tcPr>
        <w:p w:rsidR="00A7563F" w:rsidRDefault="00A7563F" w:rsidP="00A7563F">
          <w:pPr>
            <w:pStyle w:val="ReleaseDate"/>
          </w:pPr>
          <w:r>
            <w:t>16-06293</w:t>
          </w:r>
          <w:r w:rsidR="00A8430C">
            <w:t>X</w:t>
          </w:r>
          <w:r>
            <w:t xml:space="preserve"> (S)</w:t>
          </w:r>
          <w:r w:rsidR="00A8430C">
            <w:t xml:space="preserve">    </w:t>
          </w:r>
        </w:p>
        <w:p w:rsidR="00A7563F" w:rsidRPr="00A7563F" w:rsidRDefault="00A7563F" w:rsidP="00A7563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*1606293*</w:t>
          </w:r>
        </w:p>
      </w:tc>
      <w:tc>
        <w:tcPr>
          <w:tcW w:w="4990" w:type="dxa"/>
        </w:tcPr>
        <w:p w:rsidR="00A7563F" w:rsidRDefault="00A7563F" w:rsidP="00A7563F">
          <w:pPr>
            <w:pStyle w:val="Footer"/>
            <w:jc w:val="right"/>
            <w:rPr>
              <w:b w:val="0"/>
              <w:sz w:val="20"/>
            </w:rPr>
          </w:pPr>
          <w:r>
            <w:rPr>
              <w:b w:val="0"/>
              <w:sz w:val="20"/>
            </w:rPr>
            <w:drawing>
              <wp:inline distT="0" distB="0" distL="0" distR="0" wp14:anchorId="69F06A8B" wp14:editId="473435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7563F" w:rsidRPr="00A7563F" w:rsidRDefault="00A7563F" w:rsidP="00A7563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C72" w:rsidRDefault="00A54C72" w:rsidP="008F1E8F">
      <w:pPr>
        <w:spacing w:line="240" w:lineRule="auto"/>
      </w:pPr>
      <w:r>
        <w:separator/>
      </w:r>
    </w:p>
  </w:footnote>
  <w:footnote w:type="continuationSeparator" w:id="0">
    <w:p w:rsidR="00A54C72" w:rsidRDefault="00A54C7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A7563F" w:rsidTr="00A7563F">
      <w:trPr>
        <w:trHeight w:hRule="exact" w:val="864"/>
      </w:trPr>
      <w:tc>
        <w:tcPr>
          <w:tcW w:w="4838" w:type="dxa"/>
          <w:shd w:val="clear" w:color="auto" w:fill="auto"/>
          <w:vAlign w:val="bottom"/>
        </w:tcPr>
        <w:p w:rsidR="00A7563F" w:rsidRPr="00A7563F" w:rsidRDefault="00A7563F" w:rsidP="00A7563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450B7">
            <w:rPr>
              <w:b/>
              <w:color w:val="000000"/>
            </w:rPr>
            <w:t>CEDAW/C/64/1</w:t>
          </w:r>
          <w:r>
            <w:rPr>
              <w:b/>
              <w:color w:val="000000"/>
            </w:rPr>
            <w:fldChar w:fldCharType="end"/>
          </w:r>
        </w:p>
      </w:tc>
      <w:tc>
        <w:tcPr>
          <w:tcW w:w="4990" w:type="dxa"/>
          <w:shd w:val="clear" w:color="auto" w:fill="auto"/>
          <w:vAlign w:val="bottom"/>
        </w:tcPr>
        <w:p w:rsidR="00A7563F" w:rsidRDefault="00A7563F" w:rsidP="00A7563F">
          <w:pPr>
            <w:pStyle w:val="Header"/>
          </w:pPr>
        </w:p>
      </w:tc>
    </w:tr>
  </w:tbl>
  <w:p w:rsidR="00A7563F" w:rsidRPr="00A7563F" w:rsidRDefault="00A7563F" w:rsidP="00A7563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A7563F" w:rsidTr="00A7563F">
      <w:trPr>
        <w:trHeight w:hRule="exact" w:val="864"/>
      </w:trPr>
      <w:tc>
        <w:tcPr>
          <w:tcW w:w="4838" w:type="dxa"/>
          <w:shd w:val="clear" w:color="auto" w:fill="auto"/>
          <w:vAlign w:val="bottom"/>
        </w:tcPr>
        <w:p w:rsidR="00A7563F" w:rsidRDefault="00A7563F" w:rsidP="00A7563F">
          <w:pPr>
            <w:pStyle w:val="Header"/>
          </w:pPr>
        </w:p>
      </w:tc>
      <w:tc>
        <w:tcPr>
          <w:tcW w:w="4990" w:type="dxa"/>
          <w:shd w:val="clear" w:color="auto" w:fill="auto"/>
          <w:vAlign w:val="bottom"/>
        </w:tcPr>
        <w:p w:rsidR="00A7563F" w:rsidRPr="00A7563F" w:rsidRDefault="00A7563F" w:rsidP="00A7563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450B7">
            <w:rPr>
              <w:b/>
              <w:color w:val="000000"/>
            </w:rPr>
            <w:t>CEDAW/C/64/1</w:t>
          </w:r>
          <w:r>
            <w:rPr>
              <w:b/>
              <w:color w:val="000000"/>
            </w:rPr>
            <w:fldChar w:fldCharType="end"/>
          </w:r>
        </w:p>
      </w:tc>
    </w:tr>
  </w:tbl>
  <w:p w:rsidR="00A7563F" w:rsidRPr="00A7563F" w:rsidRDefault="00A7563F" w:rsidP="00A7563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7563F" w:rsidTr="00A7563F">
      <w:trPr>
        <w:gridAfter w:val="1"/>
        <w:wAfter w:w="12" w:type="dxa"/>
        <w:trHeight w:hRule="exact" w:val="864"/>
      </w:trPr>
      <w:tc>
        <w:tcPr>
          <w:tcW w:w="1267" w:type="dxa"/>
          <w:tcBorders>
            <w:bottom w:val="single" w:sz="4" w:space="0" w:color="auto"/>
          </w:tcBorders>
          <w:shd w:val="clear" w:color="auto" w:fill="auto"/>
          <w:vAlign w:val="bottom"/>
        </w:tcPr>
        <w:p w:rsidR="00A7563F" w:rsidRDefault="00A7563F" w:rsidP="00A7563F">
          <w:pPr>
            <w:pStyle w:val="Header"/>
            <w:spacing w:after="120"/>
          </w:pPr>
        </w:p>
      </w:tc>
      <w:tc>
        <w:tcPr>
          <w:tcW w:w="2059" w:type="dxa"/>
          <w:tcBorders>
            <w:bottom w:val="single" w:sz="4" w:space="0" w:color="auto"/>
          </w:tcBorders>
          <w:shd w:val="clear" w:color="auto" w:fill="auto"/>
          <w:vAlign w:val="bottom"/>
        </w:tcPr>
        <w:p w:rsidR="00A7563F" w:rsidRPr="00A7563F" w:rsidRDefault="00A7563F" w:rsidP="00A7563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7563F" w:rsidRDefault="00A7563F" w:rsidP="00A7563F">
          <w:pPr>
            <w:pStyle w:val="Header"/>
            <w:spacing w:after="120"/>
          </w:pPr>
        </w:p>
      </w:tc>
      <w:tc>
        <w:tcPr>
          <w:tcW w:w="6523" w:type="dxa"/>
          <w:gridSpan w:val="3"/>
          <w:tcBorders>
            <w:bottom w:val="single" w:sz="4" w:space="0" w:color="auto"/>
          </w:tcBorders>
          <w:shd w:val="clear" w:color="auto" w:fill="auto"/>
          <w:vAlign w:val="bottom"/>
        </w:tcPr>
        <w:p w:rsidR="00A7563F" w:rsidRPr="00A7563F" w:rsidRDefault="00A7563F" w:rsidP="00A7563F">
          <w:pPr>
            <w:spacing w:after="80" w:line="240" w:lineRule="auto"/>
            <w:jc w:val="right"/>
            <w:rPr>
              <w:position w:val="-4"/>
            </w:rPr>
          </w:pPr>
          <w:r>
            <w:rPr>
              <w:position w:val="-4"/>
              <w:sz w:val="40"/>
            </w:rPr>
            <w:t>CEDAW</w:t>
          </w:r>
          <w:r>
            <w:rPr>
              <w:position w:val="-4"/>
            </w:rPr>
            <w:t>/C/64/1</w:t>
          </w:r>
        </w:p>
      </w:tc>
    </w:tr>
    <w:tr w:rsidR="00A7563F" w:rsidRPr="00A7563F" w:rsidTr="00A7563F">
      <w:trPr>
        <w:trHeight w:hRule="exact" w:val="2880"/>
      </w:trPr>
      <w:tc>
        <w:tcPr>
          <w:tcW w:w="1267" w:type="dxa"/>
          <w:tcBorders>
            <w:top w:val="single" w:sz="4" w:space="0" w:color="auto"/>
            <w:bottom w:val="single" w:sz="12" w:space="0" w:color="auto"/>
          </w:tcBorders>
          <w:shd w:val="clear" w:color="auto" w:fill="auto"/>
        </w:tcPr>
        <w:p w:rsidR="00A7563F" w:rsidRPr="00A7563F" w:rsidRDefault="00A7563F" w:rsidP="00A7563F">
          <w:pPr>
            <w:pStyle w:val="Header"/>
            <w:spacing w:before="120"/>
            <w:jc w:val="center"/>
          </w:pPr>
          <w:r>
            <w:t xml:space="preserve"> </w:t>
          </w:r>
          <w:r>
            <w:drawing>
              <wp:inline distT="0" distB="0" distL="0" distR="0" wp14:anchorId="0937CCA6" wp14:editId="3CB2BB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7563F" w:rsidRPr="00A7563F" w:rsidRDefault="00A7563F" w:rsidP="00A7563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7563F" w:rsidRPr="00A8430C" w:rsidRDefault="00A7563F" w:rsidP="00A7563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7563F" w:rsidRDefault="00A7563F" w:rsidP="00A7563F">
          <w:pPr>
            <w:pStyle w:val="Distribution"/>
            <w:spacing w:before="240"/>
          </w:pPr>
          <w:r>
            <w:t>Distr. general</w:t>
          </w:r>
        </w:p>
        <w:p w:rsidR="00A7563F" w:rsidRDefault="00A7563F" w:rsidP="00A7563F">
          <w:pPr>
            <w:pStyle w:val="Publication"/>
          </w:pPr>
          <w:r>
            <w:t>18 de abril de 2016</w:t>
          </w:r>
        </w:p>
        <w:p w:rsidR="00A7563F" w:rsidRDefault="00A7563F" w:rsidP="00A7563F">
          <w:r>
            <w:t>Español</w:t>
          </w:r>
        </w:p>
        <w:p w:rsidR="00A7563F" w:rsidRDefault="00A7563F" w:rsidP="00A7563F">
          <w:pPr>
            <w:pStyle w:val="Original"/>
          </w:pPr>
          <w:r>
            <w:t>Original: inglés</w:t>
          </w:r>
        </w:p>
        <w:p w:rsidR="00A7563F" w:rsidRPr="00A7563F" w:rsidRDefault="00A7563F" w:rsidP="00A7563F"/>
      </w:tc>
    </w:tr>
  </w:tbl>
  <w:p w:rsidR="00A7563F" w:rsidRPr="00A7563F" w:rsidRDefault="00A7563F" w:rsidP="00A7563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6293*"/>
    <w:docVar w:name="CreationDt" w:val="04/05/2016 2:17: PM"/>
    <w:docVar w:name="DocCategory" w:val="Doc"/>
    <w:docVar w:name="DocType" w:val="Final"/>
    <w:docVar w:name="DutyStation" w:val="New York"/>
    <w:docVar w:name="FooterJN" w:val="16-06293"/>
    <w:docVar w:name="jobn" w:val="16-06293 (S)"/>
    <w:docVar w:name="jobnDT" w:val="16-06293 (S)   040516"/>
    <w:docVar w:name="jobnDTDT" w:val="16-06293 (S)   040516   040516"/>
    <w:docVar w:name="JobNo" w:val="1606293S"/>
    <w:docVar w:name="JobNo2" w:val="16107722:17: PM"/>
    <w:docVar w:name="LocalDrive" w:val="0"/>
    <w:docVar w:name="OandT" w:val="FAA"/>
    <w:docVar w:name="PaperSize" w:val="Letter"/>
    <w:docVar w:name="sss1" w:val="CEDAW/C/64/1"/>
    <w:docVar w:name="sss2" w:val="-"/>
    <w:docVar w:name="Symbol1" w:val="CEDAW/C/64/1"/>
    <w:docVar w:name="Symbol2" w:val="-"/>
  </w:docVars>
  <w:rsids>
    <w:rsidRoot w:val="00A54C72"/>
    <w:rsid w:val="0000104C"/>
    <w:rsid w:val="00001CC4"/>
    <w:rsid w:val="000025A2"/>
    <w:rsid w:val="00002B98"/>
    <w:rsid w:val="0000430F"/>
    <w:rsid w:val="00005995"/>
    <w:rsid w:val="0001023A"/>
    <w:rsid w:val="00011ED9"/>
    <w:rsid w:val="000145F1"/>
    <w:rsid w:val="0001710A"/>
    <w:rsid w:val="00023216"/>
    <w:rsid w:val="00025DF8"/>
    <w:rsid w:val="00026454"/>
    <w:rsid w:val="0002675E"/>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AA3"/>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DC7"/>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85B68"/>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50B7"/>
    <w:rsid w:val="008463C4"/>
    <w:rsid w:val="008466A7"/>
    <w:rsid w:val="00850504"/>
    <w:rsid w:val="0085192D"/>
    <w:rsid w:val="008521F6"/>
    <w:rsid w:val="008539AC"/>
    <w:rsid w:val="00860992"/>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447D"/>
    <w:rsid w:val="00A17B2C"/>
    <w:rsid w:val="00A21683"/>
    <w:rsid w:val="00A24508"/>
    <w:rsid w:val="00A26619"/>
    <w:rsid w:val="00A3163E"/>
    <w:rsid w:val="00A4039A"/>
    <w:rsid w:val="00A5353F"/>
    <w:rsid w:val="00A54C72"/>
    <w:rsid w:val="00A5537A"/>
    <w:rsid w:val="00A607E7"/>
    <w:rsid w:val="00A627D6"/>
    <w:rsid w:val="00A64A88"/>
    <w:rsid w:val="00A64E36"/>
    <w:rsid w:val="00A65B90"/>
    <w:rsid w:val="00A65C9E"/>
    <w:rsid w:val="00A6761C"/>
    <w:rsid w:val="00A71D7C"/>
    <w:rsid w:val="00A7563F"/>
    <w:rsid w:val="00A81007"/>
    <w:rsid w:val="00A8430C"/>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AF7AC7"/>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3EE"/>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0661"/>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369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2448"/>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2FF"/>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0BBB"/>
    <w:rsid w:val="00E51341"/>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7563F"/>
    <w:pPr>
      <w:spacing w:line="240" w:lineRule="auto"/>
    </w:pPr>
    <w:rPr>
      <w:szCs w:val="20"/>
    </w:rPr>
  </w:style>
  <w:style w:type="character" w:customStyle="1" w:styleId="CommentTextChar">
    <w:name w:val="Comment Text Char"/>
    <w:basedOn w:val="DefaultParagraphFont"/>
    <w:link w:val="CommentText"/>
    <w:rsid w:val="00A7563F"/>
    <w:rPr>
      <w:rFonts w:ascii="Times New Roman" w:hAnsi="Times New Roman"/>
      <w:spacing w:val="4"/>
      <w:w w:val="103"/>
      <w:lang w:val="es-ES"/>
    </w:rPr>
  </w:style>
  <w:style w:type="paragraph" w:styleId="CommentSubject">
    <w:name w:val="annotation subject"/>
    <w:basedOn w:val="CommentText"/>
    <w:next w:val="CommentText"/>
    <w:link w:val="CommentSubjectChar"/>
    <w:rsid w:val="00A7563F"/>
    <w:rPr>
      <w:b/>
      <w:bCs/>
    </w:rPr>
  </w:style>
  <w:style w:type="character" w:customStyle="1" w:styleId="CommentSubjectChar">
    <w:name w:val="Comment Subject Char"/>
    <w:basedOn w:val="CommentTextChar"/>
    <w:link w:val="CommentSubject"/>
    <w:rsid w:val="00A7563F"/>
    <w:rPr>
      <w:rFonts w:ascii="Times New Roman" w:hAnsi="Times New Roman"/>
      <w:b/>
      <w:bCs/>
      <w:spacing w:val="4"/>
      <w:w w:val="103"/>
      <w:lang w:val="es-ES"/>
    </w:rPr>
  </w:style>
  <w:style w:type="character" w:styleId="Hyperlink">
    <w:name w:val="Hyperlink"/>
    <w:uiPriority w:val="99"/>
    <w:rsid w:val="00A8430C"/>
    <w:rPr>
      <w:rFonts w:cs="Times New Roman"/>
      <w:color w:val="0000FF"/>
      <w:u w:val="none"/>
    </w:rPr>
  </w:style>
  <w:style w:type="paragraph" w:styleId="Revision">
    <w:name w:val="Revision"/>
    <w:hidden/>
    <w:uiPriority w:val="99"/>
    <w:semiHidden/>
    <w:rsid w:val="00D9244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7563F"/>
    <w:pPr>
      <w:spacing w:line="240" w:lineRule="auto"/>
    </w:pPr>
    <w:rPr>
      <w:szCs w:val="20"/>
    </w:rPr>
  </w:style>
  <w:style w:type="character" w:customStyle="1" w:styleId="CommentTextChar">
    <w:name w:val="Comment Text Char"/>
    <w:basedOn w:val="DefaultParagraphFont"/>
    <w:link w:val="CommentText"/>
    <w:rsid w:val="00A7563F"/>
    <w:rPr>
      <w:rFonts w:ascii="Times New Roman" w:hAnsi="Times New Roman"/>
      <w:spacing w:val="4"/>
      <w:w w:val="103"/>
      <w:lang w:val="es-ES"/>
    </w:rPr>
  </w:style>
  <w:style w:type="paragraph" w:styleId="CommentSubject">
    <w:name w:val="annotation subject"/>
    <w:basedOn w:val="CommentText"/>
    <w:next w:val="CommentText"/>
    <w:link w:val="CommentSubjectChar"/>
    <w:rsid w:val="00A7563F"/>
    <w:rPr>
      <w:b/>
      <w:bCs/>
    </w:rPr>
  </w:style>
  <w:style w:type="character" w:customStyle="1" w:styleId="CommentSubjectChar">
    <w:name w:val="Comment Subject Char"/>
    <w:basedOn w:val="CommentTextChar"/>
    <w:link w:val="CommentSubject"/>
    <w:rsid w:val="00A7563F"/>
    <w:rPr>
      <w:rFonts w:ascii="Times New Roman" w:hAnsi="Times New Roman"/>
      <w:b/>
      <w:bCs/>
      <w:spacing w:val="4"/>
      <w:w w:val="103"/>
      <w:lang w:val="es-ES"/>
    </w:rPr>
  </w:style>
  <w:style w:type="character" w:styleId="Hyperlink">
    <w:name w:val="Hyperlink"/>
    <w:uiPriority w:val="99"/>
    <w:rsid w:val="00A8430C"/>
    <w:rPr>
      <w:rFonts w:cs="Times New Roman"/>
      <w:color w:val="0000FF"/>
      <w:u w:val="none"/>
    </w:rPr>
  </w:style>
  <w:style w:type="paragraph" w:styleId="Revision">
    <w:name w:val="Revision"/>
    <w:hidden/>
    <w:uiPriority w:val="99"/>
    <w:semiHidden/>
    <w:rsid w:val="00D9244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ALB/4" TargetMode="External"/><Relationship Id="rId26" Type="http://schemas.openxmlformats.org/officeDocument/2006/relationships/hyperlink" Target="http://undocs.org/Sp/CEDAW/C/ALB/Q/4" TargetMode="External"/><Relationship Id="rId39" Type="http://schemas.openxmlformats.org/officeDocument/2006/relationships/hyperlink" Target="http://undocs.org/Sp/CEDAW/C/TTO/Q/4-7/Add.1" TargetMode="External"/><Relationship Id="rId3" Type="http://schemas.openxmlformats.org/officeDocument/2006/relationships/styles" Target="styles.xml"/><Relationship Id="rId21" Type="http://schemas.openxmlformats.org/officeDocument/2006/relationships/hyperlink" Target="http://undocs.org/Sp/CEDAW/C/MLI/6-7" TargetMode="External"/><Relationship Id="rId34" Type="http://schemas.openxmlformats.org/officeDocument/2006/relationships/hyperlink" Target="http://undocs.org/Sp/CEDAW/C/ALB/Q/4/Add.1" TargetMode="External"/><Relationship Id="rId42" Type="http://schemas.openxmlformats.org/officeDocument/2006/relationships/hyperlink" Target="http://undocs.org/Sp/CEDAW/C/65/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SWG/64/1" TargetMode="External"/><Relationship Id="rId25" Type="http://schemas.openxmlformats.org/officeDocument/2006/relationships/hyperlink" Target="http://undocs.org/Sp/CEDAW/C/URY/8-9" TargetMode="External"/><Relationship Id="rId33" Type="http://schemas.openxmlformats.org/officeDocument/2006/relationships/hyperlink" Target="http://undocs.org/Sp/CEDAW/C/URY/Q/8-9" TargetMode="External"/><Relationship Id="rId38" Type="http://schemas.openxmlformats.org/officeDocument/2006/relationships/hyperlink" Target="http://undocs.org/Sp/CEDAW/C/MMR/Q/4-5/Add.1" TargetMode="External"/><Relationship Id="rId2" Type="http://schemas.openxmlformats.org/officeDocument/2006/relationships/numbering" Target="numbering.xml"/><Relationship Id="rId16" Type="http://schemas.openxmlformats.org/officeDocument/2006/relationships/hyperlink" Target="http://undocs.org/CEDAW/C/64/1" TargetMode="External"/><Relationship Id="rId20" Type="http://schemas.openxmlformats.org/officeDocument/2006/relationships/hyperlink" Target="http://www.un.org/ga/search/view_doc.asp?symbol=CEDAW/C/FRA/7-8&amp;referer=/english/&amp;Lang=S" TargetMode="External"/><Relationship Id="rId29" Type="http://schemas.openxmlformats.org/officeDocument/2006/relationships/hyperlink" Target="http://undocs.org/Sp/CEDAW/C/MLI/Q/6-7" TargetMode="External"/><Relationship Id="rId41" Type="http://schemas.openxmlformats.org/officeDocument/2006/relationships/hyperlink" Target="http://undocs.org/Sp/CEDAW/C/URY/Q/8-9/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TUR/7" TargetMode="External"/><Relationship Id="rId32" Type="http://schemas.openxmlformats.org/officeDocument/2006/relationships/hyperlink" Target="http://undocs.org/Sp/CEDAW/C/TUR/Q/7" TargetMode="External"/><Relationship Id="rId37" Type="http://schemas.openxmlformats.org/officeDocument/2006/relationships/hyperlink" Target="http://undocs.org/Sp/CEDAW/C/MLI/Q/6-7/Add.1" TargetMode="External"/><Relationship Id="rId40" Type="http://schemas.openxmlformats.org/officeDocument/2006/relationships/hyperlink" Target="http://undocs.org/Sp/CEDAW/C/TUR/Q/7/Add.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TTO/4-7" TargetMode="External"/><Relationship Id="rId28" Type="http://schemas.openxmlformats.org/officeDocument/2006/relationships/hyperlink" Target="http://undocs.org/Sp/CEDAW/C/FRA/Q/7-8" TargetMode="External"/><Relationship Id="rId36" Type="http://schemas.openxmlformats.org/officeDocument/2006/relationships/hyperlink" Target="http://undocs.org/Sp/CEDAW/C/FRA/Q/7-8/Add.1" TargetMode="External"/><Relationship Id="rId10" Type="http://schemas.openxmlformats.org/officeDocument/2006/relationships/header" Target="header2.xml"/><Relationship Id="rId19" Type="http://schemas.openxmlformats.org/officeDocument/2006/relationships/hyperlink" Target="http://undocs.org/Sp/CEDAW/C/PHL/7-8" TargetMode="External"/><Relationship Id="rId31" Type="http://schemas.openxmlformats.org/officeDocument/2006/relationships/hyperlink" Target="http://undocs.org/Sp/CEDAW/C/TTO/Q/4-7"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MMR/4-5" TargetMode="External"/><Relationship Id="rId27" Type="http://schemas.openxmlformats.org/officeDocument/2006/relationships/hyperlink" Target="http://undocs.org/Sp/CEDAW/C/PHL/Q/7-8" TargetMode="External"/><Relationship Id="rId30" Type="http://schemas.openxmlformats.org/officeDocument/2006/relationships/hyperlink" Target="http://undocs.org/Sp/CEDAW/C/MMR/Q/4-5" TargetMode="External"/><Relationship Id="rId35" Type="http://schemas.openxmlformats.org/officeDocument/2006/relationships/hyperlink" Target="http://undocs.org/Sp/CEDAW/C/PHL/Q/7-8/Add.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909EA-E347-4432-9584-7AEAC42AC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1415</Words>
  <Characters>8069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Fernando Álvarez de Araújo</dc:creator>
  <cp:lastModifiedBy>Joyce Janssen</cp:lastModifiedBy>
  <cp:revision>4</cp:revision>
  <cp:lastPrinted>2016-05-05T15:58:00Z</cp:lastPrinted>
  <dcterms:created xsi:type="dcterms:W3CDTF">2016-05-05T15:58:00Z</dcterms:created>
  <dcterms:modified xsi:type="dcterms:W3CDTF">2016-05-05T15:59:00Z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1606293</vt:lpwstr>
  </property>
  <property fmtid="{D5CDD505-2E9C-101B-9397-08002B2CF9AE}" pid="3" name="ODSRefJobNo">
    <vt:lpwstr>1610772</vt:lpwstr>
  </property>
  <property fmtid="{D5CDD505-2E9C-101B-9397-08002B2CF9AE}" pid="4" name="Symbol1">
    <vt:lpwstr>CEDAW/C/64/1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18 de abril de 2016</vt:lpwstr>
  </property>
  <property fmtid="{D5CDD505-2E9C-101B-9397-08002B2CF9AE}" pid="8" name="Original">
    <vt:lpwstr>inglés</vt:lpwstr>
  </property>
  <property fmtid="{D5CDD505-2E9C-101B-9397-08002B2CF9AE}" pid="9" name="Release Date">
    <vt:lpwstr>040516</vt:lpwstr>
  </property>
  <property fmtid="{D5CDD505-2E9C-101B-9397-08002B2CF9AE}" pid="10" name="Commen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