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6536" w:rsidRDefault="008D6536" w:rsidP="008D6536">
      <w:pPr>
        <w:pStyle w:val="Release"/>
        <w:spacing w:line="60" w:lineRule="exact"/>
        <w:rPr>
          <w:sz w:val="6"/>
        </w:rPr>
        <w:sectPr w:rsidR="008D6536" w:rsidSect="008D653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200" w:bottom="1898" w:left="1200" w:header="576" w:footer="1030" w:gutter="0"/>
          <w:cols w:space="425"/>
          <w:titlePg/>
          <w:docGrid w:linePitch="312"/>
        </w:sectPr>
      </w:pPr>
      <w:r>
        <w:rPr>
          <w:rStyle w:val="CommentReference"/>
        </w:rPr>
        <w:commentReference w:id="0"/>
      </w:r>
    </w:p>
    <w:p w:rsidR="00B31E9D" w:rsidRDefault="00B31E9D" w:rsidP="008D6536">
      <w:pPr>
        <w:pStyle w:val="Release"/>
        <w:spacing w:line="60" w:lineRule="exact"/>
        <w:rPr>
          <w:sz w:val="6"/>
        </w:rPr>
      </w:pPr>
    </w:p>
    <w:p w:rsidR="001035D8" w:rsidRPr="00E923BE" w:rsidRDefault="001035D8" w:rsidP="001035D8">
      <w:pPr>
        <w:rPr>
          <w:rFonts w:eastAsia="SimHei" w:hint="eastAsia"/>
          <w:sz w:val="24"/>
          <w:szCs w:val="24"/>
        </w:rPr>
      </w:pPr>
      <w:r w:rsidRPr="00E923BE">
        <w:rPr>
          <w:rFonts w:eastAsia="SimHei" w:hint="eastAsia"/>
          <w:sz w:val="24"/>
          <w:szCs w:val="24"/>
        </w:rPr>
        <w:t>消除对妇女歧视委员会</w:t>
      </w:r>
    </w:p>
    <w:p w:rsidR="001035D8" w:rsidRPr="001035D8" w:rsidRDefault="001035D8" w:rsidP="001035D8">
      <w:pPr>
        <w:pStyle w:val="HMGC"/>
        <w:spacing w:before="0" w:after="0" w:line="120" w:lineRule="exact"/>
        <w:rPr>
          <w:rFonts w:hint="eastAsia"/>
          <w:sz w:val="10"/>
        </w:rPr>
      </w:pPr>
    </w:p>
    <w:p w:rsidR="001035D8" w:rsidRPr="001035D8" w:rsidRDefault="001035D8" w:rsidP="001035D8">
      <w:pPr>
        <w:pStyle w:val="HCh"/>
        <w:spacing w:line="120" w:lineRule="exact"/>
        <w:rPr>
          <w:rFonts w:hint="eastAsia"/>
          <w:sz w:val="10"/>
        </w:rPr>
      </w:pPr>
    </w:p>
    <w:p w:rsidR="001035D8" w:rsidRPr="001035D8" w:rsidRDefault="001035D8" w:rsidP="001035D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035D8" w:rsidRPr="00E923BE" w:rsidRDefault="001035D8" w:rsidP="001035D8">
      <w:pPr>
        <w:pStyle w:val="HCh"/>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23BE">
        <w:rPr>
          <w:rFonts w:hint="eastAsia"/>
        </w:rPr>
        <w:tab/>
      </w:r>
      <w:r w:rsidRPr="00E923BE">
        <w:rPr>
          <w:rFonts w:hint="eastAsia"/>
        </w:rPr>
        <w:tab/>
        <w:t>审议缔约国根据《公约》第</w:t>
      </w:r>
      <w:r w:rsidRPr="00E923BE">
        <w:rPr>
          <w:rFonts w:hint="eastAsia"/>
          <w:b/>
        </w:rPr>
        <w:t>18</w:t>
      </w:r>
      <w:r w:rsidRPr="00E923BE">
        <w:rPr>
          <w:rFonts w:hint="eastAsia"/>
        </w:rPr>
        <w:t>条提交的报告</w:t>
      </w:r>
    </w:p>
    <w:p w:rsidR="001035D8" w:rsidRPr="001035D8" w:rsidRDefault="001035D8" w:rsidP="001035D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035D8" w:rsidRPr="001035D8" w:rsidRDefault="001035D8" w:rsidP="001035D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035D8" w:rsidRPr="00E923BE" w:rsidRDefault="001035D8" w:rsidP="001035D8">
      <w:pPr>
        <w:pStyle w:val="HCh"/>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23BE">
        <w:rPr>
          <w:rFonts w:hint="eastAsia"/>
        </w:rPr>
        <w:tab/>
      </w:r>
      <w:r w:rsidRPr="00E923BE">
        <w:rPr>
          <w:rFonts w:hint="eastAsia"/>
        </w:rPr>
        <w:tab/>
        <w:t>缔约国应于</w:t>
      </w:r>
      <w:r w:rsidRPr="00E923BE">
        <w:rPr>
          <w:rFonts w:hint="eastAsia"/>
          <w:b/>
        </w:rPr>
        <w:t>2014</w:t>
      </w:r>
      <w:r w:rsidRPr="00E923BE">
        <w:rPr>
          <w:rFonts w:hint="eastAsia"/>
        </w:rPr>
        <w:t>年提交的第七次定期报告</w:t>
      </w:r>
    </w:p>
    <w:p w:rsidR="001035D8" w:rsidRPr="001035D8" w:rsidRDefault="001035D8" w:rsidP="001035D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035D8" w:rsidRPr="001035D8" w:rsidRDefault="001035D8" w:rsidP="001035D8">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1035D8" w:rsidRPr="00E923BE" w:rsidRDefault="001035D8" w:rsidP="001035D8">
      <w:pPr>
        <w:pStyle w:val="HCh"/>
        <w:tabs>
          <w:tab w:val="clear" w:pos="57"/>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sidRPr="00E923BE">
        <w:rPr>
          <w:rFonts w:hint="eastAsia"/>
        </w:rPr>
        <w:tab/>
      </w:r>
      <w:r w:rsidRPr="00E923BE">
        <w:rPr>
          <w:rFonts w:hint="eastAsia"/>
        </w:rPr>
        <w:tab/>
      </w:r>
      <w:r w:rsidRPr="001035D8">
        <w:rPr>
          <w:rFonts w:hint="eastAsia"/>
        </w:rPr>
        <w:t>土耳其</w:t>
      </w:r>
      <w:r w:rsidRPr="005C05C5">
        <w:rPr>
          <w:sz w:val="21"/>
          <w:vertAlign w:val="superscript"/>
        </w:rPr>
        <w:footnoteReference w:customMarkFollows="1" w:id="1"/>
        <w:t>*</w:t>
      </w:r>
    </w:p>
    <w:p w:rsidR="001035D8" w:rsidRPr="001035D8" w:rsidRDefault="001035D8" w:rsidP="001035D8">
      <w:pPr>
        <w:pStyle w:val="SingleTxtGC"/>
        <w:spacing w:after="0" w:line="120" w:lineRule="exact"/>
        <w:jc w:val="right"/>
        <w:rPr>
          <w:rStyle w:val="Footer"/>
          <w:rFonts w:cs="SimSun"/>
          <w:sz w:val="10"/>
        </w:rPr>
      </w:pPr>
    </w:p>
    <w:p w:rsidR="001035D8" w:rsidRPr="00E923BE" w:rsidRDefault="001035D8" w:rsidP="001035D8">
      <w:pPr>
        <w:pStyle w:val="SingleTxtGC"/>
        <w:jc w:val="right"/>
      </w:pPr>
      <w:r w:rsidRPr="00E923BE">
        <w:rPr>
          <w:rStyle w:val="Footer"/>
          <w:rFonts w:cs="SimSun"/>
        </w:rPr>
        <w:t>[</w:t>
      </w:r>
      <w:r w:rsidRPr="00E923BE">
        <w:rPr>
          <w:rStyle w:val="Footer"/>
          <w:rFonts w:hAnsi="SimSun" w:cs="SimSun" w:hint="eastAsia"/>
        </w:rPr>
        <w:t>接收</w:t>
      </w:r>
      <w:r w:rsidRPr="00E923BE">
        <w:rPr>
          <w:rStyle w:val="Footer"/>
          <w:rFonts w:hAnsi="SimSun" w:cs="SimSun"/>
        </w:rPr>
        <w:t>日期：</w:t>
      </w:r>
      <w:r w:rsidRPr="00E923BE">
        <w:rPr>
          <w:rStyle w:val="Footer"/>
          <w:rFonts w:cs="SimSun"/>
        </w:rPr>
        <w:t>2014</w:t>
      </w:r>
      <w:r w:rsidRPr="00E923BE">
        <w:rPr>
          <w:rStyle w:val="Footer"/>
          <w:rFonts w:hAnsi="SimSun" w:cs="SimSun"/>
        </w:rPr>
        <w:t>年</w:t>
      </w:r>
      <w:r w:rsidRPr="00E923BE">
        <w:rPr>
          <w:rStyle w:val="Footer"/>
          <w:rFonts w:cs="SimSun"/>
        </w:rPr>
        <w:t>11</w:t>
      </w:r>
      <w:r w:rsidRPr="00E923BE">
        <w:rPr>
          <w:rStyle w:val="Footer"/>
          <w:rFonts w:hAnsi="SimSun" w:cs="SimSun"/>
        </w:rPr>
        <w:t>月</w:t>
      </w:r>
      <w:r w:rsidRPr="00E923BE">
        <w:rPr>
          <w:rStyle w:val="Footer"/>
          <w:rFonts w:cs="SimSun"/>
        </w:rPr>
        <w:t>26</w:t>
      </w:r>
      <w:r w:rsidRPr="00E923BE">
        <w:rPr>
          <w:rStyle w:val="Footer"/>
          <w:rFonts w:hAnsi="SimSun" w:cs="SimSun"/>
        </w:rPr>
        <w:t>日</w:t>
      </w:r>
      <w:r w:rsidRPr="00E923BE">
        <w:rPr>
          <w:rStyle w:val="Footer"/>
          <w:rFonts w:cs="SimSun"/>
        </w:rPr>
        <w:t>]</w:t>
      </w:r>
    </w:p>
    <w:p w:rsidR="008D6536" w:rsidRDefault="008D6536" w:rsidP="001035D8">
      <w:pPr>
        <w:pStyle w:val="SingleTxt"/>
      </w:pPr>
    </w:p>
    <w:p w:rsidR="005C05C5" w:rsidRPr="00E923BE" w:rsidRDefault="005C05C5" w:rsidP="005C05C5">
      <w:pPr>
        <w:pStyle w:val="HChGC"/>
        <w:rPr>
          <w:rFonts w:hint="eastAsia"/>
        </w:rPr>
      </w:pPr>
      <w:r>
        <w:br w:type="page"/>
      </w:r>
      <w:bookmarkStart w:id="1" w:name="_Toc350338304"/>
      <w:bookmarkStart w:id="2" w:name="_Toc350338325"/>
      <w:r>
        <w:rPr>
          <w:rFonts w:hint="eastAsia"/>
          <w:b/>
        </w:rPr>
        <w:tab/>
      </w:r>
      <w:r>
        <w:rPr>
          <w:rFonts w:hint="eastAsia"/>
          <w:b/>
        </w:rPr>
        <w:tab/>
      </w:r>
      <w:r w:rsidRPr="00E923BE">
        <w:rPr>
          <w:rFonts w:hint="eastAsia"/>
        </w:rPr>
        <w:t>导言</w:t>
      </w:r>
      <w:bookmarkEnd w:id="1"/>
      <w:bookmarkEnd w:id="2"/>
    </w:p>
    <w:p w:rsidR="005C05C5" w:rsidRPr="00E923BE" w:rsidRDefault="005C05C5" w:rsidP="005C05C5">
      <w:pPr>
        <w:pStyle w:val="SingleTxt"/>
        <w:spacing w:after="120"/>
        <w:ind w:left="1134" w:right="1134"/>
        <w:rPr>
          <w:rStyle w:val="SingleTxt"/>
          <w:rFonts w:cs="SimSun"/>
        </w:rPr>
      </w:pPr>
      <w:r w:rsidRPr="00E923BE">
        <w:rPr>
          <w:rStyle w:val="SingleTxt"/>
          <w:rFonts w:cs="SimSun"/>
        </w:rPr>
        <w:t>1.</w:t>
      </w:r>
      <w:r w:rsidRPr="00E923BE">
        <w:rPr>
          <w:rStyle w:val="SingleTxt"/>
          <w:rFonts w:cs="SimSun"/>
        </w:rPr>
        <w:tab/>
      </w:r>
      <w:r w:rsidRPr="00E923BE">
        <w:rPr>
          <w:rStyle w:val="SingleTxt"/>
          <w:rFonts w:cs="SimSun"/>
        </w:rPr>
        <w:t>土耳其第七次定期国别报告</w:t>
      </w:r>
      <w:r w:rsidRPr="005C05C5">
        <w:rPr>
          <w:rStyle w:val="FootnoteReference"/>
          <w:rFonts w:cs="SimSun"/>
        </w:rPr>
        <w:footnoteReference w:id="2"/>
      </w:r>
      <w:r>
        <w:rPr>
          <w:rStyle w:val="SingleTxt"/>
          <w:rFonts w:cs="SimSun"/>
        </w:rPr>
        <w:t>是由土耳其家庭和社会政策部妇女地位总局</w:t>
      </w:r>
      <w:r w:rsidRPr="00E923BE">
        <w:rPr>
          <w:rStyle w:val="SingleTxt"/>
          <w:rFonts w:cs="SimSun"/>
        </w:rPr>
        <w:t>参与编写的，报告采纳了在妇女人权和性别平等领域工作的相关政府机构以及专家学者和非政府组织的意见。报告旨在着重说明自</w:t>
      </w:r>
      <w:r w:rsidRPr="00E923BE">
        <w:rPr>
          <w:rStyle w:val="SingleTxt"/>
          <w:rFonts w:cs="SimSun"/>
        </w:rPr>
        <w:t>2008</w:t>
      </w:r>
      <w:r w:rsidRPr="00E923BE">
        <w:rPr>
          <w:rStyle w:val="SingleTxt"/>
          <w:rFonts w:cs="SimSun"/>
        </w:rPr>
        <w:t>年以来在执行《公约》各项条款方面所取得的成就和进展，并且确定需要作出更大努力的工作领域。委员会在第六次报告</w:t>
      </w:r>
      <w:r>
        <w:rPr>
          <w:rStyle w:val="SingleTxt"/>
          <w:rFonts w:cs="SimSun"/>
        </w:rPr>
        <w:t>结论性意见</w:t>
      </w:r>
      <w:r w:rsidRPr="005C05C5">
        <w:rPr>
          <w:rStyle w:val="FootnoteReference"/>
          <w:rFonts w:cs="SimSun"/>
        </w:rPr>
        <w:footnoteReference w:id="3"/>
      </w:r>
      <w:r w:rsidRPr="00E923BE">
        <w:rPr>
          <w:rStyle w:val="SingleTxt"/>
          <w:rFonts w:cs="SimSun"/>
        </w:rPr>
        <w:t>中所要求的后续报告已于</w:t>
      </w:r>
      <w:r w:rsidRPr="00E923BE">
        <w:rPr>
          <w:rStyle w:val="SingleTxt"/>
          <w:rFonts w:cs="SimSun"/>
        </w:rPr>
        <w:t>2012</w:t>
      </w:r>
      <w:r w:rsidRPr="00E923BE">
        <w:rPr>
          <w:rStyle w:val="SingleTxt"/>
          <w:rFonts w:cs="SimSun"/>
        </w:rPr>
        <w:t>年</w:t>
      </w:r>
      <w:r w:rsidRPr="00E923BE">
        <w:rPr>
          <w:rStyle w:val="SingleTxt"/>
          <w:rFonts w:cs="SimSun"/>
        </w:rPr>
        <w:t>7</w:t>
      </w:r>
      <w:r w:rsidRPr="00E923BE">
        <w:rPr>
          <w:rStyle w:val="SingleTxt"/>
          <w:rFonts w:cs="SimSun"/>
        </w:rPr>
        <w:t>月提交至委员会处。</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w:t>
      </w:r>
      <w:r w:rsidRPr="00E923BE">
        <w:rPr>
          <w:rStyle w:val="SingleTxt"/>
          <w:rFonts w:cs="SimSun"/>
        </w:rPr>
        <w:tab/>
      </w:r>
      <w:r>
        <w:rPr>
          <w:rStyle w:val="SingleTxt"/>
          <w:rFonts w:cs="SimSun"/>
        </w:rPr>
        <w:t>结论性意见</w:t>
      </w:r>
      <w:r w:rsidRPr="00E923BE">
        <w:rPr>
          <w:rStyle w:val="SingleTxt"/>
          <w:rFonts w:cs="SimSun"/>
        </w:rPr>
        <w:t>已被翻译成土耳其文并发送至相关机构和当局处，如土耳其大国民议会的男女机会均等委员会、</w:t>
      </w:r>
      <w:r>
        <w:rPr>
          <w:rStyle w:val="SingleTxt"/>
          <w:rFonts w:cs="SimSun"/>
        </w:rPr>
        <w:t>妇女国会议员和有关部委，并且已发布在妇女地位总局的网站上，正如</w:t>
      </w:r>
      <w:r w:rsidRPr="00E923BE">
        <w:rPr>
          <w:rStyle w:val="SingleTxt"/>
          <w:rFonts w:cs="SimSun"/>
        </w:rPr>
        <w:t>第</w:t>
      </w:r>
      <w:r w:rsidRPr="00E923BE">
        <w:rPr>
          <w:rStyle w:val="SingleTxt"/>
          <w:rFonts w:cs="SimSun"/>
        </w:rPr>
        <w:t>8</w:t>
      </w:r>
      <w:r w:rsidRPr="00E923BE">
        <w:rPr>
          <w:rStyle w:val="SingleTxt"/>
          <w:rFonts w:cs="SimSun"/>
        </w:rPr>
        <w:t>段和第</w:t>
      </w:r>
      <w:r w:rsidRPr="00E923BE">
        <w:rPr>
          <w:rStyle w:val="SingleTxt"/>
          <w:rFonts w:cs="SimSun"/>
        </w:rPr>
        <w:t>46</w:t>
      </w:r>
      <w:r w:rsidRPr="00E923BE">
        <w:rPr>
          <w:rStyle w:val="SingleTxt"/>
          <w:rFonts w:cs="SimSun"/>
        </w:rPr>
        <w:t>段所述。此外</w:t>
      </w:r>
      <w:r w:rsidRPr="00E923BE">
        <w:rPr>
          <w:rStyle w:val="SingleTxt"/>
          <w:rFonts w:cs="SimSun" w:hint="eastAsia"/>
        </w:rPr>
        <w:t>，土耳其</w:t>
      </w:r>
      <w:r w:rsidRPr="00E923BE">
        <w:rPr>
          <w:rStyle w:val="SingleTxt"/>
          <w:rFonts w:cs="SimSun"/>
        </w:rPr>
        <w:t>也就</w:t>
      </w:r>
      <w:r>
        <w:rPr>
          <w:rStyle w:val="SingleTxt"/>
          <w:rFonts w:cs="SimSun"/>
        </w:rPr>
        <w:t>结论性意见</w:t>
      </w:r>
      <w:r w:rsidRPr="00E923BE">
        <w:rPr>
          <w:rStyle w:val="SingleTxt"/>
          <w:rFonts w:cs="SimSun"/>
        </w:rPr>
        <w:t>组织了若干会议，由国家妇女和家庭事务部长主持，与会者包括非政府组织和大学。</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3.</w:t>
      </w:r>
      <w:r w:rsidRPr="00E923BE">
        <w:rPr>
          <w:rStyle w:val="SingleTxt"/>
          <w:rFonts w:cs="SimSun"/>
        </w:rPr>
        <w:tab/>
      </w:r>
      <w:r w:rsidRPr="00E923BE">
        <w:rPr>
          <w:rStyle w:val="SingleTxt"/>
          <w:rFonts w:cs="SimSun"/>
        </w:rPr>
        <w:t>第七次报告的筹备活动已在</w:t>
      </w:r>
      <w:r w:rsidRPr="00E923BE">
        <w:rPr>
          <w:rStyle w:val="SingleTxt"/>
          <w:rFonts w:cs="SimSun"/>
        </w:rPr>
        <w:t>2013</w:t>
      </w:r>
      <w:r w:rsidRPr="00E923BE">
        <w:rPr>
          <w:rStyle w:val="SingleTxt"/>
          <w:rFonts w:cs="SimSun"/>
        </w:rPr>
        <w:t>年最后一个季度开展。正如</w:t>
      </w:r>
      <w:r>
        <w:rPr>
          <w:rStyle w:val="SingleTxt"/>
          <w:rFonts w:cs="SimSun"/>
        </w:rPr>
        <w:t>结论性意见</w:t>
      </w:r>
      <w:r w:rsidRPr="00E923BE">
        <w:rPr>
          <w:rStyle w:val="SingleTxt"/>
          <w:rFonts w:cs="SimSun"/>
        </w:rPr>
        <w:t>第</w:t>
      </w:r>
      <w:r w:rsidRPr="00E923BE">
        <w:rPr>
          <w:rStyle w:val="SingleTxt"/>
          <w:rFonts w:cs="SimSun"/>
        </w:rPr>
        <w:t>50</w:t>
      </w:r>
      <w:r w:rsidRPr="00E923BE">
        <w:rPr>
          <w:rStyle w:val="SingleTxt"/>
          <w:rFonts w:cs="SimSun"/>
        </w:rPr>
        <w:t>段所建议，土耳其于</w:t>
      </w:r>
      <w:r w:rsidRPr="00E923BE">
        <w:rPr>
          <w:rStyle w:val="SingleTxt"/>
          <w:rFonts w:cs="SimSun"/>
        </w:rPr>
        <w:t>2013</w:t>
      </w:r>
      <w:r w:rsidRPr="00E923BE">
        <w:rPr>
          <w:rStyle w:val="SingleTxt"/>
          <w:rFonts w:cs="SimSun"/>
        </w:rPr>
        <w:t>年</w:t>
      </w:r>
      <w:r w:rsidRPr="00E923BE">
        <w:rPr>
          <w:rStyle w:val="SingleTxt"/>
          <w:rFonts w:cs="SimSun"/>
        </w:rPr>
        <w:t>12</w:t>
      </w:r>
      <w:r w:rsidRPr="00E923BE">
        <w:rPr>
          <w:rStyle w:val="SingleTxt"/>
          <w:rFonts w:cs="SimSun"/>
        </w:rPr>
        <w:t>月召开了一次会议，得到了相关利益攸关方、非政府组织和地方当局的广泛参与。与会伙伴提交了他们对报告初稿的观点和意见。在收到</w:t>
      </w:r>
      <w:r w:rsidRPr="00E923BE">
        <w:rPr>
          <w:rStyle w:val="SingleTxt"/>
          <w:rFonts w:cs="SimSun" w:hint="eastAsia"/>
        </w:rPr>
        <w:t>关于</w:t>
      </w:r>
      <w:r w:rsidRPr="00E923BE">
        <w:rPr>
          <w:rStyle w:val="SingleTxt"/>
          <w:rFonts w:cs="SimSun"/>
        </w:rPr>
        <w:t>在报告中纳入更多具体建议的书面意见和各方对第二次报告草稿的意见后，报告确定了最终版本。</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w:t>
      </w:r>
      <w:r w:rsidRPr="00E923BE">
        <w:rPr>
          <w:rStyle w:val="SingleTxt"/>
          <w:rFonts w:cs="SimSun"/>
        </w:rPr>
        <w:tab/>
      </w:r>
      <w:r w:rsidRPr="00E923BE">
        <w:rPr>
          <w:rStyle w:val="SingleTxt"/>
          <w:rFonts w:cs="SimSun"/>
        </w:rPr>
        <w:t>妇女地位总局参与了《消除对妇女一切形式歧视公约》执行委员会为非政府组织召开的预备会议，并且适当注意到非政府组织的观点和意见，让其敏感问题在报告中得到反映。</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5.</w:t>
      </w:r>
      <w:r w:rsidRPr="00E923BE">
        <w:rPr>
          <w:rStyle w:val="SingleTxt"/>
          <w:rFonts w:cs="SimSun"/>
        </w:rPr>
        <w:tab/>
      </w:r>
      <w:r>
        <w:rPr>
          <w:rStyle w:val="SingleTxt"/>
          <w:rFonts w:cs="SimSun"/>
        </w:rPr>
        <w:t>目前为止，</w:t>
      </w:r>
      <w:r w:rsidRPr="00E923BE">
        <w:rPr>
          <w:rStyle w:val="SingleTxt"/>
          <w:rFonts w:cs="SimSun"/>
        </w:rPr>
        <w:t>消除对妇女歧视委员会所公布的所有一般性建议都已被翻译成土耳其文，而且妇女地位总局也将建议发布在其网站上以作宣传。</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w:t>
      </w:r>
      <w:r w:rsidRPr="00E923BE">
        <w:rPr>
          <w:rFonts w:eastAsia="SimHei" w:cs="Arial"/>
          <w:bCs/>
          <w:szCs w:val="21"/>
        </w:rPr>
        <w:t>条</w:t>
      </w:r>
    </w:p>
    <w:p w:rsidR="005C05C5" w:rsidRPr="00E923BE" w:rsidRDefault="005C05C5" w:rsidP="005C05C5">
      <w:pPr>
        <w:pStyle w:val="SingleTxt"/>
        <w:spacing w:after="120"/>
        <w:ind w:left="1134" w:right="1134"/>
      </w:pPr>
      <w:r w:rsidRPr="00E923BE">
        <w:rPr>
          <w:rStyle w:val="SingleTxt"/>
          <w:rFonts w:cs="SimSun"/>
        </w:rPr>
        <w:t>6.</w:t>
      </w:r>
      <w:r w:rsidRPr="00E923BE">
        <w:rPr>
          <w:rStyle w:val="SingleTxt"/>
          <w:rFonts w:cs="SimSun"/>
        </w:rPr>
        <w:tab/>
      </w:r>
      <w:r w:rsidRPr="00E923BE">
        <w:rPr>
          <w:rStyle w:val="SingleTxt"/>
          <w:rFonts w:cs="SimSun"/>
        </w:rPr>
        <w:t>鉴于</w:t>
      </w:r>
      <w:r>
        <w:rPr>
          <w:rStyle w:val="SingleTxt"/>
          <w:rFonts w:cs="SimSun"/>
        </w:rPr>
        <w:t>结论性意见</w:t>
      </w:r>
      <w:r w:rsidRPr="00E923BE">
        <w:rPr>
          <w:rStyle w:val="SingleTxt"/>
          <w:rFonts w:cs="SimSun"/>
        </w:rPr>
        <w:t>第</w:t>
      </w:r>
      <w:r w:rsidRPr="00E923BE">
        <w:rPr>
          <w:rStyle w:val="SingleTxt"/>
          <w:rFonts w:cs="SimSun"/>
        </w:rPr>
        <w:t>10</w:t>
      </w:r>
      <w:r w:rsidRPr="00E923BE">
        <w:rPr>
          <w:rStyle w:val="SingleTxt"/>
          <w:rFonts w:cs="SimSun"/>
        </w:rPr>
        <w:t>段和第</w:t>
      </w:r>
      <w:r w:rsidRPr="00E923BE">
        <w:rPr>
          <w:rStyle w:val="SingleTxt"/>
          <w:rFonts w:cs="SimSun"/>
        </w:rPr>
        <w:t>11</w:t>
      </w:r>
      <w:r w:rsidRPr="00E923BE">
        <w:rPr>
          <w:rStyle w:val="SingleTxt"/>
          <w:rFonts w:cs="SimSun"/>
        </w:rPr>
        <w:t>段所强调的条款，土耳其希望指出其在努力消除歧视妇女工作方面的以下具体情况。</w:t>
      </w:r>
    </w:p>
    <w:p w:rsidR="005C05C5" w:rsidRPr="00E923BE" w:rsidRDefault="005C05C5" w:rsidP="005C05C5">
      <w:pPr>
        <w:pStyle w:val="SingleTxt"/>
        <w:spacing w:after="120"/>
        <w:ind w:left="1134" w:right="1134"/>
      </w:pPr>
      <w:r w:rsidRPr="00E923BE">
        <w:rPr>
          <w:rStyle w:val="SingleTxt"/>
          <w:rFonts w:cs="SimSun"/>
        </w:rPr>
        <w:t>7.</w:t>
      </w:r>
      <w:r w:rsidRPr="00E923BE">
        <w:rPr>
          <w:rStyle w:val="SingleTxt"/>
          <w:rFonts w:cs="SimSun"/>
        </w:rPr>
        <w:tab/>
      </w:r>
      <w:r w:rsidRPr="00E923BE">
        <w:rPr>
          <w:rStyle w:val="SingleTxt"/>
          <w:rFonts w:cs="SimSun"/>
        </w:rPr>
        <w:t>虽然</w:t>
      </w:r>
      <w:r w:rsidRPr="00E923BE">
        <w:rPr>
          <w:rStyle w:val="SingleTxt"/>
          <w:rFonts w:cs="SimSun"/>
          <w:cs/>
        </w:rPr>
        <w:t>“</w:t>
      </w:r>
      <w:r w:rsidRPr="00E923BE">
        <w:rPr>
          <w:rStyle w:val="SingleTxt"/>
          <w:rFonts w:cs="SimSun"/>
        </w:rPr>
        <w:t>歧视妇女</w:t>
      </w:r>
      <w:r w:rsidRPr="00E923BE">
        <w:rPr>
          <w:rStyle w:val="SingleTxt"/>
          <w:rFonts w:cs="SimSun"/>
          <w:cs/>
        </w:rPr>
        <w:t>”</w:t>
      </w:r>
      <w:r w:rsidRPr="00E923BE">
        <w:rPr>
          <w:rStyle w:val="SingleTxt"/>
          <w:rFonts w:cs="SimSun"/>
        </w:rPr>
        <w:t>的定义并未以《公约》所述方式列入《土耳其宪法》中，但</w:t>
      </w:r>
      <w:r w:rsidRPr="00E923BE">
        <w:rPr>
          <w:rStyle w:val="SingleTxt"/>
          <w:rFonts w:cs="SimSun" w:hint="eastAsia"/>
        </w:rPr>
        <w:t>男女</w:t>
      </w:r>
      <w:r w:rsidRPr="00E923BE">
        <w:rPr>
          <w:rStyle w:val="SingleTxt"/>
          <w:rFonts w:cs="SimSun"/>
        </w:rPr>
        <w:t>平等是《土耳其宪法》的一项主要原则。土耳其在</w:t>
      </w:r>
      <w:r w:rsidRPr="00E923BE">
        <w:rPr>
          <w:rStyle w:val="SingleTxt"/>
          <w:rFonts w:cs="SimSun"/>
          <w:cs/>
        </w:rPr>
        <w:t>“</w:t>
      </w:r>
      <w:r w:rsidRPr="00E923BE">
        <w:rPr>
          <w:rStyle w:val="SingleTxt"/>
          <w:rFonts w:cs="SimSun"/>
        </w:rPr>
        <w:t>歧视</w:t>
      </w:r>
      <w:r w:rsidRPr="00E923BE">
        <w:rPr>
          <w:rStyle w:val="SingleTxt"/>
          <w:rFonts w:cs="SimSun"/>
          <w:cs/>
        </w:rPr>
        <w:t>”</w:t>
      </w:r>
      <w:r w:rsidRPr="00E923BE">
        <w:rPr>
          <w:rStyle w:val="SingleTxt"/>
          <w:rFonts w:cs="SimSun"/>
        </w:rPr>
        <w:t>的定义方面没有制定具体法规，也没有制定与歧视有关的条款。但根据《宪法》第</w:t>
      </w:r>
      <w:r w:rsidRPr="00E923BE">
        <w:rPr>
          <w:rStyle w:val="SingleTxt"/>
          <w:rFonts w:cs="SimSun"/>
        </w:rPr>
        <w:t>90</w:t>
      </w:r>
      <w:r w:rsidRPr="00E923BE">
        <w:rPr>
          <w:rStyle w:val="SingleTxt"/>
          <w:rFonts w:cs="SimSun"/>
        </w:rPr>
        <w:t>条，在各项人权公约和国内法律发生冲突时，以国际公约规定为准。</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8.</w:t>
      </w:r>
      <w:r w:rsidRPr="00E923BE">
        <w:rPr>
          <w:rStyle w:val="SingleTxt"/>
          <w:rFonts w:cs="SimSun"/>
        </w:rPr>
        <w:tab/>
      </w:r>
      <w:r w:rsidRPr="00E923BE">
        <w:rPr>
          <w:rStyle w:val="SingleTxt"/>
          <w:rFonts w:cs="SimSun"/>
        </w:rPr>
        <w:t>《欧洲委员会预防和打击暴力侵害妇女行为及家庭暴力公约》（《伊斯坦布尔公约》）采用了不基于性别原因歧视的原则，土耳其在</w:t>
      </w:r>
      <w:r w:rsidRPr="00E923BE">
        <w:rPr>
          <w:rStyle w:val="SingleTxt"/>
          <w:rFonts w:cs="SimSun"/>
        </w:rPr>
        <w:t>2012</w:t>
      </w:r>
      <w:r w:rsidRPr="00E923BE">
        <w:rPr>
          <w:rStyle w:val="SingleTxt"/>
          <w:rFonts w:cs="SimSun"/>
        </w:rPr>
        <w:t>年成为了首个批准该公约的国家。</w:t>
      </w:r>
    </w:p>
    <w:p w:rsidR="005C05C5" w:rsidRPr="00E923BE" w:rsidRDefault="005C05C5" w:rsidP="005C05C5">
      <w:pPr>
        <w:pStyle w:val="SingleTxt"/>
        <w:spacing w:after="120"/>
        <w:ind w:left="1134" w:right="1134"/>
      </w:pPr>
      <w:r w:rsidRPr="00E923BE">
        <w:rPr>
          <w:rStyle w:val="SingleTxt"/>
          <w:rFonts w:cs="SimSun"/>
        </w:rPr>
        <w:t>9.</w:t>
      </w:r>
      <w:r w:rsidRPr="00E923BE">
        <w:rPr>
          <w:rStyle w:val="SingleTxt"/>
          <w:rFonts w:cs="SimSun"/>
        </w:rPr>
        <w:tab/>
      </w:r>
      <w:r w:rsidRPr="00E923BE">
        <w:rPr>
          <w:rStyle w:val="SingleTxt"/>
          <w:rFonts w:cs="SimSun"/>
        </w:rPr>
        <w:t>关于保护家庭和防止暴力侵害妇女的第</w:t>
      </w:r>
      <w:r w:rsidRPr="00E923BE">
        <w:rPr>
          <w:rStyle w:val="SingleTxt"/>
          <w:rFonts w:cs="SimSun"/>
        </w:rPr>
        <w:t>6284</w:t>
      </w:r>
      <w:r w:rsidRPr="00E923BE">
        <w:rPr>
          <w:rStyle w:val="SingleTxt"/>
          <w:rFonts w:cs="SimSun"/>
        </w:rPr>
        <w:t>号法律以《伊斯坦布尔公约》为依据，已于</w:t>
      </w:r>
      <w:r w:rsidRPr="00E923BE">
        <w:rPr>
          <w:rStyle w:val="SingleTxt"/>
          <w:rFonts w:cs="SimSun"/>
        </w:rPr>
        <w:t>2012</w:t>
      </w:r>
      <w:r w:rsidRPr="00E923BE">
        <w:rPr>
          <w:rStyle w:val="SingleTxt"/>
          <w:rFonts w:cs="SimSun"/>
        </w:rPr>
        <w:t>年生效，规定所有妇女、儿童和其他家庭成员以及单方面持续性跟踪骚扰行为的受害者都受到该法保护。</w:t>
      </w:r>
    </w:p>
    <w:p w:rsidR="005C05C5" w:rsidRPr="00E923BE" w:rsidRDefault="005C05C5" w:rsidP="005C05C5">
      <w:pPr>
        <w:pStyle w:val="SingleTxtGC"/>
        <w:spacing w:before="240" w:after="240"/>
      </w:pPr>
      <w:r w:rsidRPr="00E923BE">
        <w:rPr>
          <w:rFonts w:eastAsia="SimHei" w:cs="Arial"/>
          <w:bCs/>
          <w:szCs w:val="21"/>
        </w:rPr>
        <w:t>第</w:t>
      </w:r>
      <w:r w:rsidRPr="00E923BE">
        <w:rPr>
          <w:rFonts w:eastAsia="SimHei" w:cs="Arial"/>
          <w:b/>
          <w:bCs/>
          <w:szCs w:val="21"/>
        </w:rPr>
        <w:t>2</w:t>
      </w:r>
      <w:r w:rsidRPr="00E923BE">
        <w:rPr>
          <w:rFonts w:eastAsia="SimHei" w:cs="Arial"/>
          <w:bCs/>
          <w:szCs w:val="21"/>
        </w:rPr>
        <w:t>条</w:t>
      </w:r>
      <w:r w:rsidRPr="00E923BE">
        <w:rPr>
          <w:rFonts w:eastAsia="SimHei" w:cs="Arial" w:hint="eastAsia"/>
          <w:b/>
          <w:bCs/>
          <w:szCs w:val="21"/>
        </w:rPr>
        <w:t>a</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10.</w:t>
      </w:r>
      <w:r w:rsidRPr="00E923BE">
        <w:rPr>
          <w:rStyle w:val="SingleTxt"/>
          <w:rFonts w:cs="SimSun"/>
        </w:rPr>
        <w:tab/>
      </w:r>
      <w:r w:rsidRPr="00E923BE">
        <w:rPr>
          <w:rStyle w:val="SingleTxt"/>
          <w:rFonts w:cs="SimSun"/>
        </w:rPr>
        <w:t>《宪法》明确承认男女平等原则。《宪法》第</w:t>
      </w:r>
      <w:r w:rsidRPr="00E923BE">
        <w:rPr>
          <w:rStyle w:val="SingleTxt"/>
          <w:rFonts w:cs="SimSun"/>
        </w:rPr>
        <w:t>10</w:t>
      </w:r>
      <w:r w:rsidRPr="00E923BE">
        <w:rPr>
          <w:rStyle w:val="SingleTxt"/>
          <w:rFonts w:cs="SimSun"/>
        </w:rPr>
        <w:t>条在</w:t>
      </w:r>
      <w:r w:rsidRPr="00E923BE">
        <w:rPr>
          <w:rStyle w:val="SingleTxt"/>
          <w:rFonts w:cs="SimSun"/>
        </w:rPr>
        <w:t>2004</w:t>
      </w:r>
      <w:r w:rsidRPr="00E923BE">
        <w:rPr>
          <w:rStyle w:val="SingleTxt"/>
          <w:rFonts w:cs="SimSun"/>
        </w:rPr>
        <w:t>年经过一项修正，增加了</w:t>
      </w:r>
      <w:r w:rsidRPr="00E923BE">
        <w:rPr>
          <w:rStyle w:val="SingleTxt"/>
          <w:rFonts w:cs="SimSun"/>
          <w:cs/>
        </w:rPr>
        <w:t>“</w:t>
      </w:r>
      <w:r w:rsidRPr="00E923BE">
        <w:rPr>
          <w:rStyle w:val="SingleTxt"/>
          <w:rFonts w:cs="SimSun"/>
        </w:rPr>
        <w:t>男女拥有同等权利，国家有义务确保这种平等得以实践</w:t>
      </w:r>
      <w:r w:rsidRPr="00E923BE">
        <w:rPr>
          <w:rStyle w:val="SingleTxt"/>
          <w:rFonts w:cs="SimSun"/>
          <w:cs/>
        </w:rPr>
        <w:t>”</w:t>
      </w:r>
      <w:r w:rsidRPr="00E923BE">
        <w:rPr>
          <w:rStyle w:val="SingleTxt"/>
          <w:rFonts w:cs="SimSun"/>
        </w:rPr>
        <w:t>的规定。在这一修正之后，同一条款在</w:t>
      </w:r>
      <w:r w:rsidRPr="00E923BE">
        <w:rPr>
          <w:rStyle w:val="SingleTxt"/>
          <w:rFonts w:cs="SimSun"/>
        </w:rPr>
        <w:t>2010</w:t>
      </w:r>
      <w:r w:rsidRPr="00E923BE">
        <w:rPr>
          <w:rStyle w:val="SingleTxt"/>
          <w:rFonts w:cs="SimSun"/>
        </w:rPr>
        <w:t>年也增加了另一项规定，即</w:t>
      </w:r>
      <w:r w:rsidRPr="00E923BE">
        <w:rPr>
          <w:rStyle w:val="SingleTxt"/>
          <w:rFonts w:cs="SimSun"/>
          <w:cs/>
        </w:rPr>
        <w:t>“</w:t>
      </w:r>
      <w:r w:rsidRPr="00E923BE">
        <w:rPr>
          <w:rStyle w:val="SingleTxt"/>
          <w:rFonts w:cs="SimSun"/>
        </w:rPr>
        <w:t>为实现这一目标而采取的任何措施不得与平等原则相抵触</w:t>
      </w:r>
      <w:r w:rsidRPr="00E923BE">
        <w:rPr>
          <w:rStyle w:val="SingleTxt"/>
          <w:rFonts w:cs="SimSun"/>
          <w:cs/>
        </w:rPr>
        <w:t>”</w:t>
      </w:r>
      <w:r w:rsidRPr="00E923BE">
        <w:rPr>
          <w:rStyle w:val="SingleTxt"/>
          <w:rFonts w:cs="SimSun"/>
        </w:rPr>
        <w:t>。近期的这些修正为《宪法》制定暂行特别措施铺平了道路，还强调了所实施的任何支持妇女实现事实上平等的规定不得与平等原则相抵触。</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2</w:t>
      </w:r>
      <w:r w:rsidRPr="00E923BE">
        <w:rPr>
          <w:rFonts w:eastAsia="SimHei" w:cs="Arial"/>
          <w:bCs/>
          <w:szCs w:val="21"/>
        </w:rPr>
        <w:t>条</w:t>
      </w:r>
      <w:r w:rsidRPr="00E923BE">
        <w:rPr>
          <w:rFonts w:eastAsia="SimHei" w:cs="Arial" w:hint="eastAsia"/>
          <w:b/>
          <w:bCs/>
          <w:szCs w:val="21"/>
        </w:rPr>
        <w:t>b</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11.</w:t>
      </w:r>
      <w:r w:rsidRPr="00E923BE">
        <w:rPr>
          <w:rStyle w:val="SingleTxt"/>
          <w:rFonts w:cs="SimSun"/>
        </w:rPr>
        <w:tab/>
      </w:r>
      <w:r w:rsidRPr="00E923BE">
        <w:rPr>
          <w:rStyle w:val="SingleTxt"/>
          <w:rFonts w:cs="SimSun"/>
        </w:rPr>
        <w:t>《土耳其刑法》于</w:t>
      </w:r>
      <w:r w:rsidRPr="00E923BE">
        <w:rPr>
          <w:rStyle w:val="SingleTxt"/>
          <w:rFonts w:cs="SimSun"/>
        </w:rPr>
        <w:t>2014</w:t>
      </w:r>
      <w:r w:rsidRPr="00E923BE">
        <w:rPr>
          <w:rStyle w:val="SingleTxt"/>
          <w:rFonts w:cs="SimSun"/>
        </w:rPr>
        <w:t>年</w:t>
      </w:r>
      <w:r w:rsidRPr="00E923BE">
        <w:rPr>
          <w:rStyle w:val="SingleTxt"/>
          <w:rFonts w:cs="SimSun"/>
        </w:rPr>
        <w:t>3</w:t>
      </w:r>
      <w:r w:rsidRPr="00E923BE">
        <w:rPr>
          <w:rStyle w:val="SingleTxt"/>
          <w:rFonts w:cs="SimSun"/>
        </w:rPr>
        <w:t>月经过一项修正，以</w:t>
      </w:r>
      <w:r w:rsidRPr="00E923BE">
        <w:rPr>
          <w:rStyle w:val="SingleTxt"/>
          <w:rFonts w:cs="SimSun"/>
          <w:cs/>
        </w:rPr>
        <w:t>“</w:t>
      </w:r>
      <w:r w:rsidRPr="00E923BE">
        <w:rPr>
          <w:rStyle w:val="SingleTxt"/>
          <w:rFonts w:cs="SimSun"/>
        </w:rPr>
        <w:t>仇恨和歧视</w:t>
      </w:r>
      <w:r w:rsidRPr="00E923BE">
        <w:rPr>
          <w:rStyle w:val="SingleTxt"/>
          <w:rFonts w:cs="SimSun"/>
          <w:cs/>
        </w:rPr>
        <w:t>”</w:t>
      </w:r>
      <w:r w:rsidRPr="00E923BE">
        <w:rPr>
          <w:rStyle w:val="SingleTxt"/>
          <w:rFonts w:cs="SimSun"/>
        </w:rPr>
        <w:t>为标题重新编排了《刑法》中关于歧视问题的第</w:t>
      </w:r>
      <w:r w:rsidRPr="00E923BE">
        <w:rPr>
          <w:rStyle w:val="SingleTxt"/>
          <w:rFonts w:cs="SimSun"/>
        </w:rPr>
        <w:t>122</w:t>
      </w:r>
      <w:r w:rsidRPr="00E923BE">
        <w:rPr>
          <w:rStyle w:val="SingleTxt"/>
          <w:rFonts w:cs="SimSun"/>
        </w:rPr>
        <w:t>条。该法规定，任何以个人</w:t>
      </w:r>
      <w:r w:rsidRPr="00E923BE">
        <w:rPr>
          <w:rStyle w:val="SingleTxt"/>
          <w:rFonts w:cs="SimSun"/>
          <w:cs/>
        </w:rPr>
        <w:t>“</w:t>
      </w:r>
      <w:r w:rsidRPr="00E923BE">
        <w:rPr>
          <w:rStyle w:val="SingleTxt"/>
          <w:rFonts w:cs="SimSun"/>
        </w:rPr>
        <w:t>语言、种族、族裔、肤色、性别、残障、政治观点、哲学信仰、宗教或教派</w:t>
      </w:r>
      <w:r w:rsidRPr="00E923BE">
        <w:rPr>
          <w:rStyle w:val="SingleTxt"/>
          <w:rFonts w:cs="SimSun"/>
          <w:cs/>
        </w:rPr>
        <w:t>”</w:t>
      </w:r>
      <w:r w:rsidRPr="00E923BE">
        <w:rPr>
          <w:rStyle w:val="SingleTxt"/>
          <w:rFonts w:cs="SimSun"/>
        </w:rPr>
        <w:t>差异为由阻止他人享有公共产品和服务或参与经济活动的个人应被判处一至三年监禁。</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12.</w:t>
      </w:r>
      <w:r w:rsidRPr="00E923BE">
        <w:rPr>
          <w:rStyle w:val="SingleTxt"/>
          <w:rFonts w:cs="SimSun"/>
        </w:rPr>
        <w:tab/>
      </w:r>
      <w:r w:rsidRPr="00E923BE">
        <w:rPr>
          <w:rStyle w:val="SingleTxt"/>
          <w:rFonts w:cs="SimSun"/>
        </w:rPr>
        <w:t>此外，</w:t>
      </w:r>
      <w:r w:rsidRPr="00E923BE">
        <w:rPr>
          <w:rStyle w:val="SingleTxt"/>
          <w:rFonts w:cs="SimSun" w:hint="eastAsia"/>
          <w:cs/>
        </w:rPr>
        <w:t>《</w:t>
      </w:r>
      <w:r w:rsidRPr="00E923BE">
        <w:rPr>
          <w:rStyle w:val="SingleTxt"/>
          <w:rFonts w:cs="SimSun"/>
        </w:rPr>
        <w:t>关于职业健康与安全的工作场所危险类别通知</w:t>
      </w:r>
      <w:r w:rsidRPr="00E923BE">
        <w:rPr>
          <w:rStyle w:val="SingleTxt"/>
          <w:rFonts w:cs="SimSun" w:hint="eastAsia"/>
          <w:cs/>
        </w:rPr>
        <w:t>》</w:t>
      </w:r>
      <w:r w:rsidRPr="00E923BE">
        <w:rPr>
          <w:rStyle w:val="SingleTxt"/>
          <w:rFonts w:cs="SimSun"/>
        </w:rPr>
        <w:t>于</w:t>
      </w:r>
      <w:r w:rsidRPr="00E923BE">
        <w:rPr>
          <w:rStyle w:val="SingleTxt"/>
          <w:rFonts w:cs="SimSun"/>
        </w:rPr>
        <w:t>2012</w:t>
      </w:r>
      <w:r w:rsidRPr="00E923BE">
        <w:rPr>
          <w:rStyle w:val="SingleTxt"/>
          <w:rFonts w:cs="SimSun"/>
        </w:rPr>
        <w:t>年</w:t>
      </w:r>
      <w:r w:rsidRPr="00E923BE">
        <w:rPr>
          <w:rStyle w:val="SingleTxt"/>
          <w:rFonts w:cs="SimSun"/>
        </w:rPr>
        <w:t>12</w:t>
      </w:r>
      <w:r w:rsidRPr="00E923BE">
        <w:rPr>
          <w:rStyle w:val="SingleTxt"/>
          <w:rFonts w:cs="SimSun"/>
        </w:rPr>
        <w:t>月出台，替代了</w:t>
      </w:r>
      <w:r w:rsidRPr="00E923BE">
        <w:rPr>
          <w:rStyle w:val="SingleTxt"/>
          <w:rFonts w:cs="SimSun" w:hint="eastAsia"/>
          <w:cs/>
        </w:rPr>
        <w:t>《</w:t>
      </w:r>
      <w:r w:rsidRPr="00E923BE">
        <w:rPr>
          <w:rStyle w:val="SingleTxt"/>
          <w:rFonts w:cs="SimSun"/>
        </w:rPr>
        <w:t>关于繁重和危险工作的条例修正条例</w:t>
      </w:r>
      <w:r w:rsidRPr="00E923BE">
        <w:rPr>
          <w:rStyle w:val="SingleTxt"/>
          <w:rFonts w:cs="SimSun" w:hint="eastAsia"/>
          <w:cs/>
        </w:rPr>
        <w:t>》</w:t>
      </w:r>
      <w:r w:rsidRPr="00E923BE">
        <w:rPr>
          <w:rStyle w:val="SingleTxt"/>
          <w:rFonts w:cs="SimSun"/>
        </w:rPr>
        <w:t>。因此，许多工作从繁重和危险工作列表中得以删除，撤销了针对妇女和青年的雇</w:t>
      </w:r>
      <w:r>
        <w:rPr>
          <w:rStyle w:val="SingleTxt"/>
          <w:rFonts w:cs="SimSun" w:hint="eastAsia"/>
        </w:rPr>
        <w:t>用</w:t>
      </w:r>
      <w:r w:rsidRPr="00E923BE">
        <w:rPr>
          <w:rStyle w:val="SingleTxt"/>
          <w:rFonts w:cs="SimSun"/>
        </w:rPr>
        <w:t>限制。妇女得以从事以前被纳入禁止范围的</w:t>
      </w:r>
      <w:r w:rsidRPr="00E923BE">
        <w:rPr>
          <w:rStyle w:val="SingleTxt"/>
          <w:rFonts w:cs="SimSun"/>
          <w:cs/>
        </w:rPr>
        <w:t>“</w:t>
      </w:r>
      <w:r w:rsidRPr="00E923BE">
        <w:rPr>
          <w:rStyle w:val="SingleTxt"/>
          <w:rFonts w:cs="SimSun"/>
        </w:rPr>
        <w:t>地下和水下工作，如采矿、接线、排污和隧道建设</w:t>
      </w:r>
      <w:r w:rsidRPr="00E923BE">
        <w:rPr>
          <w:rStyle w:val="SingleTxt"/>
          <w:rFonts w:cs="SimSun"/>
          <w:cs/>
        </w:rPr>
        <w:t>”</w:t>
      </w:r>
      <w:r>
        <w:rPr>
          <w:rStyle w:val="SingleTxt"/>
          <w:rFonts w:cs="SimSun"/>
        </w:rPr>
        <w:t>，该</w:t>
      </w:r>
      <w:r w:rsidRPr="00E923BE">
        <w:rPr>
          <w:rStyle w:val="SingleTxt"/>
          <w:rFonts w:cs="SimSun"/>
        </w:rPr>
        <w:t>规定有利于妇女在提交医疗报告的情况下参加被标示为重型和危险状态的工作。因此，土耳其已消除了基于性别歧视原因</w:t>
      </w:r>
      <w:r w:rsidRPr="00E923BE">
        <w:rPr>
          <w:rStyle w:val="SingleTxt"/>
          <w:rFonts w:cs="SimSun" w:hint="eastAsia"/>
        </w:rPr>
        <w:t>将</w:t>
      </w:r>
      <w:r w:rsidRPr="00E923BE">
        <w:rPr>
          <w:rStyle w:val="SingleTxt"/>
          <w:rFonts w:cs="SimSun"/>
        </w:rPr>
        <w:t>部分</w:t>
      </w:r>
      <w:r w:rsidRPr="00E923BE">
        <w:rPr>
          <w:rStyle w:val="SingleTxt"/>
          <w:rFonts w:cs="SimSun" w:hint="eastAsia"/>
        </w:rPr>
        <w:t>职业</w:t>
      </w:r>
      <w:r w:rsidRPr="00E923BE">
        <w:rPr>
          <w:rStyle w:val="SingleTxt"/>
          <w:rFonts w:cs="SimSun"/>
        </w:rPr>
        <w:t>视为</w:t>
      </w:r>
      <w:r w:rsidRPr="00E923BE">
        <w:rPr>
          <w:rStyle w:val="SingleTxt"/>
          <w:rFonts w:cs="SimSun"/>
          <w:cs/>
        </w:rPr>
        <w:t>“</w:t>
      </w:r>
      <w:r w:rsidRPr="00E923BE">
        <w:rPr>
          <w:rStyle w:val="SingleTxt"/>
          <w:rFonts w:cs="SimSun"/>
        </w:rPr>
        <w:t>男性</w:t>
      </w:r>
      <w:r w:rsidRPr="00E923BE">
        <w:rPr>
          <w:rStyle w:val="SingleTxt"/>
          <w:rFonts w:cs="SimSun" w:hint="eastAsia"/>
        </w:rPr>
        <w:t>工作</w:t>
      </w:r>
      <w:r w:rsidRPr="00E923BE">
        <w:rPr>
          <w:rStyle w:val="SingleTxt"/>
          <w:rFonts w:cs="SimSun"/>
          <w:cs/>
        </w:rPr>
        <w:t>”</w:t>
      </w:r>
      <w:r w:rsidRPr="00E923BE">
        <w:rPr>
          <w:rStyle w:val="SingleTxt"/>
          <w:rFonts w:cs="SimSun" w:hint="eastAsia"/>
          <w:cs/>
        </w:rPr>
        <w:t>的</w:t>
      </w:r>
      <w:r w:rsidRPr="00E923BE">
        <w:rPr>
          <w:rStyle w:val="SingleTxt"/>
          <w:rFonts w:cs="SimSun"/>
        </w:rPr>
        <w:t>性别陈规定型观念。</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13.</w:t>
      </w:r>
      <w:r w:rsidRPr="00E923BE">
        <w:rPr>
          <w:rStyle w:val="SingleTxt"/>
          <w:rFonts w:cs="SimSun"/>
        </w:rPr>
        <w:tab/>
      </w:r>
      <w:r w:rsidRPr="00E923BE">
        <w:rPr>
          <w:rStyle w:val="SingleTxt"/>
          <w:rFonts w:cs="SimSun"/>
        </w:rPr>
        <w:t>相关法律的一项修正案废止了关于女自耕农为一家之主时应缴交保险费的条款。</w:t>
      </w:r>
    </w:p>
    <w:p w:rsidR="005C05C5" w:rsidRPr="00E923BE" w:rsidRDefault="005C05C5" w:rsidP="005C05C5">
      <w:pPr>
        <w:pStyle w:val="SingleTxt"/>
        <w:spacing w:after="120"/>
        <w:ind w:left="1134" w:right="1134"/>
      </w:pPr>
      <w:r w:rsidRPr="00E923BE">
        <w:rPr>
          <w:rStyle w:val="SingleTxt"/>
          <w:rFonts w:cs="SimSun"/>
        </w:rPr>
        <w:t>14.</w:t>
      </w:r>
      <w:r w:rsidRPr="00E923BE">
        <w:rPr>
          <w:rStyle w:val="SingleTxt"/>
          <w:rFonts w:cs="SimSun"/>
        </w:rPr>
        <w:tab/>
      </w:r>
      <w:r w:rsidRPr="00E923BE">
        <w:rPr>
          <w:rStyle w:val="SingleTxt"/>
          <w:rFonts w:cs="SimSun"/>
        </w:rPr>
        <w:t>根据</w:t>
      </w:r>
      <w:r w:rsidRPr="00E923BE">
        <w:rPr>
          <w:rStyle w:val="SingleTxt"/>
          <w:rFonts w:cs="SimSun"/>
        </w:rPr>
        <w:t>2012</w:t>
      </w:r>
      <w:r w:rsidRPr="00E923BE">
        <w:rPr>
          <w:rStyle w:val="SingleTxt"/>
          <w:rFonts w:cs="SimSun"/>
        </w:rPr>
        <w:t>年</w:t>
      </w:r>
      <w:r w:rsidRPr="00E923BE">
        <w:rPr>
          <w:rStyle w:val="SingleTxt"/>
          <w:rFonts w:cs="SimSun"/>
        </w:rPr>
        <w:t>4</w:t>
      </w:r>
      <w:r w:rsidRPr="00E923BE">
        <w:rPr>
          <w:rStyle w:val="SingleTxt"/>
          <w:rFonts w:cs="SimSun"/>
        </w:rPr>
        <w:t>月</w:t>
      </w:r>
      <w:r w:rsidRPr="00E923BE">
        <w:rPr>
          <w:rStyle w:val="SingleTxt"/>
          <w:rFonts w:cs="SimSun"/>
        </w:rPr>
        <w:t>11</w:t>
      </w:r>
      <w:r w:rsidRPr="00E923BE">
        <w:rPr>
          <w:rStyle w:val="SingleTxt"/>
          <w:rFonts w:cs="SimSun"/>
        </w:rPr>
        <w:t>日生效的第</w:t>
      </w:r>
      <w:r w:rsidRPr="00E923BE">
        <w:rPr>
          <w:rStyle w:val="SingleTxt"/>
          <w:rFonts w:cs="SimSun"/>
        </w:rPr>
        <w:t>6289</w:t>
      </w:r>
      <w:r w:rsidRPr="00E923BE">
        <w:rPr>
          <w:rStyle w:val="SingleTxt"/>
          <w:rFonts w:cs="SimSun"/>
        </w:rPr>
        <w:t>号法律第</w:t>
      </w:r>
      <w:r w:rsidRPr="00E923BE">
        <w:rPr>
          <w:rStyle w:val="SingleTxt"/>
          <w:rFonts w:cs="SimSun"/>
        </w:rPr>
        <w:t>14</w:t>
      </w:r>
      <w:r w:rsidRPr="00E923BE">
        <w:rPr>
          <w:rStyle w:val="SingleTxt"/>
          <w:rFonts w:cs="SimSun"/>
        </w:rPr>
        <w:t>条，以及关于公职人员工会第</w:t>
      </w:r>
      <w:r w:rsidRPr="00E923BE">
        <w:rPr>
          <w:rStyle w:val="SingleTxt"/>
          <w:rFonts w:cs="SimSun"/>
        </w:rPr>
        <w:t>4688</w:t>
      </w:r>
      <w:r w:rsidRPr="00E923BE">
        <w:rPr>
          <w:rStyle w:val="SingleTxt"/>
          <w:rFonts w:cs="SimSun"/>
        </w:rPr>
        <w:t>号法</w:t>
      </w:r>
      <w:r w:rsidRPr="00E923BE">
        <w:rPr>
          <w:rStyle w:val="SingleTxt"/>
          <w:rFonts w:cs="SimSun" w:hint="eastAsia"/>
        </w:rPr>
        <w:t>律</w:t>
      </w:r>
      <w:r w:rsidRPr="00E923BE">
        <w:rPr>
          <w:rStyle w:val="SingleTxt"/>
          <w:rFonts w:cs="SimSun"/>
        </w:rPr>
        <w:t>中以</w:t>
      </w:r>
      <w:r w:rsidRPr="00E923BE">
        <w:rPr>
          <w:rStyle w:val="SingleTxt"/>
          <w:rFonts w:cs="SimSun"/>
          <w:cs/>
        </w:rPr>
        <w:t>“</w:t>
      </w:r>
      <w:r w:rsidRPr="00E923BE">
        <w:rPr>
          <w:rStyle w:val="SingleTxt"/>
          <w:rFonts w:cs="SimSun"/>
        </w:rPr>
        <w:t>工会和联合会的授权和活动</w:t>
      </w:r>
      <w:r w:rsidRPr="00E923BE">
        <w:rPr>
          <w:rStyle w:val="SingleTxt"/>
          <w:rFonts w:cs="SimSun"/>
          <w:cs/>
        </w:rPr>
        <w:t>”</w:t>
      </w:r>
      <w:r w:rsidRPr="00E923BE">
        <w:rPr>
          <w:rStyle w:val="SingleTxt"/>
          <w:rFonts w:cs="SimSun"/>
        </w:rPr>
        <w:t>为题的第</w:t>
      </w:r>
      <w:r w:rsidRPr="00E923BE">
        <w:rPr>
          <w:rStyle w:val="SingleTxt"/>
          <w:rFonts w:cs="SimSun"/>
        </w:rPr>
        <w:t>19</w:t>
      </w:r>
      <w:r w:rsidRPr="00E923BE">
        <w:rPr>
          <w:rStyle w:val="SingleTxt"/>
          <w:rFonts w:cs="SimSun"/>
        </w:rPr>
        <w:t>条，工会和联合会在开展符合其设立目的的活动和事件时应当遵守性别平等原则。</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w:t>
      </w:r>
      <w:r w:rsidRPr="00E923BE">
        <w:rPr>
          <w:rStyle w:val="SingleTxt"/>
          <w:rFonts w:cs="SimSun"/>
        </w:rPr>
        <w:tab/>
      </w:r>
      <w:r w:rsidRPr="00E923BE">
        <w:rPr>
          <w:rStyle w:val="SingleTxt"/>
          <w:rFonts w:cs="SimSun"/>
        </w:rPr>
        <w:t>关于工会和集体谈判第</w:t>
      </w:r>
      <w:r w:rsidRPr="00E923BE">
        <w:rPr>
          <w:rStyle w:val="SingleTxt"/>
          <w:rFonts w:cs="SimSun"/>
        </w:rPr>
        <w:t>6356</w:t>
      </w:r>
      <w:r w:rsidRPr="00E923BE">
        <w:rPr>
          <w:rStyle w:val="SingleTxt"/>
          <w:rFonts w:cs="SimSun"/>
        </w:rPr>
        <w:t>号法律第</w:t>
      </w:r>
      <w:r w:rsidRPr="00E923BE">
        <w:rPr>
          <w:rStyle w:val="SingleTxt"/>
          <w:rFonts w:cs="SimSun"/>
        </w:rPr>
        <w:t>26</w:t>
      </w:r>
      <w:r w:rsidRPr="00E923BE">
        <w:rPr>
          <w:rStyle w:val="SingleTxt"/>
          <w:rFonts w:cs="SimSun"/>
        </w:rPr>
        <w:t>条于</w:t>
      </w:r>
      <w:r w:rsidRPr="00E923BE">
        <w:rPr>
          <w:rStyle w:val="SingleTxt"/>
          <w:rFonts w:cs="SimSun"/>
        </w:rPr>
        <w:t>2012</w:t>
      </w:r>
      <w:r w:rsidRPr="00E923BE">
        <w:rPr>
          <w:rStyle w:val="SingleTxt"/>
          <w:rFonts w:cs="SimSun"/>
        </w:rPr>
        <w:t>年</w:t>
      </w:r>
      <w:r w:rsidRPr="00E923BE">
        <w:rPr>
          <w:rStyle w:val="SingleTxt"/>
          <w:rFonts w:cs="SimSun"/>
        </w:rPr>
        <w:t>11</w:t>
      </w:r>
      <w:r w:rsidRPr="00E923BE">
        <w:rPr>
          <w:rStyle w:val="SingleTxt"/>
          <w:rFonts w:cs="SimSun"/>
        </w:rPr>
        <w:t>月</w:t>
      </w:r>
      <w:r w:rsidRPr="00E923BE">
        <w:rPr>
          <w:rStyle w:val="SingleTxt"/>
          <w:rFonts w:cs="SimSun"/>
        </w:rPr>
        <w:t>7</w:t>
      </w:r>
      <w:r w:rsidRPr="00E923BE">
        <w:rPr>
          <w:rStyle w:val="SingleTxt"/>
          <w:rFonts w:cs="SimSun"/>
        </w:rPr>
        <w:t>日生效，规定工会和联合会在开展工作和活动时，以及在成员参与这些联合会和工会组织的活动时，应当遵守性别平等原则。</w:t>
      </w:r>
    </w:p>
    <w:p w:rsidR="005C05C5" w:rsidRPr="00E923BE" w:rsidRDefault="005C05C5" w:rsidP="005C05C5">
      <w:pPr>
        <w:pStyle w:val="SingleTxt"/>
        <w:spacing w:after="120"/>
        <w:ind w:left="1134" w:right="1134"/>
      </w:pPr>
      <w:r w:rsidRPr="00E923BE">
        <w:rPr>
          <w:rStyle w:val="SingleTxt"/>
          <w:rFonts w:cs="SimSun"/>
        </w:rPr>
        <w:t>16.</w:t>
      </w:r>
      <w:r w:rsidRPr="00E923BE">
        <w:rPr>
          <w:rStyle w:val="SingleTxt"/>
          <w:rFonts w:cs="SimSun"/>
        </w:rPr>
        <w:tab/>
        <w:t>2014-2018</w:t>
      </w:r>
      <w:r w:rsidRPr="00E923BE">
        <w:rPr>
          <w:rStyle w:val="SingleTxt"/>
          <w:rFonts w:cs="SimSun"/>
        </w:rPr>
        <w:t>年实施的《第十个发展计划》对于在生活的各个层面实践法律上的性别平等具有重要意义，于</w:t>
      </w:r>
      <w:r w:rsidRPr="00E923BE">
        <w:rPr>
          <w:rStyle w:val="SingleTxt"/>
          <w:rFonts w:cs="SimSun"/>
        </w:rPr>
        <w:t>2013</w:t>
      </w:r>
      <w:r w:rsidRPr="00E923BE">
        <w:rPr>
          <w:rStyle w:val="SingleTxt"/>
          <w:rFonts w:cs="SimSun"/>
        </w:rPr>
        <w:t>年</w:t>
      </w:r>
      <w:r w:rsidRPr="00E923BE">
        <w:rPr>
          <w:rStyle w:val="SingleTxt"/>
          <w:rFonts w:cs="SimSun"/>
        </w:rPr>
        <w:t>7</w:t>
      </w:r>
      <w:r w:rsidRPr="00E923BE">
        <w:rPr>
          <w:rStyle w:val="SingleTxt"/>
          <w:rFonts w:cs="SimSun"/>
        </w:rPr>
        <w:t>月在土耳其大国民议会获得通过。这一计划包括了与实现性别平等相关的以下若干目标：增强妇女深入参与决策机制；促进妇女就业；提高妇女教育水平和技能；增加易于获得的、有保障的和灵活的工作设施、托婴所和托儿服务，以平衡工作和家庭生活；实施更灵活的替代模式；从幼年阶段起通过正规和非正规教育提高认识，以消除对妇女一切形式暴力和歧视；以及对促进性别平等的预算编制开展宣传。《第九个发展计划》以若干标题的形式提出了针对妇女的措施，而不是把整个问题列在一个单独的标题下。但《第十个发展计划》把性别平等政策放在一个标题为</w:t>
      </w:r>
      <w:r w:rsidRPr="00E923BE">
        <w:rPr>
          <w:rStyle w:val="SingleTxt"/>
          <w:rFonts w:cs="SimSun"/>
          <w:cs/>
        </w:rPr>
        <w:t>“</w:t>
      </w:r>
      <w:r w:rsidRPr="00E923BE">
        <w:rPr>
          <w:rStyle w:val="SingleTxt"/>
          <w:rFonts w:cs="SimSun"/>
        </w:rPr>
        <w:t>家庭和妇女</w:t>
      </w:r>
      <w:r w:rsidRPr="00E923BE">
        <w:rPr>
          <w:rStyle w:val="SingleTxt"/>
          <w:rFonts w:cs="SimSun"/>
          <w:cs/>
        </w:rPr>
        <w:t>”</w:t>
      </w:r>
      <w:r w:rsidRPr="00E923BE">
        <w:rPr>
          <w:rStyle w:val="SingleTxt"/>
          <w:rFonts w:cs="SimSun"/>
        </w:rPr>
        <w:t>的章节中。它还针对性别平等的各项目标、目的和政策制定了一系列标题。</w:t>
      </w:r>
    </w:p>
    <w:p w:rsidR="005C05C5" w:rsidRPr="00E923BE" w:rsidRDefault="005C05C5" w:rsidP="005C05C5">
      <w:pPr>
        <w:pStyle w:val="SingleTxt"/>
        <w:spacing w:after="120"/>
        <w:ind w:left="1134" w:right="1134"/>
      </w:pPr>
      <w:r w:rsidRPr="00E923BE">
        <w:rPr>
          <w:rStyle w:val="SingleTxt"/>
          <w:rFonts w:cs="SimSun"/>
        </w:rPr>
        <w:t>17.</w:t>
      </w:r>
      <w:r w:rsidRPr="00E923BE">
        <w:rPr>
          <w:rStyle w:val="SingleTxt"/>
          <w:rFonts w:cs="SimSun"/>
        </w:rPr>
        <w:tab/>
      </w:r>
      <w:r w:rsidRPr="00E923BE">
        <w:rPr>
          <w:rStyle w:val="SingleTxt"/>
          <w:rFonts w:cs="SimSun"/>
        </w:rPr>
        <w:t>在《第十个发展计划》的筹备工作中，性别平等工作组起草了一份详细报告，说明了</w:t>
      </w:r>
      <w:r w:rsidRPr="00E923BE">
        <w:rPr>
          <w:rStyle w:val="SingleTxt"/>
          <w:rFonts w:cs="SimSun"/>
          <w:cs/>
        </w:rPr>
        <w:t>“</w:t>
      </w:r>
      <w:r w:rsidRPr="00E923BE">
        <w:rPr>
          <w:rStyle w:val="SingleTxt"/>
          <w:rFonts w:cs="SimSun"/>
        </w:rPr>
        <w:t>教育培训、保健、暴力侵害妇女行为、就业以及决策和政治参与</w:t>
      </w:r>
      <w:r w:rsidRPr="00E923BE">
        <w:rPr>
          <w:rStyle w:val="SingleTxt"/>
          <w:rFonts w:cs="SimSun"/>
          <w:cs/>
        </w:rPr>
        <w:t>”</w:t>
      </w:r>
      <w:r w:rsidRPr="00E923BE">
        <w:rPr>
          <w:rStyle w:val="SingleTxt"/>
          <w:rFonts w:cs="SimSun"/>
        </w:rPr>
        <w:t>这五个基本领域的相关问题和解决方法建议。</w:t>
      </w:r>
    </w:p>
    <w:p w:rsidR="005C05C5" w:rsidRPr="00E923BE" w:rsidRDefault="005C05C5" w:rsidP="005C05C5">
      <w:pPr>
        <w:pStyle w:val="SingleTxt"/>
        <w:spacing w:after="120"/>
        <w:ind w:left="1134" w:right="1134"/>
      </w:pPr>
      <w:r w:rsidRPr="00E923BE">
        <w:rPr>
          <w:rStyle w:val="SingleTxt"/>
          <w:rFonts w:cs="SimSun"/>
        </w:rPr>
        <w:t>18.</w:t>
      </w:r>
      <w:r w:rsidRPr="00E923BE">
        <w:rPr>
          <w:rStyle w:val="SingleTxt"/>
          <w:rFonts w:cs="SimSun"/>
        </w:rPr>
        <w:tab/>
      </w:r>
      <w:r w:rsidRPr="00E923BE">
        <w:rPr>
          <w:rStyle w:val="SingleTxt"/>
          <w:rFonts w:cs="SimSun"/>
        </w:rPr>
        <w:t>关于促进妇女就业和平等机会的第</w:t>
      </w:r>
      <w:r w:rsidRPr="00E923BE">
        <w:rPr>
          <w:rStyle w:val="SingleTxt"/>
          <w:rFonts w:cs="SimSun"/>
        </w:rPr>
        <w:t>2010/14</w:t>
      </w:r>
      <w:r w:rsidRPr="00E923BE">
        <w:rPr>
          <w:rStyle w:val="SingleTxt"/>
          <w:rFonts w:cs="SimSun"/>
        </w:rPr>
        <w:t>号总理府公告于</w:t>
      </w:r>
      <w:r w:rsidRPr="00E923BE">
        <w:rPr>
          <w:rStyle w:val="SingleTxt"/>
          <w:rFonts w:cs="SimSun"/>
        </w:rPr>
        <w:t>2010</w:t>
      </w:r>
      <w:r w:rsidRPr="00E923BE">
        <w:rPr>
          <w:rStyle w:val="SingleTxt"/>
          <w:rFonts w:cs="SimSun"/>
        </w:rPr>
        <w:t>年</w:t>
      </w:r>
      <w:r w:rsidRPr="00E923BE">
        <w:rPr>
          <w:rStyle w:val="SingleTxt"/>
          <w:rFonts w:cs="SimSun"/>
        </w:rPr>
        <w:t>5</w:t>
      </w:r>
      <w:r w:rsidRPr="00E923BE">
        <w:rPr>
          <w:rStyle w:val="SingleTxt"/>
          <w:rFonts w:cs="SimSun"/>
        </w:rPr>
        <w:t>月</w:t>
      </w:r>
      <w:r w:rsidRPr="00E923BE">
        <w:rPr>
          <w:rStyle w:val="SingleTxt"/>
          <w:rFonts w:cs="SimSun"/>
        </w:rPr>
        <w:t>25</w:t>
      </w:r>
      <w:r w:rsidRPr="00E923BE">
        <w:rPr>
          <w:rStyle w:val="SingleTxt"/>
          <w:rFonts w:cs="SimSun"/>
        </w:rPr>
        <w:t>日生效。根据这一公告，</w:t>
      </w:r>
      <w:r w:rsidRPr="00E923BE">
        <w:rPr>
          <w:rStyle w:val="SingleTxt"/>
          <w:rFonts w:cs="SimSun"/>
          <w:cs/>
        </w:rPr>
        <w:t>“</w:t>
      </w:r>
      <w:r w:rsidRPr="00E923BE">
        <w:rPr>
          <w:rStyle w:val="SingleTxt"/>
          <w:rFonts w:cs="SimSun"/>
        </w:rPr>
        <w:t>妇女就业国家监督和协调理事会</w:t>
      </w:r>
      <w:r w:rsidRPr="00E923BE">
        <w:rPr>
          <w:rStyle w:val="SingleTxt"/>
          <w:rFonts w:cs="SimSun"/>
          <w:cs/>
        </w:rPr>
        <w:t>”</w:t>
      </w:r>
      <w:r w:rsidRPr="00E923BE">
        <w:rPr>
          <w:rStyle w:val="SingleTxt"/>
          <w:rFonts w:cs="SimSun"/>
        </w:rPr>
        <w:t>由来自相关机构和机关的代表组成，目的是识别妇女就业领域的现存问题、监督和评估所有相关方为解决这些问题而开展的活动以及推动协调和合作。该理事会目前为止只召开了一次会议。根据委员会在</w:t>
      </w:r>
      <w:r>
        <w:rPr>
          <w:rStyle w:val="SingleTxt"/>
          <w:rFonts w:cs="SimSun"/>
        </w:rPr>
        <w:t>结论性意见</w:t>
      </w:r>
      <w:r w:rsidRPr="00E923BE">
        <w:rPr>
          <w:rStyle w:val="SingleTxt"/>
          <w:rFonts w:cs="SimSun"/>
        </w:rPr>
        <w:t>第</w:t>
      </w:r>
      <w:r w:rsidRPr="00E923BE">
        <w:rPr>
          <w:rStyle w:val="SingleTxt"/>
          <w:rFonts w:cs="SimSun"/>
        </w:rPr>
        <w:t>33</w:t>
      </w:r>
      <w:r w:rsidRPr="00E923BE">
        <w:rPr>
          <w:rStyle w:val="SingleTxt"/>
          <w:rFonts w:cs="SimSun"/>
        </w:rPr>
        <w:t>段中要求提供的信息，土耳其提请注意以下活动：妇女地位总局准备开展一项调查，旨在公告所涵盖的机构内宣传性别平等观点。这一调查的结果将在理事会内共享。此外，劳动和社会保障部也会发布年度报告，监督该公告的实施情况。</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2</w:t>
      </w:r>
      <w:r w:rsidRPr="00E923BE">
        <w:rPr>
          <w:rFonts w:eastAsia="SimHei" w:cs="Arial"/>
          <w:bCs/>
          <w:szCs w:val="21"/>
        </w:rPr>
        <w:t>条</w:t>
      </w:r>
      <w:r w:rsidRPr="00E923BE">
        <w:rPr>
          <w:rFonts w:eastAsia="SimHei" w:cs="Arial"/>
          <w:b/>
          <w:bCs/>
          <w:szCs w:val="21"/>
        </w:rPr>
        <w:t>c</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19.</w:t>
      </w:r>
      <w:r w:rsidRPr="00E923BE">
        <w:rPr>
          <w:rStyle w:val="SingleTxt"/>
          <w:rFonts w:cs="SimSun"/>
        </w:rPr>
        <w:tab/>
      </w:r>
      <w:r w:rsidRPr="00E923BE">
        <w:rPr>
          <w:rStyle w:val="SingleTxt"/>
          <w:rFonts w:cs="SimSun"/>
        </w:rPr>
        <w:t>土耳其增加了旨在保护妇女人权的转介机制。《宪法》在</w:t>
      </w:r>
      <w:r w:rsidRPr="00E923BE">
        <w:rPr>
          <w:rStyle w:val="SingleTxt"/>
          <w:rFonts w:cs="SimSun"/>
        </w:rPr>
        <w:t>2010</w:t>
      </w:r>
      <w:r w:rsidRPr="00E923BE">
        <w:rPr>
          <w:rStyle w:val="SingleTxt"/>
          <w:rFonts w:cs="SimSun"/>
        </w:rPr>
        <w:t>年经过一项修正，对</w:t>
      </w:r>
      <w:r w:rsidRPr="00E923BE">
        <w:rPr>
          <w:rStyle w:val="SingleTxt"/>
          <w:rFonts w:cs="SimSun"/>
          <w:cs/>
        </w:rPr>
        <w:t>“</w:t>
      </w:r>
      <w:r w:rsidRPr="00E923BE">
        <w:rPr>
          <w:rStyle w:val="SingleTxt"/>
          <w:rFonts w:cs="SimSun"/>
        </w:rPr>
        <w:t>如果任何人认为《欧洲人权公约》所包括的、受</w:t>
      </w:r>
      <w:r w:rsidRPr="00E923BE">
        <w:rPr>
          <w:rStyle w:val="SingleTxt"/>
          <w:rFonts w:cs="SimSun" w:hint="eastAsia"/>
        </w:rPr>
        <w:t>《</w:t>
      </w:r>
      <w:r w:rsidRPr="00E923BE">
        <w:rPr>
          <w:rStyle w:val="SingleTxt"/>
          <w:rFonts w:cs="SimSun"/>
        </w:rPr>
        <w:t>宪法</w:t>
      </w:r>
      <w:r w:rsidRPr="00E923BE">
        <w:rPr>
          <w:rStyle w:val="SingleTxt"/>
          <w:rFonts w:cs="SimSun" w:hint="eastAsia"/>
        </w:rPr>
        <w:t>》</w:t>
      </w:r>
      <w:r w:rsidRPr="00E923BE">
        <w:rPr>
          <w:rStyle w:val="SingleTxt"/>
          <w:rFonts w:cs="SimSun"/>
        </w:rPr>
        <w:t>保护的</w:t>
      </w:r>
      <w:r w:rsidRPr="00E923BE">
        <w:rPr>
          <w:rStyle w:val="SingleTxt"/>
          <w:rFonts w:cs="SimSun" w:hint="eastAsia"/>
        </w:rPr>
        <w:t>自身</w:t>
      </w:r>
      <w:r w:rsidRPr="00E923BE">
        <w:rPr>
          <w:rStyle w:val="SingleTxt"/>
          <w:rFonts w:cs="SimSun"/>
        </w:rPr>
        <w:t>权利和自由遭到公共当局侵犯，则可诉诸宪法法院</w:t>
      </w:r>
      <w:r w:rsidRPr="00E923BE">
        <w:rPr>
          <w:rStyle w:val="SingleTxt"/>
          <w:rFonts w:cs="SimSun"/>
          <w:cs/>
        </w:rPr>
        <w:t>”</w:t>
      </w:r>
      <w:r w:rsidRPr="00E923BE">
        <w:rPr>
          <w:rStyle w:val="SingleTxt"/>
          <w:rFonts w:cs="SimSun"/>
        </w:rPr>
        <w:t>的条款作出重新规定。在作出上述修正的同时，</w:t>
      </w:r>
      <w:r w:rsidRPr="00E923BE">
        <w:rPr>
          <w:rStyle w:val="SingleTxt"/>
          <w:rFonts w:cs="SimSun"/>
        </w:rPr>
        <w:t>2011</w:t>
      </w:r>
      <w:r w:rsidRPr="00E923BE">
        <w:rPr>
          <w:rStyle w:val="SingleTxt"/>
          <w:rFonts w:cs="SimSun"/>
        </w:rPr>
        <w:t>年还制定了另一项规定，让个人申诉更切实可行。经过近期修正后，遭到性别歧视的个人也能向宪法法院提出个人申诉。</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20.</w:t>
      </w:r>
      <w:r w:rsidRPr="00E923BE">
        <w:rPr>
          <w:rStyle w:val="SingleTxt"/>
          <w:rFonts w:cs="SimSun"/>
        </w:rPr>
        <w:tab/>
      </w:r>
      <w:r w:rsidRPr="00E923BE">
        <w:rPr>
          <w:rStyle w:val="SingleTxt"/>
          <w:rFonts w:cs="SimSun"/>
        </w:rPr>
        <w:t>土耳其大国民议会下属的监察员办公室成立于</w:t>
      </w:r>
      <w:r w:rsidRPr="00E923BE">
        <w:rPr>
          <w:rStyle w:val="SingleTxt"/>
          <w:rFonts w:cs="SimSun"/>
        </w:rPr>
        <w:t>2012</w:t>
      </w:r>
      <w:r w:rsidRPr="00E923BE">
        <w:rPr>
          <w:rStyle w:val="SingleTxt"/>
          <w:rFonts w:cs="SimSun"/>
        </w:rPr>
        <w:t>年，拥有一个公共实体和一项专项预算。监察员办公室致力于监管和审查行政部门在法律和公平方面的所有行动、行为和手段，并且从基于人权的司法理解角度开展研究和</w:t>
      </w:r>
      <w:r w:rsidRPr="00E923BE">
        <w:rPr>
          <w:rStyle w:val="SingleTxt"/>
          <w:rFonts w:cs="SimSun" w:hint="eastAsia"/>
        </w:rPr>
        <w:t>提出</w:t>
      </w:r>
      <w:r w:rsidRPr="00E923BE">
        <w:rPr>
          <w:rStyle w:val="SingleTxt"/>
          <w:rFonts w:cs="SimSun"/>
        </w:rPr>
        <w:t>建议。该机构设有一名妇女监察员，专门负责处理</w:t>
      </w:r>
      <w:r w:rsidRPr="00E923BE">
        <w:rPr>
          <w:rStyle w:val="SingleTxt"/>
          <w:rFonts w:cs="SimSun"/>
          <w:cs/>
        </w:rPr>
        <w:t>“</w:t>
      </w:r>
      <w:r w:rsidRPr="00E923BE">
        <w:rPr>
          <w:rStyle w:val="SingleTxt"/>
          <w:rFonts w:cs="SimSun"/>
        </w:rPr>
        <w:t>妇女和儿童权利</w:t>
      </w:r>
      <w:r w:rsidRPr="00E923BE">
        <w:rPr>
          <w:rStyle w:val="SingleTxt"/>
          <w:rFonts w:cs="SimSun"/>
          <w:cs/>
        </w:rPr>
        <w:t>”</w:t>
      </w:r>
      <w:r w:rsidRPr="00E923BE">
        <w:rPr>
          <w:rStyle w:val="SingleTxt"/>
          <w:rFonts w:cs="SimSun"/>
        </w:rPr>
        <w:t>问题。该机构从</w:t>
      </w:r>
      <w:r w:rsidRPr="00E923BE">
        <w:rPr>
          <w:rStyle w:val="SingleTxt"/>
          <w:rFonts w:cs="SimSun"/>
        </w:rPr>
        <w:t>2013</w:t>
      </w:r>
      <w:r w:rsidRPr="00E923BE">
        <w:rPr>
          <w:rStyle w:val="SingleTxt"/>
          <w:rFonts w:cs="SimSun"/>
        </w:rPr>
        <w:t>年</w:t>
      </w:r>
      <w:r w:rsidRPr="00E923BE">
        <w:rPr>
          <w:rStyle w:val="SingleTxt"/>
          <w:rFonts w:cs="SimSun"/>
        </w:rPr>
        <w:t>3</w:t>
      </w:r>
      <w:r w:rsidRPr="00E923BE">
        <w:rPr>
          <w:rStyle w:val="SingleTxt"/>
          <w:rFonts w:cs="SimSun"/>
        </w:rPr>
        <w:t>月起已经开始接收申诉。利益遭到侵犯的自然人和法人都可向监察员提出申诉。如果涉及侵犯人权、基本权利和自由、公共问题、儿童权利和妇女权利的申诉中未存在侵犯利益情况，仍会开展实地</w:t>
      </w:r>
      <w:r w:rsidRPr="00E923BE">
        <w:rPr>
          <w:rStyle w:val="SingleTxt"/>
          <w:rFonts w:cs="SimSun" w:hint="eastAsia"/>
        </w:rPr>
        <w:t>审查</w:t>
      </w:r>
      <w:r w:rsidRPr="00E923BE">
        <w:rPr>
          <w:rStyle w:val="SingleTxt"/>
          <w:rFonts w:cs="SimSun"/>
        </w:rPr>
        <w:t>和调查。同样，如果申诉被撤回、诉求被行政部门满足、申诉人死亡或法人资格终止，审查和调查仍将继续进行。</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21.</w:t>
      </w:r>
      <w:r w:rsidRPr="00E923BE">
        <w:rPr>
          <w:rStyle w:val="SingleTxt"/>
          <w:rFonts w:cs="SimSun"/>
        </w:rPr>
        <w:tab/>
      </w:r>
      <w:r w:rsidRPr="00E923BE">
        <w:rPr>
          <w:rStyle w:val="SingleTxt"/>
          <w:rFonts w:cs="SimSun"/>
        </w:rPr>
        <w:t>正如</w:t>
      </w:r>
      <w:r>
        <w:rPr>
          <w:rStyle w:val="SingleTxt"/>
          <w:rFonts w:cs="SimSun"/>
        </w:rPr>
        <w:t>结论性意见</w:t>
      </w:r>
      <w:r w:rsidRPr="00E923BE">
        <w:rPr>
          <w:rStyle w:val="SingleTxt"/>
          <w:rFonts w:cs="SimSun"/>
        </w:rPr>
        <w:t>第</w:t>
      </w:r>
      <w:r w:rsidRPr="00E923BE">
        <w:rPr>
          <w:rStyle w:val="SingleTxt"/>
          <w:rFonts w:cs="SimSun"/>
        </w:rPr>
        <w:t>42</w:t>
      </w:r>
      <w:r w:rsidRPr="00E923BE">
        <w:rPr>
          <w:rStyle w:val="SingleTxt"/>
          <w:rFonts w:cs="SimSun"/>
        </w:rPr>
        <w:t>段和第</w:t>
      </w:r>
      <w:r w:rsidRPr="00E923BE">
        <w:rPr>
          <w:rStyle w:val="SingleTxt"/>
          <w:rFonts w:cs="SimSun"/>
        </w:rPr>
        <w:t>43</w:t>
      </w:r>
      <w:r w:rsidRPr="00E923BE">
        <w:rPr>
          <w:rStyle w:val="SingleTxt"/>
          <w:rFonts w:cs="SimSun"/>
        </w:rPr>
        <w:t>段所建议，《土耳其人权机构法》于</w:t>
      </w:r>
      <w:r w:rsidRPr="00E923BE">
        <w:rPr>
          <w:rStyle w:val="SingleTxt"/>
          <w:rFonts w:cs="SimSun"/>
        </w:rPr>
        <w:t>2012</w:t>
      </w:r>
      <w:r w:rsidRPr="00E923BE">
        <w:rPr>
          <w:rStyle w:val="SingleTxt"/>
          <w:rFonts w:cs="SimSun"/>
        </w:rPr>
        <w:t>年</w:t>
      </w:r>
      <w:r w:rsidRPr="00E923BE">
        <w:rPr>
          <w:rStyle w:val="SingleTxt"/>
          <w:rFonts w:cs="SimSun"/>
        </w:rPr>
        <w:t>6</w:t>
      </w:r>
      <w:r w:rsidRPr="00E923BE">
        <w:rPr>
          <w:rStyle w:val="SingleTxt"/>
          <w:rFonts w:cs="SimSun"/>
        </w:rPr>
        <w:t>月</w:t>
      </w:r>
      <w:r w:rsidRPr="00E923BE">
        <w:rPr>
          <w:rStyle w:val="SingleTxt"/>
          <w:rFonts w:cs="SimSun"/>
        </w:rPr>
        <w:t>21</w:t>
      </w:r>
      <w:r w:rsidRPr="00E923BE">
        <w:rPr>
          <w:rStyle w:val="SingleTxt"/>
          <w:rFonts w:cs="SimSun"/>
        </w:rPr>
        <w:t>日在土耳其大国民议会获得通过，以开展保护和促进人权的活动。人权机构有权且负责开展保护和促进人权以及防止侵犯人权的活动；禁止酷刑和虐待，审查申诉并且跟进申诉结果；为现存问题的解决方法发起倡议；开展这方面的培训活动；开展研究和审查，以监督和评估人权相关工作的进展情况。根据《侵犯人权申诉审查程序和原则条例》，国际公约是对转介至该机构的申诉开展评估的一项基本标准。</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22.</w:t>
      </w:r>
      <w:r w:rsidRPr="00E923BE">
        <w:rPr>
          <w:rStyle w:val="SingleTxt"/>
          <w:rFonts w:cs="SimSun"/>
        </w:rPr>
        <w:tab/>
      </w:r>
      <w:r w:rsidRPr="00E923BE">
        <w:rPr>
          <w:rStyle w:val="SingleTxt"/>
          <w:rFonts w:cs="SimSun"/>
        </w:rPr>
        <w:t>执行机关包括负责确定和实施性别平等政策的部门和实体。上述负责确定和实施性别平等政策的部门包括：粮食、农业和畜牧业部的</w:t>
      </w:r>
      <w:r w:rsidRPr="00E923BE">
        <w:rPr>
          <w:rStyle w:val="SingleTxt"/>
          <w:rFonts w:cs="SimSun"/>
          <w:cs/>
        </w:rPr>
        <w:t>“</w:t>
      </w:r>
      <w:r w:rsidRPr="00E923BE">
        <w:rPr>
          <w:rStyle w:val="SingleTxt"/>
          <w:rFonts w:cs="SimSun"/>
        </w:rPr>
        <w:t>农村妇女服务工作组</w:t>
      </w:r>
      <w:r w:rsidRPr="00E923BE">
        <w:rPr>
          <w:rStyle w:val="SingleTxt"/>
          <w:rFonts w:cs="SimSun"/>
          <w:cs/>
        </w:rPr>
        <w:t>”</w:t>
      </w:r>
      <w:r w:rsidRPr="00E923BE">
        <w:rPr>
          <w:rStyle w:val="SingleTxt"/>
          <w:rFonts w:cs="SimSun"/>
        </w:rPr>
        <w:t>；卫生部的</w:t>
      </w:r>
      <w:r w:rsidRPr="00E923BE">
        <w:rPr>
          <w:rStyle w:val="SingleTxt"/>
          <w:rFonts w:cs="SimSun"/>
          <w:cs/>
        </w:rPr>
        <w:t>“</w:t>
      </w:r>
      <w:r w:rsidRPr="00E923BE">
        <w:rPr>
          <w:rStyle w:val="SingleTxt"/>
          <w:rFonts w:cs="SimSun"/>
        </w:rPr>
        <w:t>妇女和生殖健康部长</w:t>
      </w:r>
      <w:r w:rsidRPr="00E923BE">
        <w:rPr>
          <w:rStyle w:val="SingleTxt"/>
          <w:rFonts w:cs="SimSun"/>
          <w:cs/>
        </w:rPr>
        <w:t>”</w:t>
      </w:r>
      <w:r w:rsidRPr="00E923BE">
        <w:rPr>
          <w:rStyle w:val="SingleTxt"/>
          <w:rFonts w:cs="SimSun"/>
        </w:rPr>
        <w:t>；发展部的</w:t>
      </w:r>
      <w:r w:rsidRPr="00E923BE">
        <w:rPr>
          <w:rStyle w:val="SingleTxt"/>
          <w:rFonts w:cs="SimSun"/>
          <w:cs/>
        </w:rPr>
        <w:t>“</w:t>
      </w:r>
      <w:r w:rsidRPr="00E923BE">
        <w:rPr>
          <w:rStyle w:val="SingleTxt"/>
          <w:rFonts w:cs="SimSun"/>
        </w:rPr>
        <w:t>性别平等部门</w:t>
      </w:r>
      <w:r w:rsidRPr="00E923BE">
        <w:rPr>
          <w:rStyle w:val="SingleTxt"/>
          <w:rFonts w:cs="SimSun"/>
          <w:cs/>
        </w:rPr>
        <w:t>”</w:t>
      </w:r>
      <w:r w:rsidRPr="00E923BE">
        <w:rPr>
          <w:rStyle w:val="SingleTxt"/>
          <w:rFonts w:cs="SimSun"/>
        </w:rPr>
        <w:t>；劳动和社会保障部的</w:t>
      </w:r>
      <w:r w:rsidRPr="00E923BE">
        <w:rPr>
          <w:rStyle w:val="SingleTxt"/>
          <w:rFonts w:cs="SimSun"/>
          <w:cs/>
        </w:rPr>
        <w:t>“</w:t>
      </w:r>
      <w:r w:rsidRPr="00E923BE">
        <w:rPr>
          <w:rStyle w:val="SingleTxt"/>
          <w:rFonts w:cs="SimSun"/>
        </w:rPr>
        <w:t>性别平等办公室</w:t>
      </w:r>
      <w:r w:rsidRPr="00E923BE">
        <w:rPr>
          <w:rStyle w:val="SingleTxt"/>
          <w:rFonts w:cs="SimSun"/>
          <w:cs/>
        </w:rPr>
        <w:t>”</w:t>
      </w:r>
      <w:r w:rsidRPr="00E923BE">
        <w:rPr>
          <w:rStyle w:val="SingleTxt"/>
          <w:rFonts w:cs="SimSun"/>
        </w:rPr>
        <w:t>；以及土耳其统计局的</w:t>
      </w:r>
      <w:r w:rsidRPr="00E923BE">
        <w:rPr>
          <w:rStyle w:val="SingleTxt"/>
          <w:rFonts w:cs="SimSun"/>
          <w:cs/>
        </w:rPr>
        <w:t>“</w:t>
      </w:r>
      <w:r w:rsidRPr="00E923BE">
        <w:rPr>
          <w:rStyle w:val="SingleTxt"/>
          <w:rFonts w:cs="SimSun"/>
        </w:rPr>
        <w:t>性别问题小组</w:t>
      </w:r>
      <w:r w:rsidRPr="00E923BE">
        <w:rPr>
          <w:rStyle w:val="SingleTxt"/>
          <w:rFonts w:cs="SimSun"/>
          <w:cs/>
        </w:rPr>
        <w:t>”</w:t>
      </w:r>
      <w:r w:rsidRPr="00E923BE">
        <w:rPr>
          <w:rStyle w:val="SingleTxt"/>
          <w:rFonts w:cs="SimSun"/>
        </w:rPr>
        <w:t>。此外，司法部也设立了</w:t>
      </w:r>
      <w:r w:rsidRPr="00E923BE">
        <w:rPr>
          <w:rStyle w:val="SingleTxt"/>
          <w:rFonts w:cs="SimSun"/>
          <w:cs/>
        </w:rPr>
        <w:t>“</w:t>
      </w:r>
      <w:r w:rsidRPr="00E923BE">
        <w:rPr>
          <w:rStyle w:val="SingleTxt"/>
          <w:rFonts w:cs="SimSun"/>
        </w:rPr>
        <w:t>受害人权利部门</w:t>
      </w:r>
      <w:r w:rsidRPr="00E923BE">
        <w:rPr>
          <w:rStyle w:val="SingleTxt"/>
          <w:rFonts w:cs="SimSun"/>
          <w:cs/>
        </w:rPr>
        <w:t>”</w:t>
      </w:r>
      <w:r w:rsidRPr="00E923BE">
        <w:rPr>
          <w:rStyle w:val="SingleTxt"/>
          <w:rFonts w:cs="SimSun"/>
        </w:rPr>
        <w:t>。该部门旨在向犯罪受害者，包括妇女和儿童，提供一切形式的物质和精神支持与服务。</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23.</w:t>
      </w:r>
      <w:r w:rsidRPr="00E923BE">
        <w:rPr>
          <w:rStyle w:val="SingleTxt"/>
          <w:rFonts w:cs="SimSun"/>
        </w:rPr>
        <w:tab/>
      </w:r>
      <w:r w:rsidRPr="00E923BE">
        <w:rPr>
          <w:rStyle w:val="SingleTxt"/>
          <w:rFonts w:cs="SimSun"/>
        </w:rPr>
        <w:t>由联合国、家庭和社会政策部和男女机会</w:t>
      </w:r>
      <w:r w:rsidRPr="00E923BE">
        <w:rPr>
          <w:rStyle w:val="SingleTxt"/>
          <w:rFonts w:cs="SimSun" w:hint="eastAsia"/>
        </w:rPr>
        <w:t>均</w:t>
      </w:r>
      <w:r w:rsidRPr="00E923BE">
        <w:rPr>
          <w:rStyle w:val="SingleTxt"/>
          <w:rFonts w:cs="SimSun"/>
        </w:rPr>
        <w:t>等委员会开展的</w:t>
      </w:r>
      <w:r w:rsidRPr="00E923BE">
        <w:rPr>
          <w:rStyle w:val="SingleTxt"/>
          <w:rFonts w:cs="SimSun" w:hint="eastAsia"/>
          <w:cs/>
        </w:rPr>
        <w:t>《</w:t>
      </w:r>
      <w:r w:rsidRPr="00E923BE">
        <w:rPr>
          <w:rStyle w:val="SingleTxt"/>
          <w:rFonts w:cs="SimSun"/>
        </w:rPr>
        <w:t>在土耳其建立促进性别平等有利环境的联合国联合方案</w:t>
      </w:r>
      <w:r w:rsidRPr="00E923BE">
        <w:rPr>
          <w:rStyle w:val="SingleTxt"/>
          <w:rFonts w:cs="SimSun" w:hint="eastAsia"/>
          <w:cs/>
        </w:rPr>
        <w:t>》</w:t>
      </w:r>
      <w:r w:rsidRPr="00E923BE">
        <w:rPr>
          <w:rStyle w:val="SingleTxt"/>
          <w:rFonts w:cs="SimSun"/>
        </w:rPr>
        <w:t>从性别平等的角度审议和审查了</w:t>
      </w:r>
      <w:r w:rsidRPr="00E923BE">
        <w:rPr>
          <w:rStyle w:val="SingleTxt"/>
          <w:rFonts w:cs="SimSun"/>
        </w:rPr>
        <w:t>31</w:t>
      </w:r>
      <w:r w:rsidRPr="00E923BE">
        <w:rPr>
          <w:rStyle w:val="SingleTxt"/>
          <w:rFonts w:cs="SimSun"/>
        </w:rPr>
        <w:t>项法律，并且组织了多场会议，让来自</w:t>
      </w:r>
      <w:r w:rsidRPr="00E923BE">
        <w:rPr>
          <w:rStyle w:val="SingleTxt"/>
          <w:rFonts w:cs="SimSun"/>
        </w:rPr>
        <w:t>26</w:t>
      </w:r>
      <w:r w:rsidRPr="00E923BE">
        <w:rPr>
          <w:rStyle w:val="SingleTxt"/>
          <w:rFonts w:cs="SimSun"/>
        </w:rPr>
        <w:t>个省的地方行政主管官员、市长、非政府组织和代表聚首并交流观点。</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24.</w:t>
      </w:r>
      <w:r w:rsidRPr="00E923BE">
        <w:rPr>
          <w:rStyle w:val="SingleTxt"/>
          <w:rFonts w:cs="SimSun"/>
        </w:rPr>
        <w:tab/>
      </w:r>
      <w:r w:rsidRPr="00E923BE">
        <w:rPr>
          <w:rStyle w:val="SingleTxt"/>
          <w:rFonts w:cs="SimSun"/>
        </w:rPr>
        <w:t>名为</w:t>
      </w:r>
      <w:r w:rsidRPr="00E923BE">
        <w:rPr>
          <w:rStyle w:val="SingleTxt"/>
          <w:rFonts w:cs="SimSun"/>
          <w:cs/>
        </w:rPr>
        <w:t>“</w:t>
      </w:r>
      <w:r w:rsidRPr="00E923BE">
        <w:rPr>
          <w:rStyle w:val="SingleTxt"/>
          <w:rFonts w:cs="SimSun"/>
        </w:rPr>
        <w:t>妇女友好城市项目</w:t>
      </w:r>
      <w:r w:rsidRPr="00E923BE">
        <w:rPr>
          <w:rStyle w:val="SingleTxt"/>
          <w:rFonts w:cs="SimSun"/>
          <w:cs/>
        </w:rPr>
        <w:t>”</w:t>
      </w:r>
      <w:r w:rsidRPr="00E923BE">
        <w:rPr>
          <w:rStyle w:val="SingleTxt"/>
          <w:rFonts w:cs="SimSun"/>
        </w:rPr>
        <w:t>的</w:t>
      </w:r>
      <w:r w:rsidRPr="00E923BE">
        <w:rPr>
          <w:rStyle w:val="SingleTxt"/>
          <w:rFonts w:cs="SimSun" w:hint="eastAsia"/>
        </w:rPr>
        <w:t>《</w:t>
      </w:r>
      <w:r w:rsidRPr="00E923BE">
        <w:rPr>
          <w:rStyle w:val="SingleTxt"/>
          <w:rFonts w:cs="SimSun"/>
        </w:rPr>
        <w:t>促进和保护妇女和女孩人权联合国联合方案</w:t>
      </w:r>
      <w:r w:rsidRPr="00E923BE">
        <w:rPr>
          <w:rStyle w:val="SingleTxt"/>
          <w:rFonts w:cs="SimSun" w:hint="eastAsia"/>
        </w:rPr>
        <w:t>》</w:t>
      </w:r>
      <w:r w:rsidRPr="00E923BE">
        <w:rPr>
          <w:rStyle w:val="SingleTxt"/>
          <w:rFonts w:cs="SimSun"/>
        </w:rPr>
        <w:t>旨在建立和加强地方的性别平等机制。这一项目在</w:t>
      </w:r>
      <w:r w:rsidRPr="00E923BE">
        <w:rPr>
          <w:rStyle w:val="SingleTxt"/>
          <w:rFonts w:cs="SimSun"/>
        </w:rPr>
        <w:t>2011</w:t>
      </w:r>
      <w:r w:rsidRPr="00E923BE">
        <w:rPr>
          <w:rStyle w:val="SingleTxt"/>
          <w:rFonts w:cs="SimSun"/>
        </w:rPr>
        <w:t>年</w:t>
      </w:r>
      <w:r w:rsidRPr="00E923BE">
        <w:rPr>
          <w:rStyle w:val="SingleTxt"/>
          <w:rFonts w:cs="SimSun"/>
        </w:rPr>
        <w:t>4</w:t>
      </w:r>
      <w:r w:rsidRPr="00E923BE">
        <w:rPr>
          <w:rStyle w:val="SingleTxt"/>
          <w:rFonts w:cs="SimSun"/>
        </w:rPr>
        <w:t>月至</w:t>
      </w:r>
      <w:r w:rsidRPr="00E923BE">
        <w:rPr>
          <w:rStyle w:val="SingleTxt"/>
          <w:rFonts w:cs="SimSun"/>
        </w:rPr>
        <w:t>2014</w:t>
      </w:r>
      <w:r w:rsidRPr="00E923BE">
        <w:rPr>
          <w:rStyle w:val="SingleTxt"/>
          <w:rFonts w:cs="SimSun"/>
        </w:rPr>
        <w:t>年</w:t>
      </w:r>
      <w:r w:rsidRPr="00E923BE">
        <w:rPr>
          <w:rStyle w:val="SingleTxt"/>
          <w:rFonts w:cs="SimSun"/>
        </w:rPr>
        <w:t>4</w:t>
      </w:r>
      <w:r w:rsidRPr="00E923BE">
        <w:rPr>
          <w:rStyle w:val="SingleTxt"/>
          <w:rFonts w:cs="SimSun"/>
        </w:rPr>
        <w:t>月期间开展，</w:t>
      </w:r>
      <w:r w:rsidRPr="00E923BE">
        <w:rPr>
          <w:rStyle w:val="SingleTxt"/>
          <w:rFonts w:cs="SimSun"/>
        </w:rPr>
        <w:t>12</w:t>
      </w:r>
      <w:r w:rsidRPr="00E923BE">
        <w:rPr>
          <w:rStyle w:val="SingleTxt"/>
          <w:rFonts w:cs="SimSun"/>
        </w:rPr>
        <w:t>个省已起草了性别平等地方行动计划，也在地方政府内设立了性别平等部门和委员会。内务部发布</w:t>
      </w:r>
      <w:r w:rsidRPr="00E923BE">
        <w:rPr>
          <w:rStyle w:val="SingleTxt"/>
          <w:rFonts w:cs="SimSun" w:hint="eastAsia"/>
        </w:rPr>
        <w:t>的</w:t>
      </w:r>
      <w:r w:rsidRPr="00E923BE">
        <w:rPr>
          <w:rStyle w:val="SingleTxt"/>
          <w:rFonts w:cs="SimSun"/>
        </w:rPr>
        <w:t>第</w:t>
      </w:r>
      <w:r w:rsidRPr="00E923BE">
        <w:rPr>
          <w:rStyle w:val="SingleTxt"/>
          <w:rFonts w:cs="SimSun"/>
        </w:rPr>
        <w:t>2010/10</w:t>
      </w:r>
      <w:r w:rsidRPr="00E923BE">
        <w:rPr>
          <w:rStyle w:val="SingleTxt"/>
          <w:rFonts w:cs="SimSun"/>
        </w:rPr>
        <w:t>号公告旨在把该项目所实施的活动扩展至全土耳其。</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2</w:t>
      </w:r>
      <w:r w:rsidRPr="00E923BE">
        <w:rPr>
          <w:rFonts w:eastAsia="SimHei" w:cs="Arial"/>
          <w:bCs/>
          <w:szCs w:val="21"/>
        </w:rPr>
        <w:t>条</w:t>
      </w:r>
      <w:r w:rsidRPr="00E923BE">
        <w:rPr>
          <w:rFonts w:eastAsia="SimHei" w:cs="Arial" w:hint="eastAsia"/>
          <w:b/>
          <w:bCs/>
          <w:szCs w:val="21"/>
        </w:rPr>
        <w:t>d</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25.</w:t>
      </w:r>
      <w:r w:rsidRPr="00E923BE">
        <w:rPr>
          <w:rStyle w:val="SingleTxt"/>
          <w:rFonts w:cs="SimSun"/>
        </w:rPr>
        <w:tab/>
      </w:r>
      <w:r w:rsidRPr="00E923BE">
        <w:rPr>
          <w:rStyle w:val="SingleTxt"/>
          <w:rFonts w:cs="SimSun"/>
        </w:rPr>
        <w:t>《性别平等</w:t>
      </w:r>
      <w:r w:rsidRPr="00E923BE">
        <w:rPr>
          <w:rStyle w:val="SingleTxt"/>
          <w:rFonts w:cs="SimSun" w:hint="eastAsia"/>
        </w:rPr>
        <w:t>问题</w:t>
      </w:r>
      <w:r w:rsidRPr="00E923BE">
        <w:rPr>
          <w:rStyle w:val="SingleTxt"/>
          <w:rFonts w:cs="SimSun"/>
        </w:rPr>
        <w:t>国家行动计划》（</w:t>
      </w:r>
      <w:r w:rsidRPr="00E923BE">
        <w:rPr>
          <w:rStyle w:val="SingleTxt"/>
          <w:rFonts w:cs="SimSun"/>
        </w:rPr>
        <w:t>2008-2013</w:t>
      </w:r>
      <w:r w:rsidRPr="00E923BE">
        <w:rPr>
          <w:rStyle w:val="SingleTxt"/>
          <w:rFonts w:cs="SimSun"/>
        </w:rPr>
        <w:t>年）和《与对妇女家庭暴力现象作斗争国家行动计划》（</w:t>
      </w:r>
      <w:r w:rsidRPr="00E923BE">
        <w:rPr>
          <w:rStyle w:val="SingleTxt"/>
          <w:rFonts w:cs="SimSun"/>
        </w:rPr>
        <w:t>2007-2010</w:t>
      </w:r>
      <w:r w:rsidRPr="00E923BE">
        <w:rPr>
          <w:rStyle w:val="SingleTxt"/>
          <w:rFonts w:cs="SimSun"/>
        </w:rPr>
        <w:t>年）的实施目标是确保现行法律能有效地付诸实践，并且动员相关机构和机关执行实现性别平等的使命。</w:t>
      </w:r>
      <w:r w:rsidRPr="00E923BE">
        <w:rPr>
          <w:rStyle w:val="SingleTxt"/>
          <w:rFonts w:cs="SimSun"/>
        </w:rPr>
        <w:t>2012</w:t>
      </w:r>
      <w:r w:rsidRPr="00E923BE">
        <w:rPr>
          <w:rStyle w:val="SingleTxt"/>
          <w:rFonts w:cs="SimSun"/>
        </w:rPr>
        <w:t>年和</w:t>
      </w:r>
      <w:r w:rsidRPr="00E923BE">
        <w:rPr>
          <w:rStyle w:val="SingleTxt"/>
          <w:rFonts w:cs="SimSun"/>
        </w:rPr>
        <w:t>2015</w:t>
      </w:r>
      <w:r w:rsidRPr="00E923BE">
        <w:rPr>
          <w:rStyle w:val="SingleTxt"/>
          <w:rFonts w:cs="SimSun"/>
        </w:rPr>
        <w:t>年开展的《与对妇女家庭暴力现象作斗争国家行动计划》已经过更新并予以实施。《性别平等问题国家行动计划》的更新活动根据以下标题展开：促进土耳其性别平等、参与决策机制、卫生、教育、就业、环境、贫穷和媒体。该《行动计划》确定了目的、目标、执行期和负责机构，并且受到监督和评估会议的监督，而负责机构和机关将参与这些会议。</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26.</w:t>
      </w:r>
      <w:r w:rsidRPr="00E923BE">
        <w:rPr>
          <w:rStyle w:val="SingleTxt"/>
          <w:rFonts w:cs="SimSun"/>
        </w:rPr>
        <w:tab/>
      </w:r>
      <w:r w:rsidRPr="00E923BE">
        <w:rPr>
          <w:rStyle w:val="SingleTxt"/>
          <w:rFonts w:cs="SimSun"/>
        </w:rPr>
        <w:t>第</w:t>
      </w:r>
      <w:r w:rsidRPr="00E923BE">
        <w:rPr>
          <w:rStyle w:val="SingleTxt"/>
          <w:rFonts w:cs="SimSun"/>
        </w:rPr>
        <w:t>2</w:t>
      </w:r>
      <w:r w:rsidRPr="00E923BE">
        <w:rPr>
          <w:rStyle w:val="SingleTxt"/>
          <w:rFonts w:cs="SimSun"/>
        </w:rPr>
        <w:t>条</w:t>
      </w:r>
      <w:r w:rsidRPr="00E923BE">
        <w:rPr>
          <w:rStyle w:val="SingleTxt"/>
          <w:rFonts w:cs="SimSun"/>
        </w:rPr>
        <w:t>f</w:t>
      </w:r>
      <w:r w:rsidRPr="00E923BE">
        <w:rPr>
          <w:rStyle w:val="SingleTxt"/>
          <w:rFonts w:cs="SimSun"/>
        </w:rPr>
        <w:t>款和第</w:t>
      </w:r>
      <w:r w:rsidRPr="00E923BE">
        <w:rPr>
          <w:rStyle w:val="SingleTxt"/>
          <w:rFonts w:cs="SimSun"/>
        </w:rPr>
        <w:t>5</w:t>
      </w:r>
      <w:r w:rsidRPr="00E923BE">
        <w:rPr>
          <w:rStyle w:val="SingleTxt"/>
          <w:rFonts w:cs="SimSun"/>
        </w:rPr>
        <w:t>条</w:t>
      </w:r>
      <w:r w:rsidRPr="00E923BE">
        <w:rPr>
          <w:rStyle w:val="SingleTxt"/>
          <w:rFonts w:cs="SimSun"/>
        </w:rPr>
        <w:t>a</w:t>
      </w:r>
      <w:r w:rsidRPr="00E923BE">
        <w:rPr>
          <w:rStyle w:val="SingleTxt"/>
          <w:rFonts w:cs="SimSun"/>
        </w:rPr>
        <w:t>款提到的培训课程旨在向公共机构和机关的工作人员宣传性别平等观点，并且将性别平等观点纳入主要方案和政策主流。</w:t>
      </w:r>
    </w:p>
    <w:p w:rsidR="005C05C5" w:rsidRPr="00E923BE" w:rsidRDefault="005C05C5" w:rsidP="005C05C5">
      <w:pPr>
        <w:pStyle w:val="SingleTxtGC"/>
        <w:spacing w:before="240" w:after="240"/>
        <w:rPr>
          <w:rFonts w:eastAsia="SimHei" w:cs="Arial"/>
          <w:bCs/>
          <w:szCs w:val="21"/>
        </w:rPr>
      </w:pPr>
      <w:r>
        <w:rPr>
          <w:rFonts w:eastAsia="SimHei" w:cs="Arial"/>
          <w:bCs/>
          <w:szCs w:val="21"/>
        </w:rPr>
        <w:br w:type="page"/>
      </w:r>
      <w:r w:rsidRPr="00E923BE">
        <w:rPr>
          <w:rFonts w:eastAsia="SimHei" w:cs="Arial"/>
          <w:bCs/>
          <w:szCs w:val="21"/>
        </w:rPr>
        <w:t>第</w:t>
      </w:r>
      <w:r w:rsidRPr="00E923BE">
        <w:rPr>
          <w:rFonts w:eastAsia="SimHei" w:cs="Arial"/>
          <w:b/>
          <w:bCs/>
          <w:szCs w:val="21"/>
        </w:rPr>
        <w:t>2</w:t>
      </w:r>
      <w:r w:rsidRPr="00E923BE">
        <w:rPr>
          <w:rFonts w:eastAsia="SimHei" w:cs="Arial"/>
          <w:bCs/>
          <w:szCs w:val="21"/>
        </w:rPr>
        <w:t>条</w:t>
      </w:r>
      <w:r w:rsidRPr="00E923BE">
        <w:rPr>
          <w:rFonts w:eastAsia="SimHei" w:cs="Arial"/>
          <w:b/>
          <w:bCs/>
          <w:szCs w:val="21"/>
        </w:rPr>
        <w:t>e</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27.</w:t>
      </w:r>
      <w:r w:rsidRPr="00E923BE">
        <w:rPr>
          <w:rStyle w:val="SingleTxt"/>
          <w:rFonts w:cs="SimSun"/>
        </w:rPr>
        <w:tab/>
      </w:r>
      <w:r w:rsidRPr="00E923BE">
        <w:rPr>
          <w:rStyle w:val="SingleTxt"/>
          <w:rFonts w:cs="SimSun"/>
        </w:rPr>
        <w:t>见第</w:t>
      </w:r>
      <w:r w:rsidRPr="00E923BE">
        <w:rPr>
          <w:rStyle w:val="SingleTxt"/>
          <w:rFonts w:cs="SimSun"/>
        </w:rPr>
        <w:t>1</w:t>
      </w:r>
      <w:r w:rsidRPr="00E923BE">
        <w:rPr>
          <w:rStyle w:val="SingleTxt"/>
          <w:rFonts w:cs="SimSun"/>
        </w:rPr>
        <w:t>条和第</w:t>
      </w:r>
      <w:r w:rsidRPr="00E923BE">
        <w:rPr>
          <w:rStyle w:val="SingleTxt"/>
          <w:rFonts w:cs="SimSun"/>
        </w:rPr>
        <w:t>2</w:t>
      </w:r>
      <w:r w:rsidRPr="00E923BE">
        <w:rPr>
          <w:rStyle w:val="SingleTxt"/>
          <w:rFonts w:cs="SimSun"/>
        </w:rPr>
        <w:t>条</w:t>
      </w:r>
      <w:r w:rsidRPr="00E923BE">
        <w:rPr>
          <w:rStyle w:val="SingleTxt"/>
          <w:rFonts w:cs="SimSun"/>
        </w:rPr>
        <w:t>c</w:t>
      </w:r>
      <w:r w:rsidRPr="00E923BE">
        <w:rPr>
          <w:rStyle w:val="SingleTxt"/>
          <w:rFonts w:cs="SimSun"/>
        </w:rPr>
        <w:t>款。</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2</w:t>
      </w:r>
      <w:r w:rsidRPr="00E923BE">
        <w:rPr>
          <w:rFonts w:eastAsia="SimHei" w:cs="Arial"/>
          <w:bCs/>
          <w:szCs w:val="21"/>
        </w:rPr>
        <w:t>条</w:t>
      </w:r>
      <w:r w:rsidRPr="00E923BE">
        <w:rPr>
          <w:rFonts w:eastAsia="SimHei" w:cs="Arial"/>
          <w:b/>
          <w:bCs/>
          <w:szCs w:val="21"/>
        </w:rPr>
        <w:t>f</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28.</w:t>
      </w:r>
      <w:r w:rsidRPr="00E923BE">
        <w:rPr>
          <w:rStyle w:val="SingleTxt"/>
          <w:rFonts w:cs="SimSun"/>
        </w:rPr>
        <w:tab/>
      </w:r>
      <w:r w:rsidRPr="00E923BE">
        <w:rPr>
          <w:rStyle w:val="SingleTxt"/>
          <w:rFonts w:cs="SimSun"/>
        </w:rPr>
        <w:t>考虑到</w:t>
      </w:r>
      <w:r>
        <w:rPr>
          <w:rStyle w:val="SingleTxt"/>
          <w:rFonts w:cs="SimSun"/>
        </w:rPr>
        <w:t>结论性意见</w:t>
      </w:r>
      <w:r w:rsidRPr="00E923BE">
        <w:rPr>
          <w:rStyle w:val="SingleTxt"/>
          <w:rFonts w:cs="SimSun"/>
        </w:rPr>
        <w:t>第</w:t>
      </w:r>
      <w:r w:rsidRPr="00E923BE">
        <w:rPr>
          <w:rStyle w:val="SingleTxt"/>
          <w:rFonts w:cs="SimSun"/>
        </w:rPr>
        <w:t>21</w:t>
      </w:r>
      <w:r w:rsidRPr="00E923BE">
        <w:rPr>
          <w:rStyle w:val="SingleTxt"/>
          <w:rFonts w:cs="SimSun"/>
        </w:rPr>
        <w:t>段、第</w:t>
      </w:r>
      <w:r w:rsidRPr="00E923BE">
        <w:rPr>
          <w:rStyle w:val="SingleTxt"/>
          <w:rFonts w:cs="SimSun"/>
        </w:rPr>
        <w:t>22</w:t>
      </w:r>
      <w:r w:rsidRPr="00E923BE">
        <w:rPr>
          <w:rStyle w:val="SingleTxt"/>
          <w:rFonts w:cs="SimSun"/>
        </w:rPr>
        <w:t>段、第</w:t>
      </w:r>
      <w:r w:rsidRPr="00E923BE">
        <w:rPr>
          <w:rStyle w:val="SingleTxt"/>
          <w:rFonts w:cs="SimSun"/>
        </w:rPr>
        <w:t>23</w:t>
      </w:r>
      <w:r w:rsidRPr="00E923BE">
        <w:rPr>
          <w:rStyle w:val="SingleTxt"/>
          <w:rFonts w:cs="SimSun"/>
        </w:rPr>
        <w:t>段、第</w:t>
      </w:r>
      <w:r w:rsidRPr="00E923BE">
        <w:rPr>
          <w:rStyle w:val="SingleTxt"/>
          <w:rFonts w:cs="SimSun"/>
        </w:rPr>
        <w:t>24</w:t>
      </w:r>
      <w:r w:rsidRPr="00E923BE">
        <w:rPr>
          <w:rStyle w:val="SingleTxt"/>
          <w:rFonts w:cs="SimSun"/>
        </w:rPr>
        <w:t>段和第</w:t>
      </w:r>
      <w:r w:rsidRPr="00E923BE">
        <w:rPr>
          <w:rStyle w:val="SingleTxt"/>
          <w:rFonts w:cs="SimSun"/>
        </w:rPr>
        <w:t>25</w:t>
      </w:r>
      <w:r w:rsidRPr="00E923BE">
        <w:rPr>
          <w:rStyle w:val="SingleTxt"/>
          <w:rFonts w:cs="SimSun"/>
        </w:rPr>
        <w:t>段所强调的要点，提请注意土耳其共和国已经：</w:t>
      </w:r>
    </w:p>
    <w:p w:rsidR="005C05C5" w:rsidRPr="00E923BE" w:rsidRDefault="005C05C5" w:rsidP="005C05C5">
      <w:pPr>
        <w:pStyle w:val="SingleTxt"/>
        <w:spacing w:after="120"/>
        <w:ind w:left="1134" w:right="1134"/>
      </w:pPr>
      <w:r w:rsidRPr="00E923BE">
        <w:rPr>
          <w:rStyle w:val="SingleTxt"/>
          <w:rFonts w:cs="SimSun"/>
        </w:rPr>
        <w:t>29.</w:t>
      </w:r>
      <w:r w:rsidRPr="00E923BE">
        <w:rPr>
          <w:rStyle w:val="SingleTxt"/>
          <w:rFonts w:cs="SimSun"/>
        </w:rPr>
        <w:tab/>
      </w:r>
      <w:r w:rsidRPr="00E923BE">
        <w:rPr>
          <w:rStyle w:val="SingleTxt"/>
          <w:rFonts w:cs="SimSun"/>
        </w:rPr>
        <w:t>在家庭和社会政策部内开展一项法律工作，以打击对妇女的家庭暴力，并起草了</w:t>
      </w:r>
      <w:r w:rsidRPr="00E923BE">
        <w:rPr>
          <w:rStyle w:val="SingleTxt"/>
          <w:rFonts w:cs="SimSun"/>
          <w:cs/>
        </w:rPr>
        <w:t>“</w:t>
      </w:r>
      <w:r w:rsidRPr="00E923BE">
        <w:rPr>
          <w:rStyle w:val="SingleTxt"/>
          <w:rFonts w:cs="SimSun"/>
        </w:rPr>
        <w:t>关于保护家庭和防止暴力侵害妇女第</w:t>
      </w:r>
      <w:r w:rsidRPr="00E923BE">
        <w:rPr>
          <w:rStyle w:val="SingleTxt"/>
          <w:rFonts w:cs="SimSun"/>
        </w:rPr>
        <w:t>6284</w:t>
      </w:r>
      <w:r w:rsidRPr="00E923BE">
        <w:rPr>
          <w:rStyle w:val="SingleTxt"/>
          <w:rFonts w:cs="SimSun"/>
        </w:rPr>
        <w:t>号法律</w:t>
      </w:r>
      <w:r w:rsidRPr="00E923BE">
        <w:rPr>
          <w:rStyle w:val="SingleTxt"/>
          <w:rFonts w:cs="SimSun"/>
          <w:cs/>
        </w:rPr>
        <w:t>”</w:t>
      </w:r>
      <w:r>
        <w:rPr>
          <w:rStyle w:val="SingleTxt"/>
          <w:rFonts w:cs="SimSun"/>
        </w:rPr>
        <w:t>。这一法律根据由从事打击暴力侵害妇女工作的</w:t>
      </w:r>
      <w:r w:rsidRPr="00E923BE">
        <w:rPr>
          <w:rStyle w:val="SingleTxt"/>
          <w:rFonts w:cs="SimSun"/>
        </w:rPr>
        <w:t>非政府组织、检察官、家庭法庭法官以及律师协会负责人参与的会议制定；并且收到了所有相关机构和机关的书面意见。该法律于</w:t>
      </w:r>
      <w:r w:rsidRPr="00E923BE">
        <w:rPr>
          <w:rStyle w:val="SingleTxt"/>
          <w:rFonts w:cs="SimSun"/>
        </w:rPr>
        <w:t>2012</w:t>
      </w:r>
      <w:r w:rsidRPr="00E923BE">
        <w:rPr>
          <w:rStyle w:val="SingleTxt"/>
          <w:rFonts w:cs="SimSun"/>
        </w:rPr>
        <w:t>年</w:t>
      </w:r>
      <w:r w:rsidRPr="00E923BE">
        <w:rPr>
          <w:rStyle w:val="SingleTxt"/>
          <w:rFonts w:cs="SimSun"/>
        </w:rPr>
        <w:t>3</w:t>
      </w:r>
      <w:r w:rsidRPr="00E923BE">
        <w:rPr>
          <w:rStyle w:val="SingleTxt"/>
          <w:rFonts w:cs="SimSun"/>
        </w:rPr>
        <w:t>月</w:t>
      </w:r>
      <w:r w:rsidRPr="00E923BE">
        <w:rPr>
          <w:rStyle w:val="SingleTxt"/>
          <w:rFonts w:cs="SimSun"/>
        </w:rPr>
        <w:t>8</w:t>
      </w:r>
      <w:r w:rsidRPr="00E923BE">
        <w:rPr>
          <w:rStyle w:val="SingleTxt"/>
          <w:rFonts w:cs="SimSun"/>
        </w:rPr>
        <w:t>日在土耳其大国民议会大会获得一致通过，于</w:t>
      </w:r>
      <w:r w:rsidRPr="00E923BE">
        <w:rPr>
          <w:rStyle w:val="SingleTxt"/>
          <w:rFonts w:cs="SimSun"/>
        </w:rPr>
        <w:t>2012</w:t>
      </w:r>
      <w:r w:rsidRPr="00E923BE">
        <w:rPr>
          <w:rStyle w:val="SingleTxt"/>
          <w:rFonts w:cs="SimSun"/>
        </w:rPr>
        <w:t>年</w:t>
      </w:r>
      <w:r w:rsidRPr="00E923BE">
        <w:rPr>
          <w:rStyle w:val="SingleTxt"/>
          <w:rFonts w:cs="SimSun"/>
        </w:rPr>
        <w:t>3</w:t>
      </w:r>
      <w:r w:rsidRPr="00E923BE">
        <w:rPr>
          <w:rStyle w:val="SingleTxt"/>
          <w:rFonts w:cs="SimSun"/>
        </w:rPr>
        <w:t>月</w:t>
      </w:r>
      <w:r w:rsidRPr="00E923BE">
        <w:rPr>
          <w:rStyle w:val="SingleTxt"/>
          <w:rFonts w:cs="SimSun"/>
        </w:rPr>
        <w:t>20</w:t>
      </w:r>
      <w:r w:rsidRPr="00E923BE">
        <w:rPr>
          <w:rStyle w:val="SingleTxt"/>
          <w:rFonts w:cs="SimSun"/>
        </w:rPr>
        <w:t>日生效。</w:t>
      </w:r>
    </w:p>
    <w:p w:rsidR="005C05C5" w:rsidRPr="00E923BE" w:rsidRDefault="005C05C5" w:rsidP="005C05C5">
      <w:pPr>
        <w:pStyle w:val="SingleTxt"/>
        <w:spacing w:after="120"/>
        <w:ind w:left="1134" w:right="1134"/>
      </w:pPr>
      <w:r w:rsidRPr="00E923BE">
        <w:rPr>
          <w:rStyle w:val="SingleTxt"/>
          <w:rFonts w:cs="SimSun"/>
        </w:rPr>
        <w:t>30.</w:t>
      </w:r>
      <w:r w:rsidRPr="00E923BE">
        <w:rPr>
          <w:rStyle w:val="SingleTxt"/>
          <w:rFonts w:cs="SimSun"/>
        </w:rPr>
        <w:tab/>
      </w:r>
      <w:r w:rsidRPr="00E923BE">
        <w:rPr>
          <w:rStyle w:val="SingleTxt"/>
          <w:rFonts w:cs="SimSun"/>
        </w:rPr>
        <w:t>该法律扩大了性别暴力的概念，并且对</w:t>
      </w:r>
      <w:r w:rsidRPr="00E923BE">
        <w:rPr>
          <w:rStyle w:val="SingleTxt"/>
          <w:rFonts w:cs="SimSun"/>
          <w:cs/>
        </w:rPr>
        <w:t>“</w:t>
      </w:r>
      <w:r w:rsidRPr="00E923BE">
        <w:rPr>
          <w:rStyle w:val="SingleTxt"/>
          <w:rFonts w:cs="SimSun"/>
        </w:rPr>
        <w:t>暴力</w:t>
      </w:r>
      <w:r w:rsidRPr="00E923BE">
        <w:rPr>
          <w:rStyle w:val="SingleTxt"/>
          <w:rFonts w:cs="SimSun"/>
          <w:cs/>
        </w:rPr>
        <w:t>”</w:t>
      </w:r>
      <w:r w:rsidRPr="00E923BE">
        <w:rPr>
          <w:rStyle w:val="SingleTxt"/>
          <w:rFonts w:cs="SimSun"/>
        </w:rPr>
        <w:t>、</w:t>
      </w:r>
      <w:r w:rsidRPr="00E923BE">
        <w:rPr>
          <w:rStyle w:val="SingleTxt"/>
          <w:rFonts w:cs="SimSun"/>
          <w:cs/>
        </w:rPr>
        <w:t>“</w:t>
      </w:r>
      <w:r w:rsidRPr="00E923BE">
        <w:rPr>
          <w:rStyle w:val="SingleTxt"/>
          <w:rFonts w:cs="SimSun"/>
        </w:rPr>
        <w:t>家庭暴力</w:t>
      </w:r>
      <w:r w:rsidRPr="00E923BE">
        <w:rPr>
          <w:rStyle w:val="SingleTxt"/>
          <w:rFonts w:cs="SimSun"/>
          <w:cs/>
        </w:rPr>
        <w:t>”</w:t>
      </w:r>
      <w:r w:rsidRPr="00E923BE">
        <w:rPr>
          <w:rStyle w:val="SingleTxt"/>
          <w:rFonts w:cs="SimSun"/>
        </w:rPr>
        <w:t>和</w:t>
      </w:r>
      <w:r w:rsidRPr="00E923BE">
        <w:rPr>
          <w:rStyle w:val="SingleTxt"/>
          <w:rFonts w:cs="SimSun"/>
          <w:cs/>
        </w:rPr>
        <w:t>“</w:t>
      </w:r>
      <w:r w:rsidRPr="00E923BE">
        <w:rPr>
          <w:rStyle w:val="SingleTxt"/>
          <w:rFonts w:cs="SimSun"/>
        </w:rPr>
        <w:t>对妇女暴力</w:t>
      </w:r>
      <w:r w:rsidRPr="00E923BE">
        <w:rPr>
          <w:rStyle w:val="SingleTxt"/>
          <w:rFonts w:cs="SimSun"/>
          <w:cs/>
        </w:rPr>
        <w:t>”</w:t>
      </w:r>
      <w:r w:rsidRPr="00E923BE">
        <w:rPr>
          <w:rStyle w:val="SingleTxt"/>
          <w:rFonts w:cs="SimSun"/>
        </w:rPr>
        <w:t>的概念作出了定义，纳入了人身、语言、性、经济和心理暴力行为。该法律也详细制定了关于受保护者、犯罪者和潜在犯罪者的预防和保护措施。地方当局和主管执法人员也有权与家庭法庭法官一起在该法律条款的范围内发出预防令。因此，该法律使得保护令和预防令在周末和假期也可发出。该法律也保障了受害者的保密性和安全性，规定在必要情况下，个人和其他家庭成员受保护的身份信息或其他可泄露其身份的细节应在所有正式记录中应要求或依职和保护令进行隐匿处理。该法律也详细制定了对违反者的制裁，以增强保护令在遭到违反时的高效性和威慑力量。在这一方面，该法律规定对违反者判处三至十日的强制监禁，并且针对每次重复违反行为判处</w:t>
      </w:r>
      <w:r w:rsidRPr="00E923BE">
        <w:rPr>
          <w:rStyle w:val="SingleTxt"/>
          <w:rFonts w:cs="SimSun"/>
        </w:rPr>
        <w:t>15</w:t>
      </w:r>
      <w:r w:rsidRPr="00E923BE">
        <w:rPr>
          <w:rStyle w:val="SingleTxt"/>
          <w:rFonts w:cs="SimSun"/>
        </w:rPr>
        <w:t>至</w:t>
      </w:r>
      <w:r w:rsidRPr="00E923BE">
        <w:rPr>
          <w:rStyle w:val="SingleTxt"/>
          <w:rFonts w:cs="SimSun"/>
        </w:rPr>
        <w:t>30</w:t>
      </w:r>
      <w:r w:rsidRPr="00E923BE">
        <w:rPr>
          <w:rStyle w:val="SingleTxt"/>
          <w:rFonts w:cs="SimSun"/>
        </w:rPr>
        <w:t>日的强制监禁。该法律提出设立</w:t>
      </w:r>
      <w:r w:rsidRPr="00E923BE">
        <w:rPr>
          <w:rStyle w:val="SingleTxt"/>
          <w:rFonts w:cs="SimSun"/>
          <w:cs/>
        </w:rPr>
        <w:t>“</w:t>
      </w:r>
      <w:r w:rsidRPr="00E923BE">
        <w:rPr>
          <w:rStyle w:val="SingleTxt"/>
          <w:rFonts w:cs="SimSun"/>
        </w:rPr>
        <w:t>预防和控制暴力行为中心</w:t>
      </w:r>
      <w:r w:rsidRPr="00E923BE">
        <w:rPr>
          <w:rStyle w:val="SingleTxt"/>
          <w:rFonts w:cs="SimSun"/>
          <w:cs/>
        </w:rPr>
        <w:t>”</w:t>
      </w:r>
      <w:r w:rsidRPr="00E923BE">
        <w:rPr>
          <w:rStyle w:val="SingleTxt"/>
          <w:rFonts w:cs="SimSun"/>
        </w:rPr>
        <w:t>提供支持和监控服务，以积极监督预防令和保护令的实施情况，从而防止暴力行为，并且规定了这些中心可提供的服务。该法律的条款规定，保护令在有司法裁决的情况下可通过技术工具和方法执行。关于预防和控制暴力行为中心的详细信息，见第</w:t>
      </w:r>
      <w:r>
        <w:rPr>
          <w:rStyle w:val="SingleTxt"/>
          <w:rFonts w:cs="SimSun" w:hint="eastAsia"/>
        </w:rPr>
        <w:t>六</w:t>
      </w:r>
      <w:r w:rsidRPr="00E923BE">
        <w:rPr>
          <w:rStyle w:val="SingleTxt"/>
          <w:rFonts w:cs="SimSun"/>
        </w:rPr>
        <w:t>次报告后提交的后续报告以及后续报告后提交的更多信息。</w:t>
      </w:r>
    </w:p>
    <w:p w:rsidR="005C05C5" w:rsidRPr="00E923BE" w:rsidRDefault="005C05C5" w:rsidP="005C05C5">
      <w:pPr>
        <w:pStyle w:val="SingleTxt"/>
        <w:spacing w:after="120"/>
        <w:ind w:left="1134" w:right="1134"/>
      </w:pPr>
      <w:r w:rsidRPr="00E923BE">
        <w:rPr>
          <w:rStyle w:val="SingleTxt"/>
          <w:rFonts w:cs="SimSun"/>
        </w:rPr>
        <w:t>31.</w:t>
      </w:r>
      <w:r w:rsidRPr="00E923BE">
        <w:rPr>
          <w:rStyle w:val="SingleTxt"/>
          <w:rFonts w:cs="SimSun"/>
        </w:rPr>
        <w:tab/>
      </w:r>
      <w:r w:rsidRPr="00E923BE">
        <w:rPr>
          <w:rStyle w:val="SingleTxt"/>
          <w:rFonts w:cs="SimSun"/>
        </w:rPr>
        <w:t>《实施条例》根据相关机构和组织的观点和意见拟定，已于</w:t>
      </w:r>
      <w:r w:rsidRPr="00E923BE">
        <w:rPr>
          <w:rStyle w:val="SingleTxt"/>
          <w:rFonts w:cs="SimSun"/>
        </w:rPr>
        <w:t>2013</w:t>
      </w:r>
      <w:r w:rsidRPr="00E923BE">
        <w:rPr>
          <w:rStyle w:val="SingleTxt"/>
          <w:rFonts w:cs="SimSun"/>
        </w:rPr>
        <w:t>年</w:t>
      </w:r>
      <w:r w:rsidRPr="00E923BE">
        <w:rPr>
          <w:rStyle w:val="SingleTxt"/>
          <w:rFonts w:cs="SimSun"/>
        </w:rPr>
        <w:t>1</w:t>
      </w:r>
      <w:r w:rsidRPr="00E923BE">
        <w:rPr>
          <w:rStyle w:val="SingleTxt"/>
          <w:rFonts w:cs="SimSun"/>
        </w:rPr>
        <w:t>月</w:t>
      </w:r>
      <w:r w:rsidRPr="00E923BE">
        <w:rPr>
          <w:rStyle w:val="SingleTxt"/>
          <w:rFonts w:cs="SimSun"/>
        </w:rPr>
        <w:t>18</w:t>
      </w:r>
      <w:r w:rsidRPr="00E923BE">
        <w:rPr>
          <w:rStyle w:val="SingleTxt"/>
          <w:rFonts w:cs="SimSun"/>
        </w:rPr>
        <w:t>日生效。</w:t>
      </w:r>
    </w:p>
    <w:p w:rsidR="005C05C5" w:rsidRPr="00E923BE" w:rsidRDefault="005C05C5" w:rsidP="005C05C5">
      <w:pPr>
        <w:pStyle w:val="SingleTxt"/>
        <w:spacing w:after="120"/>
        <w:ind w:left="1134" w:right="1134"/>
      </w:pPr>
      <w:r w:rsidRPr="00E923BE">
        <w:rPr>
          <w:rStyle w:val="SingleTxt"/>
          <w:rFonts w:cs="SimSun"/>
        </w:rPr>
        <w:t>32.</w:t>
      </w:r>
      <w:r w:rsidRPr="00E923BE">
        <w:rPr>
          <w:rStyle w:val="SingleTxt"/>
          <w:rFonts w:cs="SimSun"/>
        </w:rPr>
        <w:tab/>
      </w:r>
      <w:r w:rsidRPr="00E923BE">
        <w:rPr>
          <w:rStyle w:val="SingleTxt"/>
          <w:rFonts w:cs="SimSun"/>
        </w:rPr>
        <w:t>考虑到</w:t>
      </w:r>
      <w:r>
        <w:rPr>
          <w:rStyle w:val="SingleTxt"/>
          <w:rFonts w:cs="SimSun"/>
        </w:rPr>
        <w:t>结论性意见</w:t>
      </w:r>
      <w:r w:rsidRPr="00E923BE">
        <w:rPr>
          <w:rStyle w:val="SingleTxt"/>
          <w:rFonts w:cs="SimSun"/>
        </w:rPr>
        <w:t>第</w:t>
      </w:r>
      <w:r w:rsidRPr="00E923BE">
        <w:rPr>
          <w:rStyle w:val="SingleTxt"/>
          <w:rFonts w:cs="SimSun"/>
        </w:rPr>
        <w:t>23</w:t>
      </w:r>
      <w:r w:rsidRPr="00E923BE">
        <w:rPr>
          <w:rStyle w:val="SingleTxt"/>
          <w:rFonts w:cs="SimSun"/>
        </w:rPr>
        <w:t>段强调的关切；尽管在第</w:t>
      </w:r>
      <w:r>
        <w:rPr>
          <w:rStyle w:val="SingleTxt"/>
          <w:rFonts w:cs="SimSun" w:hint="eastAsia"/>
        </w:rPr>
        <w:t>六</w:t>
      </w:r>
      <w:r w:rsidRPr="00E923BE">
        <w:rPr>
          <w:rStyle w:val="SingleTxt"/>
          <w:rFonts w:cs="SimSun"/>
        </w:rPr>
        <w:t>次报告期间，政府下属的避难所只有</w:t>
      </w:r>
      <w:r w:rsidRPr="00E923BE">
        <w:rPr>
          <w:rStyle w:val="SingleTxt"/>
          <w:rFonts w:cs="SimSun"/>
        </w:rPr>
        <w:t>43</w:t>
      </w:r>
      <w:r w:rsidRPr="00E923BE">
        <w:rPr>
          <w:rStyle w:val="SingleTxt"/>
          <w:rFonts w:cs="SimSun"/>
        </w:rPr>
        <w:t>所，但在家庭和社会政策部刚设立的</w:t>
      </w:r>
      <w:r w:rsidRPr="00E923BE">
        <w:rPr>
          <w:rStyle w:val="SingleTxt"/>
          <w:rFonts w:cs="SimSun"/>
        </w:rPr>
        <w:t>2011</w:t>
      </w:r>
      <w:r w:rsidRPr="00E923BE">
        <w:rPr>
          <w:rStyle w:val="SingleTxt"/>
          <w:rFonts w:cs="SimSun"/>
        </w:rPr>
        <w:t>年，该数字已上升至</w:t>
      </w:r>
      <w:r w:rsidRPr="00E923BE">
        <w:rPr>
          <w:rStyle w:val="SingleTxt"/>
          <w:rFonts w:cs="SimSun"/>
        </w:rPr>
        <w:t>48</w:t>
      </w:r>
      <w:r w:rsidRPr="00E923BE">
        <w:rPr>
          <w:rStyle w:val="SingleTxt"/>
          <w:rFonts w:cs="SimSun"/>
        </w:rPr>
        <w:t>所，可容纳</w:t>
      </w:r>
      <w:r w:rsidRPr="00E923BE">
        <w:rPr>
          <w:rStyle w:val="SingleTxt"/>
          <w:rFonts w:cs="SimSun"/>
        </w:rPr>
        <w:t>1 014</w:t>
      </w:r>
      <w:r w:rsidRPr="00E923BE">
        <w:rPr>
          <w:rStyle w:val="SingleTxt"/>
          <w:rFonts w:cs="SimSun"/>
        </w:rPr>
        <w:t>人。该部设立以后，避难所的数量迅速增多。目前共有</w:t>
      </w:r>
      <w:r w:rsidRPr="00E923BE">
        <w:rPr>
          <w:rStyle w:val="SingleTxt"/>
          <w:rFonts w:cs="SimSun"/>
        </w:rPr>
        <w:t>129</w:t>
      </w:r>
      <w:r w:rsidRPr="00E923BE">
        <w:rPr>
          <w:rStyle w:val="SingleTxt"/>
          <w:rFonts w:cs="SimSun"/>
        </w:rPr>
        <w:t>所妇女避难所，可容纳总人数为</w:t>
      </w:r>
      <w:r w:rsidRPr="00E923BE">
        <w:rPr>
          <w:rStyle w:val="SingleTxt"/>
          <w:rFonts w:cs="SimSun"/>
        </w:rPr>
        <w:t>3 365</w:t>
      </w:r>
      <w:r>
        <w:rPr>
          <w:rStyle w:val="SingleTxt"/>
          <w:rFonts w:cs="SimSun" w:hint="eastAsia"/>
        </w:rPr>
        <w:t>人</w:t>
      </w:r>
      <w:r w:rsidRPr="00E923BE">
        <w:rPr>
          <w:rStyle w:val="SingleTxt"/>
          <w:rFonts w:cs="SimSun"/>
        </w:rPr>
        <w:t>（其中</w:t>
      </w:r>
      <w:r w:rsidRPr="00E923BE">
        <w:rPr>
          <w:rStyle w:val="SingleTxt"/>
          <w:rFonts w:cs="SimSun"/>
        </w:rPr>
        <w:t>92</w:t>
      </w:r>
      <w:r w:rsidRPr="00E923BE">
        <w:rPr>
          <w:rStyle w:val="SingleTxt"/>
          <w:rFonts w:cs="SimSun"/>
        </w:rPr>
        <w:t>所隶属妇女地位总局，</w:t>
      </w:r>
      <w:r w:rsidRPr="00E923BE">
        <w:rPr>
          <w:rStyle w:val="SingleTxt"/>
          <w:rFonts w:cs="SimSun"/>
        </w:rPr>
        <w:t>3</w:t>
      </w:r>
      <w:r w:rsidRPr="00E923BE">
        <w:rPr>
          <w:rStyle w:val="SingleTxt"/>
          <w:rFonts w:cs="SimSun"/>
        </w:rPr>
        <w:t>所隶属非政府组织，</w:t>
      </w:r>
      <w:r w:rsidRPr="00E923BE">
        <w:rPr>
          <w:rStyle w:val="SingleTxt"/>
          <w:rFonts w:cs="SimSun"/>
        </w:rPr>
        <w:t>34</w:t>
      </w:r>
      <w:r w:rsidRPr="00E923BE">
        <w:rPr>
          <w:rStyle w:val="SingleTxt"/>
          <w:rFonts w:cs="SimSun"/>
        </w:rPr>
        <w:t>所隶属地方政府）。只有五个省还没有避难所，已经加快努力在无避难所的省份设立避难所。直至</w:t>
      </w:r>
      <w:r w:rsidRPr="00E923BE">
        <w:rPr>
          <w:rStyle w:val="SingleTxt"/>
          <w:rFonts w:cs="SimSun"/>
        </w:rPr>
        <w:t>2014</w:t>
      </w:r>
      <w:r w:rsidRPr="00E923BE">
        <w:rPr>
          <w:rStyle w:val="SingleTxt"/>
          <w:rFonts w:cs="SimSun"/>
        </w:rPr>
        <w:t>年</w:t>
      </w:r>
      <w:r w:rsidRPr="00E923BE">
        <w:rPr>
          <w:rStyle w:val="SingleTxt"/>
          <w:rFonts w:cs="SimSun"/>
        </w:rPr>
        <w:t>5</w:t>
      </w:r>
      <w:r w:rsidRPr="00E923BE">
        <w:rPr>
          <w:rStyle w:val="SingleTxt"/>
          <w:rFonts w:cs="SimSun"/>
        </w:rPr>
        <w:t>月，共有</w:t>
      </w:r>
      <w:r w:rsidRPr="00E923BE">
        <w:rPr>
          <w:rStyle w:val="SingleTxt"/>
          <w:rFonts w:cs="SimSun"/>
        </w:rPr>
        <w:t>39 352</w:t>
      </w:r>
      <w:r w:rsidRPr="00E923BE">
        <w:rPr>
          <w:rStyle w:val="SingleTxt"/>
          <w:rFonts w:cs="SimSun"/>
        </w:rPr>
        <w:t>人从该部下属的避难所受益，其中</w:t>
      </w:r>
      <w:r w:rsidRPr="00E923BE">
        <w:rPr>
          <w:rStyle w:val="SingleTxt"/>
          <w:rFonts w:cs="SimSun"/>
        </w:rPr>
        <w:t>26 980</w:t>
      </w:r>
      <w:r w:rsidRPr="00E923BE">
        <w:rPr>
          <w:rStyle w:val="SingleTxt"/>
          <w:rFonts w:cs="SimSun"/>
        </w:rPr>
        <w:t>人为妇女，</w:t>
      </w:r>
      <w:r w:rsidRPr="00E923BE">
        <w:rPr>
          <w:rStyle w:val="SingleTxt"/>
          <w:rFonts w:cs="SimSun"/>
        </w:rPr>
        <w:t>12 372</w:t>
      </w:r>
      <w:r w:rsidRPr="00E923BE">
        <w:rPr>
          <w:rStyle w:val="SingleTxt"/>
          <w:rFonts w:cs="SimSun"/>
        </w:rPr>
        <w:t>人为儿童。</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33.</w:t>
      </w:r>
      <w:r w:rsidRPr="00E923BE">
        <w:rPr>
          <w:rStyle w:val="SingleTxt"/>
          <w:rFonts w:cs="SimSun"/>
        </w:rPr>
        <w:tab/>
      </w:r>
      <w:r w:rsidRPr="00E923BE">
        <w:rPr>
          <w:rStyle w:val="SingleTxt"/>
          <w:rFonts w:cs="SimSun"/>
        </w:rPr>
        <w:t>关于重建妇女避难所的《妇女避难所开设和运营条例》拟定工作得到了所有相关机构和机关以及非政府组织的参与和贡献，该《条例》已于</w:t>
      </w:r>
      <w:r w:rsidRPr="00E923BE">
        <w:rPr>
          <w:rStyle w:val="SingleTxt"/>
          <w:rFonts w:cs="SimSun"/>
        </w:rPr>
        <w:t>2013</w:t>
      </w:r>
      <w:r w:rsidRPr="00E923BE">
        <w:rPr>
          <w:rStyle w:val="SingleTxt"/>
          <w:rFonts w:cs="SimSun"/>
        </w:rPr>
        <w:t>年</w:t>
      </w:r>
      <w:r w:rsidRPr="00E923BE">
        <w:rPr>
          <w:rStyle w:val="SingleTxt"/>
          <w:rFonts w:cs="SimSun"/>
        </w:rPr>
        <w:t>1</w:t>
      </w:r>
      <w:r w:rsidRPr="00E923BE">
        <w:rPr>
          <w:rStyle w:val="SingleTxt"/>
          <w:rFonts w:cs="SimSun"/>
        </w:rPr>
        <w:t>月</w:t>
      </w:r>
      <w:r w:rsidRPr="00E923BE">
        <w:rPr>
          <w:rStyle w:val="SingleTxt"/>
          <w:rFonts w:cs="SimSun"/>
        </w:rPr>
        <w:t>5</w:t>
      </w:r>
      <w:r w:rsidRPr="00E923BE">
        <w:rPr>
          <w:rStyle w:val="SingleTxt"/>
          <w:rFonts w:cs="SimSun"/>
        </w:rPr>
        <w:t>日生效。</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34.</w:t>
      </w:r>
      <w:r w:rsidRPr="00E923BE">
        <w:rPr>
          <w:rStyle w:val="SingleTxt"/>
          <w:rFonts w:cs="SimSun"/>
        </w:rPr>
        <w:tab/>
      </w:r>
      <w:r w:rsidRPr="00E923BE">
        <w:rPr>
          <w:rStyle w:val="SingleTxt"/>
          <w:rFonts w:cs="SimSun"/>
        </w:rPr>
        <w:t>在妇女避难所下开设的第一步服务站旨在为寻求庇护的女性暴力受害者提供初步检查，该服务部门将检查她们的心理和经济状况，在获得临时接收后，她们可在此逗留最多两个星期。三个第一步服务站已于</w:t>
      </w:r>
      <w:r w:rsidRPr="00E923BE">
        <w:rPr>
          <w:rStyle w:val="SingleTxt"/>
          <w:rFonts w:cs="SimSun"/>
        </w:rPr>
        <w:t>2011</w:t>
      </w:r>
      <w:r w:rsidRPr="00E923BE">
        <w:rPr>
          <w:rStyle w:val="SingleTxt"/>
          <w:rFonts w:cs="SimSun"/>
        </w:rPr>
        <w:t>年</w:t>
      </w:r>
      <w:r w:rsidRPr="00E923BE">
        <w:rPr>
          <w:rStyle w:val="SingleTxt"/>
          <w:rFonts w:cs="SimSun"/>
        </w:rPr>
        <w:t>7</w:t>
      </w:r>
      <w:r w:rsidRPr="00E923BE">
        <w:rPr>
          <w:rStyle w:val="SingleTxt"/>
          <w:rFonts w:cs="SimSun"/>
        </w:rPr>
        <w:t>月设立；直至</w:t>
      </w:r>
      <w:r w:rsidRPr="00E923BE">
        <w:rPr>
          <w:rStyle w:val="SingleTxt"/>
          <w:rFonts w:cs="SimSun"/>
        </w:rPr>
        <w:t>2014</w:t>
      </w:r>
      <w:r w:rsidRPr="00E923BE">
        <w:rPr>
          <w:rStyle w:val="SingleTxt"/>
          <w:rFonts w:cs="SimSun"/>
        </w:rPr>
        <w:t>年</w:t>
      </w:r>
      <w:r w:rsidRPr="00E923BE">
        <w:rPr>
          <w:rStyle w:val="SingleTxt"/>
          <w:rFonts w:cs="SimSun"/>
        </w:rPr>
        <w:t>5</w:t>
      </w:r>
      <w:r w:rsidRPr="00E923BE">
        <w:rPr>
          <w:rStyle w:val="SingleTxt"/>
          <w:rFonts w:cs="SimSun"/>
        </w:rPr>
        <w:t>月，全土耳其已有</w:t>
      </w:r>
      <w:r w:rsidRPr="00E923BE">
        <w:rPr>
          <w:rStyle w:val="SingleTxt"/>
          <w:rFonts w:cs="SimSun"/>
        </w:rPr>
        <w:t>25</w:t>
      </w:r>
      <w:r w:rsidRPr="00E923BE">
        <w:rPr>
          <w:rStyle w:val="SingleTxt"/>
          <w:rFonts w:cs="SimSun"/>
        </w:rPr>
        <w:t>个第一步服务站正在运作。根据各省的规模和收到的申请数量，土耳其将按需要在各省持续设立第一步服务站。</w:t>
      </w:r>
    </w:p>
    <w:p w:rsidR="005C05C5" w:rsidRPr="00E923BE" w:rsidRDefault="005C05C5" w:rsidP="005C05C5">
      <w:pPr>
        <w:pStyle w:val="SingleTxt"/>
        <w:spacing w:after="120"/>
        <w:ind w:left="1134" w:right="1134"/>
      </w:pPr>
      <w:r w:rsidRPr="00E923BE">
        <w:rPr>
          <w:rStyle w:val="SingleTxt"/>
          <w:rFonts w:cs="SimSun"/>
        </w:rPr>
        <w:t>35.</w:t>
      </w:r>
      <w:r w:rsidRPr="00E923BE">
        <w:rPr>
          <w:rStyle w:val="SingleTxt"/>
          <w:rFonts w:cs="SimSun"/>
        </w:rPr>
        <w:tab/>
      </w:r>
      <w:r w:rsidRPr="00E923BE">
        <w:rPr>
          <w:rStyle w:val="SingleTxt"/>
          <w:rFonts w:cs="SimSun"/>
        </w:rPr>
        <w:t>根据第</w:t>
      </w:r>
      <w:r w:rsidRPr="00E923BE">
        <w:rPr>
          <w:rStyle w:val="SingleTxt"/>
          <w:rFonts w:cs="SimSun"/>
        </w:rPr>
        <w:t>6284</w:t>
      </w:r>
      <w:r w:rsidRPr="00E923BE">
        <w:rPr>
          <w:rStyle w:val="SingleTxt"/>
          <w:rFonts w:cs="SimSun"/>
        </w:rPr>
        <w:t>号法律，</w:t>
      </w:r>
      <w:r w:rsidRPr="00E923BE">
        <w:rPr>
          <w:rStyle w:val="SingleTxt"/>
          <w:rFonts w:cs="SimSun"/>
        </w:rPr>
        <w:t>2014</w:t>
      </w:r>
      <w:r w:rsidRPr="00E923BE">
        <w:rPr>
          <w:rStyle w:val="SingleTxt"/>
          <w:rFonts w:cs="SimSun"/>
        </w:rPr>
        <w:t>年</w:t>
      </w:r>
      <w:r w:rsidRPr="00E923BE">
        <w:rPr>
          <w:rStyle w:val="SingleTxt"/>
          <w:rFonts w:cs="SimSun"/>
        </w:rPr>
        <w:t>5</w:t>
      </w:r>
      <w:r w:rsidRPr="00E923BE">
        <w:rPr>
          <w:rStyle w:val="SingleTxt"/>
          <w:rFonts w:cs="SimSun"/>
        </w:rPr>
        <w:t>月为止已发出</w:t>
      </w:r>
      <w:r w:rsidRPr="00E923BE">
        <w:rPr>
          <w:rStyle w:val="SingleTxt"/>
          <w:rFonts w:cs="SimSun"/>
        </w:rPr>
        <w:t>31 828</w:t>
      </w:r>
      <w:r w:rsidRPr="00E923BE">
        <w:rPr>
          <w:rStyle w:val="SingleTxt"/>
          <w:rFonts w:cs="SimSun"/>
        </w:rPr>
        <w:t>项保护令和</w:t>
      </w:r>
      <w:r w:rsidRPr="00E923BE">
        <w:rPr>
          <w:rStyle w:val="SingleTxt"/>
          <w:rFonts w:cs="SimSun"/>
        </w:rPr>
        <w:t>198 961</w:t>
      </w:r>
      <w:r w:rsidRPr="00E923BE">
        <w:rPr>
          <w:rStyle w:val="SingleTxt"/>
          <w:rFonts w:cs="SimSun"/>
        </w:rPr>
        <w:t>项预防令，并且已判处</w:t>
      </w:r>
      <w:r w:rsidRPr="00E923BE">
        <w:rPr>
          <w:rStyle w:val="SingleTxt"/>
          <w:rFonts w:cs="SimSun"/>
        </w:rPr>
        <w:t>3 231</w:t>
      </w:r>
      <w:r w:rsidRPr="00E923BE">
        <w:rPr>
          <w:rStyle w:val="SingleTxt"/>
          <w:rFonts w:cs="SimSun"/>
        </w:rPr>
        <w:t>例强制监禁。</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36.</w:t>
      </w:r>
      <w:r w:rsidRPr="00E923BE">
        <w:rPr>
          <w:rStyle w:val="SingleTxt"/>
          <w:rFonts w:cs="SimSun"/>
        </w:rPr>
        <w:tab/>
      </w:r>
      <w:r w:rsidRPr="00E923BE">
        <w:rPr>
          <w:rStyle w:val="SingleTxt"/>
          <w:rFonts w:cs="SimSun"/>
        </w:rPr>
        <w:t>关于重新评估和扩大《刑法》所确立性犯罪范围的法律草案旨在加强对此类犯罪的刑法，已于</w:t>
      </w:r>
      <w:r w:rsidRPr="00E923BE">
        <w:rPr>
          <w:rStyle w:val="SingleTxt"/>
          <w:rFonts w:cs="SimSun"/>
        </w:rPr>
        <w:t>2014</w:t>
      </w:r>
      <w:r w:rsidRPr="00E923BE">
        <w:rPr>
          <w:rStyle w:val="SingleTxt"/>
          <w:rFonts w:cs="SimSun"/>
        </w:rPr>
        <w:t>年</w:t>
      </w:r>
      <w:r w:rsidRPr="00E923BE">
        <w:rPr>
          <w:rStyle w:val="SingleTxt"/>
          <w:rFonts w:cs="SimSun"/>
        </w:rPr>
        <w:t>7</w:t>
      </w:r>
      <w:r w:rsidRPr="00E923BE">
        <w:rPr>
          <w:rStyle w:val="SingleTxt"/>
          <w:rFonts w:cs="SimSun"/>
        </w:rPr>
        <w:t>月</w:t>
      </w:r>
      <w:r w:rsidRPr="00E923BE">
        <w:rPr>
          <w:rStyle w:val="SingleTxt"/>
          <w:rFonts w:cs="SimSun"/>
        </w:rPr>
        <w:t>17</w:t>
      </w:r>
      <w:r w:rsidRPr="00E923BE">
        <w:rPr>
          <w:rStyle w:val="SingleTxt"/>
          <w:rFonts w:cs="SimSun"/>
        </w:rPr>
        <w:t>日在土耳其大国民议会获得通过。对性犯罪的惩罚不断加重，犯罪的主要形式已经得到监管，定罪范围也得到扩大。若监护人、养父母和寄养亲属利用共同生活环境施加不正当影响，从事上述犯罪行为的，所受到的处罚应加倍。提到执行困难的一个小段，即关于在受害者遭受身心健康损害时应加重惩罚的内容，已从相关条款中删除，以免在法证科学程序中发生二次受害。土耳其也在虐待儿童问题上制定了若干规定。</w:t>
      </w:r>
      <w:r w:rsidRPr="00E923BE">
        <w:rPr>
          <w:rStyle w:val="SingleTxt"/>
          <w:rFonts w:cs="SimSun" w:hint="eastAsia"/>
        </w:rPr>
        <w:t>若</w:t>
      </w:r>
      <w:r w:rsidRPr="00E923BE">
        <w:rPr>
          <w:rStyle w:val="SingleTxt"/>
          <w:rFonts w:cs="SimSun"/>
        </w:rPr>
        <w:t>对与未成年人</w:t>
      </w:r>
      <w:r w:rsidRPr="00E923BE">
        <w:rPr>
          <w:rStyle w:val="SingleTxt"/>
          <w:rFonts w:cs="SimSun" w:hint="eastAsia"/>
        </w:rPr>
        <w:t>发生</w:t>
      </w:r>
      <w:r w:rsidRPr="00E923BE">
        <w:rPr>
          <w:rStyle w:val="SingleTxt"/>
          <w:rFonts w:cs="SimSun"/>
        </w:rPr>
        <w:t>性交行为的</w:t>
      </w:r>
      <w:r w:rsidRPr="00E923BE">
        <w:rPr>
          <w:rStyle w:val="SingleTxt"/>
          <w:rFonts w:cs="SimSun" w:hint="eastAsia"/>
        </w:rPr>
        <w:t>，</w:t>
      </w:r>
      <w:r w:rsidRPr="00E923BE">
        <w:rPr>
          <w:rStyle w:val="SingleTxt"/>
          <w:rFonts w:cs="SimSun"/>
        </w:rPr>
        <w:t>所受到的处罚应加倍。继父母、养父母或监护人与未成年人实施该行为也首次被列为犯罪。这一规定旨在惩罚家庭性虐待行为。</w:t>
      </w:r>
      <w:r w:rsidRPr="00E923BE">
        <w:rPr>
          <w:rStyle w:val="SingleTxt"/>
          <w:rFonts w:cs="SimSun" w:hint="eastAsia"/>
        </w:rPr>
        <w:t>若</w:t>
      </w:r>
      <w:r w:rsidRPr="00E923BE">
        <w:rPr>
          <w:rStyle w:val="SingleTxt"/>
          <w:rFonts w:cs="SimSun"/>
        </w:rPr>
        <w:t>监护人、照顾者、监护家长或保健工作者利用公共服务之便利犯罪，或利用电子通讯工具或以展示形式犯罪</w:t>
      </w:r>
      <w:r w:rsidRPr="00E923BE">
        <w:rPr>
          <w:rStyle w:val="SingleTxt"/>
          <w:rFonts w:cs="SimSun" w:hint="eastAsia"/>
        </w:rPr>
        <w:t>的</w:t>
      </w:r>
      <w:r w:rsidRPr="00E923BE">
        <w:rPr>
          <w:rStyle w:val="SingleTxt"/>
          <w:rFonts w:cs="SimSun"/>
        </w:rPr>
        <w:t>，均被定为加重</w:t>
      </w:r>
      <w:r w:rsidRPr="00E923BE">
        <w:rPr>
          <w:rStyle w:val="SingleTxt"/>
          <w:rFonts w:cs="SimSun" w:hint="eastAsia"/>
        </w:rPr>
        <w:t>惩罚</w:t>
      </w:r>
      <w:r w:rsidRPr="00E923BE">
        <w:rPr>
          <w:rStyle w:val="SingleTxt"/>
          <w:rFonts w:cs="SimSun"/>
        </w:rPr>
        <w:t>情节。</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37.</w:t>
      </w:r>
      <w:r w:rsidRPr="00E923BE">
        <w:rPr>
          <w:rStyle w:val="SingleTxt"/>
          <w:rFonts w:cs="SimSun"/>
        </w:rPr>
        <w:tab/>
      </w:r>
      <w:r w:rsidRPr="00E923BE">
        <w:rPr>
          <w:rStyle w:val="SingleTxt"/>
          <w:rFonts w:cs="SimSun"/>
        </w:rPr>
        <w:t>有关根据《刑法》中关于风俗杀人（</w:t>
      </w:r>
      <w:r w:rsidRPr="00E923BE">
        <w:rPr>
          <w:rStyle w:val="SingleTxt"/>
          <w:rFonts w:cs="SimSun"/>
        </w:rPr>
        <w:t>82-1/k</w:t>
      </w:r>
      <w:r w:rsidRPr="00E923BE">
        <w:rPr>
          <w:rStyle w:val="SingleTxt"/>
          <w:rFonts w:cs="SimSun"/>
        </w:rPr>
        <w:t>）、性侵犯（</w:t>
      </w:r>
      <w:r w:rsidRPr="00E923BE">
        <w:rPr>
          <w:rStyle w:val="SingleTxt"/>
          <w:rFonts w:cs="SimSun"/>
        </w:rPr>
        <w:t>102</w:t>
      </w:r>
      <w:r w:rsidRPr="00E923BE">
        <w:rPr>
          <w:rStyle w:val="SingleTxt"/>
          <w:rFonts w:cs="SimSun"/>
        </w:rPr>
        <w:t>）、儿童性虐待（</w:t>
      </w:r>
      <w:r w:rsidRPr="00E923BE">
        <w:rPr>
          <w:rStyle w:val="SingleTxt"/>
          <w:rFonts w:cs="SimSun"/>
        </w:rPr>
        <w:t>103</w:t>
      </w:r>
      <w:r w:rsidRPr="00E923BE">
        <w:rPr>
          <w:rStyle w:val="SingleTxt"/>
          <w:rFonts w:cs="SimSun"/>
        </w:rPr>
        <w:t>）、与未成年人性交（</w:t>
      </w:r>
      <w:r w:rsidRPr="00E923BE">
        <w:rPr>
          <w:rStyle w:val="SingleTxt"/>
          <w:rFonts w:cs="SimSun"/>
        </w:rPr>
        <w:t>104</w:t>
      </w:r>
      <w:r w:rsidRPr="00E923BE">
        <w:rPr>
          <w:rStyle w:val="SingleTxt"/>
          <w:rFonts w:cs="SimSun"/>
        </w:rPr>
        <w:t>）和性骚扰（</w:t>
      </w:r>
      <w:r w:rsidRPr="00E923BE">
        <w:rPr>
          <w:rStyle w:val="SingleTxt"/>
          <w:rFonts w:cs="SimSun"/>
        </w:rPr>
        <w:t>105</w:t>
      </w:r>
      <w:r w:rsidRPr="00E923BE">
        <w:rPr>
          <w:rStyle w:val="SingleTxt"/>
          <w:rFonts w:cs="SimSun"/>
        </w:rPr>
        <w:t>）条款对所提交案件判刑的信息，见附件表</w:t>
      </w:r>
      <w:r w:rsidRPr="00E923BE">
        <w:rPr>
          <w:rStyle w:val="SingleTxt"/>
          <w:rFonts w:cs="SimSun"/>
        </w:rPr>
        <w:t>2</w:t>
      </w:r>
      <w:r w:rsidRPr="00E923BE">
        <w:rPr>
          <w:rStyle w:val="SingleTxt"/>
          <w:rFonts w:cs="SimSun"/>
        </w:rPr>
        <w:t>。有关</w:t>
      </w:r>
      <w:r w:rsidRPr="00E923BE">
        <w:rPr>
          <w:rStyle w:val="SingleTxt"/>
          <w:rFonts w:cs="SimSun" w:hint="eastAsia"/>
        </w:rPr>
        <w:t>谋杀</w:t>
      </w:r>
      <w:r w:rsidRPr="00E923BE">
        <w:rPr>
          <w:rStyle w:val="SingleTxt"/>
          <w:rFonts w:cs="SimSun"/>
        </w:rPr>
        <w:t>妇女的信息，见附件表</w:t>
      </w:r>
      <w:r w:rsidRPr="00E923BE">
        <w:rPr>
          <w:rStyle w:val="SingleTxt"/>
          <w:rFonts w:cs="SimSun"/>
        </w:rPr>
        <w:t>3</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38.</w:t>
      </w:r>
      <w:r w:rsidRPr="00E923BE">
        <w:rPr>
          <w:rStyle w:val="SingleTxt"/>
          <w:rFonts w:cs="SimSun"/>
        </w:rPr>
        <w:tab/>
      </w:r>
      <w:r w:rsidRPr="00E923BE">
        <w:rPr>
          <w:rStyle w:val="SingleTxt"/>
          <w:rFonts w:cs="SimSun"/>
        </w:rPr>
        <w:t>目前，向社会各阶层、尤其是性别平等主流化服务者和决策者提供的培训课程越来越多，旨在把现有的法律框架付诸实践，防止暴力侵害妇女行为，并且实现心理上的转变。在这些培训课程中，</w:t>
      </w:r>
      <w:r w:rsidRPr="00E923BE">
        <w:rPr>
          <w:rStyle w:val="SingleTxt"/>
          <w:rFonts w:cs="SimSun" w:hint="eastAsia"/>
        </w:rPr>
        <w:t>参加</w:t>
      </w:r>
      <w:r w:rsidRPr="00E923BE">
        <w:rPr>
          <w:rStyle w:val="SingleTxt"/>
          <w:rFonts w:cs="SimSun"/>
        </w:rPr>
        <w:t>者主要获得有关《消除对妇女一切形式歧视公约》（正如</w:t>
      </w:r>
      <w:r>
        <w:rPr>
          <w:rStyle w:val="SingleTxt"/>
          <w:rFonts w:cs="SimSun"/>
        </w:rPr>
        <w:t>结论性意见</w:t>
      </w:r>
      <w:r w:rsidRPr="00E923BE">
        <w:rPr>
          <w:rStyle w:val="SingleTxt"/>
          <w:rFonts w:cs="SimSun"/>
        </w:rPr>
        <w:t>第</w:t>
      </w:r>
      <w:r w:rsidRPr="00E923BE">
        <w:rPr>
          <w:rStyle w:val="SingleTxt"/>
          <w:rFonts w:cs="SimSun"/>
        </w:rPr>
        <w:t>13</w:t>
      </w:r>
      <w:r w:rsidRPr="00E923BE">
        <w:rPr>
          <w:rStyle w:val="SingleTxt"/>
          <w:rFonts w:cs="SimSun"/>
        </w:rPr>
        <w:t>段所建议）和《伊斯坦布尔公约》、第</w:t>
      </w:r>
      <w:r w:rsidRPr="00E923BE">
        <w:rPr>
          <w:rStyle w:val="SingleTxt"/>
          <w:rFonts w:cs="SimSun"/>
        </w:rPr>
        <w:t>6284</w:t>
      </w:r>
      <w:r w:rsidRPr="00E923BE">
        <w:rPr>
          <w:rStyle w:val="SingleTxt"/>
          <w:rFonts w:cs="SimSun"/>
        </w:rPr>
        <w:t>号法律以及土耳其所有现行相关法律的</w:t>
      </w:r>
      <w:r w:rsidRPr="00E923BE">
        <w:rPr>
          <w:rStyle w:val="SingleTxt"/>
          <w:rFonts w:cs="SimSun" w:hint="eastAsia"/>
        </w:rPr>
        <w:t>知识</w:t>
      </w:r>
      <w:r w:rsidRPr="00E923BE">
        <w:rPr>
          <w:rStyle w:val="SingleTxt"/>
          <w:rFonts w:cs="SimSun"/>
        </w:rPr>
        <w:t>。以下是部分培训课程的例子，这些方案被认为是有助实现</w:t>
      </w:r>
      <w:r>
        <w:rPr>
          <w:rStyle w:val="SingleTxt"/>
          <w:rFonts w:cs="SimSun"/>
        </w:rPr>
        <w:t>结论性意见</w:t>
      </w:r>
      <w:r w:rsidRPr="00E923BE">
        <w:rPr>
          <w:rStyle w:val="SingleTxt"/>
          <w:rFonts w:cs="SimSun"/>
        </w:rPr>
        <w:t>第</w:t>
      </w:r>
      <w:r w:rsidRPr="00E923BE">
        <w:rPr>
          <w:rStyle w:val="SingleTxt"/>
          <w:rFonts w:cs="SimSun"/>
        </w:rPr>
        <w:t>20</w:t>
      </w:r>
      <w:r w:rsidRPr="00E923BE">
        <w:rPr>
          <w:rStyle w:val="SingleTxt"/>
          <w:rFonts w:cs="SimSun"/>
        </w:rPr>
        <w:t>段、第</w:t>
      </w:r>
      <w:r w:rsidRPr="00E923BE">
        <w:rPr>
          <w:rStyle w:val="SingleTxt"/>
          <w:rFonts w:cs="SimSun"/>
        </w:rPr>
        <w:t>21</w:t>
      </w:r>
      <w:r w:rsidRPr="00E923BE">
        <w:rPr>
          <w:rStyle w:val="SingleTxt"/>
          <w:rFonts w:cs="SimSun"/>
        </w:rPr>
        <w:t>段和第</w:t>
      </w:r>
      <w:r w:rsidRPr="00E923BE">
        <w:rPr>
          <w:rStyle w:val="SingleTxt"/>
          <w:rFonts w:cs="SimSun"/>
        </w:rPr>
        <w:t>22</w:t>
      </w:r>
      <w:r w:rsidRPr="00E923BE">
        <w:rPr>
          <w:rStyle w:val="SingleTxt"/>
          <w:rFonts w:cs="SimSun"/>
        </w:rPr>
        <w:t>段提到的建议要点：</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39.</w:t>
      </w:r>
      <w:r w:rsidRPr="00E923BE">
        <w:rPr>
          <w:rStyle w:val="SingleTxt"/>
          <w:rFonts w:cs="SimSun"/>
        </w:rPr>
        <w:tab/>
      </w:r>
      <w:r w:rsidRPr="00E923BE">
        <w:rPr>
          <w:rStyle w:val="SingleTxt"/>
          <w:rFonts w:cs="SimSun"/>
        </w:rPr>
        <w:t>自</w:t>
      </w:r>
      <w:r w:rsidRPr="00E923BE">
        <w:rPr>
          <w:rStyle w:val="SingleTxt"/>
          <w:rFonts w:cs="SimSun"/>
        </w:rPr>
        <w:t>2007</w:t>
      </w:r>
      <w:r w:rsidRPr="00E923BE">
        <w:rPr>
          <w:rStyle w:val="SingleTxt"/>
          <w:rFonts w:cs="SimSun"/>
        </w:rPr>
        <w:t>年以来，</w:t>
      </w:r>
      <w:r w:rsidRPr="00E923BE">
        <w:rPr>
          <w:rStyle w:val="SingleTxt"/>
          <w:rFonts w:cs="SimSun"/>
        </w:rPr>
        <w:t>71 000</w:t>
      </w:r>
      <w:r w:rsidRPr="00E923BE">
        <w:rPr>
          <w:rStyle w:val="SingleTxt"/>
          <w:rFonts w:cs="SimSun"/>
        </w:rPr>
        <w:t>名警察、</w:t>
      </w:r>
      <w:r w:rsidRPr="00E923BE">
        <w:rPr>
          <w:rStyle w:val="SingleTxt"/>
          <w:rFonts w:cs="SimSun"/>
        </w:rPr>
        <w:t>65 000</w:t>
      </w:r>
      <w:r w:rsidRPr="00E923BE">
        <w:rPr>
          <w:rStyle w:val="SingleTxt"/>
          <w:rFonts w:cs="SimSun"/>
        </w:rPr>
        <w:t>名医务人员和</w:t>
      </w:r>
      <w:r w:rsidRPr="00E923BE">
        <w:rPr>
          <w:rStyle w:val="SingleTxt"/>
          <w:rFonts w:cs="SimSun"/>
        </w:rPr>
        <w:t>21 000</w:t>
      </w:r>
      <w:r w:rsidRPr="00E923BE">
        <w:rPr>
          <w:rStyle w:val="SingleTxt"/>
          <w:rFonts w:cs="SimSun"/>
        </w:rPr>
        <w:t>名宗教官员已接受了关于打击暴力侵害女性行为和性别平等的培训。土耳其也为</w:t>
      </w:r>
      <w:r w:rsidRPr="00E923BE">
        <w:rPr>
          <w:rStyle w:val="SingleTxt"/>
          <w:rFonts w:cs="SimSun"/>
        </w:rPr>
        <w:t>336</w:t>
      </w:r>
      <w:r w:rsidRPr="00E923BE">
        <w:rPr>
          <w:rStyle w:val="SingleTxt"/>
          <w:rFonts w:cs="SimSun"/>
        </w:rPr>
        <w:t>名家庭法庭法官和检察官组织了一系列讨论会。此外，执法局已设立了一支对妇女家庭暴力问题专家教员团队。而且，</w:t>
      </w:r>
      <w:r w:rsidRPr="00E923BE">
        <w:rPr>
          <w:rStyle w:val="SingleTxt"/>
          <w:rFonts w:cs="SimSun"/>
        </w:rPr>
        <w:t>3 300</w:t>
      </w:r>
      <w:r w:rsidRPr="00E923BE">
        <w:rPr>
          <w:rStyle w:val="SingleTxt"/>
          <w:rFonts w:cs="SimSun"/>
        </w:rPr>
        <w:t>名公务人员已参加了</w:t>
      </w:r>
      <w:r w:rsidRPr="00E923BE">
        <w:rPr>
          <w:rStyle w:val="SingleTxt"/>
          <w:rFonts w:cs="SimSun"/>
          <w:cs/>
        </w:rPr>
        <w:t>“</w:t>
      </w:r>
      <w:r>
        <w:rPr>
          <w:rStyle w:val="SingleTxt"/>
          <w:rFonts w:cs="SimSun"/>
        </w:rPr>
        <w:t>男女平等</w:t>
      </w:r>
      <w:r w:rsidRPr="00E923BE">
        <w:rPr>
          <w:rStyle w:val="SingleTxt"/>
          <w:rFonts w:cs="SimSun"/>
        </w:rPr>
        <w:t>和性别平等培训</w:t>
      </w:r>
      <w:r w:rsidRPr="00E923BE">
        <w:rPr>
          <w:rStyle w:val="SingleTxt"/>
          <w:rFonts w:cs="SimSun"/>
          <w:cs/>
        </w:rPr>
        <w:t>”</w:t>
      </w:r>
      <w:r w:rsidRPr="00E923BE">
        <w:rPr>
          <w:rStyle w:val="SingleTxt"/>
          <w:rFonts w:cs="SimSun"/>
        </w:rPr>
        <w:t>。在</w:t>
      </w:r>
      <w:r w:rsidRPr="00E923BE">
        <w:rPr>
          <w:rStyle w:val="SingleTxt"/>
          <w:rFonts w:cs="SimSun"/>
        </w:rPr>
        <w:t>2013</w:t>
      </w:r>
      <w:r w:rsidRPr="00E923BE">
        <w:rPr>
          <w:rStyle w:val="SingleTxt"/>
          <w:rFonts w:cs="SimSun"/>
        </w:rPr>
        <w:t>年已对培训课程开展了一项</w:t>
      </w:r>
      <w:r w:rsidRPr="00E923BE">
        <w:rPr>
          <w:rStyle w:val="SingleTxt"/>
          <w:rFonts w:cs="SimSun"/>
          <w:cs/>
        </w:rPr>
        <w:t>“</w:t>
      </w:r>
      <w:r w:rsidRPr="00E923BE">
        <w:rPr>
          <w:rStyle w:val="SingleTxt"/>
          <w:rFonts w:cs="SimSun"/>
        </w:rPr>
        <w:t>影响评估分析</w:t>
      </w:r>
      <w:r w:rsidRPr="00E923BE">
        <w:rPr>
          <w:rStyle w:val="SingleTxt"/>
          <w:rFonts w:cs="SimSun"/>
          <w:cs/>
        </w:rPr>
        <w:t>”</w:t>
      </w:r>
      <w:r w:rsidRPr="00E923BE">
        <w:rPr>
          <w:rStyle w:val="SingleTxt"/>
          <w:rFonts w:cs="SimSun"/>
        </w:rPr>
        <w:t>。该影响评估分析表明，这些培训课程富有成效，应当持续加强和开展。</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40.</w:t>
      </w:r>
      <w:r w:rsidRPr="00E923BE">
        <w:rPr>
          <w:rStyle w:val="SingleTxt"/>
          <w:rFonts w:cs="SimSun"/>
        </w:rPr>
        <w:tab/>
      </w:r>
      <w:r w:rsidRPr="00E923BE">
        <w:rPr>
          <w:rStyle w:val="SingleTxt"/>
          <w:rFonts w:cs="SimSun"/>
          <w:cs/>
        </w:rPr>
        <w:t>“</w:t>
      </w:r>
      <w:r w:rsidRPr="00E923BE">
        <w:rPr>
          <w:rStyle w:val="SingleTxt"/>
          <w:rFonts w:cs="SimSun"/>
        </w:rPr>
        <w:t>打击暴力侵害妇女</w:t>
      </w:r>
      <w:r w:rsidRPr="00E923BE">
        <w:rPr>
          <w:rStyle w:val="SingleTxt"/>
          <w:rFonts w:cs="SimSun"/>
          <w:cs/>
        </w:rPr>
        <w:t>”</w:t>
      </w:r>
      <w:r w:rsidRPr="00E923BE">
        <w:rPr>
          <w:rStyle w:val="SingleTxt"/>
          <w:rFonts w:cs="SimSun"/>
        </w:rPr>
        <w:t>这一主题已被纳入土耳其警察学校指挥部的学校课程中，这门课程为期一个学期。</w:t>
      </w:r>
      <w:r w:rsidRPr="00E923BE">
        <w:rPr>
          <w:rStyle w:val="SingleTxt"/>
          <w:rFonts w:cs="SimSun"/>
        </w:rPr>
        <w:t>2012</w:t>
      </w:r>
      <w:r w:rsidRPr="00E923BE">
        <w:rPr>
          <w:rStyle w:val="SingleTxt"/>
          <w:rFonts w:cs="SimSun"/>
        </w:rPr>
        <w:t>年对警察学校指挥部人员开展的培训仍在继续。土耳其还为土耳其总参谋部人员组织了培训师培训。在教员培训完成后，正在服役的士兵和非战斗员将通过面对面讲学、而非远程培训班的形式接受有关性别平等和打击暴力侵害妇女行为的培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41.</w:t>
      </w:r>
      <w:r w:rsidRPr="00E923BE">
        <w:rPr>
          <w:rStyle w:val="SingleTxt"/>
          <w:rFonts w:cs="SimSun"/>
        </w:rPr>
        <w:tab/>
      </w:r>
      <w:r w:rsidRPr="00E923BE">
        <w:rPr>
          <w:rStyle w:val="SingleTxt"/>
          <w:rFonts w:cs="SimSun"/>
          <w:cs/>
        </w:rPr>
        <w:t>“</w:t>
      </w:r>
      <w:r w:rsidRPr="00E923BE">
        <w:rPr>
          <w:rStyle w:val="SingleTxt"/>
          <w:rFonts w:cs="SimSun"/>
        </w:rPr>
        <w:t>对妇女家庭暴力案件在线登记表格</w:t>
      </w:r>
      <w:r w:rsidRPr="00E923BE">
        <w:rPr>
          <w:rStyle w:val="SingleTxt"/>
          <w:rFonts w:cs="SimSun"/>
          <w:cs/>
        </w:rPr>
        <w:t>”</w:t>
      </w:r>
      <w:r w:rsidRPr="00E923BE">
        <w:rPr>
          <w:rStyle w:val="SingleTxt"/>
          <w:rFonts w:cs="SimSun"/>
        </w:rPr>
        <w:t>通过警察部门内部网络，已在全国各地的所有警署投入使用。警察使用表格对受害者开展风险评估，评估完成后将采取必要措施。此外，在</w:t>
      </w:r>
      <w:r w:rsidRPr="00E923BE">
        <w:rPr>
          <w:rStyle w:val="SingleTxt"/>
          <w:rFonts w:cs="SimSun"/>
        </w:rPr>
        <w:t>2014</w:t>
      </w:r>
      <w:r w:rsidRPr="00E923BE">
        <w:rPr>
          <w:rStyle w:val="SingleTxt"/>
          <w:rFonts w:cs="SimSun"/>
        </w:rPr>
        <w:t>年，所有警署中负责记录陈述的警察（登记长）以及警署署长都已接受有关实施第</w:t>
      </w:r>
      <w:r w:rsidRPr="00E923BE">
        <w:rPr>
          <w:rStyle w:val="SingleTxt"/>
          <w:rFonts w:cs="SimSun"/>
        </w:rPr>
        <w:t>6284</w:t>
      </w:r>
      <w:r w:rsidRPr="00E923BE">
        <w:rPr>
          <w:rStyle w:val="SingleTxt"/>
          <w:rFonts w:cs="SimSun"/>
        </w:rPr>
        <w:t>号法律的培训。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42.</w:t>
      </w:r>
      <w:r w:rsidRPr="00E923BE">
        <w:rPr>
          <w:rStyle w:val="SingleTxt"/>
          <w:rFonts w:cs="SimSun"/>
        </w:rPr>
        <w:tab/>
      </w:r>
      <w:r w:rsidRPr="00E923BE">
        <w:rPr>
          <w:rStyle w:val="SingleTxt"/>
          <w:rFonts w:cs="SimSun"/>
        </w:rPr>
        <w:t>土耳其在</w:t>
      </w:r>
      <w:r w:rsidRPr="00E923BE">
        <w:rPr>
          <w:rStyle w:val="SingleTxt"/>
          <w:rFonts w:cs="SimSun"/>
        </w:rPr>
        <w:t>2012</w:t>
      </w:r>
      <w:r w:rsidRPr="00E923BE">
        <w:rPr>
          <w:rStyle w:val="SingleTxt"/>
          <w:rFonts w:cs="SimSun"/>
        </w:rPr>
        <w:t>年为</w:t>
      </w:r>
      <w:r w:rsidRPr="00E923BE">
        <w:rPr>
          <w:rStyle w:val="SingleTxt"/>
          <w:rFonts w:cs="SimSun"/>
        </w:rPr>
        <w:t>315</w:t>
      </w:r>
      <w:r w:rsidRPr="00E923BE">
        <w:rPr>
          <w:rStyle w:val="SingleTxt"/>
          <w:rFonts w:cs="SimSun"/>
        </w:rPr>
        <w:t>名任职于家庭和儿童法庭以及高等刑事法院的心理学家、教育家和社会工作者组织了讨论会，而且讨论的专题已被纳入在职培训中。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43.</w:t>
      </w:r>
      <w:r w:rsidRPr="00E923BE">
        <w:rPr>
          <w:rStyle w:val="SingleTxt"/>
          <w:rFonts w:cs="SimSun"/>
        </w:rPr>
        <w:tab/>
      </w:r>
      <w:r w:rsidRPr="00E923BE">
        <w:rPr>
          <w:rStyle w:val="SingleTxt"/>
          <w:rFonts w:cs="SimSun"/>
          <w:cs/>
        </w:rPr>
        <w:t>“</w:t>
      </w:r>
      <w:r w:rsidRPr="00E923BE">
        <w:rPr>
          <w:rStyle w:val="SingleTxt"/>
          <w:rFonts w:cs="SimSun"/>
        </w:rPr>
        <w:t>对妇女暴力</w:t>
      </w:r>
      <w:r w:rsidRPr="00E923BE">
        <w:rPr>
          <w:rStyle w:val="SingleTxt"/>
          <w:rFonts w:cs="SimSun"/>
          <w:cs/>
        </w:rPr>
        <w:t>”</w:t>
      </w:r>
      <w:r w:rsidRPr="00E923BE">
        <w:rPr>
          <w:rStyle w:val="SingleTxt"/>
          <w:rFonts w:cs="SimSun"/>
        </w:rPr>
        <w:t>和</w:t>
      </w:r>
      <w:r w:rsidRPr="00E923BE">
        <w:rPr>
          <w:rStyle w:val="SingleTxt"/>
          <w:rFonts w:cs="SimSun"/>
          <w:cs/>
        </w:rPr>
        <w:t>“</w:t>
      </w:r>
      <w:r w:rsidRPr="00E923BE">
        <w:rPr>
          <w:rStyle w:val="SingleTxt"/>
          <w:rFonts w:cs="SimSun"/>
        </w:rPr>
        <w:t>性别平等</w:t>
      </w:r>
      <w:r w:rsidRPr="00E923BE">
        <w:rPr>
          <w:rStyle w:val="SingleTxt"/>
          <w:rFonts w:cs="SimSun"/>
          <w:cs/>
        </w:rPr>
        <w:t>”</w:t>
      </w:r>
      <w:r w:rsidRPr="00E923BE">
        <w:rPr>
          <w:rStyle w:val="SingleTxt"/>
          <w:rFonts w:cs="SimSun"/>
        </w:rPr>
        <w:t>问题已被纳入司法部省级机构办事员长和法庭书记员的在职培训中。目前为止已有</w:t>
      </w:r>
      <w:r w:rsidRPr="00E923BE">
        <w:rPr>
          <w:rStyle w:val="SingleTxt"/>
          <w:rFonts w:cs="SimSun"/>
        </w:rPr>
        <w:t>778</w:t>
      </w:r>
      <w:r w:rsidRPr="00E923BE">
        <w:rPr>
          <w:rStyle w:val="SingleTxt"/>
          <w:rFonts w:cs="SimSun"/>
        </w:rPr>
        <w:t>名人员受益于这类培训。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44.</w:t>
      </w:r>
      <w:r w:rsidRPr="00E923BE">
        <w:rPr>
          <w:rStyle w:val="SingleTxt"/>
          <w:rFonts w:cs="SimSun"/>
        </w:rPr>
        <w:tab/>
      </w:r>
      <w:r w:rsidRPr="00E923BE">
        <w:rPr>
          <w:rStyle w:val="SingleTxt"/>
          <w:rFonts w:cs="SimSun"/>
          <w:cs/>
        </w:rPr>
        <w:t>“</w:t>
      </w:r>
      <w:r w:rsidRPr="00E923BE">
        <w:rPr>
          <w:rStyle w:val="SingleTxt"/>
          <w:rFonts w:cs="SimSun"/>
        </w:rPr>
        <w:t>对妇女暴力</w:t>
      </w:r>
      <w:r w:rsidRPr="00E923BE">
        <w:rPr>
          <w:rStyle w:val="SingleTxt"/>
          <w:rFonts w:cs="SimSun"/>
          <w:cs/>
        </w:rPr>
        <w:t>”</w:t>
      </w:r>
      <w:r w:rsidRPr="00E923BE">
        <w:rPr>
          <w:rStyle w:val="SingleTxt"/>
          <w:rFonts w:cs="SimSun"/>
        </w:rPr>
        <w:t>和</w:t>
      </w:r>
      <w:r w:rsidRPr="00E923BE">
        <w:rPr>
          <w:rStyle w:val="SingleTxt"/>
          <w:rFonts w:cs="SimSun"/>
          <w:cs/>
        </w:rPr>
        <w:t>“</w:t>
      </w:r>
      <w:r w:rsidRPr="00E923BE">
        <w:rPr>
          <w:rStyle w:val="SingleTxt"/>
          <w:rFonts w:cs="SimSun"/>
        </w:rPr>
        <w:t>性别平等</w:t>
      </w:r>
      <w:r w:rsidRPr="00E923BE">
        <w:rPr>
          <w:rStyle w:val="SingleTxt"/>
          <w:rFonts w:cs="SimSun"/>
          <w:cs/>
        </w:rPr>
        <w:t>”</w:t>
      </w:r>
      <w:r w:rsidRPr="00E923BE">
        <w:rPr>
          <w:rStyle w:val="SingleTxt"/>
          <w:rFonts w:cs="SimSun"/>
        </w:rPr>
        <w:t>问题已被纳入为</w:t>
      </w:r>
      <w:r w:rsidRPr="00E923BE">
        <w:rPr>
          <w:rStyle w:val="SingleTxt"/>
          <w:rFonts w:cs="SimSun"/>
          <w:cs/>
        </w:rPr>
        <w:t>“</w:t>
      </w:r>
      <w:r w:rsidRPr="00E923BE">
        <w:rPr>
          <w:rStyle w:val="SingleTxt"/>
          <w:rFonts w:cs="SimSun"/>
        </w:rPr>
        <w:t>183</w:t>
      </w:r>
      <w:r w:rsidRPr="00E923BE">
        <w:rPr>
          <w:rStyle w:val="SingleTxt"/>
          <w:rFonts w:cs="SimSun"/>
        </w:rPr>
        <w:t>家庭、妇女、儿童和残疾人社会服务热线</w:t>
      </w:r>
      <w:r w:rsidRPr="00E923BE">
        <w:rPr>
          <w:rStyle w:val="SingleTxt"/>
          <w:rFonts w:cs="SimSun"/>
          <w:cs/>
        </w:rPr>
        <w:t>”</w:t>
      </w:r>
      <w:r w:rsidRPr="00E923BE">
        <w:rPr>
          <w:rStyle w:val="SingleTxt"/>
          <w:rFonts w:cs="SimSun"/>
        </w:rPr>
        <w:t>工作人员组织的培训中。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45.</w:t>
      </w:r>
      <w:r w:rsidRPr="00E923BE">
        <w:rPr>
          <w:rStyle w:val="SingleTxt"/>
          <w:rFonts w:cs="SimSun"/>
        </w:rPr>
        <w:tab/>
      </w:r>
      <w:r w:rsidRPr="00E923BE">
        <w:rPr>
          <w:rStyle w:val="SingleTxt"/>
          <w:rFonts w:cs="SimSun"/>
        </w:rPr>
        <w:t>土耳其已为</w:t>
      </w:r>
      <w:r w:rsidRPr="00E923BE">
        <w:rPr>
          <w:rStyle w:val="SingleTxt"/>
          <w:rFonts w:cs="SimSun"/>
        </w:rPr>
        <w:t>250</w:t>
      </w:r>
      <w:r w:rsidRPr="00E923BE">
        <w:rPr>
          <w:rStyle w:val="SingleTxt"/>
          <w:rFonts w:cs="SimSun"/>
        </w:rPr>
        <w:t>名行政主管官员和大约</w:t>
      </w:r>
      <w:r w:rsidRPr="00E923BE">
        <w:rPr>
          <w:rStyle w:val="SingleTxt"/>
          <w:rFonts w:cs="SimSun"/>
        </w:rPr>
        <w:t>190</w:t>
      </w:r>
      <w:r w:rsidRPr="00E923BE">
        <w:rPr>
          <w:rStyle w:val="SingleTxt"/>
          <w:rFonts w:cs="SimSun"/>
        </w:rPr>
        <w:t>名区长候选人组织了有关对妇女暴力和性别平等问题的讨论会。</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46.</w:t>
      </w:r>
      <w:r w:rsidRPr="00E923BE">
        <w:rPr>
          <w:rStyle w:val="SingleTxt"/>
          <w:rFonts w:cs="SimSun"/>
        </w:rPr>
        <w:tab/>
      </w:r>
      <w:r w:rsidRPr="00E923BE">
        <w:rPr>
          <w:rStyle w:val="SingleTxt"/>
          <w:rFonts w:cs="SimSun"/>
        </w:rPr>
        <w:t>土耳其已为家庭和社会政策部的省级主任和预防和控制暴力行为中心系统内</w:t>
      </w:r>
      <w:r w:rsidRPr="00E923BE">
        <w:rPr>
          <w:rStyle w:val="SingleTxt"/>
          <w:rFonts w:cs="SimSun"/>
        </w:rPr>
        <w:t>250</w:t>
      </w:r>
      <w:r w:rsidRPr="00E923BE">
        <w:rPr>
          <w:rStyle w:val="SingleTxt"/>
          <w:rFonts w:cs="SimSun"/>
        </w:rPr>
        <w:t>名专业人员组织了有关对妇女暴力和性别平等问题的培训。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47.</w:t>
      </w:r>
      <w:r w:rsidRPr="00E923BE">
        <w:rPr>
          <w:rStyle w:val="SingleTxt"/>
          <w:rFonts w:cs="SimSun"/>
        </w:rPr>
        <w:tab/>
      </w:r>
      <w:r w:rsidRPr="00E923BE">
        <w:rPr>
          <w:rStyle w:val="SingleTxt"/>
          <w:rFonts w:cs="SimSun"/>
        </w:rPr>
        <w:t>在开展培训课程的同时，土耳其也实施了多项行政措施。</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48.</w:t>
      </w:r>
      <w:r w:rsidRPr="00E923BE">
        <w:rPr>
          <w:rStyle w:val="SingleTxt"/>
          <w:rFonts w:cs="SimSun"/>
        </w:rPr>
        <w:tab/>
      </w:r>
      <w:r w:rsidRPr="00E923BE">
        <w:rPr>
          <w:rStyle w:val="SingleTxt"/>
          <w:rFonts w:cs="SimSun"/>
        </w:rPr>
        <w:t>暴力侵害妇女行为监督委员会在</w:t>
      </w:r>
      <w:r w:rsidRPr="00E923BE">
        <w:rPr>
          <w:rStyle w:val="SingleTxt"/>
          <w:rFonts w:cs="SimSun"/>
        </w:rPr>
        <w:t>2007</w:t>
      </w:r>
      <w:r w:rsidRPr="00E923BE">
        <w:rPr>
          <w:rStyle w:val="SingleTxt"/>
          <w:rFonts w:cs="SimSun"/>
        </w:rPr>
        <w:t>年设立，目前为止已召开了七次会议。该委员会的会议在妇女地位总局局长的主持和协调下召开，与会者包括公共机构和机关、大学和非政府组织的代表。</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49.</w:t>
      </w:r>
      <w:r w:rsidRPr="00E923BE">
        <w:rPr>
          <w:rStyle w:val="SingleTxt"/>
          <w:rFonts w:cs="SimSun"/>
        </w:rPr>
        <w:tab/>
      </w:r>
      <w:r w:rsidRPr="00E923BE">
        <w:rPr>
          <w:rStyle w:val="SingleTxt"/>
          <w:rFonts w:cs="SimSun"/>
        </w:rPr>
        <w:t>《与对妇女家庭暴力现象作斗争国家行动计划》在</w:t>
      </w:r>
      <w:r w:rsidRPr="00E923BE">
        <w:rPr>
          <w:rStyle w:val="SingleTxt"/>
          <w:rFonts w:cs="SimSun"/>
        </w:rPr>
        <w:t>2007</w:t>
      </w:r>
      <w:r w:rsidRPr="00E923BE">
        <w:rPr>
          <w:rStyle w:val="SingleTxt"/>
          <w:rFonts w:cs="SimSun"/>
        </w:rPr>
        <w:t>年至</w:t>
      </w:r>
      <w:r w:rsidRPr="00E923BE">
        <w:rPr>
          <w:rStyle w:val="SingleTxt"/>
          <w:rFonts w:cs="SimSun"/>
        </w:rPr>
        <w:t>2010</w:t>
      </w:r>
      <w:r w:rsidRPr="00E923BE">
        <w:rPr>
          <w:rStyle w:val="SingleTxt"/>
          <w:rFonts w:cs="SimSun"/>
        </w:rPr>
        <w:t>年间实施。《行动计划》规定措施的执行情况由定期会议监督。该《计划》在相关公共机构和组织、非政府组织和大学妇女研究中心的参与和贡献下已经过更新，《</w:t>
      </w:r>
      <w:r w:rsidRPr="00E923BE">
        <w:rPr>
          <w:rStyle w:val="SingleTxt"/>
          <w:rFonts w:cs="SimSun"/>
        </w:rPr>
        <w:t>2012-2015</w:t>
      </w:r>
      <w:r w:rsidRPr="00E923BE">
        <w:rPr>
          <w:rStyle w:val="SingleTxt"/>
          <w:rFonts w:cs="SimSun"/>
        </w:rPr>
        <w:t>年与对妇女家庭暴力现象作斗争国家行动计划》已于</w:t>
      </w:r>
      <w:r w:rsidRPr="00E923BE">
        <w:rPr>
          <w:rStyle w:val="SingleTxt"/>
          <w:rFonts w:cs="SimSun"/>
        </w:rPr>
        <w:t>2012</w:t>
      </w:r>
      <w:r w:rsidRPr="00E923BE">
        <w:rPr>
          <w:rStyle w:val="SingleTxt"/>
          <w:rFonts w:cs="SimSun"/>
        </w:rPr>
        <w:t>年</w:t>
      </w:r>
      <w:r w:rsidRPr="00E923BE">
        <w:rPr>
          <w:rStyle w:val="SingleTxt"/>
          <w:rFonts w:cs="SimSun"/>
        </w:rPr>
        <w:t>7</w:t>
      </w:r>
      <w:r w:rsidRPr="00E923BE">
        <w:rPr>
          <w:rStyle w:val="SingleTxt"/>
          <w:rFonts w:cs="SimSun"/>
        </w:rPr>
        <w:t>月</w:t>
      </w:r>
      <w:r w:rsidRPr="00E923BE">
        <w:rPr>
          <w:rStyle w:val="SingleTxt"/>
          <w:rFonts w:cs="SimSun"/>
        </w:rPr>
        <w:t>10</w:t>
      </w:r>
      <w:r w:rsidRPr="00E923BE">
        <w:rPr>
          <w:rStyle w:val="SingleTxt"/>
          <w:rFonts w:cs="SimSun"/>
        </w:rPr>
        <w:t>日生效。通过召开半年度定期评估和监督会议，该《行动计划》正继续开展执行阶段。</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50.</w:t>
      </w:r>
      <w:r w:rsidRPr="00E923BE">
        <w:rPr>
          <w:rStyle w:val="SingleTxt"/>
          <w:rFonts w:cs="SimSun"/>
        </w:rPr>
        <w:tab/>
      </w:r>
      <w:r w:rsidRPr="00E923BE">
        <w:rPr>
          <w:rStyle w:val="SingleTxt"/>
          <w:rFonts w:cs="SimSun"/>
        </w:rPr>
        <w:t>两座城市在</w:t>
      </w:r>
      <w:r w:rsidRPr="00E923BE">
        <w:rPr>
          <w:rStyle w:val="SingleTxt"/>
          <w:rFonts w:cs="SimSun"/>
        </w:rPr>
        <w:t>2012</w:t>
      </w:r>
      <w:r w:rsidRPr="00E923BE">
        <w:rPr>
          <w:rStyle w:val="SingleTxt"/>
          <w:rFonts w:cs="SimSun"/>
        </w:rPr>
        <w:t>年</w:t>
      </w:r>
      <w:r w:rsidRPr="00E923BE">
        <w:rPr>
          <w:rStyle w:val="SingleTxt"/>
          <w:rFonts w:cs="SimSun"/>
        </w:rPr>
        <w:t>10</w:t>
      </w:r>
      <w:r w:rsidRPr="00E923BE">
        <w:rPr>
          <w:rStyle w:val="SingleTxt"/>
          <w:rFonts w:cs="SimSun"/>
        </w:rPr>
        <w:t>月</w:t>
      </w:r>
      <w:r w:rsidRPr="00E923BE">
        <w:rPr>
          <w:rStyle w:val="SingleTxt"/>
          <w:rFonts w:cs="SimSun"/>
        </w:rPr>
        <w:t>18</w:t>
      </w:r>
      <w:r w:rsidRPr="00E923BE">
        <w:rPr>
          <w:rStyle w:val="SingleTxt"/>
          <w:rFonts w:cs="SimSun"/>
        </w:rPr>
        <w:t>日启动了</w:t>
      </w:r>
      <w:r w:rsidRPr="00E923BE">
        <w:rPr>
          <w:rStyle w:val="SingleTxt"/>
          <w:rFonts w:cs="SimSun"/>
          <w:cs/>
        </w:rPr>
        <w:t>“</w:t>
      </w:r>
      <w:r w:rsidRPr="00E923BE">
        <w:rPr>
          <w:rStyle w:val="SingleTxt"/>
          <w:rFonts w:cs="SimSun"/>
        </w:rPr>
        <w:t>电子支持系统试点应用</w:t>
      </w:r>
      <w:r w:rsidRPr="00E923BE">
        <w:rPr>
          <w:rStyle w:val="SingleTxt"/>
          <w:rFonts w:cs="SimSun"/>
          <w:cs/>
        </w:rPr>
        <w:t>”</w:t>
      </w:r>
      <w:r w:rsidRPr="00E923BE">
        <w:rPr>
          <w:rStyle w:val="SingleTxt"/>
          <w:rFonts w:cs="SimSun"/>
        </w:rPr>
        <w:t>。作为试点应用的一部分，女性暴力受害者在有法院裁决的情况下可获得安全按钮（紧急按钮），以监控已发出的保护令和预防令的实施情况。该试点应用计划能制定一套模式，以便把这一系统扩大至土耳其全国，并且能识别出由欧洲联盟加入前援助工具赞助的《加强妇女避难所能力项目》所必须的基础设施。</w:t>
      </w:r>
    </w:p>
    <w:p w:rsidR="005C05C5" w:rsidRPr="00E923BE" w:rsidRDefault="005C05C5" w:rsidP="005C05C5">
      <w:pPr>
        <w:pStyle w:val="SingleTxt"/>
        <w:spacing w:after="120"/>
        <w:ind w:left="1134" w:right="1134"/>
      </w:pPr>
      <w:r w:rsidRPr="00E923BE">
        <w:rPr>
          <w:rStyle w:val="SingleTxt"/>
          <w:rFonts w:cs="SimSun"/>
        </w:rPr>
        <w:t>51.</w:t>
      </w:r>
      <w:r w:rsidRPr="00E923BE">
        <w:rPr>
          <w:rStyle w:val="SingleTxt"/>
          <w:rFonts w:cs="SimSun"/>
        </w:rPr>
        <w:tab/>
      </w:r>
      <w:r w:rsidRPr="00E923BE">
        <w:rPr>
          <w:rStyle w:val="SingleTxt"/>
          <w:rFonts w:cs="SimSun"/>
        </w:rPr>
        <w:t>律师协会的妇女咨询中心和法律援助办事处提供司法支持服务，而对于家庭暴力案件，卫生部已在医院急诊科设立</w:t>
      </w:r>
      <w:r w:rsidRPr="00E923BE">
        <w:rPr>
          <w:rStyle w:val="SingleTxt"/>
          <w:rFonts w:cs="SimSun"/>
          <w:cs/>
        </w:rPr>
        <w:t>“</w:t>
      </w:r>
      <w:r w:rsidRPr="00E923BE">
        <w:rPr>
          <w:rStyle w:val="SingleTxt"/>
          <w:rFonts w:cs="SimSun"/>
        </w:rPr>
        <w:t>社会心理救助和危机应对病房</w:t>
      </w:r>
      <w:r w:rsidRPr="00E923BE">
        <w:rPr>
          <w:rStyle w:val="SingleTxt"/>
          <w:rFonts w:cs="SimSun"/>
          <w:cs/>
        </w:rPr>
        <w:t>”</w:t>
      </w:r>
      <w:r w:rsidRPr="00E923BE">
        <w:rPr>
          <w:rStyle w:val="SingleTxt"/>
          <w:rFonts w:cs="SimSun"/>
        </w:rPr>
        <w:t>，以提供心理支持服务。</w:t>
      </w:r>
    </w:p>
    <w:p w:rsidR="005C05C5" w:rsidRPr="00E923BE" w:rsidRDefault="005C05C5" w:rsidP="005C05C5">
      <w:pPr>
        <w:pStyle w:val="SingleTxt"/>
        <w:spacing w:after="120"/>
        <w:ind w:left="1134" w:right="1134"/>
      </w:pPr>
      <w:r w:rsidRPr="00E923BE">
        <w:rPr>
          <w:rStyle w:val="SingleTxt"/>
          <w:rFonts w:cs="SimSun"/>
        </w:rPr>
        <w:t>52.</w:t>
      </w:r>
      <w:r w:rsidRPr="00E923BE">
        <w:rPr>
          <w:rStyle w:val="SingleTxt"/>
          <w:rFonts w:cs="SimSun"/>
        </w:rPr>
        <w:tab/>
      </w:r>
      <w:r w:rsidRPr="00E923BE">
        <w:rPr>
          <w:rStyle w:val="SingleTxt"/>
          <w:rFonts w:cs="SimSun"/>
          <w:cs/>
        </w:rPr>
        <w:t>“</w:t>
      </w:r>
      <w:r w:rsidRPr="00E923BE">
        <w:rPr>
          <w:rStyle w:val="SingleTxt"/>
          <w:rFonts w:cs="SimSun"/>
        </w:rPr>
        <w:t>建立暴力侵害妇女数据库</w:t>
      </w:r>
      <w:r w:rsidRPr="00E923BE">
        <w:rPr>
          <w:rStyle w:val="SingleTxt"/>
          <w:rFonts w:cs="SimSun"/>
        </w:rPr>
        <w:t>/</w:t>
      </w:r>
      <w:r w:rsidRPr="00E923BE">
        <w:rPr>
          <w:rStyle w:val="SingleTxt"/>
          <w:rFonts w:cs="SimSun"/>
        </w:rPr>
        <w:t>系统试点调查项目</w:t>
      </w:r>
      <w:r w:rsidRPr="00E923BE">
        <w:rPr>
          <w:rStyle w:val="SingleTxt"/>
          <w:rFonts w:cs="SimSun"/>
          <w:cs/>
        </w:rPr>
        <w:t>”</w:t>
      </w:r>
      <w:r w:rsidRPr="00E923BE">
        <w:rPr>
          <w:rStyle w:val="SingleTxt"/>
          <w:rFonts w:cs="SimSun"/>
        </w:rPr>
        <w:t>在</w:t>
      </w:r>
      <w:r w:rsidRPr="00E923BE">
        <w:rPr>
          <w:rStyle w:val="SingleTxt"/>
          <w:rFonts w:cs="SimSun"/>
        </w:rPr>
        <w:t>2012</w:t>
      </w:r>
      <w:r w:rsidRPr="00E923BE">
        <w:rPr>
          <w:rStyle w:val="SingleTxt"/>
          <w:rFonts w:cs="SimSun"/>
        </w:rPr>
        <w:t>年至</w:t>
      </w:r>
      <w:r w:rsidRPr="00E923BE">
        <w:rPr>
          <w:rStyle w:val="SingleTxt"/>
          <w:rFonts w:cs="SimSun"/>
        </w:rPr>
        <w:t>2013</w:t>
      </w:r>
      <w:r w:rsidRPr="00E923BE">
        <w:rPr>
          <w:rStyle w:val="SingleTxt"/>
          <w:rFonts w:cs="SimSun"/>
        </w:rPr>
        <w:t>年期间开展，旨在对打击暴力侵害妇女行为的数据进行标准化处理，并且</w:t>
      </w:r>
      <w:r w:rsidRPr="00E923BE">
        <w:rPr>
          <w:rStyle w:val="SingleTxt"/>
          <w:rFonts w:cs="SimSun" w:hint="eastAsia"/>
        </w:rPr>
        <w:t>开发</w:t>
      </w:r>
      <w:r w:rsidRPr="00E923BE">
        <w:rPr>
          <w:rStyle w:val="SingleTxt"/>
          <w:rFonts w:cs="SimSun"/>
        </w:rPr>
        <w:t>了一个暴力侵害妇女数据库模型。另一方面，妇女地位总局所使用的数据库系统的整合工作也已接近尾声。</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53.</w:t>
      </w:r>
      <w:r w:rsidRPr="00E923BE">
        <w:rPr>
          <w:rStyle w:val="SingleTxt"/>
          <w:rFonts w:cs="SimSun"/>
        </w:rPr>
        <w:tab/>
        <w:t>2008</w:t>
      </w:r>
      <w:r w:rsidRPr="00E923BE">
        <w:rPr>
          <w:rStyle w:val="SingleTxt"/>
          <w:rFonts w:cs="SimSun"/>
        </w:rPr>
        <w:t>年的</w:t>
      </w:r>
      <w:r w:rsidRPr="00E923BE">
        <w:rPr>
          <w:rStyle w:val="SingleTxt"/>
          <w:rFonts w:cs="SimSun"/>
          <w:cs/>
        </w:rPr>
        <w:t>“</w:t>
      </w:r>
      <w:r w:rsidRPr="00E923BE">
        <w:rPr>
          <w:rStyle w:val="SingleTxt"/>
          <w:rFonts w:cs="SimSun"/>
        </w:rPr>
        <w:t>土耳其全国范围内对妇女的家庭暴力研究</w:t>
      </w:r>
      <w:r w:rsidRPr="00E923BE">
        <w:rPr>
          <w:rStyle w:val="SingleTxt"/>
          <w:rFonts w:cs="SimSun"/>
          <w:cs/>
        </w:rPr>
        <w:t>”</w:t>
      </w:r>
      <w:r w:rsidRPr="00E923BE">
        <w:rPr>
          <w:rStyle w:val="SingleTxt"/>
          <w:rFonts w:cs="SimSun"/>
        </w:rPr>
        <w:t>是目前为止在全国范围开展的最全面的研究，它提供了对妇女家庭暴力行为的发生率、形式、原因、暴力后果以及风险因素（见附件表</w:t>
      </w:r>
      <w:r w:rsidRPr="00E923BE">
        <w:rPr>
          <w:rStyle w:val="SingleTxt"/>
          <w:rFonts w:cs="SimSun"/>
        </w:rPr>
        <w:t>4</w:t>
      </w:r>
      <w:r w:rsidRPr="00E923BE">
        <w:rPr>
          <w:rStyle w:val="SingleTxt"/>
          <w:rFonts w:cs="SimSun"/>
        </w:rPr>
        <w:t>）。该研究的更新活动已在</w:t>
      </w:r>
      <w:r w:rsidRPr="00E923BE">
        <w:rPr>
          <w:rStyle w:val="SingleTxt"/>
          <w:rFonts w:cs="SimSun"/>
        </w:rPr>
        <w:t>2013</w:t>
      </w:r>
      <w:r w:rsidRPr="00E923BE">
        <w:rPr>
          <w:rStyle w:val="SingleTxt"/>
          <w:rFonts w:cs="SimSun"/>
        </w:rPr>
        <w:t>年开展，计划将于</w:t>
      </w:r>
      <w:r w:rsidRPr="00E923BE">
        <w:rPr>
          <w:rStyle w:val="SingleTxt"/>
          <w:rFonts w:cs="SimSun"/>
        </w:rPr>
        <w:t>2014</w:t>
      </w:r>
      <w:r w:rsidRPr="00E923BE">
        <w:rPr>
          <w:rStyle w:val="SingleTxt"/>
          <w:rFonts w:cs="SimSun"/>
        </w:rPr>
        <w:t>年末发布研究成果。</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54.</w:t>
      </w:r>
      <w:r w:rsidRPr="00E923BE">
        <w:rPr>
          <w:rStyle w:val="SingleTxt"/>
          <w:rFonts w:cs="SimSun"/>
        </w:rPr>
        <w:tab/>
      </w:r>
      <w:r w:rsidRPr="00E923BE">
        <w:rPr>
          <w:rStyle w:val="SingleTxt"/>
          <w:rFonts w:cs="SimSun"/>
          <w:cs/>
        </w:rPr>
        <w:t>“</w:t>
      </w:r>
      <w:r w:rsidRPr="00E923BE">
        <w:rPr>
          <w:rStyle w:val="SingleTxt"/>
          <w:rFonts w:cs="SimSun"/>
        </w:rPr>
        <w:t>打击暴力侵害妇女行为的妇女避难所项目</w:t>
      </w:r>
      <w:r w:rsidRPr="00E923BE">
        <w:rPr>
          <w:rStyle w:val="SingleTxt"/>
          <w:rFonts w:cs="SimSun"/>
          <w:cs/>
        </w:rPr>
        <w:t>”</w:t>
      </w:r>
      <w:r w:rsidRPr="00E923BE">
        <w:rPr>
          <w:rStyle w:val="SingleTxt"/>
          <w:rFonts w:cs="SimSun"/>
        </w:rPr>
        <w:t>的预算为</w:t>
      </w:r>
      <w:r w:rsidRPr="00E923BE">
        <w:rPr>
          <w:rStyle w:val="SingleTxt"/>
          <w:rFonts w:cs="SimSun"/>
        </w:rPr>
        <w:t>9 601 000</w:t>
      </w:r>
      <w:r w:rsidRPr="00E923BE">
        <w:rPr>
          <w:rStyle w:val="SingleTxt"/>
          <w:rFonts w:cs="SimSun"/>
        </w:rPr>
        <w:t>欧元，由欧洲联盟加入前援助工具框架供资，在</w:t>
      </w:r>
      <w:r w:rsidRPr="00E923BE">
        <w:rPr>
          <w:rStyle w:val="SingleTxt"/>
          <w:rFonts w:cs="SimSun"/>
        </w:rPr>
        <w:t>2014</w:t>
      </w:r>
      <w:r w:rsidRPr="00E923BE">
        <w:rPr>
          <w:rStyle w:val="SingleTxt"/>
          <w:rFonts w:cs="SimSun"/>
        </w:rPr>
        <w:t>年至</w:t>
      </w:r>
      <w:r w:rsidRPr="00E923BE">
        <w:rPr>
          <w:rStyle w:val="SingleTxt"/>
          <w:rFonts w:cs="SimSun"/>
        </w:rPr>
        <w:t>2016</w:t>
      </w:r>
      <w:r w:rsidRPr="00E923BE">
        <w:rPr>
          <w:rStyle w:val="SingleTxt"/>
          <w:rFonts w:cs="SimSun"/>
        </w:rPr>
        <w:t>年期间开展，目前已投入实施。将在</w:t>
      </w:r>
      <w:r w:rsidRPr="00E923BE">
        <w:rPr>
          <w:rStyle w:val="SingleTxt"/>
          <w:rFonts w:cs="SimSun"/>
        </w:rPr>
        <w:t>26</w:t>
      </w:r>
      <w:r w:rsidRPr="00E923BE">
        <w:rPr>
          <w:rStyle w:val="SingleTxt"/>
          <w:rFonts w:cs="SimSun"/>
        </w:rPr>
        <w:t>个省启动的活动旨在加大中央和地方政府以及地方非政府组织之间的合作，并且加强向女性暴力受害者提供的支助服务。该项目将制定省级行动计划，为服务部门制定工作流程和标准，并且为预防和控制暴力行为中心、妇女避难所、安全总局、家庭暴力问题局的工作人员、医务人员以及司法部人员提供有关暴力侵害妇女和性别平等的培训。通过向</w:t>
      </w:r>
      <w:r w:rsidRPr="00E923BE">
        <w:rPr>
          <w:rStyle w:val="SingleTxt"/>
          <w:rFonts w:cs="SimSun"/>
        </w:rPr>
        <w:t>1 550</w:t>
      </w:r>
      <w:r w:rsidRPr="00E923BE">
        <w:rPr>
          <w:rStyle w:val="SingleTxt"/>
          <w:rFonts w:cs="SimSun"/>
        </w:rPr>
        <w:t>名学员提供培训，其中包括</w:t>
      </w:r>
      <w:r w:rsidRPr="00E923BE">
        <w:rPr>
          <w:rStyle w:val="SingleTxt"/>
          <w:rFonts w:cs="SimSun"/>
        </w:rPr>
        <w:t>700</w:t>
      </w:r>
      <w:r w:rsidRPr="00E923BE">
        <w:rPr>
          <w:rStyle w:val="SingleTxt"/>
          <w:rFonts w:cs="SimSun"/>
        </w:rPr>
        <w:t>场学员培训，该项目的目标是培训</w:t>
      </w:r>
      <w:r w:rsidRPr="00E923BE">
        <w:rPr>
          <w:rStyle w:val="SingleTxt"/>
          <w:rFonts w:cs="SimSun"/>
        </w:rPr>
        <w:t>175 000</w:t>
      </w:r>
      <w:r w:rsidRPr="00E923BE">
        <w:rPr>
          <w:rStyle w:val="SingleTxt"/>
          <w:rFonts w:cs="SimSun"/>
        </w:rPr>
        <w:t>名保健和安保人员。</w:t>
      </w:r>
      <w:r w:rsidRPr="00E923BE">
        <w:rPr>
          <w:rStyle w:val="SingleTxt"/>
          <w:rFonts w:cs="SimSun"/>
        </w:rPr>
        <w:t>19</w:t>
      </w:r>
      <w:r w:rsidRPr="00E923BE">
        <w:rPr>
          <w:rStyle w:val="SingleTxt"/>
          <w:rFonts w:cs="SimSun"/>
        </w:rPr>
        <w:t>个由非政府组织设计的项目已获得共约</w:t>
      </w:r>
      <w:r w:rsidRPr="00E923BE">
        <w:rPr>
          <w:rStyle w:val="SingleTxt"/>
          <w:rFonts w:cs="SimSun"/>
        </w:rPr>
        <w:t>3 000 000</w:t>
      </w:r>
      <w:r w:rsidRPr="00E923BE">
        <w:rPr>
          <w:rStyle w:val="SingleTxt"/>
          <w:rFonts w:cs="SimSun"/>
        </w:rPr>
        <w:t>欧元的赠款</w:t>
      </w:r>
      <w:r>
        <w:rPr>
          <w:rStyle w:val="SingleTxt"/>
          <w:rFonts w:cs="SimSun" w:hint="eastAsia"/>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55.</w:t>
      </w:r>
      <w:r w:rsidRPr="00E923BE">
        <w:rPr>
          <w:rStyle w:val="SingleTxt"/>
          <w:rFonts w:cs="SimSun"/>
        </w:rPr>
        <w:tab/>
      </w:r>
      <w:r w:rsidRPr="00E923BE">
        <w:rPr>
          <w:rStyle w:val="SingleTxt"/>
          <w:rFonts w:cs="SimSun"/>
        </w:rPr>
        <w:t>土耳其在</w:t>
      </w:r>
      <w:r w:rsidRPr="00E923BE">
        <w:rPr>
          <w:rStyle w:val="SingleTxt"/>
          <w:rFonts w:cs="SimSun"/>
        </w:rPr>
        <w:t>2014</w:t>
      </w:r>
      <w:r w:rsidRPr="00E923BE">
        <w:rPr>
          <w:rStyle w:val="SingleTxt"/>
          <w:rFonts w:cs="SimSun"/>
        </w:rPr>
        <w:t>年将开展一项影响分析，以了解第</w:t>
      </w:r>
      <w:r w:rsidRPr="00E923BE">
        <w:rPr>
          <w:rStyle w:val="SingleTxt"/>
          <w:rFonts w:cs="SimSun"/>
        </w:rPr>
        <w:t>6284</w:t>
      </w:r>
      <w:r w:rsidRPr="00E923BE">
        <w:rPr>
          <w:rStyle w:val="SingleTxt"/>
          <w:rFonts w:cs="SimSun"/>
        </w:rPr>
        <w:t>号法律条款的执行程度，根据该法律发出的预防和保护令有助于防止暴力侵害妇女行为。</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56.</w:t>
      </w:r>
      <w:r w:rsidRPr="00E923BE">
        <w:rPr>
          <w:rStyle w:val="SingleTxt"/>
          <w:rFonts w:cs="SimSun"/>
        </w:rPr>
        <w:tab/>
        <w:t>2013</w:t>
      </w:r>
      <w:r w:rsidRPr="00E923BE">
        <w:rPr>
          <w:rStyle w:val="SingleTxt"/>
          <w:rFonts w:cs="SimSun"/>
        </w:rPr>
        <w:t>年</w:t>
      </w:r>
      <w:r w:rsidRPr="00E923BE">
        <w:rPr>
          <w:rStyle w:val="SingleTxt"/>
          <w:rFonts w:cs="SimSun"/>
        </w:rPr>
        <w:t>10</w:t>
      </w:r>
      <w:r w:rsidRPr="00E923BE">
        <w:rPr>
          <w:rStyle w:val="SingleTxt"/>
          <w:rFonts w:cs="SimSun"/>
        </w:rPr>
        <w:t>月</w:t>
      </w:r>
      <w:r w:rsidRPr="00E923BE">
        <w:rPr>
          <w:rStyle w:val="SingleTxt"/>
          <w:rFonts w:cs="SimSun"/>
        </w:rPr>
        <w:t>8</w:t>
      </w:r>
      <w:r w:rsidRPr="00E923BE">
        <w:rPr>
          <w:rStyle w:val="SingleTxt"/>
          <w:rFonts w:cs="SimSun"/>
        </w:rPr>
        <w:t>日修正的《公共机构和机关工作人员着装条例》已解除女公务员的头巾禁令；土耳其大国民议会也通过了一项修正，让女性代表可以在议会戴头巾和穿裤子。</w:t>
      </w:r>
      <w:r w:rsidRPr="005C05C5">
        <w:rPr>
          <w:rStyle w:val="FootnoteReference"/>
          <w:rFonts w:cs="SimSun"/>
        </w:rPr>
        <w:footnoteReference w:id="4"/>
      </w:r>
      <w:r>
        <w:rPr>
          <w:rStyle w:val="SingleTxt"/>
          <w:rFonts w:cs="SimSun" w:hint="eastAsia"/>
        </w:rPr>
        <w:t xml:space="preserve"> </w:t>
      </w:r>
      <w:r w:rsidRPr="00E923BE">
        <w:rPr>
          <w:rStyle w:val="SingleTxt"/>
          <w:rFonts w:cs="SimSun"/>
        </w:rPr>
        <w:t>此外，有些妇女因头巾禁令而就业受阻；在国务委员会做出决定后，她们得以继续工作。例如，一名食品工程师为开展工作向行业协会申请一份正式文件，但她的申请遭到拒绝，原因是如果申请者在照片中戴头巾，则不能签发该文件。该名妇女提出的这一案件最终得到了有利于该妇女的裁决。在其他案件中，有关女教师因带头巾而被解雇的申诉也得到了审查，推翻了解雇她们的法院裁决。关于在高等院校实行头巾自由的信息，见第</w:t>
      </w:r>
      <w:r>
        <w:rPr>
          <w:rStyle w:val="SingleTxt"/>
          <w:rFonts w:cs="SimSun" w:hint="eastAsia"/>
        </w:rPr>
        <w:t>六</w:t>
      </w:r>
      <w:r w:rsidRPr="00E923BE">
        <w:rPr>
          <w:rStyle w:val="SingleTxt"/>
          <w:rFonts w:cs="SimSun"/>
        </w:rPr>
        <w:t>次报告后提交的后续报告。</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57.</w:t>
      </w:r>
      <w:r w:rsidRPr="00E923BE">
        <w:rPr>
          <w:rStyle w:val="SingleTxt"/>
          <w:rFonts w:cs="SimSun"/>
        </w:rPr>
        <w:tab/>
      </w:r>
      <w:r w:rsidRPr="00E923BE">
        <w:rPr>
          <w:rStyle w:val="SingleTxt"/>
          <w:rFonts w:cs="SimSun"/>
        </w:rPr>
        <w:t>此外，自</w:t>
      </w:r>
      <w:r w:rsidRPr="00E923BE">
        <w:rPr>
          <w:rStyle w:val="SingleTxt"/>
          <w:rFonts w:cs="SimSun"/>
        </w:rPr>
        <w:t>2014</w:t>
      </w:r>
      <w:r w:rsidRPr="00E923BE">
        <w:rPr>
          <w:rStyle w:val="SingleTxt"/>
          <w:rFonts w:cs="SimSun"/>
        </w:rPr>
        <w:t>年</w:t>
      </w:r>
      <w:r w:rsidRPr="00E923BE">
        <w:rPr>
          <w:rStyle w:val="SingleTxt"/>
          <w:rFonts w:cs="SimSun"/>
        </w:rPr>
        <w:t>4</w:t>
      </w:r>
      <w:r w:rsidRPr="00E923BE">
        <w:rPr>
          <w:rStyle w:val="SingleTxt"/>
          <w:rFonts w:cs="SimSun"/>
        </w:rPr>
        <w:t>月以来，妇女地位总局、总理府灾害与应急管理中心以及人口基金就一直合作实施</w:t>
      </w:r>
      <w:r w:rsidRPr="00E923BE">
        <w:rPr>
          <w:rStyle w:val="SingleTxt"/>
          <w:rFonts w:cs="SimSun"/>
          <w:cs/>
        </w:rPr>
        <w:t>“</w:t>
      </w:r>
      <w:r w:rsidRPr="00E923BE">
        <w:rPr>
          <w:rStyle w:val="SingleTxt"/>
          <w:rFonts w:cs="SimSun"/>
        </w:rPr>
        <w:t>打击和应对性别暴力人道援助方案</w:t>
      </w:r>
      <w:r w:rsidRPr="00E923BE">
        <w:rPr>
          <w:rStyle w:val="SingleTxt"/>
          <w:rFonts w:cs="SimSun"/>
          <w:cs/>
        </w:rPr>
        <w:t>”</w:t>
      </w:r>
      <w:r w:rsidRPr="00E923BE">
        <w:rPr>
          <w:rStyle w:val="SingleTxt"/>
          <w:rFonts w:cs="SimSun"/>
        </w:rPr>
        <w:t>，援助对象为抵达土耳其的叙利亚公民及为他们服务的人员。土耳其还与叙利亚妇女召开了若干会议，交流关于早婚和强迫婚姻的信息并加强妇女间团结，而且印刷并分发了大约</w:t>
      </w:r>
      <w:r w:rsidRPr="00E923BE">
        <w:rPr>
          <w:rStyle w:val="SingleTxt"/>
          <w:rFonts w:cs="SimSun"/>
        </w:rPr>
        <w:t>400 000</w:t>
      </w:r>
      <w:r w:rsidRPr="00E923BE">
        <w:rPr>
          <w:rStyle w:val="SingleTxt"/>
          <w:rFonts w:cs="SimSun"/>
        </w:rPr>
        <w:t>份以阿拉伯文和土耳其文编写的信息手册。</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2</w:t>
      </w:r>
      <w:r w:rsidRPr="00E923BE">
        <w:rPr>
          <w:rFonts w:eastAsia="SimHei" w:cs="Arial"/>
          <w:bCs/>
          <w:szCs w:val="21"/>
        </w:rPr>
        <w:t>条</w:t>
      </w:r>
      <w:r w:rsidRPr="00E923BE">
        <w:rPr>
          <w:rFonts w:eastAsia="SimHei" w:cs="Arial"/>
          <w:b/>
          <w:bCs/>
          <w:szCs w:val="21"/>
        </w:rPr>
        <w:t>g</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58.</w:t>
      </w:r>
      <w:r w:rsidRPr="00E923BE">
        <w:rPr>
          <w:rStyle w:val="SingleTxt"/>
          <w:rFonts w:cs="SimSun"/>
        </w:rPr>
        <w:tab/>
      </w:r>
      <w:r w:rsidRPr="00E923BE">
        <w:rPr>
          <w:rStyle w:val="SingleTxt"/>
          <w:rFonts w:cs="SimSun"/>
        </w:rPr>
        <w:t>见</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3</w:t>
      </w:r>
      <w:r w:rsidRPr="00E923BE">
        <w:rPr>
          <w:rFonts w:eastAsia="SimHei" w:cs="Arial"/>
          <w:bCs/>
          <w:szCs w:val="21"/>
        </w:rPr>
        <w:t>条</w:t>
      </w:r>
    </w:p>
    <w:p w:rsidR="005C05C5" w:rsidRPr="00E923BE" w:rsidRDefault="005C05C5" w:rsidP="005C05C5">
      <w:pPr>
        <w:pStyle w:val="SingleTxt"/>
        <w:spacing w:after="120"/>
        <w:ind w:left="1134" w:right="1134"/>
      </w:pPr>
      <w:r w:rsidRPr="00E923BE">
        <w:rPr>
          <w:rStyle w:val="SingleTxt"/>
          <w:rFonts w:cs="SimSun"/>
        </w:rPr>
        <w:t>59.</w:t>
      </w:r>
      <w:r w:rsidRPr="00E923BE">
        <w:rPr>
          <w:rStyle w:val="SingleTxt"/>
          <w:rFonts w:cs="SimSun"/>
        </w:rPr>
        <w:tab/>
      </w:r>
      <w:r w:rsidRPr="00E923BE">
        <w:rPr>
          <w:rStyle w:val="SingleTxt"/>
          <w:rFonts w:cs="SimSun"/>
        </w:rPr>
        <w:t>妇女地位总局在</w:t>
      </w:r>
      <w:r w:rsidRPr="00E923BE">
        <w:rPr>
          <w:rStyle w:val="SingleTxt"/>
          <w:rFonts w:cs="SimSun"/>
        </w:rPr>
        <w:t>2011</w:t>
      </w:r>
      <w:r w:rsidRPr="00E923BE">
        <w:rPr>
          <w:rStyle w:val="SingleTxt"/>
          <w:rFonts w:cs="SimSun"/>
        </w:rPr>
        <w:t>年经过重新调整，成为家庭和社会政策部的一个服务部门。除制定政策外，妇女地位总局还负责开展和协调有关保护、预防、教育、发展、指导和妇女康复的社会服务活动。妇女避难所在妇女地位总局下属投入服务，获得了更多工作人员和预算（见附件表</w:t>
      </w:r>
      <w:r w:rsidRPr="00E923BE">
        <w:rPr>
          <w:rStyle w:val="SingleTxt"/>
          <w:rFonts w:cs="SimSun"/>
        </w:rPr>
        <w:t>1</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60.</w:t>
      </w:r>
      <w:r w:rsidRPr="00E923BE">
        <w:rPr>
          <w:rStyle w:val="SingleTxt"/>
          <w:rFonts w:cs="SimSun"/>
        </w:rPr>
        <w:tab/>
      </w:r>
      <w:r w:rsidRPr="00E923BE">
        <w:rPr>
          <w:rStyle w:val="SingleTxt"/>
          <w:rFonts w:cs="SimSun"/>
        </w:rPr>
        <w:t>妇女地位咨询委员会在</w:t>
      </w:r>
      <w:r w:rsidRPr="00E923BE">
        <w:rPr>
          <w:rStyle w:val="SingleTxt"/>
          <w:rFonts w:cs="SimSun"/>
        </w:rPr>
        <w:t>2004</w:t>
      </w:r>
      <w:r w:rsidRPr="00E923BE">
        <w:rPr>
          <w:rStyle w:val="SingleTxt"/>
          <w:rFonts w:cs="SimSun"/>
        </w:rPr>
        <w:t>年至</w:t>
      </w:r>
      <w:r w:rsidRPr="00E923BE">
        <w:rPr>
          <w:rStyle w:val="SingleTxt"/>
          <w:rFonts w:cs="SimSun"/>
        </w:rPr>
        <w:t>2011</w:t>
      </w:r>
      <w:r w:rsidRPr="00E923BE">
        <w:rPr>
          <w:rStyle w:val="SingleTxt"/>
          <w:rFonts w:cs="SimSun"/>
        </w:rPr>
        <w:t>年期间运作。在妇女地位总局成为家庭和社会政策部的一个主要服务部门后，该咨询委员会在</w:t>
      </w:r>
      <w:r w:rsidRPr="00E923BE">
        <w:rPr>
          <w:rStyle w:val="SingleTxt"/>
          <w:rFonts w:cs="SimSun"/>
        </w:rPr>
        <w:t>2013</w:t>
      </w:r>
      <w:r w:rsidRPr="00E923BE">
        <w:rPr>
          <w:rStyle w:val="SingleTxt"/>
          <w:rFonts w:cs="SimSun"/>
        </w:rPr>
        <w:t>年</w:t>
      </w:r>
      <w:r w:rsidRPr="00E923BE">
        <w:rPr>
          <w:rStyle w:val="SingleTxt"/>
          <w:rFonts w:cs="SimSun"/>
        </w:rPr>
        <w:t>12</w:t>
      </w:r>
      <w:r w:rsidRPr="00E923BE">
        <w:rPr>
          <w:rStyle w:val="SingleTxt"/>
          <w:rFonts w:cs="SimSun"/>
        </w:rPr>
        <w:t>月得以重新设立。</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61.</w:t>
      </w:r>
      <w:r w:rsidRPr="00E923BE">
        <w:rPr>
          <w:rStyle w:val="SingleTxt"/>
          <w:rFonts w:cs="SimSun"/>
        </w:rPr>
        <w:tab/>
      </w:r>
      <w:r w:rsidRPr="00E923BE">
        <w:rPr>
          <w:rStyle w:val="SingleTxt"/>
          <w:rFonts w:cs="SimSun"/>
        </w:rPr>
        <w:t>男女机会均等委员会于</w:t>
      </w:r>
      <w:r w:rsidRPr="00E923BE">
        <w:rPr>
          <w:rStyle w:val="SingleTxt"/>
          <w:rFonts w:cs="SimSun"/>
        </w:rPr>
        <w:t>2009</w:t>
      </w:r>
      <w:r w:rsidRPr="00E923BE">
        <w:rPr>
          <w:rStyle w:val="SingleTxt"/>
          <w:rFonts w:cs="SimSun"/>
        </w:rPr>
        <w:t>年</w:t>
      </w:r>
      <w:r w:rsidRPr="00E923BE">
        <w:rPr>
          <w:rStyle w:val="SingleTxt"/>
          <w:rFonts w:cs="SimSun"/>
        </w:rPr>
        <w:t>3</w:t>
      </w:r>
      <w:r w:rsidRPr="00E923BE">
        <w:rPr>
          <w:rStyle w:val="SingleTxt"/>
          <w:rFonts w:cs="SimSun"/>
        </w:rPr>
        <w:t>月</w:t>
      </w:r>
      <w:r w:rsidRPr="00E923BE">
        <w:rPr>
          <w:rStyle w:val="SingleTxt"/>
          <w:rFonts w:cs="SimSun"/>
        </w:rPr>
        <w:t>24</w:t>
      </w:r>
      <w:r w:rsidRPr="00E923BE">
        <w:rPr>
          <w:rStyle w:val="SingleTxt"/>
          <w:rFonts w:cs="SimSun"/>
        </w:rPr>
        <w:t>日在土耳其大国民议会内设立。男女机会均等委员会负责随时向土耳其大国民议会通报国内和国际社会在男女平等问题上的进展，对分配给委员会的问题展开讨论，并且作为主或副委员会为提交至土耳其大国民议会的法案、法律草案和法令提出意见。该委员会还会审查对妇女侵权、暴力和歧视的申诉，在必要情况下向有关当局发出警示。见</w:t>
      </w:r>
      <w:r>
        <w:rPr>
          <w:rStyle w:val="SingleTxt"/>
          <w:rFonts w:cs="SimSun"/>
        </w:rPr>
        <w:t>第六次报告</w:t>
      </w:r>
      <w:r w:rsidRPr="00E923BE">
        <w:rPr>
          <w:rStyle w:val="SingleTxt"/>
          <w:rFonts w:cs="SimSun"/>
        </w:rPr>
        <w:t>和第</w:t>
      </w:r>
      <w:r w:rsidRPr="00E923BE">
        <w:rPr>
          <w:rStyle w:val="SingleTxt"/>
          <w:rFonts w:cs="SimSun"/>
        </w:rPr>
        <w:t>2</w:t>
      </w:r>
      <w:r w:rsidRPr="00E923BE">
        <w:rPr>
          <w:rStyle w:val="SingleTxt"/>
          <w:rFonts w:cs="SimSun"/>
        </w:rPr>
        <w:t>条。</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4.1</w:t>
      </w:r>
      <w:r w:rsidRPr="00E923BE">
        <w:rPr>
          <w:rFonts w:eastAsia="SimHei" w:cs="Arial"/>
          <w:bCs/>
          <w:szCs w:val="21"/>
        </w:rPr>
        <w:t>条</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62.</w:t>
      </w:r>
      <w:r w:rsidRPr="00E923BE">
        <w:rPr>
          <w:rStyle w:val="SingleTxt"/>
          <w:rFonts w:cs="SimSun"/>
        </w:rPr>
        <w:tab/>
      </w:r>
      <w:r w:rsidRPr="00E923BE">
        <w:rPr>
          <w:rStyle w:val="SingleTxt"/>
          <w:rFonts w:cs="SimSun"/>
        </w:rPr>
        <w:t>考虑到</w:t>
      </w:r>
      <w:r>
        <w:rPr>
          <w:rStyle w:val="SingleTxt"/>
          <w:rFonts w:cs="SimSun"/>
        </w:rPr>
        <w:t>结论性意见</w:t>
      </w:r>
      <w:r w:rsidRPr="00E923BE">
        <w:rPr>
          <w:rStyle w:val="SingleTxt"/>
          <w:rFonts w:cs="SimSun"/>
        </w:rPr>
        <w:t>第</w:t>
      </w:r>
      <w:r w:rsidRPr="00E923BE">
        <w:rPr>
          <w:rStyle w:val="SingleTxt"/>
          <w:rFonts w:cs="SimSun"/>
        </w:rPr>
        <w:t>18</w:t>
      </w:r>
      <w:r w:rsidRPr="00E923BE">
        <w:rPr>
          <w:rStyle w:val="SingleTxt"/>
          <w:rFonts w:cs="SimSun"/>
        </w:rPr>
        <w:t>段和第</w:t>
      </w:r>
      <w:r w:rsidRPr="00E923BE">
        <w:rPr>
          <w:rStyle w:val="SingleTxt"/>
          <w:rFonts w:cs="SimSun"/>
        </w:rPr>
        <w:t>19</w:t>
      </w:r>
      <w:r w:rsidRPr="00E923BE">
        <w:rPr>
          <w:rStyle w:val="SingleTxt"/>
          <w:rFonts w:cs="SimSun"/>
        </w:rPr>
        <w:t>段强调的要点，土耳其提请注意以下暂行特别措施条款：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63.</w:t>
      </w:r>
      <w:r w:rsidRPr="00E923BE">
        <w:rPr>
          <w:rStyle w:val="SingleTxt"/>
          <w:rFonts w:cs="SimSun"/>
        </w:rPr>
        <w:tab/>
      </w:r>
      <w:r w:rsidRPr="00E923BE">
        <w:rPr>
          <w:rStyle w:val="SingleTxt"/>
          <w:rFonts w:cs="SimSun"/>
        </w:rPr>
        <w:t>《宪法》第</w:t>
      </w:r>
      <w:r w:rsidRPr="00E923BE">
        <w:rPr>
          <w:rStyle w:val="SingleTxt"/>
          <w:rFonts w:cs="SimSun"/>
        </w:rPr>
        <w:t>10</w:t>
      </w:r>
      <w:r w:rsidRPr="00E923BE">
        <w:rPr>
          <w:rStyle w:val="SingleTxt"/>
          <w:rFonts w:cs="SimSun"/>
        </w:rPr>
        <w:t>条（见第</w:t>
      </w:r>
      <w:r w:rsidRPr="00E923BE">
        <w:rPr>
          <w:rStyle w:val="SingleTxt"/>
          <w:rFonts w:cs="SimSun"/>
        </w:rPr>
        <w:t>2</w:t>
      </w:r>
      <w:r w:rsidRPr="00E923BE">
        <w:rPr>
          <w:rStyle w:val="SingleTxt"/>
          <w:rFonts w:cs="SimSun"/>
        </w:rPr>
        <w:t>条</w:t>
      </w:r>
      <w:r w:rsidRPr="00E923BE">
        <w:rPr>
          <w:rStyle w:val="SingleTxt"/>
          <w:rFonts w:cs="SimSun"/>
        </w:rPr>
        <w:t>a</w:t>
      </w:r>
      <w:r w:rsidRPr="00E923BE">
        <w:rPr>
          <w:rStyle w:val="SingleTxt"/>
          <w:rFonts w:cs="SimSun"/>
        </w:rPr>
        <w:t>款）为制定暂行特别措施政策铺平了道路，以促进</w:t>
      </w:r>
      <w:r>
        <w:rPr>
          <w:rStyle w:val="SingleTxt"/>
          <w:rFonts w:cs="SimSun"/>
        </w:rPr>
        <w:t>男女平等</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64.</w:t>
      </w:r>
      <w:r w:rsidRPr="00E923BE">
        <w:rPr>
          <w:rStyle w:val="SingleTxt"/>
          <w:rFonts w:cs="SimSun"/>
        </w:rPr>
        <w:tab/>
      </w:r>
      <w:r w:rsidRPr="00E923BE">
        <w:rPr>
          <w:rStyle w:val="SingleTxt"/>
          <w:rFonts w:cs="SimSun"/>
          <w:cs/>
        </w:rPr>
        <w:t>“</w:t>
      </w:r>
      <w:r w:rsidRPr="00E923BE">
        <w:rPr>
          <w:rStyle w:val="SingleTxt"/>
          <w:rFonts w:cs="SimSun"/>
        </w:rPr>
        <w:t>有条件现金拨付方案</w:t>
      </w:r>
      <w:r w:rsidRPr="00E923BE">
        <w:rPr>
          <w:rStyle w:val="SingleTxt"/>
          <w:rFonts w:cs="SimSun"/>
          <w:cs/>
        </w:rPr>
        <w:t>”</w:t>
      </w:r>
      <w:r w:rsidRPr="00E923BE">
        <w:rPr>
          <w:rStyle w:val="SingleTxt"/>
          <w:rFonts w:cs="SimSun"/>
        </w:rPr>
        <w:t>就是土耳其实施的暂行特别措施之一。该方案旨在让贫困家庭的儿童受到教育。女童在基础教育阶段获得的财政援助比男童多</w:t>
      </w:r>
      <w:r w:rsidRPr="00E923BE">
        <w:rPr>
          <w:rStyle w:val="SingleTxt"/>
          <w:rFonts w:cs="SimSun"/>
        </w:rPr>
        <w:t>14.3%</w:t>
      </w:r>
      <w:r w:rsidRPr="00E923BE">
        <w:rPr>
          <w:rStyle w:val="SingleTxt"/>
          <w:rFonts w:cs="SimSun"/>
        </w:rPr>
        <w:t>，在中等教育阶段则多</w:t>
      </w:r>
      <w:r w:rsidRPr="00E923BE">
        <w:rPr>
          <w:rStyle w:val="SingleTxt"/>
          <w:rFonts w:cs="SimSun"/>
        </w:rPr>
        <w:t>20%</w:t>
      </w:r>
      <w:r w:rsidRPr="00E923BE">
        <w:rPr>
          <w:rStyle w:val="SingleTxt"/>
          <w:rFonts w:cs="SimSun"/>
        </w:rPr>
        <w:t>。有条件现金拨付条款的一项最重要内容是，款项会直接向母亲拨付，以增强妇女权能和提高她们在家庭中的地位。</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65.</w:t>
      </w:r>
      <w:r w:rsidRPr="00E923BE">
        <w:rPr>
          <w:rStyle w:val="SingleTxt"/>
          <w:rFonts w:cs="SimSun"/>
        </w:rPr>
        <w:tab/>
      </w:r>
      <w:r w:rsidRPr="00E923BE">
        <w:rPr>
          <w:rStyle w:val="SingleTxt"/>
          <w:rFonts w:cs="SimSun"/>
        </w:rPr>
        <w:t>在高等教育信贷和学生宿舍机构总局下属为满足高等院校学生居住需求而设的宿舍中，</w:t>
      </w:r>
      <w:r w:rsidRPr="00E923BE">
        <w:rPr>
          <w:rStyle w:val="SingleTxt"/>
          <w:rFonts w:cs="SimSun"/>
        </w:rPr>
        <w:t>62.74%</w:t>
      </w:r>
      <w:r w:rsidRPr="00E923BE">
        <w:rPr>
          <w:rStyle w:val="SingleTxt"/>
          <w:rFonts w:cs="SimSun"/>
        </w:rPr>
        <w:t>的床位是留给女学生使用的。</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66.</w:t>
      </w:r>
      <w:r w:rsidRPr="00E923BE">
        <w:rPr>
          <w:rStyle w:val="SingleTxt"/>
          <w:rFonts w:cs="SimSun"/>
        </w:rPr>
        <w:tab/>
        <w:t>2011</w:t>
      </w:r>
      <w:r w:rsidRPr="00E923BE">
        <w:rPr>
          <w:rStyle w:val="SingleTxt"/>
          <w:rFonts w:cs="SimSun"/>
        </w:rPr>
        <w:t>年生效的第</w:t>
      </w:r>
      <w:r w:rsidRPr="00E923BE">
        <w:rPr>
          <w:rStyle w:val="SingleTxt"/>
          <w:rFonts w:cs="SimSun"/>
        </w:rPr>
        <w:t>6111</w:t>
      </w:r>
      <w:r w:rsidRPr="00E923BE">
        <w:rPr>
          <w:rStyle w:val="SingleTxt"/>
          <w:rFonts w:cs="SimSun"/>
        </w:rPr>
        <w:t>号法律规定，妇女保险费中由雇主承担的部分将由国家支付</w:t>
      </w:r>
      <w:r w:rsidRPr="00E923BE">
        <w:rPr>
          <w:rStyle w:val="SingleTxt"/>
          <w:rFonts w:cs="SimSun"/>
        </w:rPr>
        <w:t>12</w:t>
      </w:r>
      <w:r w:rsidRPr="00E923BE">
        <w:rPr>
          <w:rStyle w:val="SingleTxt"/>
          <w:rFonts w:cs="SimSun"/>
        </w:rPr>
        <w:t>至</w:t>
      </w:r>
      <w:r w:rsidRPr="00E923BE">
        <w:rPr>
          <w:rStyle w:val="SingleTxt"/>
          <w:rFonts w:cs="SimSun"/>
        </w:rPr>
        <w:t>54</w:t>
      </w:r>
      <w:r w:rsidRPr="00E923BE">
        <w:rPr>
          <w:rStyle w:val="SingleTxt"/>
          <w:rFonts w:cs="SimSun"/>
        </w:rPr>
        <w:t>个月，以此为妇女增加新的就业机会。直至</w:t>
      </w:r>
      <w:r w:rsidRPr="00E923BE">
        <w:rPr>
          <w:rStyle w:val="SingleTxt"/>
          <w:rFonts w:cs="SimSun"/>
        </w:rPr>
        <w:t>2014</w:t>
      </w:r>
      <w:r w:rsidRPr="00E923BE">
        <w:rPr>
          <w:rStyle w:val="SingleTxt"/>
          <w:rFonts w:cs="SimSun"/>
        </w:rPr>
        <w:t>年</w:t>
      </w:r>
      <w:r w:rsidRPr="00E923BE">
        <w:rPr>
          <w:rStyle w:val="SingleTxt"/>
          <w:rFonts w:cs="SimSun"/>
        </w:rPr>
        <w:t>2</w:t>
      </w:r>
      <w:r w:rsidRPr="00E923BE">
        <w:rPr>
          <w:rStyle w:val="SingleTxt"/>
          <w:rFonts w:cs="SimSun"/>
        </w:rPr>
        <w:t>月，已有</w:t>
      </w:r>
      <w:r w:rsidRPr="00E923BE">
        <w:rPr>
          <w:rStyle w:val="SingleTxt"/>
          <w:rFonts w:cs="SimSun"/>
        </w:rPr>
        <w:t>144 028</w:t>
      </w:r>
      <w:r w:rsidRPr="00E923BE">
        <w:rPr>
          <w:rStyle w:val="SingleTxt"/>
          <w:rFonts w:cs="SimSun"/>
        </w:rPr>
        <w:t>名妇女受益于这一鼓励措施。</w:t>
      </w:r>
    </w:p>
    <w:p w:rsidR="005C05C5" w:rsidRPr="00E923BE" w:rsidRDefault="005C05C5" w:rsidP="005C05C5">
      <w:pPr>
        <w:pStyle w:val="SingleTxt"/>
        <w:spacing w:after="120"/>
        <w:ind w:left="1134" w:right="1134"/>
      </w:pPr>
      <w:r w:rsidRPr="00E923BE">
        <w:rPr>
          <w:rStyle w:val="SingleTxt"/>
          <w:rFonts w:cs="SimSun"/>
        </w:rPr>
        <w:t>67.</w:t>
      </w:r>
      <w:r w:rsidRPr="00E923BE">
        <w:rPr>
          <w:rStyle w:val="SingleTxt"/>
          <w:rFonts w:cs="SimSun"/>
        </w:rPr>
        <w:tab/>
      </w:r>
      <w:r w:rsidRPr="00E923BE">
        <w:rPr>
          <w:rStyle w:val="SingleTxt"/>
          <w:rFonts w:cs="SimSun"/>
        </w:rPr>
        <w:t>此外，贫困妇女和寡妇可定期获得双月津贴（接近每月</w:t>
      </w:r>
      <w:r w:rsidRPr="00E923BE">
        <w:rPr>
          <w:rStyle w:val="SingleTxt"/>
          <w:rFonts w:cs="SimSun"/>
        </w:rPr>
        <w:t>123</w:t>
      </w:r>
      <w:r w:rsidRPr="00E923BE">
        <w:rPr>
          <w:rStyle w:val="SingleTxt"/>
          <w:rFonts w:cs="SimSun"/>
        </w:rPr>
        <w:t>美元</w:t>
      </w:r>
      <w:r w:rsidRPr="005C05C5">
        <w:rPr>
          <w:rStyle w:val="FootnoteReference"/>
          <w:rFonts w:cs="SimSun"/>
        </w:rPr>
        <w:footnoteReference w:id="5"/>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68.</w:t>
      </w:r>
      <w:r w:rsidRPr="00E923BE">
        <w:rPr>
          <w:rStyle w:val="SingleTxt"/>
          <w:rFonts w:cs="SimSun"/>
        </w:rPr>
        <w:tab/>
      </w:r>
      <w:r w:rsidRPr="00E923BE">
        <w:rPr>
          <w:rStyle w:val="SingleTxt"/>
          <w:rFonts w:cs="SimSun"/>
        </w:rPr>
        <w:t>此外，一些政党近年来也开始采用妇女人数定额</w:t>
      </w:r>
      <w:r w:rsidRPr="00E923BE">
        <w:rPr>
          <w:rStyle w:val="SingleTxt"/>
          <w:rFonts w:cs="SimSun"/>
        </w:rPr>
        <w:t>/</w:t>
      </w:r>
      <w:r w:rsidRPr="00E923BE">
        <w:rPr>
          <w:rStyle w:val="SingleTxt"/>
          <w:rFonts w:cs="SimSun"/>
        </w:rPr>
        <w:t>性别平衡申请的做法。关于为鼓励妇女参与政治而实施的暂行特别措施，见第</w:t>
      </w:r>
      <w:r w:rsidRPr="00E923BE">
        <w:rPr>
          <w:rStyle w:val="SingleTxt"/>
          <w:rFonts w:cs="SimSun"/>
        </w:rPr>
        <w:t>7</w:t>
      </w:r>
      <w:r w:rsidRPr="00E923BE">
        <w:rPr>
          <w:rStyle w:val="SingleTxt"/>
          <w:rFonts w:cs="SimSun"/>
        </w:rPr>
        <w:t>条</w:t>
      </w:r>
      <w:r w:rsidRPr="00E923BE">
        <w:rPr>
          <w:rStyle w:val="SingleTxt"/>
          <w:rFonts w:cs="SimSun"/>
        </w:rPr>
        <w:t>a</w:t>
      </w:r>
      <w:r w:rsidRPr="00E923BE">
        <w:rPr>
          <w:rStyle w:val="SingleTxt"/>
          <w:rFonts w:cs="SimSun"/>
        </w:rPr>
        <w:t>款。</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4.2</w:t>
      </w:r>
      <w:r w:rsidRPr="00E923BE">
        <w:rPr>
          <w:rFonts w:eastAsia="SimHei" w:cs="Arial"/>
          <w:bCs/>
          <w:szCs w:val="21"/>
        </w:rPr>
        <w:t>条</w:t>
      </w:r>
    </w:p>
    <w:p w:rsidR="005C05C5" w:rsidRPr="00E923BE" w:rsidRDefault="005C05C5" w:rsidP="005C05C5">
      <w:pPr>
        <w:pStyle w:val="SingleTxt"/>
        <w:spacing w:after="120"/>
        <w:ind w:left="1134" w:right="1134"/>
      </w:pPr>
      <w:r w:rsidRPr="00E923BE">
        <w:rPr>
          <w:rStyle w:val="SingleTxt"/>
          <w:rFonts w:cs="SimSun"/>
        </w:rPr>
        <w:t>69.</w:t>
      </w:r>
      <w:r w:rsidRPr="00E923BE">
        <w:rPr>
          <w:rStyle w:val="SingleTxt"/>
          <w:rFonts w:cs="SimSun"/>
        </w:rPr>
        <w:tab/>
      </w:r>
      <w:r w:rsidRPr="00E923BE">
        <w:rPr>
          <w:rStyle w:val="SingleTxt"/>
          <w:rFonts w:cs="SimSun"/>
        </w:rPr>
        <w:t>《公务员法》和《劳动法》对产假和相关假期作出了规定（见</w:t>
      </w:r>
      <w:r>
        <w:rPr>
          <w:rStyle w:val="SingleTxt"/>
          <w:rFonts w:cs="SimSun"/>
        </w:rPr>
        <w:t>第六次报告</w:t>
      </w:r>
      <w:r w:rsidRPr="00E923BE">
        <w:rPr>
          <w:rStyle w:val="SingleTxt"/>
          <w:rFonts w:cs="SimSun"/>
        </w:rPr>
        <w:t>）。上述法律已在</w:t>
      </w:r>
      <w:r w:rsidRPr="00E923BE">
        <w:rPr>
          <w:rStyle w:val="SingleTxt"/>
          <w:rFonts w:cs="SimSun"/>
        </w:rPr>
        <w:t>2011</w:t>
      </w:r>
      <w:r w:rsidRPr="00E923BE">
        <w:rPr>
          <w:rStyle w:val="SingleTxt"/>
          <w:rFonts w:cs="SimSun"/>
        </w:rPr>
        <w:t>年经过修正，新加入的条款规定，女员工或女公务员有权把因早产而未使用的产前假期时间增加到产后假期时间中。</w:t>
      </w:r>
    </w:p>
    <w:p w:rsidR="005C05C5" w:rsidRPr="00E923BE" w:rsidRDefault="005C05C5" w:rsidP="005C05C5">
      <w:pPr>
        <w:pStyle w:val="SingleTxt"/>
        <w:spacing w:after="120"/>
        <w:ind w:left="1134" w:right="1134"/>
      </w:pPr>
      <w:r w:rsidRPr="00E923BE">
        <w:rPr>
          <w:rStyle w:val="SingleTxt"/>
          <w:rFonts w:cs="SimSun"/>
        </w:rPr>
        <w:t>70.</w:t>
      </w:r>
      <w:r w:rsidRPr="00E923BE">
        <w:rPr>
          <w:rStyle w:val="SingleTxt"/>
          <w:rFonts w:cs="SimSun"/>
        </w:rPr>
        <w:tab/>
      </w:r>
      <w:r w:rsidRPr="00E923BE">
        <w:rPr>
          <w:rStyle w:val="SingleTxt"/>
          <w:rFonts w:cs="SimSun"/>
        </w:rPr>
        <w:t>根据</w:t>
      </w:r>
      <w:r w:rsidRPr="00E923BE">
        <w:rPr>
          <w:rStyle w:val="SingleTxt"/>
          <w:rFonts w:cs="SimSun"/>
        </w:rPr>
        <w:t>2011</w:t>
      </w:r>
      <w:r w:rsidRPr="00E923BE">
        <w:rPr>
          <w:rStyle w:val="SingleTxt"/>
          <w:rFonts w:cs="SimSun"/>
        </w:rPr>
        <w:t>年《公务员法》修正案的新规定，女公务员在分娩前</w:t>
      </w:r>
      <w:r w:rsidRPr="00E923BE">
        <w:rPr>
          <w:rStyle w:val="SingleTxt"/>
          <w:rFonts w:cs="SimSun"/>
        </w:rPr>
        <w:t>24</w:t>
      </w:r>
      <w:r w:rsidRPr="00E923BE">
        <w:rPr>
          <w:rStyle w:val="SingleTxt"/>
          <w:rFonts w:cs="SimSun" w:hint="eastAsia"/>
        </w:rPr>
        <w:t>个月</w:t>
      </w:r>
      <w:r w:rsidRPr="00E923BE">
        <w:rPr>
          <w:rStyle w:val="SingleTxt"/>
          <w:rFonts w:cs="SimSun"/>
        </w:rPr>
        <w:t>和分娩后第一年内不得从事夜巡或夜班工作。该条款在</w:t>
      </w:r>
      <w:r w:rsidRPr="00E923BE">
        <w:rPr>
          <w:rStyle w:val="SingleTxt"/>
          <w:rFonts w:cs="SimSun"/>
        </w:rPr>
        <w:t>2013</w:t>
      </w:r>
      <w:r w:rsidRPr="00E923BE">
        <w:rPr>
          <w:rStyle w:val="SingleTxt"/>
          <w:rFonts w:cs="SimSun"/>
        </w:rPr>
        <w:t>年</w:t>
      </w:r>
      <w:r w:rsidRPr="00E923BE">
        <w:rPr>
          <w:rStyle w:val="SingleTxt"/>
          <w:rFonts w:cs="SimSun"/>
        </w:rPr>
        <w:t>7</w:t>
      </w:r>
      <w:r w:rsidRPr="00E923BE">
        <w:rPr>
          <w:rStyle w:val="SingleTxt"/>
          <w:rFonts w:cs="SimSun"/>
        </w:rPr>
        <w:t>月</w:t>
      </w:r>
      <w:r w:rsidRPr="00E923BE">
        <w:rPr>
          <w:rStyle w:val="SingleTxt"/>
          <w:rFonts w:cs="SimSun"/>
        </w:rPr>
        <w:t>12</w:t>
      </w:r>
      <w:r w:rsidRPr="00E923BE">
        <w:rPr>
          <w:rStyle w:val="SingleTxt"/>
          <w:rFonts w:cs="SimSun"/>
        </w:rPr>
        <w:t>日经过修正，把这一期限被延长至两年。</w:t>
      </w:r>
    </w:p>
    <w:p w:rsidR="005C05C5" w:rsidRPr="00E923BE" w:rsidRDefault="005C05C5" w:rsidP="005C05C5">
      <w:pPr>
        <w:pStyle w:val="SingleTxt"/>
        <w:spacing w:after="120"/>
        <w:ind w:left="1134" w:right="1134"/>
      </w:pPr>
      <w:r w:rsidRPr="00E923BE">
        <w:rPr>
          <w:rStyle w:val="SingleTxt"/>
          <w:rFonts w:cs="SimSun"/>
        </w:rPr>
        <w:t>71.</w:t>
      </w:r>
      <w:r w:rsidRPr="00E923BE">
        <w:rPr>
          <w:rStyle w:val="SingleTxt"/>
          <w:rFonts w:cs="SimSun"/>
        </w:rPr>
        <w:tab/>
      </w:r>
      <w:r w:rsidRPr="00E923BE">
        <w:rPr>
          <w:rStyle w:val="SingleTxt"/>
          <w:rFonts w:cs="SimSun"/>
        </w:rPr>
        <w:t>《公务员法》所包含的</w:t>
      </w:r>
      <w:r w:rsidRPr="00E923BE">
        <w:rPr>
          <w:rStyle w:val="SingleTxt"/>
          <w:rFonts w:cs="SimSun"/>
          <w:cs/>
        </w:rPr>
        <w:t>“</w:t>
      </w:r>
      <w:r w:rsidRPr="00E923BE">
        <w:rPr>
          <w:rStyle w:val="SingleTxt"/>
          <w:rFonts w:cs="SimSun"/>
        </w:rPr>
        <w:t>有薪假</w:t>
      </w:r>
      <w:r w:rsidRPr="00E923BE">
        <w:rPr>
          <w:rStyle w:val="SingleTxt"/>
          <w:rFonts w:cs="SimSun"/>
          <w:cs/>
        </w:rPr>
        <w:t>”</w:t>
      </w:r>
      <w:r w:rsidRPr="00E923BE">
        <w:rPr>
          <w:rStyle w:val="SingleTxt"/>
          <w:rFonts w:cs="SimSun"/>
        </w:rPr>
        <w:t>概念被改为</w:t>
      </w:r>
      <w:r w:rsidRPr="00E923BE">
        <w:rPr>
          <w:rStyle w:val="SingleTxt"/>
          <w:rFonts w:cs="SimSun"/>
          <w:cs/>
        </w:rPr>
        <w:t>“</w:t>
      </w:r>
      <w:r w:rsidRPr="00E923BE">
        <w:rPr>
          <w:rStyle w:val="SingleTxt"/>
          <w:rFonts w:cs="SimSun"/>
        </w:rPr>
        <w:t>产假</w:t>
      </w:r>
      <w:r w:rsidRPr="00E923BE">
        <w:rPr>
          <w:rStyle w:val="SingleTxt"/>
          <w:rFonts w:cs="SimSun"/>
          <w:cs/>
        </w:rPr>
        <w:t>”</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72.</w:t>
      </w:r>
      <w:r w:rsidRPr="00E923BE">
        <w:rPr>
          <w:rStyle w:val="SingleTxt"/>
          <w:rFonts w:cs="SimSun"/>
        </w:rPr>
        <w:tab/>
      </w:r>
      <w:r w:rsidRPr="00E923BE">
        <w:rPr>
          <w:rStyle w:val="SingleTxt"/>
          <w:rFonts w:cs="SimSun"/>
        </w:rPr>
        <w:t>哺乳假期也得到重新安排。婴儿未满一岁的女员工可拥有每天</w:t>
      </w:r>
      <w:r w:rsidRPr="00E923BE">
        <w:rPr>
          <w:rStyle w:val="SingleTxt"/>
          <w:rFonts w:cs="SimSun"/>
        </w:rPr>
        <w:t>1.5</w:t>
      </w:r>
      <w:r w:rsidRPr="00E923BE">
        <w:rPr>
          <w:rStyle w:val="SingleTxt"/>
          <w:rFonts w:cs="SimSun"/>
        </w:rPr>
        <w:t>小时的哺乳休息时间。公务员母亲在产假结束后的头六个月内可享有每日三小时的哺乳休息时间，之后六个月可享有每天一个半小时的哺乳休息时间。公务员母亲自行决定如何使用这些哺乳休息时间。</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73.</w:t>
      </w:r>
      <w:r w:rsidRPr="00E923BE">
        <w:rPr>
          <w:rStyle w:val="SingleTxt"/>
          <w:rFonts w:cs="SimSun"/>
        </w:rPr>
        <w:tab/>
      </w:r>
      <w:r w:rsidRPr="00E923BE">
        <w:rPr>
          <w:rStyle w:val="SingleTxt"/>
          <w:rFonts w:cs="SimSun"/>
        </w:rPr>
        <w:t>有关可用于保护母亲的鼓励措施，见第</w:t>
      </w:r>
      <w:r w:rsidRPr="00E923BE">
        <w:rPr>
          <w:rStyle w:val="SingleTxt"/>
          <w:rFonts w:cs="SimSun"/>
        </w:rPr>
        <w:t>12.2</w:t>
      </w:r>
      <w:r w:rsidRPr="00E923BE">
        <w:rPr>
          <w:rStyle w:val="SingleTxt"/>
          <w:rFonts w:cs="SimSun"/>
        </w:rPr>
        <w:t>条。</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5</w:t>
      </w:r>
      <w:r w:rsidRPr="00E923BE">
        <w:rPr>
          <w:rFonts w:eastAsia="SimHei" w:cs="Arial"/>
          <w:bCs/>
          <w:szCs w:val="21"/>
        </w:rPr>
        <w:t>条</w:t>
      </w:r>
      <w:r w:rsidRPr="00E923BE">
        <w:rPr>
          <w:rFonts w:eastAsia="SimHei" w:cs="Arial"/>
          <w:b/>
          <w:bCs/>
          <w:szCs w:val="21"/>
        </w:rPr>
        <w:t>a</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74.</w:t>
      </w:r>
      <w:r w:rsidRPr="00E923BE">
        <w:rPr>
          <w:rStyle w:val="SingleTxt"/>
          <w:rFonts w:cs="SimSun"/>
        </w:rPr>
        <w:tab/>
      </w:r>
      <w:r w:rsidRPr="00E923BE">
        <w:rPr>
          <w:rStyle w:val="SingleTxt"/>
          <w:rFonts w:cs="SimSun"/>
        </w:rPr>
        <w:t>根据消除对妇女歧视委员会关于</w:t>
      </w:r>
      <w:r w:rsidRPr="00E923BE">
        <w:rPr>
          <w:rStyle w:val="SingleTxt"/>
          <w:rFonts w:cs="SimSun"/>
        </w:rPr>
        <w:t>R.K.B</w:t>
      </w:r>
      <w:r w:rsidRPr="00E923BE">
        <w:rPr>
          <w:rStyle w:val="SingleTxt"/>
          <w:rFonts w:cs="SimSun"/>
        </w:rPr>
        <w:t>诉土耳其违反《消除对妇女一切形式歧视公约》第</w:t>
      </w:r>
      <w:r>
        <w:rPr>
          <w:rStyle w:val="SingleTxt"/>
          <w:rFonts w:cs="SimSun" w:hint="eastAsia"/>
        </w:rPr>
        <w:t>2</w:t>
      </w:r>
      <w:r w:rsidRPr="00E923BE">
        <w:rPr>
          <w:rStyle w:val="SingleTxt"/>
          <w:rFonts w:cs="SimSun"/>
        </w:rPr>
        <w:t>条</w:t>
      </w:r>
      <w:hyperlink r:id="rId14" w:history="1">
        <w:r w:rsidRPr="00E923BE">
          <w:rPr>
            <w:rStyle w:val="Hyperlink"/>
            <w:rFonts w:cs="SimSun"/>
          </w:rPr>
          <w:t>a</w:t>
        </w:r>
        <w:r w:rsidRPr="00E923BE">
          <w:rPr>
            <w:rStyle w:val="Hyperlink"/>
            <w:rFonts w:cs="SimSun"/>
          </w:rPr>
          <w:t>款</w:t>
        </w:r>
        <w:bookmarkStart w:id="3" w:name="_Hlt407090679"/>
        <w:bookmarkStart w:id="4" w:name="_Hlt407090680"/>
        <w:r w:rsidRPr="00E923BE">
          <w:rPr>
            <w:rStyle w:val="Hyperlink"/>
            <w:rFonts w:cs="SimSun"/>
          </w:rPr>
          <w:t>和</w:t>
        </w:r>
        <w:r w:rsidRPr="00E923BE">
          <w:rPr>
            <w:rStyle w:val="Hyperlink"/>
            <w:rFonts w:cs="SimSun"/>
          </w:rPr>
          <w:t>c</w:t>
        </w:r>
        <w:r w:rsidRPr="00E923BE">
          <w:rPr>
            <w:rStyle w:val="Hyperlink"/>
            <w:rFonts w:cs="SimSun"/>
          </w:rPr>
          <w:t>款</w:t>
        </w:r>
        <w:bookmarkEnd w:id="3"/>
        <w:bookmarkEnd w:id="4"/>
        <w:r w:rsidRPr="00E923BE">
          <w:rPr>
            <w:rStyle w:val="Hyperlink"/>
            <w:rFonts w:cs="SimSun"/>
          </w:rPr>
          <w:t>、</w:t>
        </w:r>
      </w:hyperlink>
      <w:r w:rsidRPr="00E923BE">
        <w:rPr>
          <w:rStyle w:val="SingleTxt"/>
          <w:rFonts w:cs="SimSun"/>
        </w:rPr>
        <w:t>第</w:t>
      </w:r>
      <w:r>
        <w:rPr>
          <w:rStyle w:val="SingleTxt"/>
          <w:rFonts w:cs="SimSun" w:hint="eastAsia"/>
        </w:rPr>
        <w:t>5</w:t>
      </w:r>
      <w:r w:rsidRPr="00E923BE">
        <w:rPr>
          <w:rStyle w:val="SingleTxt"/>
          <w:rFonts w:cs="SimSun"/>
        </w:rPr>
        <w:t>条</w:t>
      </w:r>
      <w:r w:rsidRPr="00E923BE">
        <w:rPr>
          <w:rStyle w:val="SingleTxt"/>
          <w:rFonts w:cs="SimSun"/>
        </w:rPr>
        <w:t>a</w:t>
      </w:r>
      <w:r w:rsidRPr="00E923BE">
        <w:rPr>
          <w:rStyle w:val="SingleTxt"/>
          <w:rFonts w:cs="SimSun"/>
        </w:rPr>
        <w:t>款和第</w:t>
      </w:r>
      <w:r>
        <w:rPr>
          <w:rStyle w:val="SingleTxt"/>
          <w:rFonts w:cs="SimSun" w:hint="eastAsia"/>
        </w:rPr>
        <w:t>11</w:t>
      </w:r>
      <w:r w:rsidRPr="00E923BE">
        <w:rPr>
          <w:rStyle w:val="SingleTxt"/>
          <w:rFonts w:cs="SimSun"/>
        </w:rPr>
        <w:t>条</w:t>
      </w:r>
      <w:hyperlink r:id="rId15" w:history="1">
        <w:r w:rsidRPr="00E923BE">
          <w:rPr>
            <w:rStyle w:val="Hyperlink"/>
            <w:rFonts w:cs="SimSun"/>
          </w:rPr>
          <w:t>a</w:t>
        </w:r>
        <w:r w:rsidRPr="00E923BE">
          <w:rPr>
            <w:rStyle w:val="Hyperlink"/>
            <w:rFonts w:cs="SimSun"/>
          </w:rPr>
          <w:t>款和</w:t>
        </w:r>
        <w:r w:rsidRPr="00E923BE">
          <w:rPr>
            <w:rStyle w:val="Hyperlink"/>
            <w:rFonts w:cs="SimSun"/>
          </w:rPr>
          <w:t>b</w:t>
        </w:r>
        <w:r w:rsidRPr="00E923BE">
          <w:rPr>
            <w:rStyle w:val="Hyperlink"/>
            <w:rFonts w:cs="SimSun"/>
          </w:rPr>
          <w:t>款</w:t>
        </w:r>
      </w:hyperlink>
      <w:r w:rsidRPr="00E923BE">
        <w:rPr>
          <w:rStyle w:val="SingleTxt"/>
          <w:rFonts w:cs="SimSun"/>
        </w:rPr>
        <w:t>作出的决定，土耳其开展了以下活动；委员会的决定案文已被翻译成土耳其文并广泛宣传。为更有效和高效地执行《劳动法》第</w:t>
      </w:r>
      <w:r w:rsidRPr="00E923BE">
        <w:rPr>
          <w:rStyle w:val="SingleTxt"/>
          <w:rFonts w:cs="SimSun"/>
        </w:rPr>
        <w:t>5</w:t>
      </w:r>
      <w:r w:rsidRPr="00E923BE">
        <w:rPr>
          <w:rStyle w:val="SingleTxt"/>
          <w:rFonts w:cs="SimSun"/>
        </w:rPr>
        <w:t>条、《消除对妇女一切形式歧视公约》及其</w:t>
      </w:r>
      <w:r>
        <w:rPr>
          <w:rStyle w:val="SingleTxt"/>
          <w:rFonts w:cs="SimSun" w:hint="eastAsia"/>
        </w:rPr>
        <w:t>《</w:t>
      </w:r>
      <w:r w:rsidRPr="00E923BE">
        <w:rPr>
          <w:rStyle w:val="SingleTxt"/>
          <w:rFonts w:cs="SimSun"/>
        </w:rPr>
        <w:t>任择议定书</w:t>
      </w:r>
      <w:r>
        <w:rPr>
          <w:rStyle w:val="SingleTxt"/>
          <w:rFonts w:cs="SimSun" w:hint="eastAsia"/>
        </w:rPr>
        <w:t>》</w:t>
      </w:r>
      <w:r w:rsidRPr="00E923BE">
        <w:rPr>
          <w:rStyle w:val="SingleTxt"/>
          <w:rFonts w:cs="SimSun"/>
        </w:rPr>
        <w:t>，土耳其文版本的决定案文已发送至最高法官及检察官理事会、公共检察官、区域法院公共检察官和初审管辖权法院司法委员会主席处，也就这一决定向这些机构征求了法官和检察官的建议。此外，从</w:t>
      </w:r>
      <w:r w:rsidRPr="00E923BE">
        <w:rPr>
          <w:rStyle w:val="SingleTxt"/>
          <w:rFonts w:cs="SimSun"/>
        </w:rPr>
        <w:t>2014</w:t>
      </w:r>
      <w:r w:rsidRPr="00E923BE">
        <w:rPr>
          <w:rStyle w:val="SingleTxt"/>
          <w:rFonts w:cs="SimSun"/>
        </w:rPr>
        <w:t>年培训期起，土耳其也计划把</w:t>
      </w:r>
      <w:r w:rsidRPr="00E923BE">
        <w:rPr>
          <w:rStyle w:val="SingleTxt"/>
          <w:rFonts w:cs="SimSun"/>
          <w:cs/>
        </w:rPr>
        <w:t>“</w:t>
      </w:r>
      <w:r w:rsidRPr="00E923BE">
        <w:rPr>
          <w:rStyle w:val="SingleTxt"/>
          <w:rFonts w:cs="SimSun"/>
        </w:rPr>
        <w:t>预防司法机关种族和性别歧视</w:t>
      </w:r>
      <w:r w:rsidRPr="00E923BE">
        <w:rPr>
          <w:rStyle w:val="SingleTxt"/>
          <w:rFonts w:cs="SimSun"/>
          <w:cs/>
        </w:rPr>
        <w:t>”</w:t>
      </w:r>
      <w:r w:rsidRPr="00E923BE">
        <w:rPr>
          <w:rStyle w:val="SingleTxt"/>
          <w:rFonts w:cs="SimSun"/>
        </w:rPr>
        <w:t>这一主题纳入土耳其司法学院向法官和检察官提供的职前培训。另一方面，专家与申诉人和申诉人的律师取得联系，已知悉申诉人的社会经济状况以及解雇决定对其造成的经济和社会损失。据透露，虽然申诉人被解雇后在一段时间内将不能从事该职业，但她正在从事的工作与其以前的工作类似，而且她也能维持健康的家庭生活（据其陈述）。申诉人知悉国家向她提供的社会服务，但她表示对这些服务并无任何要求。</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75.</w:t>
      </w:r>
      <w:r w:rsidRPr="00E923BE">
        <w:rPr>
          <w:rStyle w:val="SingleTxt"/>
          <w:rFonts w:cs="SimSun"/>
        </w:rPr>
        <w:tab/>
      </w:r>
      <w:r w:rsidRPr="00E923BE">
        <w:rPr>
          <w:rStyle w:val="SingleTxt"/>
          <w:rFonts w:cs="SimSun"/>
        </w:rPr>
        <w:t>考虑到</w:t>
      </w:r>
      <w:r>
        <w:rPr>
          <w:rStyle w:val="SingleTxt"/>
          <w:rFonts w:cs="SimSun"/>
        </w:rPr>
        <w:t>结论性意见</w:t>
      </w:r>
      <w:r w:rsidRPr="00E923BE">
        <w:rPr>
          <w:rStyle w:val="SingleTxt"/>
          <w:rFonts w:cs="SimSun"/>
        </w:rPr>
        <w:t>第</w:t>
      </w:r>
      <w:r w:rsidRPr="00E923BE">
        <w:rPr>
          <w:rStyle w:val="SingleTxt"/>
          <w:rFonts w:cs="SimSun"/>
        </w:rPr>
        <w:t>20</w:t>
      </w:r>
      <w:r w:rsidRPr="00E923BE">
        <w:rPr>
          <w:rStyle w:val="SingleTxt"/>
          <w:rFonts w:cs="SimSun"/>
        </w:rPr>
        <w:t>段和第</w:t>
      </w:r>
      <w:r w:rsidRPr="00E923BE">
        <w:rPr>
          <w:rStyle w:val="SingleTxt"/>
          <w:rFonts w:cs="SimSun"/>
        </w:rPr>
        <w:t>21</w:t>
      </w:r>
      <w:r w:rsidRPr="00E923BE">
        <w:rPr>
          <w:rStyle w:val="SingleTxt"/>
          <w:rFonts w:cs="SimSun"/>
        </w:rPr>
        <w:t>段的建议，妇女地位总局参与了由公共机构和机关、地方管理当局和非政府组织举办的若干专题小组讨论会、在职培训和研讨会，以及由海外各类机构举办的消除性别陈规定型观念活动和组织；也开展了有关性别平等、妇女和女孩教育、妇女参与决策机制以及妇女健康的列报和培训。正如</w:t>
      </w:r>
      <w:r>
        <w:rPr>
          <w:rStyle w:val="SingleTxt"/>
          <w:rFonts w:cs="SimSun"/>
        </w:rPr>
        <w:t>结论性意见</w:t>
      </w:r>
      <w:r w:rsidRPr="00E923BE">
        <w:rPr>
          <w:rStyle w:val="SingleTxt"/>
          <w:rFonts w:cs="SimSun"/>
        </w:rPr>
        <w:t>第</w:t>
      </w:r>
      <w:r w:rsidRPr="00E923BE">
        <w:rPr>
          <w:rStyle w:val="SingleTxt"/>
          <w:rFonts w:cs="SimSun"/>
        </w:rPr>
        <w:t>13</w:t>
      </w:r>
      <w:r w:rsidRPr="00E923BE">
        <w:rPr>
          <w:rStyle w:val="SingleTxt"/>
          <w:rFonts w:cs="SimSun"/>
        </w:rPr>
        <w:t>段所建议，上述培训也纳入了有关《消除对妇女一切形式歧视公约》的内容。</w:t>
      </w:r>
    </w:p>
    <w:p w:rsidR="005C05C5" w:rsidRPr="00E923BE" w:rsidRDefault="005C05C5" w:rsidP="005C05C5">
      <w:pPr>
        <w:pStyle w:val="SingleTxt"/>
        <w:spacing w:after="120"/>
        <w:ind w:left="1134" w:right="1134"/>
      </w:pPr>
      <w:r w:rsidRPr="00E923BE">
        <w:rPr>
          <w:rStyle w:val="SingleTxt"/>
          <w:rFonts w:cs="SimSun"/>
        </w:rPr>
        <w:t>76.</w:t>
      </w:r>
      <w:r w:rsidRPr="00E923BE">
        <w:rPr>
          <w:rStyle w:val="SingleTxt"/>
          <w:rFonts w:cs="SimSun"/>
        </w:rPr>
        <w:tab/>
        <w:t>434</w:t>
      </w:r>
      <w:r w:rsidRPr="00E923BE">
        <w:rPr>
          <w:rStyle w:val="SingleTxt"/>
          <w:rFonts w:cs="SimSun"/>
        </w:rPr>
        <w:t>人参加了为通信院校学生开设的</w:t>
      </w:r>
      <w:r w:rsidRPr="00E923BE">
        <w:rPr>
          <w:rStyle w:val="SingleTxt"/>
          <w:rFonts w:cs="SimSun"/>
          <w:cs/>
        </w:rPr>
        <w:t>“</w:t>
      </w:r>
      <w:r w:rsidRPr="00E923BE">
        <w:rPr>
          <w:rStyle w:val="SingleTxt"/>
          <w:rFonts w:cs="SimSun"/>
        </w:rPr>
        <w:t>性别平等和媒体讲习班</w:t>
      </w:r>
      <w:r w:rsidRPr="00E923BE">
        <w:rPr>
          <w:rStyle w:val="SingleTxt"/>
          <w:rFonts w:cs="SimSun"/>
          <w:cs/>
        </w:rPr>
        <w:t>”</w:t>
      </w:r>
      <w:r w:rsidRPr="00E923BE">
        <w:rPr>
          <w:rStyle w:val="SingleTxt"/>
          <w:rFonts w:cs="SimSun"/>
        </w:rPr>
        <w:t>。</w:t>
      </w:r>
      <w:r w:rsidRPr="00E923BE">
        <w:rPr>
          <w:rStyle w:val="SingleTxt"/>
          <w:rFonts w:cs="SimSun"/>
        </w:rPr>
        <w:t>198</w:t>
      </w:r>
      <w:r w:rsidRPr="00E923BE">
        <w:rPr>
          <w:rStyle w:val="SingleTxt"/>
          <w:rFonts w:cs="SimSun"/>
        </w:rPr>
        <w:t>名媒体专业人员参与了为地方媒体专业人员开设的</w:t>
      </w:r>
      <w:r w:rsidRPr="00E923BE">
        <w:rPr>
          <w:rStyle w:val="SingleTxt"/>
          <w:rFonts w:cs="SimSun"/>
          <w:cs/>
        </w:rPr>
        <w:t>“</w:t>
      </w:r>
      <w:r w:rsidRPr="00E923BE">
        <w:rPr>
          <w:rStyle w:val="SingleTxt"/>
          <w:rFonts w:cs="SimSun"/>
        </w:rPr>
        <w:t>地方媒体专业人员在打击暴力侵害妇女中作用和新闻写作讲习班</w:t>
      </w:r>
      <w:r w:rsidRPr="00E923BE">
        <w:rPr>
          <w:rStyle w:val="SingleTxt"/>
          <w:rFonts w:cs="SimSun"/>
          <w:cs/>
        </w:rPr>
        <w:t>”</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77.</w:t>
      </w:r>
      <w:r w:rsidRPr="00E923BE">
        <w:rPr>
          <w:rStyle w:val="SingleTxt"/>
          <w:rFonts w:cs="SimSun"/>
        </w:rPr>
        <w:tab/>
      </w:r>
      <w:r w:rsidRPr="00E923BE">
        <w:rPr>
          <w:rStyle w:val="SingleTxt"/>
          <w:rFonts w:cs="SimSun"/>
        </w:rPr>
        <w:t>土耳其已对这些培训课程开展了一项</w:t>
      </w:r>
      <w:r w:rsidRPr="00E923BE">
        <w:rPr>
          <w:rStyle w:val="SingleTxt"/>
          <w:rFonts w:cs="SimSun"/>
          <w:cs/>
        </w:rPr>
        <w:t>“</w:t>
      </w:r>
      <w:r w:rsidRPr="00E923BE">
        <w:rPr>
          <w:rStyle w:val="SingleTxt"/>
          <w:rFonts w:cs="SimSun"/>
        </w:rPr>
        <w:t>影响评估分析</w:t>
      </w:r>
      <w:r w:rsidRPr="00E923BE">
        <w:rPr>
          <w:rStyle w:val="SingleTxt"/>
          <w:rFonts w:cs="SimSun"/>
          <w:cs/>
        </w:rPr>
        <w:t>”</w:t>
      </w:r>
      <w:r w:rsidRPr="00E923BE">
        <w:rPr>
          <w:rStyle w:val="SingleTxt"/>
          <w:rFonts w:cs="SimSun"/>
        </w:rPr>
        <w:t>。该分析表明，培训课程富有成效，必须得到进一步提高和持续开展。</w:t>
      </w:r>
    </w:p>
    <w:p w:rsidR="005C05C5" w:rsidRPr="00E923BE" w:rsidRDefault="005C05C5" w:rsidP="005C05C5">
      <w:pPr>
        <w:pStyle w:val="SingleTxt"/>
        <w:spacing w:after="120"/>
        <w:ind w:left="1134" w:right="1134"/>
      </w:pPr>
      <w:r w:rsidRPr="00E923BE">
        <w:rPr>
          <w:rStyle w:val="SingleTxt"/>
          <w:rFonts w:cs="SimSun"/>
        </w:rPr>
        <w:t>78.</w:t>
      </w:r>
      <w:r w:rsidRPr="00E923BE">
        <w:rPr>
          <w:rStyle w:val="SingleTxt"/>
          <w:rFonts w:cs="SimSun"/>
        </w:rPr>
        <w:tab/>
      </w:r>
      <w:r w:rsidRPr="00E923BE">
        <w:rPr>
          <w:rStyle w:val="SingleTxt"/>
          <w:rFonts w:cs="SimSun"/>
        </w:rPr>
        <w:t>另一方面，为国家教育部以及家庭和社会政策部省级机构工作人员而设的在职培训课程也纳入了</w:t>
      </w:r>
      <w:r w:rsidRPr="00E923BE">
        <w:rPr>
          <w:rStyle w:val="SingleTxt"/>
          <w:rFonts w:cs="SimSun"/>
          <w:cs/>
        </w:rPr>
        <w:t>“</w:t>
      </w:r>
      <w:r w:rsidRPr="00E923BE">
        <w:rPr>
          <w:rStyle w:val="SingleTxt"/>
          <w:rFonts w:cs="SimSun"/>
        </w:rPr>
        <w:t>性别平等</w:t>
      </w:r>
      <w:r w:rsidRPr="00E923BE">
        <w:rPr>
          <w:rStyle w:val="SingleTxt"/>
          <w:rFonts w:cs="SimSun"/>
          <w:cs/>
        </w:rPr>
        <w:t>”</w:t>
      </w:r>
      <w:r w:rsidRPr="00E923BE">
        <w:rPr>
          <w:rStyle w:val="SingleTxt"/>
          <w:rFonts w:cs="SimSun"/>
        </w:rPr>
        <w:t>的主题。</w:t>
      </w:r>
    </w:p>
    <w:p w:rsidR="005C05C5" w:rsidRPr="00E923BE" w:rsidRDefault="005C05C5" w:rsidP="005C05C5">
      <w:pPr>
        <w:pStyle w:val="SingleTxt"/>
        <w:spacing w:after="120"/>
        <w:ind w:left="1134" w:right="1134"/>
      </w:pPr>
      <w:r w:rsidRPr="00E923BE">
        <w:rPr>
          <w:rStyle w:val="SingleTxt"/>
          <w:rFonts w:cs="SimSun"/>
        </w:rPr>
        <w:t>79.</w:t>
      </w:r>
      <w:r w:rsidRPr="00E923BE">
        <w:rPr>
          <w:rStyle w:val="SingleTxt"/>
          <w:rFonts w:cs="SimSun"/>
        </w:rPr>
        <w:tab/>
      </w:r>
      <w:r w:rsidRPr="00E923BE">
        <w:rPr>
          <w:rStyle w:val="SingleTxt"/>
          <w:rFonts w:cs="SimSun"/>
        </w:rPr>
        <w:t>家庭和社会政策部、国家教育部和非政府组织将于</w:t>
      </w:r>
      <w:r w:rsidRPr="00E923BE">
        <w:rPr>
          <w:rStyle w:val="SingleTxt"/>
          <w:rFonts w:cs="SimSun"/>
        </w:rPr>
        <w:t>2013</w:t>
      </w:r>
      <w:r w:rsidRPr="00E923BE">
        <w:rPr>
          <w:rStyle w:val="SingleTxt"/>
          <w:rFonts w:cs="SimSun"/>
        </w:rPr>
        <w:t>年合作向女青少年技术和职业教育高级中学</w:t>
      </w:r>
      <w:r w:rsidRPr="00E923BE">
        <w:rPr>
          <w:rStyle w:val="SingleTxt"/>
          <w:rFonts w:cs="SimSun" w:hint="eastAsia"/>
        </w:rPr>
        <w:t>的</w:t>
      </w:r>
      <w:r w:rsidRPr="00E923BE">
        <w:rPr>
          <w:rStyle w:val="SingleTxt"/>
          <w:rFonts w:cs="SimSun"/>
        </w:rPr>
        <w:t>教师、学生和在</w:t>
      </w:r>
      <w:r w:rsidRPr="00E923BE">
        <w:rPr>
          <w:rStyle w:val="SingleTxt"/>
          <w:rFonts w:cs="SimSun"/>
        </w:rPr>
        <w:t>10</w:t>
      </w:r>
      <w:r w:rsidRPr="00E923BE">
        <w:rPr>
          <w:rStyle w:val="SingleTxt"/>
          <w:rFonts w:cs="SimSun"/>
        </w:rPr>
        <w:t>个试点城市项目框架内的家庭提供有关性别平等的培训活动、模范会议和研讨会。</w:t>
      </w:r>
    </w:p>
    <w:p w:rsidR="005C05C5" w:rsidRPr="00E923BE" w:rsidRDefault="005C05C5" w:rsidP="005C05C5">
      <w:pPr>
        <w:pStyle w:val="SingleTxt"/>
        <w:spacing w:after="120"/>
        <w:ind w:left="1134" w:right="1134"/>
      </w:pPr>
      <w:r w:rsidRPr="00E923BE">
        <w:rPr>
          <w:rStyle w:val="SingleTxt"/>
          <w:rFonts w:cs="SimSun"/>
        </w:rPr>
        <w:t>80.</w:t>
      </w:r>
      <w:r w:rsidRPr="00E923BE">
        <w:rPr>
          <w:rStyle w:val="SingleTxt"/>
          <w:rFonts w:cs="SimSun"/>
        </w:rPr>
        <w:tab/>
        <w:t>11</w:t>
      </w:r>
      <w:r w:rsidRPr="00E923BE">
        <w:rPr>
          <w:rStyle w:val="SingleTxt"/>
          <w:rFonts w:cs="SimSun"/>
        </w:rPr>
        <w:t>月</w:t>
      </w:r>
      <w:r w:rsidRPr="00E923BE">
        <w:rPr>
          <w:rStyle w:val="SingleTxt"/>
          <w:rFonts w:cs="SimSun"/>
        </w:rPr>
        <w:t>25</w:t>
      </w:r>
      <w:r w:rsidRPr="00E923BE">
        <w:rPr>
          <w:rStyle w:val="SingleTxt"/>
          <w:rFonts w:cs="SimSun"/>
        </w:rPr>
        <w:t>日活动框架内的</w:t>
      </w:r>
      <w:r w:rsidRPr="00E923BE">
        <w:rPr>
          <w:rStyle w:val="SingleTxt"/>
          <w:rFonts w:cs="SimSun"/>
          <w:cs/>
        </w:rPr>
        <w:t>“</w:t>
      </w:r>
      <w:r w:rsidRPr="00E923BE">
        <w:rPr>
          <w:rStyle w:val="SingleTxt"/>
          <w:rFonts w:cs="SimSun"/>
        </w:rPr>
        <w:t>我们一起来</w:t>
      </w:r>
      <w:r w:rsidRPr="00E923BE">
        <w:rPr>
          <w:rStyle w:val="SingleTxt"/>
          <w:rFonts w:cs="SimSun"/>
          <w:cs/>
        </w:rPr>
        <w:t>”</w:t>
      </w:r>
      <w:r w:rsidRPr="00E923BE">
        <w:rPr>
          <w:rStyle w:val="SingleTxt"/>
          <w:rFonts w:cs="SimSun"/>
        </w:rPr>
        <w:t>宣言已开放供签署，让男子也能参与打击侵害妇女暴力行为。土耳其总理是该宣言的第一个签署者，该宣言也得到了男性代表的支持。</w:t>
      </w:r>
    </w:p>
    <w:p w:rsidR="005C05C5" w:rsidRPr="00E923BE" w:rsidRDefault="005C05C5" w:rsidP="005C05C5">
      <w:pPr>
        <w:pStyle w:val="SingleTxt"/>
        <w:spacing w:after="120"/>
        <w:ind w:left="1134" w:right="1134"/>
      </w:pPr>
      <w:r w:rsidRPr="00E923BE">
        <w:rPr>
          <w:rStyle w:val="SingleTxt"/>
          <w:rFonts w:cs="SimSun"/>
        </w:rPr>
        <w:t>81.</w:t>
      </w:r>
      <w:r w:rsidRPr="00E923BE">
        <w:rPr>
          <w:rStyle w:val="SingleTxt"/>
          <w:rFonts w:cs="SimSun"/>
        </w:rPr>
        <w:tab/>
      </w:r>
      <w:r w:rsidRPr="00E923BE">
        <w:rPr>
          <w:rStyle w:val="SingleTxt"/>
          <w:rFonts w:cs="SimSun"/>
        </w:rPr>
        <w:t>根据妇女地位总局与人口基金签署的议定书框架，土耳其成立起一支由</w:t>
      </w:r>
      <w:r w:rsidRPr="00E923BE">
        <w:rPr>
          <w:rStyle w:val="SingleTxt"/>
          <w:rFonts w:cs="SimSun"/>
        </w:rPr>
        <w:t>100</w:t>
      </w:r>
      <w:r w:rsidRPr="00E923BE">
        <w:rPr>
          <w:rStyle w:val="SingleTxt"/>
          <w:rFonts w:cs="SimSun"/>
        </w:rPr>
        <w:t>名培训师组成的团队，以发展中央和省级政府部门在性别平等和打击暴力侵害妇女行为方面的机构能力，并且在各省开展培训。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82.</w:t>
      </w:r>
      <w:r w:rsidRPr="00E923BE">
        <w:rPr>
          <w:rStyle w:val="SingleTxt"/>
          <w:rFonts w:cs="SimSun"/>
        </w:rPr>
        <w:tab/>
        <w:t>2011</w:t>
      </w:r>
      <w:r w:rsidRPr="00E923BE">
        <w:rPr>
          <w:rStyle w:val="SingleTxt"/>
          <w:rFonts w:cs="SimSun"/>
        </w:rPr>
        <w:t>年的《广播电视总局法》修正案禁止任何违反性别平等的节目，这些规定也在《广播服务和主要内容条例》中得到反映，指出商业通信不应包含任何侮辱妇女的物体，而且在推出产品、服务时或在图像中，女性的身体不能被用作性感符号或商品化。</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83.</w:t>
      </w:r>
      <w:r w:rsidRPr="00E923BE">
        <w:rPr>
          <w:rStyle w:val="SingleTxt"/>
          <w:rFonts w:cs="SimSun"/>
        </w:rPr>
        <w:tab/>
      </w:r>
      <w:r w:rsidRPr="00E923BE">
        <w:rPr>
          <w:rStyle w:val="SingleTxt"/>
          <w:rFonts w:cs="SimSun"/>
        </w:rPr>
        <w:t>另一方面，正如</w:t>
      </w:r>
      <w:r>
        <w:rPr>
          <w:rStyle w:val="SingleTxt"/>
          <w:rFonts w:cs="SimSun"/>
        </w:rPr>
        <w:t>结论性意见</w:t>
      </w:r>
      <w:r w:rsidRPr="00E923BE">
        <w:rPr>
          <w:rStyle w:val="SingleTxt"/>
          <w:rFonts w:cs="SimSun"/>
        </w:rPr>
        <w:t>第</w:t>
      </w:r>
      <w:r w:rsidRPr="00E923BE">
        <w:rPr>
          <w:rStyle w:val="SingleTxt"/>
          <w:rFonts w:cs="SimSun"/>
        </w:rPr>
        <w:t>49</w:t>
      </w:r>
      <w:r w:rsidRPr="00E923BE">
        <w:rPr>
          <w:rStyle w:val="SingleTxt"/>
          <w:rFonts w:cs="SimSun"/>
        </w:rPr>
        <w:t>段所建议，土耳其正在与联合国系统的实体和机构合作，并将在今后一段时间内维持这种合作。土耳其计划加强与联合国妇女署区域办事处管理人员的合作，</w:t>
      </w:r>
      <w:r w:rsidRPr="00E923BE">
        <w:rPr>
          <w:rStyle w:val="SingleTxt"/>
          <w:rFonts w:cs="SimSun" w:hint="eastAsia"/>
        </w:rPr>
        <w:t>该</w:t>
      </w:r>
      <w:r w:rsidRPr="00E923BE">
        <w:rPr>
          <w:rStyle w:val="SingleTxt"/>
          <w:rFonts w:cs="SimSun"/>
        </w:rPr>
        <w:t>区域办事处已在本地区开展宣传性别平等观点</w:t>
      </w:r>
      <w:r w:rsidRPr="00E923BE">
        <w:rPr>
          <w:rStyle w:val="SingleTxt"/>
          <w:rFonts w:cs="SimSun" w:hint="eastAsia"/>
        </w:rPr>
        <w:t>的</w:t>
      </w:r>
      <w:r w:rsidRPr="00E923BE">
        <w:rPr>
          <w:rStyle w:val="SingleTxt"/>
          <w:rFonts w:cs="SimSun"/>
        </w:rPr>
        <w:t>活动。</w:t>
      </w:r>
    </w:p>
    <w:p w:rsidR="005C05C5" w:rsidRPr="00E923BE" w:rsidRDefault="005C05C5" w:rsidP="005C05C5">
      <w:pPr>
        <w:pStyle w:val="SingleTxt"/>
        <w:spacing w:after="120"/>
        <w:ind w:left="1134" w:right="1134"/>
      </w:pPr>
      <w:r w:rsidRPr="00E923BE">
        <w:rPr>
          <w:rStyle w:val="SingleTxt"/>
          <w:rFonts w:cs="SimSun"/>
        </w:rPr>
        <w:t>84.</w:t>
      </w:r>
      <w:r w:rsidRPr="00E923BE">
        <w:rPr>
          <w:rStyle w:val="SingleTxt"/>
          <w:rFonts w:cs="SimSun"/>
        </w:rPr>
        <w:tab/>
      </w:r>
      <w:r w:rsidRPr="00E923BE">
        <w:rPr>
          <w:rStyle w:val="SingleTxt"/>
          <w:rFonts w:cs="SimSun"/>
        </w:rPr>
        <w:t>有关其他活动，见第</w:t>
      </w:r>
      <w:r w:rsidRPr="00E923BE">
        <w:rPr>
          <w:rStyle w:val="SingleTxt"/>
          <w:rFonts w:cs="SimSun"/>
        </w:rPr>
        <w:t>11</w:t>
      </w:r>
      <w:r w:rsidRPr="00E923BE">
        <w:rPr>
          <w:rStyle w:val="SingleTxt"/>
          <w:rFonts w:cs="SimSun"/>
        </w:rPr>
        <w:t>条</w:t>
      </w:r>
      <w:r w:rsidRPr="00E923BE">
        <w:rPr>
          <w:rStyle w:val="SingleTxt"/>
          <w:rFonts w:cs="SimSun"/>
        </w:rPr>
        <w:t>a</w:t>
      </w:r>
      <w:r w:rsidRPr="00E923BE">
        <w:rPr>
          <w:rStyle w:val="SingleTxt"/>
          <w:rFonts w:cs="SimSun"/>
        </w:rPr>
        <w:t>款。</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5</w:t>
      </w:r>
      <w:r w:rsidRPr="00E923BE">
        <w:rPr>
          <w:rFonts w:eastAsia="SimHei" w:cs="Arial"/>
          <w:bCs/>
          <w:szCs w:val="21"/>
        </w:rPr>
        <w:t>条</w:t>
      </w:r>
      <w:r w:rsidRPr="00E923BE">
        <w:rPr>
          <w:rFonts w:eastAsia="SimHei" w:cs="Arial"/>
          <w:b/>
          <w:bCs/>
          <w:szCs w:val="21"/>
        </w:rPr>
        <w:t>b</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85.</w:t>
      </w:r>
      <w:r w:rsidRPr="00E923BE">
        <w:rPr>
          <w:rStyle w:val="SingleTxt"/>
          <w:rFonts w:cs="SimSun"/>
        </w:rPr>
        <w:tab/>
      </w:r>
      <w:r w:rsidRPr="00E923BE">
        <w:rPr>
          <w:rStyle w:val="SingleTxt"/>
          <w:rFonts w:cs="SimSun"/>
          <w:cs/>
        </w:rPr>
        <w:t>“</w:t>
      </w:r>
      <w:r w:rsidRPr="00E923BE">
        <w:rPr>
          <w:rStyle w:val="SingleTxt"/>
          <w:rFonts w:cs="SimSun"/>
        </w:rPr>
        <w:t>家庭培训课程</w:t>
      </w:r>
      <w:r w:rsidRPr="00E923BE">
        <w:rPr>
          <w:rStyle w:val="SingleTxt"/>
          <w:rFonts w:cs="SimSun"/>
          <w:cs/>
        </w:rPr>
        <w:t>”</w:t>
      </w:r>
      <w:r w:rsidRPr="00E923BE">
        <w:rPr>
          <w:rStyle w:val="SingleTxt"/>
          <w:rFonts w:cs="SimSun"/>
        </w:rPr>
        <w:t>由家庭和社会政策部制定，主要针对五个领域（包括家庭内部沟通、保健、经济、司法和媒体）。家庭内部沟通着重强调平均分配家务以及分担育儿责任。土耳其也在</w:t>
      </w:r>
      <w:r w:rsidRPr="00E923BE">
        <w:rPr>
          <w:rStyle w:val="SingleTxt"/>
          <w:rFonts w:cs="SimSun"/>
          <w:cs/>
        </w:rPr>
        <w:t>“</w:t>
      </w:r>
      <w:r w:rsidRPr="00E923BE">
        <w:rPr>
          <w:rStyle w:val="SingleTxt"/>
          <w:rFonts w:cs="SimSun"/>
        </w:rPr>
        <w:t>婚前培训</w:t>
      </w:r>
      <w:r w:rsidRPr="00E923BE">
        <w:rPr>
          <w:rStyle w:val="SingleTxt"/>
          <w:rFonts w:cs="SimSun"/>
          <w:cs/>
        </w:rPr>
        <w:t>”</w:t>
      </w:r>
      <w:r w:rsidRPr="00E923BE">
        <w:rPr>
          <w:rStyle w:val="SingleTxt"/>
          <w:rFonts w:cs="SimSun"/>
        </w:rPr>
        <w:t>方案的框架内也为未来配偶组织了一个类似的培训课程。</w:t>
      </w:r>
      <w:r w:rsidRPr="00E923BE">
        <w:rPr>
          <w:rStyle w:val="SingleTxt"/>
          <w:rFonts w:cs="SimSun"/>
        </w:rPr>
        <w:t>81</w:t>
      </w:r>
      <w:r w:rsidRPr="00E923BE">
        <w:rPr>
          <w:rStyle w:val="SingleTxt"/>
          <w:rFonts w:cs="SimSun"/>
        </w:rPr>
        <w:t>个省全都开展了这两项培训。这些培训课程接收了近</w:t>
      </w:r>
      <w:r w:rsidRPr="00E923BE">
        <w:rPr>
          <w:rStyle w:val="SingleTxt"/>
          <w:rFonts w:cs="SimSun"/>
        </w:rPr>
        <w:t>180 000</w:t>
      </w:r>
      <w:r w:rsidRPr="00E923BE">
        <w:rPr>
          <w:rStyle w:val="SingleTxt"/>
          <w:rFonts w:cs="SimSun"/>
        </w:rPr>
        <w:t>名参与者。在</w:t>
      </w:r>
      <w:r w:rsidRPr="00E923BE">
        <w:rPr>
          <w:rStyle w:val="SingleTxt"/>
          <w:rFonts w:cs="SimSun"/>
        </w:rPr>
        <w:t>2012</w:t>
      </w:r>
      <w:r w:rsidRPr="00E923BE">
        <w:rPr>
          <w:rStyle w:val="SingleTxt"/>
          <w:rFonts w:cs="SimSun"/>
        </w:rPr>
        <w:t>年启动的</w:t>
      </w:r>
      <w:r w:rsidRPr="00E923BE">
        <w:rPr>
          <w:rStyle w:val="SingleTxt"/>
          <w:rFonts w:cs="SimSun"/>
          <w:cs/>
        </w:rPr>
        <w:t>“</w:t>
      </w:r>
      <w:r w:rsidRPr="00E923BE">
        <w:rPr>
          <w:rStyle w:val="SingleTxt"/>
          <w:rFonts w:cs="SimSun"/>
        </w:rPr>
        <w:t>家庭培训项目的实施和宣传项目</w:t>
      </w:r>
      <w:r w:rsidRPr="00E923BE">
        <w:rPr>
          <w:rStyle w:val="SingleTxt"/>
          <w:rFonts w:cs="SimSun"/>
          <w:cs/>
        </w:rPr>
        <w:t>”</w:t>
      </w:r>
      <w:r w:rsidRPr="00E923BE">
        <w:rPr>
          <w:rStyle w:val="SingleTxt"/>
          <w:rFonts w:cs="SimSun"/>
        </w:rPr>
        <w:t>旨在让更多准备结婚的男女和已婚夫妇从家庭培训课程中受益；并且通过地方管理当局、非政府组织以及相关公共机构和机关，在全国范围内宣传此方案。</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86.</w:t>
      </w:r>
      <w:r w:rsidRPr="00E923BE">
        <w:rPr>
          <w:rStyle w:val="SingleTxt"/>
          <w:rFonts w:cs="SimSun"/>
        </w:rPr>
        <w:tab/>
      </w:r>
      <w:r w:rsidRPr="00E923BE">
        <w:rPr>
          <w:rStyle w:val="SingleTxt"/>
          <w:rFonts w:cs="SimSun"/>
        </w:rPr>
        <w:t>国家教育部开展的</w:t>
      </w:r>
      <w:r w:rsidRPr="00E923BE">
        <w:rPr>
          <w:rStyle w:val="SingleTxt"/>
          <w:rFonts w:cs="SimSun"/>
          <w:cs/>
        </w:rPr>
        <w:t>“</w:t>
      </w:r>
      <w:r w:rsidRPr="00E923BE">
        <w:rPr>
          <w:rStyle w:val="SingleTxt"/>
          <w:rFonts w:cs="SimSun"/>
        </w:rPr>
        <w:t>0-18</w:t>
      </w:r>
      <w:r w:rsidRPr="00E923BE">
        <w:rPr>
          <w:rStyle w:val="SingleTxt"/>
          <w:rFonts w:cs="SimSun"/>
        </w:rPr>
        <w:t>周岁家庭培训课程</w:t>
      </w:r>
      <w:r w:rsidRPr="00E923BE">
        <w:rPr>
          <w:rStyle w:val="SingleTxt"/>
          <w:rFonts w:cs="SimSun"/>
          <w:cs/>
        </w:rPr>
        <w:t>”</w:t>
      </w:r>
      <w:r w:rsidRPr="00E923BE">
        <w:rPr>
          <w:rStyle w:val="SingleTxt"/>
          <w:rFonts w:cs="SimSun"/>
        </w:rPr>
        <w:t>旨在为子女年龄在</w:t>
      </w:r>
      <w:r w:rsidRPr="00E923BE">
        <w:rPr>
          <w:rStyle w:val="SingleTxt"/>
          <w:rFonts w:cs="SimSun"/>
        </w:rPr>
        <w:t>0</w:t>
      </w:r>
      <w:r w:rsidRPr="00E923BE">
        <w:rPr>
          <w:rStyle w:val="SingleTxt"/>
          <w:rFonts w:cs="SimSun"/>
        </w:rPr>
        <w:t>到</w:t>
      </w:r>
      <w:r w:rsidRPr="00E923BE">
        <w:rPr>
          <w:rStyle w:val="SingleTxt"/>
          <w:rFonts w:cs="SimSun"/>
        </w:rPr>
        <w:t>18</w:t>
      </w:r>
      <w:r w:rsidRPr="00E923BE">
        <w:rPr>
          <w:rStyle w:val="SingleTxt"/>
          <w:rFonts w:cs="SimSun"/>
        </w:rPr>
        <w:t>岁的家长提高</w:t>
      </w:r>
      <w:r w:rsidRPr="00E923BE">
        <w:rPr>
          <w:rStyle w:val="SingleTxt"/>
          <w:rFonts w:cs="SimSun"/>
          <w:cs/>
        </w:rPr>
        <w:t>“</w:t>
      </w:r>
      <w:r w:rsidRPr="00E923BE">
        <w:rPr>
          <w:rStyle w:val="SingleTxt"/>
          <w:rFonts w:cs="SimSun"/>
        </w:rPr>
        <w:t>育儿技能</w:t>
      </w:r>
      <w:r w:rsidRPr="00E923BE">
        <w:rPr>
          <w:rStyle w:val="SingleTxt"/>
          <w:rFonts w:cs="SimSun"/>
          <w:cs/>
        </w:rPr>
        <w:t>”</w:t>
      </w:r>
      <w:r w:rsidRPr="00E923BE">
        <w:rPr>
          <w:rStyle w:val="SingleTxt"/>
          <w:rFonts w:cs="SimSun"/>
        </w:rPr>
        <w:t>，从而让儿童或青少年得以发挥潜能。作为方案的一部分，土耳其也开展了父亲支持项目和母亲支持项目。父亲支持项目旨在让父亲了解儿童的需求、如何民主和平等地分配家庭责任、发展和加强家庭内部和夫妻间的沟通以及把从方案中学到的技能和方法应用在亲密环境中。在</w:t>
      </w:r>
      <w:r w:rsidRPr="00E923BE">
        <w:rPr>
          <w:rStyle w:val="SingleTxt"/>
          <w:rFonts w:cs="SimSun"/>
        </w:rPr>
        <w:t>2012</w:t>
      </w:r>
      <w:r w:rsidRPr="00E923BE">
        <w:rPr>
          <w:rStyle w:val="SingleTxt"/>
          <w:rFonts w:cs="SimSun"/>
        </w:rPr>
        <w:t>年至</w:t>
      </w:r>
      <w:r w:rsidRPr="00E923BE">
        <w:rPr>
          <w:rStyle w:val="SingleTxt"/>
          <w:rFonts w:cs="SimSun"/>
        </w:rPr>
        <w:t>2013</w:t>
      </w:r>
      <w:r w:rsidRPr="00E923BE">
        <w:rPr>
          <w:rStyle w:val="SingleTxt"/>
          <w:rFonts w:cs="SimSun"/>
        </w:rPr>
        <w:t>年间，共有</w:t>
      </w:r>
      <w:r w:rsidRPr="00E923BE">
        <w:rPr>
          <w:rStyle w:val="SingleTxt"/>
          <w:rFonts w:cs="SimSun"/>
        </w:rPr>
        <w:t>216 264</w:t>
      </w:r>
      <w:r w:rsidRPr="00E923BE">
        <w:rPr>
          <w:rStyle w:val="SingleTxt"/>
          <w:rFonts w:cs="SimSun"/>
        </w:rPr>
        <w:t>名参与者受益于</w:t>
      </w:r>
      <w:r w:rsidRPr="00E923BE">
        <w:rPr>
          <w:rStyle w:val="SingleTxt"/>
          <w:rFonts w:cs="SimSun"/>
          <w:cs/>
        </w:rPr>
        <w:t>“</w:t>
      </w:r>
      <w:r w:rsidRPr="00E923BE">
        <w:rPr>
          <w:rStyle w:val="SingleTxt"/>
          <w:rFonts w:cs="SimSun"/>
        </w:rPr>
        <w:t>0-18</w:t>
      </w:r>
      <w:r w:rsidRPr="00E923BE">
        <w:rPr>
          <w:rStyle w:val="SingleTxt"/>
          <w:rFonts w:cs="SimSun"/>
        </w:rPr>
        <w:t>周岁家庭培训课程</w:t>
      </w:r>
      <w:r w:rsidRPr="00E923BE">
        <w:rPr>
          <w:rStyle w:val="SingleTxt"/>
          <w:rFonts w:cs="SimSun"/>
          <w:cs/>
        </w:rPr>
        <w:t>”</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6</w:t>
      </w:r>
      <w:r w:rsidRPr="00E923BE">
        <w:rPr>
          <w:rFonts w:eastAsia="SimHei" w:cs="Arial"/>
          <w:bCs/>
          <w:szCs w:val="21"/>
        </w:rPr>
        <w:t>条</w:t>
      </w:r>
    </w:p>
    <w:p w:rsidR="005C05C5" w:rsidRPr="00E923BE" w:rsidRDefault="005C05C5" w:rsidP="005C05C5">
      <w:pPr>
        <w:pStyle w:val="SingleTxt"/>
        <w:spacing w:after="120"/>
        <w:ind w:left="1134" w:right="1134"/>
      </w:pPr>
      <w:r w:rsidRPr="00E923BE">
        <w:rPr>
          <w:rStyle w:val="SingleTxt"/>
          <w:rFonts w:cs="SimSun"/>
        </w:rPr>
        <w:t>87.</w:t>
      </w:r>
      <w:r w:rsidRPr="00E923BE">
        <w:rPr>
          <w:rStyle w:val="SingleTxt"/>
          <w:rFonts w:cs="SimSun"/>
        </w:rPr>
        <w:tab/>
      </w:r>
      <w:r w:rsidRPr="00E923BE">
        <w:rPr>
          <w:rStyle w:val="SingleTxt"/>
          <w:rFonts w:cs="SimSun"/>
        </w:rPr>
        <w:t>土耳其近年来在打击人口贩运活动方面已取得了若干进展，主要原因是目前为止已根据</w:t>
      </w:r>
      <w:r>
        <w:rPr>
          <w:rStyle w:val="SingleTxt"/>
          <w:rFonts w:cs="SimSun"/>
        </w:rPr>
        <w:t>第六次报告</w:t>
      </w:r>
      <w:r w:rsidRPr="00E923BE">
        <w:rPr>
          <w:rStyle w:val="SingleTxt"/>
          <w:rFonts w:cs="SimSun"/>
        </w:rPr>
        <w:t>的规定作出多项法律修正，并且建立了打击人口贩运活动特别行动队和</w:t>
      </w:r>
      <w:r w:rsidRPr="00E923BE">
        <w:rPr>
          <w:rStyle w:val="SingleTxt"/>
          <w:rFonts w:cs="SimSun" w:hint="eastAsia"/>
        </w:rPr>
        <w:t>《国家</w:t>
      </w:r>
      <w:r w:rsidRPr="00E923BE">
        <w:rPr>
          <w:rStyle w:val="SingleTxt"/>
          <w:rFonts w:cs="SimSun"/>
        </w:rPr>
        <w:t>行动计划</w:t>
      </w:r>
      <w:r w:rsidRPr="00E923BE">
        <w:rPr>
          <w:rStyle w:val="SingleTxt"/>
          <w:rFonts w:cs="SimSun" w:hint="eastAsia"/>
        </w:rPr>
        <w:t>》</w:t>
      </w:r>
      <w:r w:rsidRPr="00E923BE">
        <w:rPr>
          <w:rStyle w:val="SingleTxt"/>
          <w:rFonts w:cs="SimSun"/>
        </w:rPr>
        <w:t>。特别行动队编制的第二个</w:t>
      </w:r>
      <w:r w:rsidRPr="00E923BE">
        <w:rPr>
          <w:rStyle w:val="SingleTxt"/>
          <w:rFonts w:cs="SimSun" w:hint="eastAsia"/>
        </w:rPr>
        <w:t>《国家</w:t>
      </w:r>
      <w:r w:rsidRPr="00E923BE">
        <w:rPr>
          <w:rStyle w:val="SingleTxt"/>
          <w:rFonts w:cs="SimSun"/>
        </w:rPr>
        <w:t>行动计划</w:t>
      </w:r>
      <w:r w:rsidRPr="00E923BE">
        <w:rPr>
          <w:rStyle w:val="SingleTxt"/>
          <w:rFonts w:cs="SimSun" w:hint="eastAsia"/>
        </w:rPr>
        <w:t>》</w:t>
      </w:r>
      <w:r w:rsidRPr="00E923BE">
        <w:rPr>
          <w:rStyle w:val="SingleTxt"/>
          <w:rFonts w:cs="SimSun"/>
        </w:rPr>
        <w:t>已于</w:t>
      </w:r>
      <w:r w:rsidRPr="00E923BE">
        <w:rPr>
          <w:rStyle w:val="SingleTxt"/>
          <w:rFonts w:cs="SimSun"/>
        </w:rPr>
        <w:t>2009</w:t>
      </w:r>
      <w:r w:rsidRPr="00E923BE">
        <w:rPr>
          <w:rStyle w:val="SingleTxt"/>
          <w:rFonts w:cs="SimSun"/>
        </w:rPr>
        <w:t>年实施。关于保护外国受害者的方案也在非政府组织的支持下得到开展。在国际</w:t>
      </w:r>
      <w:r>
        <w:rPr>
          <w:rStyle w:val="SingleTxt"/>
          <w:rFonts w:cs="SimSun" w:hint="eastAsia"/>
        </w:rPr>
        <w:t>移民</w:t>
      </w:r>
      <w:r w:rsidRPr="00E923BE">
        <w:rPr>
          <w:rStyle w:val="SingleTxt"/>
          <w:rFonts w:cs="SimSun"/>
        </w:rPr>
        <w:t>组织和国际移徙政策发展中心等多个组织的合作下，多个打击人口贩运项目也得到实施。</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88.</w:t>
      </w:r>
      <w:r w:rsidRPr="00E923BE">
        <w:rPr>
          <w:rStyle w:val="SingleTxt"/>
          <w:rFonts w:cs="SimSun"/>
        </w:rPr>
        <w:tab/>
      </w:r>
      <w:r w:rsidRPr="00E923BE">
        <w:rPr>
          <w:rStyle w:val="SingleTxt"/>
          <w:rFonts w:cs="SimSun"/>
        </w:rPr>
        <w:t>考虑到</w:t>
      </w:r>
      <w:r>
        <w:rPr>
          <w:rStyle w:val="SingleTxt"/>
          <w:rFonts w:cs="SimSun"/>
        </w:rPr>
        <w:t>结论性意见</w:t>
      </w:r>
      <w:r w:rsidRPr="00E923BE">
        <w:rPr>
          <w:rStyle w:val="SingleTxt"/>
          <w:rFonts w:cs="SimSun"/>
        </w:rPr>
        <w:t>第</w:t>
      </w:r>
      <w:r w:rsidRPr="00E923BE">
        <w:rPr>
          <w:rStyle w:val="SingleTxt"/>
          <w:rFonts w:cs="SimSun"/>
        </w:rPr>
        <w:t>26</w:t>
      </w:r>
      <w:r w:rsidRPr="00E923BE">
        <w:rPr>
          <w:rStyle w:val="SingleTxt"/>
          <w:rFonts w:cs="SimSun"/>
        </w:rPr>
        <w:t>段的建议，土耳其提请注意以下机构和法律进展和进步。关于外国人和国际保护的第</w:t>
      </w:r>
      <w:r w:rsidRPr="00E923BE">
        <w:rPr>
          <w:rStyle w:val="SingleTxt"/>
          <w:rFonts w:cs="SimSun"/>
        </w:rPr>
        <w:t>6458</w:t>
      </w:r>
      <w:r w:rsidRPr="00E923BE">
        <w:rPr>
          <w:rStyle w:val="SingleTxt"/>
          <w:rFonts w:cs="SimSun"/>
        </w:rPr>
        <w:t>号法律于</w:t>
      </w:r>
      <w:r w:rsidRPr="00E923BE">
        <w:rPr>
          <w:rStyle w:val="SingleTxt"/>
          <w:rFonts w:cs="SimSun"/>
        </w:rPr>
        <w:t>2013</w:t>
      </w:r>
      <w:r w:rsidRPr="00E923BE">
        <w:rPr>
          <w:rStyle w:val="SingleTxt"/>
          <w:rFonts w:cs="SimSun"/>
        </w:rPr>
        <w:t>年</w:t>
      </w:r>
      <w:r w:rsidRPr="00E923BE">
        <w:rPr>
          <w:rStyle w:val="SingleTxt"/>
          <w:rFonts w:cs="SimSun"/>
        </w:rPr>
        <w:t>4</w:t>
      </w:r>
      <w:r w:rsidRPr="00E923BE">
        <w:rPr>
          <w:rStyle w:val="SingleTxt"/>
          <w:rFonts w:cs="SimSun"/>
        </w:rPr>
        <w:t>月</w:t>
      </w:r>
      <w:r w:rsidRPr="00E923BE">
        <w:rPr>
          <w:rStyle w:val="SingleTxt"/>
          <w:rFonts w:cs="SimSun"/>
        </w:rPr>
        <w:t>11</w:t>
      </w:r>
      <w:r w:rsidRPr="00E923BE">
        <w:rPr>
          <w:rStyle w:val="SingleTxt"/>
          <w:rFonts w:cs="SimSun"/>
        </w:rPr>
        <w:t>日颁布。根据这一新法律，保护人口贩运受害者部被重新调整至内务部移徙管理总局内，负责开展保护人口贩运受害者的工作和程序，并且管理紧急热线和人口贩运受害者避难所的运作。目前有三个专为人口贩运受害者开设的避难所，均由非政府组织支助。此外，女性人口贩运受害者还能使用打击暴力侵害妇女</w:t>
      </w:r>
      <w:r w:rsidRPr="00E923BE">
        <w:rPr>
          <w:rStyle w:val="SingleTxt"/>
          <w:rFonts w:cs="SimSun" w:hint="eastAsia"/>
        </w:rPr>
        <w:t>范畴内</w:t>
      </w:r>
      <w:r w:rsidRPr="00E923BE">
        <w:rPr>
          <w:rStyle w:val="SingleTxt"/>
          <w:rFonts w:cs="SimSun"/>
        </w:rPr>
        <w:t>的其他服务以及非专门避难所。人口贩运受害者在医疗、护理或诉讼程序期间还能受益于一项新的</w:t>
      </w:r>
      <w:r w:rsidRPr="00E923BE">
        <w:rPr>
          <w:rStyle w:val="SingleTxt"/>
          <w:rFonts w:cs="SimSun"/>
          <w:cs/>
        </w:rPr>
        <w:t>“</w:t>
      </w:r>
      <w:r w:rsidRPr="00E923BE">
        <w:rPr>
          <w:rStyle w:val="SingleTxt"/>
          <w:rFonts w:cs="SimSun"/>
        </w:rPr>
        <w:t>人道主义签证和短期居住许可证措施</w:t>
      </w:r>
      <w:r w:rsidRPr="00E923BE">
        <w:rPr>
          <w:rStyle w:val="SingleTxt"/>
          <w:rFonts w:cs="SimSun"/>
          <w:cs/>
        </w:rPr>
        <w:t>”</w:t>
      </w:r>
      <w:r w:rsidRPr="00E923BE">
        <w:rPr>
          <w:rStyle w:val="SingleTxt"/>
          <w:rFonts w:cs="SimSun"/>
        </w:rPr>
        <w:t>，获得一段时间的居留许可。《外国人和国际保护法》包括了针对人口贩运受害者和孤身儿童的保护措施。</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7</w:t>
      </w:r>
      <w:r w:rsidRPr="00E923BE">
        <w:rPr>
          <w:rFonts w:eastAsia="SimHei" w:cs="Arial"/>
          <w:bCs/>
          <w:szCs w:val="21"/>
        </w:rPr>
        <w:t>条</w:t>
      </w:r>
      <w:r w:rsidRPr="00E923BE">
        <w:rPr>
          <w:rFonts w:eastAsia="SimHei" w:cs="Arial"/>
          <w:b/>
          <w:bCs/>
          <w:szCs w:val="21"/>
        </w:rPr>
        <w:t>a</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89.</w:t>
      </w:r>
      <w:r w:rsidRPr="00E923BE">
        <w:rPr>
          <w:rStyle w:val="SingleTxt"/>
          <w:rFonts w:cs="SimSun"/>
        </w:rPr>
        <w:tab/>
      </w:r>
      <w:r w:rsidRPr="00E923BE">
        <w:rPr>
          <w:rStyle w:val="SingleTxt"/>
          <w:rFonts w:cs="SimSun"/>
        </w:rPr>
        <w:t>土耳其在《宪法》和国家法律中保障公民的政治参与权不受任何歧视、包括性别歧视侵害（见</w:t>
      </w:r>
      <w:r>
        <w:rPr>
          <w:rStyle w:val="SingleTxt"/>
          <w:rFonts w:cs="SimSun"/>
        </w:rPr>
        <w:t>第六次报告</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90.</w:t>
      </w:r>
      <w:r w:rsidRPr="00E923BE">
        <w:rPr>
          <w:rStyle w:val="SingleTxt"/>
          <w:rFonts w:cs="SimSun"/>
        </w:rPr>
        <w:tab/>
      </w:r>
      <w:r w:rsidRPr="00E923BE">
        <w:rPr>
          <w:rStyle w:val="SingleTxt"/>
          <w:rFonts w:cs="SimSun"/>
        </w:rPr>
        <w:t>与往年相比，</w:t>
      </w:r>
      <w:r w:rsidRPr="00E923BE">
        <w:rPr>
          <w:rStyle w:val="SingleTxt"/>
          <w:rFonts w:cs="SimSun"/>
        </w:rPr>
        <w:t>2007</w:t>
      </w:r>
      <w:r w:rsidRPr="00E923BE">
        <w:rPr>
          <w:rStyle w:val="SingleTxt"/>
          <w:rFonts w:cs="SimSun"/>
        </w:rPr>
        <w:t>年议会中妇女的比例急剧增加。议会中妇女代表比例在</w:t>
      </w:r>
      <w:r w:rsidRPr="00E923BE">
        <w:rPr>
          <w:rStyle w:val="SingleTxt"/>
          <w:rFonts w:cs="SimSun"/>
        </w:rPr>
        <w:t>2002</w:t>
      </w:r>
      <w:r w:rsidRPr="00E923BE">
        <w:rPr>
          <w:rStyle w:val="SingleTxt"/>
          <w:rFonts w:cs="SimSun"/>
        </w:rPr>
        <w:t>年大选中为</w:t>
      </w:r>
      <w:r w:rsidRPr="00E923BE">
        <w:rPr>
          <w:rStyle w:val="SingleTxt"/>
          <w:rFonts w:cs="SimSun"/>
        </w:rPr>
        <w:t>4.4%</w:t>
      </w:r>
      <w:r w:rsidRPr="00E923BE">
        <w:rPr>
          <w:rStyle w:val="SingleTxt"/>
          <w:rFonts w:cs="SimSun"/>
        </w:rPr>
        <w:t>，在</w:t>
      </w:r>
      <w:r w:rsidRPr="00E923BE">
        <w:rPr>
          <w:rStyle w:val="SingleTxt"/>
          <w:rFonts w:cs="SimSun"/>
        </w:rPr>
        <w:t>2007</w:t>
      </w:r>
      <w:r w:rsidRPr="00E923BE">
        <w:rPr>
          <w:rStyle w:val="SingleTxt"/>
          <w:rFonts w:cs="SimSun"/>
        </w:rPr>
        <w:t>年大选中已上升至</w:t>
      </w:r>
      <w:r w:rsidRPr="00E923BE">
        <w:rPr>
          <w:rStyle w:val="SingleTxt"/>
          <w:rFonts w:cs="SimSun"/>
        </w:rPr>
        <w:t>9.1%</w:t>
      </w:r>
      <w:r w:rsidRPr="00E923BE">
        <w:rPr>
          <w:rStyle w:val="SingleTxt"/>
          <w:rFonts w:cs="SimSun"/>
        </w:rPr>
        <w:t>，在</w:t>
      </w:r>
      <w:r w:rsidRPr="00E923BE">
        <w:rPr>
          <w:rStyle w:val="SingleTxt"/>
          <w:rFonts w:cs="SimSun"/>
        </w:rPr>
        <w:t>2011</w:t>
      </w:r>
      <w:r w:rsidRPr="00E923BE">
        <w:rPr>
          <w:rStyle w:val="SingleTxt"/>
          <w:rFonts w:cs="SimSun"/>
        </w:rPr>
        <w:t>年更达到了最高水平</w:t>
      </w:r>
      <w:r w:rsidRPr="00E923BE">
        <w:rPr>
          <w:rStyle w:val="SingleTxt"/>
          <w:rFonts w:cs="SimSun"/>
        </w:rPr>
        <w:t>14.4%</w:t>
      </w:r>
      <w:r w:rsidRPr="00E923BE">
        <w:rPr>
          <w:rStyle w:val="SingleTxt"/>
          <w:rFonts w:cs="SimSun"/>
        </w:rPr>
        <w:t>（见附件表</w:t>
      </w:r>
      <w:r w:rsidRPr="00E923BE">
        <w:rPr>
          <w:rStyle w:val="SingleTxt"/>
          <w:rFonts w:cs="SimSun"/>
        </w:rPr>
        <w:t>5</w:t>
      </w:r>
      <w:r w:rsidRPr="00E923BE">
        <w:rPr>
          <w:rStyle w:val="SingleTxt"/>
          <w:rFonts w:cs="SimSun"/>
        </w:rPr>
        <w:t>）。</w:t>
      </w:r>
      <w:r w:rsidRPr="00E923BE">
        <w:rPr>
          <w:rStyle w:val="SingleTxt"/>
          <w:rFonts w:cs="SimSun"/>
        </w:rPr>
        <w:t>2011</w:t>
      </w:r>
      <w:r w:rsidRPr="00E923BE">
        <w:rPr>
          <w:rStyle w:val="SingleTxt"/>
          <w:rFonts w:cs="SimSun"/>
        </w:rPr>
        <w:t>年议会中妇女代表人数为</w:t>
      </w:r>
      <w:r w:rsidRPr="00E923BE">
        <w:rPr>
          <w:rStyle w:val="SingleTxt"/>
          <w:rFonts w:cs="SimSun"/>
        </w:rPr>
        <w:t>79</w:t>
      </w:r>
      <w:r w:rsidRPr="00E923BE">
        <w:rPr>
          <w:rStyle w:val="SingleTxt"/>
          <w:rFonts w:cs="SimSun"/>
        </w:rPr>
        <w:t>人。</w:t>
      </w:r>
      <w:r w:rsidRPr="00E923BE">
        <w:rPr>
          <w:rStyle w:val="SingleTxt"/>
          <w:rFonts w:cs="SimSun"/>
        </w:rPr>
        <w:t>26</w:t>
      </w:r>
      <w:r w:rsidRPr="00E923BE">
        <w:rPr>
          <w:rStyle w:val="SingleTxt"/>
          <w:rFonts w:cs="SimSun"/>
        </w:rPr>
        <w:t>名部长理事会成员中有</w:t>
      </w:r>
      <w:r w:rsidRPr="00E923BE">
        <w:rPr>
          <w:rStyle w:val="SingleTxt"/>
          <w:rFonts w:cs="SimSun"/>
        </w:rPr>
        <w:t>1</w:t>
      </w:r>
      <w:r w:rsidRPr="00E923BE">
        <w:rPr>
          <w:rStyle w:val="SingleTxt"/>
          <w:rFonts w:cs="SimSun"/>
        </w:rPr>
        <w:t>名是妇女。</w:t>
      </w:r>
      <w:r w:rsidRPr="005C05C5">
        <w:rPr>
          <w:rStyle w:val="FootnoteReference"/>
          <w:rFonts w:cs="SimSun"/>
        </w:rPr>
        <w:footnoteReference w:id="6"/>
      </w:r>
      <w:r w:rsidRPr="00E923BE">
        <w:rPr>
          <w:rStyle w:val="SingleTxt"/>
          <w:rFonts w:cs="SimSun"/>
        </w:rPr>
        <w:t>鉴于土耳其大国民议会的组织结构，四分之三的议会副议长是妇女。此外，在土耳其大国民议会的</w:t>
      </w:r>
      <w:r w:rsidRPr="00E923BE">
        <w:rPr>
          <w:rStyle w:val="SingleTxt"/>
          <w:rFonts w:cs="SimSun"/>
        </w:rPr>
        <w:t>17</w:t>
      </w:r>
      <w:r w:rsidRPr="00E923BE">
        <w:rPr>
          <w:rStyle w:val="SingleTxt"/>
          <w:rFonts w:cs="SimSun"/>
        </w:rPr>
        <w:t>个议会专门委员会中，有</w:t>
      </w:r>
      <w:r w:rsidRPr="00E923BE">
        <w:rPr>
          <w:rStyle w:val="SingleTxt"/>
          <w:rFonts w:cs="SimSun"/>
        </w:rPr>
        <w:t>3</w:t>
      </w:r>
      <w:r w:rsidRPr="00E923BE">
        <w:rPr>
          <w:rStyle w:val="SingleTxt"/>
          <w:rFonts w:cs="SimSun"/>
        </w:rPr>
        <w:t>个由妇女担任主席。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91.</w:t>
      </w:r>
      <w:r w:rsidRPr="00E923BE">
        <w:rPr>
          <w:rStyle w:val="SingleTxt"/>
          <w:rFonts w:cs="SimSun"/>
        </w:rPr>
        <w:tab/>
      </w:r>
      <w:r w:rsidRPr="00E923BE">
        <w:rPr>
          <w:rStyle w:val="SingleTxt"/>
          <w:rFonts w:cs="SimSun"/>
        </w:rPr>
        <w:t>妇女成为大选和地方管理当局选举提名候选人以及被政党提名为候选人的人数也有所增加（见附件表</w:t>
      </w:r>
      <w:r w:rsidRPr="00E923BE">
        <w:rPr>
          <w:rStyle w:val="SingleTxt"/>
          <w:rFonts w:cs="SimSun"/>
        </w:rPr>
        <w:t>6</w:t>
      </w:r>
      <w:r w:rsidRPr="00E923BE">
        <w:rPr>
          <w:rStyle w:val="SingleTxt"/>
          <w:rFonts w:cs="SimSun"/>
        </w:rPr>
        <w:t>）。土耳其认为近年选举中妇女代表性有所提高，是妇女参与政治的社会期望、妇女对待政治的积极态度和方式以及政党为提高妇女代表性而实施的特别措施（妇女免交提名费、把妇女纳入候选人名单前列）的成果。</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92.</w:t>
      </w:r>
      <w:r w:rsidRPr="00E923BE">
        <w:rPr>
          <w:rStyle w:val="SingleTxt"/>
          <w:rFonts w:cs="SimSun"/>
        </w:rPr>
        <w:tab/>
      </w:r>
      <w:r w:rsidRPr="00E923BE">
        <w:rPr>
          <w:rStyle w:val="SingleTxt"/>
          <w:rFonts w:cs="SimSun"/>
        </w:rPr>
        <w:t>在</w:t>
      </w:r>
      <w:r w:rsidRPr="00E923BE">
        <w:rPr>
          <w:rStyle w:val="SingleTxt"/>
          <w:rFonts w:cs="SimSun"/>
        </w:rPr>
        <w:t>2014</w:t>
      </w:r>
      <w:r w:rsidRPr="00E923BE">
        <w:rPr>
          <w:rStyle w:val="SingleTxt"/>
          <w:rFonts w:cs="SimSun"/>
        </w:rPr>
        <w:t>年</w:t>
      </w:r>
      <w:r w:rsidRPr="00E923BE">
        <w:rPr>
          <w:rStyle w:val="SingleTxt"/>
          <w:rFonts w:cs="SimSun"/>
        </w:rPr>
        <w:t>3</w:t>
      </w:r>
      <w:r w:rsidRPr="00E923BE">
        <w:rPr>
          <w:rStyle w:val="SingleTxt"/>
          <w:rFonts w:cs="SimSun"/>
        </w:rPr>
        <w:t>月</w:t>
      </w:r>
      <w:r w:rsidRPr="00E923BE">
        <w:rPr>
          <w:rStyle w:val="SingleTxt"/>
          <w:rFonts w:cs="SimSun"/>
        </w:rPr>
        <w:t>30</w:t>
      </w:r>
      <w:r w:rsidRPr="00E923BE">
        <w:rPr>
          <w:rStyle w:val="SingleTxt"/>
          <w:rFonts w:cs="SimSun"/>
        </w:rPr>
        <w:t>日地方选举中当选的妇女人数大幅多于</w:t>
      </w:r>
      <w:r w:rsidRPr="00E923BE">
        <w:rPr>
          <w:rStyle w:val="SingleTxt"/>
          <w:rFonts w:cs="SimSun"/>
        </w:rPr>
        <w:t>2009</w:t>
      </w:r>
      <w:r w:rsidRPr="00E923BE">
        <w:rPr>
          <w:rStyle w:val="SingleTxt"/>
          <w:rFonts w:cs="SimSun"/>
        </w:rPr>
        <w:t>年选举。尽管在</w:t>
      </w:r>
      <w:r w:rsidRPr="00E923BE">
        <w:rPr>
          <w:rStyle w:val="SingleTxt"/>
          <w:rFonts w:cs="SimSun"/>
        </w:rPr>
        <w:t>2009</w:t>
      </w:r>
      <w:r w:rsidRPr="00E923BE">
        <w:rPr>
          <w:rStyle w:val="SingleTxt"/>
          <w:rFonts w:cs="SimSun"/>
        </w:rPr>
        <w:t>年没有妇女担任大都市市政市长，但在</w:t>
      </w:r>
      <w:r w:rsidRPr="00E923BE">
        <w:rPr>
          <w:rStyle w:val="SingleTxt"/>
          <w:rFonts w:cs="SimSun"/>
        </w:rPr>
        <w:t>2014</w:t>
      </w:r>
      <w:r w:rsidRPr="00E923BE">
        <w:rPr>
          <w:rStyle w:val="SingleTxt"/>
          <w:rFonts w:cs="SimSun"/>
        </w:rPr>
        <w:t>年地方选举中，当选的</w:t>
      </w:r>
      <w:r w:rsidRPr="00E923BE">
        <w:rPr>
          <w:rStyle w:val="SingleTxt"/>
          <w:rFonts w:cs="SimSun"/>
        </w:rPr>
        <w:t>30</w:t>
      </w:r>
      <w:r w:rsidRPr="00E923BE">
        <w:rPr>
          <w:rStyle w:val="SingleTxt"/>
          <w:rFonts w:cs="SimSun"/>
        </w:rPr>
        <w:t>位大都市市政市长中有</w:t>
      </w:r>
      <w:r w:rsidRPr="00E923BE">
        <w:rPr>
          <w:rStyle w:val="SingleTxt"/>
          <w:rFonts w:cs="SimSun"/>
        </w:rPr>
        <w:t>10%</w:t>
      </w:r>
      <w:r w:rsidRPr="00E923BE">
        <w:rPr>
          <w:rStyle w:val="SingleTxt"/>
          <w:rFonts w:cs="SimSun"/>
        </w:rPr>
        <w:t>为妇女。在</w:t>
      </w:r>
      <w:r w:rsidRPr="00E923BE">
        <w:rPr>
          <w:rStyle w:val="SingleTxt"/>
          <w:rFonts w:cs="SimSun"/>
        </w:rPr>
        <w:t>2014</w:t>
      </w:r>
      <w:r w:rsidRPr="00E923BE">
        <w:rPr>
          <w:rStyle w:val="SingleTxt"/>
          <w:rFonts w:cs="SimSun"/>
        </w:rPr>
        <w:t>年地方选举中当选的妇女占市长人数的</w:t>
      </w:r>
      <w:r w:rsidRPr="00E923BE">
        <w:rPr>
          <w:rStyle w:val="SingleTxt"/>
          <w:rFonts w:cs="SimSun"/>
        </w:rPr>
        <w:t>2.73%</w:t>
      </w:r>
      <w:r w:rsidRPr="00E923BE">
        <w:rPr>
          <w:rStyle w:val="SingleTxt"/>
          <w:rFonts w:cs="SimSun"/>
        </w:rPr>
        <w:t>，占地方理事会成员的</w:t>
      </w:r>
      <w:r w:rsidRPr="00E923BE">
        <w:rPr>
          <w:rStyle w:val="SingleTxt"/>
          <w:rFonts w:cs="SimSun"/>
        </w:rPr>
        <w:t>10.72%</w:t>
      </w:r>
      <w:r w:rsidRPr="00E923BE">
        <w:rPr>
          <w:rStyle w:val="SingleTxt"/>
          <w:rFonts w:cs="SimSun"/>
        </w:rPr>
        <w:t>，占省级理事会成员的</w:t>
      </w:r>
      <w:r w:rsidRPr="00E923BE">
        <w:rPr>
          <w:rStyle w:val="SingleTxt"/>
          <w:rFonts w:cs="SimSun"/>
        </w:rPr>
        <w:t>4.79%</w:t>
      </w:r>
      <w:r w:rsidRPr="00E923BE">
        <w:rPr>
          <w:rStyle w:val="SingleTxt"/>
          <w:rFonts w:cs="SimSun"/>
        </w:rPr>
        <w:t>。（见附件表</w:t>
      </w:r>
      <w:r w:rsidRPr="00E923BE">
        <w:rPr>
          <w:rStyle w:val="SingleTxt"/>
          <w:rFonts w:cs="SimSun"/>
        </w:rPr>
        <w:t>7</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93.</w:t>
      </w:r>
      <w:r w:rsidRPr="00E923BE">
        <w:rPr>
          <w:rStyle w:val="SingleTxt"/>
          <w:rFonts w:cs="SimSun"/>
        </w:rPr>
        <w:tab/>
      </w:r>
      <w:r w:rsidRPr="00E923BE">
        <w:rPr>
          <w:rStyle w:val="SingleTxt"/>
          <w:rFonts w:cs="SimSun"/>
        </w:rPr>
        <w:t>在妇女代表性有所提高的同时，越来越多</w:t>
      </w:r>
      <w:r>
        <w:rPr>
          <w:rStyle w:val="SingleTxt"/>
          <w:rFonts w:cs="SimSun" w:hint="eastAsia"/>
        </w:rPr>
        <w:t>的</w:t>
      </w:r>
      <w:r w:rsidRPr="00E923BE">
        <w:rPr>
          <w:rStyle w:val="SingleTxt"/>
          <w:rFonts w:cs="SimSun"/>
        </w:rPr>
        <w:t>妇女开始进入政党的管理实体。（见附件表</w:t>
      </w:r>
      <w:r w:rsidRPr="00E923BE">
        <w:rPr>
          <w:rStyle w:val="SingleTxt"/>
          <w:rFonts w:cs="SimSun"/>
        </w:rPr>
        <w:t>8</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94.</w:t>
      </w:r>
      <w:r w:rsidRPr="00E923BE">
        <w:rPr>
          <w:rStyle w:val="SingleTxt"/>
          <w:rFonts w:cs="SimSun"/>
        </w:rPr>
        <w:tab/>
      </w:r>
      <w:r w:rsidRPr="00E923BE">
        <w:rPr>
          <w:rStyle w:val="SingleTxt"/>
          <w:rFonts w:cs="SimSun"/>
        </w:rPr>
        <w:t>政党设立妇女分部的做法在土耳其已有</w:t>
      </w:r>
      <w:r w:rsidRPr="00E923BE">
        <w:rPr>
          <w:rStyle w:val="SingleTxt"/>
          <w:rFonts w:cs="SimSun"/>
        </w:rPr>
        <w:t>50</w:t>
      </w:r>
      <w:r w:rsidRPr="00E923BE">
        <w:rPr>
          <w:rStyle w:val="SingleTxt"/>
          <w:rFonts w:cs="SimSun"/>
        </w:rPr>
        <w:t>年历史，这种组织整合形式可促进妇女政治可见度。妇女分部在选举进程中和政党内部发挥着积极的作用。</w:t>
      </w:r>
    </w:p>
    <w:p w:rsidR="005C05C5" w:rsidRPr="00E923BE" w:rsidRDefault="005C05C5" w:rsidP="005C05C5">
      <w:pPr>
        <w:pStyle w:val="SingleTxt"/>
        <w:spacing w:after="120"/>
        <w:ind w:left="1134" w:right="1134"/>
      </w:pPr>
      <w:r w:rsidRPr="00E923BE">
        <w:rPr>
          <w:rStyle w:val="SingleTxt"/>
          <w:rFonts w:cs="SimSun"/>
        </w:rPr>
        <w:t>95.</w:t>
      </w:r>
      <w:r w:rsidRPr="00E923BE">
        <w:rPr>
          <w:rStyle w:val="SingleTxt"/>
          <w:rFonts w:cs="SimSun"/>
        </w:rPr>
        <w:tab/>
      </w:r>
      <w:r w:rsidRPr="00E923BE">
        <w:rPr>
          <w:rStyle w:val="SingleTxt"/>
          <w:rFonts w:cs="SimSun"/>
        </w:rPr>
        <w:t>尽管妇女候选人和代表在地方和国家政治中不断增多，但总人数仍未令人满意。也如</w:t>
      </w:r>
      <w:r>
        <w:rPr>
          <w:rStyle w:val="SingleTxt"/>
          <w:rFonts w:cs="SimSun"/>
        </w:rPr>
        <w:t>结论性意见</w:t>
      </w:r>
      <w:r w:rsidRPr="00E923BE">
        <w:rPr>
          <w:rStyle w:val="SingleTxt"/>
          <w:rFonts w:cs="SimSun"/>
        </w:rPr>
        <w:t>第</w:t>
      </w:r>
      <w:r w:rsidRPr="00E923BE">
        <w:rPr>
          <w:rStyle w:val="SingleTxt"/>
          <w:rFonts w:cs="SimSun"/>
        </w:rPr>
        <w:t>29</w:t>
      </w:r>
      <w:r w:rsidRPr="00E923BE">
        <w:rPr>
          <w:rStyle w:val="SingleTxt"/>
          <w:rFonts w:cs="SimSun"/>
        </w:rPr>
        <w:t>段所建议，至关重要的是提高社会对增加妇女参与决策机制的认识。非政府组织在选举前开展的活动提高了社会对增加妇女参与决策和权力机制的认识。特别是由多个非政府组织以及政党在选举期间设立的</w:t>
      </w:r>
      <w:r w:rsidRPr="00E923BE">
        <w:rPr>
          <w:rStyle w:val="SingleTxt"/>
          <w:rFonts w:cs="SimSun"/>
          <w:cs/>
        </w:rPr>
        <w:t>“</w:t>
      </w:r>
      <w:r w:rsidRPr="00E923BE">
        <w:rPr>
          <w:rStyle w:val="SingleTxt"/>
          <w:rFonts w:cs="SimSun"/>
        </w:rPr>
        <w:t>政治学院</w:t>
      </w:r>
      <w:r w:rsidRPr="00E923BE">
        <w:rPr>
          <w:rStyle w:val="SingleTxt"/>
          <w:rFonts w:cs="SimSun"/>
        </w:rPr>
        <w:t>/</w:t>
      </w:r>
      <w:r w:rsidRPr="00E923BE">
        <w:rPr>
          <w:rStyle w:val="SingleTxt"/>
          <w:rFonts w:cs="SimSun"/>
        </w:rPr>
        <w:t>学校</w:t>
      </w:r>
      <w:r w:rsidRPr="00E923BE">
        <w:rPr>
          <w:rStyle w:val="SingleTxt"/>
          <w:rFonts w:cs="SimSun"/>
          <w:cs/>
        </w:rPr>
        <w:t>”</w:t>
      </w:r>
      <w:r w:rsidRPr="00E923BE">
        <w:rPr>
          <w:rStyle w:val="SingleTxt"/>
          <w:rFonts w:cs="SimSun"/>
        </w:rPr>
        <w:t>有助于提高妇女的政治知识水平，也让多项</w:t>
      </w:r>
      <w:r w:rsidRPr="00E923BE">
        <w:rPr>
          <w:rStyle w:val="SingleTxt"/>
          <w:rFonts w:cs="SimSun"/>
          <w:cs/>
        </w:rPr>
        <w:t>“</w:t>
      </w:r>
      <w:r w:rsidRPr="00E923BE">
        <w:rPr>
          <w:rStyle w:val="SingleTxt"/>
          <w:rFonts w:cs="SimSun"/>
        </w:rPr>
        <w:t>政治准备</w:t>
      </w:r>
      <w:r w:rsidRPr="00E923BE">
        <w:rPr>
          <w:rStyle w:val="SingleTxt"/>
          <w:rFonts w:cs="SimSun"/>
          <w:cs/>
        </w:rPr>
        <w:t>”</w:t>
      </w:r>
      <w:r w:rsidRPr="00E923BE">
        <w:rPr>
          <w:rStyle w:val="SingleTxt"/>
          <w:rFonts w:cs="SimSun"/>
        </w:rPr>
        <w:t>活动得以开展。</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7</w:t>
      </w:r>
      <w:r w:rsidRPr="00E923BE">
        <w:rPr>
          <w:rFonts w:eastAsia="SimHei" w:cs="Arial"/>
          <w:bCs/>
          <w:szCs w:val="21"/>
        </w:rPr>
        <w:t>条</w:t>
      </w:r>
      <w:r w:rsidRPr="00E923BE">
        <w:rPr>
          <w:rFonts w:eastAsia="SimHei" w:cs="Arial"/>
          <w:b/>
          <w:bCs/>
          <w:szCs w:val="21"/>
        </w:rPr>
        <w:t>b</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96.</w:t>
      </w:r>
      <w:r w:rsidRPr="00E923BE">
        <w:rPr>
          <w:rStyle w:val="SingleTxt"/>
          <w:rFonts w:cs="SimSun"/>
        </w:rPr>
        <w:tab/>
      </w:r>
      <w:r w:rsidRPr="00E923BE">
        <w:rPr>
          <w:rStyle w:val="SingleTxt"/>
          <w:rFonts w:cs="SimSun"/>
        </w:rPr>
        <w:t>根据国家人事部</w:t>
      </w:r>
      <w:r w:rsidRPr="00E923BE">
        <w:rPr>
          <w:rStyle w:val="SingleTxt"/>
          <w:rFonts w:cs="SimSun"/>
        </w:rPr>
        <w:t>2014</w:t>
      </w:r>
      <w:r w:rsidRPr="00E923BE">
        <w:rPr>
          <w:rStyle w:val="SingleTxt"/>
          <w:rFonts w:cs="SimSun"/>
        </w:rPr>
        <w:t>年</w:t>
      </w:r>
      <w:r w:rsidRPr="00E923BE">
        <w:rPr>
          <w:rStyle w:val="SingleTxt"/>
          <w:rFonts w:cs="SimSun"/>
        </w:rPr>
        <w:t>6</w:t>
      </w:r>
      <w:r w:rsidRPr="00E923BE">
        <w:rPr>
          <w:rStyle w:val="SingleTxt"/>
          <w:rFonts w:cs="SimSun"/>
        </w:rPr>
        <w:t>月的数据，受雇于公共机构和机关的人员中有</w:t>
      </w:r>
      <w:r w:rsidRPr="00E923BE">
        <w:rPr>
          <w:rStyle w:val="SingleTxt"/>
          <w:rFonts w:cs="SimSun"/>
        </w:rPr>
        <w:t>37.25%</w:t>
      </w:r>
      <w:r w:rsidRPr="005C05C5">
        <w:rPr>
          <w:rStyle w:val="FootnoteReference"/>
          <w:rFonts w:cs="SimSun"/>
        </w:rPr>
        <w:footnoteReference w:id="7"/>
      </w:r>
      <w:r w:rsidRPr="00E923BE">
        <w:rPr>
          <w:rStyle w:val="SingleTxt"/>
          <w:rFonts w:cs="SimSun"/>
        </w:rPr>
        <w:t>为妇女。有关担任官僚机构高级别管理职位的妇女比例，见附件表</w:t>
      </w:r>
      <w:r w:rsidRPr="00E923BE">
        <w:rPr>
          <w:rStyle w:val="SingleTxt"/>
          <w:rFonts w:cs="SimSun"/>
        </w:rPr>
        <w:t>9</w:t>
      </w:r>
      <w:r w:rsidRPr="00E923BE">
        <w:rPr>
          <w:rStyle w:val="SingleTxt"/>
          <w:rFonts w:cs="SimSun"/>
        </w:rPr>
        <w:t>。土耳其审查了妇女在民政管理部门所任职位，其中有</w:t>
      </w:r>
      <w:r w:rsidRPr="00E923BE">
        <w:rPr>
          <w:rStyle w:val="SingleTxt"/>
          <w:rFonts w:cs="SimSun"/>
        </w:rPr>
        <w:t>1</w:t>
      </w:r>
      <w:r w:rsidRPr="00E923BE">
        <w:rPr>
          <w:rStyle w:val="SingleTxt"/>
          <w:rFonts w:cs="SimSun"/>
        </w:rPr>
        <w:t>名省长为妇女</w:t>
      </w:r>
      <w:r w:rsidRPr="00E923BE">
        <w:rPr>
          <w:rStyle w:val="SingleTxt"/>
          <w:rFonts w:cs="SimSun"/>
        </w:rPr>
        <w:t>458</w:t>
      </w:r>
      <w:r w:rsidRPr="00E923BE">
        <w:rPr>
          <w:rStyle w:val="SingleTxt"/>
          <w:rFonts w:cs="SimSun"/>
        </w:rPr>
        <w:t>名副省长中有</w:t>
      </w:r>
      <w:r w:rsidRPr="00E923BE">
        <w:rPr>
          <w:rStyle w:val="SingleTxt"/>
          <w:rFonts w:cs="SimSun"/>
        </w:rPr>
        <w:t>6</w:t>
      </w:r>
      <w:r w:rsidRPr="00E923BE">
        <w:rPr>
          <w:rStyle w:val="SingleTxt"/>
          <w:rFonts w:cs="SimSun"/>
        </w:rPr>
        <w:t>名为妇女。</w:t>
      </w:r>
      <w:r w:rsidRPr="00E923BE">
        <w:rPr>
          <w:rStyle w:val="SingleTxt"/>
          <w:rFonts w:cs="SimSun"/>
        </w:rPr>
        <w:t>860</w:t>
      </w:r>
      <w:r w:rsidRPr="00E923BE">
        <w:rPr>
          <w:rStyle w:val="SingleTxt"/>
          <w:rFonts w:cs="SimSun"/>
        </w:rPr>
        <w:t>名区长中有</w:t>
      </w:r>
      <w:r w:rsidRPr="00E923BE">
        <w:rPr>
          <w:rStyle w:val="SingleTxt"/>
          <w:rFonts w:cs="SimSun"/>
        </w:rPr>
        <w:t>21</w:t>
      </w:r>
      <w:r w:rsidRPr="00E923BE">
        <w:rPr>
          <w:rStyle w:val="SingleTxt"/>
          <w:rFonts w:cs="SimSun"/>
        </w:rPr>
        <w:t>名为妇女。在官僚机构高级别职位方面，政府各部中</w:t>
      </w:r>
      <w:r w:rsidRPr="00E923BE">
        <w:rPr>
          <w:rStyle w:val="SingleTxt"/>
          <w:rFonts w:cs="SimSun"/>
        </w:rPr>
        <w:t>22</w:t>
      </w:r>
      <w:r w:rsidRPr="00E923BE">
        <w:rPr>
          <w:rStyle w:val="SingleTxt"/>
          <w:rFonts w:cs="SimSun"/>
        </w:rPr>
        <w:t>名妇女中有</w:t>
      </w:r>
      <w:r w:rsidRPr="00E923BE">
        <w:rPr>
          <w:rStyle w:val="SingleTxt"/>
          <w:rFonts w:cs="SimSun"/>
        </w:rPr>
        <w:t>1</w:t>
      </w:r>
      <w:r w:rsidRPr="00E923BE">
        <w:rPr>
          <w:rStyle w:val="SingleTxt"/>
          <w:rFonts w:cs="SimSun"/>
        </w:rPr>
        <w:t>名担任次官，</w:t>
      </w:r>
      <w:r w:rsidRPr="00E923BE">
        <w:rPr>
          <w:rStyle w:val="SingleTxt"/>
          <w:rFonts w:cs="SimSun"/>
        </w:rPr>
        <w:t>71</w:t>
      </w:r>
      <w:r w:rsidRPr="00E923BE">
        <w:rPr>
          <w:rStyle w:val="SingleTxt"/>
          <w:rFonts w:cs="SimSun"/>
        </w:rPr>
        <w:t>名副次官中有</w:t>
      </w:r>
      <w:r w:rsidRPr="00E923BE">
        <w:rPr>
          <w:rStyle w:val="SingleTxt"/>
          <w:rFonts w:cs="SimSun"/>
        </w:rPr>
        <w:t>3</w:t>
      </w:r>
      <w:r w:rsidRPr="00E923BE">
        <w:rPr>
          <w:rStyle w:val="SingleTxt"/>
          <w:rFonts w:cs="SimSun"/>
        </w:rPr>
        <w:t>名为妇女</w:t>
      </w:r>
      <w:r>
        <w:rPr>
          <w:rStyle w:val="SingleTxt"/>
          <w:rFonts w:cs="SimSun" w:hint="eastAsia"/>
        </w:rPr>
        <w:t>（</w:t>
      </w:r>
      <w:r w:rsidRPr="00E923BE">
        <w:rPr>
          <w:rStyle w:val="SingleTxt"/>
          <w:rFonts w:cs="SimSun"/>
        </w:rPr>
        <w:t>附件表</w:t>
      </w:r>
      <w:r>
        <w:rPr>
          <w:rStyle w:val="SingleTxt"/>
          <w:rFonts w:cs="SimSun" w:hint="eastAsia"/>
        </w:rPr>
        <w:t>10</w:t>
      </w:r>
      <w:r>
        <w:rPr>
          <w:rStyle w:val="SingleTxt"/>
          <w:rFonts w:cs="SimSun" w:hint="eastAsia"/>
        </w:rPr>
        <w:t>）</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97.</w:t>
      </w:r>
      <w:r w:rsidRPr="00E923BE">
        <w:rPr>
          <w:rStyle w:val="SingleTxt"/>
          <w:rFonts w:cs="SimSun"/>
        </w:rPr>
        <w:tab/>
      </w:r>
      <w:r w:rsidRPr="00E923BE">
        <w:rPr>
          <w:rStyle w:val="SingleTxt"/>
          <w:rFonts w:cs="SimSun"/>
        </w:rPr>
        <w:t>土耳其审查了任职于构成司法实体的法院的人员，其中有</w:t>
      </w:r>
      <w:r w:rsidRPr="00E923BE">
        <w:rPr>
          <w:rStyle w:val="SingleTxt"/>
          <w:rFonts w:cs="SimSun"/>
        </w:rPr>
        <w:t>39%</w:t>
      </w:r>
      <w:r w:rsidRPr="00E923BE">
        <w:rPr>
          <w:rStyle w:val="SingleTxt"/>
          <w:rFonts w:cs="SimSun"/>
        </w:rPr>
        <w:t>司法法院法官为妇女，</w:t>
      </w:r>
      <w:r w:rsidRPr="00E923BE">
        <w:rPr>
          <w:rStyle w:val="SingleTxt"/>
          <w:rFonts w:cs="SimSun"/>
        </w:rPr>
        <w:t>20%</w:t>
      </w:r>
      <w:r w:rsidRPr="00E923BE">
        <w:rPr>
          <w:rStyle w:val="SingleTxt"/>
          <w:rFonts w:cs="SimSun"/>
        </w:rPr>
        <w:t>行政法院法官为妇女（见附件表</w:t>
      </w:r>
      <w:r w:rsidRPr="00E923BE">
        <w:rPr>
          <w:rStyle w:val="SingleTxt"/>
          <w:rFonts w:cs="SimSun"/>
        </w:rPr>
        <w:t>11</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98.</w:t>
      </w:r>
      <w:r w:rsidRPr="00E923BE">
        <w:rPr>
          <w:rStyle w:val="SingleTxt"/>
          <w:rFonts w:cs="SimSun"/>
        </w:rPr>
        <w:tab/>
      </w:r>
      <w:r w:rsidRPr="00E923BE">
        <w:rPr>
          <w:rStyle w:val="SingleTxt"/>
          <w:rFonts w:cs="SimSun"/>
        </w:rPr>
        <w:t>最高法院工作人员的性别分布如下：妇女占宪法法院成员和报告员人数的</w:t>
      </w:r>
      <w:r w:rsidRPr="00E923BE">
        <w:rPr>
          <w:rStyle w:val="SingleTxt"/>
          <w:rFonts w:cs="SimSun"/>
        </w:rPr>
        <w:t>10%</w:t>
      </w:r>
      <w:r w:rsidRPr="00E923BE">
        <w:rPr>
          <w:rStyle w:val="SingleTxt"/>
          <w:rFonts w:cs="SimSun"/>
        </w:rPr>
        <w:t>，占上诉法院成员、法官和检察官人数的</w:t>
      </w:r>
      <w:r w:rsidRPr="00E923BE">
        <w:rPr>
          <w:rStyle w:val="SingleTxt"/>
          <w:rFonts w:cs="SimSun"/>
        </w:rPr>
        <w:t>34%</w:t>
      </w:r>
      <w:r w:rsidRPr="00E923BE">
        <w:rPr>
          <w:rStyle w:val="SingleTxt"/>
          <w:rFonts w:cs="SimSun"/>
        </w:rPr>
        <w:t>。直至</w:t>
      </w:r>
      <w:r w:rsidRPr="00E923BE">
        <w:rPr>
          <w:rStyle w:val="SingleTxt"/>
          <w:rFonts w:cs="SimSun"/>
        </w:rPr>
        <w:t>2014</w:t>
      </w:r>
      <w:r w:rsidRPr="00E923BE">
        <w:rPr>
          <w:rStyle w:val="SingleTxt"/>
          <w:rFonts w:cs="SimSun"/>
        </w:rPr>
        <w:t>年</w:t>
      </w:r>
      <w:r w:rsidRPr="00E923BE">
        <w:rPr>
          <w:rStyle w:val="SingleTxt"/>
          <w:rFonts w:cs="SimSun"/>
        </w:rPr>
        <w:t>2</w:t>
      </w:r>
      <w:r w:rsidRPr="00E923BE">
        <w:rPr>
          <w:rStyle w:val="SingleTxt"/>
          <w:rFonts w:cs="SimSun"/>
        </w:rPr>
        <w:t>月，有一名女性成员担任上诉法院院长一职。</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99.</w:t>
      </w:r>
      <w:r w:rsidRPr="00E923BE">
        <w:rPr>
          <w:rStyle w:val="SingleTxt"/>
          <w:rFonts w:cs="SimSun"/>
        </w:rPr>
        <w:tab/>
      </w:r>
      <w:r w:rsidRPr="00E923BE">
        <w:rPr>
          <w:rStyle w:val="SingleTxt"/>
          <w:rFonts w:cs="SimSun"/>
        </w:rPr>
        <w:t>直至</w:t>
      </w:r>
      <w:r w:rsidRPr="00E923BE">
        <w:rPr>
          <w:rStyle w:val="SingleTxt"/>
          <w:rFonts w:cs="SimSun"/>
        </w:rPr>
        <w:t>2014</w:t>
      </w:r>
      <w:r w:rsidRPr="00E923BE">
        <w:rPr>
          <w:rStyle w:val="SingleTxt"/>
          <w:rFonts w:cs="SimSun"/>
        </w:rPr>
        <w:t>年</w:t>
      </w:r>
      <w:r w:rsidRPr="00E923BE">
        <w:rPr>
          <w:rStyle w:val="SingleTxt"/>
          <w:rFonts w:cs="SimSun"/>
        </w:rPr>
        <w:t>2</w:t>
      </w:r>
      <w:r w:rsidRPr="00E923BE">
        <w:rPr>
          <w:rStyle w:val="SingleTxt"/>
          <w:rFonts w:cs="SimSun"/>
        </w:rPr>
        <w:t>月，约有</w:t>
      </w:r>
      <w:r w:rsidRPr="00E923BE">
        <w:rPr>
          <w:rStyle w:val="SingleTxt"/>
          <w:rFonts w:cs="SimSun"/>
        </w:rPr>
        <w:t>41%</w:t>
      </w:r>
      <w:r w:rsidRPr="00E923BE">
        <w:rPr>
          <w:rStyle w:val="SingleTxt"/>
          <w:rFonts w:cs="SimSun"/>
        </w:rPr>
        <w:t>的大学教师为妇女。妇女占教授人数的</w:t>
      </w:r>
      <w:r w:rsidRPr="00E923BE">
        <w:rPr>
          <w:rStyle w:val="SingleTxt"/>
          <w:rFonts w:cs="SimSun"/>
        </w:rPr>
        <w:t>28.4%</w:t>
      </w:r>
      <w:r w:rsidRPr="00E923BE">
        <w:rPr>
          <w:rStyle w:val="SingleTxt"/>
          <w:rFonts w:cs="SimSun"/>
        </w:rPr>
        <w:t>，占副教授人数的</w:t>
      </w:r>
      <w:r w:rsidRPr="00E923BE">
        <w:rPr>
          <w:rStyle w:val="SingleTxt"/>
          <w:rFonts w:cs="SimSun"/>
        </w:rPr>
        <w:t>33.1%</w:t>
      </w:r>
      <w:r w:rsidRPr="00E923BE">
        <w:rPr>
          <w:rStyle w:val="SingleTxt"/>
          <w:rFonts w:cs="SimSun"/>
        </w:rPr>
        <w:t>，占院士人数的</w:t>
      </w:r>
      <w:r w:rsidRPr="00E923BE">
        <w:rPr>
          <w:rStyle w:val="SingleTxt"/>
          <w:rFonts w:cs="SimSun"/>
        </w:rPr>
        <w:t>42.8%</w:t>
      </w:r>
      <w:r w:rsidRPr="00E923BE">
        <w:rPr>
          <w:rStyle w:val="SingleTxt"/>
          <w:rFonts w:cs="SimSun"/>
        </w:rPr>
        <w:t>（土耳其高等教育部学生选拔中心</w:t>
      </w:r>
      <w:r w:rsidRPr="00E923BE">
        <w:rPr>
          <w:rStyle w:val="SingleTxt"/>
          <w:rFonts w:cs="SimSun"/>
        </w:rPr>
        <w:t>2014</w:t>
      </w:r>
      <w:r w:rsidRPr="00E923BE">
        <w:rPr>
          <w:rStyle w:val="SingleTxt"/>
          <w:rFonts w:cs="SimSun"/>
        </w:rPr>
        <w:t>年数据）。</w:t>
      </w:r>
      <w:r w:rsidRPr="00E923BE">
        <w:rPr>
          <w:rStyle w:val="SingleTxt"/>
          <w:rFonts w:cs="SimSun"/>
        </w:rPr>
        <w:t>176</w:t>
      </w:r>
      <w:r w:rsidRPr="00E923BE">
        <w:rPr>
          <w:rStyle w:val="SingleTxt"/>
          <w:rFonts w:cs="SimSun"/>
        </w:rPr>
        <w:t>所大学中有</w:t>
      </w:r>
      <w:r w:rsidRPr="00E923BE">
        <w:rPr>
          <w:rStyle w:val="SingleTxt"/>
          <w:rFonts w:cs="SimSun"/>
        </w:rPr>
        <w:t>14</w:t>
      </w:r>
      <w:r w:rsidRPr="00E923BE">
        <w:rPr>
          <w:rStyle w:val="SingleTxt"/>
          <w:rFonts w:cs="SimSun"/>
        </w:rPr>
        <w:t>所的校长职位由妇女担任。</w:t>
      </w:r>
    </w:p>
    <w:p w:rsidR="005C05C5" w:rsidRPr="00E923BE" w:rsidRDefault="005C05C5" w:rsidP="005C05C5">
      <w:pPr>
        <w:pStyle w:val="SingleTxt"/>
        <w:spacing w:after="120"/>
        <w:ind w:left="1134" w:right="1134"/>
      </w:pPr>
      <w:r w:rsidRPr="00E923BE">
        <w:rPr>
          <w:rStyle w:val="SingleTxt"/>
          <w:rFonts w:cs="SimSun"/>
        </w:rPr>
        <w:t>100.</w:t>
      </w:r>
      <w:r w:rsidRPr="00E923BE">
        <w:rPr>
          <w:rStyle w:val="SingleTxt"/>
          <w:rFonts w:cs="SimSun"/>
        </w:rPr>
        <w:tab/>
      </w:r>
      <w:r w:rsidRPr="00E923BE">
        <w:rPr>
          <w:rStyle w:val="SingleTxt"/>
          <w:rFonts w:cs="SimSun"/>
        </w:rPr>
        <w:t>有关基于性别决策和权力机制的详细信息已开始汇编并公开发布。自</w:t>
      </w:r>
      <w:r w:rsidRPr="00E923BE">
        <w:rPr>
          <w:rStyle w:val="SingleTxt"/>
          <w:rFonts w:cs="SimSun"/>
        </w:rPr>
        <w:t>2008</w:t>
      </w:r>
      <w:r w:rsidRPr="00E923BE">
        <w:rPr>
          <w:rStyle w:val="SingleTxt"/>
          <w:rFonts w:cs="SimSun"/>
        </w:rPr>
        <w:t>年以来，政府高级别职位中妇女比例的增长幅度未如理想。但土耳其已树立起这方面的意识，相信今后数年将能如期增长。</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7</w:t>
      </w:r>
      <w:r w:rsidRPr="00E923BE">
        <w:rPr>
          <w:rFonts w:eastAsia="SimHei" w:cs="Arial"/>
          <w:bCs/>
          <w:szCs w:val="21"/>
        </w:rPr>
        <w:t>条</w:t>
      </w:r>
      <w:r w:rsidRPr="00E923BE">
        <w:rPr>
          <w:rFonts w:eastAsia="SimHei" w:cs="Arial"/>
          <w:b/>
          <w:bCs/>
          <w:szCs w:val="21"/>
        </w:rPr>
        <w:t>c</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101.</w:t>
      </w:r>
      <w:r w:rsidRPr="00E923BE">
        <w:rPr>
          <w:rStyle w:val="SingleTxt"/>
          <w:rFonts w:cs="SimSun"/>
        </w:rPr>
        <w:tab/>
      </w:r>
      <w:r w:rsidRPr="00E923BE">
        <w:rPr>
          <w:rStyle w:val="SingleTxt"/>
          <w:rFonts w:cs="SimSun"/>
        </w:rPr>
        <w:t>工商团体和工会正在设立妇女问题理事会、委员会和工作组，以将性别平等观点纳入其结构主流，并且在这一领域积极开展工作。目前工商团体和工会中没有女性领导人士。有关任职高级别行政职位的妇女人数，见附件表</w:t>
      </w:r>
      <w:r w:rsidRPr="00E923BE">
        <w:rPr>
          <w:rStyle w:val="SingleTxt"/>
          <w:rFonts w:cs="SimSun"/>
        </w:rPr>
        <w:t>12</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102.</w:t>
      </w:r>
      <w:r w:rsidRPr="00E923BE">
        <w:rPr>
          <w:rStyle w:val="SingleTxt"/>
          <w:rFonts w:cs="SimSun"/>
        </w:rPr>
        <w:tab/>
      </w:r>
      <w:r w:rsidRPr="00E923BE">
        <w:rPr>
          <w:rStyle w:val="SingleTxt"/>
          <w:rFonts w:cs="SimSun"/>
        </w:rPr>
        <w:t>土耳其已制定了若干法规，以将性别平等观点纳入工会活动主流。有关相关法规，见第</w:t>
      </w:r>
      <w:r w:rsidRPr="00E923BE">
        <w:rPr>
          <w:rStyle w:val="SingleTxt"/>
          <w:rFonts w:cs="SimSun"/>
        </w:rPr>
        <w:t>2</w:t>
      </w:r>
      <w:r w:rsidRPr="00E923BE">
        <w:rPr>
          <w:rStyle w:val="SingleTxt"/>
          <w:rFonts w:cs="SimSun"/>
        </w:rPr>
        <w:t>条</w:t>
      </w:r>
      <w:r w:rsidRPr="00E923BE">
        <w:rPr>
          <w:rStyle w:val="SingleTxt"/>
          <w:rFonts w:cs="SimSun"/>
        </w:rPr>
        <w:t>b</w:t>
      </w:r>
      <w:r w:rsidRPr="00E923BE">
        <w:rPr>
          <w:rStyle w:val="SingleTxt"/>
          <w:rFonts w:cs="SimSun"/>
        </w:rPr>
        <w:t>款。这些法规旨在提高妇女在工会中的代表性。</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8</w:t>
      </w:r>
      <w:r w:rsidRPr="00E923BE">
        <w:rPr>
          <w:rFonts w:eastAsia="SimHei" w:cs="Arial"/>
          <w:bCs/>
          <w:szCs w:val="21"/>
        </w:rPr>
        <w:t>条</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103.</w:t>
      </w:r>
      <w:r w:rsidRPr="00E923BE">
        <w:rPr>
          <w:rStyle w:val="SingleTxt"/>
          <w:rFonts w:cs="SimSun"/>
        </w:rPr>
        <w:tab/>
      </w:r>
      <w:r w:rsidRPr="00E923BE">
        <w:rPr>
          <w:rStyle w:val="SingleTxt"/>
          <w:rFonts w:cs="SimSun"/>
        </w:rPr>
        <w:t>外交部</w:t>
      </w:r>
      <w:r w:rsidRPr="00E923BE">
        <w:rPr>
          <w:rStyle w:val="SingleTxt"/>
          <w:rFonts w:cs="SimSun"/>
        </w:rPr>
        <w:t>214</w:t>
      </w:r>
      <w:r w:rsidRPr="00E923BE">
        <w:rPr>
          <w:rStyle w:val="SingleTxt"/>
          <w:rFonts w:cs="SimSun"/>
        </w:rPr>
        <w:t>名大使中有</w:t>
      </w:r>
      <w:r w:rsidRPr="00E923BE">
        <w:rPr>
          <w:rStyle w:val="SingleTxt"/>
          <w:rFonts w:cs="SimSun"/>
        </w:rPr>
        <w:t>28</w:t>
      </w:r>
      <w:r w:rsidRPr="00E923BE">
        <w:rPr>
          <w:rStyle w:val="SingleTxt"/>
          <w:rFonts w:cs="SimSun"/>
        </w:rPr>
        <w:t>名为妇女。（见附件表</w:t>
      </w:r>
      <w:r w:rsidRPr="00E923BE">
        <w:rPr>
          <w:rStyle w:val="SingleTxt"/>
          <w:rFonts w:cs="SimSun"/>
        </w:rPr>
        <w:t>13</w:t>
      </w:r>
      <w:r w:rsidRPr="00E923BE">
        <w:rPr>
          <w:rStyle w:val="SingleTxt"/>
          <w:rFonts w:cs="SimSun"/>
        </w:rPr>
        <w:t>）。这一人数是目前为止最多的。此外，</w:t>
      </w:r>
      <w:r w:rsidRPr="00E923BE">
        <w:rPr>
          <w:rStyle w:val="SingleTxt"/>
          <w:rFonts w:cs="SimSun"/>
        </w:rPr>
        <w:t>39</w:t>
      </w:r>
      <w:r w:rsidRPr="00E923BE">
        <w:rPr>
          <w:rStyle w:val="SingleTxt"/>
          <w:rFonts w:cs="SimSun"/>
        </w:rPr>
        <w:t>名在职的驻海外使节次官或一级大使中有</w:t>
      </w:r>
      <w:r w:rsidRPr="00E923BE">
        <w:rPr>
          <w:rStyle w:val="SingleTxt"/>
          <w:rFonts w:cs="SimSun"/>
        </w:rPr>
        <w:t>14</w:t>
      </w:r>
      <w:r w:rsidRPr="00E923BE">
        <w:rPr>
          <w:rStyle w:val="SingleTxt"/>
          <w:rFonts w:cs="SimSun"/>
        </w:rPr>
        <w:t>名为妇女，</w:t>
      </w:r>
      <w:r w:rsidRPr="00E923BE">
        <w:rPr>
          <w:rStyle w:val="SingleTxt"/>
          <w:rFonts w:cs="SimSun"/>
        </w:rPr>
        <w:t>65</w:t>
      </w:r>
      <w:r w:rsidRPr="00E923BE">
        <w:rPr>
          <w:rStyle w:val="SingleTxt"/>
          <w:rFonts w:cs="SimSun"/>
        </w:rPr>
        <w:t>名中央副次官、局长和副局长中有</w:t>
      </w:r>
      <w:r w:rsidRPr="00E923BE">
        <w:rPr>
          <w:rStyle w:val="SingleTxt"/>
          <w:rFonts w:cs="SimSun"/>
        </w:rPr>
        <w:t>22</w:t>
      </w:r>
      <w:r w:rsidRPr="00E923BE">
        <w:rPr>
          <w:rStyle w:val="SingleTxt"/>
          <w:rFonts w:cs="SimSun"/>
        </w:rPr>
        <w:t>名为妇女，</w:t>
      </w:r>
      <w:r w:rsidRPr="00E923BE">
        <w:rPr>
          <w:rStyle w:val="SingleTxt"/>
          <w:rFonts w:cs="SimSun"/>
        </w:rPr>
        <w:t>1 210</w:t>
      </w:r>
      <w:r w:rsidRPr="00E923BE">
        <w:rPr>
          <w:rStyle w:val="SingleTxt"/>
          <w:rFonts w:cs="SimSun"/>
        </w:rPr>
        <w:t>名外交官中有</w:t>
      </w:r>
      <w:r w:rsidRPr="00E923BE">
        <w:rPr>
          <w:rStyle w:val="SingleTxt"/>
          <w:rFonts w:cs="SimSun"/>
        </w:rPr>
        <w:t>314</w:t>
      </w:r>
      <w:r w:rsidRPr="00E923BE">
        <w:rPr>
          <w:rStyle w:val="SingleTxt"/>
          <w:rFonts w:cs="SimSun"/>
        </w:rPr>
        <w:t>名为妇女。</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104.</w:t>
      </w:r>
      <w:r w:rsidRPr="00E923BE">
        <w:rPr>
          <w:rStyle w:val="SingleTxt"/>
          <w:rFonts w:cs="SimSun"/>
        </w:rPr>
        <w:tab/>
      </w:r>
      <w:r w:rsidRPr="00E923BE">
        <w:rPr>
          <w:rStyle w:val="SingleTxt"/>
          <w:rFonts w:cs="SimSun"/>
        </w:rPr>
        <w:t>土耳其与其妇女代表团定期参加国际会议，该代表团由来自非政府组织的代表组成。此外，土耳其在教科文组织、开发署和消除对妇女歧视委员会也设有高级别女官员。</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105.</w:t>
      </w:r>
      <w:r w:rsidRPr="00E923BE">
        <w:rPr>
          <w:rStyle w:val="SingleTxt"/>
          <w:rFonts w:cs="SimSun"/>
        </w:rPr>
        <w:tab/>
      </w:r>
      <w:r w:rsidRPr="00E923BE">
        <w:rPr>
          <w:rStyle w:val="SingleTxt"/>
          <w:rFonts w:cs="SimSun"/>
        </w:rPr>
        <w:t>在</w:t>
      </w:r>
      <w:r w:rsidRPr="00E923BE">
        <w:rPr>
          <w:rStyle w:val="SingleTxt"/>
          <w:rFonts w:cs="SimSun"/>
        </w:rPr>
        <w:t>12</w:t>
      </w:r>
      <w:r w:rsidRPr="00E923BE">
        <w:rPr>
          <w:rStyle w:val="SingleTxt"/>
          <w:rFonts w:cs="SimSun"/>
        </w:rPr>
        <w:t>个国际委员会中，妇女成员的比例为</w:t>
      </w:r>
      <w:r w:rsidRPr="00E923BE">
        <w:rPr>
          <w:rStyle w:val="SingleTxt"/>
          <w:rFonts w:cs="SimSun"/>
        </w:rPr>
        <w:t>17.92%</w:t>
      </w:r>
      <w:r w:rsidRPr="00E923BE">
        <w:rPr>
          <w:rStyle w:val="SingleTxt"/>
          <w:rFonts w:cs="SimSun"/>
        </w:rPr>
        <w:t>，土耳其大国民议会也是这些委员会的成员（男女机会均等委员会，</w:t>
      </w:r>
      <w:r w:rsidRPr="00E923BE">
        <w:rPr>
          <w:rStyle w:val="SingleTxt"/>
          <w:rFonts w:cs="SimSun"/>
        </w:rPr>
        <w:t>2014</w:t>
      </w:r>
      <w:r w:rsidRPr="00E923BE">
        <w:rPr>
          <w:rStyle w:val="SingleTxt"/>
          <w:rFonts w:cs="SimSun"/>
        </w:rPr>
        <w:t>年）。</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9.1</w:t>
      </w:r>
      <w:r w:rsidRPr="00E923BE">
        <w:rPr>
          <w:rFonts w:eastAsia="SimHei" w:cs="Arial"/>
          <w:bCs/>
          <w:szCs w:val="21"/>
        </w:rPr>
        <w:t>条</w:t>
      </w:r>
    </w:p>
    <w:p w:rsidR="005C05C5" w:rsidRPr="00E923BE" w:rsidRDefault="005C05C5" w:rsidP="005C05C5">
      <w:pPr>
        <w:pStyle w:val="SingleTxt"/>
        <w:spacing w:after="120"/>
        <w:ind w:left="1134" w:right="1134"/>
      </w:pPr>
      <w:r w:rsidRPr="00E923BE">
        <w:rPr>
          <w:rStyle w:val="SingleTxt"/>
          <w:rFonts w:cs="SimSun"/>
        </w:rPr>
        <w:t>106.</w:t>
      </w:r>
      <w:r w:rsidRPr="00E923BE">
        <w:rPr>
          <w:rStyle w:val="SingleTxt"/>
          <w:rFonts w:cs="SimSun"/>
        </w:rPr>
        <w:tab/>
      </w:r>
      <w:r w:rsidRPr="00E923BE">
        <w:rPr>
          <w:rStyle w:val="SingleTxt"/>
          <w:rFonts w:cs="SimSun"/>
        </w:rPr>
        <w:t>见</w:t>
      </w:r>
      <w:r>
        <w:rPr>
          <w:rStyle w:val="SingleTxt"/>
          <w:rFonts w:cs="SimSun"/>
        </w:rPr>
        <w:t>第六次报告</w:t>
      </w:r>
      <w:r w:rsidRPr="00E923BE">
        <w:rPr>
          <w:rStyle w:val="SingleTxt"/>
          <w:rFonts w:cs="SimSun"/>
        </w:rPr>
        <w:t>。有关来自土耳其的寻求庇护者人数信息，见附件表</w:t>
      </w:r>
      <w:r w:rsidRPr="00E923BE">
        <w:rPr>
          <w:rStyle w:val="SingleTxt"/>
          <w:rFonts w:cs="SimSun"/>
        </w:rPr>
        <w:t>14</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9.2</w:t>
      </w:r>
      <w:r w:rsidRPr="00E923BE">
        <w:rPr>
          <w:rFonts w:eastAsia="SimHei" w:cs="Arial"/>
          <w:bCs/>
          <w:szCs w:val="21"/>
        </w:rPr>
        <w:t>条</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107.</w:t>
      </w:r>
      <w:r w:rsidRPr="00E923BE">
        <w:rPr>
          <w:rStyle w:val="SingleTxt"/>
          <w:rFonts w:cs="SimSun"/>
        </w:rPr>
        <w:tab/>
      </w:r>
      <w:r w:rsidRPr="00E923BE">
        <w:rPr>
          <w:rStyle w:val="SingleTxt"/>
          <w:rFonts w:cs="SimSun"/>
        </w:rPr>
        <w:t>见</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Pr>
          <w:rFonts w:eastAsia="SimHei" w:cs="Arial"/>
          <w:bCs/>
          <w:szCs w:val="21"/>
        </w:rPr>
        <w:br w:type="page"/>
      </w:r>
      <w:r w:rsidRPr="00E923BE">
        <w:rPr>
          <w:rFonts w:eastAsia="SimHei" w:cs="Arial"/>
          <w:bCs/>
          <w:szCs w:val="21"/>
        </w:rPr>
        <w:t>第</w:t>
      </w:r>
      <w:r w:rsidRPr="00E923BE">
        <w:rPr>
          <w:rFonts w:eastAsia="SimHei" w:cs="Arial"/>
          <w:b/>
          <w:bCs/>
          <w:szCs w:val="21"/>
        </w:rPr>
        <w:t>10</w:t>
      </w:r>
      <w:r w:rsidRPr="00E923BE">
        <w:rPr>
          <w:rFonts w:eastAsia="SimHei" w:cs="Arial"/>
          <w:bCs/>
          <w:szCs w:val="21"/>
        </w:rPr>
        <w:t>条</w:t>
      </w:r>
      <w:r w:rsidRPr="00E923BE">
        <w:rPr>
          <w:rFonts w:eastAsia="SimHei" w:cs="Arial"/>
          <w:b/>
          <w:bCs/>
          <w:szCs w:val="21"/>
        </w:rPr>
        <w:t>a</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108.</w:t>
      </w:r>
      <w:r w:rsidRPr="00E923BE">
        <w:rPr>
          <w:rStyle w:val="SingleTxt"/>
          <w:rFonts w:cs="SimSun"/>
        </w:rPr>
        <w:tab/>
      </w:r>
      <w:r w:rsidRPr="00E923BE">
        <w:rPr>
          <w:rStyle w:val="SingleTxt"/>
          <w:rFonts w:cs="SimSun"/>
        </w:rPr>
        <w:t>《国家教育基本法》在</w:t>
      </w:r>
      <w:r w:rsidRPr="00E923BE">
        <w:rPr>
          <w:rStyle w:val="SingleTxt"/>
          <w:rFonts w:cs="SimSun"/>
        </w:rPr>
        <w:t>2012</w:t>
      </w:r>
      <w:r w:rsidRPr="00E923BE">
        <w:rPr>
          <w:rStyle w:val="SingleTxt"/>
          <w:rFonts w:cs="SimSun"/>
        </w:rPr>
        <w:t>年经过一项修正，将义务教育期限延长至</w:t>
      </w:r>
      <w:r w:rsidRPr="00E923BE">
        <w:rPr>
          <w:rStyle w:val="SingleTxt"/>
          <w:rFonts w:cs="SimSun"/>
        </w:rPr>
        <w:t>12</w:t>
      </w:r>
      <w:r w:rsidRPr="00E923BE">
        <w:rPr>
          <w:rStyle w:val="SingleTxt"/>
          <w:rFonts w:cs="SimSun"/>
        </w:rPr>
        <w:t>年，其中</w:t>
      </w:r>
      <w:r w:rsidRPr="00E923BE">
        <w:rPr>
          <w:rStyle w:val="SingleTxt"/>
          <w:rFonts w:cs="SimSun"/>
        </w:rPr>
        <w:t>4</w:t>
      </w:r>
      <w:r w:rsidRPr="00E923BE">
        <w:rPr>
          <w:rStyle w:val="SingleTxt"/>
          <w:rFonts w:cs="SimSun"/>
        </w:rPr>
        <w:t>年为初等教育、</w:t>
      </w:r>
      <w:r w:rsidRPr="00E923BE">
        <w:rPr>
          <w:rStyle w:val="SingleTxt"/>
          <w:rFonts w:cs="SimSun"/>
        </w:rPr>
        <w:t>4</w:t>
      </w:r>
      <w:r w:rsidRPr="00E923BE">
        <w:rPr>
          <w:rStyle w:val="SingleTxt"/>
          <w:rFonts w:cs="SimSun"/>
        </w:rPr>
        <w:t>年为中等教育和</w:t>
      </w:r>
      <w:r w:rsidRPr="00E923BE">
        <w:rPr>
          <w:rStyle w:val="SingleTxt"/>
          <w:rFonts w:cs="SimSun"/>
        </w:rPr>
        <w:t>4</w:t>
      </w:r>
      <w:r w:rsidRPr="00E923BE">
        <w:rPr>
          <w:rStyle w:val="SingleTxt"/>
          <w:rFonts w:cs="SimSun"/>
        </w:rPr>
        <w:t>年为高级中等教育。</w:t>
      </w:r>
    </w:p>
    <w:p w:rsidR="005C05C5" w:rsidRPr="00E923BE" w:rsidRDefault="005C05C5" w:rsidP="005C05C5">
      <w:pPr>
        <w:pStyle w:val="SingleTxt"/>
        <w:spacing w:after="120"/>
        <w:ind w:left="1134" w:right="1134"/>
      </w:pPr>
      <w:r w:rsidRPr="00E923BE">
        <w:rPr>
          <w:rStyle w:val="SingleTxt"/>
          <w:rFonts w:cs="SimSun"/>
        </w:rPr>
        <w:t>109.</w:t>
      </w:r>
      <w:r w:rsidRPr="00E923BE">
        <w:rPr>
          <w:rStyle w:val="SingleTxt"/>
          <w:rFonts w:cs="SimSun"/>
        </w:rPr>
        <w:tab/>
      </w:r>
      <w:r w:rsidRPr="00E923BE">
        <w:rPr>
          <w:rStyle w:val="SingleTxt"/>
          <w:rFonts w:cs="SimSun"/>
        </w:rPr>
        <w:t>《第十个发展计划》包括了关于</w:t>
      </w:r>
      <w:r w:rsidRPr="00E923BE">
        <w:rPr>
          <w:rStyle w:val="SingleTxt"/>
          <w:rFonts w:cs="SimSun"/>
          <w:cs/>
        </w:rPr>
        <w:t>“</w:t>
      </w:r>
      <w:r w:rsidRPr="00E923BE">
        <w:rPr>
          <w:rStyle w:val="SingleTxt"/>
          <w:rFonts w:cs="SimSun"/>
        </w:rPr>
        <w:t>确保所有儿童接受教育，尤其包括残疾儿童和女孩接受初等和中等教育，并且减少留级和辍学情况</w:t>
      </w:r>
      <w:r w:rsidRPr="00E923BE">
        <w:rPr>
          <w:rStyle w:val="SingleTxt"/>
          <w:rFonts w:cs="SimSun"/>
          <w:cs/>
        </w:rPr>
        <w:t>”</w:t>
      </w:r>
      <w:r w:rsidRPr="00E923BE">
        <w:rPr>
          <w:rStyle w:val="SingleTxt"/>
          <w:rFonts w:cs="SimSun"/>
        </w:rPr>
        <w:t>的目的和目标。通过正规和非正规教育提高社会认识，从而消除对妇女歧视，是《第十个发展计划》的目标之一。</w:t>
      </w:r>
    </w:p>
    <w:p w:rsidR="005C05C5" w:rsidRPr="00E923BE" w:rsidRDefault="005C05C5" w:rsidP="005C05C5">
      <w:pPr>
        <w:pStyle w:val="SingleTxt"/>
        <w:spacing w:after="120"/>
        <w:ind w:left="1134" w:right="1134"/>
      </w:pPr>
      <w:r w:rsidRPr="00E923BE">
        <w:rPr>
          <w:rStyle w:val="SingleTxt"/>
          <w:rFonts w:cs="SimSun"/>
        </w:rPr>
        <w:t>110.</w:t>
      </w:r>
      <w:r w:rsidRPr="00E923BE">
        <w:rPr>
          <w:rStyle w:val="SingleTxt"/>
          <w:rFonts w:cs="SimSun"/>
        </w:rPr>
        <w:tab/>
      </w:r>
      <w:r w:rsidRPr="00E923BE">
        <w:rPr>
          <w:rStyle w:val="SingleTxt"/>
          <w:rFonts w:cs="SimSun"/>
        </w:rPr>
        <w:t>《年度计划》规定，采取措施在全国范围内消除和改变女孩所面临的不利条件应能减少初等和中等教育辍学率，从而能提高中等教育升学率。土耳其因而指出，必须通过奖学金、流动教育和有条件现金拨付等机制促进教育；必须继续开展现有教育运动；在初等教育过渡到中等教育的升学率尤其低的地区优先建设女生宿舍。</w:t>
      </w:r>
    </w:p>
    <w:p w:rsidR="005C05C5" w:rsidRPr="00E923BE" w:rsidRDefault="005C05C5" w:rsidP="005C05C5">
      <w:pPr>
        <w:pStyle w:val="SingleTxt"/>
        <w:spacing w:after="120"/>
        <w:ind w:left="1134" w:right="1134"/>
      </w:pPr>
      <w:r w:rsidRPr="00E923BE">
        <w:rPr>
          <w:rStyle w:val="SingleTxt"/>
          <w:rFonts w:cs="SimSun"/>
        </w:rPr>
        <w:t>111.</w:t>
      </w:r>
      <w:r w:rsidRPr="00E923BE">
        <w:rPr>
          <w:rStyle w:val="SingleTxt"/>
          <w:rFonts w:cs="SimSun"/>
        </w:rPr>
        <w:tab/>
      </w:r>
      <w:r w:rsidRPr="00E923BE">
        <w:rPr>
          <w:rStyle w:val="SingleTxt"/>
          <w:rFonts w:cs="SimSun"/>
        </w:rPr>
        <w:t>近年来，土耳其在妇女和女孩享受教育权方面已取得了重大进步。</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112.</w:t>
      </w:r>
      <w:r w:rsidRPr="00E923BE">
        <w:rPr>
          <w:rStyle w:val="SingleTxt"/>
          <w:rFonts w:cs="SimSun"/>
        </w:rPr>
        <w:tab/>
      </w:r>
      <w:r w:rsidRPr="00E923BE">
        <w:rPr>
          <w:rStyle w:val="SingleTxt"/>
          <w:rFonts w:cs="SimSun"/>
        </w:rPr>
        <w:t>学前教育是可选的，包含义务初等教育入学年龄以下儿童的教育。在</w:t>
      </w:r>
      <w:r w:rsidRPr="00E923BE">
        <w:rPr>
          <w:rStyle w:val="SingleTxt"/>
          <w:rFonts w:cs="SimSun"/>
        </w:rPr>
        <w:t>3</w:t>
      </w:r>
      <w:r w:rsidRPr="00E923BE">
        <w:rPr>
          <w:rStyle w:val="SingleTxt"/>
          <w:rFonts w:cs="SimSun"/>
        </w:rPr>
        <w:t>到</w:t>
      </w:r>
      <w:r w:rsidRPr="00E923BE">
        <w:rPr>
          <w:rStyle w:val="SingleTxt"/>
          <w:rFonts w:cs="SimSun"/>
        </w:rPr>
        <w:t>5</w:t>
      </w:r>
      <w:r w:rsidRPr="00E923BE">
        <w:rPr>
          <w:rStyle w:val="SingleTxt"/>
          <w:rFonts w:cs="SimSun"/>
        </w:rPr>
        <w:t>岁的儿童中，接近</w:t>
      </w:r>
      <w:r w:rsidRPr="00E923BE">
        <w:rPr>
          <w:rStyle w:val="SingleTxt"/>
          <w:rFonts w:cs="SimSun"/>
        </w:rPr>
        <w:t>27.71%</w:t>
      </w:r>
      <w:r w:rsidRPr="00E923BE">
        <w:rPr>
          <w:rStyle w:val="SingleTxt"/>
          <w:rFonts w:cs="SimSun"/>
        </w:rPr>
        <w:t>参加了学前教育方案。学前教育阶段的女孩入学率在</w:t>
      </w:r>
      <w:r w:rsidRPr="00E923BE">
        <w:rPr>
          <w:rStyle w:val="SingleTxt"/>
          <w:rFonts w:cs="SimSun"/>
        </w:rPr>
        <w:t>2013</w:t>
      </w:r>
      <w:r w:rsidRPr="00E923BE">
        <w:rPr>
          <w:rStyle w:val="SingleTxt"/>
          <w:rFonts w:cs="SimSun"/>
        </w:rPr>
        <w:t>年至</w:t>
      </w:r>
      <w:r w:rsidRPr="00E923BE">
        <w:rPr>
          <w:rStyle w:val="SingleTxt"/>
          <w:rFonts w:cs="SimSun"/>
        </w:rPr>
        <w:t>2014</w:t>
      </w:r>
      <w:r w:rsidRPr="00E923BE">
        <w:rPr>
          <w:rStyle w:val="SingleTxt"/>
          <w:rFonts w:cs="SimSun"/>
        </w:rPr>
        <w:t>年期间为</w:t>
      </w:r>
      <w:r w:rsidRPr="00E923BE">
        <w:rPr>
          <w:rStyle w:val="SingleTxt"/>
          <w:rFonts w:cs="SimSun"/>
        </w:rPr>
        <w:t>36.58%</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113.</w:t>
      </w:r>
      <w:r w:rsidRPr="00E923BE">
        <w:rPr>
          <w:rStyle w:val="SingleTxt"/>
          <w:rFonts w:cs="SimSun"/>
        </w:rPr>
        <w:tab/>
      </w:r>
      <w:r w:rsidRPr="00E923BE">
        <w:rPr>
          <w:rStyle w:val="SingleTxt"/>
          <w:rFonts w:cs="SimSun"/>
        </w:rPr>
        <w:t>初等教育涵盖</w:t>
      </w:r>
      <w:r w:rsidRPr="00E923BE">
        <w:rPr>
          <w:rStyle w:val="SingleTxt"/>
          <w:rFonts w:cs="SimSun"/>
        </w:rPr>
        <w:t>6</w:t>
      </w:r>
      <w:r w:rsidRPr="00E923BE">
        <w:rPr>
          <w:rStyle w:val="SingleTxt"/>
          <w:rFonts w:cs="SimSun"/>
        </w:rPr>
        <w:t>至</w:t>
      </w:r>
      <w:r w:rsidRPr="00E923BE">
        <w:rPr>
          <w:rStyle w:val="SingleTxt"/>
          <w:rFonts w:cs="SimSun"/>
        </w:rPr>
        <w:t>13</w:t>
      </w:r>
      <w:r w:rsidRPr="00E923BE">
        <w:rPr>
          <w:rStyle w:val="SingleTxt"/>
          <w:rFonts w:cs="SimSun"/>
        </w:rPr>
        <w:t>岁的儿童，义务小学为</w:t>
      </w:r>
      <w:r w:rsidRPr="00E923BE">
        <w:rPr>
          <w:rStyle w:val="SingleTxt"/>
          <w:rFonts w:cs="SimSun"/>
        </w:rPr>
        <w:t>4</w:t>
      </w:r>
      <w:r w:rsidRPr="00E923BE">
        <w:rPr>
          <w:rStyle w:val="SingleTxt"/>
          <w:rFonts w:cs="SimSun"/>
        </w:rPr>
        <w:t>年制，义务中学也为</w:t>
      </w:r>
      <w:r w:rsidRPr="00E923BE">
        <w:rPr>
          <w:rStyle w:val="SingleTxt"/>
          <w:rFonts w:cs="SimSun"/>
        </w:rPr>
        <w:t>4</w:t>
      </w:r>
      <w:r w:rsidRPr="00E923BE">
        <w:rPr>
          <w:rStyle w:val="SingleTxt"/>
          <w:rFonts w:cs="SimSun"/>
        </w:rPr>
        <w:t>年制。在过去</w:t>
      </w:r>
      <w:r w:rsidRPr="00E923BE">
        <w:rPr>
          <w:rStyle w:val="SingleTxt"/>
          <w:rFonts w:cs="SimSun"/>
        </w:rPr>
        <w:t>5</w:t>
      </w:r>
      <w:r w:rsidRPr="00E923BE">
        <w:rPr>
          <w:rStyle w:val="SingleTxt"/>
          <w:rFonts w:cs="SimSun"/>
        </w:rPr>
        <w:t>年，女孩和男孩的小学入学率持续提高。在</w:t>
      </w:r>
      <w:r w:rsidRPr="00E923BE">
        <w:rPr>
          <w:rStyle w:val="SingleTxt"/>
          <w:rFonts w:cs="SimSun"/>
        </w:rPr>
        <w:t>2008-2009</w:t>
      </w:r>
      <w:r w:rsidRPr="00E923BE">
        <w:rPr>
          <w:rStyle w:val="SingleTxt"/>
          <w:rFonts w:cs="SimSun"/>
        </w:rPr>
        <w:t>学年，初等教育的净入学率为</w:t>
      </w:r>
      <w:r w:rsidRPr="00E923BE">
        <w:rPr>
          <w:rStyle w:val="SingleTxt"/>
          <w:rFonts w:cs="SimSun"/>
        </w:rPr>
        <w:t>96.49%</w:t>
      </w:r>
      <w:r w:rsidRPr="00E923BE">
        <w:rPr>
          <w:rStyle w:val="SingleTxt"/>
          <w:rFonts w:cs="SimSun"/>
        </w:rPr>
        <w:t>，而男孩和女孩的入学率分别为</w:t>
      </w:r>
      <w:r w:rsidRPr="00E923BE">
        <w:rPr>
          <w:rStyle w:val="SingleTxt"/>
          <w:rFonts w:cs="SimSun"/>
        </w:rPr>
        <w:t>96.99%</w:t>
      </w:r>
      <w:r w:rsidRPr="00E923BE">
        <w:rPr>
          <w:rStyle w:val="SingleTxt"/>
          <w:rFonts w:cs="SimSun"/>
        </w:rPr>
        <w:t>和</w:t>
      </w:r>
      <w:r w:rsidRPr="00E923BE">
        <w:rPr>
          <w:rStyle w:val="SingleTxt"/>
          <w:rFonts w:cs="SimSun"/>
        </w:rPr>
        <w:t>95.97%</w:t>
      </w:r>
      <w:r w:rsidRPr="00E923BE">
        <w:rPr>
          <w:rStyle w:val="SingleTxt"/>
          <w:rFonts w:cs="SimSun"/>
        </w:rPr>
        <w:t>。在</w:t>
      </w:r>
      <w:r w:rsidRPr="00E923BE">
        <w:rPr>
          <w:rStyle w:val="SingleTxt"/>
          <w:rFonts w:cs="SimSun"/>
        </w:rPr>
        <w:t>2013-2014</w:t>
      </w:r>
      <w:r w:rsidRPr="00E923BE">
        <w:rPr>
          <w:rStyle w:val="SingleTxt"/>
          <w:rFonts w:cs="SimSun"/>
        </w:rPr>
        <w:t>学年，初等教育的净入学率为</w:t>
      </w:r>
      <w:r w:rsidRPr="00E923BE">
        <w:rPr>
          <w:rStyle w:val="SingleTxt"/>
          <w:rFonts w:cs="SimSun"/>
        </w:rPr>
        <w:t>99.57%</w:t>
      </w:r>
      <w:r w:rsidRPr="00E923BE">
        <w:rPr>
          <w:rStyle w:val="SingleTxt"/>
          <w:rFonts w:cs="SimSun"/>
        </w:rPr>
        <w:t>，而男孩和女孩的入学率分别为</w:t>
      </w:r>
      <w:r w:rsidRPr="00E923BE">
        <w:rPr>
          <w:rStyle w:val="SingleTxt"/>
          <w:rFonts w:cs="SimSun"/>
        </w:rPr>
        <w:t>99.53%</w:t>
      </w:r>
      <w:r w:rsidRPr="00E923BE">
        <w:rPr>
          <w:rStyle w:val="SingleTxt"/>
          <w:rFonts w:cs="SimSun"/>
        </w:rPr>
        <w:t>和</w:t>
      </w:r>
      <w:r w:rsidRPr="00E923BE">
        <w:rPr>
          <w:rStyle w:val="SingleTxt"/>
          <w:rFonts w:cs="SimSun"/>
        </w:rPr>
        <w:t>99.61%</w:t>
      </w:r>
      <w:r w:rsidRPr="00E923BE">
        <w:rPr>
          <w:rStyle w:val="SingleTxt"/>
          <w:rFonts w:cs="SimSun"/>
        </w:rPr>
        <w:t>。中等教育的净入学率为</w:t>
      </w:r>
      <w:r w:rsidRPr="00E923BE">
        <w:rPr>
          <w:rStyle w:val="SingleTxt"/>
          <w:rFonts w:cs="SimSun"/>
        </w:rPr>
        <w:t>94.52%</w:t>
      </w:r>
      <w:r w:rsidRPr="00E923BE">
        <w:rPr>
          <w:rStyle w:val="SingleTxt"/>
          <w:rFonts w:cs="SimSun"/>
        </w:rPr>
        <w:t>，而男孩和女孩的入学率分别为</w:t>
      </w:r>
      <w:r w:rsidRPr="00E923BE">
        <w:rPr>
          <w:rStyle w:val="SingleTxt"/>
          <w:rFonts w:cs="SimSun"/>
        </w:rPr>
        <w:t>94.57%</w:t>
      </w:r>
      <w:r w:rsidRPr="00E923BE">
        <w:rPr>
          <w:rStyle w:val="SingleTxt"/>
          <w:rFonts w:cs="SimSun"/>
        </w:rPr>
        <w:t>和</w:t>
      </w:r>
      <w:r w:rsidRPr="00E923BE">
        <w:rPr>
          <w:rStyle w:val="SingleTxt"/>
          <w:rFonts w:cs="SimSun"/>
        </w:rPr>
        <w:t>94.47%</w:t>
      </w:r>
      <w:r w:rsidRPr="00E923BE">
        <w:rPr>
          <w:rStyle w:val="SingleTxt"/>
          <w:rFonts w:cs="SimSun"/>
        </w:rPr>
        <w:t>。初等教育的性别人口比例在过去十年内提高了</w:t>
      </w:r>
      <w:r w:rsidRPr="00E923BE">
        <w:rPr>
          <w:rStyle w:val="SingleTxt"/>
          <w:rFonts w:cs="SimSun"/>
        </w:rPr>
        <w:t>10%</w:t>
      </w:r>
      <w:r w:rsidRPr="00E923BE">
        <w:rPr>
          <w:rStyle w:val="SingleTxt"/>
          <w:rFonts w:cs="SimSun"/>
        </w:rPr>
        <w:t>，在初等教育阶段达到</w:t>
      </w:r>
      <w:r w:rsidRPr="00E923BE">
        <w:rPr>
          <w:rStyle w:val="SingleTxt"/>
          <w:rFonts w:cs="SimSun"/>
        </w:rPr>
        <w:t>100.82</w:t>
      </w:r>
      <w:r w:rsidRPr="00E923BE">
        <w:rPr>
          <w:rStyle w:val="SingleTxt"/>
          <w:rFonts w:cs="SimSun"/>
        </w:rPr>
        <w:t>，在中等教育阶段达到</w:t>
      </w:r>
      <w:r w:rsidRPr="00E923BE">
        <w:rPr>
          <w:rStyle w:val="SingleTxt"/>
          <w:rFonts w:cs="SimSun"/>
        </w:rPr>
        <w:t>103.69</w:t>
      </w:r>
      <w:r w:rsidRPr="00E923BE">
        <w:rPr>
          <w:rStyle w:val="SingleTxt"/>
          <w:rFonts w:cs="SimSun"/>
        </w:rPr>
        <w:t>（见附件表</w:t>
      </w:r>
      <w:r w:rsidRPr="00E923BE">
        <w:rPr>
          <w:rStyle w:val="SingleTxt"/>
          <w:rFonts w:cs="SimSun"/>
        </w:rPr>
        <w:t>15</w:t>
      </w:r>
      <w:r w:rsidRPr="00E923BE">
        <w:rPr>
          <w:rStyle w:val="SingleTxt"/>
          <w:rFonts w:cs="SimSun"/>
        </w:rPr>
        <w:t>和表</w:t>
      </w:r>
      <w:r w:rsidRPr="00E923BE">
        <w:rPr>
          <w:rStyle w:val="SingleTxt"/>
          <w:rFonts w:cs="SimSun"/>
        </w:rPr>
        <w:t>16</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114.</w:t>
      </w:r>
      <w:r w:rsidRPr="00E923BE">
        <w:rPr>
          <w:rStyle w:val="SingleTxt"/>
          <w:rFonts w:cs="SimSun"/>
        </w:rPr>
        <w:tab/>
      </w:r>
      <w:r w:rsidRPr="00E923BE">
        <w:rPr>
          <w:rStyle w:val="SingleTxt"/>
          <w:rFonts w:cs="SimSun"/>
        </w:rPr>
        <w:t>中等教育涵盖所有在</w:t>
      </w:r>
      <w:r w:rsidRPr="00E923BE">
        <w:rPr>
          <w:rStyle w:val="SingleTxt"/>
          <w:rFonts w:cs="SimSun"/>
        </w:rPr>
        <w:t>4</w:t>
      </w:r>
      <w:r w:rsidRPr="00E923BE">
        <w:rPr>
          <w:rStyle w:val="SingleTxt"/>
          <w:rFonts w:cs="SimSun"/>
        </w:rPr>
        <w:t>年初等教育基础上提供正规或非正规教育的普通、职业和技术教育机构。女孩和男孩的中学入学率在过去</w:t>
      </w:r>
      <w:r w:rsidRPr="00E923BE">
        <w:rPr>
          <w:rStyle w:val="SingleTxt"/>
          <w:rFonts w:cs="SimSun"/>
        </w:rPr>
        <w:t>5</w:t>
      </w:r>
      <w:r w:rsidRPr="00E923BE">
        <w:rPr>
          <w:rStyle w:val="SingleTxt"/>
          <w:rFonts w:cs="SimSun"/>
        </w:rPr>
        <w:t>年持续提高。在</w:t>
      </w:r>
      <w:r w:rsidRPr="00E923BE">
        <w:rPr>
          <w:rStyle w:val="SingleTxt"/>
          <w:rFonts w:cs="SimSun"/>
        </w:rPr>
        <w:t>2008-2009</w:t>
      </w:r>
      <w:r w:rsidRPr="00E923BE">
        <w:rPr>
          <w:rStyle w:val="SingleTxt"/>
          <w:rFonts w:cs="SimSun"/>
        </w:rPr>
        <w:t>学年，中等教育的净入学率为</w:t>
      </w:r>
      <w:r w:rsidRPr="00E923BE">
        <w:rPr>
          <w:rStyle w:val="SingleTxt"/>
          <w:rFonts w:cs="SimSun"/>
        </w:rPr>
        <w:t>58.52%</w:t>
      </w:r>
      <w:r w:rsidRPr="00E923BE">
        <w:rPr>
          <w:rStyle w:val="SingleTxt"/>
          <w:rFonts w:cs="SimSun"/>
        </w:rPr>
        <w:t>，而女孩和男孩的入学率分别为</w:t>
      </w:r>
      <w:r w:rsidRPr="00E923BE">
        <w:rPr>
          <w:rStyle w:val="SingleTxt"/>
          <w:rFonts w:cs="SimSun"/>
        </w:rPr>
        <w:t>56.30%</w:t>
      </w:r>
      <w:r w:rsidRPr="00E923BE">
        <w:rPr>
          <w:rStyle w:val="SingleTxt"/>
          <w:rFonts w:cs="SimSun"/>
        </w:rPr>
        <w:t>和</w:t>
      </w:r>
      <w:r w:rsidRPr="00E923BE">
        <w:rPr>
          <w:rStyle w:val="SingleTxt"/>
          <w:rFonts w:cs="SimSun"/>
        </w:rPr>
        <w:t>60.63%</w:t>
      </w:r>
      <w:r w:rsidRPr="00E923BE">
        <w:rPr>
          <w:rStyle w:val="SingleTxt"/>
          <w:rFonts w:cs="SimSun"/>
        </w:rPr>
        <w:t>。在</w:t>
      </w:r>
      <w:r w:rsidRPr="00E923BE">
        <w:rPr>
          <w:rStyle w:val="SingleTxt"/>
          <w:rFonts w:cs="SimSun"/>
        </w:rPr>
        <w:t>2013-2014</w:t>
      </w:r>
      <w:r w:rsidRPr="00E923BE">
        <w:rPr>
          <w:rStyle w:val="SingleTxt"/>
          <w:rFonts w:cs="SimSun"/>
        </w:rPr>
        <w:t>学年，这些比例分别为</w:t>
      </w:r>
      <w:r w:rsidRPr="00E923BE">
        <w:rPr>
          <w:rStyle w:val="SingleTxt"/>
          <w:rFonts w:cs="SimSun"/>
        </w:rPr>
        <w:t>76.65%</w:t>
      </w:r>
      <w:r w:rsidRPr="00E923BE">
        <w:rPr>
          <w:rStyle w:val="SingleTxt"/>
          <w:rFonts w:cs="SimSun"/>
        </w:rPr>
        <w:t>、</w:t>
      </w:r>
      <w:r w:rsidRPr="00E923BE">
        <w:rPr>
          <w:rStyle w:val="SingleTxt"/>
          <w:rFonts w:cs="SimSun"/>
        </w:rPr>
        <w:t>77.22%</w:t>
      </w:r>
      <w:r w:rsidRPr="00E923BE">
        <w:rPr>
          <w:rStyle w:val="SingleTxt"/>
          <w:rFonts w:cs="SimSun"/>
        </w:rPr>
        <w:t>和</w:t>
      </w:r>
      <w:r w:rsidRPr="00E923BE">
        <w:rPr>
          <w:rStyle w:val="SingleTxt"/>
          <w:rFonts w:cs="SimSun"/>
        </w:rPr>
        <w:t>76.05%</w:t>
      </w:r>
      <w:r w:rsidRPr="00E923BE">
        <w:rPr>
          <w:rStyle w:val="SingleTxt"/>
          <w:rFonts w:cs="SimSun"/>
        </w:rPr>
        <w:t>（见附件表</w:t>
      </w:r>
      <w:r w:rsidRPr="00E923BE">
        <w:rPr>
          <w:rStyle w:val="SingleTxt"/>
          <w:rFonts w:cs="SimSun"/>
        </w:rPr>
        <w:t>15</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115.</w:t>
      </w:r>
      <w:r w:rsidRPr="00E923BE">
        <w:rPr>
          <w:rStyle w:val="SingleTxt"/>
          <w:rFonts w:cs="SimSun"/>
        </w:rPr>
        <w:tab/>
      </w:r>
      <w:r w:rsidRPr="00E923BE">
        <w:rPr>
          <w:rStyle w:val="SingleTxt"/>
          <w:rFonts w:cs="SimSun"/>
        </w:rPr>
        <w:t>在</w:t>
      </w:r>
      <w:r w:rsidRPr="00E923BE">
        <w:rPr>
          <w:rStyle w:val="SingleTxt"/>
          <w:rFonts w:cs="SimSun"/>
        </w:rPr>
        <w:t>2013-2014</w:t>
      </w:r>
      <w:r w:rsidRPr="00E923BE">
        <w:rPr>
          <w:rStyle w:val="SingleTxt"/>
          <w:rFonts w:cs="SimSun"/>
        </w:rPr>
        <w:t>学年，在参加官方正规普通中等教育方案的学生中，有</w:t>
      </w:r>
      <w:r w:rsidRPr="00E923BE">
        <w:rPr>
          <w:rStyle w:val="SingleTxt"/>
          <w:rFonts w:cs="SimSun"/>
        </w:rPr>
        <w:t>52.63%</w:t>
      </w:r>
      <w:r w:rsidRPr="00E923BE">
        <w:rPr>
          <w:rStyle w:val="SingleTxt"/>
          <w:rFonts w:cs="SimSun"/>
        </w:rPr>
        <w:t>为女孩。在为劳动力市场培养中层人员而设的职业和技术学校的学生中，有</w:t>
      </w:r>
      <w:r w:rsidRPr="00E923BE">
        <w:rPr>
          <w:rStyle w:val="SingleTxt"/>
          <w:rFonts w:cs="SimSun"/>
        </w:rPr>
        <w:t>45.5%</w:t>
      </w:r>
      <w:r w:rsidRPr="00E923BE">
        <w:rPr>
          <w:rStyle w:val="SingleTxt"/>
          <w:rFonts w:cs="SimSun"/>
        </w:rPr>
        <w:t>为女孩。从初等教育过渡到中等教育的女孩升学率在</w:t>
      </w:r>
      <w:r w:rsidRPr="00E923BE">
        <w:rPr>
          <w:rStyle w:val="SingleTxt"/>
          <w:rFonts w:cs="SimSun"/>
        </w:rPr>
        <w:t>2008-2009</w:t>
      </w:r>
      <w:r w:rsidRPr="00E923BE">
        <w:rPr>
          <w:rStyle w:val="SingleTxt"/>
          <w:rFonts w:cs="SimSun"/>
        </w:rPr>
        <w:t>学年为</w:t>
      </w:r>
      <w:r w:rsidRPr="00E923BE">
        <w:rPr>
          <w:rStyle w:val="SingleTxt"/>
          <w:rFonts w:cs="SimSun"/>
        </w:rPr>
        <w:t>85.2%</w:t>
      </w:r>
      <w:r w:rsidRPr="00E923BE">
        <w:rPr>
          <w:rStyle w:val="SingleTxt"/>
          <w:rFonts w:cs="SimSun"/>
        </w:rPr>
        <w:t>，在</w:t>
      </w:r>
      <w:r w:rsidRPr="00E923BE">
        <w:rPr>
          <w:rStyle w:val="SingleTxt"/>
          <w:rFonts w:cs="SimSun"/>
        </w:rPr>
        <w:t>2013-2014</w:t>
      </w:r>
      <w:r w:rsidRPr="00E923BE">
        <w:rPr>
          <w:rStyle w:val="SingleTxt"/>
          <w:rFonts w:cs="SimSun"/>
        </w:rPr>
        <w:t>学年上升到</w:t>
      </w:r>
      <w:r w:rsidRPr="00E923BE">
        <w:rPr>
          <w:rStyle w:val="SingleTxt"/>
          <w:rFonts w:cs="SimSun"/>
        </w:rPr>
        <w:t>93%</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116.</w:t>
      </w:r>
      <w:r w:rsidRPr="00E923BE">
        <w:rPr>
          <w:rStyle w:val="SingleTxt"/>
          <w:rFonts w:cs="SimSun"/>
        </w:rPr>
        <w:tab/>
      </w:r>
      <w:r w:rsidRPr="00E923BE">
        <w:rPr>
          <w:rStyle w:val="SingleTxt"/>
          <w:rFonts w:cs="SimSun"/>
        </w:rPr>
        <w:t>高等教育涵盖所有在至少</w:t>
      </w:r>
      <w:r w:rsidRPr="00E923BE">
        <w:rPr>
          <w:rStyle w:val="SingleTxt"/>
          <w:rFonts w:cs="SimSun"/>
        </w:rPr>
        <w:t>2</w:t>
      </w:r>
      <w:r w:rsidRPr="00E923BE">
        <w:rPr>
          <w:rStyle w:val="SingleTxt"/>
          <w:rFonts w:cs="SimSun"/>
        </w:rPr>
        <w:t>年中等</w:t>
      </w:r>
      <w:r w:rsidRPr="00E923BE">
        <w:rPr>
          <w:rStyle w:val="SingleTxt"/>
          <w:rFonts w:cs="SimSun"/>
          <w:spacing w:val="2"/>
        </w:rPr>
        <w:t>教育基础上提供教育的机构。</w:t>
      </w:r>
      <w:r w:rsidRPr="00E923BE">
        <w:rPr>
          <w:rStyle w:val="SingleTxt"/>
          <w:rFonts w:cs="SimSun"/>
        </w:rPr>
        <w:t>在土耳其接受高等教育的学生中，</w:t>
      </w:r>
      <w:r w:rsidRPr="00E923BE">
        <w:rPr>
          <w:rStyle w:val="SingleTxt"/>
          <w:rFonts w:cs="SimSun"/>
          <w:spacing w:val="2"/>
        </w:rPr>
        <w:t>有</w:t>
      </w:r>
      <w:r w:rsidRPr="00E923BE">
        <w:rPr>
          <w:rStyle w:val="SingleTxt"/>
          <w:rFonts w:cs="SimSun"/>
          <w:spacing w:val="2"/>
        </w:rPr>
        <w:t>45.83%</w:t>
      </w:r>
      <w:r w:rsidRPr="00E923BE">
        <w:rPr>
          <w:rStyle w:val="SingleTxt"/>
          <w:rFonts w:cs="SimSun"/>
          <w:spacing w:val="2"/>
        </w:rPr>
        <w:t>为妇女。</w:t>
      </w:r>
      <w:r w:rsidRPr="00E923BE">
        <w:rPr>
          <w:rStyle w:val="SingleTxt"/>
          <w:rFonts w:cs="SimSun"/>
        </w:rPr>
        <w:t>土耳其审查了学校入学率，其中</w:t>
      </w:r>
      <w:r w:rsidRPr="00E923BE">
        <w:rPr>
          <w:rStyle w:val="SingleTxt"/>
          <w:rFonts w:cs="SimSun"/>
        </w:rPr>
        <w:t>2008-2009</w:t>
      </w:r>
      <w:r w:rsidRPr="00E923BE">
        <w:rPr>
          <w:rStyle w:val="SingleTxt"/>
          <w:rFonts w:cs="SimSun"/>
        </w:rPr>
        <w:t>学年的高等教育入学率总体为</w:t>
      </w:r>
      <w:r w:rsidRPr="00E923BE">
        <w:rPr>
          <w:rStyle w:val="SingleTxt"/>
          <w:rFonts w:cs="SimSun"/>
        </w:rPr>
        <w:t>27.69%</w:t>
      </w:r>
      <w:r w:rsidRPr="00E923BE">
        <w:rPr>
          <w:rStyle w:val="SingleTxt"/>
          <w:rFonts w:cs="SimSun"/>
        </w:rPr>
        <w:t>，</w:t>
      </w:r>
      <w:r w:rsidRPr="00E923BE">
        <w:rPr>
          <w:rStyle w:val="SingleTxt"/>
          <w:rFonts w:cs="SimSun"/>
        </w:rPr>
        <w:t>2012-2013</w:t>
      </w:r>
      <w:r w:rsidRPr="00E923BE">
        <w:rPr>
          <w:rStyle w:val="SingleTxt"/>
          <w:rFonts w:cs="SimSun"/>
        </w:rPr>
        <w:t>学年增加到</w:t>
      </w:r>
      <w:r w:rsidRPr="00E923BE">
        <w:rPr>
          <w:rStyle w:val="SingleTxt"/>
          <w:rFonts w:cs="SimSun"/>
        </w:rPr>
        <w:t>38.50%</w:t>
      </w:r>
      <w:r w:rsidRPr="00E923BE">
        <w:rPr>
          <w:rStyle w:val="SingleTxt"/>
          <w:rFonts w:cs="SimSun"/>
        </w:rPr>
        <w:t>。妇女的高等教育入学率从</w:t>
      </w:r>
      <w:r w:rsidRPr="00E923BE">
        <w:rPr>
          <w:rStyle w:val="SingleTxt"/>
          <w:rFonts w:cs="SimSun"/>
        </w:rPr>
        <w:t>25.92%</w:t>
      </w:r>
      <w:r w:rsidRPr="00E923BE">
        <w:rPr>
          <w:rStyle w:val="SingleTxt"/>
          <w:rFonts w:cs="SimSun"/>
        </w:rPr>
        <w:t>增加到</w:t>
      </w:r>
      <w:r w:rsidRPr="00E923BE">
        <w:rPr>
          <w:rStyle w:val="SingleTxt"/>
          <w:rFonts w:cs="SimSun"/>
        </w:rPr>
        <w:t>38.61%</w:t>
      </w:r>
      <w:r w:rsidRPr="00E923BE">
        <w:rPr>
          <w:rStyle w:val="SingleTxt"/>
          <w:rFonts w:cs="SimSun"/>
        </w:rPr>
        <w:t>（见附件表</w:t>
      </w:r>
      <w:r w:rsidRPr="00E923BE">
        <w:rPr>
          <w:rStyle w:val="SingleTxt"/>
          <w:rFonts w:cs="SimSun"/>
        </w:rPr>
        <w:t>15</w:t>
      </w:r>
      <w:r w:rsidRPr="00E923BE">
        <w:rPr>
          <w:rStyle w:val="SingleTxt"/>
          <w:rFonts w:cs="SimSun"/>
        </w:rPr>
        <w:t>）。在</w:t>
      </w:r>
      <w:r w:rsidRPr="00E923BE">
        <w:rPr>
          <w:rStyle w:val="SingleTxt"/>
          <w:rFonts w:cs="SimSun"/>
        </w:rPr>
        <w:t>2013-2014</w:t>
      </w:r>
      <w:r w:rsidRPr="00E923BE">
        <w:rPr>
          <w:rStyle w:val="SingleTxt"/>
          <w:rFonts w:cs="SimSun"/>
        </w:rPr>
        <w:t>学年，妇女占毕业生人数的</w:t>
      </w:r>
      <w:r w:rsidRPr="00E923BE">
        <w:rPr>
          <w:rStyle w:val="SingleTxt"/>
          <w:rFonts w:cs="SimSun"/>
        </w:rPr>
        <w:t>41.89%</w:t>
      </w:r>
      <w:r w:rsidRPr="00E923BE">
        <w:rPr>
          <w:rStyle w:val="SingleTxt"/>
          <w:rFonts w:cs="SimSun"/>
        </w:rPr>
        <w:t>，占博士学生人数的</w:t>
      </w:r>
      <w:r w:rsidRPr="00E923BE">
        <w:rPr>
          <w:rStyle w:val="SingleTxt"/>
          <w:rFonts w:cs="SimSun"/>
        </w:rPr>
        <w:t>43%</w:t>
      </w:r>
      <w:r w:rsidRPr="00E923BE">
        <w:rPr>
          <w:rStyle w:val="SingleTxt"/>
          <w:rFonts w:cs="SimSun"/>
        </w:rPr>
        <w:t>（土耳其高等教育委员会，</w:t>
      </w:r>
      <w:r w:rsidRPr="00E923BE">
        <w:rPr>
          <w:rStyle w:val="SingleTxt"/>
          <w:rFonts w:cs="SimSun"/>
        </w:rPr>
        <w:t>2004</w:t>
      </w:r>
      <w:r w:rsidRPr="00E923BE">
        <w:rPr>
          <w:rStyle w:val="SingleTxt"/>
          <w:rFonts w:cs="SimSun"/>
        </w:rPr>
        <w:t>年）。</w:t>
      </w:r>
    </w:p>
    <w:p w:rsidR="005C05C5" w:rsidRPr="00E923BE" w:rsidRDefault="005C05C5" w:rsidP="005C05C5">
      <w:pPr>
        <w:pStyle w:val="SingleTxt"/>
        <w:spacing w:after="120"/>
        <w:ind w:left="1134" w:right="1134"/>
      </w:pPr>
      <w:r w:rsidRPr="00E923BE">
        <w:rPr>
          <w:rStyle w:val="SingleTxt"/>
          <w:rFonts w:cs="SimSun"/>
        </w:rPr>
        <w:t>117.</w:t>
      </w:r>
      <w:r w:rsidRPr="00E923BE">
        <w:rPr>
          <w:rStyle w:val="SingleTxt"/>
          <w:rFonts w:cs="SimSun"/>
        </w:rPr>
        <w:tab/>
      </w:r>
      <w:r w:rsidRPr="00E923BE">
        <w:rPr>
          <w:rStyle w:val="SingleTxt"/>
          <w:rFonts w:cs="SimSun"/>
        </w:rPr>
        <w:t>根据</w:t>
      </w:r>
      <w:r w:rsidRPr="00E923BE">
        <w:rPr>
          <w:rStyle w:val="SingleTxt"/>
          <w:rFonts w:cs="SimSun"/>
        </w:rPr>
        <w:t>2013-2014</w:t>
      </w:r>
      <w:r w:rsidRPr="00E923BE">
        <w:rPr>
          <w:rStyle w:val="SingleTxt"/>
          <w:rFonts w:cs="SimSun"/>
        </w:rPr>
        <w:t>学年的数据，为正规教育外任何年龄人士而设的开放式中学的学生中，妇女占</w:t>
      </w:r>
      <w:r w:rsidRPr="00E923BE">
        <w:rPr>
          <w:rStyle w:val="SingleTxt"/>
          <w:rFonts w:cs="SimSun"/>
        </w:rPr>
        <w:t>63.4%</w:t>
      </w:r>
      <w:r w:rsidRPr="00E923BE">
        <w:rPr>
          <w:rStyle w:val="SingleTxt"/>
          <w:rFonts w:cs="SimSun"/>
        </w:rPr>
        <w:t>；继续入读开放式高中的妇女比例为</w:t>
      </w:r>
      <w:r w:rsidRPr="00E923BE">
        <w:rPr>
          <w:rStyle w:val="SingleTxt"/>
          <w:rFonts w:cs="SimSun"/>
        </w:rPr>
        <w:t>44.8%</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118.</w:t>
      </w:r>
      <w:r w:rsidRPr="00E923BE">
        <w:rPr>
          <w:rStyle w:val="SingleTxt"/>
          <w:rFonts w:cs="SimSun"/>
        </w:rPr>
        <w:tab/>
      </w:r>
      <w:r w:rsidRPr="00E923BE">
        <w:rPr>
          <w:rStyle w:val="SingleTxt"/>
          <w:rFonts w:cs="SimSun"/>
        </w:rPr>
        <w:t>土耳其仍在与国际组织、私营部门和非政府组织的合作开展相关运动和项目，以减少女孩辍学率。在</w:t>
      </w:r>
      <w:r w:rsidRPr="00E923BE">
        <w:rPr>
          <w:rStyle w:val="SingleTxt"/>
          <w:rFonts w:cs="SimSun"/>
        </w:rPr>
        <w:t>2011</w:t>
      </w:r>
      <w:r w:rsidRPr="00E923BE">
        <w:rPr>
          <w:rStyle w:val="SingleTxt"/>
          <w:rFonts w:cs="SimSun"/>
        </w:rPr>
        <w:t>年</w:t>
      </w:r>
      <w:r w:rsidRPr="00E923BE">
        <w:rPr>
          <w:rStyle w:val="SingleTxt"/>
          <w:rFonts w:cs="SimSun"/>
        </w:rPr>
        <w:t>1</w:t>
      </w:r>
      <w:r w:rsidRPr="00E923BE">
        <w:rPr>
          <w:rStyle w:val="SingleTxt"/>
          <w:rFonts w:cs="SimSun"/>
        </w:rPr>
        <w:t>月</w:t>
      </w:r>
      <w:r w:rsidRPr="00E923BE">
        <w:rPr>
          <w:rStyle w:val="SingleTxt"/>
          <w:rFonts w:cs="SimSun"/>
        </w:rPr>
        <w:t>13</w:t>
      </w:r>
      <w:r w:rsidRPr="00E923BE">
        <w:rPr>
          <w:rStyle w:val="SingleTxt"/>
          <w:rFonts w:cs="SimSun"/>
        </w:rPr>
        <w:t>日，国家教育部、总理府、家庭和社会政策部、劳动和社会保障部、司法部、内务部、外交部和卫生部共同签署了一份</w:t>
      </w:r>
      <w:r w:rsidRPr="00E923BE">
        <w:rPr>
          <w:rStyle w:val="SingleTxt"/>
          <w:rFonts w:cs="SimSun" w:hint="eastAsia"/>
          <w:cs/>
        </w:rPr>
        <w:t>《</w:t>
      </w:r>
      <w:r w:rsidRPr="00E923BE">
        <w:rPr>
          <w:rStyle w:val="SingleTxt"/>
          <w:rFonts w:cs="SimSun"/>
        </w:rPr>
        <w:t>享有初等教育和监督教育继续性合作议定书</w:t>
      </w:r>
      <w:r w:rsidRPr="00E923BE">
        <w:rPr>
          <w:rStyle w:val="SingleTxt"/>
          <w:rFonts w:cs="SimSun" w:hint="eastAsia"/>
          <w:cs/>
        </w:rPr>
        <w:t>》</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119.</w:t>
      </w:r>
      <w:r w:rsidRPr="00E923BE">
        <w:rPr>
          <w:rStyle w:val="SingleTxt"/>
          <w:rFonts w:cs="SimSun"/>
        </w:rPr>
        <w:tab/>
      </w:r>
      <w:r w:rsidRPr="00E923BE">
        <w:rPr>
          <w:rStyle w:val="SingleTxt"/>
          <w:rFonts w:cs="SimSun"/>
        </w:rPr>
        <w:t>开展</w:t>
      </w:r>
      <w:r w:rsidRPr="00E923BE">
        <w:rPr>
          <w:rStyle w:val="SingleTxt"/>
          <w:rFonts w:cs="SimSun"/>
          <w:cs/>
        </w:rPr>
        <w:t>“</w:t>
      </w:r>
      <w:r w:rsidRPr="00E923BE">
        <w:rPr>
          <w:rStyle w:val="SingleTxt"/>
          <w:rFonts w:cs="SimSun"/>
        </w:rPr>
        <w:t>跟上进度教育方案</w:t>
      </w:r>
      <w:r w:rsidRPr="00E923BE">
        <w:rPr>
          <w:rStyle w:val="SingleTxt"/>
          <w:rFonts w:cs="SimSun"/>
          <w:cs/>
        </w:rPr>
        <w:t>”</w:t>
      </w:r>
      <w:r w:rsidRPr="00E923BE">
        <w:rPr>
          <w:rStyle w:val="SingleTxt"/>
          <w:rFonts w:cs="SimSun"/>
        </w:rPr>
        <w:t>的目的是确保以下</w:t>
      </w:r>
      <w:r w:rsidRPr="00E923BE">
        <w:rPr>
          <w:rStyle w:val="SingleTxt"/>
          <w:rFonts w:cs="SimSun"/>
        </w:rPr>
        <w:t>10</w:t>
      </w:r>
      <w:r w:rsidRPr="00E923BE">
        <w:rPr>
          <w:rStyle w:val="SingleTxt"/>
          <w:rFonts w:cs="SimSun"/>
        </w:rPr>
        <w:t>至</w:t>
      </w:r>
      <w:r w:rsidRPr="00E923BE">
        <w:rPr>
          <w:rStyle w:val="SingleTxt"/>
          <w:rFonts w:cs="SimSun"/>
        </w:rPr>
        <w:t>14</w:t>
      </w:r>
      <w:r w:rsidRPr="00E923BE">
        <w:rPr>
          <w:rStyle w:val="SingleTxt"/>
          <w:rFonts w:cs="SimSun"/>
        </w:rPr>
        <w:t>岁儿童能获得与同龄人一起上学所必须的资格并继续接受初等教育：达到义务教育学龄但由于各种原因未能跟上同龄人进度继续学习的；从未入学的；或身份长期不正常的。在</w:t>
      </w:r>
      <w:r w:rsidRPr="00E923BE">
        <w:rPr>
          <w:rStyle w:val="SingleTxt"/>
          <w:rFonts w:cs="SimSun"/>
        </w:rPr>
        <w:t>2008</w:t>
      </w:r>
      <w:r w:rsidRPr="00E923BE">
        <w:rPr>
          <w:rStyle w:val="SingleTxt"/>
          <w:rFonts w:cs="SimSun"/>
        </w:rPr>
        <w:t>年</w:t>
      </w:r>
      <w:r w:rsidRPr="00E923BE">
        <w:rPr>
          <w:rStyle w:val="SingleTxt"/>
          <w:rFonts w:cs="SimSun"/>
        </w:rPr>
        <w:t>9</w:t>
      </w:r>
      <w:r w:rsidRPr="00E923BE">
        <w:rPr>
          <w:rStyle w:val="SingleTxt"/>
          <w:rFonts w:cs="SimSun"/>
        </w:rPr>
        <w:t>月至</w:t>
      </w:r>
      <w:r w:rsidRPr="00E923BE">
        <w:rPr>
          <w:rStyle w:val="SingleTxt"/>
          <w:rFonts w:cs="SimSun"/>
        </w:rPr>
        <w:t>2010</w:t>
      </w:r>
      <w:r w:rsidRPr="00E923BE">
        <w:rPr>
          <w:rStyle w:val="SingleTxt"/>
          <w:rFonts w:cs="SimSun"/>
        </w:rPr>
        <w:t>年</w:t>
      </w:r>
      <w:r w:rsidRPr="00E923BE">
        <w:rPr>
          <w:rStyle w:val="SingleTxt"/>
          <w:rFonts w:cs="SimSun"/>
        </w:rPr>
        <w:t>4</w:t>
      </w:r>
      <w:r w:rsidRPr="00E923BE">
        <w:rPr>
          <w:rStyle w:val="SingleTxt"/>
          <w:rFonts w:cs="SimSun"/>
        </w:rPr>
        <w:t>月，这一方案所覆盖的学生中有</w:t>
      </w:r>
      <w:r w:rsidRPr="00E923BE">
        <w:rPr>
          <w:rStyle w:val="SingleTxt"/>
          <w:rFonts w:cs="SimSun"/>
        </w:rPr>
        <w:t>62%</w:t>
      </w:r>
      <w:r w:rsidRPr="00E923BE">
        <w:rPr>
          <w:rStyle w:val="SingleTxt"/>
          <w:rFonts w:cs="SimSun"/>
        </w:rPr>
        <w:t>为女孩。</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120.</w:t>
      </w:r>
      <w:r w:rsidRPr="00E923BE">
        <w:rPr>
          <w:rStyle w:val="SingleTxt"/>
          <w:rFonts w:cs="SimSun"/>
        </w:rPr>
        <w:tab/>
      </w:r>
      <w:r w:rsidRPr="00E923BE">
        <w:rPr>
          <w:rStyle w:val="SingleTxt"/>
          <w:rFonts w:cs="SimSun"/>
        </w:rPr>
        <w:t>土耳其在</w:t>
      </w:r>
      <w:r w:rsidRPr="00E923BE">
        <w:rPr>
          <w:rStyle w:val="SingleTxt"/>
          <w:rFonts w:cs="SimSun"/>
        </w:rPr>
        <w:t>2009</w:t>
      </w:r>
      <w:r w:rsidRPr="00E923BE">
        <w:rPr>
          <w:rStyle w:val="SingleTxt"/>
          <w:rFonts w:cs="SimSun"/>
        </w:rPr>
        <w:t>年开展了一项</w:t>
      </w:r>
      <w:r w:rsidRPr="00E923BE">
        <w:rPr>
          <w:rStyle w:val="SingleTxt"/>
          <w:rFonts w:cs="SimSun"/>
          <w:cs/>
        </w:rPr>
        <w:t>“</w:t>
      </w:r>
      <w:r w:rsidRPr="00E923BE">
        <w:rPr>
          <w:rStyle w:val="SingleTxt"/>
          <w:rFonts w:cs="SimSun"/>
        </w:rPr>
        <w:t>尤其提高女孩入学率</w:t>
      </w:r>
      <w:r w:rsidRPr="00E923BE">
        <w:rPr>
          <w:rStyle w:val="SingleTxt"/>
          <w:rFonts w:cs="SimSun"/>
          <w:cs/>
        </w:rPr>
        <w:t>”</w:t>
      </w:r>
      <w:r w:rsidRPr="00E923BE">
        <w:rPr>
          <w:rStyle w:val="SingleTxt"/>
          <w:rFonts w:cs="SimSun"/>
        </w:rPr>
        <w:t>的行动。该行动旨在提高女孩的入学率，尤其在中等和职业教育阶段，减少女孩辍学率，加强妇女和女孩的职业技能和能力以及提高家庭对教育重要性的认识，该行动已在</w:t>
      </w:r>
      <w:r w:rsidRPr="00E923BE">
        <w:rPr>
          <w:rStyle w:val="SingleTxt"/>
          <w:rFonts w:cs="SimSun"/>
        </w:rPr>
        <w:t>2011</w:t>
      </w:r>
      <w:r w:rsidRPr="00E923BE">
        <w:rPr>
          <w:rStyle w:val="SingleTxt"/>
          <w:rFonts w:cs="SimSun"/>
        </w:rPr>
        <w:t>年进入了第二阶段。第二阶段旨在改进职业和技术培训课程，并且建立一套更高效和有效的监督制度。</w:t>
      </w:r>
    </w:p>
    <w:p w:rsidR="005C05C5" w:rsidRPr="00E923BE" w:rsidRDefault="005C05C5" w:rsidP="005C05C5">
      <w:pPr>
        <w:pStyle w:val="SingleTxt"/>
        <w:spacing w:after="120"/>
        <w:ind w:left="1134" w:right="1134"/>
      </w:pPr>
      <w:r w:rsidRPr="00E923BE">
        <w:rPr>
          <w:rStyle w:val="SingleTxt"/>
          <w:rFonts w:cs="SimSun"/>
        </w:rPr>
        <w:t>121.</w:t>
      </w:r>
      <w:r w:rsidRPr="00E923BE">
        <w:rPr>
          <w:rStyle w:val="SingleTxt"/>
          <w:rFonts w:cs="SimSun"/>
        </w:rPr>
        <w:tab/>
      </w:r>
      <w:r w:rsidRPr="00E923BE">
        <w:rPr>
          <w:rStyle w:val="SingleTxt"/>
          <w:rFonts w:cs="SimSun"/>
        </w:rPr>
        <w:t>国家教育部在</w:t>
      </w:r>
      <w:r w:rsidRPr="00E923BE">
        <w:rPr>
          <w:rStyle w:val="SingleTxt"/>
          <w:rFonts w:cs="SimSun"/>
        </w:rPr>
        <w:t>2013</w:t>
      </w:r>
      <w:r w:rsidRPr="00E923BE">
        <w:rPr>
          <w:rStyle w:val="SingleTxt"/>
          <w:rFonts w:cs="SimSun"/>
        </w:rPr>
        <w:t>年开展了</w:t>
      </w:r>
      <w:r w:rsidRPr="00E923BE">
        <w:rPr>
          <w:rStyle w:val="SingleTxt"/>
          <w:rFonts w:cs="SimSun"/>
          <w:cs/>
        </w:rPr>
        <w:t>“</w:t>
      </w:r>
      <w:r w:rsidRPr="00E923BE">
        <w:rPr>
          <w:rStyle w:val="SingleTxt"/>
          <w:rFonts w:cs="SimSun"/>
        </w:rPr>
        <w:t>在教育领域促进性别平等项目</w:t>
      </w:r>
      <w:r w:rsidRPr="00E923BE">
        <w:rPr>
          <w:rStyle w:val="SingleTxt"/>
          <w:rFonts w:cs="SimSun"/>
          <w:cs/>
        </w:rPr>
        <w:t>”</w:t>
      </w:r>
      <w:r w:rsidRPr="00E923BE">
        <w:rPr>
          <w:rStyle w:val="SingleTxt"/>
          <w:rFonts w:cs="SimSun"/>
        </w:rPr>
        <w:t>。在该项目下，土耳其将制定并在</w:t>
      </w:r>
      <w:r w:rsidRPr="00E923BE">
        <w:rPr>
          <w:rStyle w:val="SingleTxt"/>
          <w:rFonts w:cs="SimSun"/>
        </w:rPr>
        <w:t>10</w:t>
      </w:r>
      <w:r w:rsidRPr="00E923BE">
        <w:rPr>
          <w:rStyle w:val="SingleTxt"/>
          <w:rFonts w:cs="SimSun"/>
        </w:rPr>
        <w:t>个省份的</w:t>
      </w:r>
      <w:r w:rsidRPr="00E923BE">
        <w:rPr>
          <w:rStyle w:val="SingleTxt"/>
          <w:rFonts w:cs="SimSun"/>
        </w:rPr>
        <w:t>40</w:t>
      </w:r>
      <w:r w:rsidRPr="00E923BE">
        <w:rPr>
          <w:rStyle w:val="SingleTxt"/>
          <w:rFonts w:cs="SimSun"/>
        </w:rPr>
        <w:t>所学校试点实施一项性别平等保障工具，以作为所有学校工作人员的评估和评价工具；从学前到中等教育的所有课程、教科书和培训材料都将经过审议，还将修正立法，</w:t>
      </w:r>
      <w:r>
        <w:rPr>
          <w:rStyle w:val="SingleTxt"/>
          <w:rFonts w:cs="SimSun" w:hint="eastAsia"/>
        </w:rPr>
        <w:t>使</w:t>
      </w:r>
      <w:r w:rsidRPr="00E923BE">
        <w:rPr>
          <w:rStyle w:val="SingleTxt"/>
          <w:rFonts w:cs="SimSun"/>
        </w:rPr>
        <w:t>法律反映性别平等，并且将向</w:t>
      </w:r>
      <w:r w:rsidRPr="00E923BE">
        <w:rPr>
          <w:rStyle w:val="SingleTxt"/>
          <w:rFonts w:cs="SimSun"/>
        </w:rPr>
        <w:t>60 000</w:t>
      </w:r>
      <w:r w:rsidRPr="00E923BE">
        <w:rPr>
          <w:rStyle w:val="SingleTxt"/>
          <w:rFonts w:cs="SimSun"/>
        </w:rPr>
        <w:t>名教师和管理人员提供相应培训。此外，该项目的目标是通过媒体活动和地区运动等方式</w:t>
      </w:r>
      <w:r w:rsidRPr="00E923BE">
        <w:rPr>
          <w:rStyle w:val="SingleTxt"/>
          <w:rFonts w:cs="SimSun" w:hint="eastAsia"/>
        </w:rPr>
        <w:t>向</w:t>
      </w:r>
      <w:r w:rsidRPr="00E923BE">
        <w:rPr>
          <w:rStyle w:val="SingleTxt"/>
          <w:rFonts w:cs="SimSun"/>
        </w:rPr>
        <w:t>100 000</w:t>
      </w:r>
      <w:r w:rsidRPr="00E923BE">
        <w:rPr>
          <w:rStyle w:val="SingleTxt"/>
          <w:rFonts w:cs="SimSun"/>
        </w:rPr>
        <w:t>名人员</w:t>
      </w:r>
      <w:r w:rsidRPr="00E923BE">
        <w:rPr>
          <w:rStyle w:val="SingleTxt"/>
          <w:rFonts w:cs="SimSun" w:hint="eastAsia"/>
        </w:rPr>
        <w:t>宣传</w:t>
      </w:r>
      <w:r w:rsidRPr="00E923BE">
        <w:rPr>
          <w:rStyle w:val="SingleTxt"/>
          <w:rFonts w:cs="SimSun"/>
        </w:rPr>
        <w:t>项目活动。</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122.</w:t>
      </w:r>
      <w:r w:rsidRPr="00E923BE">
        <w:rPr>
          <w:rStyle w:val="SingleTxt"/>
          <w:rFonts w:cs="SimSun"/>
        </w:rPr>
        <w:tab/>
      </w:r>
      <w:r w:rsidRPr="00E923BE">
        <w:rPr>
          <w:rStyle w:val="SingleTxt"/>
          <w:rFonts w:cs="SimSun"/>
        </w:rPr>
        <w:t>国家教育部在</w:t>
      </w:r>
      <w:r w:rsidRPr="00E923BE">
        <w:rPr>
          <w:rStyle w:val="SingleTxt"/>
          <w:rFonts w:cs="SimSun"/>
        </w:rPr>
        <w:t>2011</w:t>
      </w:r>
      <w:r w:rsidRPr="00E923BE">
        <w:rPr>
          <w:rStyle w:val="SingleTxt"/>
          <w:rFonts w:cs="SimSun"/>
        </w:rPr>
        <w:t>年启动了</w:t>
      </w:r>
      <w:r w:rsidRPr="00E923BE">
        <w:rPr>
          <w:rStyle w:val="SingleTxt"/>
          <w:rFonts w:cs="SimSun"/>
          <w:cs/>
        </w:rPr>
        <w:t>“</w:t>
      </w:r>
      <w:r w:rsidRPr="00E923BE">
        <w:rPr>
          <w:rStyle w:val="SingleTxt"/>
          <w:rFonts w:cs="SimSun"/>
        </w:rPr>
        <w:t>发展职业技能项目</w:t>
      </w:r>
      <w:r w:rsidRPr="00E923BE">
        <w:rPr>
          <w:rStyle w:val="SingleTxt"/>
          <w:rFonts w:cs="SimSun"/>
          <w:cs/>
        </w:rPr>
        <w:t>”</w:t>
      </w:r>
      <w:r w:rsidRPr="00E923BE">
        <w:rPr>
          <w:rStyle w:val="SingleTxt"/>
          <w:rFonts w:cs="SimSun"/>
        </w:rPr>
        <w:t>。该项目将向无职业人员、所属行业和职业难以找到工作的弱势群体以及寻求转行的人员提供职业培训；并且通过提升他们已有的技能，帮助他们获得专业</w:t>
      </w:r>
      <w:r w:rsidRPr="00E923BE">
        <w:rPr>
          <w:rStyle w:val="SingleTxt"/>
          <w:rFonts w:cs="SimSun"/>
        </w:rPr>
        <w:t>/</w:t>
      </w:r>
      <w:r w:rsidRPr="00E923BE">
        <w:rPr>
          <w:rStyle w:val="SingleTxt"/>
          <w:rFonts w:cs="SimSun"/>
        </w:rPr>
        <w:t>职业能力。该项目在</w:t>
      </w:r>
      <w:r w:rsidRPr="00E923BE">
        <w:rPr>
          <w:rStyle w:val="SingleTxt"/>
          <w:rFonts w:cs="SimSun"/>
        </w:rPr>
        <w:t>2011</w:t>
      </w:r>
      <w:r w:rsidRPr="00E923BE">
        <w:rPr>
          <w:rStyle w:val="SingleTxt"/>
          <w:rFonts w:cs="SimSun"/>
        </w:rPr>
        <w:t>年至</w:t>
      </w:r>
      <w:r w:rsidRPr="00E923BE">
        <w:rPr>
          <w:rStyle w:val="SingleTxt"/>
          <w:rFonts w:cs="SimSun"/>
        </w:rPr>
        <w:t>2015</w:t>
      </w:r>
      <w:r w:rsidRPr="00E923BE">
        <w:rPr>
          <w:rStyle w:val="SingleTxt"/>
          <w:rFonts w:cs="SimSun"/>
        </w:rPr>
        <w:t>年期间实施，目的是针对弱势群体的目前情况在</w:t>
      </w:r>
      <w:r w:rsidRPr="00E923BE">
        <w:rPr>
          <w:rStyle w:val="SingleTxt"/>
          <w:rFonts w:cs="SimSun"/>
        </w:rPr>
        <w:t>35</w:t>
      </w:r>
      <w:r w:rsidRPr="00E923BE">
        <w:rPr>
          <w:rStyle w:val="SingleTxt"/>
          <w:rFonts w:cs="SimSun"/>
        </w:rPr>
        <w:t>个试点城市开展一项需求分析，并且根据弱势群体的需求向其提供培训。受到暴力侵害的妇女和女孩属于这一项目的优先群体。</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123.</w:t>
      </w:r>
      <w:r w:rsidRPr="00E923BE">
        <w:rPr>
          <w:rStyle w:val="SingleTxt"/>
          <w:rFonts w:cs="SimSun"/>
        </w:rPr>
        <w:tab/>
      </w:r>
      <w:r w:rsidRPr="00E923BE">
        <w:rPr>
          <w:rStyle w:val="SingleTxt"/>
          <w:rFonts w:cs="SimSun"/>
        </w:rPr>
        <w:t>国家教育局、劳动和社会保障部、土耳其就业组织以及一所大学在</w:t>
      </w:r>
      <w:r w:rsidRPr="00E923BE">
        <w:rPr>
          <w:rStyle w:val="SingleTxt"/>
          <w:rFonts w:cs="SimSun"/>
        </w:rPr>
        <w:t>2010</w:t>
      </w:r>
      <w:r w:rsidRPr="00E923BE">
        <w:rPr>
          <w:rStyle w:val="SingleTxt"/>
          <w:rFonts w:cs="SimSun"/>
        </w:rPr>
        <w:t>年合作实施了一个</w:t>
      </w:r>
      <w:r w:rsidRPr="00E923BE">
        <w:rPr>
          <w:rStyle w:val="SingleTxt"/>
          <w:rFonts w:cs="SimSun"/>
          <w:cs/>
        </w:rPr>
        <w:t>“</w:t>
      </w:r>
      <w:r w:rsidRPr="00E923BE">
        <w:rPr>
          <w:rStyle w:val="SingleTxt"/>
          <w:rFonts w:cs="SimSun"/>
        </w:rPr>
        <w:t>专门职业中心项目</w:t>
      </w:r>
      <w:r w:rsidRPr="00E923BE">
        <w:rPr>
          <w:rStyle w:val="SingleTxt"/>
          <w:rFonts w:cs="SimSun"/>
          <w:cs/>
        </w:rPr>
        <w:t>”</w:t>
      </w:r>
      <w:r w:rsidRPr="00E923BE">
        <w:rPr>
          <w:rStyle w:val="SingleTxt"/>
          <w:rFonts w:cs="SimSun"/>
        </w:rPr>
        <w:t>。该项目最初在</w:t>
      </w:r>
      <w:r w:rsidRPr="00E923BE">
        <w:rPr>
          <w:rStyle w:val="SingleTxt"/>
          <w:rFonts w:cs="SimSun"/>
        </w:rPr>
        <w:t>19</w:t>
      </w:r>
      <w:r w:rsidRPr="00E923BE">
        <w:rPr>
          <w:rStyle w:val="SingleTxt"/>
          <w:rFonts w:cs="SimSun"/>
        </w:rPr>
        <w:t>个省份启动，旨在按照劳动力市场的要求提高青年的职业知识、技能和资格，并且为他们提供就业机会，目前该项目已在</w:t>
      </w:r>
      <w:r w:rsidRPr="00E923BE">
        <w:rPr>
          <w:rStyle w:val="SingleTxt"/>
          <w:rFonts w:cs="SimSun"/>
        </w:rPr>
        <w:t>81</w:t>
      </w:r>
      <w:r w:rsidRPr="00E923BE">
        <w:rPr>
          <w:rStyle w:val="SingleTxt"/>
          <w:rFonts w:cs="SimSun"/>
        </w:rPr>
        <w:t>个省开展。在这一项目下，</w:t>
      </w:r>
      <w:r w:rsidRPr="00E923BE">
        <w:rPr>
          <w:rStyle w:val="SingleTxt"/>
          <w:rFonts w:cs="SimSun"/>
        </w:rPr>
        <w:t>2011</w:t>
      </w:r>
      <w:r w:rsidRPr="00E923BE">
        <w:rPr>
          <w:rStyle w:val="SingleTxt"/>
          <w:rFonts w:cs="SimSun"/>
        </w:rPr>
        <w:t>年至</w:t>
      </w:r>
      <w:r w:rsidRPr="00E923BE">
        <w:rPr>
          <w:rStyle w:val="SingleTxt"/>
          <w:rFonts w:cs="SimSun"/>
        </w:rPr>
        <w:t>2014</w:t>
      </w:r>
      <w:r w:rsidRPr="00E923BE">
        <w:rPr>
          <w:rStyle w:val="SingleTxt"/>
          <w:rFonts w:cs="SimSun"/>
        </w:rPr>
        <w:t>年期间共有</w:t>
      </w:r>
      <w:r w:rsidRPr="00E923BE">
        <w:rPr>
          <w:rStyle w:val="SingleTxt"/>
          <w:rFonts w:cs="SimSun"/>
        </w:rPr>
        <w:t>59 801</w:t>
      </w:r>
      <w:r w:rsidRPr="00E923BE">
        <w:rPr>
          <w:rStyle w:val="SingleTxt"/>
          <w:rFonts w:cs="SimSun"/>
        </w:rPr>
        <w:t>名妇女参加了职业培训课程，其中</w:t>
      </w:r>
      <w:r w:rsidRPr="00E923BE">
        <w:rPr>
          <w:rStyle w:val="SingleTxt"/>
          <w:rFonts w:cs="SimSun"/>
        </w:rPr>
        <w:t>31 037</w:t>
      </w:r>
      <w:r w:rsidRPr="00E923BE">
        <w:rPr>
          <w:rStyle w:val="SingleTxt"/>
          <w:rFonts w:cs="SimSun"/>
        </w:rPr>
        <w:t>名妇女获得了就业。</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124.</w:t>
      </w:r>
      <w:r w:rsidRPr="00E923BE">
        <w:rPr>
          <w:rStyle w:val="SingleTxt"/>
          <w:rFonts w:cs="SimSun"/>
        </w:rPr>
        <w:tab/>
      </w:r>
      <w:r w:rsidRPr="00E923BE">
        <w:rPr>
          <w:rStyle w:val="SingleTxt"/>
          <w:rFonts w:cs="SimSun"/>
        </w:rPr>
        <w:t>国家教育部下属的非正规教育机构也为妇女提供了职业培训课程。在</w:t>
      </w:r>
      <w:r w:rsidRPr="00E923BE">
        <w:rPr>
          <w:rStyle w:val="SingleTxt"/>
          <w:rFonts w:cs="SimSun"/>
        </w:rPr>
        <w:t>2012</w:t>
      </w:r>
      <w:r w:rsidRPr="00E923BE">
        <w:rPr>
          <w:rStyle w:val="SingleTxt"/>
          <w:rFonts w:cs="SimSun"/>
        </w:rPr>
        <w:t>年和</w:t>
      </w:r>
      <w:r w:rsidRPr="00E923BE">
        <w:rPr>
          <w:rStyle w:val="SingleTxt"/>
          <w:rFonts w:cs="SimSun"/>
        </w:rPr>
        <w:t>2013</w:t>
      </w:r>
      <w:r w:rsidRPr="00E923BE">
        <w:rPr>
          <w:rStyle w:val="SingleTxt"/>
          <w:rFonts w:cs="SimSun"/>
        </w:rPr>
        <w:t>年，共有</w:t>
      </w:r>
      <w:r w:rsidRPr="00E923BE">
        <w:rPr>
          <w:rStyle w:val="SingleTxt"/>
          <w:rFonts w:cs="SimSun"/>
        </w:rPr>
        <w:t>1 121 820</w:t>
      </w:r>
      <w:r w:rsidRPr="00E923BE">
        <w:rPr>
          <w:rStyle w:val="SingleTxt"/>
          <w:rFonts w:cs="SimSun"/>
        </w:rPr>
        <w:t>名妇女受益于这些免费课程。</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10</w:t>
      </w:r>
      <w:r w:rsidRPr="00E923BE">
        <w:rPr>
          <w:rFonts w:eastAsia="SimHei" w:cs="Arial"/>
          <w:bCs/>
          <w:szCs w:val="21"/>
        </w:rPr>
        <w:t>条</w:t>
      </w:r>
      <w:r w:rsidRPr="00E923BE">
        <w:rPr>
          <w:rFonts w:eastAsia="SimHei" w:cs="Arial" w:hint="eastAsia"/>
          <w:b/>
          <w:bCs/>
          <w:szCs w:val="21"/>
        </w:rPr>
        <w:t>b</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125.</w:t>
      </w:r>
      <w:r w:rsidRPr="00E923BE">
        <w:rPr>
          <w:rStyle w:val="SingleTxt"/>
          <w:rFonts w:cs="SimSun"/>
        </w:rPr>
        <w:tab/>
      </w:r>
      <w:r w:rsidRPr="00E923BE">
        <w:rPr>
          <w:rStyle w:val="SingleTxt"/>
          <w:rFonts w:cs="SimSun"/>
        </w:rPr>
        <w:t>每个人都</w:t>
      </w:r>
      <w:r w:rsidRPr="00E923BE">
        <w:rPr>
          <w:rStyle w:val="SingleTxt"/>
          <w:rFonts w:cs="SimSun" w:hint="eastAsia"/>
        </w:rPr>
        <w:t>应能</w:t>
      </w:r>
      <w:r w:rsidRPr="00E923BE">
        <w:rPr>
          <w:rStyle w:val="SingleTxt"/>
          <w:rFonts w:cs="SimSun"/>
        </w:rPr>
        <w:t>不受歧视地接受教育；男孩和女孩需要接受义务教育，公立学校提供免费教育。男孩和女孩可以平等地入读包括职业培训机构在内的所有教育机构。学校使用的教科书是免费分发的。此外，有关地区寄宿制小学，见第</w:t>
      </w:r>
      <w:r w:rsidRPr="00E923BE">
        <w:rPr>
          <w:rStyle w:val="SingleTxt"/>
          <w:rFonts w:cs="SimSun"/>
        </w:rPr>
        <w:t>10</w:t>
      </w:r>
      <w:r w:rsidRPr="00E923BE">
        <w:rPr>
          <w:rStyle w:val="SingleTxt"/>
          <w:rFonts w:cs="SimSun"/>
        </w:rPr>
        <w:t>条</w:t>
      </w:r>
      <w:r w:rsidRPr="00E923BE">
        <w:rPr>
          <w:rStyle w:val="SingleTxt"/>
          <w:rFonts w:cs="SimSun"/>
        </w:rPr>
        <w:t>d</w:t>
      </w:r>
      <w:r w:rsidRPr="00E923BE">
        <w:rPr>
          <w:rStyle w:val="SingleTxt"/>
          <w:rFonts w:cs="SimSun"/>
        </w:rPr>
        <w:t>款。</w:t>
      </w:r>
    </w:p>
    <w:p w:rsidR="005C05C5" w:rsidRPr="00E923BE" w:rsidRDefault="005C05C5" w:rsidP="005C05C5">
      <w:pPr>
        <w:pStyle w:val="SingleTxt"/>
        <w:spacing w:after="120"/>
        <w:ind w:left="1134" w:right="1134"/>
      </w:pPr>
      <w:r w:rsidRPr="00E923BE">
        <w:rPr>
          <w:rStyle w:val="SingleTxt"/>
          <w:rFonts w:cs="SimSun"/>
        </w:rPr>
        <w:t>126.</w:t>
      </w:r>
      <w:r w:rsidRPr="00E923BE">
        <w:rPr>
          <w:rStyle w:val="SingleTxt"/>
          <w:rFonts w:cs="SimSun"/>
        </w:rPr>
        <w:tab/>
      </w:r>
      <w:r w:rsidRPr="00E923BE">
        <w:rPr>
          <w:rStyle w:val="SingleTxt"/>
          <w:rFonts w:cs="SimSun"/>
        </w:rPr>
        <w:t>流动教育的做法有助于确保中小学生、有特殊教育需求的学生</w:t>
      </w:r>
      <w:r w:rsidRPr="00E923BE">
        <w:rPr>
          <w:rStyle w:val="SingleTxt"/>
          <w:rFonts w:cs="SimSun"/>
        </w:rPr>
        <w:t>/</w:t>
      </w:r>
      <w:r w:rsidRPr="00E923BE">
        <w:rPr>
          <w:rStyle w:val="SingleTxt"/>
          <w:rFonts w:cs="SimSun"/>
        </w:rPr>
        <w:t>学员以及那些由于各种原因难以前往学校的人员每天能被送达可作为交通基地的学校，让他们可以接受高质量的教育和培训。在</w:t>
      </w:r>
      <w:r w:rsidRPr="00E923BE">
        <w:rPr>
          <w:rStyle w:val="SingleTxt"/>
          <w:rFonts w:cs="SimSun"/>
        </w:rPr>
        <w:t>2012-2013</w:t>
      </w:r>
      <w:r w:rsidRPr="00E923BE">
        <w:rPr>
          <w:rStyle w:val="SingleTxt"/>
          <w:rFonts w:cs="SimSun"/>
        </w:rPr>
        <w:t>学年期间，共有</w:t>
      </w:r>
      <w:r w:rsidRPr="00E923BE">
        <w:rPr>
          <w:rStyle w:val="SingleTxt"/>
          <w:rFonts w:cs="SimSun"/>
        </w:rPr>
        <w:t>812 041</w:t>
      </w:r>
      <w:r w:rsidRPr="00E923BE">
        <w:rPr>
          <w:rStyle w:val="SingleTxt"/>
          <w:rFonts w:cs="SimSun"/>
        </w:rPr>
        <w:t>名中小学生受益于这种做法，其中</w:t>
      </w:r>
      <w:r w:rsidRPr="00E923BE">
        <w:rPr>
          <w:rStyle w:val="SingleTxt"/>
          <w:rFonts w:cs="SimSun"/>
        </w:rPr>
        <w:t>397 207</w:t>
      </w:r>
      <w:r w:rsidRPr="00E923BE">
        <w:rPr>
          <w:rStyle w:val="SingleTxt"/>
          <w:rFonts w:cs="SimSun"/>
        </w:rPr>
        <w:t>名为女孩。</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10</w:t>
      </w:r>
      <w:r w:rsidRPr="00E923BE">
        <w:rPr>
          <w:rFonts w:eastAsia="SimHei" w:cs="Arial"/>
          <w:bCs/>
          <w:szCs w:val="21"/>
        </w:rPr>
        <w:t>条</w:t>
      </w:r>
      <w:r w:rsidRPr="00E923BE">
        <w:rPr>
          <w:rFonts w:eastAsia="SimHei" w:cs="Arial"/>
          <w:b/>
          <w:bCs/>
          <w:szCs w:val="21"/>
        </w:rPr>
        <w:t>c</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127.</w:t>
      </w:r>
      <w:r w:rsidRPr="00E923BE">
        <w:rPr>
          <w:rStyle w:val="SingleTxt"/>
          <w:rFonts w:cs="SimSun"/>
        </w:rPr>
        <w:tab/>
      </w:r>
      <w:r w:rsidRPr="00E923BE">
        <w:rPr>
          <w:rStyle w:val="SingleTxt"/>
          <w:rFonts w:cs="SimSun"/>
        </w:rPr>
        <w:t>在关于消除教科书内性别歧视性图片、表达和一切类似的歧视性内容的活动框架下，国家教育部设立了一个</w:t>
      </w:r>
      <w:r w:rsidRPr="00E923BE">
        <w:rPr>
          <w:rStyle w:val="SingleTxt"/>
          <w:rFonts w:cs="SimSun"/>
          <w:cs/>
        </w:rPr>
        <w:t>“</w:t>
      </w:r>
      <w:r w:rsidRPr="00E923BE">
        <w:rPr>
          <w:rStyle w:val="SingleTxt"/>
          <w:rFonts w:cs="SimSun"/>
        </w:rPr>
        <w:t>性别平等委员会</w:t>
      </w:r>
      <w:r w:rsidRPr="00E923BE">
        <w:rPr>
          <w:rStyle w:val="SingleTxt"/>
          <w:rFonts w:cs="SimSun"/>
          <w:cs/>
        </w:rPr>
        <w:t>”</w:t>
      </w:r>
      <w:r w:rsidRPr="00E923BE">
        <w:rPr>
          <w:rStyle w:val="SingleTxt"/>
          <w:rFonts w:cs="SimSun"/>
        </w:rPr>
        <w:t>，以实现</w:t>
      </w:r>
      <w:r w:rsidRPr="00E923BE">
        <w:rPr>
          <w:rStyle w:val="SingleTxt"/>
          <w:rFonts w:cs="SimSun"/>
        </w:rPr>
        <w:t>2008-2013</w:t>
      </w:r>
      <w:r w:rsidRPr="00E923BE">
        <w:rPr>
          <w:rStyle w:val="SingleTxt"/>
          <w:rFonts w:cs="SimSun"/>
        </w:rPr>
        <w:t>年《性别平等</w:t>
      </w:r>
      <w:r w:rsidRPr="00E923BE">
        <w:rPr>
          <w:rStyle w:val="SingleTxt"/>
          <w:rFonts w:cs="SimSun" w:hint="eastAsia"/>
        </w:rPr>
        <w:t>问题</w:t>
      </w:r>
      <w:r w:rsidRPr="00E923BE">
        <w:rPr>
          <w:rStyle w:val="SingleTxt"/>
          <w:rFonts w:cs="SimSun"/>
        </w:rPr>
        <w:t>国家行动计划》的战略和目标，也从性别平等角度审议了课程。</w:t>
      </w:r>
    </w:p>
    <w:p w:rsidR="005C05C5" w:rsidRPr="00E923BE" w:rsidRDefault="005C05C5" w:rsidP="005C05C5">
      <w:pPr>
        <w:pStyle w:val="SingleTxt"/>
        <w:spacing w:after="120"/>
        <w:ind w:left="1134" w:right="1134"/>
      </w:pPr>
      <w:r w:rsidRPr="00E923BE">
        <w:rPr>
          <w:rStyle w:val="SingleTxt"/>
          <w:rFonts w:cs="SimSun"/>
        </w:rPr>
        <w:t>128.</w:t>
      </w:r>
      <w:r w:rsidRPr="00E923BE">
        <w:rPr>
          <w:rStyle w:val="SingleTxt"/>
          <w:rFonts w:cs="SimSun"/>
        </w:rPr>
        <w:tab/>
      </w:r>
      <w:r w:rsidRPr="00E923BE">
        <w:rPr>
          <w:rStyle w:val="SingleTxt"/>
          <w:rFonts w:cs="SimSun"/>
        </w:rPr>
        <w:t>土耳其在</w:t>
      </w:r>
      <w:r w:rsidRPr="00E923BE">
        <w:rPr>
          <w:rStyle w:val="SingleTxt"/>
          <w:rFonts w:cs="SimSun"/>
        </w:rPr>
        <w:t>2012</w:t>
      </w:r>
      <w:r w:rsidRPr="00E923BE">
        <w:rPr>
          <w:rStyle w:val="SingleTxt"/>
          <w:rFonts w:cs="SimSun"/>
        </w:rPr>
        <w:t>年撤销了这一委员会，同时建立起一个系统，让教育者可通过该系统审议正规和非正规教育机构课程所使用的教科书。在此背景下，土耳其还制定了《教科书和教学援助条例》。该条例规定，教科书所提供的观点必须支持基本人权和强烈谴责一切形式的歧视性物体。教育和纪律委员会相应制定的另一项评估标准是一项关于</w:t>
      </w:r>
      <w:r w:rsidRPr="00E923BE">
        <w:rPr>
          <w:rStyle w:val="SingleTxt"/>
          <w:rFonts w:cs="SimSun"/>
          <w:cs/>
        </w:rPr>
        <w:t>“</w:t>
      </w:r>
      <w:r w:rsidRPr="00E923BE">
        <w:rPr>
          <w:rStyle w:val="SingleTxt"/>
          <w:rFonts w:cs="SimSun"/>
        </w:rPr>
        <w:t>教科书所用例子和人物在性别平等方面保持平衡</w:t>
      </w:r>
      <w:r w:rsidRPr="00E923BE">
        <w:rPr>
          <w:rStyle w:val="SingleTxt"/>
          <w:rFonts w:cs="SimSun"/>
          <w:cs/>
        </w:rPr>
        <w:t>”</w:t>
      </w:r>
      <w:r w:rsidRPr="00E923BE">
        <w:rPr>
          <w:rStyle w:val="SingleTxt"/>
          <w:rFonts w:cs="SimSun"/>
        </w:rPr>
        <w:t>的规定。另一项令人欣然的进展是已将</w:t>
      </w:r>
      <w:r w:rsidRPr="00E923BE">
        <w:rPr>
          <w:rStyle w:val="SingleTxt"/>
          <w:rFonts w:cs="SimSun"/>
          <w:cs/>
        </w:rPr>
        <w:t>“</w:t>
      </w:r>
      <w:r w:rsidRPr="00E923BE">
        <w:rPr>
          <w:rStyle w:val="SingleTxt"/>
          <w:rFonts w:cs="SimSun"/>
        </w:rPr>
        <w:t>人权、公民身份和民主</w:t>
      </w:r>
      <w:r w:rsidRPr="00E923BE">
        <w:rPr>
          <w:rStyle w:val="SingleTxt"/>
          <w:rFonts w:cs="SimSun"/>
          <w:cs/>
        </w:rPr>
        <w:t>”</w:t>
      </w:r>
      <w:r w:rsidRPr="00E923BE">
        <w:rPr>
          <w:rStyle w:val="SingleTxt"/>
          <w:rFonts w:cs="SimSun"/>
        </w:rPr>
        <w:t>这一主题作为</w:t>
      </w:r>
      <w:r>
        <w:rPr>
          <w:rStyle w:val="SingleTxt"/>
          <w:rFonts w:cs="SimSun" w:hint="eastAsia"/>
        </w:rPr>
        <w:t>四</w:t>
      </w:r>
      <w:r w:rsidRPr="00E923BE">
        <w:rPr>
          <w:rStyle w:val="SingleTxt"/>
          <w:rFonts w:cs="SimSun"/>
        </w:rPr>
        <w:t>年级学生的一门必修课（每周</w:t>
      </w:r>
      <w:r w:rsidRPr="00E923BE">
        <w:rPr>
          <w:rStyle w:val="SingleTxt"/>
          <w:rFonts w:cs="SimSun"/>
        </w:rPr>
        <w:t>2</w:t>
      </w:r>
      <w:r w:rsidRPr="00E923BE">
        <w:rPr>
          <w:rStyle w:val="SingleTxt"/>
          <w:rFonts w:cs="SimSun"/>
        </w:rPr>
        <w:t>小时）。该科目涉及到性别歧视以及性别不平等对人权的侵犯问题。作为中学教育的一门选修课，</w:t>
      </w:r>
      <w:r w:rsidRPr="00E923BE">
        <w:rPr>
          <w:rStyle w:val="SingleTxt"/>
          <w:rFonts w:cs="SimSun"/>
          <w:cs/>
        </w:rPr>
        <w:t>“</w:t>
      </w:r>
      <w:r w:rsidRPr="00E923BE">
        <w:rPr>
          <w:rStyle w:val="SingleTxt"/>
          <w:rFonts w:cs="SimSun"/>
        </w:rPr>
        <w:t>民主和人权</w:t>
      </w:r>
      <w:r w:rsidRPr="00E923BE">
        <w:rPr>
          <w:rStyle w:val="SingleTxt"/>
          <w:rFonts w:cs="SimSun"/>
          <w:cs/>
        </w:rPr>
        <w:t>”</w:t>
      </w:r>
      <w:r w:rsidRPr="00E923BE">
        <w:rPr>
          <w:rStyle w:val="SingleTxt"/>
          <w:rFonts w:cs="SimSun"/>
        </w:rPr>
        <w:t>的课程已在</w:t>
      </w:r>
      <w:r w:rsidRPr="00E923BE">
        <w:rPr>
          <w:rStyle w:val="SingleTxt"/>
          <w:rFonts w:cs="SimSun"/>
        </w:rPr>
        <w:t>2012-2013</w:t>
      </w:r>
      <w:r w:rsidRPr="00E923BE">
        <w:rPr>
          <w:rStyle w:val="SingleTxt"/>
          <w:rFonts w:cs="SimSun"/>
        </w:rPr>
        <w:t>学年试点实施。该课程的目的是以多元化观点为主题，提高对性别平等问题的认识。关于</w:t>
      </w:r>
      <w:r w:rsidRPr="00E923BE">
        <w:rPr>
          <w:rStyle w:val="SingleTxt"/>
          <w:rFonts w:cs="SimSun"/>
          <w:cs/>
        </w:rPr>
        <w:t>“</w:t>
      </w:r>
      <w:r w:rsidRPr="00E923BE">
        <w:rPr>
          <w:rStyle w:val="SingleTxt"/>
          <w:rFonts w:cs="SimSun"/>
        </w:rPr>
        <w:t>在教育领域促进性别平等项目</w:t>
      </w:r>
      <w:r w:rsidRPr="00E923BE">
        <w:rPr>
          <w:rStyle w:val="SingleTxt"/>
          <w:rFonts w:cs="SimSun"/>
          <w:cs/>
        </w:rPr>
        <w:t>”</w:t>
      </w:r>
      <w:r w:rsidRPr="00E923BE">
        <w:rPr>
          <w:rStyle w:val="SingleTxt"/>
          <w:rFonts w:cs="SimSun"/>
        </w:rPr>
        <w:t>的信息，见第</w:t>
      </w:r>
      <w:r>
        <w:rPr>
          <w:rStyle w:val="SingleTxt"/>
          <w:rFonts w:cs="SimSun"/>
        </w:rPr>
        <w:t>10</w:t>
      </w:r>
      <w:r w:rsidRPr="00E923BE">
        <w:rPr>
          <w:rStyle w:val="SingleTxt"/>
          <w:rFonts w:cs="SimSun"/>
        </w:rPr>
        <w:t>条</w:t>
      </w:r>
      <w:r>
        <w:rPr>
          <w:rStyle w:val="SingleTxt"/>
          <w:rFonts w:cs="SimSun" w:hint="eastAsia"/>
        </w:rPr>
        <w:t>a</w:t>
      </w:r>
      <w:r>
        <w:rPr>
          <w:rStyle w:val="SingleTxt"/>
          <w:rFonts w:cs="SimSun" w:hint="eastAsia"/>
        </w:rPr>
        <w:t>款</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10</w:t>
      </w:r>
      <w:r w:rsidRPr="00E923BE">
        <w:rPr>
          <w:rFonts w:eastAsia="SimHei" w:cs="Arial"/>
          <w:bCs/>
          <w:szCs w:val="21"/>
        </w:rPr>
        <w:t>条</w:t>
      </w:r>
      <w:r w:rsidRPr="00E923BE">
        <w:rPr>
          <w:rFonts w:eastAsia="SimHei" w:cs="Arial"/>
          <w:b/>
          <w:bCs/>
          <w:szCs w:val="21"/>
        </w:rPr>
        <w:t>d</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129.</w:t>
      </w:r>
      <w:r w:rsidRPr="00E923BE">
        <w:rPr>
          <w:rStyle w:val="SingleTxt"/>
          <w:rFonts w:cs="SimSun"/>
        </w:rPr>
        <w:tab/>
      </w:r>
      <w:r w:rsidRPr="00E923BE">
        <w:rPr>
          <w:rStyle w:val="SingleTxt"/>
          <w:rFonts w:cs="SimSun"/>
        </w:rPr>
        <w:t>鉴于</w:t>
      </w:r>
      <w:r>
        <w:rPr>
          <w:rStyle w:val="SingleTxt"/>
          <w:rFonts w:cs="SimSun"/>
        </w:rPr>
        <w:t>结论性意见</w:t>
      </w:r>
      <w:r w:rsidRPr="00E923BE">
        <w:rPr>
          <w:rStyle w:val="SingleTxt"/>
          <w:rFonts w:cs="SimSun"/>
        </w:rPr>
        <w:t>第</w:t>
      </w:r>
      <w:r w:rsidRPr="00E923BE">
        <w:rPr>
          <w:rStyle w:val="SingleTxt"/>
          <w:rFonts w:cs="SimSun"/>
        </w:rPr>
        <w:t>31</w:t>
      </w:r>
      <w:r w:rsidRPr="00E923BE">
        <w:rPr>
          <w:rStyle w:val="SingleTxt"/>
          <w:rFonts w:cs="SimSun"/>
        </w:rPr>
        <w:t>段的建议，土耳其已开展以下活动：根据国家教育部</w:t>
      </w:r>
      <w:r w:rsidRPr="00E923BE">
        <w:rPr>
          <w:rStyle w:val="SingleTxt"/>
          <w:rFonts w:cs="SimSun"/>
        </w:rPr>
        <w:t>2012-2013</w:t>
      </w:r>
      <w:r w:rsidRPr="00E923BE">
        <w:rPr>
          <w:rStyle w:val="SingleTxt"/>
          <w:rFonts w:cs="SimSun"/>
        </w:rPr>
        <w:t>学年的数据，在土耳其为促进教育而发放的奖学金获得者中，女孩比例较多（见附件表</w:t>
      </w:r>
      <w:r>
        <w:rPr>
          <w:rStyle w:val="SingleTxt"/>
          <w:rFonts w:cs="SimSun"/>
        </w:rPr>
        <w:t>1</w:t>
      </w:r>
      <w:r>
        <w:rPr>
          <w:rStyle w:val="SingleTxt"/>
          <w:rFonts w:cs="SimSun" w:hint="eastAsia"/>
        </w:rPr>
        <w:t>7</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130.</w:t>
      </w:r>
      <w:r w:rsidRPr="00E923BE">
        <w:rPr>
          <w:rStyle w:val="SingleTxt"/>
          <w:rFonts w:cs="SimSun"/>
        </w:rPr>
        <w:tab/>
      </w:r>
      <w:r w:rsidRPr="00E923BE">
        <w:rPr>
          <w:rStyle w:val="SingleTxt"/>
          <w:rFonts w:cs="SimSun"/>
        </w:rPr>
        <w:t>为满足学生离家求学的住宿需求而实施的安排分为两类，分别为公共寄宿和收费住宿方案。为确保女孩出勤率和继续教育而设立的地区寄宿制小学数量不断增多，从</w:t>
      </w:r>
      <w:r w:rsidRPr="00E923BE">
        <w:rPr>
          <w:rStyle w:val="SingleTxt"/>
          <w:rFonts w:cs="SimSun"/>
        </w:rPr>
        <w:t>1999-2000</w:t>
      </w:r>
      <w:r w:rsidRPr="00E923BE">
        <w:rPr>
          <w:rStyle w:val="SingleTxt"/>
          <w:rFonts w:cs="SimSun"/>
        </w:rPr>
        <w:t>年的</w:t>
      </w:r>
      <w:r w:rsidRPr="00E923BE">
        <w:rPr>
          <w:rStyle w:val="SingleTxt"/>
          <w:rFonts w:cs="SimSun"/>
        </w:rPr>
        <w:t>203</w:t>
      </w:r>
      <w:r w:rsidRPr="00E923BE">
        <w:rPr>
          <w:rStyle w:val="SingleTxt"/>
          <w:rFonts w:cs="SimSun"/>
        </w:rPr>
        <w:t>所增加到</w:t>
      </w:r>
      <w:r w:rsidRPr="00E923BE">
        <w:rPr>
          <w:rStyle w:val="SingleTxt"/>
          <w:rFonts w:cs="SimSun"/>
        </w:rPr>
        <w:t>2013-2014</w:t>
      </w:r>
      <w:r w:rsidRPr="00E923BE">
        <w:rPr>
          <w:rStyle w:val="SingleTxt"/>
          <w:rFonts w:cs="SimSun"/>
        </w:rPr>
        <w:t>年的</w:t>
      </w:r>
      <w:r w:rsidRPr="00E923BE">
        <w:rPr>
          <w:rStyle w:val="SingleTxt"/>
          <w:rFonts w:cs="SimSun"/>
        </w:rPr>
        <w:t>429</w:t>
      </w:r>
      <w:r w:rsidRPr="00E923BE">
        <w:rPr>
          <w:rStyle w:val="SingleTxt"/>
          <w:rFonts w:cs="SimSun"/>
        </w:rPr>
        <w:t>所。根据</w:t>
      </w:r>
      <w:r w:rsidRPr="00E923BE">
        <w:rPr>
          <w:rStyle w:val="SingleTxt"/>
          <w:rFonts w:cs="SimSun"/>
        </w:rPr>
        <w:t>2013-2014</w:t>
      </w:r>
      <w:r w:rsidRPr="00E923BE">
        <w:rPr>
          <w:rStyle w:val="SingleTxt"/>
          <w:rFonts w:cs="SimSun"/>
        </w:rPr>
        <w:t>年的数据，在</w:t>
      </w:r>
      <w:r w:rsidRPr="00E923BE">
        <w:rPr>
          <w:rStyle w:val="SingleTxt"/>
          <w:rFonts w:cs="SimSun"/>
        </w:rPr>
        <w:t>159 053</w:t>
      </w:r>
      <w:r w:rsidRPr="00E923BE">
        <w:rPr>
          <w:rStyle w:val="SingleTxt"/>
          <w:rFonts w:cs="SimSun"/>
        </w:rPr>
        <w:t>名入读这些学校的学生中，有</w:t>
      </w:r>
      <w:r w:rsidRPr="00E923BE">
        <w:rPr>
          <w:rStyle w:val="SingleTxt"/>
          <w:rFonts w:cs="SimSun"/>
        </w:rPr>
        <w:t>80 875</w:t>
      </w:r>
      <w:r w:rsidRPr="00E923BE">
        <w:rPr>
          <w:rStyle w:val="SingleTxt"/>
          <w:rFonts w:cs="SimSun"/>
        </w:rPr>
        <w:t>名是女孩（</w:t>
      </w:r>
      <w:r w:rsidRPr="00E923BE">
        <w:rPr>
          <w:rStyle w:val="SingleTxt"/>
          <w:rFonts w:cs="SimSun"/>
        </w:rPr>
        <w:t>50.9%</w:t>
      </w:r>
      <w:r w:rsidRPr="00E923BE">
        <w:rPr>
          <w:rStyle w:val="SingleTxt"/>
          <w:rFonts w:cs="SimSun"/>
        </w:rPr>
        <w:t>），在义务教育年限改为</w:t>
      </w:r>
      <w:r w:rsidRPr="00E923BE">
        <w:rPr>
          <w:rStyle w:val="SingleTxt"/>
          <w:rFonts w:cs="SimSun"/>
        </w:rPr>
        <w:t>12</w:t>
      </w:r>
      <w:r w:rsidRPr="00E923BE">
        <w:rPr>
          <w:rStyle w:val="SingleTxt"/>
          <w:rFonts w:cs="SimSun"/>
        </w:rPr>
        <w:t>年后，这些学校已转型为地区寄宿制中学（国家教育部统计数据）。</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131.</w:t>
      </w:r>
      <w:r w:rsidRPr="00E923BE">
        <w:rPr>
          <w:rStyle w:val="SingleTxt"/>
          <w:rFonts w:cs="SimSun"/>
        </w:rPr>
        <w:tab/>
      </w:r>
      <w:r w:rsidRPr="00E923BE">
        <w:rPr>
          <w:rStyle w:val="SingleTxt"/>
          <w:rFonts w:cs="SimSun"/>
        </w:rPr>
        <w:t>作为国家教育部提供的另一寄宿方案，入住学生宿舍的女孩人数也有所增加。根据</w:t>
      </w:r>
      <w:r w:rsidRPr="00E923BE">
        <w:rPr>
          <w:rStyle w:val="SingleTxt"/>
          <w:rFonts w:cs="SimSun"/>
        </w:rPr>
        <w:t>2013-2014</w:t>
      </w:r>
      <w:r w:rsidRPr="00E923BE">
        <w:rPr>
          <w:rStyle w:val="SingleTxt"/>
          <w:rFonts w:cs="SimSun"/>
        </w:rPr>
        <w:t>年的数据，共</w:t>
      </w:r>
      <w:r w:rsidRPr="00E923BE">
        <w:rPr>
          <w:rStyle w:val="SingleTxt"/>
          <w:rFonts w:cs="SimSun"/>
        </w:rPr>
        <w:t>319 725</w:t>
      </w:r>
      <w:r w:rsidRPr="00E923BE">
        <w:rPr>
          <w:rStyle w:val="SingleTxt"/>
          <w:rFonts w:cs="SimSun"/>
        </w:rPr>
        <w:t>名寄宿学生中，女孩占了</w:t>
      </w:r>
      <w:r w:rsidRPr="00E923BE">
        <w:rPr>
          <w:rStyle w:val="SingleTxt"/>
          <w:rFonts w:cs="SimSun"/>
        </w:rPr>
        <w:t>139 836</w:t>
      </w:r>
      <w:r w:rsidRPr="00E923BE">
        <w:rPr>
          <w:rStyle w:val="SingleTxt"/>
          <w:rFonts w:cs="SimSun"/>
        </w:rPr>
        <w:t>人（</w:t>
      </w:r>
      <w:r w:rsidRPr="00E923BE">
        <w:rPr>
          <w:rStyle w:val="SingleTxt"/>
          <w:rFonts w:cs="SimSun"/>
        </w:rPr>
        <w:t>43.7%</w:t>
      </w:r>
      <w:r w:rsidRPr="00E923BE">
        <w:rPr>
          <w:rStyle w:val="SingleTxt"/>
          <w:rFonts w:cs="SimSun"/>
        </w:rPr>
        <w:t>）（国家教育部统计数据）。</w:t>
      </w:r>
    </w:p>
    <w:p w:rsidR="005C05C5" w:rsidRPr="00E923BE" w:rsidRDefault="005C05C5" w:rsidP="005C05C5">
      <w:pPr>
        <w:pStyle w:val="SingleTxt"/>
        <w:spacing w:after="120"/>
        <w:ind w:left="1134" w:right="1134"/>
      </w:pPr>
      <w:r w:rsidRPr="00E923BE">
        <w:rPr>
          <w:rStyle w:val="SingleTxt"/>
          <w:rFonts w:cs="SimSun"/>
        </w:rPr>
        <w:t>132.</w:t>
      </w:r>
      <w:r w:rsidRPr="00E923BE">
        <w:rPr>
          <w:rStyle w:val="SingleTxt"/>
          <w:rFonts w:cs="SimSun"/>
        </w:rPr>
        <w:tab/>
      </w:r>
      <w:r w:rsidRPr="00E923BE">
        <w:rPr>
          <w:rStyle w:val="SingleTxt"/>
          <w:rFonts w:cs="SimSun"/>
        </w:rPr>
        <w:t>政府机关和当局提供的另一寄宿方案是由高等教育信贷和学生宿舍机构总局提供的住宿，女孩可优先于男孩获得宿舍。由于实施了这一特别措施政策，在</w:t>
      </w:r>
      <w:r w:rsidRPr="00E923BE">
        <w:rPr>
          <w:rStyle w:val="SingleTxt"/>
          <w:rFonts w:cs="SimSun"/>
        </w:rPr>
        <w:t>2013-2014</w:t>
      </w:r>
      <w:r w:rsidRPr="00E923BE">
        <w:rPr>
          <w:rStyle w:val="SingleTxt"/>
          <w:rFonts w:cs="SimSun"/>
        </w:rPr>
        <w:t>学年，高等教育信贷和学生宿舍机构总局所拥有的宿舍中，</w:t>
      </w:r>
      <w:r w:rsidRPr="00E923BE">
        <w:rPr>
          <w:rStyle w:val="SingleTxt"/>
          <w:rFonts w:cs="SimSun"/>
        </w:rPr>
        <w:t>61.4%</w:t>
      </w:r>
      <w:r w:rsidRPr="00E923BE">
        <w:rPr>
          <w:rStyle w:val="SingleTxt"/>
          <w:rFonts w:cs="SimSun"/>
        </w:rPr>
        <w:t>的床位保留给女孩</w:t>
      </w:r>
      <w:r>
        <w:rPr>
          <w:rStyle w:val="SingleTxt"/>
          <w:rFonts w:cs="SimSun" w:hint="eastAsia"/>
        </w:rPr>
        <w:t>（国家教育部统计数据）</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133.</w:t>
      </w:r>
      <w:r w:rsidRPr="00E923BE">
        <w:rPr>
          <w:rStyle w:val="SingleTxt"/>
          <w:rFonts w:cs="SimSun"/>
        </w:rPr>
        <w:tab/>
      </w:r>
      <w:r w:rsidRPr="00E923BE">
        <w:rPr>
          <w:rStyle w:val="SingleTxt"/>
          <w:rFonts w:cs="SimSun"/>
        </w:rPr>
        <w:t>根据针对女孩的暂行特别措施框架，土耳其实施了有条件现金拨付（详细信息见</w:t>
      </w:r>
      <w:r>
        <w:rPr>
          <w:rStyle w:val="SingleTxt"/>
          <w:rFonts w:cs="SimSun"/>
        </w:rPr>
        <w:t>第六次报告</w:t>
      </w:r>
      <w:r w:rsidRPr="00E923BE">
        <w:rPr>
          <w:rStyle w:val="SingleTxt"/>
          <w:rFonts w:cs="SimSun"/>
        </w:rPr>
        <w:t>）。</w:t>
      </w:r>
      <w:r w:rsidRPr="00E923BE">
        <w:rPr>
          <w:rStyle w:val="SingleTxt"/>
          <w:rFonts w:cs="SimSun"/>
        </w:rPr>
        <w:t>2010</w:t>
      </w:r>
      <w:r w:rsidRPr="00E923BE">
        <w:rPr>
          <w:rStyle w:val="SingleTxt"/>
          <w:rFonts w:cs="SimSun"/>
        </w:rPr>
        <w:t>年和</w:t>
      </w:r>
      <w:r w:rsidRPr="00E923BE">
        <w:rPr>
          <w:rStyle w:val="SingleTxt"/>
          <w:rFonts w:cs="SimSun"/>
        </w:rPr>
        <w:t>2012</w:t>
      </w:r>
      <w:r w:rsidRPr="00E923BE">
        <w:rPr>
          <w:rStyle w:val="SingleTxt"/>
          <w:rFonts w:cs="SimSun"/>
        </w:rPr>
        <w:t>年的</w:t>
      </w:r>
      <w:r w:rsidRPr="00E923BE">
        <w:rPr>
          <w:rStyle w:val="SingleTxt"/>
          <w:rFonts w:cs="SimSun"/>
          <w:cs/>
        </w:rPr>
        <w:t>“</w:t>
      </w:r>
      <w:r w:rsidRPr="00E923BE">
        <w:rPr>
          <w:rStyle w:val="SingleTxt"/>
          <w:rFonts w:cs="SimSun"/>
        </w:rPr>
        <w:t>有条件现金拨付影响评估</w:t>
      </w:r>
      <w:r w:rsidRPr="00E923BE">
        <w:rPr>
          <w:rStyle w:val="SingleTxt"/>
          <w:rFonts w:cs="SimSun"/>
          <w:cs/>
        </w:rPr>
        <w:t>”</w:t>
      </w:r>
      <w:r w:rsidRPr="00E923BE">
        <w:rPr>
          <w:rStyle w:val="SingleTxt"/>
          <w:rFonts w:cs="SimSun"/>
        </w:rPr>
        <w:t>结果表明，旷课率减少了</w:t>
      </w:r>
      <w:r w:rsidRPr="00E923BE">
        <w:rPr>
          <w:rStyle w:val="SingleTxt"/>
          <w:rFonts w:cs="SimSun"/>
        </w:rPr>
        <w:t>50%</w:t>
      </w:r>
      <w:r w:rsidRPr="00E923BE">
        <w:rPr>
          <w:rStyle w:val="SingleTxt"/>
          <w:rFonts w:cs="SimSun"/>
        </w:rPr>
        <w:t>，其中女孩的旷课率减少幅度大于男孩。此外，受益于拨付措施的女孩中学升学率为</w:t>
      </w:r>
      <w:r w:rsidRPr="00E923BE">
        <w:rPr>
          <w:rStyle w:val="SingleTxt"/>
          <w:rFonts w:cs="SimSun"/>
        </w:rPr>
        <w:t>79.36%</w:t>
      </w:r>
      <w:r w:rsidRPr="00E923BE">
        <w:rPr>
          <w:rStyle w:val="SingleTxt"/>
          <w:rFonts w:cs="SimSun"/>
        </w:rPr>
        <w:t>，相比之下未享有财政援助的女孩的升学率为</w:t>
      </w:r>
      <w:r w:rsidRPr="00E923BE">
        <w:rPr>
          <w:rStyle w:val="SingleTxt"/>
          <w:rFonts w:cs="SimSun"/>
        </w:rPr>
        <w:t>50.08%</w:t>
      </w:r>
      <w:r w:rsidRPr="00E923BE">
        <w:rPr>
          <w:rStyle w:val="SingleTxt"/>
          <w:rFonts w:cs="SimSun"/>
        </w:rPr>
        <w:t>。该影响评估的结果显示，现金拨付措施有助于促进女孩的学校出勤率（见附件表</w:t>
      </w:r>
      <w:r w:rsidRPr="00E923BE">
        <w:rPr>
          <w:rStyle w:val="SingleTxt"/>
          <w:rFonts w:cs="SimSun"/>
        </w:rPr>
        <w:t>18</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10</w:t>
      </w:r>
      <w:r w:rsidRPr="00E923BE">
        <w:rPr>
          <w:rFonts w:eastAsia="SimHei" w:cs="Arial"/>
          <w:bCs/>
          <w:szCs w:val="21"/>
        </w:rPr>
        <w:t>条</w:t>
      </w:r>
      <w:r w:rsidRPr="00E923BE">
        <w:rPr>
          <w:rFonts w:eastAsia="SimHei" w:cs="Arial"/>
          <w:b/>
          <w:bCs/>
          <w:szCs w:val="21"/>
        </w:rPr>
        <w:t>e</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134.</w:t>
      </w:r>
      <w:r w:rsidRPr="00E923BE">
        <w:rPr>
          <w:rStyle w:val="SingleTxt"/>
          <w:rFonts w:cs="SimSun"/>
        </w:rPr>
        <w:tab/>
      </w:r>
      <w:r w:rsidRPr="00E923BE">
        <w:rPr>
          <w:rStyle w:val="SingleTxt"/>
          <w:rFonts w:cs="SimSun"/>
        </w:rPr>
        <w:t>根据土耳其统计局</w:t>
      </w:r>
      <w:r w:rsidRPr="00E923BE">
        <w:rPr>
          <w:rStyle w:val="SingleTxt"/>
          <w:rFonts w:cs="SimSun"/>
        </w:rPr>
        <w:t>2013</w:t>
      </w:r>
      <w:r w:rsidRPr="00E923BE">
        <w:rPr>
          <w:rStyle w:val="SingleTxt"/>
          <w:rFonts w:cs="SimSun"/>
        </w:rPr>
        <w:t>年的数据，文盲（</w:t>
      </w:r>
      <w:r w:rsidRPr="00E923BE">
        <w:rPr>
          <w:rStyle w:val="SingleTxt"/>
          <w:rFonts w:cs="SimSun"/>
        </w:rPr>
        <w:t>6</w:t>
      </w:r>
      <w:r w:rsidRPr="00E923BE">
        <w:rPr>
          <w:rStyle w:val="SingleTxt"/>
          <w:rFonts w:cs="SimSun"/>
        </w:rPr>
        <w:t>岁或以上）人数占了总人口的</w:t>
      </w:r>
      <w:r>
        <w:rPr>
          <w:rStyle w:val="SingleTxt"/>
          <w:rFonts w:cs="SimSun" w:hint="eastAsia"/>
        </w:rPr>
        <w:t>4</w:t>
      </w:r>
      <w:r w:rsidRPr="00E923BE">
        <w:rPr>
          <w:rStyle w:val="SingleTxt"/>
          <w:rFonts w:cs="SimSun"/>
        </w:rPr>
        <w:t>%</w:t>
      </w:r>
      <w:r w:rsidRPr="00E923BE">
        <w:rPr>
          <w:rStyle w:val="SingleTxt"/>
          <w:rFonts w:cs="SimSun"/>
        </w:rPr>
        <w:t>；其中女文盲的比例为</w:t>
      </w:r>
      <w:r w:rsidRPr="00E923BE">
        <w:rPr>
          <w:rStyle w:val="SingleTxt"/>
          <w:rFonts w:cs="SimSun"/>
        </w:rPr>
        <w:t>6.6%</w:t>
      </w:r>
      <w:r w:rsidRPr="00E923BE">
        <w:rPr>
          <w:rStyle w:val="SingleTxt"/>
          <w:rFonts w:cs="SimSun"/>
        </w:rPr>
        <w:t>，男文盲的比例为</w:t>
      </w:r>
      <w:r w:rsidRPr="00E923BE">
        <w:rPr>
          <w:rStyle w:val="SingleTxt"/>
          <w:rFonts w:cs="SimSun"/>
        </w:rPr>
        <w:t>1.3%</w:t>
      </w:r>
      <w:r w:rsidRPr="00E923BE">
        <w:rPr>
          <w:rStyle w:val="SingleTxt"/>
          <w:rFonts w:cs="SimSun"/>
        </w:rPr>
        <w:t>。在</w:t>
      </w:r>
      <w:r w:rsidRPr="00E923BE">
        <w:rPr>
          <w:rStyle w:val="SingleTxt"/>
          <w:rFonts w:cs="SimSun"/>
        </w:rPr>
        <w:t>2008</w:t>
      </w:r>
      <w:r w:rsidRPr="00E923BE">
        <w:rPr>
          <w:rStyle w:val="SingleTxt"/>
          <w:rFonts w:cs="SimSun"/>
        </w:rPr>
        <w:t>年，这些比例分别为</w:t>
      </w:r>
      <w:r w:rsidRPr="00E923BE">
        <w:rPr>
          <w:rStyle w:val="SingleTxt"/>
          <w:rFonts w:cs="SimSun"/>
        </w:rPr>
        <w:t>7.7%</w:t>
      </w:r>
      <w:r w:rsidRPr="00E923BE">
        <w:rPr>
          <w:rStyle w:val="SingleTxt"/>
          <w:rFonts w:cs="SimSun"/>
        </w:rPr>
        <w:t>、</w:t>
      </w:r>
      <w:r w:rsidRPr="00E923BE">
        <w:rPr>
          <w:rStyle w:val="SingleTxt"/>
          <w:rFonts w:cs="SimSun"/>
        </w:rPr>
        <w:t>12.3%</w:t>
      </w:r>
      <w:r w:rsidRPr="00E923BE">
        <w:rPr>
          <w:rStyle w:val="SingleTxt"/>
          <w:rFonts w:cs="SimSun"/>
        </w:rPr>
        <w:t>和</w:t>
      </w:r>
      <w:r w:rsidRPr="00E923BE">
        <w:rPr>
          <w:rStyle w:val="SingleTxt"/>
          <w:rFonts w:cs="SimSun"/>
        </w:rPr>
        <w:t>3.1%</w:t>
      </w:r>
      <w:r w:rsidRPr="00E923BE">
        <w:rPr>
          <w:rStyle w:val="SingleTxt"/>
          <w:rFonts w:cs="SimSun"/>
        </w:rPr>
        <w:t>。与</w:t>
      </w:r>
      <w:r w:rsidRPr="00E923BE">
        <w:rPr>
          <w:rStyle w:val="SingleTxt"/>
          <w:rFonts w:cs="SimSun"/>
        </w:rPr>
        <w:t>2008</w:t>
      </w:r>
      <w:r w:rsidRPr="00E923BE">
        <w:rPr>
          <w:rStyle w:val="SingleTxt"/>
          <w:rFonts w:cs="SimSun"/>
        </w:rPr>
        <w:t>年的数据相比，可以看出女文盲占总成年人口的比例有所下降（见附件表</w:t>
      </w:r>
      <w:r w:rsidRPr="00E923BE">
        <w:rPr>
          <w:rStyle w:val="SingleTxt"/>
          <w:rFonts w:cs="SimSun"/>
        </w:rPr>
        <w:t>19</w:t>
      </w:r>
      <w:r w:rsidRPr="00E923BE">
        <w:rPr>
          <w:rStyle w:val="SingleTxt"/>
          <w:rFonts w:cs="SimSun"/>
        </w:rPr>
        <w:t>）。大部分文盲人口为</w:t>
      </w:r>
      <w:r w:rsidRPr="00E923BE">
        <w:rPr>
          <w:rStyle w:val="SingleTxt"/>
          <w:rFonts w:cs="SimSun"/>
        </w:rPr>
        <w:t>50</w:t>
      </w:r>
      <w:r w:rsidRPr="00E923BE">
        <w:rPr>
          <w:rStyle w:val="SingleTxt"/>
          <w:rFonts w:cs="SimSun"/>
        </w:rPr>
        <w:t>岁或以上的人员。</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135.</w:t>
      </w:r>
      <w:r w:rsidRPr="00E923BE">
        <w:rPr>
          <w:rStyle w:val="SingleTxt"/>
          <w:rFonts w:cs="SimSun"/>
        </w:rPr>
        <w:tab/>
      </w:r>
      <w:r w:rsidRPr="00E923BE">
        <w:rPr>
          <w:rStyle w:val="SingleTxt"/>
          <w:rFonts w:cs="SimSun"/>
        </w:rPr>
        <w:t>鉴于</w:t>
      </w:r>
      <w:r>
        <w:rPr>
          <w:rStyle w:val="SingleTxt"/>
          <w:rFonts w:cs="SimSun"/>
        </w:rPr>
        <w:t>结论性意见</w:t>
      </w:r>
      <w:r w:rsidRPr="00E923BE">
        <w:rPr>
          <w:rStyle w:val="SingleTxt"/>
          <w:rFonts w:cs="SimSun"/>
        </w:rPr>
        <w:t>第</w:t>
      </w:r>
      <w:r w:rsidRPr="00E923BE">
        <w:rPr>
          <w:rStyle w:val="SingleTxt"/>
          <w:rFonts w:cs="SimSun"/>
        </w:rPr>
        <w:t>30</w:t>
      </w:r>
      <w:r w:rsidRPr="00E923BE">
        <w:rPr>
          <w:rStyle w:val="SingleTxt"/>
          <w:rFonts w:cs="SimSun"/>
        </w:rPr>
        <w:t>段和第</w:t>
      </w:r>
      <w:r w:rsidRPr="00E923BE">
        <w:rPr>
          <w:rStyle w:val="SingleTxt"/>
          <w:rFonts w:cs="SimSun"/>
        </w:rPr>
        <w:t>31</w:t>
      </w:r>
      <w:r w:rsidRPr="00E923BE">
        <w:rPr>
          <w:rStyle w:val="SingleTxt"/>
          <w:rFonts w:cs="SimSun"/>
        </w:rPr>
        <w:t>段的建议，土耳其已开展以下活动：土耳其在</w:t>
      </w:r>
      <w:r w:rsidRPr="00E923BE">
        <w:rPr>
          <w:rStyle w:val="SingleTxt"/>
          <w:rFonts w:cs="SimSun"/>
        </w:rPr>
        <w:t>2008</w:t>
      </w:r>
      <w:r w:rsidRPr="00E923BE">
        <w:rPr>
          <w:rStyle w:val="SingleTxt"/>
          <w:rFonts w:cs="SimSun"/>
        </w:rPr>
        <w:t>年启动了题为</w:t>
      </w:r>
      <w:r w:rsidRPr="00E923BE">
        <w:rPr>
          <w:rStyle w:val="SingleTxt"/>
          <w:rFonts w:cs="SimSun"/>
          <w:cs/>
        </w:rPr>
        <w:t>“</w:t>
      </w:r>
      <w:r w:rsidRPr="00E923BE">
        <w:rPr>
          <w:rFonts w:hint="eastAsia"/>
          <w:color w:val="000000"/>
        </w:rPr>
        <w:t>母亲—女儿—求学</w:t>
      </w:r>
      <w:r w:rsidRPr="00E923BE">
        <w:rPr>
          <w:rStyle w:val="SingleTxt"/>
          <w:rFonts w:cs="SimSun"/>
          <w:cs/>
        </w:rPr>
        <w:t>”</w:t>
      </w:r>
      <w:r w:rsidRPr="00E923BE">
        <w:rPr>
          <w:rStyle w:val="SingleTxt"/>
          <w:rFonts w:cs="SimSun"/>
        </w:rPr>
        <w:t>的扫盲运动，以消除</w:t>
      </w:r>
      <w:r w:rsidRPr="00E923BE">
        <w:rPr>
          <w:rStyle w:val="SingleTxt"/>
          <w:rFonts w:cs="SimSun" w:hint="eastAsia"/>
        </w:rPr>
        <w:t>妇</w:t>
      </w:r>
      <w:r w:rsidRPr="00E923BE">
        <w:rPr>
          <w:rStyle w:val="SingleTxt"/>
          <w:rFonts w:cs="SimSun"/>
        </w:rPr>
        <w:t>女文盲。在</w:t>
      </w:r>
      <w:r w:rsidRPr="00E923BE">
        <w:rPr>
          <w:rStyle w:val="SingleTxt"/>
          <w:rFonts w:cs="SimSun"/>
        </w:rPr>
        <w:t>2008</w:t>
      </w:r>
      <w:r w:rsidRPr="00E923BE">
        <w:rPr>
          <w:rStyle w:val="SingleTxt"/>
          <w:rFonts w:cs="SimSun"/>
        </w:rPr>
        <w:t>年至</w:t>
      </w:r>
      <w:r w:rsidRPr="00E923BE">
        <w:rPr>
          <w:rStyle w:val="SingleTxt"/>
          <w:rFonts w:cs="SimSun"/>
        </w:rPr>
        <w:t>2012</w:t>
      </w:r>
      <w:r w:rsidRPr="00E923BE">
        <w:rPr>
          <w:rStyle w:val="SingleTxt"/>
          <w:rFonts w:cs="SimSun"/>
        </w:rPr>
        <w:t>年间，</w:t>
      </w:r>
      <w:r w:rsidRPr="00E923BE">
        <w:rPr>
          <w:rStyle w:val="SingleTxt"/>
          <w:rFonts w:cs="SimSun"/>
        </w:rPr>
        <w:t>2 551 567</w:t>
      </w:r>
      <w:r w:rsidRPr="00E923BE">
        <w:rPr>
          <w:rStyle w:val="SingleTxt"/>
          <w:rFonts w:cs="SimSun"/>
        </w:rPr>
        <w:t>名学员参加了在该运动下组织的识字课程，其中</w:t>
      </w:r>
      <w:r w:rsidRPr="00E923BE">
        <w:rPr>
          <w:rStyle w:val="SingleTxt"/>
          <w:rFonts w:cs="SimSun"/>
        </w:rPr>
        <w:t>1 802 272</w:t>
      </w:r>
      <w:r w:rsidRPr="00E923BE">
        <w:rPr>
          <w:rStyle w:val="SingleTxt"/>
          <w:rFonts w:cs="SimSun"/>
        </w:rPr>
        <w:t>人已获得识字证书。除了上述运动外，土耳其直至</w:t>
      </w:r>
      <w:r w:rsidRPr="00E923BE">
        <w:rPr>
          <w:rStyle w:val="SingleTxt"/>
          <w:rFonts w:cs="SimSun"/>
        </w:rPr>
        <w:t>2011-2012</w:t>
      </w:r>
      <w:r w:rsidRPr="00E923BE">
        <w:rPr>
          <w:rStyle w:val="SingleTxt"/>
          <w:rFonts w:cs="SimSun"/>
        </w:rPr>
        <w:t>学年末已开展了</w:t>
      </w:r>
      <w:r w:rsidRPr="00E923BE">
        <w:rPr>
          <w:rStyle w:val="SingleTxt"/>
          <w:rFonts w:cs="SimSun"/>
        </w:rPr>
        <w:t>47 014</w:t>
      </w:r>
      <w:r w:rsidRPr="00E923BE">
        <w:rPr>
          <w:rStyle w:val="SingleTxt"/>
          <w:rFonts w:cs="SimSun"/>
        </w:rPr>
        <w:t>项课程，</w:t>
      </w:r>
      <w:r w:rsidRPr="00E923BE">
        <w:rPr>
          <w:rStyle w:val="SingleTxt"/>
          <w:rFonts w:cs="SimSun"/>
        </w:rPr>
        <w:t>750 126</w:t>
      </w:r>
      <w:r w:rsidRPr="00E923BE">
        <w:rPr>
          <w:rStyle w:val="SingleTxt"/>
          <w:rFonts w:cs="SimSun"/>
        </w:rPr>
        <w:t>名学员中有</w:t>
      </w:r>
      <w:r w:rsidRPr="00E923BE">
        <w:rPr>
          <w:rStyle w:val="SingleTxt"/>
          <w:rFonts w:cs="SimSun"/>
        </w:rPr>
        <w:t>76.7%</w:t>
      </w:r>
      <w:r w:rsidRPr="00E923BE">
        <w:rPr>
          <w:rStyle w:val="SingleTxt"/>
          <w:rFonts w:cs="SimSun"/>
        </w:rPr>
        <w:t>（</w:t>
      </w:r>
      <w:r w:rsidRPr="00E923BE">
        <w:rPr>
          <w:rStyle w:val="SingleTxt"/>
          <w:rFonts w:cs="SimSun"/>
        </w:rPr>
        <w:t>575 618</w:t>
      </w:r>
      <w:r w:rsidRPr="00E923BE">
        <w:rPr>
          <w:rStyle w:val="SingleTxt"/>
          <w:rFonts w:cs="SimSun"/>
        </w:rPr>
        <w:t>人）为妇女（国家教育局统计数据）。</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136.</w:t>
      </w:r>
      <w:r w:rsidRPr="00E923BE">
        <w:rPr>
          <w:rStyle w:val="SingleTxt"/>
          <w:rFonts w:cs="SimSun"/>
        </w:rPr>
        <w:tab/>
      </w:r>
      <w:r w:rsidRPr="00E923BE">
        <w:rPr>
          <w:rStyle w:val="SingleTxt"/>
          <w:rFonts w:cs="SimSun"/>
        </w:rPr>
        <w:t>家庭和社会政策部在</w:t>
      </w:r>
      <w:r w:rsidRPr="00E923BE">
        <w:rPr>
          <w:rStyle w:val="SingleTxt"/>
          <w:rFonts w:cs="SimSun"/>
        </w:rPr>
        <w:t>2012</w:t>
      </w:r>
      <w:r w:rsidRPr="00E923BE">
        <w:rPr>
          <w:rStyle w:val="SingleTxt"/>
          <w:rFonts w:cs="SimSun"/>
        </w:rPr>
        <w:t>年</w:t>
      </w:r>
      <w:r w:rsidRPr="00E923BE">
        <w:rPr>
          <w:rStyle w:val="SingleTxt"/>
          <w:rFonts w:cs="SimSun"/>
        </w:rPr>
        <w:t>12</w:t>
      </w:r>
      <w:r w:rsidRPr="00E923BE">
        <w:rPr>
          <w:rStyle w:val="SingleTxt"/>
          <w:rFonts w:cs="SimSun"/>
        </w:rPr>
        <w:t>月启动了</w:t>
      </w:r>
      <w:r w:rsidRPr="00E923BE">
        <w:rPr>
          <w:rStyle w:val="SingleTxt"/>
          <w:rFonts w:cs="SimSun"/>
          <w:cs/>
        </w:rPr>
        <w:t>“</w:t>
      </w:r>
      <w:r w:rsidRPr="00E923BE">
        <w:rPr>
          <w:rStyle w:val="SingleTxt"/>
          <w:rFonts w:cs="SimSun"/>
        </w:rPr>
        <w:t>职业培训项目</w:t>
      </w:r>
      <w:r w:rsidRPr="00E923BE">
        <w:rPr>
          <w:rStyle w:val="SingleTxt"/>
          <w:rFonts w:cs="SimSun"/>
          <w:cs/>
        </w:rPr>
        <w:t>”</w:t>
      </w:r>
      <w:r w:rsidRPr="00E923BE">
        <w:rPr>
          <w:rStyle w:val="SingleTxt"/>
          <w:rFonts w:cs="SimSun"/>
        </w:rPr>
        <w:t>，旨在让正规教育外的妇女获得重新受教育的机会，让她们得以入读开放式职业中学，最终获得就业。在这一项目下，约有</w:t>
      </w:r>
      <w:r w:rsidRPr="00E923BE">
        <w:rPr>
          <w:rStyle w:val="SingleTxt"/>
          <w:rFonts w:cs="SimSun"/>
        </w:rPr>
        <w:t>40 000</w:t>
      </w:r>
      <w:r w:rsidRPr="00E923BE">
        <w:rPr>
          <w:rStyle w:val="SingleTxt"/>
          <w:rFonts w:cs="SimSun"/>
        </w:rPr>
        <w:t>名妇女参加了培训，约有</w:t>
      </w:r>
      <w:r w:rsidRPr="00E923BE">
        <w:rPr>
          <w:rStyle w:val="SingleTxt"/>
          <w:rFonts w:cs="SimSun"/>
        </w:rPr>
        <w:t>5 000</w:t>
      </w:r>
      <w:r w:rsidRPr="00E923BE">
        <w:rPr>
          <w:rStyle w:val="SingleTxt"/>
          <w:rFonts w:cs="SimSun"/>
        </w:rPr>
        <w:t>名妇女已在开放式职业中学注册。</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10</w:t>
      </w:r>
      <w:r w:rsidRPr="00E923BE">
        <w:rPr>
          <w:rFonts w:eastAsia="SimHei" w:cs="Arial"/>
          <w:bCs/>
          <w:szCs w:val="21"/>
        </w:rPr>
        <w:t>条</w:t>
      </w:r>
      <w:r w:rsidRPr="00E923BE">
        <w:rPr>
          <w:rFonts w:eastAsia="SimHei" w:cs="Arial"/>
          <w:b/>
          <w:bCs/>
          <w:szCs w:val="21"/>
        </w:rPr>
        <w:t>f</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137.</w:t>
      </w:r>
      <w:r w:rsidRPr="00E923BE">
        <w:rPr>
          <w:rStyle w:val="SingleTxt"/>
          <w:rFonts w:cs="SimSun"/>
        </w:rPr>
        <w:tab/>
      </w:r>
      <w:r w:rsidRPr="00E923BE">
        <w:rPr>
          <w:rStyle w:val="SingleTxt"/>
          <w:rFonts w:cs="SimSun"/>
        </w:rPr>
        <w:t>土耳其指出，旨在确保女孩与男孩享有同等受教育机会的措施和政策有利于缩小女孩和男孩在教育方面的差距（入学率见附件表</w:t>
      </w:r>
      <w:r w:rsidRPr="00E923BE">
        <w:rPr>
          <w:rStyle w:val="SingleTxt"/>
          <w:rFonts w:cs="SimSun"/>
        </w:rPr>
        <w:t>15</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138.</w:t>
      </w:r>
      <w:r w:rsidRPr="00E923BE">
        <w:rPr>
          <w:rStyle w:val="SingleTxt"/>
          <w:rFonts w:cs="SimSun"/>
        </w:rPr>
        <w:tab/>
      </w:r>
      <w:r w:rsidRPr="00E923BE">
        <w:rPr>
          <w:rStyle w:val="SingleTxt"/>
          <w:rFonts w:cs="SimSun"/>
        </w:rPr>
        <w:t>深入分析女孩辍学的原因，就能发现这样一个事实，即她们在学龄时无法读书（见附件表</w:t>
      </w:r>
      <w:r w:rsidRPr="00E923BE">
        <w:rPr>
          <w:rStyle w:val="SingleTxt"/>
          <w:rFonts w:cs="SimSun"/>
        </w:rPr>
        <w:t>20</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139.</w:t>
      </w:r>
      <w:r w:rsidRPr="00E923BE">
        <w:rPr>
          <w:rStyle w:val="SingleTxt"/>
          <w:rFonts w:cs="SimSun"/>
        </w:rPr>
        <w:tab/>
      </w:r>
      <w:r w:rsidRPr="00E923BE">
        <w:rPr>
          <w:rStyle w:val="SingleTxt"/>
          <w:rFonts w:cs="SimSun"/>
        </w:rPr>
        <w:t>根据</w:t>
      </w:r>
      <w:r w:rsidRPr="00E923BE">
        <w:rPr>
          <w:rStyle w:val="SingleTxt"/>
          <w:rFonts w:cs="SimSun"/>
        </w:rPr>
        <w:t>2012</w:t>
      </w:r>
      <w:r w:rsidRPr="00E923BE">
        <w:rPr>
          <w:rStyle w:val="SingleTxt"/>
          <w:rFonts w:cs="SimSun"/>
        </w:rPr>
        <w:t>年实施的一项法律，义务教育年限从之前的</w:t>
      </w:r>
      <w:r w:rsidRPr="00E923BE">
        <w:rPr>
          <w:rStyle w:val="SingleTxt"/>
          <w:rFonts w:cs="SimSun"/>
        </w:rPr>
        <w:t>8</w:t>
      </w:r>
      <w:r w:rsidRPr="00E923BE">
        <w:rPr>
          <w:rStyle w:val="SingleTxt"/>
          <w:rFonts w:cs="SimSun"/>
        </w:rPr>
        <w:t>年延长至</w:t>
      </w:r>
      <w:r w:rsidRPr="00E923BE">
        <w:rPr>
          <w:rStyle w:val="SingleTxt"/>
          <w:rFonts w:cs="SimSun"/>
        </w:rPr>
        <w:t>12</w:t>
      </w:r>
      <w:r w:rsidRPr="00E923BE">
        <w:rPr>
          <w:rStyle w:val="SingleTxt"/>
          <w:rFonts w:cs="SimSun"/>
        </w:rPr>
        <w:t>年（见第</w:t>
      </w:r>
      <w:r w:rsidRPr="00E923BE">
        <w:rPr>
          <w:rStyle w:val="SingleTxt"/>
          <w:rFonts w:cs="SimSun"/>
        </w:rPr>
        <w:t>10</w:t>
      </w:r>
      <w:r w:rsidRPr="00E923BE">
        <w:rPr>
          <w:rStyle w:val="SingleTxt"/>
          <w:rFonts w:cs="SimSun"/>
        </w:rPr>
        <w:t>条</w:t>
      </w:r>
      <w:r w:rsidRPr="00E923BE">
        <w:rPr>
          <w:rStyle w:val="SingleTxt"/>
          <w:rFonts w:cs="SimSun"/>
        </w:rPr>
        <w:t>a</w:t>
      </w:r>
      <w:r w:rsidRPr="00E923BE">
        <w:rPr>
          <w:rStyle w:val="SingleTxt"/>
          <w:rFonts w:cs="SimSun"/>
        </w:rPr>
        <w:t>款），也实施了一些新规定。</w:t>
      </w:r>
    </w:p>
    <w:p w:rsidR="005C05C5" w:rsidRPr="00E923BE" w:rsidRDefault="005C05C5" w:rsidP="005C05C5">
      <w:pPr>
        <w:pStyle w:val="SingleTxt"/>
        <w:spacing w:after="120"/>
        <w:ind w:left="1134" w:right="1134"/>
      </w:pPr>
      <w:r w:rsidRPr="00E923BE">
        <w:rPr>
          <w:rStyle w:val="SingleTxt"/>
          <w:rFonts w:cs="SimSun"/>
        </w:rPr>
        <w:t>140.</w:t>
      </w:r>
      <w:r w:rsidRPr="00E923BE">
        <w:rPr>
          <w:rStyle w:val="SingleTxt"/>
          <w:rFonts w:cs="SimSun"/>
        </w:rPr>
        <w:tab/>
      </w:r>
      <w:r w:rsidRPr="00E923BE">
        <w:rPr>
          <w:rStyle w:val="SingleTxt"/>
          <w:rFonts w:cs="SimSun"/>
        </w:rPr>
        <w:t>鉴于</w:t>
      </w:r>
      <w:r>
        <w:rPr>
          <w:rStyle w:val="SingleTxt"/>
          <w:rFonts w:cs="SimSun"/>
        </w:rPr>
        <w:t>结论性意见</w:t>
      </w:r>
      <w:r w:rsidRPr="00E923BE">
        <w:rPr>
          <w:rStyle w:val="SingleTxt"/>
          <w:rFonts w:cs="SimSun"/>
        </w:rPr>
        <w:t>第</w:t>
      </w:r>
      <w:r w:rsidRPr="00E923BE">
        <w:rPr>
          <w:rStyle w:val="SingleTxt"/>
          <w:rFonts w:cs="SimSun"/>
        </w:rPr>
        <w:t>30</w:t>
      </w:r>
      <w:r w:rsidRPr="00E923BE">
        <w:rPr>
          <w:rStyle w:val="SingleTxt"/>
          <w:rFonts w:cs="SimSun"/>
        </w:rPr>
        <w:t>段和第</w:t>
      </w:r>
      <w:r w:rsidRPr="00E923BE">
        <w:rPr>
          <w:rStyle w:val="SingleTxt"/>
          <w:rFonts w:cs="SimSun"/>
        </w:rPr>
        <w:t>31</w:t>
      </w:r>
      <w:r w:rsidRPr="00E923BE">
        <w:rPr>
          <w:rStyle w:val="SingleTxt"/>
          <w:rFonts w:cs="SimSun"/>
        </w:rPr>
        <w:t>段的建议，国家教育局开展了一个</w:t>
      </w:r>
      <w:r w:rsidRPr="00E923BE">
        <w:rPr>
          <w:rStyle w:val="SingleTxt"/>
          <w:rFonts w:cs="SimSun"/>
          <w:cs/>
        </w:rPr>
        <w:t>“</w:t>
      </w:r>
      <w:r w:rsidRPr="00E923BE">
        <w:rPr>
          <w:rStyle w:val="SingleTxt"/>
          <w:rFonts w:cs="SimSun"/>
        </w:rPr>
        <w:t>提高小学入学率项目</w:t>
      </w:r>
      <w:r w:rsidRPr="00E923BE">
        <w:rPr>
          <w:rStyle w:val="SingleTxt"/>
          <w:rFonts w:cs="SimSun"/>
          <w:cs/>
        </w:rPr>
        <w:t>”</w:t>
      </w:r>
      <w:r w:rsidRPr="00E923BE">
        <w:rPr>
          <w:rStyle w:val="SingleTxt"/>
          <w:rFonts w:cs="SimSun"/>
        </w:rPr>
        <w:t>。该项目</w:t>
      </w:r>
      <w:r w:rsidRPr="00E923BE">
        <w:rPr>
          <w:rStyle w:val="SingleTxt"/>
          <w:rFonts w:cs="SimSun" w:hint="eastAsia"/>
        </w:rPr>
        <w:t>将</w:t>
      </w:r>
      <w:r w:rsidRPr="00E923BE">
        <w:rPr>
          <w:rStyle w:val="SingleTxt"/>
          <w:rFonts w:cs="SimSun"/>
        </w:rPr>
        <w:t>开展一项全面形势分析，研究造成旷课现象的原因。根据该分析的结果，土耳其将提出应对旷课现象的政策建议，并将修正和实施法律的相关内容。</w:t>
      </w:r>
    </w:p>
    <w:p w:rsidR="005C05C5" w:rsidRPr="00E923BE" w:rsidRDefault="005C05C5" w:rsidP="005C05C5">
      <w:pPr>
        <w:pStyle w:val="SingleTxt"/>
        <w:spacing w:after="120"/>
        <w:ind w:left="1134" w:right="1134"/>
      </w:pPr>
      <w:r w:rsidRPr="00E923BE">
        <w:rPr>
          <w:rStyle w:val="SingleTxt"/>
          <w:rFonts w:cs="SimSun"/>
        </w:rPr>
        <w:t>141.</w:t>
      </w:r>
      <w:r w:rsidRPr="00E923BE">
        <w:rPr>
          <w:rStyle w:val="SingleTxt"/>
          <w:rFonts w:cs="SimSun"/>
        </w:rPr>
        <w:tab/>
      </w:r>
      <w:r w:rsidRPr="00E923BE">
        <w:rPr>
          <w:rStyle w:val="SingleTxt"/>
          <w:rFonts w:cs="SimSun"/>
        </w:rPr>
        <w:t>家庭和社会政策部还在</w:t>
      </w:r>
      <w:r w:rsidRPr="00E923BE">
        <w:rPr>
          <w:rStyle w:val="SingleTxt"/>
          <w:rFonts w:cs="SimSun"/>
        </w:rPr>
        <w:t>12</w:t>
      </w:r>
      <w:r w:rsidRPr="00E923BE">
        <w:rPr>
          <w:rStyle w:val="SingleTxt"/>
          <w:rFonts w:cs="SimSun"/>
        </w:rPr>
        <w:t>个罗姆人口稠密省份的社会援助和团结基金会内</w:t>
      </w:r>
      <w:r w:rsidRPr="00E923BE">
        <w:rPr>
          <w:rStyle w:val="SingleTxt"/>
          <w:rFonts w:cs="SimSun" w:hint="eastAsia"/>
        </w:rPr>
        <w:t>为</w:t>
      </w:r>
      <w:r w:rsidRPr="00E923BE">
        <w:rPr>
          <w:rStyle w:val="SingleTxt"/>
          <w:rFonts w:cs="SimSun"/>
        </w:rPr>
        <w:t>罗姆妇女设立社会团结中心。土耳其也在</w:t>
      </w:r>
      <w:r w:rsidRPr="00E923BE">
        <w:rPr>
          <w:rStyle w:val="SingleTxt"/>
          <w:rFonts w:cs="SimSun"/>
        </w:rPr>
        <w:t>22</w:t>
      </w:r>
      <w:r w:rsidRPr="00E923BE">
        <w:rPr>
          <w:rStyle w:val="SingleTxt"/>
          <w:rFonts w:cs="SimSun"/>
        </w:rPr>
        <w:t>个罗姆人口稠密的城市为罗姆妇女开展了职业培训课程和家庭培训课程。</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10</w:t>
      </w:r>
      <w:r w:rsidRPr="00E923BE">
        <w:rPr>
          <w:rFonts w:eastAsia="SimHei" w:cs="Arial"/>
          <w:bCs/>
          <w:szCs w:val="21"/>
        </w:rPr>
        <w:t>条</w:t>
      </w:r>
      <w:r w:rsidRPr="00E923BE">
        <w:rPr>
          <w:rFonts w:eastAsia="SimHei" w:cs="Arial" w:hint="eastAsia"/>
          <w:b/>
          <w:bCs/>
          <w:szCs w:val="21"/>
        </w:rPr>
        <w:t>g</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142.</w:t>
      </w:r>
      <w:r w:rsidRPr="00E923BE">
        <w:rPr>
          <w:rStyle w:val="SingleTxt"/>
          <w:rFonts w:cs="SimSun"/>
        </w:rPr>
        <w:tab/>
      </w:r>
      <w:r w:rsidRPr="00E923BE">
        <w:rPr>
          <w:rStyle w:val="SingleTxt"/>
          <w:rFonts w:cs="SimSun"/>
        </w:rPr>
        <w:t>目前有</w:t>
      </w:r>
      <w:r w:rsidRPr="00E923BE">
        <w:rPr>
          <w:rStyle w:val="SingleTxt"/>
          <w:rFonts w:cs="SimSun"/>
        </w:rPr>
        <w:t>4 721 371</w:t>
      </w:r>
      <w:r w:rsidRPr="00E923BE">
        <w:rPr>
          <w:rStyle w:val="SingleTxt"/>
          <w:rFonts w:cs="SimSun"/>
        </w:rPr>
        <w:t>名注册运动员，其中</w:t>
      </w:r>
      <w:r w:rsidRPr="00E923BE">
        <w:rPr>
          <w:rStyle w:val="SingleTxt"/>
          <w:rFonts w:cs="SimSun"/>
        </w:rPr>
        <w:t>27%</w:t>
      </w:r>
      <w:r w:rsidRPr="00E923BE">
        <w:rPr>
          <w:rStyle w:val="SingleTxt"/>
          <w:rFonts w:cs="SimSun"/>
        </w:rPr>
        <w:t>为女运动员。少于半数的注册运动员积极参加各类体育赛事，其中女运动员占了</w:t>
      </w:r>
      <w:r w:rsidRPr="00E923BE">
        <w:rPr>
          <w:rStyle w:val="SingleTxt"/>
          <w:rFonts w:cs="SimSun"/>
        </w:rPr>
        <w:t>25%</w:t>
      </w:r>
      <w:r w:rsidRPr="00E923BE">
        <w:rPr>
          <w:rStyle w:val="SingleTxt"/>
          <w:rFonts w:cs="SimSun"/>
        </w:rPr>
        <w:t>（</w:t>
      </w:r>
      <w:r w:rsidRPr="00E923BE">
        <w:rPr>
          <w:rStyle w:val="SingleTxt"/>
          <w:rFonts w:cs="SimSun"/>
        </w:rPr>
        <w:t>549 972</w:t>
      </w:r>
      <w:r w:rsidRPr="00E923BE">
        <w:rPr>
          <w:rStyle w:val="SingleTxt"/>
          <w:rFonts w:cs="SimSun"/>
        </w:rPr>
        <w:t>人）（青年和体育部</w:t>
      </w:r>
      <w:r w:rsidRPr="00E923BE">
        <w:rPr>
          <w:rStyle w:val="SingleTxt"/>
          <w:rFonts w:cs="SimSun"/>
        </w:rPr>
        <w:t>2014</w:t>
      </w:r>
      <w:r w:rsidRPr="00E923BE">
        <w:rPr>
          <w:rStyle w:val="SingleTxt"/>
          <w:rFonts w:cs="SimSun"/>
        </w:rPr>
        <w:t>年统计数据）。从土耳其妇女人口的角度来看，</w:t>
      </w:r>
      <w:r w:rsidRPr="00E923BE">
        <w:rPr>
          <w:rStyle w:val="SingleTxt"/>
          <w:rFonts w:cs="SimSun"/>
        </w:rPr>
        <w:t>3.5%</w:t>
      </w:r>
      <w:r w:rsidRPr="00E923BE">
        <w:rPr>
          <w:rStyle w:val="SingleTxt"/>
          <w:rFonts w:cs="SimSun"/>
        </w:rPr>
        <w:t>的妇女为注册运动员，而积极参加各类体育赛事的女运动员占了妇女总人口的</w:t>
      </w:r>
      <w:r w:rsidRPr="00E923BE">
        <w:rPr>
          <w:rStyle w:val="SingleTxt"/>
          <w:rFonts w:cs="SimSun"/>
        </w:rPr>
        <w:t>1.8%</w:t>
      </w:r>
      <w:r w:rsidRPr="00E923BE">
        <w:rPr>
          <w:rStyle w:val="SingleTxt"/>
          <w:rFonts w:cs="SimSun"/>
        </w:rPr>
        <w:t>。另一方面，根据</w:t>
      </w:r>
      <w:r w:rsidRPr="00E923BE">
        <w:rPr>
          <w:rStyle w:val="SingleTxt"/>
          <w:rFonts w:cs="SimSun"/>
        </w:rPr>
        <w:t>2013-2014</w:t>
      </w:r>
      <w:r w:rsidRPr="00E923BE">
        <w:rPr>
          <w:rStyle w:val="SingleTxt"/>
          <w:rFonts w:cs="SimSun"/>
        </w:rPr>
        <w:t>学年的数据，在入读体育类中学的学生中，有</w:t>
      </w:r>
      <w:r w:rsidRPr="00E923BE">
        <w:rPr>
          <w:rStyle w:val="SingleTxt"/>
          <w:rFonts w:cs="SimSun"/>
        </w:rPr>
        <w:t>29.7%</w:t>
      </w:r>
      <w:r w:rsidRPr="00E923BE">
        <w:rPr>
          <w:rStyle w:val="SingleTxt"/>
          <w:rFonts w:cs="SimSun"/>
        </w:rPr>
        <w:t>为女孩（国家教育局统计数据）。</w:t>
      </w:r>
      <w:r w:rsidRPr="00E923BE">
        <w:rPr>
          <w:rStyle w:val="SingleTxt"/>
          <w:rFonts w:cs="SimSun"/>
        </w:rPr>
        <w:t>2012-2013</w:t>
      </w:r>
      <w:r w:rsidRPr="00E923BE">
        <w:rPr>
          <w:rStyle w:val="SingleTxt"/>
          <w:rFonts w:cs="SimSun"/>
        </w:rPr>
        <w:t>学年的数据指出，</w:t>
      </w:r>
      <w:r w:rsidRPr="00E923BE">
        <w:rPr>
          <w:rStyle w:val="SingleTxt"/>
          <w:rFonts w:cs="SimSun"/>
        </w:rPr>
        <w:t>32.2%</w:t>
      </w:r>
      <w:r w:rsidRPr="00E923BE">
        <w:rPr>
          <w:rStyle w:val="SingleTxt"/>
          <w:rFonts w:cs="SimSun"/>
        </w:rPr>
        <w:t>入读体育运动学院的学生以及</w:t>
      </w:r>
      <w:r w:rsidRPr="00E923BE">
        <w:rPr>
          <w:rStyle w:val="SingleTxt"/>
          <w:rFonts w:cs="SimSun"/>
        </w:rPr>
        <w:t>37.2%</w:t>
      </w:r>
      <w:r w:rsidRPr="00E923BE">
        <w:rPr>
          <w:rStyle w:val="SingleTxt"/>
          <w:rFonts w:cs="SimSun"/>
        </w:rPr>
        <w:t>入读体育科学和技术学院的学生为女孩（土耳其高等教育部学生选拔中心统计数据）。</w:t>
      </w:r>
    </w:p>
    <w:p w:rsidR="005C05C5" w:rsidRDefault="005C05C5" w:rsidP="005C05C5">
      <w:pPr>
        <w:pStyle w:val="SingleTxt"/>
        <w:spacing w:after="120"/>
        <w:ind w:left="1134" w:right="1134"/>
        <w:rPr>
          <w:rStyle w:val="SingleTxt"/>
          <w:rFonts w:cs="SimSun"/>
        </w:rPr>
      </w:pPr>
      <w:r w:rsidRPr="00E923BE">
        <w:rPr>
          <w:rStyle w:val="SingleTxt"/>
          <w:rFonts w:cs="SimSun"/>
        </w:rPr>
        <w:t>143.</w:t>
      </w:r>
      <w:r w:rsidRPr="00E923BE">
        <w:rPr>
          <w:rStyle w:val="SingleTxt"/>
          <w:rFonts w:cs="SimSun"/>
        </w:rPr>
        <w:tab/>
      </w:r>
      <w:r w:rsidRPr="00E923BE">
        <w:rPr>
          <w:rStyle w:val="SingleTxt"/>
          <w:rFonts w:cs="SimSun"/>
        </w:rPr>
        <w:t>近年来妇女的运动参与度显著提高。在</w:t>
      </w:r>
      <w:r w:rsidRPr="00E923BE">
        <w:rPr>
          <w:rStyle w:val="SingleTxt"/>
          <w:rFonts w:cs="SimSun"/>
        </w:rPr>
        <w:t>2009</w:t>
      </w:r>
      <w:r w:rsidRPr="00E923BE">
        <w:rPr>
          <w:rStyle w:val="SingleTxt"/>
          <w:rFonts w:cs="SimSun"/>
        </w:rPr>
        <w:t>年，向联合会注册的妇女比例为</w:t>
      </w:r>
      <w:r w:rsidRPr="00E923BE">
        <w:rPr>
          <w:rStyle w:val="SingleTxt"/>
          <w:rFonts w:cs="SimSun"/>
        </w:rPr>
        <w:t>27%</w:t>
      </w:r>
      <w:r w:rsidRPr="00E923BE">
        <w:rPr>
          <w:rStyle w:val="SingleTxt"/>
          <w:rFonts w:cs="SimSun"/>
        </w:rPr>
        <w:t>（</w:t>
      </w:r>
      <w:r w:rsidRPr="00E923BE">
        <w:rPr>
          <w:rStyle w:val="SingleTxt"/>
          <w:rFonts w:cs="SimSun"/>
        </w:rPr>
        <w:t>449 046</w:t>
      </w:r>
      <w:r w:rsidRPr="00E923BE">
        <w:rPr>
          <w:rStyle w:val="SingleTxt"/>
          <w:rFonts w:cs="SimSun"/>
        </w:rPr>
        <w:t>人），而在</w:t>
      </w:r>
      <w:r w:rsidRPr="00E923BE">
        <w:rPr>
          <w:rStyle w:val="SingleTxt"/>
          <w:rFonts w:cs="SimSun"/>
        </w:rPr>
        <w:t>2013</w:t>
      </w:r>
      <w:r w:rsidRPr="00E923BE">
        <w:rPr>
          <w:rStyle w:val="SingleTxt"/>
          <w:rFonts w:cs="SimSun"/>
        </w:rPr>
        <w:t>年末，该比例已上升到</w:t>
      </w:r>
      <w:r w:rsidRPr="00E923BE">
        <w:rPr>
          <w:rStyle w:val="SingleTxt"/>
          <w:rFonts w:cs="SimSun"/>
        </w:rPr>
        <w:t>30%</w:t>
      </w:r>
      <w:r w:rsidRPr="00E923BE">
        <w:rPr>
          <w:rStyle w:val="SingleTxt"/>
          <w:rFonts w:cs="SimSun"/>
        </w:rPr>
        <w:t>（</w:t>
      </w:r>
      <w:r w:rsidRPr="00E923BE">
        <w:rPr>
          <w:rStyle w:val="SingleTxt"/>
          <w:rFonts w:cs="SimSun"/>
        </w:rPr>
        <w:t>839 117</w:t>
      </w:r>
      <w:r w:rsidRPr="00E923BE">
        <w:rPr>
          <w:rStyle w:val="SingleTxt"/>
          <w:rFonts w:cs="SimSun"/>
        </w:rPr>
        <w:t>人）（土耳其统计局统计数据）。这一增长反映了土耳其在基础设施投资方面取得的成功，以及土耳其妇女运动员在奥林匹克和国际竞赛的成就对女孩和妇女的典范作用。</w:t>
      </w:r>
    </w:p>
    <w:p w:rsidR="005C05C5" w:rsidRPr="00E923BE" w:rsidRDefault="005C05C5" w:rsidP="005C05C5">
      <w:pPr>
        <w:pStyle w:val="SingleTxt"/>
        <w:spacing w:after="120"/>
        <w:ind w:left="1134" w:right="1134"/>
        <w:rPr>
          <w:rFonts w:eastAsia="SimHei" w:cs="Arial"/>
          <w:bCs/>
          <w:szCs w:val="21"/>
        </w:rPr>
      </w:pPr>
      <w:r w:rsidRPr="00E923BE">
        <w:rPr>
          <w:rFonts w:eastAsia="SimHei" w:cs="Arial"/>
          <w:bCs/>
          <w:szCs w:val="21"/>
        </w:rPr>
        <w:t>第</w:t>
      </w:r>
      <w:r w:rsidRPr="00E923BE">
        <w:rPr>
          <w:rFonts w:eastAsia="SimHei" w:cs="Arial"/>
          <w:b/>
          <w:bCs/>
          <w:szCs w:val="21"/>
        </w:rPr>
        <w:t>10</w:t>
      </w:r>
      <w:r w:rsidRPr="00E923BE">
        <w:rPr>
          <w:rFonts w:eastAsia="SimHei" w:cs="Arial"/>
          <w:bCs/>
          <w:szCs w:val="21"/>
        </w:rPr>
        <w:t>条</w:t>
      </w:r>
      <w:r w:rsidRPr="00E923BE">
        <w:rPr>
          <w:rFonts w:eastAsia="SimHei" w:cs="Arial" w:hint="eastAsia"/>
          <w:b/>
          <w:bCs/>
          <w:szCs w:val="21"/>
        </w:rPr>
        <w:t>h</w:t>
      </w:r>
      <w:r w:rsidRPr="00E923BE">
        <w:rPr>
          <w:rFonts w:eastAsia="SimHei" w:cs="Arial" w:hint="eastAsia"/>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144.</w:t>
      </w:r>
      <w:r w:rsidRPr="00E923BE">
        <w:rPr>
          <w:rStyle w:val="SingleTxt"/>
          <w:rFonts w:cs="SimSun"/>
        </w:rPr>
        <w:tab/>
      </w:r>
      <w:r w:rsidRPr="00E923BE">
        <w:rPr>
          <w:rStyle w:val="SingleTxt"/>
          <w:rFonts w:cs="SimSun"/>
        </w:rPr>
        <w:t>关于家庭培训的详细信息，见第</w:t>
      </w:r>
      <w:r w:rsidRPr="00E923BE">
        <w:rPr>
          <w:rStyle w:val="SingleTxt"/>
          <w:rFonts w:cs="SimSun"/>
        </w:rPr>
        <w:t>5</w:t>
      </w:r>
      <w:r w:rsidRPr="00E923BE">
        <w:rPr>
          <w:rStyle w:val="SingleTxt"/>
          <w:rFonts w:cs="SimSun"/>
        </w:rPr>
        <w:t>条</w:t>
      </w:r>
      <w:r w:rsidRPr="00E923BE">
        <w:rPr>
          <w:rStyle w:val="SingleTxt"/>
          <w:rFonts w:cs="SimSun"/>
        </w:rPr>
        <w:t>b</w:t>
      </w:r>
      <w:r w:rsidRPr="00E923BE">
        <w:rPr>
          <w:rStyle w:val="SingleTxt"/>
          <w:rFonts w:cs="SimSun"/>
        </w:rPr>
        <w:t>项。在提高男子认识的工作方面，各军事单位开展了生殖保健和家庭培训。宗教官员也接受了培训，以便向男子传播生殖保健的知识。卫生部开展了</w:t>
      </w:r>
      <w:r w:rsidRPr="00E923BE">
        <w:rPr>
          <w:rStyle w:val="SingleTxt"/>
          <w:rFonts w:cs="SimSun"/>
          <w:cs/>
        </w:rPr>
        <w:t>“</w:t>
      </w:r>
      <w:r w:rsidRPr="00E923BE">
        <w:rPr>
          <w:rStyle w:val="SingleTxt"/>
          <w:rFonts w:cs="SimSun"/>
        </w:rPr>
        <w:t>婚前咨询课程</w:t>
      </w:r>
      <w:r w:rsidRPr="00E923BE">
        <w:rPr>
          <w:rStyle w:val="SingleTxt"/>
          <w:rFonts w:cs="SimSun"/>
          <w:cs/>
        </w:rPr>
        <w:t>”</w:t>
      </w:r>
      <w:r w:rsidRPr="00E923BE">
        <w:rPr>
          <w:rStyle w:val="SingleTxt"/>
          <w:rFonts w:cs="SimSun"/>
        </w:rPr>
        <w:t>和</w:t>
      </w:r>
      <w:r w:rsidRPr="00E923BE">
        <w:rPr>
          <w:rStyle w:val="SingleTxt"/>
          <w:rFonts w:cs="SimSun"/>
          <w:cs/>
        </w:rPr>
        <w:t>“</w:t>
      </w:r>
      <w:r w:rsidRPr="00E923BE">
        <w:rPr>
          <w:rStyle w:val="SingleTxt"/>
          <w:rFonts w:cs="SimSun"/>
        </w:rPr>
        <w:t>避孕方法课程</w:t>
      </w:r>
      <w:r w:rsidRPr="00E923BE">
        <w:rPr>
          <w:rStyle w:val="SingleTxt"/>
          <w:rFonts w:cs="SimSun"/>
          <w:cs/>
        </w:rPr>
        <w:t>”</w:t>
      </w:r>
      <w:r w:rsidRPr="00E923BE">
        <w:rPr>
          <w:rStyle w:val="SingleTxt"/>
          <w:rFonts w:cs="SimSun"/>
        </w:rPr>
        <w:t>等生殖保健宣传活动。家庭保健和社区保健中心组织了公共认识培训。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145.</w:t>
      </w:r>
      <w:r w:rsidRPr="00E923BE">
        <w:rPr>
          <w:rStyle w:val="SingleTxt"/>
          <w:rFonts w:cs="SimSun"/>
        </w:rPr>
        <w:tab/>
      </w:r>
      <w:r w:rsidRPr="00E923BE">
        <w:rPr>
          <w:rStyle w:val="SingleTxt"/>
          <w:rFonts w:cs="SimSun"/>
        </w:rPr>
        <w:t>生殖保健和性传播疾病这一主题也被纳入从</w:t>
      </w:r>
      <w:r>
        <w:rPr>
          <w:rStyle w:val="SingleTxt"/>
          <w:rFonts w:cs="SimSun" w:hint="eastAsia"/>
        </w:rPr>
        <w:t>八</w:t>
      </w:r>
      <w:r w:rsidRPr="00E923BE">
        <w:rPr>
          <w:rStyle w:val="SingleTxt"/>
          <w:rFonts w:cs="SimSun"/>
        </w:rPr>
        <w:t>年级起的教育课程中，以尽早提高认识。</w:t>
      </w:r>
    </w:p>
    <w:p w:rsidR="005C05C5" w:rsidRPr="00E923BE" w:rsidRDefault="005C05C5" w:rsidP="005C05C5">
      <w:pPr>
        <w:pStyle w:val="SingleTxtGC"/>
        <w:spacing w:before="240" w:after="240"/>
        <w:rPr>
          <w:rFonts w:eastAsia="SimHei" w:cs="Arial"/>
          <w:bCs/>
          <w:szCs w:val="21"/>
        </w:rPr>
      </w:pPr>
      <w:r>
        <w:rPr>
          <w:rFonts w:eastAsia="SimHei" w:cs="Arial"/>
          <w:bCs/>
          <w:szCs w:val="21"/>
        </w:rPr>
        <w:br w:type="page"/>
      </w:r>
      <w:r w:rsidRPr="00E923BE">
        <w:rPr>
          <w:rFonts w:eastAsia="SimHei" w:cs="Arial"/>
          <w:bCs/>
          <w:szCs w:val="21"/>
        </w:rPr>
        <w:t>第</w:t>
      </w:r>
      <w:r w:rsidRPr="00E923BE">
        <w:rPr>
          <w:rFonts w:eastAsia="SimHei" w:cs="Arial"/>
          <w:b/>
          <w:bCs/>
          <w:szCs w:val="21"/>
        </w:rPr>
        <w:t>11.1</w:t>
      </w:r>
      <w:r w:rsidRPr="00E923BE">
        <w:rPr>
          <w:rFonts w:eastAsia="SimHei" w:cs="Arial"/>
          <w:bCs/>
          <w:szCs w:val="21"/>
        </w:rPr>
        <w:t>条</w:t>
      </w:r>
      <w:r w:rsidRPr="00E923BE">
        <w:rPr>
          <w:rFonts w:eastAsia="SimHei" w:cs="Arial"/>
          <w:b/>
          <w:bCs/>
          <w:szCs w:val="21"/>
        </w:rPr>
        <w:t>a</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146.</w:t>
      </w:r>
      <w:r w:rsidRPr="00E923BE">
        <w:rPr>
          <w:rStyle w:val="SingleTxt"/>
          <w:rFonts w:cs="SimSun"/>
        </w:rPr>
        <w:tab/>
      </w:r>
      <w:r w:rsidRPr="00E923BE">
        <w:rPr>
          <w:rStyle w:val="SingleTxt"/>
          <w:rFonts w:cs="SimSun"/>
        </w:rPr>
        <w:t>近年来在土耳其实施的政策和项目已见成效，妇女参与劳动力和就业的情况有所改善。</w:t>
      </w:r>
      <w:r w:rsidRPr="00E923BE">
        <w:rPr>
          <w:rStyle w:val="SingleTxt"/>
          <w:rFonts w:cs="SimSun"/>
        </w:rPr>
        <w:t>2008</w:t>
      </w:r>
      <w:r w:rsidRPr="00E923BE">
        <w:rPr>
          <w:rStyle w:val="SingleTxt"/>
          <w:rFonts w:cs="SimSun"/>
        </w:rPr>
        <w:t>年的妇女劳动力参与率为</w:t>
      </w:r>
      <w:r w:rsidRPr="00E923BE">
        <w:rPr>
          <w:rStyle w:val="SingleTxt"/>
          <w:rFonts w:cs="SimSun"/>
        </w:rPr>
        <w:t>24.5%</w:t>
      </w:r>
      <w:r w:rsidRPr="00E923BE">
        <w:rPr>
          <w:rStyle w:val="SingleTxt"/>
          <w:rFonts w:cs="SimSun"/>
        </w:rPr>
        <w:t>，就业率为</w:t>
      </w:r>
      <w:r w:rsidRPr="00E923BE">
        <w:rPr>
          <w:rStyle w:val="SingleTxt"/>
          <w:rFonts w:cs="SimSun"/>
        </w:rPr>
        <w:t>21.6%</w:t>
      </w:r>
      <w:r w:rsidRPr="00E923BE">
        <w:rPr>
          <w:rStyle w:val="SingleTxt"/>
          <w:rFonts w:cs="SimSun"/>
        </w:rPr>
        <w:t>；而在</w:t>
      </w:r>
      <w:r w:rsidRPr="00E923BE">
        <w:rPr>
          <w:rStyle w:val="SingleTxt"/>
          <w:rFonts w:cs="SimSun"/>
        </w:rPr>
        <w:t>2013</w:t>
      </w:r>
      <w:r w:rsidRPr="00E923BE">
        <w:rPr>
          <w:rStyle w:val="SingleTxt"/>
          <w:rFonts w:cs="SimSun"/>
        </w:rPr>
        <w:t>年，这些比例已分别上升至</w:t>
      </w:r>
      <w:r w:rsidRPr="00E923BE">
        <w:rPr>
          <w:rStyle w:val="SingleTxt"/>
          <w:rFonts w:cs="SimSun"/>
        </w:rPr>
        <w:t>30.8%</w:t>
      </w:r>
      <w:r w:rsidRPr="00E923BE">
        <w:rPr>
          <w:rStyle w:val="SingleTxt"/>
          <w:rFonts w:cs="SimSun"/>
        </w:rPr>
        <w:t>和</w:t>
      </w:r>
      <w:r w:rsidRPr="00E923BE">
        <w:rPr>
          <w:rStyle w:val="SingleTxt"/>
          <w:rFonts w:cs="SimSun"/>
        </w:rPr>
        <w:t>27.1%</w:t>
      </w:r>
      <w:r w:rsidRPr="00E923BE">
        <w:rPr>
          <w:rStyle w:val="SingleTxt"/>
          <w:rFonts w:cs="SimSun"/>
        </w:rPr>
        <w:t>（见附件表</w:t>
      </w:r>
      <w:r w:rsidRPr="00E923BE">
        <w:rPr>
          <w:rStyle w:val="SingleTxt"/>
          <w:rFonts w:cs="SimSun"/>
        </w:rPr>
        <w:t>21</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147.</w:t>
      </w:r>
      <w:r w:rsidRPr="00E923BE">
        <w:rPr>
          <w:rStyle w:val="SingleTxt"/>
          <w:rFonts w:cs="SimSun"/>
        </w:rPr>
        <w:tab/>
        <w:t>2008</w:t>
      </w:r>
      <w:r w:rsidRPr="00E923BE">
        <w:rPr>
          <w:rStyle w:val="SingleTxt"/>
          <w:rFonts w:cs="SimSun"/>
        </w:rPr>
        <w:t>年妇女失业率为</w:t>
      </w:r>
      <w:r w:rsidRPr="00E923BE">
        <w:rPr>
          <w:rStyle w:val="SingleTxt"/>
          <w:rFonts w:cs="SimSun"/>
        </w:rPr>
        <w:t>11.6%</w:t>
      </w:r>
      <w:r w:rsidRPr="00E923BE">
        <w:rPr>
          <w:rStyle w:val="SingleTxt"/>
          <w:rFonts w:cs="SimSun"/>
        </w:rPr>
        <w:t>；而在</w:t>
      </w:r>
      <w:r w:rsidRPr="00E923BE">
        <w:rPr>
          <w:rStyle w:val="SingleTxt"/>
          <w:rFonts w:cs="SimSun"/>
        </w:rPr>
        <w:t>2013</w:t>
      </w:r>
      <w:r w:rsidRPr="00E923BE">
        <w:rPr>
          <w:rStyle w:val="SingleTxt"/>
          <w:rFonts w:cs="SimSun"/>
        </w:rPr>
        <w:t>年，该比例上升至</w:t>
      </w:r>
      <w:r w:rsidRPr="00E923BE">
        <w:rPr>
          <w:rStyle w:val="SingleTxt"/>
          <w:rFonts w:cs="SimSun"/>
        </w:rPr>
        <w:t>11.9%</w:t>
      </w:r>
      <w:r w:rsidRPr="00E923BE">
        <w:rPr>
          <w:rStyle w:val="SingleTxt"/>
          <w:rFonts w:cs="SimSun"/>
        </w:rPr>
        <w:t>（见附件表</w:t>
      </w:r>
      <w:r w:rsidRPr="00E923BE">
        <w:rPr>
          <w:rStyle w:val="SingleTxt"/>
          <w:rFonts w:cs="SimSun"/>
        </w:rPr>
        <w:t>22</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148.</w:t>
      </w:r>
      <w:r w:rsidRPr="00E923BE">
        <w:rPr>
          <w:rStyle w:val="SingleTxt"/>
          <w:rFonts w:cs="SimSun"/>
        </w:rPr>
        <w:tab/>
      </w:r>
      <w:r w:rsidRPr="00E923BE">
        <w:rPr>
          <w:rStyle w:val="SingleTxt"/>
          <w:rFonts w:cs="SimSun"/>
        </w:rPr>
        <w:t>妇女占土耳其总就业人数的</w:t>
      </w:r>
      <w:r w:rsidRPr="00E923BE">
        <w:rPr>
          <w:rStyle w:val="SingleTxt"/>
          <w:rFonts w:cs="SimSun"/>
        </w:rPr>
        <w:t>42.4%</w:t>
      </w:r>
      <w:r w:rsidRPr="00E923BE">
        <w:rPr>
          <w:rStyle w:val="SingleTxt"/>
          <w:rFonts w:cs="SimSun"/>
        </w:rPr>
        <w:t>（土耳其统计局</w:t>
      </w:r>
      <w:r w:rsidRPr="00E923BE">
        <w:rPr>
          <w:rStyle w:val="SingleTxt"/>
          <w:rFonts w:cs="SimSun"/>
        </w:rPr>
        <w:t>2013</w:t>
      </w:r>
      <w:r w:rsidRPr="00E923BE">
        <w:rPr>
          <w:rStyle w:val="SingleTxt"/>
          <w:rFonts w:cs="SimSun"/>
        </w:rPr>
        <w:t>年数据）。</w:t>
      </w:r>
      <w:r w:rsidRPr="00E923BE">
        <w:rPr>
          <w:rStyle w:val="SingleTxt"/>
          <w:rFonts w:cs="SimSun"/>
        </w:rPr>
        <w:t>2008</w:t>
      </w:r>
      <w:r w:rsidRPr="00E923BE">
        <w:rPr>
          <w:rStyle w:val="SingleTxt"/>
          <w:rFonts w:cs="SimSun"/>
        </w:rPr>
        <w:t>年就业妇女中从事非正规就业的比例为</w:t>
      </w:r>
      <w:r w:rsidRPr="00E923BE">
        <w:rPr>
          <w:rStyle w:val="SingleTxt"/>
          <w:rFonts w:cs="SimSun"/>
        </w:rPr>
        <w:t>58.4%</w:t>
      </w:r>
      <w:r w:rsidRPr="00E923BE">
        <w:rPr>
          <w:rStyle w:val="SingleTxt"/>
          <w:rFonts w:cs="SimSun"/>
        </w:rPr>
        <w:t>，在</w:t>
      </w:r>
      <w:r w:rsidRPr="00E923BE">
        <w:rPr>
          <w:rStyle w:val="SingleTxt"/>
          <w:rFonts w:cs="SimSun"/>
        </w:rPr>
        <w:t>2013</w:t>
      </w:r>
      <w:r w:rsidRPr="00E923BE">
        <w:rPr>
          <w:rStyle w:val="SingleTxt"/>
          <w:rFonts w:cs="SimSun"/>
        </w:rPr>
        <w:t>年下降至</w:t>
      </w:r>
      <w:r w:rsidRPr="00E923BE">
        <w:rPr>
          <w:rStyle w:val="SingleTxt"/>
          <w:rFonts w:cs="SimSun"/>
        </w:rPr>
        <w:t>51.9%</w:t>
      </w:r>
      <w:r w:rsidRPr="00E923BE">
        <w:rPr>
          <w:rStyle w:val="SingleTxt"/>
          <w:rFonts w:cs="SimSun"/>
        </w:rPr>
        <w:t>。其中非正规就业率最高的是无报酬家庭女工（占</w:t>
      </w:r>
      <w:r w:rsidRPr="00E923BE">
        <w:rPr>
          <w:rStyle w:val="SingleTxt"/>
          <w:rFonts w:cs="SimSun"/>
        </w:rPr>
        <w:t>95%</w:t>
      </w:r>
      <w:r w:rsidRPr="00E923BE">
        <w:rPr>
          <w:rStyle w:val="SingleTxt"/>
          <w:rFonts w:cs="SimSun"/>
        </w:rPr>
        <w:t>）（附件表</w:t>
      </w:r>
      <w:r w:rsidRPr="00E923BE">
        <w:rPr>
          <w:rStyle w:val="SingleTxt"/>
          <w:rFonts w:cs="SimSun"/>
        </w:rPr>
        <w:t>23</w:t>
      </w:r>
      <w:r w:rsidRPr="00E923BE">
        <w:rPr>
          <w:rStyle w:val="SingleTxt"/>
          <w:rFonts w:cs="SimSun"/>
        </w:rPr>
        <w:t>）。《第十个发展计划》包含了降低非正规劳动者比例的目标和战略。</w:t>
      </w:r>
    </w:p>
    <w:p w:rsidR="005C05C5" w:rsidRPr="00E923BE" w:rsidRDefault="005C05C5" w:rsidP="005C05C5">
      <w:pPr>
        <w:pStyle w:val="SingleTxt"/>
        <w:spacing w:after="120"/>
        <w:ind w:left="1134" w:right="1134"/>
      </w:pPr>
      <w:r w:rsidRPr="00E923BE">
        <w:rPr>
          <w:rStyle w:val="SingleTxt"/>
          <w:rFonts w:cs="SimSun"/>
        </w:rPr>
        <w:t>149.</w:t>
      </w:r>
      <w:r w:rsidRPr="00E923BE">
        <w:rPr>
          <w:rStyle w:val="SingleTxt"/>
          <w:rFonts w:cs="SimSun"/>
        </w:rPr>
        <w:tab/>
      </w:r>
      <w:r w:rsidRPr="00E923BE">
        <w:rPr>
          <w:rStyle w:val="SingleTxt"/>
          <w:rFonts w:cs="SimSun"/>
        </w:rPr>
        <w:t>在女性劳动力中，</w:t>
      </w:r>
      <w:r w:rsidRPr="00E923BE">
        <w:rPr>
          <w:rStyle w:val="SingleTxt"/>
          <w:rFonts w:cs="SimSun"/>
        </w:rPr>
        <w:t>56.6%</w:t>
      </w:r>
      <w:r w:rsidRPr="00E923BE">
        <w:rPr>
          <w:rStyle w:val="SingleTxt"/>
          <w:rFonts w:cs="SimSun"/>
        </w:rPr>
        <w:t>为有报酬或临时劳动者；</w:t>
      </w:r>
      <w:r w:rsidRPr="00E923BE">
        <w:rPr>
          <w:rStyle w:val="SingleTxt"/>
          <w:rFonts w:cs="SimSun"/>
        </w:rPr>
        <w:t>31.5%</w:t>
      </w:r>
      <w:r w:rsidRPr="00E923BE">
        <w:rPr>
          <w:rStyle w:val="SingleTxt"/>
          <w:rFonts w:cs="SimSun"/>
        </w:rPr>
        <w:t>为无报酬家庭工人；</w:t>
      </w:r>
      <w:r w:rsidRPr="00E923BE">
        <w:rPr>
          <w:rStyle w:val="SingleTxt"/>
          <w:rFonts w:cs="SimSun"/>
        </w:rPr>
        <w:t>10.7%</w:t>
      </w:r>
      <w:r w:rsidRPr="00E923BE">
        <w:rPr>
          <w:rStyle w:val="SingleTxt"/>
          <w:rFonts w:cs="SimSun"/>
        </w:rPr>
        <w:t>为自雇职业者；以及</w:t>
      </w:r>
      <w:r w:rsidRPr="00E923BE">
        <w:rPr>
          <w:rStyle w:val="SingleTxt"/>
          <w:rFonts w:cs="SimSun"/>
        </w:rPr>
        <w:t>1.2%</w:t>
      </w:r>
      <w:r w:rsidRPr="00E923BE">
        <w:rPr>
          <w:rStyle w:val="SingleTxt"/>
          <w:rFonts w:cs="SimSun"/>
        </w:rPr>
        <w:t>为雇主。土耳其女企业家的比例为</w:t>
      </w:r>
      <w:r w:rsidRPr="00E923BE">
        <w:rPr>
          <w:rStyle w:val="SingleTxt"/>
          <w:rFonts w:cs="SimSun"/>
        </w:rPr>
        <w:t>11.9%</w:t>
      </w:r>
      <w:r w:rsidRPr="00E923BE">
        <w:rPr>
          <w:rStyle w:val="SingleTxt"/>
          <w:rFonts w:cs="SimSun"/>
        </w:rPr>
        <w:t>，男企业家的比例为</w:t>
      </w:r>
      <w:r w:rsidRPr="00E923BE">
        <w:rPr>
          <w:rStyle w:val="SingleTxt"/>
          <w:rFonts w:cs="SimSun"/>
        </w:rPr>
        <w:t>28.2%</w:t>
      </w:r>
      <w:r w:rsidRPr="00E923BE">
        <w:rPr>
          <w:rStyle w:val="SingleTxt"/>
          <w:rFonts w:cs="SimSun"/>
        </w:rPr>
        <w:t>。土耳其指出，在妇女就业中，无报酬家庭工人的比例逐渐下降（从</w:t>
      </w:r>
      <w:r w:rsidRPr="00E923BE">
        <w:rPr>
          <w:rStyle w:val="SingleTxt"/>
          <w:rFonts w:cs="SimSun"/>
        </w:rPr>
        <w:t>2008</w:t>
      </w:r>
      <w:r w:rsidRPr="00E923BE">
        <w:rPr>
          <w:rStyle w:val="SingleTxt"/>
          <w:rFonts w:cs="SimSun"/>
        </w:rPr>
        <w:t>年的</w:t>
      </w:r>
      <w:r w:rsidRPr="00E923BE">
        <w:rPr>
          <w:rStyle w:val="SingleTxt"/>
          <w:rFonts w:cs="SimSun"/>
        </w:rPr>
        <w:t>34.4%</w:t>
      </w:r>
      <w:r w:rsidRPr="00E923BE">
        <w:rPr>
          <w:rStyle w:val="SingleTxt"/>
          <w:rFonts w:cs="SimSun"/>
        </w:rPr>
        <w:t>下降至</w:t>
      </w:r>
      <w:r w:rsidRPr="00E923BE">
        <w:rPr>
          <w:rStyle w:val="SingleTxt"/>
          <w:rFonts w:cs="SimSun"/>
        </w:rPr>
        <w:t>2013</w:t>
      </w:r>
      <w:r w:rsidRPr="00E923BE">
        <w:rPr>
          <w:rStyle w:val="SingleTxt"/>
          <w:rFonts w:cs="SimSun"/>
        </w:rPr>
        <w:t>年的</w:t>
      </w:r>
      <w:r w:rsidRPr="00E923BE">
        <w:rPr>
          <w:rStyle w:val="SingleTxt"/>
          <w:rFonts w:cs="SimSun"/>
        </w:rPr>
        <w:t>31.5%</w:t>
      </w:r>
      <w:r w:rsidRPr="00E923BE">
        <w:rPr>
          <w:rStyle w:val="SingleTxt"/>
          <w:rFonts w:cs="SimSun"/>
        </w:rPr>
        <w:t>），而有报酬或临时劳动者的比例有所增加（从</w:t>
      </w:r>
      <w:r w:rsidRPr="00E923BE">
        <w:rPr>
          <w:rStyle w:val="SingleTxt"/>
          <w:rFonts w:cs="SimSun"/>
        </w:rPr>
        <w:t>2008</w:t>
      </w:r>
      <w:r w:rsidRPr="00E923BE">
        <w:rPr>
          <w:rStyle w:val="SingleTxt"/>
          <w:rFonts w:cs="SimSun"/>
        </w:rPr>
        <w:t>年的</w:t>
      </w:r>
      <w:r w:rsidRPr="00E923BE">
        <w:rPr>
          <w:rStyle w:val="SingleTxt"/>
          <w:rFonts w:cs="SimSun"/>
        </w:rPr>
        <w:t>53.2%</w:t>
      </w:r>
      <w:r w:rsidRPr="00E923BE">
        <w:rPr>
          <w:rStyle w:val="SingleTxt"/>
          <w:rFonts w:cs="SimSun"/>
        </w:rPr>
        <w:t>上升到</w:t>
      </w:r>
      <w:r w:rsidRPr="00E923BE">
        <w:rPr>
          <w:rStyle w:val="SingleTxt"/>
          <w:rFonts w:cs="SimSun"/>
        </w:rPr>
        <w:t>2013</w:t>
      </w:r>
      <w:r w:rsidRPr="00E923BE">
        <w:rPr>
          <w:rStyle w:val="SingleTxt"/>
          <w:rFonts w:cs="SimSun"/>
        </w:rPr>
        <w:t>年的</w:t>
      </w:r>
      <w:r w:rsidRPr="00E923BE">
        <w:rPr>
          <w:rStyle w:val="SingleTxt"/>
          <w:rFonts w:cs="SimSun"/>
        </w:rPr>
        <w:t>56.6%</w:t>
      </w:r>
      <w:r w:rsidRPr="00E923BE">
        <w:rPr>
          <w:rStyle w:val="SingleTxt"/>
          <w:rFonts w:cs="SimSun"/>
        </w:rPr>
        <w:t>）（见附件表</w:t>
      </w:r>
      <w:r w:rsidRPr="00E923BE">
        <w:rPr>
          <w:rStyle w:val="SingleTxt"/>
          <w:rFonts w:cs="SimSun"/>
        </w:rPr>
        <w:t>24</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150.</w:t>
      </w:r>
      <w:r w:rsidRPr="00E923BE">
        <w:rPr>
          <w:rStyle w:val="SingleTxt"/>
          <w:rFonts w:cs="SimSun"/>
        </w:rPr>
        <w:tab/>
      </w:r>
      <w:r w:rsidRPr="00E923BE">
        <w:rPr>
          <w:rStyle w:val="SingleTxt"/>
          <w:rFonts w:cs="SimSun"/>
        </w:rPr>
        <w:t>妇女被排除于劳动力市场的最普遍原因是她们需要承担家庭责任，这一原因在所有原因中占的比例为</w:t>
      </w:r>
      <w:r w:rsidRPr="00E923BE">
        <w:rPr>
          <w:rStyle w:val="SingleTxt"/>
          <w:rFonts w:cs="SimSun"/>
        </w:rPr>
        <w:t>58.7%</w:t>
      </w:r>
      <w:r w:rsidRPr="00E923BE">
        <w:rPr>
          <w:rStyle w:val="SingleTxt"/>
          <w:rFonts w:cs="SimSun" w:hint="eastAsia"/>
        </w:rPr>
        <w:t>。</w:t>
      </w:r>
      <w:r w:rsidRPr="00E923BE">
        <w:rPr>
          <w:rStyle w:val="SingleTxt"/>
          <w:rFonts w:cs="SimSun"/>
          <w:spacing w:val="2"/>
        </w:rPr>
        <w:t>继家庭责任后的第二大原因是教育背景（见附件表</w:t>
      </w:r>
      <w:r w:rsidRPr="00E923BE">
        <w:rPr>
          <w:rStyle w:val="SingleTxt"/>
          <w:rFonts w:cs="SimSun"/>
          <w:spacing w:val="2"/>
        </w:rPr>
        <w:t>25</w:t>
      </w:r>
      <w:r w:rsidRPr="00E923BE">
        <w:rPr>
          <w:rStyle w:val="SingleTxt"/>
          <w:rFonts w:cs="SimSun"/>
          <w:spacing w:val="2"/>
        </w:rPr>
        <w:t>）。</w:t>
      </w:r>
      <w:r w:rsidRPr="00E923BE">
        <w:rPr>
          <w:rStyle w:val="SingleTxt"/>
          <w:rFonts w:cs="SimSun"/>
        </w:rPr>
        <w:t>在按教育程度分类的妇女劳动参与情况方面，参与率最高的类别是高等教育毕业生，为</w:t>
      </w:r>
      <w:r w:rsidRPr="00E923BE">
        <w:rPr>
          <w:rStyle w:val="SingleTxt"/>
          <w:rFonts w:cs="SimSun"/>
        </w:rPr>
        <w:t>72.2%</w:t>
      </w:r>
      <w:r w:rsidRPr="00E923BE">
        <w:rPr>
          <w:rStyle w:val="SingleTxt"/>
          <w:rFonts w:cs="SimSun"/>
        </w:rPr>
        <w:t>（</w:t>
      </w:r>
      <w:r w:rsidRPr="00E923BE">
        <w:rPr>
          <w:rStyle w:val="SingleTxt"/>
          <w:rFonts w:cs="SimSun"/>
        </w:rPr>
        <w:t>2013</w:t>
      </w:r>
      <w:r w:rsidRPr="00E923BE">
        <w:rPr>
          <w:rStyle w:val="SingleTxt"/>
          <w:rFonts w:cs="SimSun"/>
        </w:rPr>
        <w:t>年）。这一教育程度上的男女劳动参与率差距最小（见附件表</w:t>
      </w:r>
      <w:r w:rsidRPr="00E923BE">
        <w:rPr>
          <w:rStyle w:val="SingleTxt"/>
          <w:rFonts w:cs="SimSun"/>
        </w:rPr>
        <w:t>26</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151.</w:t>
      </w:r>
      <w:r w:rsidRPr="00E923BE">
        <w:rPr>
          <w:rStyle w:val="SingleTxt"/>
          <w:rFonts w:cs="SimSun"/>
        </w:rPr>
        <w:tab/>
      </w:r>
      <w:r w:rsidRPr="00E923BE">
        <w:rPr>
          <w:rStyle w:val="SingleTxt"/>
          <w:rFonts w:cs="SimSun"/>
        </w:rPr>
        <w:t>妇女就业最集中的行业包括服务业（</w:t>
      </w:r>
      <w:r w:rsidRPr="00E923BE">
        <w:rPr>
          <w:rStyle w:val="SingleTxt"/>
          <w:rFonts w:cs="SimSun"/>
        </w:rPr>
        <w:t>47.7%</w:t>
      </w:r>
      <w:r w:rsidRPr="00E923BE">
        <w:rPr>
          <w:rStyle w:val="SingleTxt"/>
          <w:rFonts w:cs="SimSun"/>
        </w:rPr>
        <w:t>）、农业（</w:t>
      </w:r>
      <w:r w:rsidRPr="00E923BE">
        <w:rPr>
          <w:rStyle w:val="SingleTxt"/>
          <w:rFonts w:cs="SimSun"/>
        </w:rPr>
        <w:t>37.0%</w:t>
      </w:r>
      <w:r w:rsidRPr="00E923BE">
        <w:rPr>
          <w:rStyle w:val="SingleTxt"/>
          <w:rFonts w:cs="SimSun"/>
        </w:rPr>
        <w:t>）和工业（</w:t>
      </w:r>
      <w:r w:rsidRPr="00E923BE">
        <w:rPr>
          <w:rStyle w:val="SingleTxt"/>
          <w:rFonts w:cs="SimSun"/>
        </w:rPr>
        <w:t>15.3%</w:t>
      </w:r>
      <w:r w:rsidRPr="00E923BE">
        <w:rPr>
          <w:rStyle w:val="SingleTxt"/>
          <w:rFonts w:cs="SimSun"/>
        </w:rPr>
        <w:t>）。对比</w:t>
      </w:r>
      <w:r w:rsidRPr="00E923BE">
        <w:rPr>
          <w:rStyle w:val="SingleTxt"/>
          <w:rFonts w:cs="SimSun"/>
        </w:rPr>
        <w:t>2008</w:t>
      </w:r>
      <w:r w:rsidRPr="00E923BE">
        <w:rPr>
          <w:rStyle w:val="SingleTxt"/>
          <w:rFonts w:cs="SimSun"/>
        </w:rPr>
        <w:t>年的数据可以发现，妇女就业正在经历从农业到服务业的转变（见附件表</w:t>
      </w:r>
      <w:r w:rsidRPr="00E923BE">
        <w:rPr>
          <w:rStyle w:val="SingleTxt"/>
          <w:rFonts w:cs="SimSun"/>
        </w:rPr>
        <w:t>27</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152.</w:t>
      </w:r>
      <w:r w:rsidRPr="00E923BE">
        <w:rPr>
          <w:rStyle w:val="SingleTxt"/>
          <w:rFonts w:cs="SimSun"/>
        </w:rPr>
        <w:tab/>
      </w:r>
      <w:r w:rsidRPr="00E923BE">
        <w:rPr>
          <w:rStyle w:val="SingleTxt"/>
          <w:rFonts w:cs="SimSun"/>
        </w:rPr>
        <w:t>国家法律在妇女参加工作或后期继续就业方面不存在任何形式的歧视（见</w:t>
      </w:r>
      <w:r>
        <w:rPr>
          <w:rStyle w:val="SingleTxt"/>
          <w:rFonts w:cs="SimSun"/>
        </w:rPr>
        <w:t>第六次报告</w:t>
      </w:r>
      <w:r w:rsidRPr="00E923BE">
        <w:rPr>
          <w:rStyle w:val="SingleTxt"/>
          <w:rFonts w:cs="SimSun"/>
        </w:rPr>
        <w:t>）。关于就业特别临时措施，见第</w:t>
      </w:r>
      <w:r w:rsidRPr="00E923BE">
        <w:rPr>
          <w:rStyle w:val="SingleTxt"/>
          <w:rFonts w:cs="SimSun"/>
        </w:rPr>
        <w:t>4.1</w:t>
      </w:r>
      <w:r w:rsidRPr="00E923BE">
        <w:rPr>
          <w:rStyle w:val="SingleTxt"/>
          <w:rFonts w:cs="SimSun"/>
        </w:rPr>
        <w:t>条。鉴于</w:t>
      </w:r>
      <w:r>
        <w:rPr>
          <w:rStyle w:val="SingleTxt"/>
          <w:rFonts w:cs="SimSun"/>
        </w:rPr>
        <w:t>结论性意见</w:t>
      </w:r>
      <w:r w:rsidRPr="00E923BE">
        <w:rPr>
          <w:rStyle w:val="SingleTxt"/>
          <w:rFonts w:cs="SimSun"/>
        </w:rPr>
        <w:t>第</w:t>
      </w:r>
      <w:r w:rsidRPr="00E923BE">
        <w:rPr>
          <w:rStyle w:val="SingleTxt"/>
          <w:rFonts w:cs="SimSun"/>
        </w:rPr>
        <w:t>32</w:t>
      </w:r>
      <w:r w:rsidRPr="00E923BE">
        <w:rPr>
          <w:rStyle w:val="SingleTxt"/>
          <w:rFonts w:cs="SimSun"/>
        </w:rPr>
        <w:t>段和第</w:t>
      </w:r>
      <w:r w:rsidRPr="00E923BE">
        <w:rPr>
          <w:rStyle w:val="SingleTxt"/>
          <w:rFonts w:cs="SimSun"/>
        </w:rPr>
        <w:t>33</w:t>
      </w:r>
      <w:r w:rsidRPr="00E923BE">
        <w:rPr>
          <w:rStyle w:val="SingleTxt"/>
          <w:rFonts w:cs="SimSun"/>
        </w:rPr>
        <w:t>段的建议，</w:t>
      </w:r>
      <w:r w:rsidRPr="00E923BE">
        <w:rPr>
          <w:rStyle w:val="SingleTxt"/>
          <w:rFonts w:cs="SimSun" w:hint="eastAsia"/>
        </w:rPr>
        <w:t>土耳其</w:t>
      </w:r>
      <w:r w:rsidRPr="00E923BE">
        <w:rPr>
          <w:rStyle w:val="SingleTxt"/>
          <w:rFonts w:cs="SimSun"/>
        </w:rPr>
        <w:t>已开展各种活动</w:t>
      </w:r>
      <w:r w:rsidRPr="00E923BE">
        <w:rPr>
          <w:rStyle w:val="SingleTxt"/>
          <w:rFonts w:cs="SimSun" w:hint="eastAsia"/>
        </w:rPr>
        <w:t>，以</w:t>
      </w:r>
      <w:r w:rsidRPr="00E923BE">
        <w:rPr>
          <w:rStyle w:val="SingleTxt"/>
          <w:rFonts w:cs="SimSun"/>
        </w:rPr>
        <w:t>改善妇女的工作环境并消除劳动力市场的偏见（另见第</w:t>
      </w:r>
      <w:r w:rsidRPr="00E923BE">
        <w:rPr>
          <w:rStyle w:val="SingleTxt"/>
          <w:rFonts w:cs="SimSun"/>
        </w:rPr>
        <w:t>11.1</w:t>
      </w:r>
      <w:r w:rsidRPr="00E923BE">
        <w:rPr>
          <w:rStyle w:val="SingleTxt"/>
          <w:rFonts w:cs="SimSun"/>
        </w:rPr>
        <w:t>条</w:t>
      </w:r>
      <w:r w:rsidRPr="00E923BE">
        <w:rPr>
          <w:rStyle w:val="SingleTxt"/>
          <w:rFonts w:cs="SimSun"/>
        </w:rPr>
        <w:t>b</w:t>
      </w:r>
      <w:r w:rsidRPr="00E923BE">
        <w:rPr>
          <w:rStyle w:val="SingleTxt"/>
          <w:rFonts w:cs="SimSun"/>
        </w:rPr>
        <w:t>款和第</w:t>
      </w:r>
      <w:r w:rsidRPr="00E923BE">
        <w:rPr>
          <w:rStyle w:val="SingleTxt"/>
          <w:rFonts w:cs="SimSun"/>
        </w:rPr>
        <w:t>11-2</w:t>
      </w:r>
      <w:r w:rsidRPr="00E923BE">
        <w:rPr>
          <w:rStyle w:val="SingleTxt"/>
          <w:rFonts w:cs="SimSun"/>
        </w:rPr>
        <w:t>条）。</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153.</w:t>
      </w:r>
      <w:r w:rsidRPr="00E923BE">
        <w:rPr>
          <w:rStyle w:val="SingleTxt"/>
          <w:rFonts w:cs="SimSun"/>
        </w:rPr>
        <w:tab/>
      </w:r>
      <w:r w:rsidRPr="00E923BE">
        <w:rPr>
          <w:rStyle w:val="SingleTxt"/>
          <w:rFonts w:cs="SimSun"/>
        </w:rPr>
        <w:t>土耳其已制定了国家就业战略，以解决劳动力市场的结构性问题，并且使就业问题得到长期解决。该战略的目标是在</w:t>
      </w:r>
      <w:r w:rsidRPr="00E923BE">
        <w:rPr>
          <w:rStyle w:val="SingleTxt"/>
          <w:rFonts w:cs="SimSun"/>
        </w:rPr>
        <w:t>2023</w:t>
      </w:r>
      <w:r w:rsidRPr="00E923BE">
        <w:rPr>
          <w:rStyle w:val="SingleTxt"/>
          <w:rFonts w:cs="SimSun"/>
        </w:rPr>
        <w:t>年前把妇女参与劳动力的比例提高到</w:t>
      </w:r>
      <w:r w:rsidRPr="00E923BE">
        <w:rPr>
          <w:rStyle w:val="SingleTxt"/>
          <w:rFonts w:cs="SimSun"/>
        </w:rPr>
        <w:t>41%</w:t>
      </w:r>
      <w:r w:rsidRPr="00E923BE">
        <w:rPr>
          <w:rStyle w:val="SingleTxt"/>
          <w:rFonts w:cs="SimSun"/>
        </w:rPr>
        <w:t>，并且把非正规就业率下降到</w:t>
      </w:r>
      <w:r w:rsidRPr="00E923BE">
        <w:rPr>
          <w:rStyle w:val="SingleTxt"/>
          <w:rFonts w:cs="SimSun"/>
        </w:rPr>
        <w:t>30%</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154.</w:t>
      </w:r>
      <w:r w:rsidRPr="00E923BE">
        <w:rPr>
          <w:rStyle w:val="SingleTxt"/>
          <w:rFonts w:cs="SimSun"/>
        </w:rPr>
        <w:tab/>
      </w:r>
      <w:r w:rsidRPr="00E923BE">
        <w:rPr>
          <w:rStyle w:val="SingleTxt"/>
          <w:rFonts w:cs="SimSun"/>
        </w:rPr>
        <w:t>在一个名为</w:t>
      </w:r>
      <w:r w:rsidRPr="00E923BE">
        <w:rPr>
          <w:rStyle w:val="SingleTxt"/>
          <w:rFonts w:cs="SimSun"/>
          <w:cs/>
        </w:rPr>
        <w:t>“</w:t>
      </w:r>
      <w:r w:rsidRPr="00E923BE">
        <w:rPr>
          <w:rStyle w:val="SingleTxt"/>
          <w:rFonts w:cs="SimSun"/>
        </w:rPr>
        <w:t>为妇女提供更多更好工作：在土耳其开展妇女赋权以实现体面就业</w:t>
      </w:r>
      <w:r w:rsidRPr="00E923BE">
        <w:rPr>
          <w:rStyle w:val="SingleTxt"/>
          <w:rFonts w:cs="SimSun"/>
          <w:cs/>
        </w:rPr>
        <w:t>”</w:t>
      </w:r>
      <w:r w:rsidRPr="00E923BE">
        <w:rPr>
          <w:rStyle w:val="SingleTxt"/>
          <w:rFonts w:cs="SimSun"/>
        </w:rPr>
        <w:t>的项目下，国际劳工组织和土耳其就业机构正在合作为《妇女就业行动计划》开展筹备工作。</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155.</w:t>
      </w:r>
      <w:r w:rsidRPr="00E923BE">
        <w:rPr>
          <w:rStyle w:val="SingleTxt"/>
          <w:rFonts w:cs="SimSun"/>
        </w:rPr>
        <w:tab/>
      </w:r>
      <w:r w:rsidRPr="00E923BE">
        <w:rPr>
          <w:rStyle w:val="SingleTxt"/>
          <w:rFonts w:cs="SimSun"/>
        </w:rPr>
        <w:t>自</w:t>
      </w:r>
      <w:r w:rsidRPr="00E923BE">
        <w:rPr>
          <w:rStyle w:val="SingleTxt"/>
          <w:rFonts w:cs="SimSun"/>
        </w:rPr>
        <w:t>2012</w:t>
      </w:r>
      <w:r w:rsidRPr="00E923BE">
        <w:rPr>
          <w:rStyle w:val="SingleTxt"/>
          <w:rFonts w:cs="SimSun"/>
        </w:rPr>
        <w:t>年以来，土耳其各地已举办了多场</w:t>
      </w:r>
      <w:r w:rsidRPr="00E923BE">
        <w:rPr>
          <w:rStyle w:val="SingleTxt"/>
          <w:rFonts w:cs="SimSun"/>
          <w:cs/>
        </w:rPr>
        <w:t>“</w:t>
      </w:r>
      <w:r w:rsidRPr="00E923BE">
        <w:rPr>
          <w:rStyle w:val="SingleTxt"/>
          <w:rFonts w:cs="SimSun"/>
        </w:rPr>
        <w:t>逐步实现安纳托利亚会议</w:t>
      </w:r>
      <w:r w:rsidRPr="00E923BE">
        <w:rPr>
          <w:rStyle w:val="SingleTxt"/>
          <w:rFonts w:cs="SimSun"/>
          <w:cs/>
        </w:rPr>
        <w:t>”</w:t>
      </w:r>
      <w:r w:rsidRPr="00E923BE">
        <w:rPr>
          <w:rStyle w:val="SingleTxt"/>
          <w:rFonts w:cs="SimSun"/>
        </w:rPr>
        <w:t>，促进地方成功女企业家交流成果和分享成功经验。</w:t>
      </w:r>
    </w:p>
    <w:p w:rsidR="005C05C5" w:rsidRPr="00E923BE" w:rsidRDefault="005C05C5" w:rsidP="005C05C5">
      <w:pPr>
        <w:pStyle w:val="SingleTxt"/>
        <w:spacing w:after="120"/>
        <w:ind w:left="1134" w:right="1134"/>
      </w:pPr>
      <w:r w:rsidRPr="00E923BE">
        <w:rPr>
          <w:rStyle w:val="SingleTxt"/>
          <w:rFonts w:cs="SimSun"/>
        </w:rPr>
        <w:t>156.</w:t>
      </w:r>
      <w:r w:rsidRPr="00E923BE">
        <w:rPr>
          <w:rStyle w:val="SingleTxt"/>
          <w:rFonts w:cs="SimSun"/>
        </w:rPr>
        <w:tab/>
      </w:r>
      <w:r w:rsidRPr="00E923BE">
        <w:rPr>
          <w:rStyle w:val="SingleTxt"/>
          <w:rFonts w:cs="SimSun"/>
        </w:rPr>
        <w:t>在公共和私营部门的合作下，世界经济论坛性别平等工作队（在职平等平台）于</w:t>
      </w:r>
      <w:r w:rsidRPr="00E923BE">
        <w:rPr>
          <w:rStyle w:val="SingleTxt"/>
          <w:rFonts w:cs="SimSun"/>
        </w:rPr>
        <w:t>2013</w:t>
      </w:r>
      <w:r w:rsidRPr="00E923BE">
        <w:rPr>
          <w:rStyle w:val="SingleTxt"/>
          <w:rFonts w:cs="SimSun"/>
        </w:rPr>
        <w:t>年在家庭和社会政策部下属设立。在职平等平台在土耳其</w:t>
      </w:r>
      <w:r w:rsidRPr="00E923BE">
        <w:rPr>
          <w:rStyle w:val="SingleTxt"/>
          <w:rFonts w:cs="SimSun"/>
        </w:rPr>
        <w:t>76</w:t>
      </w:r>
      <w:r w:rsidRPr="00E923BE">
        <w:rPr>
          <w:rStyle w:val="SingleTxt"/>
          <w:rFonts w:cs="SimSun"/>
        </w:rPr>
        <w:t>家著名企业支持下成立，目标是在未来三年内把土耳其的经济参与和机会差距缩小</w:t>
      </w:r>
      <w:r w:rsidRPr="00E923BE">
        <w:rPr>
          <w:rStyle w:val="SingleTxt"/>
          <w:rFonts w:cs="SimSun"/>
        </w:rPr>
        <w:t>10%</w:t>
      </w:r>
      <w:r w:rsidRPr="00E923BE">
        <w:rPr>
          <w:rStyle w:val="SingleTxt"/>
          <w:rFonts w:cs="SimSun"/>
        </w:rPr>
        <w:t>，根据《性别差距报告》，该差距在</w:t>
      </w:r>
      <w:r w:rsidRPr="00E923BE">
        <w:rPr>
          <w:rStyle w:val="SingleTxt"/>
          <w:rFonts w:cs="SimSun"/>
        </w:rPr>
        <w:t>2012</w:t>
      </w:r>
      <w:r w:rsidRPr="00E923BE">
        <w:rPr>
          <w:rStyle w:val="SingleTxt"/>
          <w:rFonts w:cs="SimSun"/>
        </w:rPr>
        <w:t>年为</w:t>
      </w:r>
      <w:r w:rsidRPr="00E923BE">
        <w:rPr>
          <w:rStyle w:val="SingleTxt"/>
          <w:rFonts w:cs="SimSun"/>
        </w:rPr>
        <w:t>0.414</w:t>
      </w:r>
      <w:r w:rsidRPr="00E923BE">
        <w:rPr>
          <w:rStyle w:val="SingleTxt"/>
          <w:rFonts w:cs="SimSun"/>
        </w:rPr>
        <w:t>。在</w:t>
      </w:r>
      <w:r w:rsidRPr="00E923BE">
        <w:rPr>
          <w:rStyle w:val="SingleTxt"/>
          <w:rFonts w:cs="SimSun"/>
        </w:rPr>
        <w:t>2013</w:t>
      </w:r>
      <w:r w:rsidRPr="00E923BE">
        <w:rPr>
          <w:rStyle w:val="SingleTxt"/>
          <w:rFonts w:cs="SimSun"/>
        </w:rPr>
        <w:t>年，该</w:t>
      </w:r>
      <w:r w:rsidRPr="00E923BE">
        <w:rPr>
          <w:rStyle w:val="SingleTxt"/>
          <w:rFonts w:cs="SimSun" w:hint="eastAsia"/>
        </w:rPr>
        <w:t>数据</w:t>
      </w:r>
      <w:r w:rsidRPr="00E923BE">
        <w:rPr>
          <w:rStyle w:val="SingleTxt"/>
          <w:rFonts w:cs="SimSun"/>
        </w:rPr>
        <w:t>已上升至</w:t>
      </w:r>
      <w:r w:rsidRPr="00E923BE">
        <w:rPr>
          <w:rStyle w:val="SingleTxt"/>
          <w:rFonts w:cs="SimSun"/>
        </w:rPr>
        <w:t>0.427</w:t>
      </w:r>
      <w:r>
        <w:rPr>
          <w:rStyle w:val="SingleTxt"/>
          <w:rFonts w:cs="SimSun"/>
        </w:rPr>
        <w:t>，即已达</w:t>
      </w:r>
      <w:r>
        <w:rPr>
          <w:rStyle w:val="SingleTxt"/>
          <w:rFonts w:cs="SimSun" w:hint="eastAsia"/>
        </w:rPr>
        <w:t>到</w:t>
      </w:r>
      <w:r w:rsidRPr="00E923BE">
        <w:rPr>
          <w:rStyle w:val="SingleTxt"/>
          <w:rFonts w:cs="SimSun"/>
        </w:rPr>
        <w:t>该年最终目标的</w:t>
      </w:r>
      <w:r w:rsidRPr="00E923BE">
        <w:rPr>
          <w:rStyle w:val="SingleTxt"/>
          <w:rFonts w:cs="SimSun"/>
        </w:rPr>
        <w:t>31%</w:t>
      </w:r>
      <w:r w:rsidRPr="00E923BE">
        <w:rPr>
          <w:rStyle w:val="SingleTxt"/>
          <w:rFonts w:cs="SimSun"/>
        </w:rPr>
        <w:t>。根据</w:t>
      </w:r>
      <w:r w:rsidRPr="00E923BE">
        <w:rPr>
          <w:rStyle w:val="SingleTxt"/>
          <w:rFonts w:cs="SimSun"/>
        </w:rPr>
        <w:t>2013</w:t>
      </w:r>
      <w:r w:rsidRPr="00E923BE">
        <w:rPr>
          <w:rStyle w:val="SingleTxt"/>
          <w:rFonts w:cs="SimSun"/>
        </w:rPr>
        <w:t>年的《性别差距报告》，土耳其在</w:t>
      </w:r>
      <w:r w:rsidRPr="00E923BE">
        <w:rPr>
          <w:rStyle w:val="SingleTxt"/>
          <w:rFonts w:cs="SimSun"/>
        </w:rPr>
        <w:t>136</w:t>
      </w:r>
      <w:r w:rsidRPr="00E923BE">
        <w:rPr>
          <w:rStyle w:val="SingleTxt"/>
          <w:rFonts w:cs="SimSun"/>
        </w:rPr>
        <w:t>个国家中的整体指数评级已从第</w:t>
      </w:r>
      <w:r w:rsidRPr="00E923BE">
        <w:rPr>
          <w:rStyle w:val="SingleTxt"/>
          <w:rFonts w:cs="SimSun"/>
        </w:rPr>
        <w:t>124</w:t>
      </w:r>
      <w:r w:rsidRPr="00E923BE">
        <w:rPr>
          <w:rStyle w:val="SingleTxt"/>
          <w:rFonts w:cs="SimSun"/>
        </w:rPr>
        <w:t>位攀升至第</w:t>
      </w:r>
      <w:r w:rsidRPr="00E923BE">
        <w:rPr>
          <w:rStyle w:val="SingleTxt"/>
          <w:rFonts w:cs="SimSun"/>
        </w:rPr>
        <w:t>120</w:t>
      </w:r>
      <w:r w:rsidRPr="00E923BE">
        <w:rPr>
          <w:rStyle w:val="SingleTxt"/>
          <w:rFonts w:cs="SimSun"/>
        </w:rPr>
        <w:t>位。</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157.</w:t>
      </w:r>
      <w:r w:rsidRPr="00E923BE">
        <w:rPr>
          <w:rStyle w:val="SingleTxt"/>
          <w:rFonts w:cs="SimSun"/>
        </w:rPr>
        <w:tab/>
      </w:r>
      <w:r w:rsidRPr="00E923BE">
        <w:rPr>
          <w:rStyle w:val="SingleTxt"/>
          <w:rFonts w:cs="SimSun"/>
        </w:rPr>
        <w:t>在</w:t>
      </w:r>
      <w:r w:rsidRPr="00E923BE">
        <w:rPr>
          <w:rStyle w:val="SingleTxt"/>
          <w:rFonts w:cs="SimSun"/>
        </w:rPr>
        <w:t>2013</w:t>
      </w:r>
      <w:r w:rsidRPr="00E923BE">
        <w:rPr>
          <w:rStyle w:val="SingleTxt"/>
          <w:rFonts w:cs="SimSun"/>
        </w:rPr>
        <w:t>年启动的</w:t>
      </w:r>
      <w:r w:rsidRPr="00E923BE">
        <w:rPr>
          <w:rStyle w:val="SingleTxt"/>
          <w:rFonts w:cs="SimSun"/>
          <w:cs/>
        </w:rPr>
        <w:t>“</w:t>
      </w:r>
      <w:r w:rsidRPr="00E923BE">
        <w:rPr>
          <w:rStyle w:val="SingleTxt"/>
          <w:rFonts w:cs="SimSun"/>
        </w:rPr>
        <w:t>促进妇女享有经济机会项目</w:t>
      </w:r>
      <w:r w:rsidRPr="00E923BE">
        <w:rPr>
          <w:rStyle w:val="SingleTxt"/>
          <w:rFonts w:cs="SimSun"/>
          <w:cs/>
        </w:rPr>
        <w:t>”</w:t>
      </w:r>
      <w:r w:rsidRPr="00E923BE">
        <w:rPr>
          <w:rStyle w:val="SingleTxt"/>
          <w:rFonts w:cs="SimSun"/>
        </w:rPr>
        <w:t>下，有关妇女就业和创业的研究项目、妇女合作社和按部门进行的妇女状况分析获得了支助，也针对这些专题开展了调查。</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158.</w:t>
      </w:r>
      <w:r w:rsidRPr="00E923BE">
        <w:rPr>
          <w:rStyle w:val="SingleTxt"/>
          <w:rFonts w:cs="SimSun"/>
        </w:rPr>
        <w:tab/>
      </w:r>
      <w:r w:rsidRPr="00E923BE">
        <w:rPr>
          <w:rStyle w:val="SingleTxt"/>
          <w:rFonts w:cs="SimSun"/>
        </w:rPr>
        <w:t>由劳动和社会保障部在</w:t>
      </w:r>
      <w:r w:rsidRPr="00E923BE">
        <w:rPr>
          <w:rStyle w:val="SingleTxt"/>
          <w:rFonts w:cs="SimSun"/>
        </w:rPr>
        <w:t>2010</w:t>
      </w:r>
      <w:r w:rsidRPr="00E923BE">
        <w:rPr>
          <w:rStyle w:val="SingleTxt"/>
          <w:rFonts w:cs="SimSun"/>
        </w:rPr>
        <w:t>年</w:t>
      </w:r>
      <w:r w:rsidRPr="00E923BE">
        <w:rPr>
          <w:rStyle w:val="SingleTxt"/>
          <w:rFonts w:cs="SimSun"/>
        </w:rPr>
        <w:t>9</w:t>
      </w:r>
      <w:r w:rsidRPr="00E923BE">
        <w:rPr>
          <w:rStyle w:val="SingleTxt"/>
          <w:rFonts w:cs="SimSun"/>
        </w:rPr>
        <w:t>月至</w:t>
      </w:r>
      <w:r w:rsidRPr="00E923BE">
        <w:rPr>
          <w:rStyle w:val="SingleTxt"/>
          <w:rFonts w:cs="SimSun"/>
        </w:rPr>
        <w:t>2012</w:t>
      </w:r>
      <w:r w:rsidRPr="00E923BE">
        <w:rPr>
          <w:rStyle w:val="SingleTxt"/>
          <w:rFonts w:cs="SimSun"/>
        </w:rPr>
        <w:t>年</w:t>
      </w:r>
      <w:r w:rsidRPr="00E923BE">
        <w:rPr>
          <w:rStyle w:val="SingleTxt"/>
          <w:rFonts w:cs="SimSun"/>
        </w:rPr>
        <w:t>3</w:t>
      </w:r>
      <w:r w:rsidRPr="00E923BE">
        <w:rPr>
          <w:rStyle w:val="SingleTxt"/>
          <w:rFonts w:cs="SimSun"/>
        </w:rPr>
        <w:t>月开展的</w:t>
      </w:r>
      <w:r w:rsidRPr="00E923BE">
        <w:rPr>
          <w:rStyle w:val="SingleTxt"/>
          <w:rFonts w:cs="SimSun"/>
          <w:cs/>
        </w:rPr>
        <w:t>“</w:t>
      </w:r>
      <w:r w:rsidRPr="00E923BE">
        <w:rPr>
          <w:rStyle w:val="SingleTxt"/>
          <w:rFonts w:cs="SimSun"/>
        </w:rPr>
        <w:t>促进职业生活中性别平等项目</w:t>
      </w:r>
      <w:r w:rsidRPr="00E923BE">
        <w:rPr>
          <w:rStyle w:val="SingleTxt"/>
          <w:rFonts w:cs="SimSun"/>
          <w:cs/>
        </w:rPr>
        <w:t>”</w:t>
      </w:r>
      <w:r w:rsidRPr="00E923BE">
        <w:rPr>
          <w:rStyle w:val="SingleTxt"/>
          <w:rFonts w:cs="SimSun"/>
        </w:rPr>
        <w:t>框架旨在使土耳其法律与欧盟法律保持一致，加强负责加强这一方面法律和宣传的机构的能力。在该项目下，土耳其已对第</w:t>
      </w:r>
      <w:r w:rsidRPr="00E923BE">
        <w:rPr>
          <w:rStyle w:val="SingleTxt"/>
          <w:rFonts w:cs="SimSun"/>
        </w:rPr>
        <w:t>4688</w:t>
      </w:r>
      <w:r w:rsidRPr="00E923BE">
        <w:rPr>
          <w:rStyle w:val="SingleTxt"/>
          <w:rFonts w:cs="SimSun"/>
        </w:rPr>
        <w:t>号和第</w:t>
      </w:r>
      <w:r w:rsidRPr="00E923BE">
        <w:rPr>
          <w:rStyle w:val="SingleTxt"/>
          <w:rFonts w:cs="SimSun"/>
        </w:rPr>
        <w:t>6356</w:t>
      </w:r>
      <w:r w:rsidRPr="00E923BE">
        <w:rPr>
          <w:rStyle w:val="SingleTxt"/>
          <w:rFonts w:cs="SimSun"/>
        </w:rPr>
        <w:t>号</w:t>
      </w:r>
      <w:r w:rsidRPr="00E923BE">
        <w:rPr>
          <w:rStyle w:val="SingleTxt"/>
          <w:rFonts w:cs="SimSun" w:hint="eastAsia"/>
        </w:rPr>
        <w:t>法律</w:t>
      </w:r>
      <w:r w:rsidRPr="00E923BE">
        <w:rPr>
          <w:rStyle w:val="SingleTxt"/>
          <w:rFonts w:cs="SimSun"/>
        </w:rPr>
        <w:t>做出了性别平等相关的</w:t>
      </w:r>
      <w:r w:rsidRPr="00E923BE">
        <w:rPr>
          <w:rStyle w:val="SingleTxt"/>
          <w:rFonts w:cs="SimSun" w:hint="eastAsia"/>
        </w:rPr>
        <w:t>若干</w:t>
      </w:r>
      <w:r w:rsidRPr="00E923BE">
        <w:rPr>
          <w:rStyle w:val="SingleTxt"/>
          <w:rFonts w:cs="SimSun"/>
        </w:rPr>
        <w:t>修正（见第</w:t>
      </w:r>
      <w:r w:rsidRPr="00E923BE">
        <w:rPr>
          <w:rStyle w:val="SingleTxt"/>
          <w:rFonts w:cs="SimSun"/>
        </w:rPr>
        <w:t>2</w:t>
      </w:r>
      <w:r w:rsidRPr="00E923BE">
        <w:rPr>
          <w:rStyle w:val="SingleTxt"/>
          <w:rFonts w:cs="SimSun"/>
        </w:rPr>
        <w:t>条</w:t>
      </w:r>
      <w:r w:rsidRPr="00E923BE">
        <w:rPr>
          <w:rStyle w:val="SingleTxt"/>
          <w:rFonts w:cs="SimSun"/>
        </w:rPr>
        <w:t>b</w:t>
      </w:r>
      <w:r w:rsidRPr="00E923BE">
        <w:rPr>
          <w:rStyle w:val="SingleTxt"/>
          <w:rFonts w:cs="SimSun"/>
        </w:rPr>
        <w:t>款）。土耳其每年颁发</w:t>
      </w:r>
      <w:r w:rsidRPr="00E923BE">
        <w:rPr>
          <w:rStyle w:val="SingleTxt"/>
          <w:rFonts w:cs="SimSun"/>
          <w:cs/>
        </w:rPr>
        <w:t>“</w:t>
      </w:r>
      <w:r w:rsidRPr="00E923BE">
        <w:rPr>
          <w:rStyle w:val="SingleTxt"/>
          <w:rFonts w:cs="SimSun"/>
        </w:rPr>
        <w:t>职业生活中性别平等奖</w:t>
      </w:r>
      <w:r w:rsidRPr="00E923BE">
        <w:rPr>
          <w:rStyle w:val="SingleTxt"/>
          <w:rFonts w:cs="SimSun"/>
          <w:cs/>
        </w:rPr>
        <w:t>”</w:t>
      </w:r>
      <w:r w:rsidRPr="00E923BE">
        <w:rPr>
          <w:rStyle w:val="SingleTxt"/>
          <w:rFonts w:cs="SimSun"/>
        </w:rPr>
        <w:t>，旨在提高私营部门企业的认识。</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159.</w:t>
      </w:r>
      <w:r w:rsidRPr="00E923BE">
        <w:rPr>
          <w:rStyle w:val="SingleTxt"/>
          <w:rFonts w:cs="SimSun"/>
        </w:rPr>
        <w:tab/>
      </w:r>
      <w:r w:rsidRPr="00E923BE">
        <w:rPr>
          <w:rStyle w:val="SingleTxt"/>
          <w:rFonts w:cs="SimSun"/>
        </w:rPr>
        <w:t>劳动和社会保障部在</w:t>
      </w:r>
      <w:r w:rsidRPr="00E923BE">
        <w:rPr>
          <w:rStyle w:val="SingleTxt"/>
          <w:rFonts w:cs="SimSun"/>
        </w:rPr>
        <w:t>2010</w:t>
      </w:r>
      <w:r w:rsidRPr="00E923BE">
        <w:rPr>
          <w:rStyle w:val="SingleTxt"/>
          <w:rFonts w:cs="SimSun"/>
        </w:rPr>
        <w:t>年至</w:t>
      </w:r>
      <w:r w:rsidRPr="00E923BE">
        <w:rPr>
          <w:rStyle w:val="SingleTxt"/>
          <w:rFonts w:cs="SimSun"/>
        </w:rPr>
        <w:t>2013</w:t>
      </w:r>
      <w:r w:rsidRPr="00E923BE">
        <w:rPr>
          <w:rStyle w:val="SingleTxt"/>
          <w:rFonts w:cs="SimSun"/>
        </w:rPr>
        <w:t>年期间在欧洲联盟加入前援助工具框架内实施了</w:t>
      </w:r>
      <w:r w:rsidRPr="00E923BE">
        <w:rPr>
          <w:rStyle w:val="SingleTxt"/>
          <w:rFonts w:cs="SimSun"/>
          <w:cs/>
        </w:rPr>
        <w:t>“</w:t>
      </w:r>
      <w:r w:rsidRPr="00E923BE">
        <w:rPr>
          <w:rStyle w:val="SingleTxt"/>
          <w:rFonts w:cs="SimSun"/>
        </w:rPr>
        <w:t>支持妇女就业行动</w:t>
      </w:r>
      <w:r w:rsidRPr="00E923BE">
        <w:rPr>
          <w:rStyle w:val="SingleTxt"/>
          <w:rFonts w:cs="SimSun"/>
          <w:cs/>
        </w:rPr>
        <w:t>”</w:t>
      </w:r>
      <w:r w:rsidRPr="00E923BE">
        <w:rPr>
          <w:rStyle w:val="SingleTxt"/>
          <w:rFonts w:cs="SimSun"/>
        </w:rPr>
        <w:t>。在该行动下，有</w:t>
      </w:r>
      <w:r w:rsidRPr="00E923BE">
        <w:rPr>
          <w:rStyle w:val="SingleTxt"/>
          <w:rFonts w:cs="SimSun"/>
        </w:rPr>
        <w:t>131</w:t>
      </w:r>
      <w:r w:rsidRPr="00E923BE">
        <w:rPr>
          <w:rStyle w:val="SingleTxt"/>
          <w:rFonts w:cs="SimSun"/>
        </w:rPr>
        <w:t>个项目获得了支助，并且有</w:t>
      </w:r>
      <w:r w:rsidRPr="00E923BE">
        <w:rPr>
          <w:rStyle w:val="SingleTxt"/>
          <w:rFonts w:cs="SimSun"/>
        </w:rPr>
        <w:t>10 000</w:t>
      </w:r>
      <w:r w:rsidRPr="00E923BE">
        <w:rPr>
          <w:rStyle w:val="SingleTxt"/>
          <w:rFonts w:cs="SimSun"/>
        </w:rPr>
        <w:t>名妇女参与了职业技能和个人发展培训。</w:t>
      </w:r>
      <w:r w:rsidRPr="00E923BE">
        <w:rPr>
          <w:rStyle w:val="SingleTxt"/>
          <w:rFonts w:cs="SimSun"/>
        </w:rPr>
        <w:t>5</w:t>
      </w:r>
      <w:r w:rsidRPr="00E923BE">
        <w:rPr>
          <w:rStyle w:val="SingleTxt"/>
          <w:rFonts w:cs="SimSun"/>
        </w:rPr>
        <w:t>个省开展了劳动力市场分析，识别了妇女目标群体可享有的就业机会，最终起草了一个劳动力政策积极模型。</w:t>
      </w:r>
    </w:p>
    <w:p w:rsidR="005C05C5" w:rsidRPr="00E923BE" w:rsidRDefault="005C05C5" w:rsidP="005C05C5">
      <w:pPr>
        <w:pStyle w:val="SingleTxt"/>
        <w:spacing w:after="120"/>
        <w:ind w:left="1134" w:right="1134"/>
      </w:pPr>
      <w:r w:rsidRPr="00E923BE">
        <w:rPr>
          <w:rStyle w:val="SingleTxt"/>
          <w:rFonts w:cs="SimSun"/>
        </w:rPr>
        <w:t>160.</w:t>
      </w:r>
      <w:r w:rsidRPr="00E923BE">
        <w:rPr>
          <w:rStyle w:val="SingleTxt"/>
          <w:rFonts w:cs="SimSun"/>
        </w:rPr>
        <w:tab/>
      </w:r>
      <w:r w:rsidRPr="00E923BE">
        <w:rPr>
          <w:rStyle w:val="SingleTxt"/>
          <w:rFonts w:cs="SimSun"/>
        </w:rPr>
        <w:t>在该行动下，家庭和社会政策部开展了一项</w:t>
      </w:r>
      <w:r w:rsidRPr="00E923BE">
        <w:rPr>
          <w:rStyle w:val="SingleTxt"/>
          <w:rFonts w:cs="SimSun"/>
          <w:cs/>
        </w:rPr>
        <w:t>“</w:t>
      </w:r>
      <w:r w:rsidRPr="00E923BE">
        <w:rPr>
          <w:rStyle w:val="SingleTxt"/>
          <w:rFonts w:cs="SimSun"/>
        </w:rPr>
        <w:t>促进残疾人社会融合项目</w:t>
      </w:r>
      <w:r w:rsidRPr="00E923BE">
        <w:rPr>
          <w:rStyle w:val="SingleTxt"/>
          <w:rFonts w:cs="SimSun"/>
          <w:cs/>
        </w:rPr>
        <w:t>”</w:t>
      </w:r>
      <w:r w:rsidRPr="00E923BE">
        <w:rPr>
          <w:rStyle w:val="SingleTxt"/>
          <w:rFonts w:cs="SimSun"/>
        </w:rPr>
        <w:t>，该项目成为向非政府组织分配项目赠款的一个标准，以巩固残疾妇女充分和平等参与经济和社会活动。</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161.</w:t>
      </w:r>
      <w:r w:rsidRPr="00E923BE">
        <w:rPr>
          <w:rStyle w:val="SingleTxt"/>
          <w:rFonts w:cs="SimSun"/>
        </w:rPr>
        <w:tab/>
      </w:r>
      <w:r w:rsidRPr="00E923BE">
        <w:rPr>
          <w:rStyle w:val="SingleTxt"/>
          <w:rFonts w:cs="SimSun"/>
        </w:rPr>
        <w:t>劳动和社会保障部在欧洲联盟加入前援助工具框架内启动的</w:t>
      </w:r>
      <w:r w:rsidRPr="00E923BE">
        <w:rPr>
          <w:rStyle w:val="SingleTxt"/>
          <w:rFonts w:cs="SimSun"/>
          <w:cs/>
        </w:rPr>
        <w:t>“</w:t>
      </w:r>
      <w:r w:rsidRPr="00E923BE">
        <w:rPr>
          <w:rStyle w:val="SingleTxt"/>
          <w:rFonts w:cs="SimSun"/>
        </w:rPr>
        <w:t>社会融合和提高弱势群体就业能力项目</w:t>
      </w:r>
      <w:r w:rsidRPr="00E923BE">
        <w:rPr>
          <w:rStyle w:val="SingleTxt"/>
          <w:rFonts w:cs="SimSun"/>
          <w:cs/>
        </w:rPr>
        <w:t>”</w:t>
      </w:r>
      <w:r w:rsidRPr="00E923BE">
        <w:rPr>
          <w:rStyle w:val="SingleTxt"/>
          <w:rFonts w:cs="SimSun"/>
        </w:rPr>
        <w:t>赠款总额为</w:t>
      </w:r>
      <w:r w:rsidRPr="00E923BE">
        <w:rPr>
          <w:rStyle w:val="SingleTxt"/>
          <w:rFonts w:cs="SimSun"/>
        </w:rPr>
        <w:t>3 000</w:t>
      </w:r>
      <w:r w:rsidRPr="00E923BE">
        <w:rPr>
          <w:rStyle w:val="SingleTxt"/>
          <w:rFonts w:cs="SimSun"/>
        </w:rPr>
        <w:t>万欧元。该项目的目标群体包括残疾人、罗姆人和其他生活方式类似的群体、贫穷和在贫穷边缘的人（包括生活在贫民窟区域的人）、前罪犯</w:t>
      </w:r>
      <w:r w:rsidRPr="00E923BE">
        <w:rPr>
          <w:rStyle w:val="SingleTxt"/>
          <w:rFonts w:cs="SimSun"/>
        </w:rPr>
        <w:t>/</w:t>
      </w:r>
      <w:r w:rsidRPr="00E923BE">
        <w:rPr>
          <w:rStyle w:val="SingleTxt"/>
          <w:rFonts w:cs="SimSun"/>
        </w:rPr>
        <w:t>被拘留者和正在服刑的罪犯和被拘留者、童工家长、流离失所者、女性暴力受害者、吸毒者和其他弱势群体（如在就业市场面临歧视和普遍偏见的其他群体）。</w:t>
      </w:r>
      <w:r w:rsidRPr="00E923BE">
        <w:rPr>
          <w:rStyle w:val="SingleTxt"/>
          <w:rFonts w:cs="SimSun"/>
          <w:cs/>
        </w:rPr>
        <w:t>“</w:t>
      </w:r>
      <w:r w:rsidRPr="00E923BE">
        <w:rPr>
          <w:rStyle w:val="SingleTxt"/>
          <w:rFonts w:cs="SimSun"/>
        </w:rPr>
        <w:t>妇女</w:t>
      </w:r>
      <w:r w:rsidRPr="00E923BE">
        <w:rPr>
          <w:rStyle w:val="SingleTxt"/>
          <w:rFonts w:cs="SimSun"/>
          <w:cs/>
        </w:rPr>
        <w:t>”</w:t>
      </w:r>
      <w:r w:rsidRPr="00E923BE">
        <w:rPr>
          <w:rStyle w:val="SingleTxt"/>
          <w:rFonts w:cs="SimSun"/>
        </w:rPr>
        <w:t>被列为所有目标群体中的一个子类，被视为具有特殊脆弱性。</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11.1</w:t>
      </w:r>
      <w:r w:rsidRPr="00E923BE">
        <w:rPr>
          <w:rFonts w:eastAsia="SimHei" w:cs="Arial"/>
          <w:bCs/>
          <w:szCs w:val="21"/>
        </w:rPr>
        <w:t>条</w:t>
      </w:r>
      <w:r w:rsidRPr="00E923BE">
        <w:rPr>
          <w:rFonts w:eastAsia="SimHei" w:cs="Arial"/>
          <w:b/>
          <w:bCs/>
          <w:szCs w:val="21"/>
        </w:rPr>
        <w:t>b</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162.</w:t>
      </w:r>
      <w:r w:rsidRPr="00E923BE">
        <w:rPr>
          <w:rStyle w:val="SingleTxt"/>
          <w:rFonts w:cs="SimSun"/>
        </w:rPr>
        <w:tab/>
      </w:r>
      <w:r w:rsidRPr="00E923BE">
        <w:rPr>
          <w:rStyle w:val="SingleTxt"/>
          <w:rFonts w:cs="SimSun"/>
        </w:rPr>
        <w:t>见</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Pr>
          <w:rFonts w:eastAsia="SimHei" w:cs="Arial"/>
          <w:bCs/>
          <w:szCs w:val="21"/>
        </w:rPr>
        <w:br w:type="page"/>
      </w:r>
      <w:r w:rsidRPr="00E923BE">
        <w:rPr>
          <w:rFonts w:eastAsia="SimHei" w:cs="Arial"/>
          <w:bCs/>
          <w:szCs w:val="21"/>
        </w:rPr>
        <w:t>第</w:t>
      </w:r>
      <w:r w:rsidRPr="00E923BE">
        <w:rPr>
          <w:rFonts w:eastAsia="SimHei" w:cs="Arial"/>
          <w:b/>
          <w:bCs/>
          <w:szCs w:val="21"/>
        </w:rPr>
        <w:t>11.1</w:t>
      </w:r>
      <w:r w:rsidRPr="00E923BE">
        <w:rPr>
          <w:rFonts w:eastAsia="SimHei" w:cs="Arial"/>
          <w:bCs/>
          <w:szCs w:val="21"/>
        </w:rPr>
        <w:t>条</w:t>
      </w:r>
      <w:r w:rsidRPr="00E923BE">
        <w:rPr>
          <w:rFonts w:eastAsia="SimHei" w:cs="Arial"/>
          <w:b/>
          <w:bCs/>
          <w:szCs w:val="21"/>
        </w:rPr>
        <w:t>c</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163.</w:t>
      </w:r>
      <w:r w:rsidRPr="00E923BE">
        <w:rPr>
          <w:rStyle w:val="SingleTxt"/>
          <w:rFonts w:cs="SimSun"/>
        </w:rPr>
        <w:tab/>
      </w:r>
      <w:r w:rsidRPr="00E923BE">
        <w:rPr>
          <w:rStyle w:val="SingleTxt"/>
          <w:rFonts w:cs="SimSun"/>
        </w:rPr>
        <w:t>根据第</w:t>
      </w:r>
      <w:r w:rsidRPr="00E923BE">
        <w:rPr>
          <w:rStyle w:val="SingleTxt"/>
          <w:rFonts w:cs="SimSun"/>
        </w:rPr>
        <w:t>2</w:t>
      </w:r>
      <w:r w:rsidRPr="00E923BE">
        <w:rPr>
          <w:rStyle w:val="SingleTxt"/>
          <w:rFonts w:cs="SimSun"/>
        </w:rPr>
        <w:t>条</w:t>
      </w:r>
      <w:r w:rsidRPr="00E923BE">
        <w:rPr>
          <w:rStyle w:val="SingleTxt"/>
          <w:rFonts w:cs="SimSun"/>
        </w:rPr>
        <w:t>b</w:t>
      </w:r>
      <w:r w:rsidRPr="00E923BE">
        <w:rPr>
          <w:rStyle w:val="SingleTxt"/>
          <w:rFonts w:cs="SimSun"/>
        </w:rPr>
        <w:t>款提到的《基于职业健康和安全的工作场所危害类别公报》，工作和职业的选择限制已被撤销。关于职业和技术教育，见第</w:t>
      </w:r>
      <w:r w:rsidRPr="00E923BE">
        <w:rPr>
          <w:rStyle w:val="SingleTxt"/>
          <w:rFonts w:cs="SimSun"/>
        </w:rPr>
        <w:t>10</w:t>
      </w:r>
      <w:r w:rsidRPr="00E923BE">
        <w:rPr>
          <w:rStyle w:val="SingleTxt"/>
          <w:rFonts w:cs="SimSun"/>
        </w:rPr>
        <w:t>条。</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11.1</w:t>
      </w:r>
      <w:r w:rsidRPr="00E923BE">
        <w:rPr>
          <w:rFonts w:eastAsia="SimHei" w:cs="Arial"/>
          <w:bCs/>
          <w:szCs w:val="21"/>
        </w:rPr>
        <w:t>条</w:t>
      </w:r>
      <w:r w:rsidRPr="00E923BE">
        <w:rPr>
          <w:rFonts w:eastAsia="SimHei" w:cs="Arial"/>
          <w:b/>
          <w:bCs/>
          <w:szCs w:val="21"/>
        </w:rPr>
        <w:t>d</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164.</w:t>
      </w:r>
      <w:r w:rsidRPr="00E923BE">
        <w:rPr>
          <w:rStyle w:val="SingleTxt"/>
          <w:rFonts w:cs="SimSun"/>
        </w:rPr>
        <w:tab/>
        <w:t>2010</w:t>
      </w:r>
      <w:r w:rsidRPr="00E923BE">
        <w:rPr>
          <w:rStyle w:val="SingleTxt"/>
          <w:rFonts w:cs="SimSun"/>
        </w:rPr>
        <w:t>年的《土耳其收入结构调查》表明，尽管妇女整体在性别收入差距方面处于优势（</w:t>
      </w:r>
      <w:r w:rsidRPr="00E923BE">
        <w:rPr>
          <w:rStyle w:val="SingleTxt"/>
          <w:rFonts w:cs="SimSun"/>
        </w:rPr>
        <w:t>-1.1%</w:t>
      </w:r>
      <w:r w:rsidRPr="00E923BE">
        <w:rPr>
          <w:rStyle w:val="SingleTxt"/>
          <w:rFonts w:cs="SimSun"/>
        </w:rPr>
        <w:t>），但一项按教育背景分类的审查则显示，在所有教育水平上男性收入均占有优势。有报酬女劳动者中，</w:t>
      </w:r>
      <w:r w:rsidRPr="00E923BE">
        <w:rPr>
          <w:rStyle w:val="SingleTxt"/>
          <w:rFonts w:cs="SimSun"/>
        </w:rPr>
        <w:t>35.3%</w:t>
      </w:r>
      <w:r w:rsidRPr="00E923BE">
        <w:rPr>
          <w:rStyle w:val="SingleTxt"/>
          <w:rFonts w:cs="SimSun"/>
        </w:rPr>
        <w:t>的教育水平集中在高等教育或以上；而有报酬男劳动者中，</w:t>
      </w:r>
      <w:r w:rsidRPr="00E923BE">
        <w:rPr>
          <w:rStyle w:val="SingleTxt"/>
          <w:rFonts w:cs="SimSun"/>
        </w:rPr>
        <w:t>27.4%</w:t>
      </w:r>
      <w:r w:rsidRPr="00E923BE">
        <w:rPr>
          <w:rStyle w:val="SingleTxt"/>
          <w:rFonts w:cs="SimSun"/>
        </w:rPr>
        <w:t>的教育水平在初等或以下。在按不同职业群体分类的性别收入差距方面，男性的收入在所有职业群体中均占优势，</w:t>
      </w:r>
      <w:r w:rsidRPr="00E923BE">
        <w:rPr>
          <w:rStyle w:val="SingleTxt"/>
          <w:rFonts w:cs="SimSun"/>
          <w:cs/>
        </w:rPr>
        <w:t>“</w:t>
      </w:r>
      <w:r w:rsidRPr="00E923BE">
        <w:rPr>
          <w:rStyle w:val="SingleTxt"/>
          <w:rFonts w:cs="SimSun"/>
        </w:rPr>
        <w:t>管理</w:t>
      </w:r>
      <w:r w:rsidRPr="00E923BE">
        <w:rPr>
          <w:rStyle w:val="SingleTxt"/>
          <w:rFonts w:cs="SimSun"/>
          <w:cs/>
        </w:rPr>
        <w:t>”</w:t>
      </w:r>
      <w:r w:rsidRPr="00E923BE">
        <w:rPr>
          <w:rStyle w:val="SingleTxt"/>
          <w:rFonts w:cs="SimSun"/>
        </w:rPr>
        <w:t>群体除外（见附件表</w:t>
      </w:r>
      <w:r w:rsidRPr="00E923BE">
        <w:rPr>
          <w:rStyle w:val="SingleTxt"/>
          <w:rFonts w:cs="SimSun"/>
        </w:rPr>
        <w:t>28</w:t>
      </w:r>
      <w:r w:rsidRPr="00E923BE">
        <w:rPr>
          <w:rStyle w:val="SingleTxt"/>
          <w:rFonts w:cs="SimSun"/>
        </w:rPr>
        <w:t>）。另见第</w:t>
      </w:r>
      <w:r w:rsidRPr="00E923BE">
        <w:rPr>
          <w:rStyle w:val="SingleTxt"/>
          <w:rFonts w:cs="SimSun"/>
        </w:rPr>
        <w:t>2</w:t>
      </w:r>
      <w:r w:rsidRPr="00E923BE">
        <w:rPr>
          <w:rStyle w:val="SingleTxt"/>
          <w:rFonts w:cs="SimSun"/>
        </w:rPr>
        <w:t>条</w:t>
      </w:r>
      <w:r w:rsidRPr="00E923BE">
        <w:rPr>
          <w:rStyle w:val="SingleTxt"/>
          <w:rFonts w:cs="SimSun"/>
        </w:rPr>
        <w:t>b</w:t>
      </w:r>
      <w:r w:rsidRPr="00E923BE">
        <w:rPr>
          <w:rStyle w:val="SingleTxt"/>
          <w:rFonts w:cs="SimSun"/>
        </w:rPr>
        <w:t>款、第</w:t>
      </w:r>
      <w:r w:rsidRPr="00E923BE">
        <w:rPr>
          <w:rStyle w:val="SingleTxt"/>
          <w:rFonts w:cs="SimSun"/>
        </w:rPr>
        <w:t>4.1</w:t>
      </w:r>
      <w:r w:rsidRPr="00E923BE">
        <w:rPr>
          <w:rStyle w:val="SingleTxt"/>
          <w:rFonts w:cs="SimSun"/>
        </w:rPr>
        <w:t>条和</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11.1</w:t>
      </w:r>
      <w:r w:rsidRPr="00E923BE">
        <w:rPr>
          <w:rFonts w:eastAsia="SimHei" w:cs="Arial"/>
          <w:bCs/>
          <w:szCs w:val="21"/>
        </w:rPr>
        <w:t>条</w:t>
      </w:r>
      <w:r w:rsidRPr="00E923BE">
        <w:rPr>
          <w:rFonts w:eastAsia="SimHei" w:cs="Arial"/>
          <w:b/>
          <w:bCs/>
          <w:szCs w:val="21"/>
        </w:rPr>
        <w:t>e</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165.</w:t>
      </w:r>
      <w:r w:rsidRPr="00E923BE">
        <w:rPr>
          <w:rStyle w:val="SingleTxt"/>
          <w:rFonts w:cs="SimSun"/>
        </w:rPr>
        <w:tab/>
      </w:r>
      <w:r w:rsidRPr="00E923BE">
        <w:rPr>
          <w:rStyle w:val="SingleTxt"/>
          <w:rFonts w:cs="SimSun"/>
        </w:rPr>
        <w:t>见第</w:t>
      </w:r>
      <w:r w:rsidRPr="00E923BE">
        <w:rPr>
          <w:rStyle w:val="SingleTxt"/>
          <w:rFonts w:cs="SimSun"/>
        </w:rPr>
        <w:t>4.2</w:t>
      </w:r>
      <w:r w:rsidRPr="00E923BE">
        <w:rPr>
          <w:rStyle w:val="SingleTxt"/>
          <w:rFonts w:cs="SimSun"/>
        </w:rPr>
        <w:t>条和</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11.1</w:t>
      </w:r>
      <w:r w:rsidRPr="00E923BE">
        <w:rPr>
          <w:rFonts w:eastAsia="SimHei" w:cs="Arial"/>
          <w:bCs/>
          <w:szCs w:val="21"/>
        </w:rPr>
        <w:t>条</w:t>
      </w:r>
      <w:r w:rsidRPr="00E923BE">
        <w:rPr>
          <w:rFonts w:eastAsia="SimHei" w:cs="Arial"/>
          <w:b/>
          <w:bCs/>
          <w:szCs w:val="21"/>
        </w:rPr>
        <w:t>f</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166.</w:t>
      </w:r>
      <w:r w:rsidRPr="00E923BE">
        <w:rPr>
          <w:rStyle w:val="SingleTxt"/>
          <w:rFonts w:cs="SimSun"/>
        </w:rPr>
        <w:tab/>
      </w:r>
      <w:r w:rsidRPr="00E923BE">
        <w:rPr>
          <w:rStyle w:val="SingleTxt"/>
          <w:rFonts w:cs="SimSun"/>
        </w:rPr>
        <w:t>见第</w:t>
      </w:r>
      <w:r w:rsidRPr="00E923BE">
        <w:rPr>
          <w:rStyle w:val="SingleTxt"/>
          <w:rFonts w:cs="SimSun"/>
        </w:rPr>
        <w:t>4.2</w:t>
      </w:r>
      <w:r w:rsidRPr="00E923BE">
        <w:rPr>
          <w:rStyle w:val="SingleTxt"/>
          <w:rFonts w:cs="SimSun"/>
        </w:rPr>
        <w:t>条和</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11.2</w:t>
      </w:r>
      <w:r w:rsidRPr="00E923BE">
        <w:rPr>
          <w:rFonts w:eastAsia="SimHei" w:cs="Arial"/>
          <w:bCs/>
          <w:szCs w:val="21"/>
        </w:rPr>
        <w:t>条</w:t>
      </w:r>
      <w:r w:rsidRPr="00E923BE">
        <w:rPr>
          <w:rFonts w:eastAsia="SimHei" w:cs="Arial"/>
          <w:b/>
          <w:bCs/>
          <w:szCs w:val="21"/>
        </w:rPr>
        <w:t>a</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167.</w:t>
      </w:r>
      <w:r w:rsidRPr="00E923BE">
        <w:rPr>
          <w:rStyle w:val="SingleTxt"/>
          <w:rFonts w:cs="SimSun"/>
        </w:rPr>
        <w:tab/>
      </w:r>
      <w:r w:rsidRPr="00E923BE">
        <w:rPr>
          <w:rStyle w:val="SingleTxt"/>
          <w:rFonts w:cs="SimSun"/>
        </w:rPr>
        <w:t>根据</w:t>
      </w:r>
      <w:r w:rsidRPr="00E923BE">
        <w:rPr>
          <w:rStyle w:val="SingleTxt"/>
          <w:rFonts w:cs="SimSun"/>
        </w:rPr>
        <w:t>2008</w:t>
      </w:r>
      <w:r w:rsidRPr="00E923BE">
        <w:rPr>
          <w:rStyle w:val="SingleTxt"/>
          <w:rFonts w:cs="SimSun"/>
        </w:rPr>
        <w:t>年修正的关于社会保障和普通健康保险第</w:t>
      </w:r>
      <w:r w:rsidRPr="00E923BE">
        <w:rPr>
          <w:rStyle w:val="SingleTxt"/>
          <w:rFonts w:cs="SimSun"/>
        </w:rPr>
        <w:t>5510</w:t>
      </w:r>
      <w:r w:rsidRPr="00E923BE">
        <w:rPr>
          <w:rStyle w:val="SingleTxt"/>
          <w:rFonts w:cs="SimSun"/>
        </w:rPr>
        <w:t>号法律第</w:t>
      </w:r>
      <w:r w:rsidRPr="00E923BE">
        <w:rPr>
          <w:rStyle w:val="SingleTxt"/>
          <w:rFonts w:cs="SimSun"/>
        </w:rPr>
        <w:t>41</w:t>
      </w:r>
      <w:r w:rsidRPr="00E923BE">
        <w:rPr>
          <w:rStyle w:val="SingleTxt"/>
          <w:rFonts w:cs="SimSun"/>
        </w:rPr>
        <w:t>条，受《劳动法》保护的在职妇女可以在无薪育婴假期间申请贷款</w:t>
      </w:r>
      <w:r w:rsidRPr="00E923BE">
        <w:rPr>
          <w:rStyle w:val="SingleTxt"/>
          <w:rFonts w:cs="SimSun" w:hint="eastAsia"/>
        </w:rPr>
        <w:t>以</w:t>
      </w:r>
      <w:r w:rsidRPr="00E923BE">
        <w:rPr>
          <w:rStyle w:val="SingleTxt"/>
          <w:rFonts w:cs="SimSun"/>
        </w:rPr>
        <w:t>支付未缴付保险费。这一条款适用于最多两名子女的育婴假。每次还款限期不超过两年。这一条款扩大了生育保险费贷款措施的范围，确保更多人为更多子女使用这一措施。详情见</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11.2</w:t>
      </w:r>
      <w:r w:rsidRPr="00E923BE">
        <w:rPr>
          <w:rFonts w:eastAsia="SimHei" w:cs="Arial"/>
          <w:bCs/>
          <w:szCs w:val="21"/>
        </w:rPr>
        <w:t>条</w:t>
      </w:r>
      <w:r w:rsidRPr="00E923BE">
        <w:rPr>
          <w:rFonts w:eastAsia="SimHei" w:cs="Arial"/>
          <w:b/>
          <w:bCs/>
          <w:szCs w:val="21"/>
        </w:rPr>
        <w:t>b</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168.</w:t>
      </w:r>
      <w:r w:rsidRPr="00E923BE">
        <w:rPr>
          <w:rStyle w:val="SingleTxt"/>
          <w:rFonts w:cs="SimSun"/>
        </w:rPr>
        <w:tab/>
      </w:r>
      <w:r w:rsidRPr="00E923BE">
        <w:rPr>
          <w:rStyle w:val="SingleTxt"/>
          <w:rFonts w:cs="SimSun"/>
        </w:rPr>
        <w:t>《第十个发展计划》的目标是进一步平衡工作和家庭生活。土耳其也已开展多项活动，以实施旨在平衡工作和家庭生活的法律修正案。关于产假的详细信息，见第</w:t>
      </w:r>
      <w:r w:rsidRPr="00E923BE">
        <w:rPr>
          <w:rStyle w:val="SingleTxt"/>
          <w:rFonts w:cs="SimSun"/>
        </w:rPr>
        <w:t>4.2</w:t>
      </w:r>
      <w:r w:rsidRPr="00E923BE">
        <w:rPr>
          <w:rStyle w:val="SingleTxt"/>
          <w:rFonts w:cs="SimSun"/>
        </w:rPr>
        <w:t>条。</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11.2</w:t>
      </w:r>
      <w:r w:rsidRPr="00E923BE">
        <w:rPr>
          <w:rFonts w:eastAsia="SimHei" w:cs="Arial"/>
          <w:bCs/>
          <w:szCs w:val="21"/>
        </w:rPr>
        <w:t>条</w:t>
      </w:r>
      <w:r w:rsidRPr="00E923BE">
        <w:rPr>
          <w:rFonts w:eastAsia="SimHei" w:cs="Arial"/>
          <w:b/>
          <w:bCs/>
          <w:szCs w:val="21"/>
        </w:rPr>
        <w:t>c</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169.</w:t>
      </w:r>
      <w:r w:rsidRPr="00E923BE">
        <w:rPr>
          <w:rStyle w:val="SingleTxt"/>
          <w:rFonts w:cs="SimSun"/>
        </w:rPr>
        <w:tab/>
      </w:r>
      <w:r w:rsidRPr="00E923BE">
        <w:rPr>
          <w:rStyle w:val="SingleTxt"/>
          <w:rFonts w:cs="SimSun"/>
        </w:rPr>
        <w:t>根据《第十个发展计划》优先改革方案中关于促进妇女对劳动力和就业参与的内容框架，土耳其已制定一项</w:t>
      </w:r>
      <w:r w:rsidRPr="00E923BE">
        <w:rPr>
          <w:rStyle w:val="SingleTxt"/>
          <w:rFonts w:cs="SimSun"/>
          <w:cs/>
        </w:rPr>
        <w:t>“</w:t>
      </w:r>
      <w:r w:rsidRPr="00E923BE">
        <w:rPr>
          <w:rStyle w:val="SingleTxt"/>
          <w:rFonts w:cs="SimSun"/>
        </w:rPr>
        <w:t>扩大儿童、病人和老年人护理服务范围</w:t>
      </w:r>
      <w:r w:rsidRPr="00E923BE">
        <w:rPr>
          <w:rStyle w:val="SingleTxt"/>
          <w:rFonts w:cs="SimSun"/>
          <w:cs/>
        </w:rPr>
        <w:t>”</w:t>
      </w:r>
      <w:r w:rsidRPr="00E923BE">
        <w:rPr>
          <w:rStyle w:val="SingleTxt"/>
          <w:rFonts w:cs="SimSun"/>
        </w:rPr>
        <w:t>的措施。另一个优先改革方案名为</w:t>
      </w:r>
      <w:r w:rsidRPr="00E923BE">
        <w:rPr>
          <w:rStyle w:val="SingleTxt"/>
          <w:rFonts w:cs="SimSun"/>
          <w:cs/>
        </w:rPr>
        <w:t>“</w:t>
      </w:r>
      <w:r w:rsidRPr="00E923BE">
        <w:rPr>
          <w:rStyle w:val="SingleTxt"/>
          <w:rFonts w:cs="SimSun"/>
        </w:rPr>
        <w:t>保护家庭和灵活人口结构方案</w:t>
      </w:r>
      <w:r w:rsidRPr="00E923BE">
        <w:rPr>
          <w:rStyle w:val="SingleTxt"/>
          <w:rFonts w:cs="SimSun"/>
          <w:cs/>
        </w:rPr>
        <w:t>”</w:t>
      </w:r>
      <w:r w:rsidRPr="00E923BE">
        <w:rPr>
          <w:rStyle w:val="SingleTxt"/>
          <w:rFonts w:cs="SimSun"/>
        </w:rPr>
        <w:t>，同样包括了有关</w:t>
      </w:r>
      <w:r w:rsidRPr="00E923BE">
        <w:rPr>
          <w:rStyle w:val="SingleTxt"/>
          <w:rFonts w:cs="SimSun"/>
          <w:cs/>
        </w:rPr>
        <w:t>“</w:t>
      </w:r>
      <w:r w:rsidRPr="00E923BE">
        <w:rPr>
          <w:rStyle w:val="SingleTxt"/>
          <w:rFonts w:cs="SimSun"/>
        </w:rPr>
        <w:t>通过加强工作和家庭生活平衡增加享有高质量、负担得起和易于获得的托儿所和学前教育机会</w:t>
      </w:r>
      <w:r w:rsidRPr="00E923BE">
        <w:rPr>
          <w:rStyle w:val="SingleTxt"/>
          <w:rFonts w:cs="SimSun"/>
          <w:cs/>
        </w:rPr>
        <w:t>”</w:t>
      </w:r>
      <w:r w:rsidRPr="00E923BE">
        <w:rPr>
          <w:rStyle w:val="SingleTxt"/>
          <w:rFonts w:cs="SimSun"/>
        </w:rPr>
        <w:t>的措施。在由家庭和社会政策部协调的</w:t>
      </w:r>
      <w:r w:rsidRPr="00E923BE">
        <w:rPr>
          <w:rStyle w:val="SingleTxt"/>
          <w:rFonts w:cs="SimSun"/>
          <w:cs/>
        </w:rPr>
        <w:t>“</w:t>
      </w:r>
      <w:r w:rsidRPr="00E923BE">
        <w:rPr>
          <w:rStyle w:val="SingleTxt"/>
          <w:rFonts w:cs="SimSun"/>
        </w:rPr>
        <w:t>保护家庭和灵活人口结构方案</w:t>
      </w:r>
      <w:r w:rsidRPr="00E923BE">
        <w:rPr>
          <w:rStyle w:val="SingleTxt"/>
          <w:rFonts w:cs="SimSun"/>
          <w:cs/>
        </w:rPr>
        <w:t>”</w:t>
      </w:r>
      <w:r w:rsidRPr="00E923BE">
        <w:rPr>
          <w:rStyle w:val="SingleTxt"/>
          <w:rFonts w:cs="SimSun"/>
        </w:rPr>
        <w:t>下，已制定了多个行动计划，包括在有组织工业区开设托儿所。</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170.</w:t>
      </w:r>
      <w:r w:rsidRPr="00E923BE">
        <w:rPr>
          <w:rStyle w:val="SingleTxt"/>
          <w:rFonts w:cs="SimSun"/>
        </w:rPr>
        <w:tab/>
      </w:r>
      <w:r w:rsidRPr="00E923BE">
        <w:rPr>
          <w:rStyle w:val="SingleTxt"/>
          <w:rFonts w:cs="SimSun"/>
        </w:rPr>
        <w:t>土耳其已通过多种方式建立合作，促进开设这些托儿所，让在有组织工业区工作的妇女可托请托儿所照顾子女并从而做出必要安排。土耳其也相应启动了</w:t>
      </w:r>
      <w:r w:rsidRPr="00E923BE">
        <w:rPr>
          <w:rStyle w:val="SingleTxt"/>
          <w:rFonts w:cs="SimSun"/>
          <w:cs/>
        </w:rPr>
        <w:t>“</w:t>
      </w:r>
      <w:r w:rsidRPr="00E923BE">
        <w:rPr>
          <w:rStyle w:val="SingleTxt"/>
          <w:rFonts w:cs="SimSun"/>
        </w:rPr>
        <w:t>妈妈的工作，我的未来</w:t>
      </w:r>
      <w:r w:rsidRPr="00E923BE">
        <w:rPr>
          <w:rStyle w:val="SingleTxt"/>
          <w:rFonts w:cs="SimSun"/>
          <w:cs/>
        </w:rPr>
        <w:t>”</w:t>
      </w:r>
      <w:r w:rsidRPr="00E923BE">
        <w:rPr>
          <w:rStyle w:val="SingleTxt"/>
          <w:rFonts w:cs="SimSun"/>
        </w:rPr>
        <w:t>项目，在增加托儿所方面加大宣传。该项目的目标是在</w:t>
      </w:r>
      <w:r w:rsidRPr="00E923BE">
        <w:rPr>
          <w:rStyle w:val="SingleTxt"/>
          <w:rFonts w:cs="SimSun"/>
        </w:rPr>
        <w:t>2017</w:t>
      </w:r>
      <w:r w:rsidRPr="00E923BE">
        <w:rPr>
          <w:rStyle w:val="SingleTxt"/>
          <w:rFonts w:cs="SimSun"/>
        </w:rPr>
        <w:t>年</w:t>
      </w:r>
      <w:r>
        <w:rPr>
          <w:rStyle w:val="SingleTxt"/>
          <w:rFonts w:cs="SimSun" w:hint="eastAsia"/>
        </w:rPr>
        <w:t>底</w:t>
      </w:r>
      <w:r w:rsidRPr="00E923BE">
        <w:rPr>
          <w:rStyle w:val="SingleTxt"/>
          <w:rFonts w:cs="SimSun"/>
        </w:rPr>
        <w:t>前在</w:t>
      </w:r>
      <w:r w:rsidRPr="00E923BE">
        <w:rPr>
          <w:rStyle w:val="SingleTxt"/>
          <w:rFonts w:cs="SimSun"/>
        </w:rPr>
        <w:t>10</w:t>
      </w:r>
      <w:r w:rsidRPr="00E923BE">
        <w:rPr>
          <w:rStyle w:val="SingleTxt"/>
          <w:rFonts w:cs="SimSun"/>
        </w:rPr>
        <w:t>个设有有组织工业区的城市设立托儿所。</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171.</w:t>
      </w:r>
      <w:r w:rsidRPr="00E923BE">
        <w:rPr>
          <w:rStyle w:val="SingleTxt"/>
          <w:rFonts w:cs="SimSun"/>
        </w:rPr>
        <w:tab/>
      </w:r>
      <w:r w:rsidRPr="00E923BE">
        <w:rPr>
          <w:rStyle w:val="SingleTxt"/>
          <w:rFonts w:cs="SimSun"/>
        </w:rPr>
        <w:t>根据</w:t>
      </w:r>
      <w:r w:rsidRPr="00E923BE">
        <w:rPr>
          <w:rStyle w:val="SingleTxt"/>
          <w:rFonts w:cs="SimSun"/>
          <w:cs/>
        </w:rPr>
        <w:t>“</w:t>
      </w:r>
      <w:r w:rsidRPr="00E923BE">
        <w:rPr>
          <w:rStyle w:val="SingleTxt"/>
          <w:rFonts w:cs="SimSun"/>
        </w:rPr>
        <w:t>促进土耳其妇女享有经济机会项目</w:t>
      </w:r>
      <w:r w:rsidRPr="00E923BE">
        <w:rPr>
          <w:rStyle w:val="SingleTxt"/>
          <w:rFonts w:cs="SimSun"/>
          <w:cs/>
        </w:rPr>
        <w:t>”</w:t>
      </w:r>
      <w:r w:rsidRPr="00E923BE">
        <w:rPr>
          <w:rStyle w:val="SingleTxt"/>
          <w:rFonts w:cs="SimSun"/>
        </w:rPr>
        <w:t>，土耳其开展了一项</w:t>
      </w:r>
      <w:r w:rsidRPr="00E923BE">
        <w:rPr>
          <w:rStyle w:val="SingleTxt"/>
          <w:rFonts w:cs="SimSun"/>
          <w:cs/>
        </w:rPr>
        <w:t>“</w:t>
      </w:r>
      <w:r w:rsidRPr="00E923BE">
        <w:rPr>
          <w:rStyle w:val="SingleTxt"/>
          <w:rFonts w:cs="SimSun"/>
        </w:rPr>
        <w:t>土耳其托儿和早期幼儿教育服务的供需调查</w:t>
      </w:r>
      <w:r w:rsidRPr="00E923BE">
        <w:rPr>
          <w:rStyle w:val="SingleTxt"/>
          <w:rFonts w:cs="SimSun"/>
          <w:cs/>
        </w:rPr>
        <w:t>”</w:t>
      </w:r>
      <w:r w:rsidRPr="00E923BE">
        <w:rPr>
          <w:rStyle w:val="SingleTxt"/>
          <w:rFonts w:cs="SimSun"/>
        </w:rPr>
        <w:t>。根据该调查的结果，土耳其将按照国内需求制定一个托儿模式。</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172.</w:t>
      </w:r>
      <w:r w:rsidRPr="00E923BE">
        <w:rPr>
          <w:rStyle w:val="SingleTxt"/>
          <w:rFonts w:cs="SimSun"/>
        </w:rPr>
        <w:tab/>
      </w:r>
      <w:r w:rsidRPr="00E923BE">
        <w:rPr>
          <w:rStyle w:val="SingleTxt"/>
          <w:rFonts w:cs="SimSun"/>
        </w:rPr>
        <w:t>公务员的育婴假已经过以下重新调整：不带薪产后育婴假已增加至</w:t>
      </w:r>
      <w:r w:rsidRPr="00E923BE">
        <w:rPr>
          <w:rStyle w:val="SingleTxt"/>
          <w:rFonts w:cs="SimSun"/>
        </w:rPr>
        <w:t>24</w:t>
      </w:r>
      <w:r w:rsidRPr="00E923BE">
        <w:rPr>
          <w:rStyle w:val="SingleTxt"/>
          <w:rFonts w:cs="SimSun"/>
        </w:rPr>
        <w:t>个月，可与配偶共享。适用于公务员父亲的陪产假从以前的</w:t>
      </w:r>
      <w:r w:rsidRPr="00E923BE">
        <w:rPr>
          <w:rStyle w:val="SingleTxt"/>
          <w:rFonts w:cs="SimSun"/>
        </w:rPr>
        <w:t>3</w:t>
      </w:r>
      <w:r w:rsidRPr="00E923BE">
        <w:rPr>
          <w:rStyle w:val="SingleTxt"/>
          <w:rFonts w:cs="SimSun"/>
        </w:rPr>
        <w:t>天增加到</w:t>
      </w:r>
      <w:r w:rsidRPr="00E923BE">
        <w:rPr>
          <w:rStyle w:val="SingleTxt"/>
          <w:rFonts w:cs="SimSun"/>
        </w:rPr>
        <w:t>10</w:t>
      </w:r>
      <w:r w:rsidRPr="00E923BE">
        <w:rPr>
          <w:rStyle w:val="SingleTxt"/>
          <w:rFonts w:cs="SimSun"/>
        </w:rPr>
        <w:t>天。如果母亲在产假期间死亡，不论分娩前后，公务员父亲将有权享有与女公务员同等的育婴假。</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11.2</w:t>
      </w:r>
      <w:r w:rsidRPr="00E923BE">
        <w:rPr>
          <w:rFonts w:eastAsia="SimHei" w:cs="Arial"/>
          <w:bCs/>
          <w:szCs w:val="21"/>
        </w:rPr>
        <w:t>条</w:t>
      </w:r>
      <w:r w:rsidRPr="00E923BE">
        <w:rPr>
          <w:rFonts w:eastAsia="SimHei" w:cs="Arial"/>
          <w:b/>
          <w:bCs/>
          <w:szCs w:val="21"/>
        </w:rPr>
        <w:t>d</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173.</w:t>
      </w:r>
      <w:r w:rsidRPr="00E923BE">
        <w:rPr>
          <w:rStyle w:val="SingleTxt"/>
          <w:rFonts w:cs="SimSun"/>
        </w:rPr>
        <w:tab/>
      </w:r>
      <w:r w:rsidRPr="00E923BE">
        <w:rPr>
          <w:rStyle w:val="SingleTxt"/>
          <w:rFonts w:cs="SimSun"/>
        </w:rPr>
        <w:t>见</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11.3</w:t>
      </w:r>
      <w:r w:rsidRPr="00E923BE">
        <w:rPr>
          <w:rFonts w:eastAsia="SimHei" w:cs="Arial"/>
          <w:bCs/>
          <w:szCs w:val="21"/>
        </w:rPr>
        <w:t>条</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174.</w:t>
      </w:r>
      <w:r w:rsidRPr="00E923BE">
        <w:rPr>
          <w:rStyle w:val="SingleTxt"/>
          <w:rFonts w:cs="SimSun"/>
        </w:rPr>
        <w:tab/>
      </w:r>
      <w:r w:rsidRPr="00E923BE">
        <w:rPr>
          <w:rStyle w:val="SingleTxt"/>
          <w:rFonts w:cs="SimSun"/>
        </w:rPr>
        <w:t>另见第</w:t>
      </w:r>
      <w:r w:rsidRPr="00E923BE">
        <w:rPr>
          <w:rStyle w:val="SingleTxt"/>
          <w:rFonts w:cs="SimSun"/>
        </w:rPr>
        <w:t>4.2</w:t>
      </w:r>
      <w:r w:rsidRPr="00E923BE">
        <w:rPr>
          <w:rStyle w:val="SingleTxt"/>
          <w:rFonts w:cs="SimSun"/>
        </w:rPr>
        <w:t>条。</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12.1</w:t>
      </w:r>
      <w:r w:rsidRPr="00E923BE">
        <w:rPr>
          <w:rFonts w:eastAsia="SimHei" w:cs="Arial"/>
          <w:bCs/>
          <w:szCs w:val="21"/>
        </w:rPr>
        <w:t>条</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175.</w:t>
      </w:r>
      <w:r w:rsidRPr="00E923BE">
        <w:rPr>
          <w:rStyle w:val="SingleTxt"/>
          <w:rFonts w:cs="SimSun"/>
        </w:rPr>
        <w:tab/>
      </w:r>
      <w:r w:rsidRPr="00E923BE">
        <w:rPr>
          <w:rStyle w:val="SingleTxt"/>
          <w:rFonts w:cs="SimSun"/>
        </w:rPr>
        <w:t>根据土耳其统计局</w:t>
      </w:r>
      <w:r w:rsidRPr="00E923BE">
        <w:rPr>
          <w:rStyle w:val="SingleTxt"/>
          <w:rFonts w:cs="SimSun"/>
        </w:rPr>
        <w:t>2013</w:t>
      </w:r>
      <w:r w:rsidRPr="00E923BE">
        <w:rPr>
          <w:rStyle w:val="SingleTxt"/>
          <w:rFonts w:cs="SimSun"/>
        </w:rPr>
        <w:t>年的数据，男性的出生时预期寿命为</w:t>
      </w:r>
      <w:r w:rsidRPr="00E923BE">
        <w:rPr>
          <w:rStyle w:val="SingleTxt"/>
          <w:rFonts w:cs="SimSun"/>
        </w:rPr>
        <w:t>74.7</w:t>
      </w:r>
      <w:r w:rsidRPr="00E923BE">
        <w:rPr>
          <w:rStyle w:val="SingleTxt"/>
          <w:rFonts w:cs="SimSun"/>
        </w:rPr>
        <w:t>岁，女性为</w:t>
      </w:r>
      <w:r w:rsidRPr="00E923BE">
        <w:rPr>
          <w:rStyle w:val="SingleTxt"/>
          <w:rFonts w:cs="SimSun"/>
        </w:rPr>
        <w:t>79.2</w:t>
      </w:r>
      <w:r w:rsidRPr="00E923BE">
        <w:rPr>
          <w:rStyle w:val="SingleTxt"/>
          <w:rFonts w:cs="SimSun"/>
        </w:rPr>
        <w:t>岁。</w:t>
      </w:r>
      <w:r w:rsidRPr="00E923BE">
        <w:rPr>
          <w:rStyle w:val="SingleTxt"/>
          <w:rFonts w:cs="SimSun"/>
        </w:rPr>
        <w:t>65</w:t>
      </w:r>
      <w:r w:rsidRPr="00E923BE">
        <w:rPr>
          <w:rStyle w:val="SingleTxt"/>
          <w:rFonts w:cs="SimSun"/>
        </w:rPr>
        <w:t>岁以上人口中，妇女人数多于男子（妇女占老年人口</w:t>
      </w:r>
      <w:r w:rsidRPr="00E923BE">
        <w:rPr>
          <w:rStyle w:val="SingleTxt"/>
          <w:rFonts w:cs="SimSun"/>
        </w:rPr>
        <w:t>57%</w:t>
      </w:r>
      <w:r w:rsidRPr="00E923BE">
        <w:rPr>
          <w:rStyle w:val="SingleTxt"/>
          <w:rFonts w:cs="SimSun"/>
        </w:rPr>
        <w:t>，男子占</w:t>
      </w:r>
      <w:r w:rsidRPr="00E923BE">
        <w:rPr>
          <w:rStyle w:val="SingleTxt"/>
          <w:rFonts w:cs="SimSun"/>
        </w:rPr>
        <w:t>43%</w:t>
      </w:r>
      <w:r w:rsidRPr="00E923BE">
        <w:rPr>
          <w:rStyle w:val="SingleTxt"/>
          <w:rFonts w:cs="SimSun"/>
        </w:rPr>
        <w:t>）。</w:t>
      </w:r>
      <w:r w:rsidRPr="00E923BE">
        <w:rPr>
          <w:rStyle w:val="SingleTxt"/>
          <w:rFonts w:cs="SimSun"/>
        </w:rPr>
        <w:t>2009</w:t>
      </w:r>
      <w:r w:rsidRPr="00E923BE">
        <w:rPr>
          <w:rStyle w:val="SingleTxt"/>
          <w:rFonts w:cs="SimSun"/>
        </w:rPr>
        <w:t>年的婴儿死亡率为千分之</w:t>
      </w:r>
      <w:r w:rsidRPr="00E923BE">
        <w:rPr>
          <w:rStyle w:val="SingleTxt"/>
          <w:rFonts w:cs="SimSun"/>
        </w:rPr>
        <w:t>13.9</w:t>
      </w:r>
      <w:r w:rsidRPr="00E923BE">
        <w:rPr>
          <w:rStyle w:val="SingleTxt"/>
          <w:rFonts w:cs="SimSun"/>
        </w:rPr>
        <w:t>（女婴为千分之</w:t>
      </w:r>
      <w:r w:rsidRPr="00E923BE">
        <w:rPr>
          <w:rStyle w:val="SingleTxt"/>
          <w:rFonts w:cs="SimSun"/>
        </w:rPr>
        <w:t>13.1</w:t>
      </w:r>
      <w:r w:rsidRPr="00E923BE">
        <w:rPr>
          <w:rStyle w:val="SingleTxt"/>
          <w:rFonts w:cs="SimSun"/>
        </w:rPr>
        <w:t>）；在</w:t>
      </w:r>
      <w:r w:rsidRPr="00E923BE">
        <w:rPr>
          <w:rStyle w:val="SingleTxt"/>
          <w:rFonts w:cs="SimSun"/>
        </w:rPr>
        <w:t>2013</w:t>
      </w:r>
      <w:r w:rsidRPr="00E923BE">
        <w:rPr>
          <w:rStyle w:val="SingleTxt"/>
          <w:rFonts w:cs="SimSun"/>
        </w:rPr>
        <w:t>年该比例已下降到千分之</w:t>
      </w:r>
      <w:r w:rsidRPr="00E923BE">
        <w:rPr>
          <w:rStyle w:val="SingleTxt"/>
          <w:rFonts w:cs="SimSun"/>
        </w:rPr>
        <w:t>10.8</w:t>
      </w:r>
      <w:r w:rsidRPr="00E923BE">
        <w:rPr>
          <w:rStyle w:val="SingleTxt"/>
          <w:rFonts w:cs="SimSun"/>
        </w:rPr>
        <w:t>（女婴为千分之</w:t>
      </w:r>
      <w:r w:rsidRPr="00E923BE">
        <w:rPr>
          <w:rStyle w:val="SingleTxt"/>
          <w:rFonts w:cs="SimSun"/>
        </w:rPr>
        <w:t>10.2</w:t>
      </w:r>
      <w:r w:rsidRPr="00E923BE">
        <w:rPr>
          <w:rStyle w:val="SingleTxt"/>
          <w:rFonts w:cs="SimSun"/>
        </w:rPr>
        <w:t>）（见附件表</w:t>
      </w:r>
      <w:r w:rsidRPr="00E923BE">
        <w:rPr>
          <w:rStyle w:val="SingleTxt"/>
          <w:rFonts w:cs="SimSun"/>
        </w:rPr>
        <w:t>29</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176.</w:t>
      </w:r>
      <w:r w:rsidRPr="00E923BE">
        <w:rPr>
          <w:rStyle w:val="SingleTxt"/>
          <w:rFonts w:cs="SimSun"/>
        </w:rPr>
        <w:tab/>
      </w:r>
      <w:r w:rsidRPr="00E923BE">
        <w:rPr>
          <w:rStyle w:val="SingleTxt"/>
          <w:rFonts w:cs="SimSun"/>
        </w:rPr>
        <w:t>土耳其的卫生改革方案引入了家庭医生这一做法。</w:t>
      </w:r>
      <w:r w:rsidRPr="00E923BE">
        <w:rPr>
          <w:rStyle w:val="SingleTxt"/>
          <w:rFonts w:cs="SimSun"/>
        </w:rPr>
        <w:t>957</w:t>
      </w:r>
      <w:r w:rsidRPr="00E923BE">
        <w:rPr>
          <w:rStyle w:val="SingleTxt"/>
          <w:rFonts w:cs="SimSun"/>
        </w:rPr>
        <w:t>个社区保健中心下属的</w:t>
      </w:r>
      <w:r w:rsidRPr="00E923BE">
        <w:rPr>
          <w:rStyle w:val="SingleTxt"/>
          <w:rFonts w:cs="SimSun"/>
        </w:rPr>
        <w:t>189</w:t>
      </w:r>
      <w:r w:rsidRPr="00E923BE">
        <w:rPr>
          <w:rStyle w:val="SingleTxt"/>
          <w:rFonts w:cs="SimSun"/>
        </w:rPr>
        <w:t>个母婴护理和计划生育中心以及</w:t>
      </w:r>
      <w:r w:rsidRPr="00E923BE">
        <w:rPr>
          <w:rStyle w:val="SingleTxt"/>
          <w:rFonts w:cs="SimSun"/>
        </w:rPr>
        <w:t>6 600</w:t>
      </w:r>
      <w:r w:rsidRPr="00E923BE">
        <w:rPr>
          <w:rStyle w:val="SingleTxt"/>
          <w:rFonts w:cs="SimSun"/>
        </w:rPr>
        <w:t>个家庭保健中心免费提供了计划生育和生殖健康服务（卫生部</w:t>
      </w:r>
      <w:r w:rsidRPr="00E923BE">
        <w:rPr>
          <w:rStyle w:val="SingleTxt"/>
          <w:rFonts w:cs="SimSun"/>
        </w:rPr>
        <w:t>2012</w:t>
      </w:r>
      <w:r w:rsidRPr="00E923BE">
        <w:rPr>
          <w:rStyle w:val="SingleTxt"/>
          <w:rFonts w:cs="SimSun"/>
        </w:rPr>
        <w:t>年数据）。</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177.</w:t>
      </w:r>
      <w:r w:rsidRPr="00E923BE">
        <w:rPr>
          <w:rStyle w:val="SingleTxt"/>
          <w:rFonts w:cs="SimSun"/>
        </w:rPr>
        <w:tab/>
      </w:r>
      <w:r w:rsidRPr="00E923BE">
        <w:rPr>
          <w:rStyle w:val="SingleTxt"/>
          <w:rFonts w:cs="SimSun"/>
        </w:rPr>
        <w:t>根据</w:t>
      </w:r>
      <w:r>
        <w:rPr>
          <w:rStyle w:val="SingleTxt"/>
          <w:rFonts w:cs="SimSun" w:hint="eastAsia"/>
        </w:rPr>
        <w:t>《</w:t>
      </w:r>
      <w:r w:rsidRPr="00E923BE">
        <w:rPr>
          <w:rStyle w:val="SingleTxt"/>
          <w:rFonts w:cs="SimSun"/>
        </w:rPr>
        <w:t>第</w:t>
      </w:r>
      <w:r w:rsidRPr="00E923BE">
        <w:rPr>
          <w:rStyle w:val="SingleTxt"/>
          <w:rFonts w:cs="SimSun"/>
        </w:rPr>
        <w:t>2827</w:t>
      </w:r>
      <w:r w:rsidRPr="00E923BE">
        <w:rPr>
          <w:rStyle w:val="SingleTxt"/>
          <w:rFonts w:cs="SimSun"/>
        </w:rPr>
        <w:t>号人口计划法</w:t>
      </w:r>
      <w:r>
        <w:rPr>
          <w:rStyle w:val="SingleTxt"/>
          <w:rFonts w:cs="SimSun" w:hint="eastAsia"/>
        </w:rPr>
        <w:t>》</w:t>
      </w:r>
      <w:r w:rsidRPr="00E923BE">
        <w:rPr>
          <w:rStyle w:val="SingleTxt"/>
          <w:rFonts w:cs="SimSun"/>
        </w:rPr>
        <w:t>，土耳其自</w:t>
      </w:r>
      <w:r w:rsidRPr="00E923BE">
        <w:rPr>
          <w:rStyle w:val="SingleTxt"/>
          <w:rFonts w:cs="SimSun"/>
        </w:rPr>
        <w:t>1983</w:t>
      </w:r>
      <w:r w:rsidRPr="00E923BE">
        <w:rPr>
          <w:rStyle w:val="SingleTxt"/>
          <w:rFonts w:cs="SimSun"/>
        </w:rPr>
        <w:t>年以来就允许在妊娠</w:t>
      </w:r>
      <w:r w:rsidRPr="00E923BE">
        <w:rPr>
          <w:rStyle w:val="SingleTxt"/>
          <w:rFonts w:cs="SimSun"/>
        </w:rPr>
        <w:t>10</w:t>
      </w:r>
      <w:r w:rsidRPr="00E923BE">
        <w:rPr>
          <w:rStyle w:val="SingleTxt"/>
          <w:rFonts w:cs="SimSun"/>
        </w:rPr>
        <w:t>周内实施自愿流产。由于现代避孕方法的广泛使用，自愿流产率有所降低（</w:t>
      </w:r>
      <w:r w:rsidRPr="00E923BE">
        <w:rPr>
          <w:rStyle w:val="SingleTxt"/>
          <w:rFonts w:cs="SimSun"/>
        </w:rPr>
        <w:t>2008</w:t>
      </w:r>
      <w:r w:rsidRPr="00E923BE">
        <w:rPr>
          <w:rStyle w:val="SingleTxt"/>
          <w:rFonts w:cs="SimSun"/>
        </w:rPr>
        <w:t>年为每</w:t>
      </w:r>
      <w:r w:rsidRPr="00E923BE">
        <w:rPr>
          <w:rStyle w:val="SingleTxt"/>
          <w:rFonts w:cs="SimSun"/>
        </w:rPr>
        <w:t>100</w:t>
      </w:r>
      <w:r w:rsidRPr="00E923BE">
        <w:rPr>
          <w:rStyle w:val="SingleTxt"/>
          <w:rFonts w:cs="SimSun"/>
        </w:rPr>
        <w:t>例妊娠有</w:t>
      </w:r>
      <w:r w:rsidRPr="00E923BE">
        <w:rPr>
          <w:rStyle w:val="SingleTxt"/>
          <w:rFonts w:cs="SimSun"/>
        </w:rPr>
        <w:t>10</w:t>
      </w:r>
      <w:r w:rsidRPr="00E923BE">
        <w:rPr>
          <w:rStyle w:val="SingleTxt"/>
          <w:rFonts w:cs="SimSun"/>
        </w:rPr>
        <w:t>例自愿流产）。</w:t>
      </w:r>
      <w:r w:rsidRPr="005C05C5">
        <w:rPr>
          <w:rStyle w:val="FootnoteReference"/>
          <w:rFonts w:cs="SimSun"/>
        </w:rPr>
        <w:footnoteReference w:id="8"/>
      </w:r>
      <w:r w:rsidRPr="00E923BE">
        <w:rPr>
          <w:rStyle w:val="SingleTxt"/>
          <w:rFonts w:cs="SimSun"/>
        </w:rPr>
        <w:t>土耳其正在继续努力保持低自愿流产率。</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178.</w:t>
      </w:r>
      <w:r w:rsidRPr="00E923BE">
        <w:rPr>
          <w:rStyle w:val="SingleTxt"/>
          <w:rFonts w:cs="SimSun"/>
        </w:rPr>
        <w:tab/>
      </w:r>
      <w:r w:rsidRPr="00E923BE">
        <w:rPr>
          <w:rStyle w:val="SingleTxt"/>
          <w:rFonts w:cs="SimSun"/>
        </w:rPr>
        <w:t>由于开展了打击早婚活动（见第</w:t>
      </w:r>
      <w:r w:rsidRPr="00E923BE">
        <w:rPr>
          <w:rStyle w:val="SingleTxt"/>
          <w:rFonts w:cs="SimSun"/>
        </w:rPr>
        <w:t>16.2</w:t>
      </w:r>
      <w:r w:rsidRPr="00E923BE">
        <w:rPr>
          <w:rStyle w:val="SingleTxt"/>
          <w:rFonts w:cs="SimSun"/>
        </w:rPr>
        <w:t>条）和宣传活动，土耳其的少女怀孕率从</w:t>
      </w:r>
      <w:r w:rsidRPr="00E923BE">
        <w:rPr>
          <w:rStyle w:val="SingleTxt"/>
          <w:rFonts w:cs="SimSun"/>
        </w:rPr>
        <w:t>2008</w:t>
      </w:r>
      <w:r w:rsidRPr="00E923BE">
        <w:rPr>
          <w:rStyle w:val="SingleTxt"/>
          <w:rFonts w:cs="SimSun"/>
        </w:rPr>
        <w:t>年的</w:t>
      </w:r>
      <w:r w:rsidRPr="00E923BE">
        <w:rPr>
          <w:rStyle w:val="SingleTxt"/>
          <w:rFonts w:cs="SimSun"/>
        </w:rPr>
        <w:t>4%</w:t>
      </w:r>
      <w:r w:rsidRPr="00E923BE">
        <w:rPr>
          <w:rStyle w:val="SingleTxt"/>
          <w:rFonts w:cs="SimSun"/>
        </w:rPr>
        <w:t>跌至</w:t>
      </w:r>
      <w:r w:rsidRPr="00E923BE">
        <w:rPr>
          <w:rStyle w:val="SingleTxt"/>
          <w:rFonts w:cs="SimSun"/>
        </w:rPr>
        <w:t>2012</w:t>
      </w:r>
      <w:r w:rsidRPr="00E923BE">
        <w:rPr>
          <w:rStyle w:val="SingleTxt"/>
          <w:rFonts w:cs="SimSun"/>
        </w:rPr>
        <w:t>年的</w:t>
      </w:r>
      <w:r w:rsidRPr="00E923BE">
        <w:rPr>
          <w:rStyle w:val="SingleTxt"/>
          <w:rFonts w:cs="SimSun"/>
        </w:rPr>
        <w:t>2.9%</w:t>
      </w:r>
      <w:r w:rsidRPr="00E923BE">
        <w:rPr>
          <w:rStyle w:val="SingleTxt"/>
          <w:rFonts w:cs="SimSun"/>
        </w:rPr>
        <w:t>（见附件表</w:t>
      </w:r>
      <w:r w:rsidRPr="00E923BE">
        <w:rPr>
          <w:rStyle w:val="SingleTxt"/>
          <w:rFonts w:cs="SimSun"/>
        </w:rPr>
        <w:t>30</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179.</w:t>
      </w:r>
      <w:r w:rsidRPr="00E923BE">
        <w:rPr>
          <w:rStyle w:val="SingleTxt"/>
          <w:rFonts w:cs="SimSun"/>
        </w:rPr>
        <w:tab/>
      </w:r>
      <w:r w:rsidRPr="00E923BE">
        <w:rPr>
          <w:rStyle w:val="SingleTxt"/>
          <w:rFonts w:cs="SimSun"/>
        </w:rPr>
        <w:t>为实现健康的计划生育，土耳其已实施了若干方案，如</w:t>
      </w:r>
      <w:r w:rsidRPr="00E923BE">
        <w:rPr>
          <w:rStyle w:val="SingleTxt"/>
          <w:rFonts w:cs="SimSun"/>
        </w:rPr>
        <w:t>15</w:t>
      </w:r>
      <w:r w:rsidRPr="00E923BE">
        <w:rPr>
          <w:rStyle w:val="SingleTxt"/>
          <w:rFonts w:cs="SimSun"/>
        </w:rPr>
        <w:t>至</w:t>
      </w:r>
      <w:r w:rsidRPr="00E923BE">
        <w:rPr>
          <w:rStyle w:val="SingleTxt"/>
          <w:rFonts w:cs="SimSun"/>
        </w:rPr>
        <w:t>49</w:t>
      </w:r>
      <w:r w:rsidRPr="00E923BE">
        <w:rPr>
          <w:rStyle w:val="SingleTxt"/>
          <w:rFonts w:cs="SimSun"/>
        </w:rPr>
        <w:t>岁妇女跟进方案以及婚前咨询方案。在</w:t>
      </w:r>
      <w:r w:rsidRPr="00E923BE">
        <w:rPr>
          <w:rStyle w:val="SingleTxt"/>
          <w:rFonts w:cs="SimSun"/>
        </w:rPr>
        <w:t>2006</w:t>
      </w:r>
      <w:r w:rsidRPr="00E923BE">
        <w:rPr>
          <w:rStyle w:val="SingleTxt"/>
          <w:rFonts w:cs="SimSun"/>
        </w:rPr>
        <w:t>年至</w:t>
      </w:r>
      <w:r w:rsidRPr="00E923BE">
        <w:rPr>
          <w:rStyle w:val="SingleTxt"/>
          <w:rFonts w:cs="SimSun"/>
        </w:rPr>
        <w:t>2013</w:t>
      </w:r>
      <w:r w:rsidRPr="00E923BE">
        <w:rPr>
          <w:rStyle w:val="SingleTxt"/>
          <w:rFonts w:cs="SimSun"/>
        </w:rPr>
        <w:t>年期间，</w:t>
      </w:r>
      <w:r w:rsidRPr="00E923BE">
        <w:rPr>
          <w:rStyle w:val="SingleTxt"/>
          <w:rFonts w:cs="SimSun"/>
        </w:rPr>
        <w:t>27 000</w:t>
      </w:r>
      <w:r w:rsidRPr="00E923BE">
        <w:rPr>
          <w:rStyle w:val="SingleTxt"/>
          <w:rFonts w:cs="SimSun"/>
        </w:rPr>
        <w:t>名医护人员接受了有关生殖保健介绍、安全孕产、避孕指导、性传播感染和青年升值健康服务的培训。</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180.</w:t>
      </w:r>
      <w:r w:rsidRPr="00E923BE">
        <w:rPr>
          <w:rStyle w:val="SingleTxt"/>
          <w:rFonts w:cs="SimSun"/>
        </w:rPr>
        <w:tab/>
      </w:r>
      <w:r w:rsidRPr="00E923BE">
        <w:rPr>
          <w:rStyle w:val="SingleTxt"/>
          <w:rFonts w:cs="SimSun"/>
        </w:rPr>
        <w:t>土耳其统计局的数据显示，</w:t>
      </w:r>
      <w:r w:rsidRPr="00E923BE">
        <w:rPr>
          <w:rStyle w:val="SingleTxt"/>
          <w:rFonts w:cs="SimSun"/>
        </w:rPr>
        <w:t>2012</w:t>
      </w:r>
      <w:r w:rsidRPr="00E923BE">
        <w:rPr>
          <w:rStyle w:val="SingleTxt"/>
          <w:rFonts w:cs="SimSun"/>
        </w:rPr>
        <w:t>年</w:t>
      </w:r>
      <w:r w:rsidRPr="00E923BE">
        <w:rPr>
          <w:rStyle w:val="SingleTxt"/>
          <w:rFonts w:cs="SimSun"/>
        </w:rPr>
        <w:t>3</w:t>
      </w:r>
      <w:r>
        <w:rPr>
          <w:rStyle w:val="SingleTxt"/>
          <w:rFonts w:cs="SimSun" w:hint="eastAsia"/>
        </w:rPr>
        <w:t xml:space="preserve"> </w:t>
      </w:r>
      <w:r w:rsidRPr="00E923BE">
        <w:rPr>
          <w:rStyle w:val="SingleTxt"/>
          <w:rFonts w:cs="SimSun"/>
        </w:rPr>
        <w:t>225</w:t>
      </w:r>
      <w:r w:rsidRPr="00E923BE">
        <w:rPr>
          <w:rStyle w:val="SingleTxt"/>
          <w:rFonts w:cs="SimSun"/>
        </w:rPr>
        <w:t>例自杀案件中有</w:t>
      </w:r>
      <w:r w:rsidRPr="00E923BE">
        <w:rPr>
          <w:rStyle w:val="SingleTxt"/>
          <w:rFonts w:cs="SimSun"/>
        </w:rPr>
        <w:t>910</w:t>
      </w:r>
      <w:r w:rsidRPr="00E923BE">
        <w:rPr>
          <w:rStyle w:val="SingleTxt"/>
          <w:rFonts w:cs="SimSun"/>
        </w:rPr>
        <w:t>名为妇女</w:t>
      </w:r>
      <w:r>
        <w:rPr>
          <w:rStyle w:val="SingleTxt"/>
          <w:rFonts w:cs="SimSun" w:hint="eastAsia"/>
        </w:rPr>
        <w:t>（</w:t>
      </w:r>
      <w:r>
        <w:rPr>
          <w:rStyle w:val="SingleTxt"/>
          <w:rFonts w:cs="SimSun" w:hint="eastAsia"/>
        </w:rPr>
        <w:t>39.3%</w:t>
      </w:r>
      <w:r>
        <w:rPr>
          <w:rStyle w:val="SingleTxt"/>
          <w:rFonts w:cs="SimSun" w:hint="eastAsia"/>
        </w:rPr>
        <w:t>）</w:t>
      </w:r>
      <w:r w:rsidRPr="00E923BE">
        <w:rPr>
          <w:rStyle w:val="SingleTxt"/>
          <w:rFonts w:cs="SimSun"/>
        </w:rPr>
        <w:t>。从地区上看，妇女自杀率最高的地区是安纳托利亚中东部和安纳托利亚东南部（分别为</w:t>
      </w:r>
      <w:r w:rsidRPr="00E923BE">
        <w:rPr>
          <w:rStyle w:val="SingleTxt"/>
          <w:rFonts w:cs="SimSun"/>
        </w:rPr>
        <w:t>42%</w:t>
      </w:r>
      <w:r w:rsidRPr="00E923BE">
        <w:rPr>
          <w:rStyle w:val="SingleTxt"/>
          <w:rFonts w:cs="SimSun"/>
        </w:rPr>
        <w:t>和</w:t>
      </w:r>
      <w:r w:rsidRPr="00E923BE">
        <w:rPr>
          <w:rStyle w:val="SingleTxt"/>
          <w:rFonts w:cs="SimSun"/>
        </w:rPr>
        <w:t>41%</w:t>
      </w:r>
      <w:r w:rsidRPr="00E923BE">
        <w:rPr>
          <w:rStyle w:val="SingleTxt"/>
          <w:rFonts w:cs="SimSun"/>
        </w:rPr>
        <w:t>）。</w:t>
      </w:r>
      <w:r w:rsidRPr="00E923BE">
        <w:rPr>
          <w:rStyle w:val="SingleTxt"/>
          <w:rFonts w:cs="SimSun"/>
          <w:cs/>
        </w:rPr>
        <w:t>“</w:t>
      </w:r>
      <w:r w:rsidRPr="00E923BE">
        <w:rPr>
          <w:rStyle w:val="SingleTxt"/>
          <w:rFonts w:cs="SimSun"/>
        </w:rPr>
        <w:t>土耳其全国范围内对妇女的家庭暴力研究</w:t>
      </w:r>
      <w:r w:rsidRPr="00E923BE">
        <w:rPr>
          <w:rStyle w:val="SingleTxt"/>
          <w:rFonts w:cs="SimSun"/>
          <w:cs/>
        </w:rPr>
        <w:t>”</w:t>
      </w:r>
      <w:r w:rsidRPr="00E923BE">
        <w:rPr>
          <w:rStyle w:val="SingleTxt"/>
          <w:rFonts w:cs="SimSun"/>
        </w:rPr>
        <w:t>（</w:t>
      </w:r>
      <w:r w:rsidRPr="00E923BE">
        <w:rPr>
          <w:rStyle w:val="SingleTxt"/>
          <w:rFonts w:cs="SimSun"/>
        </w:rPr>
        <w:t>2008</w:t>
      </w:r>
      <w:r w:rsidRPr="00E923BE">
        <w:rPr>
          <w:rStyle w:val="SingleTxt"/>
          <w:rFonts w:cs="SimSun"/>
        </w:rPr>
        <w:t>年）探究了妇女自杀企图与暴力行为的关联，指出</w:t>
      </w:r>
      <w:r w:rsidRPr="00E923BE">
        <w:rPr>
          <w:rStyle w:val="SingleTxt"/>
          <w:rFonts w:cs="SimSun"/>
        </w:rPr>
        <w:t>33%</w:t>
      </w:r>
      <w:r w:rsidRPr="00E923BE">
        <w:rPr>
          <w:rStyle w:val="SingleTxt"/>
          <w:rFonts w:cs="SimSun"/>
        </w:rPr>
        <w:t>遭受肢体或性暴力的妇女想过自杀，而</w:t>
      </w:r>
      <w:r w:rsidRPr="00E923BE">
        <w:rPr>
          <w:rStyle w:val="SingleTxt"/>
          <w:rFonts w:cs="SimSun"/>
        </w:rPr>
        <w:t>12%</w:t>
      </w:r>
      <w:r w:rsidRPr="00E923BE">
        <w:rPr>
          <w:rStyle w:val="SingleTxt"/>
          <w:rFonts w:cs="SimSun"/>
        </w:rPr>
        <w:t>曾试图自杀。土耳其认真对待</w:t>
      </w:r>
      <w:r>
        <w:rPr>
          <w:rStyle w:val="SingleTxt"/>
          <w:rFonts w:cs="SimSun"/>
        </w:rPr>
        <w:t>结论性意见</w:t>
      </w:r>
      <w:r w:rsidRPr="00E923BE">
        <w:rPr>
          <w:rStyle w:val="SingleTxt"/>
          <w:rFonts w:cs="SimSun"/>
        </w:rPr>
        <w:t>第</w:t>
      </w:r>
      <w:r w:rsidRPr="00E923BE">
        <w:rPr>
          <w:rStyle w:val="SingleTxt"/>
          <w:rFonts w:cs="SimSun"/>
        </w:rPr>
        <w:t>34</w:t>
      </w:r>
      <w:r w:rsidRPr="00E923BE">
        <w:rPr>
          <w:rStyle w:val="SingleTxt"/>
          <w:rFonts w:cs="SimSun"/>
        </w:rPr>
        <w:t>段和第</w:t>
      </w:r>
      <w:r w:rsidRPr="00E923BE">
        <w:rPr>
          <w:rStyle w:val="SingleTxt"/>
          <w:rFonts w:cs="SimSun"/>
        </w:rPr>
        <w:t>35</w:t>
      </w:r>
      <w:r w:rsidRPr="00E923BE">
        <w:rPr>
          <w:rStyle w:val="SingleTxt"/>
          <w:rFonts w:cs="SimSun"/>
        </w:rPr>
        <w:t>段提到的关切。收集到的妇女自杀数据有助于让这一问题更加广为人知。家庭和社会政策部走访了妇女自杀情况广泛存在的</w:t>
      </w:r>
      <w:r w:rsidRPr="00E923BE">
        <w:rPr>
          <w:rStyle w:val="SingleTxt"/>
          <w:rFonts w:cs="SimSun"/>
        </w:rPr>
        <w:t>Urfa</w:t>
      </w:r>
      <w:r w:rsidRPr="00E923BE">
        <w:rPr>
          <w:rStyle w:val="SingleTxt"/>
          <w:rFonts w:cs="SimSun"/>
        </w:rPr>
        <w:t>和</w:t>
      </w:r>
      <w:r w:rsidRPr="00E923BE">
        <w:rPr>
          <w:rStyle w:val="SingleTxt"/>
          <w:rFonts w:cs="SimSun"/>
        </w:rPr>
        <w:t>Ardahan</w:t>
      </w:r>
      <w:r w:rsidRPr="00E923BE">
        <w:rPr>
          <w:rStyle w:val="SingleTxt"/>
          <w:rFonts w:cs="SimSun"/>
        </w:rPr>
        <w:t>地区，以找出自杀动因并提出解决建议。土耳其相信，第</w:t>
      </w:r>
      <w:r w:rsidRPr="00E923BE">
        <w:rPr>
          <w:rStyle w:val="SingleTxt"/>
          <w:rFonts w:cs="SimSun"/>
        </w:rPr>
        <w:t>2</w:t>
      </w:r>
      <w:r w:rsidRPr="00E923BE">
        <w:rPr>
          <w:rStyle w:val="SingleTxt"/>
          <w:rFonts w:cs="SimSun"/>
        </w:rPr>
        <w:t>条</w:t>
      </w:r>
      <w:r w:rsidRPr="00E923BE">
        <w:rPr>
          <w:rStyle w:val="SingleTxt"/>
          <w:rFonts w:cs="SimSun" w:hint="eastAsia"/>
        </w:rPr>
        <w:t>f</w:t>
      </w:r>
      <w:r w:rsidRPr="00E923BE">
        <w:rPr>
          <w:rStyle w:val="H23"/>
          <w:rFonts w:cs="SimSun" w:hint="eastAsia"/>
        </w:rPr>
        <w:t>款</w:t>
      </w:r>
      <w:r w:rsidRPr="00E923BE">
        <w:rPr>
          <w:rStyle w:val="SingleTxt"/>
          <w:rFonts w:cs="SimSun"/>
        </w:rPr>
        <w:t>提到的打击暴力侵害妇女行为保护和预防措施将有助于防止妇女陷入绝望和产生自杀倾向。</w:t>
      </w:r>
    </w:p>
    <w:p w:rsidR="005C05C5" w:rsidRPr="00E923BE" w:rsidRDefault="005C05C5" w:rsidP="005C05C5">
      <w:pPr>
        <w:pStyle w:val="SingleTxt"/>
        <w:spacing w:after="120"/>
        <w:ind w:left="1134" w:right="1134"/>
      </w:pPr>
      <w:r w:rsidRPr="00E923BE">
        <w:rPr>
          <w:rStyle w:val="SingleTxt"/>
          <w:rFonts w:cs="SimSun"/>
        </w:rPr>
        <w:t>181.</w:t>
      </w:r>
      <w:r w:rsidRPr="00E923BE">
        <w:rPr>
          <w:rStyle w:val="SingleTxt"/>
          <w:rFonts w:cs="SimSun"/>
        </w:rPr>
        <w:tab/>
      </w:r>
      <w:r w:rsidRPr="00E923BE">
        <w:rPr>
          <w:rStyle w:val="SingleTxt"/>
          <w:rFonts w:cs="SimSun"/>
        </w:rPr>
        <w:t>鉴于</w:t>
      </w:r>
      <w:r>
        <w:rPr>
          <w:rStyle w:val="SingleTxt"/>
          <w:rFonts w:cs="SimSun"/>
        </w:rPr>
        <w:t>结论性意见</w:t>
      </w:r>
      <w:r w:rsidRPr="00E923BE">
        <w:rPr>
          <w:rStyle w:val="SingleTxt"/>
          <w:rFonts w:cs="SimSun"/>
        </w:rPr>
        <w:t>第</w:t>
      </w:r>
      <w:r w:rsidRPr="00E923BE">
        <w:rPr>
          <w:rStyle w:val="SingleTxt"/>
          <w:rFonts w:cs="SimSun"/>
        </w:rPr>
        <w:t>34</w:t>
      </w:r>
      <w:r w:rsidRPr="00E923BE">
        <w:rPr>
          <w:rStyle w:val="SingleTxt"/>
          <w:rFonts w:cs="SimSun"/>
        </w:rPr>
        <w:t>段和第</w:t>
      </w:r>
      <w:r w:rsidRPr="00E923BE">
        <w:rPr>
          <w:rStyle w:val="SingleTxt"/>
          <w:rFonts w:cs="SimSun"/>
        </w:rPr>
        <w:t>35</w:t>
      </w:r>
      <w:r w:rsidRPr="00E923BE">
        <w:rPr>
          <w:rStyle w:val="SingleTxt"/>
          <w:rFonts w:cs="SimSun"/>
        </w:rPr>
        <w:t>段提到的关切，土耳其实施了《艾滋病毒和艾滋病问题国家战略行动计划》（</w:t>
      </w:r>
      <w:r w:rsidRPr="00E923BE">
        <w:rPr>
          <w:rStyle w:val="SingleTxt"/>
          <w:rFonts w:cs="SimSun"/>
        </w:rPr>
        <w:t>2011-2015</w:t>
      </w:r>
      <w:r w:rsidRPr="00E923BE">
        <w:rPr>
          <w:rStyle w:val="SingleTxt"/>
          <w:rFonts w:cs="SimSun"/>
        </w:rPr>
        <w:t>年）。该《行动计划》的具体目标是针对高危群体优先开展保护和预防工作，让艾滋病毒感染者易于获得不间断治疗，提高其生活质量。根据</w:t>
      </w:r>
      <w:r w:rsidRPr="00E923BE">
        <w:rPr>
          <w:rStyle w:val="SingleTxt"/>
          <w:rFonts w:cs="SimSun"/>
        </w:rPr>
        <w:t>2012</w:t>
      </w:r>
      <w:r w:rsidRPr="00E923BE">
        <w:rPr>
          <w:rStyle w:val="SingleTxt"/>
          <w:rFonts w:cs="SimSun"/>
        </w:rPr>
        <w:t>年的数据，土耳其艾滋病毒和艾滋病感染病例中，妇女的比例为</w:t>
      </w:r>
      <w:r w:rsidRPr="00E923BE">
        <w:rPr>
          <w:rStyle w:val="SingleTxt"/>
          <w:rFonts w:cs="SimSun"/>
        </w:rPr>
        <w:t>22.94%</w:t>
      </w:r>
      <w:r w:rsidRPr="00E923BE">
        <w:rPr>
          <w:rStyle w:val="SingleTxt"/>
          <w:rFonts w:cs="SimSun"/>
        </w:rPr>
        <w:t>（见附件表</w:t>
      </w:r>
      <w:r w:rsidRPr="00E923BE">
        <w:rPr>
          <w:rStyle w:val="SingleTxt"/>
          <w:rFonts w:cs="SimSun"/>
        </w:rPr>
        <w:t>31</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182.</w:t>
      </w:r>
      <w:r w:rsidRPr="00E923BE">
        <w:rPr>
          <w:rStyle w:val="SingleTxt"/>
          <w:rFonts w:cs="SimSun"/>
        </w:rPr>
        <w:tab/>
      </w:r>
      <w:r w:rsidRPr="00E923BE">
        <w:rPr>
          <w:rStyle w:val="SingleTxt"/>
          <w:rFonts w:cs="SimSun"/>
        </w:rPr>
        <w:t>土耳其每五年开展一次人口与健康研究。最近一次的调查在</w:t>
      </w:r>
      <w:r w:rsidRPr="00E923BE">
        <w:rPr>
          <w:rStyle w:val="SingleTxt"/>
          <w:rFonts w:cs="SimSun"/>
        </w:rPr>
        <w:t>2008</w:t>
      </w:r>
      <w:r w:rsidRPr="00E923BE">
        <w:rPr>
          <w:rStyle w:val="SingleTxt"/>
          <w:rFonts w:cs="SimSun"/>
        </w:rPr>
        <w:t>年完成。该调查的目的是收集有关怀孕、分娩和妇女产后服务、计划生育服务、婴幼儿保健服务状况的数据以及研究调查结果的缺陷和改进之处。</w:t>
      </w:r>
      <w:r w:rsidRPr="00E923BE">
        <w:rPr>
          <w:rStyle w:val="SingleTxt"/>
          <w:rFonts w:cs="SimSun"/>
        </w:rPr>
        <w:t>2014</w:t>
      </w:r>
      <w:r w:rsidRPr="00E923BE">
        <w:rPr>
          <w:rStyle w:val="SingleTxt"/>
          <w:rFonts w:cs="SimSun"/>
        </w:rPr>
        <w:t>年的调查数据仍未公布（</w:t>
      </w:r>
      <w:r w:rsidRPr="00E923BE">
        <w:rPr>
          <w:rStyle w:val="SingleTxt"/>
          <w:rFonts w:cs="SimSun"/>
        </w:rPr>
        <w:t>2008</w:t>
      </w:r>
      <w:r w:rsidRPr="00E923BE">
        <w:rPr>
          <w:rStyle w:val="SingleTxt"/>
          <w:rFonts w:cs="SimSun"/>
        </w:rPr>
        <w:t>年调查数据见</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12.2</w:t>
      </w:r>
      <w:r w:rsidRPr="00E923BE">
        <w:rPr>
          <w:rFonts w:eastAsia="SimHei" w:cs="Arial"/>
          <w:bCs/>
          <w:szCs w:val="21"/>
        </w:rPr>
        <w:t>条</w:t>
      </w:r>
    </w:p>
    <w:p w:rsidR="005C05C5" w:rsidRPr="00E923BE" w:rsidRDefault="005C05C5" w:rsidP="005C05C5">
      <w:pPr>
        <w:pStyle w:val="SingleTxt"/>
        <w:spacing w:after="120"/>
        <w:ind w:left="1134" w:right="1134"/>
      </w:pPr>
      <w:r w:rsidRPr="00E923BE">
        <w:rPr>
          <w:rStyle w:val="SingleTxt"/>
          <w:rFonts w:cs="SimSun"/>
        </w:rPr>
        <w:t>183.</w:t>
      </w:r>
      <w:r w:rsidRPr="00E923BE">
        <w:rPr>
          <w:rStyle w:val="SingleTxt"/>
          <w:rFonts w:cs="SimSun"/>
        </w:rPr>
        <w:tab/>
      </w:r>
      <w:r w:rsidRPr="00E923BE">
        <w:rPr>
          <w:rStyle w:val="SingleTxt"/>
          <w:rFonts w:cs="SimSun"/>
        </w:rPr>
        <w:t>根据《卫生改革方案》，怀孕检查和婴儿跟踪治疗被列入医护人员绩效评估的强制项目。</w:t>
      </w:r>
    </w:p>
    <w:p w:rsidR="005C05C5" w:rsidRPr="00E923BE" w:rsidRDefault="005C05C5" w:rsidP="005C05C5">
      <w:pPr>
        <w:pStyle w:val="SingleTxt"/>
        <w:spacing w:after="120"/>
        <w:ind w:left="1134" w:right="1134"/>
      </w:pPr>
      <w:r w:rsidRPr="00E923BE">
        <w:rPr>
          <w:rStyle w:val="SingleTxt"/>
          <w:rFonts w:cs="SimSun"/>
        </w:rPr>
        <w:t>184.</w:t>
      </w:r>
      <w:r w:rsidRPr="00E923BE">
        <w:rPr>
          <w:rStyle w:val="SingleTxt"/>
          <w:rFonts w:cs="SimSun"/>
        </w:rPr>
        <w:tab/>
      </w:r>
      <w:r w:rsidRPr="00E923BE">
        <w:rPr>
          <w:rStyle w:val="SingleTxt"/>
          <w:rFonts w:cs="SimSun"/>
        </w:rPr>
        <w:t>自</w:t>
      </w:r>
      <w:r w:rsidRPr="00E923BE">
        <w:rPr>
          <w:rStyle w:val="SingleTxt"/>
          <w:rFonts w:cs="SimSun"/>
        </w:rPr>
        <w:t>2007</w:t>
      </w:r>
      <w:r w:rsidRPr="00E923BE">
        <w:rPr>
          <w:rStyle w:val="SingleTxt"/>
          <w:rFonts w:cs="SimSun"/>
        </w:rPr>
        <w:t>年以来，</w:t>
      </w:r>
      <w:r w:rsidRPr="00E923BE">
        <w:rPr>
          <w:rStyle w:val="SingleTxt"/>
          <w:rFonts w:cs="SimSun"/>
          <w:cs/>
        </w:rPr>
        <w:t>“</w:t>
      </w:r>
      <w:r w:rsidRPr="00E923BE">
        <w:rPr>
          <w:rStyle w:val="SingleTxt"/>
          <w:rFonts w:cs="SimSun"/>
        </w:rPr>
        <w:t>孕产妇死亡率监测方案</w:t>
      </w:r>
      <w:r w:rsidRPr="00E923BE">
        <w:rPr>
          <w:rStyle w:val="SingleTxt"/>
          <w:rFonts w:cs="SimSun"/>
          <w:cs/>
        </w:rPr>
        <w:t>”</w:t>
      </w:r>
      <w:r w:rsidRPr="00E923BE">
        <w:rPr>
          <w:rStyle w:val="SingleTxt"/>
          <w:rFonts w:cs="SimSun"/>
        </w:rPr>
        <w:t>持续记录孕产妇死亡案例。全国各个省都设有孕产妇死亡率监测和审查委员会。这些委员会通过详细文件，审查每一例孕产妇死亡案件，并确定具体死亡原因。由于作出了这些以及其他类似的努力，孕产妇死亡率近年来一直处于下降趋势。在</w:t>
      </w:r>
      <w:r w:rsidRPr="00E923BE">
        <w:rPr>
          <w:rStyle w:val="SingleTxt"/>
          <w:rFonts w:cs="SimSun"/>
        </w:rPr>
        <w:t>2008</w:t>
      </w:r>
      <w:r w:rsidRPr="00E923BE">
        <w:rPr>
          <w:rStyle w:val="SingleTxt"/>
          <w:rFonts w:cs="SimSun"/>
        </w:rPr>
        <w:t>年，产妇死亡率为每千名活产</w:t>
      </w:r>
      <w:r w:rsidRPr="00E923BE">
        <w:rPr>
          <w:rStyle w:val="SingleTxt"/>
          <w:rFonts w:cs="SimSun"/>
        </w:rPr>
        <w:t>19.4</w:t>
      </w:r>
      <w:r w:rsidRPr="00E923BE">
        <w:rPr>
          <w:rStyle w:val="SingleTxt"/>
          <w:rFonts w:cs="SimSun"/>
        </w:rPr>
        <w:t>人，而在</w:t>
      </w:r>
      <w:r w:rsidRPr="00E923BE">
        <w:rPr>
          <w:rStyle w:val="SingleTxt"/>
          <w:rFonts w:cs="SimSun"/>
        </w:rPr>
        <w:t>2013</w:t>
      </w:r>
      <w:r w:rsidRPr="00E923BE">
        <w:rPr>
          <w:rStyle w:val="SingleTxt"/>
          <w:rFonts w:cs="SimSun"/>
        </w:rPr>
        <w:t>年该比例已下降至</w:t>
      </w:r>
      <w:r w:rsidRPr="00E923BE">
        <w:rPr>
          <w:rStyle w:val="SingleTxt"/>
          <w:rFonts w:cs="SimSun"/>
        </w:rPr>
        <w:t>15.9</w:t>
      </w:r>
      <w:r w:rsidRPr="00E923BE">
        <w:rPr>
          <w:rStyle w:val="SingleTxt"/>
          <w:rFonts w:cs="SimSun"/>
        </w:rPr>
        <w:t>人（见附件表</w:t>
      </w:r>
      <w:r w:rsidRPr="00E923BE">
        <w:rPr>
          <w:rStyle w:val="SingleTxt"/>
          <w:rFonts w:cs="SimSun"/>
        </w:rPr>
        <w:t>32</w:t>
      </w:r>
      <w:r w:rsidRPr="00E923BE">
        <w:rPr>
          <w:rStyle w:val="SingleTxt"/>
          <w:rFonts w:cs="SimSun"/>
        </w:rPr>
        <w:t>）。另一方面，近年来总生育率有所下降。</w:t>
      </w:r>
      <w:r w:rsidRPr="00E923BE">
        <w:rPr>
          <w:rStyle w:val="SingleTxt"/>
          <w:rFonts w:cs="SimSun"/>
        </w:rPr>
        <w:t>2008</w:t>
      </w:r>
      <w:r w:rsidRPr="00E923BE">
        <w:rPr>
          <w:rStyle w:val="SingleTxt"/>
          <w:rFonts w:cs="SimSun"/>
        </w:rPr>
        <w:t>年的总生育率为</w:t>
      </w:r>
      <w:r w:rsidRPr="00E923BE">
        <w:rPr>
          <w:rStyle w:val="SingleTxt"/>
          <w:rFonts w:cs="SimSun"/>
        </w:rPr>
        <w:t>2.15</w:t>
      </w:r>
      <w:r w:rsidRPr="00E923BE">
        <w:rPr>
          <w:rStyle w:val="SingleTxt"/>
          <w:rFonts w:cs="SimSun"/>
        </w:rPr>
        <w:t>，而在</w:t>
      </w:r>
      <w:r w:rsidRPr="00E923BE">
        <w:rPr>
          <w:rStyle w:val="SingleTxt"/>
          <w:rFonts w:cs="SimSun"/>
        </w:rPr>
        <w:t>2013</w:t>
      </w:r>
      <w:r w:rsidRPr="00E923BE">
        <w:rPr>
          <w:rStyle w:val="SingleTxt"/>
          <w:rFonts w:cs="SimSun"/>
        </w:rPr>
        <w:t>年则下降至</w:t>
      </w:r>
      <w:r w:rsidRPr="00E923BE">
        <w:rPr>
          <w:rStyle w:val="SingleTxt"/>
          <w:rFonts w:cs="SimSun"/>
        </w:rPr>
        <w:t>2.07</w:t>
      </w:r>
      <w:r w:rsidRPr="00E923BE">
        <w:rPr>
          <w:rStyle w:val="SingleTxt"/>
          <w:rFonts w:cs="SimSun"/>
        </w:rPr>
        <w:t>（见附件表</w:t>
      </w:r>
      <w:r w:rsidRPr="00E923BE">
        <w:rPr>
          <w:rStyle w:val="SingleTxt"/>
          <w:rFonts w:cs="SimSun"/>
        </w:rPr>
        <w:t>33</w:t>
      </w:r>
      <w:r w:rsidRPr="00E923BE">
        <w:rPr>
          <w:rStyle w:val="SingleTxt"/>
          <w:rFonts w:cs="SimSun"/>
        </w:rPr>
        <w:t>）。</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185.</w:t>
      </w:r>
      <w:r w:rsidRPr="00E923BE">
        <w:rPr>
          <w:rStyle w:val="SingleTxt"/>
          <w:rFonts w:cs="SimSun"/>
        </w:rPr>
        <w:tab/>
        <w:t>2009</w:t>
      </w:r>
      <w:r w:rsidRPr="00E923BE">
        <w:rPr>
          <w:rStyle w:val="SingleTxt"/>
          <w:rFonts w:cs="SimSun"/>
        </w:rPr>
        <w:t>年至</w:t>
      </w:r>
      <w:r w:rsidRPr="00E923BE">
        <w:rPr>
          <w:rStyle w:val="SingleTxt"/>
          <w:rFonts w:cs="SimSun"/>
        </w:rPr>
        <w:t>2013</w:t>
      </w:r>
      <w:r w:rsidRPr="00E923BE">
        <w:rPr>
          <w:rStyle w:val="SingleTxt"/>
          <w:rFonts w:cs="SimSun"/>
        </w:rPr>
        <w:t>年期间，获得产前护理的妇女比例逐步上升。土耳其审查数据后未发现地区之间存在明显差距（各地区的比例有所不同，介</w:t>
      </w:r>
      <w:r>
        <w:rPr>
          <w:rStyle w:val="SingleTxt"/>
          <w:rFonts w:cs="SimSun" w:hint="eastAsia"/>
        </w:rPr>
        <w:t>于</w:t>
      </w:r>
      <w:r w:rsidRPr="00E923BE">
        <w:rPr>
          <w:rStyle w:val="SingleTxt"/>
          <w:rFonts w:cs="SimSun"/>
        </w:rPr>
        <w:t>97.4%</w:t>
      </w:r>
      <w:r w:rsidRPr="00E923BE">
        <w:rPr>
          <w:rStyle w:val="SingleTxt"/>
          <w:rFonts w:cs="SimSun"/>
        </w:rPr>
        <w:t>至</w:t>
      </w:r>
      <w:r w:rsidRPr="00E923BE">
        <w:rPr>
          <w:rStyle w:val="SingleTxt"/>
          <w:rFonts w:cs="SimSun"/>
        </w:rPr>
        <w:t>98.6%</w:t>
      </w:r>
      <w:r w:rsidRPr="00E923BE">
        <w:rPr>
          <w:rStyle w:val="SingleTxt"/>
          <w:rFonts w:cs="SimSun"/>
        </w:rPr>
        <w:t>）。</w:t>
      </w:r>
      <w:r w:rsidRPr="00E923BE">
        <w:rPr>
          <w:rStyle w:val="SingleTxt"/>
          <w:rFonts w:cs="SimSun"/>
        </w:rPr>
        <w:t>2013</w:t>
      </w:r>
      <w:r w:rsidRPr="00E923BE">
        <w:rPr>
          <w:rStyle w:val="SingleTxt"/>
          <w:rFonts w:cs="SimSun"/>
        </w:rPr>
        <w:t>年平均每位孕妇和产妇接受跟踪治疗的次数分别为</w:t>
      </w:r>
      <w:r w:rsidRPr="00E923BE">
        <w:rPr>
          <w:rStyle w:val="SingleTxt"/>
          <w:rFonts w:cs="SimSun"/>
        </w:rPr>
        <w:t>4.4</w:t>
      </w:r>
      <w:r w:rsidRPr="00E923BE">
        <w:rPr>
          <w:rStyle w:val="SingleTxt"/>
          <w:rFonts w:cs="SimSun"/>
        </w:rPr>
        <w:t>次和</w:t>
      </w:r>
      <w:r w:rsidRPr="00E923BE">
        <w:rPr>
          <w:rStyle w:val="SingleTxt"/>
          <w:rFonts w:cs="SimSun"/>
        </w:rPr>
        <w:t>2.9</w:t>
      </w:r>
      <w:r w:rsidRPr="00E923BE">
        <w:rPr>
          <w:rStyle w:val="SingleTxt"/>
          <w:rFonts w:cs="SimSun"/>
        </w:rPr>
        <w:t>次（见附件表</w:t>
      </w:r>
      <w:r w:rsidRPr="00E923BE">
        <w:rPr>
          <w:rStyle w:val="SingleTxt"/>
          <w:rFonts w:cs="SimSun"/>
        </w:rPr>
        <w:t>34</w:t>
      </w:r>
      <w:r w:rsidRPr="00E923BE">
        <w:rPr>
          <w:rStyle w:val="SingleTxt"/>
          <w:rFonts w:cs="SimSun"/>
        </w:rPr>
        <w:t>和表</w:t>
      </w:r>
      <w:r w:rsidRPr="00E923BE">
        <w:rPr>
          <w:rStyle w:val="SingleTxt"/>
          <w:rFonts w:cs="SimSun"/>
        </w:rPr>
        <w:t>35</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186.</w:t>
      </w:r>
      <w:r w:rsidRPr="00E923BE">
        <w:rPr>
          <w:rStyle w:val="SingleTxt"/>
          <w:rFonts w:cs="SimSun"/>
        </w:rPr>
        <w:tab/>
      </w:r>
      <w:r w:rsidRPr="00E923BE">
        <w:rPr>
          <w:rStyle w:val="SingleTxt"/>
          <w:rFonts w:cs="SimSun"/>
        </w:rPr>
        <w:t>产前护理的增加也表明在医院分娩的人数有所增加。</w:t>
      </w:r>
      <w:r w:rsidRPr="00E923BE">
        <w:rPr>
          <w:rStyle w:val="SingleTxt"/>
          <w:rFonts w:cs="SimSun"/>
        </w:rPr>
        <w:t>2009</w:t>
      </w:r>
      <w:r w:rsidRPr="00E923BE">
        <w:rPr>
          <w:rStyle w:val="SingleTxt"/>
          <w:rFonts w:cs="SimSun"/>
        </w:rPr>
        <w:t>年住院分娩率为</w:t>
      </w:r>
      <w:r w:rsidRPr="00E923BE">
        <w:rPr>
          <w:rStyle w:val="SingleTxt"/>
          <w:rFonts w:cs="SimSun"/>
        </w:rPr>
        <w:t>89.4%</w:t>
      </w:r>
      <w:r w:rsidRPr="00E923BE">
        <w:rPr>
          <w:rStyle w:val="SingleTxt"/>
          <w:rFonts w:cs="SimSun"/>
        </w:rPr>
        <w:t>；而在</w:t>
      </w:r>
      <w:r w:rsidRPr="00E923BE">
        <w:rPr>
          <w:rStyle w:val="SingleTxt"/>
          <w:rFonts w:cs="SimSun"/>
        </w:rPr>
        <w:t>2013</w:t>
      </w:r>
      <w:r w:rsidRPr="00E923BE">
        <w:rPr>
          <w:rStyle w:val="SingleTxt"/>
          <w:rFonts w:cs="SimSun"/>
        </w:rPr>
        <w:t>年，该比例上升至</w:t>
      </w:r>
      <w:r w:rsidRPr="00E923BE">
        <w:rPr>
          <w:rStyle w:val="SingleTxt"/>
          <w:rFonts w:cs="SimSun"/>
        </w:rPr>
        <w:t>98.1%</w:t>
      </w:r>
      <w:r w:rsidRPr="00E923BE">
        <w:rPr>
          <w:rStyle w:val="SingleTxt"/>
          <w:rFonts w:cs="SimSun"/>
        </w:rPr>
        <w:t>（见附件表</w:t>
      </w:r>
      <w:r w:rsidRPr="00E923BE">
        <w:rPr>
          <w:rStyle w:val="SingleTxt"/>
          <w:rFonts w:cs="SimSun"/>
        </w:rPr>
        <w:t>36</w:t>
      </w:r>
      <w:r w:rsidRPr="00E923BE">
        <w:rPr>
          <w:rStyle w:val="SingleTxt"/>
          <w:rFonts w:cs="SimSun"/>
        </w:rPr>
        <w:t>）。土耳其相信，有条件保健现金拨付措施促进了这一比例的增长，满足住院分娩和定期</w:t>
      </w:r>
      <w:r w:rsidRPr="00E923BE">
        <w:rPr>
          <w:rStyle w:val="SingleTxt"/>
          <w:rFonts w:cs="SimSun" w:hint="eastAsia"/>
        </w:rPr>
        <w:t>参加</w:t>
      </w:r>
      <w:r w:rsidRPr="00E923BE">
        <w:rPr>
          <w:rStyle w:val="SingleTxt"/>
          <w:rFonts w:cs="SimSun"/>
        </w:rPr>
        <w:t>怀孕检查等条件的孕妇可享受这一措施。在</w:t>
      </w:r>
      <w:r w:rsidRPr="00E923BE">
        <w:rPr>
          <w:rStyle w:val="SingleTxt"/>
          <w:rFonts w:cs="SimSun"/>
        </w:rPr>
        <w:t>2013</w:t>
      </w:r>
      <w:r w:rsidRPr="00E923BE">
        <w:rPr>
          <w:rStyle w:val="SingleTxt"/>
          <w:rFonts w:cs="SimSun"/>
        </w:rPr>
        <w:t>年，共有</w:t>
      </w:r>
      <w:r w:rsidRPr="00E923BE">
        <w:rPr>
          <w:rStyle w:val="SingleTxt"/>
          <w:rFonts w:cs="SimSun"/>
        </w:rPr>
        <w:t>101 398</w:t>
      </w:r>
      <w:r w:rsidRPr="00E923BE">
        <w:rPr>
          <w:rStyle w:val="SingleTxt"/>
          <w:rFonts w:cs="SimSun"/>
        </w:rPr>
        <w:t>名妇女从这些现金拨付措施中获益（家庭和社会政策部</w:t>
      </w:r>
      <w:r w:rsidRPr="00E923BE">
        <w:rPr>
          <w:rStyle w:val="SingleTxt"/>
          <w:rFonts w:cs="SimSun"/>
        </w:rPr>
        <w:t>2014</w:t>
      </w:r>
      <w:r w:rsidRPr="00E923BE">
        <w:rPr>
          <w:rStyle w:val="SingleTxt"/>
          <w:rFonts w:cs="SimSun"/>
        </w:rPr>
        <w:t>年数据）。</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187.</w:t>
      </w:r>
      <w:r w:rsidRPr="00E923BE">
        <w:rPr>
          <w:rStyle w:val="SingleTxt"/>
          <w:rFonts w:cs="SimSun"/>
        </w:rPr>
        <w:tab/>
      </w:r>
      <w:r w:rsidRPr="00E923BE">
        <w:rPr>
          <w:rStyle w:val="SingleTxt"/>
          <w:rFonts w:cs="SimSun"/>
        </w:rPr>
        <w:t>由于剖腹产的人数在近年来呈上升趋势，因此土耳其已持续努力把剖腹产的比例降低至世界卫生组织建议的水平。土耳其启动</w:t>
      </w:r>
      <w:r w:rsidRPr="00E923BE">
        <w:rPr>
          <w:rStyle w:val="SingleTxt"/>
          <w:rFonts w:cs="SimSun"/>
          <w:cs/>
        </w:rPr>
        <w:t>“</w:t>
      </w:r>
      <w:r w:rsidRPr="00E923BE">
        <w:rPr>
          <w:rStyle w:val="SingleTxt"/>
          <w:rFonts w:cs="SimSun"/>
        </w:rPr>
        <w:t>关爱产妇医院方案</w:t>
      </w:r>
      <w:r w:rsidRPr="00E923BE">
        <w:rPr>
          <w:rStyle w:val="SingleTxt"/>
          <w:rFonts w:cs="SimSun"/>
          <w:cs/>
        </w:rPr>
        <w:t>”</w:t>
      </w:r>
      <w:r w:rsidRPr="00E923BE">
        <w:rPr>
          <w:rStyle w:val="SingleTxt"/>
          <w:rFonts w:cs="SimSun"/>
        </w:rPr>
        <w:t>的目的是建立一个保障孕妇在妊娠、分娩和产褥期间的患者权利和安全的环境。</w:t>
      </w:r>
    </w:p>
    <w:p w:rsidR="005C05C5" w:rsidRPr="00E923BE" w:rsidRDefault="005C05C5" w:rsidP="005C05C5">
      <w:pPr>
        <w:pStyle w:val="SingleTxt"/>
        <w:spacing w:after="120"/>
        <w:ind w:left="1134" w:right="1134"/>
      </w:pPr>
      <w:r w:rsidRPr="00E923BE">
        <w:rPr>
          <w:rStyle w:val="SingleTxt"/>
          <w:rFonts w:cs="SimSun"/>
        </w:rPr>
        <w:t>188.</w:t>
      </w:r>
      <w:r w:rsidRPr="00E923BE">
        <w:rPr>
          <w:rStyle w:val="SingleTxt"/>
          <w:rFonts w:cs="SimSun"/>
        </w:rPr>
        <w:tab/>
      </w:r>
      <w:r w:rsidRPr="00E923BE">
        <w:rPr>
          <w:rStyle w:val="SingleTxt"/>
          <w:rFonts w:cs="SimSun"/>
        </w:rPr>
        <w:t>另一方面，鉴于</w:t>
      </w:r>
      <w:r>
        <w:rPr>
          <w:rStyle w:val="SingleTxt"/>
          <w:rFonts w:cs="SimSun"/>
        </w:rPr>
        <w:t>结论性意见</w:t>
      </w:r>
      <w:r w:rsidRPr="00E923BE">
        <w:rPr>
          <w:rStyle w:val="SingleTxt"/>
          <w:rFonts w:cs="SimSun"/>
        </w:rPr>
        <w:t>第</w:t>
      </w:r>
      <w:r w:rsidRPr="00E923BE">
        <w:rPr>
          <w:rStyle w:val="SingleTxt"/>
          <w:rFonts w:cs="SimSun"/>
        </w:rPr>
        <w:t>34</w:t>
      </w:r>
      <w:r w:rsidRPr="00E923BE">
        <w:rPr>
          <w:rStyle w:val="SingleTxt"/>
          <w:rFonts w:cs="SimSun"/>
        </w:rPr>
        <w:t>段和第</w:t>
      </w:r>
      <w:r w:rsidRPr="00E923BE">
        <w:rPr>
          <w:rStyle w:val="SingleTxt"/>
          <w:rFonts w:cs="SimSun"/>
        </w:rPr>
        <w:t>35</w:t>
      </w:r>
      <w:r w:rsidRPr="00E923BE">
        <w:rPr>
          <w:rStyle w:val="SingleTxt"/>
          <w:rFonts w:cs="SimSun"/>
        </w:rPr>
        <w:t>段的建议，土耳其在</w:t>
      </w:r>
      <w:r w:rsidRPr="00E923BE">
        <w:rPr>
          <w:rStyle w:val="SingleTxt"/>
          <w:rFonts w:cs="SimSun"/>
        </w:rPr>
        <w:t>2008</w:t>
      </w:r>
      <w:r w:rsidRPr="00E923BE">
        <w:rPr>
          <w:rStyle w:val="SingleTxt"/>
          <w:rFonts w:cs="SimSun"/>
        </w:rPr>
        <w:t>年实施了一项</w:t>
      </w:r>
      <w:r w:rsidRPr="00E923BE">
        <w:rPr>
          <w:rStyle w:val="SingleTxt"/>
          <w:rFonts w:cs="SimSun"/>
          <w:cs/>
        </w:rPr>
        <w:t>“</w:t>
      </w:r>
      <w:r w:rsidRPr="00E923BE">
        <w:rPr>
          <w:rStyle w:val="SingleTxt"/>
          <w:rFonts w:cs="SimSun"/>
        </w:rPr>
        <w:t>母亲旅客措施</w:t>
      </w:r>
      <w:r w:rsidRPr="00E923BE">
        <w:rPr>
          <w:rStyle w:val="SingleTxt"/>
          <w:rFonts w:cs="SimSun"/>
          <w:cs/>
        </w:rPr>
        <w:t>”</w:t>
      </w:r>
      <w:r w:rsidRPr="00E923BE">
        <w:rPr>
          <w:rStyle w:val="SingleTxt"/>
          <w:rFonts w:cs="SimSun"/>
        </w:rPr>
        <w:t>，以缩小各地区在住院分娩方面的差距，并且为更多孕妇和产妇提供护理。这一措施识别身处气候和交通条件欠佳而导致运输困难的地区的孕妇，在临产前把她们接送至市中心，让她们住院并在医院分娩。在</w:t>
      </w:r>
      <w:r w:rsidRPr="00E923BE">
        <w:rPr>
          <w:rStyle w:val="SingleTxt"/>
          <w:rFonts w:cs="SimSun"/>
        </w:rPr>
        <w:t>2008</w:t>
      </w:r>
      <w:r w:rsidRPr="00E923BE">
        <w:rPr>
          <w:rStyle w:val="SingleTxt"/>
          <w:rFonts w:cs="SimSun"/>
        </w:rPr>
        <w:t>年至</w:t>
      </w:r>
      <w:r w:rsidRPr="00E923BE">
        <w:rPr>
          <w:rStyle w:val="SingleTxt"/>
          <w:rFonts w:cs="SimSun"/>
        </w:rPr>
        <w:t>2013</w:t>
      </w:r>
      <w:r w:rsidRPr="00E923BE">
        <w:rPr>
          <w:rStyle w:val="SingleTxt"/>
          <w:rFonts w:cs="SimSun"/>
        </w:rPr>
        <w:t>年期间，共有</w:t>
      </w:r>
      <w:r w:rsidRPr="00E923BE">
        <w:rPr>
          <w:rStyle w:val="SingleTxt"/>
          <w:rFonts w:cs="SimSun"/>
        </w:rPr>
        <w:t>187 720</w:t>
      </w:r>
      <w:r w:rsidRPr="00E923BE">
        <w:rPr>
          <w:rStyle w:val="SingleTxt"/>
          <w:rFonts w:cs="SimSun"/>
        </w:rPr>
        <w:t>名孕妇受到邀请使用这一措施，其中</w:t>
      </w:r>
      <w:r w:rsidRPr="00E923BE">
        <w:rPr>
          <w:rStyle w:val="SingleTxt"/>
          <w:rFonts w:cs="SimSun"/>
        </w:rPr>
        <w:t>27 716</w:t>
      </w:r>
      <w:r w:rsidRPr="00E923BE">
        <w:rPr>
          <w:rStyle w:val="SingleTxt"/>
          <w:rFonts w:cs="SimSun"/>
        </w:rPr>
        <w:t>名住院直至完成分娩。</w:t>
      </w:r>
      <w:r w:rsidRPr="00E923BE">
        <w:rPr>
          <w:rStyle w:val="SingleTxt"/>
          <w:rFonts w:cs="SimSun"/>
          <w:cs/>
        </w:rPr>
        <w:t>“</w:t>
      </w:r>
      <w:r w:rsidRPr="00E923BE">
        <w:rPr>
          <w:rStyle w:val="SingleTxt"/>
          <w:rFonts w:cs="SimSun"/>
        </w:rPr>
        <w:t>母亲宿舍</w:t>
      </w:r>
      <w:r w:rsidRPr="00E923BE">
        <w:rPr>
          <w:rStyle w:val="SingleTxt"/>
          <w:rFonts w:cs="SimSun"/>
          <w:cs/>
        </w:rPr>
        <w:t>”</w:t>
      </w:r>
      <w:r w:rsidRPr="00E923BE">
        <w:rPr>
          <w:rStyle w:val="SingleTxt"/>
          <w:rFonts w:cs="SimSun"/>
        </w:rPr>
        <w:t>措施一般适用于婴儿须留在新生儿监护室的母亲。</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189.</w:t>
      </w:r>
      <w:r w:rsidRPr="00E923BE">
        <w:rPr>
          <w:rStyle w:val="SingleTxt"/>
          <w:rFonts w:cs="SimSun"/>
        </w:rPr>
        <w:tab/>
      </w:r>
      <w:r w:rsidRPr="00E923BE">
        <w:rPr>
          <w:rStyle w:val="SingleTxt"/>
          <w:rFonts w:cs="SimSun"/>
        </w:rPr>
        <w:t>此外，土耳其也开展了有关妇女和孕妇保健的活动，如</w:t>
      </w:r>
      <w:r w:rsidRPr="00E923BE">
        <w:rPr>
          <w:rStyle w:val="SingleTxt"/>
          <w:rFonts w:cs="SimSun"/>
          <w:cs/>
        </w:rPr>
        <w:t>“</w:t>
      </w:r>
      <w:r w:rsidRPr="00E923BE">
        <w:rPr>
          <w:rStyle w:val="SingleTxt"/>
          <w:rFonts w:cs="SimSun"/>
        </w:rPr>
        <w:t>产科急诊护理课程</w:t>
      </w:r>
      <w:r w:rsidRPr="00E923BE">
        <w:rPr>
          <w:rStyle w:val="SingleTxt"/>
          <w:rFonts w:cs="SimSun"/>
          <w:cs/>
        </w:rPr>
        <w:t>”</w:t>
      </w:r>
      <w:r w:rsidRPr="00E923BE">
        <w:rPr>
          <w:rStyle w:val="SingleTxt"/>
          <w:rFonts w:cs="SimSun"/>
        </w:rPr>
        <w:t>和</w:t>
      </w:r>
      <w:r w:rsidRPr="00E923BE">
        <w:rPr>
          <w:rStyle w:val="SingleTxt"/>
          <w:rFonts w:cs="SimSun"/>
          <w:cs/>
        </w:rPr>
        <w:t>“</w:t>
      </w:r>
      <w:r w:rsidRPr="00E923BE">
        <w:rPr>
          <w:rStyle w:val="SingleTxt"/>
          <w:rFonts w:cs="SimSun"/>
        </w:rPr>
        <w:t>妊娠知识课程</w:t>
      </w:r>
      <w:r w:rsidRPr="00E923BE">
        <w:rPr>
          <w:rStyle w:val="SingleTxt"/>
          <w:rFonts w:cs="SimSun"/>
          <w:cs/>
        </w:rPr>
        <w:t>”</w:t>
      </w:r>
      <w:r w:rsidRPr="00E923BE">
        <w:rPr>
          <w:rStyle w:val="SingleTxt"/>
          <w:rFonts w:cs="SimSun"/>
        </w:rPr>
        <w:t>等。</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13</w:t>
      </w:r>
      <w:r w:rsidRPr="00E923BE">
        <w:rPr>
          <w:rFonts w:eastAsia="SimHei" w:cs="Arial"/>
          <w:bCs/>
          <w:szCs w:val="21"/>
        </w:rPr>
        <w:t>条</w:t>
      </w:r>
      <w:r w:rsidRPr="00E923BE">
        <w:rPr>
          <w:rFonts w:eastAsia="SimHei" w:cs="Arial"/>
          <w:b/>
          <w:bCs/>
          <w:szCs w:val="21"/>
        </w:rPr>
        <w:t>a</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190.</w:t>
      </w:r>
      <w:r w:rsidRPr="00E923BE">
        <w:rPr>
          <w:rStyle w:val="SingleTxt"/>
          <w:rFonts w:cs="SimSun"/>
        </w:rPr>
        <w:tab/>
      </w:r>
      <w:r w:rsidRPr="00E923BE">
        <w:rPr>
          <w:rStyle w:val="SingleTxt"/>
          <w:rFonts w:cs="SimSun"/>
        </w:rPr>
        <w:t>根据《公务员法》，配偶不工作的公务员享有家庭援助。这一援助措施适用于男女公务员。</w:t>
      </w:r>
    </w:p>
    <w:p w:rsidR="005C05C5" w:rsidRPr="00E923BE" w:rsidRDefault="005C05C5" w:rsidP="005C05C5">
      <w:pPr>
        <w:pStyle w:val="SingleTxt"/>
        <w:spacing w:after="120"/>
        <w:ind w:left="1134" w:right="1134"/>
      </w:pPr>
      <w:r w:rsidRPr="00E923BE">
        <w:rPr>
          <w:rStyle w:val="SingleTxt"/>
          <w:rFonts w:cs="SimSun"/>
        </w:rPr>
        <w:t>191.</w:t>
      </w:r>
      <w:r w:rsidRPr="00E923BE">
        <w:rPr>
          <w:rStyle w:val="SingleTxt"/>
          <w:rFonts w:cs="SimSun"/>
        </w:rPr>
        <w:tab/>
      </w:r>
      <w:r w:rsidRPr="00E923BE">
        <w:rPr>
          <w:rStyle w:val="SingleTxt"/>
          <w:rFonts w:cs="SimSun"/>
        </w:rPr>
        <w:t>但根据《劳动法》，雇主没有法律义务提供家庭援助。因此，雇主有权决定是否提供这一援助。但根据《劳动法》（第</w:t>
      </w:r>
      <w:r w:rsidRPr="00E923BE">
        <w:rPr>
          <w:rStyle w:val="SingleTxt"/>
          <w:rFonts w:cs="SimSun"/>
        </w:rPr>
        <w:t>5</w:t>
      </w:r>
      <w:r w:rsidRPr="00E923BE">
        <w:rPr>
          <w:rStyle w:val="SingleTxt"/>
          <w:rFonts w:cs="SimSun"/>
        </w:rPr>
        <w:t>条），雇主不得作出性别歧视安排。</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13</w:t>
      </w:r>
      <w:r w:rsidRPr="00E923BE">
        <w:rPr>
          <w:rFonts w:eastAsia="SimHei" w:cs="Arial"/>
          <w:bCs/>
          <w:szCs w:val="21"/>
        </w:rPr>
        <w:t>条</w:t>
      </w:r>
      <w:r w:rsidRPr="00E923BE">
        <w:rPr>
          <w:rFonts w:eastAsia="SimHei" w:cs="Arial"/>
          <w:b/>
          <w:bCs/>
          <w:szCs w:val="21"/>
        </w:rPr>
        <w:t>b</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192.</w:t>
      </w:r>
      <w:r w:rsidRPr="00E923BE">
        <w:rPr>
          <w:rStyle w:val="SingleTxt"/>
          <w:rFonts w:cs="SimSun"/>
        </w:rPr>
        <w:tab/>
      </w:r>
      <w:r w:rsidRPr="00E923BE">
        <w:rPr>
          <w:rStyle w:val="SingleTxt"/>
          <w:rFonts w:cs="SimSun"/>
        </w:rPr>
        <w:t>为解决财政资源的问题，私营部门已开展了合作，增加向妇女发放的贷款。例如，信用担保基金增加了对妇女的担保支助，以确保银行能增加相关信贷服务。</w:t>
      </w:r>
    </w:p>
    <w:p w:rsidR="005C05C5" w:rsidRPr="00E923BE" w:rsidRDefault="005C05C5" w:rsidP="005C05C5">
      <w:pPr>
        <w:pStyle w:val="SingleTxt"/>
        <w:spacing w:after="120"/>
        <w:ind w:left="1134" w:right="1134"/>
      </w:pPr>
      <w:r w:rsidRPr="00E923BE">
        <w:rPr>
          <w:rStyle w:val="SingleTxt"/>
          <w:rFonts w:cs="SimSun"/>
        </w:rPr>
        <w:t>193.</w:t>
      </w:r>
      <w:r w:rsidRPr="00E923BE">
        <w:rPr>
          <w:rStyle w:val="SingleTxt"/>
          <w:rFonts w:cs="SimSun"/>
        </w:rPr>
        <w:tab/>
      </w:r>
      <w:r w:rsidRPr="00E923BE">
        <w:rPr>
          <w:rStyle w:val="SingleTxt"/>
          <w:rFonts w:cs="SimSun"/>
        </w:rPr>
        <w:t>中小型企业发展组织在其《增强创业精神方案》下举办了</w:t>
      </w:r>
      <w:r w:rsidRPr="00E923BE">
        <w:rPr>
          <w:rStyle w:val="SingleTxt"/>
          <w:rFonts w:cs="SimSun"/>
          <w:cs/>
        </w:rPr>
        <w:t>“</w:t>
      </w:r>
      <w:r w:rsidRPr="00E923BE">
        <w:rPr>
          <w:rStyle w:val="SingleTxt"/>
          <w:rFonts w:cs="SimSun"/>
        </w:rPr>
        <w:t>实用创业精神培训</w:t>
      </w:r>
      <w:r w:rsidRPr="00E923BE">
        <w:rPr>
          <w:rStyle w:val="SingleTxt"/>
          <w:rFonts w:cs="SimSun"/>
          <w:cs/>
        </w:rPr>
        <w:t>”</w:t>
      </w:r>
      <w:r w:rsidRPr="00E923BE">
        <w:rPr>
          <w:rStyle w:val="SingleTxt"/>
          <w:rFonts w:cs="SimSun"/>
        </w:rPr>
        <w:t>，而且在</w:t>
      </w:r>
      <w:r w:rsidRPr="00E923BE">
        <w:rPr>
          <w:rStyle w:val="SingleTxt"/>
          <w:rFonts w:cs="SimSun"/>
          <w:cs/>
        </w:rPr>
        <w:t>“</w:t>
      </w:r>
      <w:r w:rsidRPr="00E923BE">
        <w:rPr>
          <w:rStyle w:val="SingleTxt"/>
          <w:rFonts w:cs="SimSun"/>
        </w:rPr>
        <w:t>新企业家支助</w:t>
      </w:r>
      <w:r w:rsidRPr="00E923BE">
        <w:rPr>
          <w:rStyle w:val="SingleTxt"/>
          <w:rFonts w:cs="SimSun"/>
          <w:cs/>
        </w:rPr>
        <w:t>”</w:t>
      </w:r>
      <w:r w:rsidRPr="00E923BE">
        <w:rPr>
          <w:rStyle w:val="SingleTxt"/>
          <w:rFonts w:cs="SimSun"/>
        </w:rPr>
        <w:t>措施下，女企业家获得的支助比男企业家多</w:t>
      </w:r>
      <w:r w:rsidRPr="00E923BE">
        <w:rPr>
          <w:rStyle w:val="SingleTxt"/>
          <w:rFonts w:cs="SimSun"/>
        </w:rPr>
        <w:t>10%</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194.</w:t>
      </w:r>
      <w:r w:rsidRPr="00E923BE">
        <w:rPr>
          <w:rStyle w:val="SingleTxt"/>
          <w:rFonts w:cs="SimSun"/>
        </w:rPr>
        <w:tab/>
      </w:r>
      <w:r w:rsidRPr="00E923BE">
        <w:rPr>
          <w:rStyle w:val="SingleTxt"/>
          <w:rFonts w:cs="SimSun"/>
        </w:rPr>
        <w:t>欧洲复兴开发银行和土耳其劳动和社会保障部合作启动的</w:t>
      </w:r>
      <w:r w:rsidRPr="00E923BE">
        <w:rPr>
          <w:rStyle w:val="SingleTxt"/>
          <w:rFonts w:cs="SimSun"/>
          <w:cs/>
        </w:rPr>
        <w:t>“</w:t>
      </w:r>
      <w:r w:rsidRPr="00E923BE">
        <w:rPr>
          <w:rStyle w:val="SingleTxt"/>
          <w:rFonts w:cs="SimSun"/>
        </w:rPr>
        <w:t>商业女性行动</w:t>
      </w:r>
      <w:r w:rsidRPr="00E923BE">
        <w:rPr>
          <w:rStyle w:val="SingleTxt"/>
          <w:rFonts w:cs="SimSun"/>
          <w:cs/>
        </w:rPr>
        <w:t>”</w:t>
      </w:r>
      <w:r w:rsidRPr="00E923BE">
        <w:rPr>
          <w:rStyle w:val="SingleTxt"/>
          <w:rFonts w:cs="SimSun"/>
        </w:rPr>
        <w:t>总投入接近</w:t>
      </w:r>
      <w:r w:rsidRPr="00E923BE">
        <w:rPr>
          <w:rStyle w:val="SingleTxt"/>
          <w:rFonts w:cs="SimSun"/>
        </w:rPr>
        <w:t>3 800</w:t>
      </w:r>
      <w:r w:rsidRPr="00E923BE">
        <w:rPr>
          <w:rStyle w:val="SingleTxt"/>
          <w:rFonts w:cs="SimSun"/>
        </w:rPr>
        <w:t>万欧元，旨在通过信贷方银行向妇女拥有或担任管理职位的公司提供可盈利贷款，让其扩大公司规模，从而促进就业；并且从技术上为信贷方银行提供支助，以改善其基础设施，从而在土耳其建立起以妇女为中心的信贷机制。</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13</w:t>
      </w:r>
      <w:r w:rsidRPr="00E923BE">
        <w:rPr>
          <w:rFonts w:eastAsia="SimHei" w:cs="Arial"/>
          <w:bCs/>
          <w:szCs w:val="21"/>
        </w:rPr>
        <w:t>条</w:t>
      </w:r>
      <w:r w:rsidRPr="00E923BE">
        <w:rPr>
          <w:rFonts w:eastAsia="SimHei" w:cs="Arial"/>
          <w:b/>
          <w:bCs/>
          <w:szCs w:val="21"/>
        </w:rPr>
        <w:t>c</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195.</w:t>
      </w:r>
      <w:r w:rsidRPr="00E923BE">
        <w:rPr>
          <w:rStyle w:val="SingleTxt"/>
          <w:rFonts w:cs="SimSun"/>
        </w:rPr>
        <w:tab/>
      </w:r>
      <w:r w:rsidRPr="00E923BE">
        <w:rPr>
          <w:rStyle w:val="SingleTxt"/>
          <w:rFonts w:cs="SimSun"/>
        </w:rPr>
        <w:t>关于体育活动，见第</w:t>
      </w:r>
      <w:r w:rsidRPr="00E923BE">
        <w:rPr>
          <w:rStyle w:val="SingleTxt"/>
          <w:rFonts w:cs="SimSun"/>
        </w:rPr>
        <w:t>10</w:t>
      </w:r>
      <w:r w:rsidRPr="00E923BE">
        <w:rPr>
          <w:rStyle w:val="SingleTxt"/>
          <w:rFonts w:cs="SimSun"/>
        </w:rPr>
        <w:t>条</w:t>
      </w:r>
      <w:r>
        <w:rPr>
          <w:rStyle w:val="SingleTxt"/>
          <w:rFonts w:cs="SimSun" w:hint="eastAsia"/>
        </w:rPr>
        <w:t>g</w:t>
      </w:r>
      <w:r>
        <w:rPr>
          <w:rStyle w:val="SingleTxt"/>
          <w:rFonts w:cs="SimSun" w:hint="eastAsia"/>
        </w:rPr>
        <w:t>款</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14.1</w:t>
      </w:r>
      <w:r w:rsidRPr="00E923BE">
        <w:rPr>
          <w:rFonts w:eastAsia="SimHei" w:cs="Arial"/>
          <w:bCs/>
          <w:szCs w:val="21"/>
        </w:rPr>
        <w:t>条</w:t>
      </w:r>
    </w:p>
    <w:p w:rsidR="005C05C5" w:rsidRPr="00E923BE" w:rsidRDefault="005C05C5" w:rsidP="005C05C5">
      <w:pPr>
        <w:pStyle w:val="SingleTxt"/>
        <w:spacing w:after="120"/>
        <w:ind w:left="1134" w:right="1134"/>
      </w:pPr>
      <w:r w:rsidRPr="00E923BE">
        <w:rPr>
          <w:rStyle w:val="SingleTxt"/>
          <w:rFonts w:cs="SimSun"/>
        </w:rPr>
        <w:t>196.</w:t>
      </w:r>
      <w:r w:rsidRPr="00E923BE">
        <w:rPr>
          <w:rStyle w:val="SingleTxt"/>
          <w:rFonts w:cs="SimSun"/>
        </w:rPr>
        <w:tab/>
      </w:r>
      <w:r w:rsidRPr="00E923BE">
        <w:rPr>
          <w:rStyle w:val="SingleTxt"/>
          <w:rFonts w:cs="SimSun"/>
        </w:rPr>
        <w:t>土耳其开展了主题为</w:t>
      </w:r>
      <w:r w:rsidRPr="00E923BE">
        <w:rPr>
          <w:rStyle w:val="SingleTxt"/>
          <w:rFonts w:cs="SimSun"/>
          <w:cs/>
        </w:rPr>
        <w:t>“</w:t>
      </w:r>
      <w:r w:rsidRPr="00E923BE">
        <w:rPr>
          <w:rStyle w:val="SingleTxt"/>
          <w:rFonts w:cs="SimSun"/>
        </w:rPr>
        <w:t>男女平等和性别平等</w:t>
      </w:r>
      <w:r w:rsidRPr="00E923BE">
        <w:rPr>
          <w:rStyle w:val="SingleTxt"/>
          <w:rFonts w:cs="SimSun"/>
          <w:cs/>
        </w:rPr>
        <w:t>”</w:t>
      </w:r>
      <w:r w:rsidRPr="00E923BE">
        <w:rPr>
          <w:rStyle w:val="SingleTxt"/>
          <w:rFonts w:cs="SimSun"/>
        </w:rPr>
        <w:t>的培训师培训，让本地人员开展随后的女农民培训。关于女农民的社会保障权利，见第</w:t>
      </w:r>
      <w:r w:rsidRPr="00E923BE">
        <w:rPr>
          <w:rStyle w:val="SingleTxt"/>
          <w:rFonts w:cs="SimSun"/>
        </w:rPr>
        <w:t>2</w:t>
      </w:r>
      <w:r w:rsidRPr="00E923BE">
        <w:rPr>
          <w:rStyle w:val="SingleTxt"/>
          <w:rFonts w:cs="SimSun"/>
        </w:rPr>
        <w:t>条</w:t>
      </w:r>
      <w:r w:rsidRPr="00E923BE">
        <w:rPr>
          <w:rStyle w:val="SingleTxt"/>
          <w:rFonts w:cs="SimSun"/>
        </w:rPr>
        <w:t>b</w:t>
      </w:r>
      <w:r w:rsidRPr="00E923BE">
        <w:rPr>
          <w:rStyle w:val="SingleTxt"/>
          <w:rFonts w:cs="SimSun"/>
        </w:rPr>
        <w:t>款。</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14.2</w:t>
      </w:r>
      <w:r w:rsidRPr="00E923BE">
        <w:rPr>
          <w:rFonts w:eastAsia="SimHei" w:cs="Arial"/>
          <w:bCs/>
          <w:szCs w:val="21"/>
        </w:rPr>
        <w:t>条</w:t>
      </w:r>
      <w:r w:rsidRPr="00E923BE">
        <w:rPr>
          <w:rFonts w:eastAsia="SimHei" w:cs="Arial"/>
          <w:b/>
          <w:bCs/>
          <w:szCs w:val="21"/>
        </w:rPr>
        <w:t>a</w:t>
      </w:r>
      <w:r w:rsidRPr="00E923BE">
        <w:rPr>
          <w:rFonts w:eastAsia="SimHei" w:cs="Arial" w:hint="eastAsia"/>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197.</w:t>
      </w:r>
      <w:r w:rsidRPr="00E923BE">
        <w:rPr>
          <w:rStyle w:val="SingleTxt"/>
          <w:rFonts w:cs="SimSun"/>
        </w:rPr>
        <w:tab/>
      </w:r>
      <w:r w:rsidRPr="00E923BE">
        <w:rPr>
          <w:rStyle w:val="SingleTxt"/>
          <w:rFonts w:cs="SimSun"/>
        </w:rPr>
        <w:t>粮食、农业和畜牧业部以</w:t>
      </w:r>
      <w:r w:rsidRPr="00E923BE">
        <w:rPr>
          <w:rStyle w:val="SingleTxt"/>
          <w:rFonts w:cs="SimSun"/>
        </w:rPr>
        <w:t>1</w:t>
      </w:r>
      <w:r w:rsidRPr="00E923BE">
        <w:rPr>
          <w:rStyle w:val="SingleTxt"/>
          <w:rFonts w:cs="SimSun"/>
        </w:rPr>
        <w:t>个国家</w:t>
      </w:r>
      <w:r w:rsidRPr="00E923BE">
        <w:rPr>
          <w:rStyle w:val="SingleTxt"/>
          <w:rFonts w:cs="SimSun" w:hint="eastAsia"/>
        </w:rPr>
        <w:t>一</w:t>
      </w:r>
      <w:r w:rsidRPr="00E923BE">
        <w:rPr>
          <w:rStyle w:val="SingleTxt"/>
          <w:rFonts w:cs="SimSun"/>
        </w:rPr>
        <w:t>级和</w:t>
      </w:r>
      <w:r w:rsidRPr="00E923BE">
        <w:rPr>
          <w:rStyle w:val="SingleTxt"/>
          <w:rFonts w:cs="SimSun"/>
        </w:rPr>
        <w:t>9</w:t>
      </w:r>
      <w:r w:rsidRPr="00E923BE">
        <w:rPr>
          <w:rStyle w:val="SingleTxt"/>
          <w:rFonts w:cs="SimSun"/>
        </w:rPr>
        <w:t>个地方</w:t>
      </w:r>
      <w:r w:rsidRPr="00E923BE">
        <w:rPr>
          <w:rStyle w:val="SingleTxt"/>
          <w:rFonts w:cs="SimSun" w:hint="eastAsia"/>
        </w:rPr>
        <w:t>一</w:t>
      </w:r>
      <w:r w:rsidRPr="00E923BE">
        <w:rPr>
          <w:rStyle w:val="SingleTxt"/>
          <w:rFonts w:cs="SimSun"/>
        </w:rPr>
        <w:t>级农村妇女讲习班的成果为基础，编制了《增强农村妇女权能国家行动计划》（</w:t>
      </w:r>
      <w:r w:rsidRPr="00E923BE">
        <w:rPr>
          <w:rStyle w:val="SingleTxt"/>
          <w:rFonts w:cs="SimSun"/>
        </w:rPr>
        <w:t>2012-2016</w:t>
      </w:r>
      <w:r w:rsidRPr="00E923BE">
        <w:rPr>
          <w:rStyle w:val="SingleTxt"/>
          <w:rFonts w:cs="SimSun"/>
        </w:rPr>
        <w:t>年），这些讲习班的参加者包括非政府组织和女农民。该《行动计划》包括关于贫穷、教育、医疗、社会保险、农业生产、创业精神、组织、就业、营销以及使用和保护自然资源的目标和战略。土耳其相信，该计划将有助于改善农村妇女的条件，符合</w:t>
      </w:r>
      <w:r>
        <w:rPr>
          <w:rStyle w:val="SingleTxt"/>
          <w:rFonts w:cs="SimSun"/>
        </w:rPr>
        <w:t>结论性意见</w:t>
      </w:r>
      <w:r w:rsidRPr="00E923BE">
        <w:rPr>
          <w:rStyle w:val="SingleTxt"/>
          <w:rFonts w:cs="SimSun"/>
        </w:rPr>
        <w:t>第</w:t>
      </w:r>
      <w:r w:rsidRPr="00E923BE">
        <w:rPr>
          <w:rStyle w:val="SingleTxt"/>
          <w:rFonts w:cs="SimSun"/>
        </w:rPr>
        <w:t>36</w:t>
      </w:r>
      <w:r w:rsidRPr="00E923BE">
        <w:rPr>
          <w:rStyle w:val="SingleTxt"/>
          <w:rFonts w:cs="SimSun"/>
        </w:rPr>
        <w:t>段和第</w:t>
      </w:r>
      <w:r w:rsidRPr="00E923BE">
        <w:rPr>
          <w:rStyle w:val="SingleTxt"/>
          <w:rFonts w:cs="SimSun"/>
        </w:rPr>
        <w:t>37</w:t>
      </w:r>
      <w:r w:rsidRPr="00E923BE">
        <w:rPr>
          <w:rStyle w:val="SingleTxt"/>
          <w:rFonts w:cs="SimSun"/>
        </w:rPr>
        <w:t>段的建议。</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14.2</w:t>
      </w:r>
      <w:r w:rsidRPr="00E923BE">
        <w:rPr>
          <w:rFonts w:eastAsia="SimHei" w:cs="Arial"/>
          <w:bCs/>
          <w:szCs w:val="21"/>
        </w:rPr>
        <w:t>条</w:t>
      </w:r>
      <w:r w:rsidRPr="00E923BE">
        <w:rPr>
          <w:rFonts w:eastAsia="SimHei" w:cs="Arial" w:hint="eastAsia"/>
          <w:b/>
          <w:bCs/>
          <w:szCs w:val="21"/>
        </w:rPr>
        <w:t>b</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198.</w:t>
      </w:r>
      <w:r w:rsidRPr="00E923BE">
        <w:rPr>
          <w:rStyle w:val="SingleTxt"/>
          <w:rFonts w:cs="SimSun"/>
        </w:rPr>
        <w:tab/>
      </w:r>
      <w:r w:rsidRPr="00E923BE">
        <w:rPr>
          <w:rStyle w:val="SingleTxt"/>
          <w:rFonts w:cs="SimSun"/>
        </w:rPr>
        <w:t>见第</w:t>
      </w:r>
      <w:r w:rsidRPr="00E923BE">
        <w:rPr>
          <w:rStyle w:val="SingleTxt"/>
          <w:rFonts w:cs="SimSun"/>
        </w:rPr>
        <w:t>12</w:t>
      </w:r>
      <w:r w:rsidRPr="00E923BE">
        <w:rPr>
          <w:rStyle w:val="SingleTxt"/>
          <w:rFonts w:cs="SimSun"/>
        </w:rPr>
        <w:t>条。</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14.2</w:t>
      </w:r>
      <w:r w:rsidRPr="00E923BE">
        <w:rPr>
          <w:rFonts w:eastAsia="SimHei" w:cs="Arial"/>
          <w:bCs/>
          <w:szCs w:val="21"/>
        </w:rPr>
        <w:t>条</w:t>
      </w:r>
      <w:r w:rsidRPr="00E923BE">
        <w:rPr>
          <w:rFonts w:eastAsia="SimHei" w:cs="Arial" w:hint="eastAsia"/>
          <w:b/>
          <w:bCs/>
          <w:szCs w:val="21"/>
        </w:rPr>
        <w:t>c</w:t>
      </w:r>
      <w:r w:rsidRPr="00E923BE">
        <w:rPr>
          <w:rFonts w:eastAsia="SimHei" w:cs="Arial" w:hint="eastAsia"/>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199.</w:t>
      </w:r>
      <w:r w:rsidRPr="00E923BE">
        <w:rPr>
          <w:rStyle w:val="SingleTxt"/>
          <w:rFonts w:cs="SimSun"/>
        </w:rPr>
        <w:tab/>
      </w:r>
      <w:r w:rsidRPr="00E923BE">
        <w:rPr>
          <w:rStyle w:val="SingleTxt"/>
          <w:rFonts w:cs="SimSun"/>
        </w:rPr>
        <w:t>见第</w:t>
      </w:r>
      <w:r w:rsidRPr="00E923BE">
        <w:rPr>
          <w:rStyle w:val="SingleTxt"/>
          <w:rFonts w:cs="SimSun"/>
        </w:rPr>
        <w:t>2</w:t>
      </w:r>
      <w:r w:rsidRPr="00E923BE">
        <w:rPr>
          <w:rStyle w:val="SingleTxt"/>
          <w:rFonts w:cs="SimSun"/>
        </w:rPr>
        <w:t>条</w:t>
      </w:r>
      <w:r w:rsidRPr="00E923BE">
        <w:rPr>
          <w:rStyle w:val="SingleTxt"/>
          <w:rFonts w:cs="SimSun" w:hint="eastAsia"/>
        </w:rPr>
        <w:t>b</w:t>
      </w:r>
      <w:r w:rsidRPr="00E923BE">
        <w:rPr>
          <w:rStyle w:val="H23"/>
          <w:rFonts w:cs="SimSun" w:hint="eastAsia"/>
        </w:rPr>
        <w:t>款</w:t>
      </w:r>
      <w:r w:rsidRPr="00E923BE">
        <w:rPr>
          <w:rStyle w:val="SingleTxt"/>
          <w:rFonts w:cs="SimSun"/>
        </w:rPr>
        <w:t>。</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14.2</w:t>
      </w:r>
      <w:r w:rsidRPr="00E923BE">
        <w:rPr>
          <w:rFonts w:eastAsia="SimHei" w:cs="Arial"/>
          <w:bCs/>
          <w:szCs w:val="21"/>
        </w:rPr>
        <w:t>条</w:t>
      </w:r>
      <w:r w:rsidRPr="00E923BE">
        <w:rPr>
          <w:rFonts w:eastAsia="SimHei" w:cs="Arial" w:hint="eastAsia"/>
          <w:b/>
          <w:bCs/>
          <w:szCs w:val="21"/>
        </w:rPr>
        <w:t>d</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200.</w:t>
      </w:r>
      <w:r w:rsidRPr="00E923BE">
        <w:rPr>
          <w:rStyle w:val="SingleTxt"/>
          <w:rFonts w:cs="SimSun"/>
        </w:rPr>
        <w:tab/>
      </w:r>
      <w:r w:rsidRPr="00E923BE">
        <w:rPr>
          <w:rStyle w:val="SingleTxt"/>
          <w:rFonts w:cs="SimSun"/>
        </w:rPr>
        <w:t>自</w:t>
      </w:r>
      <w:r w:rsidRPr="00E923BE">
        <w:rPr>
          <w:rStyle w:val="SingleTxt"/>
          <w:rFonts w:cs="SimSun"/>
        </w:rPr>
        <w:t>2004</w:t>
      </w:r>
      <w:r w:rsidRPr="00E923BE">
        <w:rPr>
          <w:rStyle w:val="SingleTxt"/>
          <w:rFonts w:cs="SimSun"/>
        </w:rPr>
        <w:t>年以来，粮食、农业和畜牧业部一直向女农民提供有关普通合作社和合作社活动领域的培训。这些培训旨在为那些设立了自己的合作社并且正在开展项目的妇女提供支助，让她们成为企业家。目前土耳其有</w:t>
      </w:r>
      <w:r w:rsidRPr="00E923BE">
        <w:rPr>
          <w:rStyle w:val="SingleTxt"/>
          <w:rFonts w:cs="SimSun"/>
        </w:rPr>
        <w:t>43</w:t>
      </w:r>
      <w:r w:rsidRPr="00E923BE">
        <w:rPr>
          <w:rStyle w:val="SingleTxt"/>
          <w:rFonts w:cs="SimSun"/>
        </w:rPr>
        <w:t>个由妇女设立的农业发展合作社，其中大部分利益攸关方均为妇女。通过平等权利行动，</w:t>
      </w:r>
      <w:r w:rsidRPr="00E923BE">
        <w:rPr>
          <w:rStyle w:val="SingleTxt"/>
          <w:rFonts w:cs="SimSun"/>
        </w:rPr>
        <w:t>17</w:t>
      </w:r>
      <w:r w:rsidRPr="00E923BE">
        <w:rPr>
          <w:rStyle w:val="SingleTxt"/>
          <w:rFonts w:cs="SimSun"/>
        </w:rPr>
        <w:t>个合作社已从支助方案中受益并已经开始运作。</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201.</w:t>
      </w:r>
      <w:r w:rsidRPr="00E923BE">
        <w:rPr>
          <w:rStyle w:val="SingleTxt"/>
          <w:rFonts w:cs="SimSun"/>
        </w:rPr>
        <w:tab/>
      </w:r>
      <w:r w:rsidRPr="00E923BE">
        <w:rPr>
          <w:rStyle w:val="SingleTxt"/>
          <w:rFonts w:cs="SimSun"/>
        </w:rPr>
        <w:t>自</w:t>
      </w:r>
      <w:r w:rsidRPr="00E923BE">
        <w:rPr>
          <w:rStyle w:val="SingleTxt"/>
          <w:rFonts w:cs="SimSun"/>
        </w:rPr>
        <w:t>2004</w:t>
      </w:r>
      <w:r w:rsidRPr="00E923BE">
        <w:rPr>
          <w:rStyle w:val="SingleTxt"/>
          <w:rFonts w:cs="SimSun"/>
        </w:rPr>
        <w:t>年以来，粮食、农业和畜牧业部在土耳其</w:t>
      </w:r>
      <w:r w:rsidRPr="00E923BE">
        <w:rPr>
          <w:rStyle w:val="SingleTxt"/>
          <w:rFonts w:cs="SimSun"/>
        </w:rPr>
        <w:t>81</w:t>
      </w:r>
      <w:r w:rsidRPr="00E923BE">
        <w:rPr>
          <w:rStyle w:val="SingleTxt"/>
          <w:rFonts w:cs="SimSun"/>
        </w:rPr>
        <w:t>个省开展了</w:t>
      </w:r>
      <w:r w:rsidRPr="00E923BE">
        <w:rPr>
          <w:rStyle w:val="SingleTxt"/>
          <w:rFonts w:cs="SimSun"/>
          <w:cs/>
        </w:rPr>
        <w:t>“</w:t>
      </w:r>
      <w:r w:rsidRPr="00E923BE">
        <w:rPr>
          <w:rStyle w:val="SingleTxt"/>
          <w:rFonts w:cs="SimSun"/>
        </w:rPr>
        <w:t>女农民知识竞赛</w:t>
      </w:r>
      <w:r w:rsidRPr="00E923BE">
        <w:rPr>
          <w:rStyle w:val="SingleTxt"/>
          <w:rFonts w:cs="SimSun"/>
          <w:cs/>
        </w:rPr>
        <w:t>”</w:t>
      </w:r>
      <w:r w:rsidRPr="00E923BE">
        <w:rPr>
          <w:rStyle w:val="SingleTxt"/>
          <w:rFonts w:cs="SimSun"/>
        </w:rPr>
        <w:t>活动，跟踪监测对农村地区女农民的培训和教育效果。该比赛分为两部分，首先是知识竞赛，然后是项目竞赛。在</w:t>
      </w:r>
      <w:r w:rsidRPr="00E923BE">
        <w:rPr>
          <w:rStyle w:val="SingleTxt"/>
          <w:rFonts w:cs="SimSun"/>
        </w:rPr>
        <w:t>2011</w:t>
      </w:r>
      <w:r w:rsidRPr="00E923BE">
        <w:rPr>
          <w:rStyle w:val="SingleTxt"/>
          <w:rFonts w:cs="SimSun"/>
        </w:rPr>
        <w:t>年至</w:t>
      </w:r>
      <w:r w:rsidRPr="00E923BE">
        <w:rPr>
          <w:rStyle w:val="SingleTxt"/>
          <w:rFonts w:cs="SimSun"/>
        </w:rPr>
        <w:t>2013</w:t>
      </w:r>
      <w:r w:rsidRPr="00E923BE">
        <w:rPr>
          <w:rStyle w:val="SingleTxt"/>
          <w:rFonts w:cs="SimSun"/>
        </w:rPr>
        <w:t>年期间，</w:t>
      </w:r>
      <w:r w:rsidRPr="00E923BE">
        <w:rPr>
          <w:rStyle w:val="SingleTxt"/>
          <w:rFonts w:cs="SimSun"/>
        </w:rPr>
        <w:t>6</w:t>
      </w:r>
      <w:r w:rsidRPr="00E923BE">
        <w:rPr>
          <w:rStyle w:val="SingleTxt"/>
          <w:rFonts w:cs="SimSun"/>
        </w:rPr>
        <w:t>个名次最前的项目得到了支助并已实施，</w:t>
      </w:r>
      <w:r w:rsidRPr="00E923BE">
        <w:rPr>
          <w:rStyle w:val="SingleTxt"/>
          <w:rFonts w:cs="SimSun"/>
        </w:rPr>
        <w:t>6</w:t>
      </w:r>
      <w:r w:rsidRPr="00E923BE">
        <w:rPr>
          <w:rStyle w:val="SingleTxt"/>
          <w:rFonts w:cs="SimSun"/>
        </w:rPr>
        <w:t>家农业企业也得到成立。</w:t>
      </w:r>
    </w:p>
    <w:p w:rsidR="005C05C5" w:rsidRPr="00E923BE" w:rsidRDefault="005C05C5" w:rsidP="005C05C5">
      <w:pPr>
        <w:pStyle w:val="SingleTxt"/>
        <w:spacing w:after="120"/>
        <w:ind w:left="1134" w:right="1134"/>
      </w:pPr>
      <w:r w:rsidRPr="00E923BE">
        <w:rPr>
          <w:rStyle w:val="SingleTxt"/>
          <w:rFonts w:cs="SimSun"/>
        </w:rPr>
        <w:t>202.</w:t>
      </w:r>
      <w:r w:rsidRPr="00E923BE">
        <w:rPr>
          <w:rStyle w:val="SingleTxt"/>
          <w:rFonts w:cs="SimSun"/>
        </w:rPr>
        <w:tab/>
      </w:r>
      <w:r w:rsidRPr="00E923BE">
        <w:rPr>
          <w:rStyle w:val="SingleTxt"/>
          <w:rFonts w:cs="SimSun"/>
        </w:rPr>
        <w:t>在家庭和社会政策部和粮食、农业和畜牧业部合作开展的</w:t>
      </w:r>
      <w:r w:rsidRPr="00E923BE">
        <w:rPr>
          <w:rStyle w:val="SingleTxt"/>
          <w:rFonts w:cs="SimSun"/>
          <w:cs/>
        </w:rPr>
        <w:t>“</w:t>
      </w:r>
      <w:r w:rsidRPr="00E923BE">
        <w:rPr>
          <w:rStyle w:val="SingleTxt"/>
          <w:rFonts w:cs="SimSun"/>
        </w:rPr>
        <w:t>女农民培训项目</w:t>
      </w:r>
      <w:r w:rsidRPr="00E923BE">
        <w:rPr>
          <w:rStyle w:val="SingleTxt"/>
          <w:rFonts w:cs="SimSun"/>
          <w:cs/>
        </w:rPr>
        <w:t>”</w:t>
      </w:r>
      <w:r w:rsidRPr="00E923BE">
        <w:rPr>
          <w:rStyle w:val="SingleTxt"/>
          <w:rFonts w:cs="SimSun"/>
        </w:rPr>
        <w:t>下，土耳其开展了培训师培训课程，主题包括气候变化和妇女、合作社系统、农村发展和组织、创业精神和领导才能以及性别平等。这些培训让这一项目惠及</w:t>
      </w:r>
      <w:r w:rsidRPr="00E923BE">
        <w:rPr>
          <w:rStyle w:val="SingleTxt"/>
          <w:rFonts w:cs="SimSun"/>
        </w:rPr>
        <w:t>5</w:t>
      </w:r>
      <w:r w:rsidRPr="00E923BE">
        <w:rPr>
          <w:rStyle w:val="SingleTxt"/>
          <w:rFonts w:cs="SimSun"/>
        </w:rPr>
        <w:t>个试点城市的</w:t>
      </w:r>
      <w:r w:rsidRPr="00E923BE">
        <w:rPr>
          <w:rStyle w:val="SingleTxt"/>
          <w:rFonts w:cs="SimSun"/>
        </w:rPr>
        <w:t>771</w:t>
      </w:r>
      <w:r w:rsidRPr="00E923BE">
        <w:rPr>
          <w:rStyle w:val="SingleTxt"/>
          <w:rFonts w:cs="SimSun"/>
        </w:rPr>
        <w:t>名妇女。土耳其正在继续把这些培训推广到全国</w:t>
      </w:r>
      <w:r w:rsidRPr="00E923BE">
        <w:rPr>
          <w:rStyle w:val="SingleTxt"/>
          <w:rFonts w:cs="SimSun"/>
        </w:rPr>
        <w:t>81</w:t>
      </w:r>
      <w:r w:rsidRPr="00E923BE">
        <w:rPr>
          <w:rStyle w:val="SingleTxt"/>
          <w:rFonts w:cs="SimSun"/>
        </w:rPr>
        <w:t>个城市。</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203.</w:t>
      </w:r>
      <w:r w:rsidRPr="00E923BE">
        <w:rPr>
          <w:rStyle w:val="SingleTxt"/>
          <w:rFonts w:cs="SimSun"/>
        </w:rPr>
        <w:tab/>
      </w:r>
      <w:r w:rsidRPr="00E923BE">
        <w:rPr>
          <w:rStyle w:val="SingleTxt"/>
          <w:rFonts w:cs="SimSun"/>
        </w:rPr>
        <w:t>另一方面，公共教育中心在各地区持续举办了终</w:t>
      </w:r>
      <w:r>
        <w:rPr>
          <w:rStyle w:val="SingleTxt"/>
          <w:rFonts w:cs="SimSun" w:hint="eastAsia"/>
        </w:rPr>
        <w:t>身</w:t>
      </w:r>
      <w:r w:rsidRPr="00E923BE">
        <w:rPr>
          <w:rStyle w:val="SingleTxt"/>
          <w:rFonts w:cs="SimSun"/>
        </w:rPr>
        <w:t>学习课程，其中包括识字课程，而且农村妇女也能</w:t>
      </w:r>
      <w:r w:rsidRPr="00E923BE">
        <w:rPr>
          <w:rStyle w:val="SingleTxt"/>
          <w:rFonts w:cs="SimSun" w:hint="eastAsia"/>
        </w:rPr>
        <w:t>参加</w:t>
      </w:r>
      <w:r w:rsidRPr="00E923BE">
        <w:rPr>
          <w:rStyle w:val="SingleTxt"/>
          <w:rFonts w:cs="SimSun"/>
        </w:rPr>
        <w:t>这些课程。</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14.2</w:t>
      </w:r>
      <w:r w:rsidRPr="00E923BE">
        <w:rPr>
          <w:rFonts w:eastAsia="SimHei" w:cs="Arial"/>
          <w:bCs/>
          <w:szCs w:val="21"/>
        </w:rPr>
        <w:t>条</w:t>
      </w:r>
      <w:r w:rsidRPr="00E923BE">
        <w:rPr>
          <w:rFonts w:eastAsia="SimHei" w:cs="Arial"/>
          <w:b/>
          <w:bCs/>
          <w:szCs w:val="21"/>
        </w:rPr>
        <w:t>e</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204.</w:t>
      </w:r>
      <w:r w:rsidRPr="00E923BE">
        <w:rPr>
          <w:rStyle w:val="SingleTxt"/>
          <w:rFonts w:cs="SimSun"/>
        </w:rPr>
        <w:tab/>
      </w:r>
      <w:r w:rsidRPr="00E923BE">
        <w:rPr>
          <w:rStyle w:val="SingleTxt"/>
          <w:rFonts w:cs="SimSun"/>
        </w:rPr>
        <w:t>土耳其举办了一个主题为</w:t>
      </w:r>
      <w:r w:rsidRPr="00E923BE">
        <w:rPr>
          <w:rStyle w:val="SingleTxt"/>
          <w:rFonts w:cs="SimSun"/>
          <w:cs/>
        </w:rPr>
        <w:t>“</w:t>
      </w:r>
      <w:r w:rsidRPr="00E923BE">
        <w:rPr>
          <w:rStyle w:val="SingleTxt"/>
          <w:rFonts w:cs="SimSun"/>
        </w:rPr>
        <w:t>妇女合作社面临问题的共同解决方法</w:t>
      </w:r>
      <w:r w:rsidRPr="00E923BE">
        <w:rPr>
          <w:rStyle w:val="SingleTxt"/>
          <w:rFonts w:cs="SimSun"/>
          <w:cs/>
        </w:rPr>
        <w:t>”</w:t>
      </w:r>
      <w:r w:rsidRPr="00E923BE">
        <w:rPr>
          <w:rStyle w:val="SingleTxt"/>
          <w:rFonts w:cs="SimSun"/>
        </w:rPr>
        <w:t>的讲习班，为妇女合作社所面临的问题提出切实的解决方法建议，并且制定出一份路线图。已根据这些活动的成果提交了多项法律修正建议。</w:t>
      </w:r>
    </w:p>
    <w:p w:rsidR="005C05C5" w:rsidRPr="00E923BE" w:rsidRDefault="005C05C5" w:rsidP="005C05C5">
      <w:pPr>
        <w:pStyle w:val="SingleTxt"/>
        <w:spacing w:after="120"/>
        <w:ind w:left="1134" w:right="1134"/>
      </w:pPr>
      <w:r w:rsidRPr="00E923BE">
        <w:rPr>
          <w:rStyle w:val="SingleTxt"/>
          <w:rFonts w:cs="SimSun"/>
        </w:rPr>
        <w:t>205.</w:t>
      </w:r>
      <w:r w:rsidRPr="00E923BE">
        <w:rPr>
          <w:rStyle w:val="SingleTxt"/>
          <w:rFonts w:cs="SimSun"/>
        </w:rPr>
        <w:tab/>
      </w:r>
      <w:r w:rsidRPr="00E923BE">
        <w:rPr>
          <w:rStyle w:val="SingleTxt"/>
          <w:rFonts w:cs="SimSun"/>
        </w:rPr>
        <w:t>另一方面，土耳其也在</w:t>
      </w:r>
      <w:r w:rsidRPr="00E923BE">
        <w:rPr>
          <w:rStyle w:val="SingleTxt"/>
          <w:rFonts w:cs="SimSun"/>
          <w:cs/>
        </w:rPr>
        <w:t>“</w:t>
      </w:r>
      <w:r w:rsidRPr="00E923BE">
        <w:rPr>
          <w:rStyle w:val="SingleTxt"/>
          <w:rFonts w:cs="SimSun"/>
        </w:rPr>
        <w:t>促进土耳其妇女享有经济机会项目</w:t>
      </w:r>
      <w:r w:rsidRPr="00E923BE">
        <w:rPr>
          <w:rStyle w:val="SingleTxt"/>
          <w:rFonts w:cs="SimSun"/>
          <w:cs/>
        </w:rPr>
        <w:t>”</w:t>
      </w:r>
      <w:r w:rsidRPr="00E923BE">
        <w:rPr>
          <w:rStyle w:val="SingleTxt"/>
          <w:rFonts w:cs="SimSun"/>
        </w:rPr>
        <w:t>下开展了一项针对妇女合作社的研究，以强调合作社在妇女赋权方面发挥的作用，并且确定国内现有妇女合作社的情况。土耳其在该研究完成后将</w:t>
      </w:r>
      <w:r w:rsidRPr="00E923BE">
        <w:rPr>
          <w:rStyle w:val="SingleTxt"/>
          <w:rFonts w:cs="SimSun" w:hint="eastAsia"/>
        </w:rPr>
        <w:t>开发</w:t>
      </w:r>
      <w:r w:rsidRPr="00E923BE">
        <w:rPr>
          <w:rStyle w:val="SingleTxt"/>
          <w:rFonts w:cs="SimSun"/>
        </w:rPr>
        <w:t>出</w:t>
      </w:r>
      <w:r w:rsidRPr="00E923BE">
        <w:rPr>
          <w:rStyle w:val="SingleTxt"/>
          <w:rFonts w:cs="SimSun"/>
          <w:cs/>
        </w:rPr>
        <w:t>“</w:t>
      </w:r>
      <w:r w:rsidRPr="00E923BE">
        <w:rPr>
          <w:rStyle w:val="SingleTxt"/>
          <w:rFonts w:cs="SimSun"/>
        </w:rPr>
        <w:t>妇女合作社支助模式</w:t>
      </w:r>
      <w:r w:rsidRPr="00E923BE">
        <w:rPr>
          <w:rStyle w:val="SingleTxt"/>
          <w:rFonts w:cs="SimSun"/>
          <w:cs/>
        </w:rPr>
        <w:t>”</w:t>
      </w:r>
      <w:r w:rsidRPr="00E923BE">
        <w:rPr>
          <w:rStyle w:val="SingleTxt"/>
          <w:rFonts w:cs="SimSun"/>
        </w:rPr>
        <w:t>。土耳其将在</w:t>
      </w:r>
      <w:r w:rsidRPr="00E923BE">
        <w:rPr>
          <w:rStyle w:val="SingleTxt"/>
          <w:rFonts w:cs="SimSun"/>
        </w:rPr>
        <w:t>3</w:t>
      </w:r>
      <w:r w:rsidRPr="00E923BE">
        <w:rPr>
          <w:rStyle w:val="SingleTxt"/>
          <w:rFonts w:cs="SimSun"/>
        </w:rPr>
        <w:t>个待定城市对妇女合作社建立工作提供支助，以实施这一模式，并且提供这方面的培训。关于对妇女合作社提供的其他支助，见第</w:t>
      </w:r>
      <w:r w:rsidRPr="00E923BE">
        <w:rPr>
          <w:rStyle w:val="SingleTxt"/>
          <w:rFonts w:cs="SimSun"/>
        </w:rPr>
        <w:t>14/2</w:t>
      </w:r>
      <w:r w:rsidRPr="00E923BE">
        <w:rPr>
          <w:rStyle w:val="SingleTxt"/>
          <w:rFonts w:cs="SimSun"/>
        </w:rPr>
        <w:t>条</w:t>
      </w:r>
      <w:r w:rsidRPr="00E923BE">
        <w:rPr>
          <w:rStyle w:val="SingleTxt"/>
          <w:rFonts w:cs="SimSun" w:hint="eastAsia"/>
        </w:rPr>
        <w:t>d</w:t>
      </w:r>
      <w:r w:rsidRPr="00E923BE">
        <w:rPr>
          <w:rStyle w:val="H23"/>
          <w:rFonts w:cs="SimSun" w:hint="eastAsia"/>
        </w:rPr>
        <w:t>款</w:t>
      </w:r>
      <w:r w:rsidRPr="00E923BE">
        <w:rPr>
          <w:rStyle w:val="SingleTxt"/>
          <w:rFonts w:cs="SimSun"/>
        </w:rPr>
        <w:t>。</w:t>
      </w:r>
    </w:p>
    <w:p w:rsidR="005C05C5" w:rsidRPr="00E923BE" w:rsidRDefault="005C05C5" w:rsidP="005C05C5">
      <w:pPr>
        <w:pStyle w:val="SingleTxt"/>
        <w:spacing w:after="120"/>
        <w:ind w:left="1134" w:right="1134"/>
      </w:pPr>
      <w:r w:rsidRPr="00E923BE">
        <w:rPr>
          <w:rStyle w:val="SingleTxt"/>
          <w:rFonts w:cs="SimSun"/>
        </w:rPr>
        <w:t>206.</w:t>
      </w:r>
      <w:r w:rsidRPr="00E923BE">
        <w:rPr>
          <w:rStyle w:val="SingleTxt"/>
          <w:rFonts w:cs="SimSun"/>
        </w:rPr>
        <w:tab/>
      </w:r>
      <w:r w:rsidRPr="00E923BE">
        <w:rPr>
          <w:rStyle w:val="SingleTxt"/>
          <w:rFonts w:cs="SimSun"/>
        </w:rPr>
        <w:t>由粮食、农业和畜牧业部实施的</w:t>
      </w:r>
      <w:r w:rsidRPr="00E923BE">
        <w:rPr>
          <w:rStyle w:val="SingleTxt"/>
          <w:rFonts w:cs="SimSun"/>
          <w:cs/>
        </w:rPr>
        <w:t>“</w:t>
      </w:r>
      <w:r w:rsidRPr="00E923BE">
        <w:rPr>
          <w:rStyle w:val="SingleTxt"/>
          <w:rFonts w:cs="SimSun"/>
        </w:rPr>
        <w:t>女农民农业推广计划</w:t>
      </w:r>
      <w:r w:rsidRPr="00E923BE">
        <w:rPr>
          <w:rStyle w:val="SingleTxt"/>
          <w:rFonts w:cs="SimSun"/>
          <w:cs/>
        </w:rPr>
        <w:t>”</w:t>
      </w:r>
      <w:r w:rsidRPr="00E923BE">
        <w:rPr>
          <w:rStyle w:val="SingleTxt"/>
          <w:rFonts w:cs="SimSun"/>
        </w:rPr>
        <w:t>旨在提高妇女对农业生产和可持续农业活动的认识，以成倍增加创业和就业的设施和机会。在</w:t>
      </w:r>
      <w:r w:rsidRPr="00E923BE">
        <w:rPr>
          <w:rStyle w:val="SingleTxt"/>
          <w:rFonts w:cs="SimSun"/>
        </w:rPr>
        <w:t>2010</w:t>
      </w:r>
      <w:r w:rsidRPr="00E923BE">
        <w:rPr>
          <w:rStyle w:val="SingleTxt"/>
          <w:rFonts w:cs="SimSun"/>
        </w:rPr>
        <w:t>年至</w:t>
      </w:r>
      <w:r w:rsidRPr="00E923BE">
        <w:rPr>
          <w:rStyle w:val="SingleTxt"/>
          <w:rFonts w:cs="SimSun"/>
        </w:rPr>
        <w:t>2013</w:t>
      </w:r>
      <w:r w:rsidRPr="00E923BE">
        <w:rPr>
          <w:rStyle w:val="SingleTxt"/>
          <w:rFonts w:cs="SimSun"/>
        </w:rPr>
        <w:t>年期间，已有</w:t>
      </w:r>
      <w:r w:rsidRPr="00E923BE">
        <w:rPr>
          <w:rStyle w:val="SingleTxt"/>
          <w:rFonts w:cs="SimSun"/>
        </w:rPr>
        <w:t>19</w:t>
      </w:r>
      <w:r w:rsidRPr="00E923BE">
        <w:rPr>
          <w:rStyle w:val="SingleTxt"/>
          <w:rFonts w:cs="SimSun"/>
        </w:rPr>
        <w:t>个城市从这一计划获益，女农民已从</w:t>
      </w:r>
      <w:r w:rsidRPr="00E923BE">
        <w:rPr>
          <w:rStyle w:val="SingleTxt"/>
          <w:rFonts w:cs="SimSun"/>
        </w:rPr>
        <w:t>48</w:t>
      </w:r>
      <w:r w:rsidRPr="00E923BE">
        <w:rPr>
          <w:rStyle w:val="SingleTxt"/>
          <w:rFonts w:cs="SimSun"/>
        </w:rPr>
        <w:t>个项目中受益。此外，这一计划对</w:t>
      </w:r>
      <w:r w:rsidRPr="00E923BE">
        <w:rPr>
          <w:rStyle w:val="SingleTxt"/>
          <w:rFonts w:cs="SimSun"/>
        </w:rPr>
        <w:t>21 465</w:t>
      </w:r>
      <w:r w:rsidRPr="00E923BE">
        <w:rPr>
          <w:rStyle w:val="SingleTxt"/>
          <w:rFonts w:cs="SimSun"/>
        </w:rPr>
        <w:t>名妇女提供了有关推广活动的培训。</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14.2</w:t>
      </w:r>
      <w:r w:rsidRPr="00E923BE">
        <w:rPr>
          <w:rFonts w:eastAsia="SimHei" w:cs="Arial"/>
          <w:bCs/>
          <w:szCs w:val="21"/>
        </w:rPr>
        <w:t>条</w:t>
      </w:r>
      <w:r w:rsidRPr="00E923BE">
        <w:rPr>
          <w:rFonts w:eastAsia="SimHei" w:cs="Arial"/>
          <w:b/>
          <w:bCs/>
          <w:szCs w:val="21"/>
        </w:rPr>
        <w:t>f</w:t>
      </w:r>
      <w:r w:rsidRPr="00E923BE">
        <w:rPr>
          <w:rFonts w:eastAsia="SimHei" w:cs="Arial"/>
          <w:bCs/>
          <w:szCs w:val="21"/>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207.</w:t>
      </w:r>
      <w:r w:rsidRPr="00E923BE">
        <w:rPr>
          <w:rStyle w:val="SingleTxt"/>
          <w:rFonts w:cs="SimSun"/>
        </w:rPr>
        <w:tab/>
      </w:r>
      <w:r w:rsidRPr="00E923BE">
        <w:rPr>
          <w:rStyle w:val="SingleTxt"/>
          <w:rFonts w:cs="SimSun"/>
        </w:rPr>
        <w:t>为提高女农民的社会经济地位，粮食、农业和畜牧业部已举办了关于家庭资源和管理、营养、儿童发展和教育以及手工艺的培训，</w:t>
      </w:r>
      <w:r w:rsidRPr="00E923BE">
        <w:rPr>
          <w:rStyle w:val="SingleTxt"/>
          <w:rFonts w:cs="SimSun"/>
        </w:rPr>
        <w:t>2010-2013</w:t>
      </w:r>
      <w:r w:rsidRPr="00E923BE">
        <w:rPr>
          <w:rStyle w:val="SingleTxt"/>
          <w:rFonts w:cs="SimSun"/>
        </w:rPr>
        <w:t>年期间召开了</w:t>
      </w:r>
      <w:r w:rsidRPr="00E923BE">
        <w:rPr>
          <w:rStyle w:val="SingleTxt"/>
          <w:rFonts w:cs="SimSun"/>
        </w:rPr>
        <w:t>14 685</w:t>
      </w:r>
      <w:r w:rsidRPr="00E923BE">
        <w:rPr>
          <w:rStyle w:val="SingleTxt"/>
          <w:rFonts w:cs="SimSun"/>
        </w:rPr>
        <w:t>场农民会议，让</w:t>
      </w:r>
      <w:r w:rsidRPr="00E923BE">
        <w:rPr>
          <w:rStyle w:val="SingleTxt"/>
          <w:rFonts w:cs="SimSun"/>
        </w:rPr>
        <w:t>211 216</w:t>
      </w:r>
      <w:r w:rsidRPr="00E923BE">
        <w:rPr>
          <w:rStyle w:val="SingleTxt"/>
          <w:rFonts w:cs="SimSun"/>
        </w:rPr>
        <w:t>名妇女和女孩获得培训。此外，在</w:t>
      </w:r>
      <w:r w:rsidRPr="00E923BE">
        <w:rPr>
          <w:rStyle w:val="SingleTxt"/>
          <w:rFonts w:cs="SimSun"/>
          <w:cs/>
        </w:rPr>
        <w:t>“</w:t>
      </w:r>
      <w:r w:rsidRPr="00E923BE">
        <w:rPr>
          <w:rStyle w:val="SingleTxt"/>
          <w:rFonts w:cs="SimSun"/>
        </w:rPr>
        <w:t>山区培训支助方案</w:t>
      </w:r>
      <w:r w:rsidRPr="00E923BE">
        <w:rPr>
          <w:rStyle w:val="SingleTxt"/>
          <w:rFonts w:cs="SimSun"/>
          <w:cs/>
        </w:rPr>
        <w:t>”</w:t>
      </w:r>
      <w:r w:rsidRPr="00E923BE">
        <w:rPr>
          <w:rStyle w:val="SingleTxt"/>
          <w:rFonts w:cs="SimSun"/>
        </w:rPr>
        <w:t>下，农村妇女和女孩参加了有关保健、儿童发展、环境和自身权利的培训，这有利于提高农村妇女和女孩的生活技能。见第</w:t>
      </w:r>
      <w:r w:rsidRPr="00E923BE">
        <w:rPr>
          <w:rStyle w:val="SingleTxt"/>
          <w:rFonts w:cs="SimSun"/>
        </w:rPr>
        <w:t>14-2</w:t>
      </w:r>
      <w:r w:rsidRPr="00E923BE">
        <w:rPr>
          <w:rStyle w:val="SingleTxt"/>
          <w:rFonts w:cs="SimSun"/>
        </w:rPr>
        <w:t>条的</w:t>
      </w:r>
      <w:r w:rsidRPr="00E923BE">
        <w:rPr>
          <w:rStyle w:val="SingleTxt"/>
          <w:rFonts w:cs="SimSun"/>
        </w:rPr>
        <w:t>d</w:t>
      </w:r>
      <w:r w:rsidRPr="00E923BE">
        <w:rPr>
          <w:rStyle w:val="SingleTxt"/>
          <w:rFonts w:cs="SimSun"/>
        </w:rPr>
        <w:t>款。</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208.</w:t>
      </w:r>
      <w:r w:rsidRPr="00E923BE">
        <w:rPr>
          <w:rStyle w:val="SingleTxt"/>
          <w:rFonts w:cs="SimSun"/>
        </w:rPr>
        <w:tab/>
      </w:r>
      <w:r w:rsidRPr="00E923BE">
        <w:rPr>
          <w:rStyle w:val="SingleTxt"/>
          <w:rFonts w:cs="SimSun"/>
        </w:rPr>
        <w:t>在</w:t>
      </w:r>
      <w:r w:rsidRPr="00E923BE">
        <w:rPr>
          <w:rStyle w:val="SingleTxt"/>
          <w:rFonts w:cs="SimSun"/>
          <w:cs/>
        </w:rPr>
        <w:t>“</w:t>
      </w:r>
      <w:r w:rsidRPr="00E923BE">
        <w:rPr>
          <w:rStyle w:val="SingleTxt"/>
          <w:rFonts w:cs="SimSun"/>
        </w:rPr>
        <w:t>安纳托利亚东南部项目</w:t>
      </w:r>
      <w:r w:rsidRPr="00E923BE">
        <w:rPr>
          <w:rStyle w:val="SingleTxt"/>
          <w:rFonts w:cs="SimSun"/>
          <w:cs/>
        </w:rPr>
        <w:t>”</w:t>
      </w:r>
      <w:r w:rsidRPr="00E923BE">
        <w:rPr>
          <w:rStyle w:val="SingleTxt"/>
          <w:rFonts w:cs="SimSun"/>
        </w:rPr>
        <w:t>下，土耳其已为</w:t>
      </w:r>
      <w:r w:rsidRPr="00E923BE">
        <w:rPr>
          <w:rStyle w:val="SingleTxt"/>
          <w:rFonts w:cs="SimSun"/>
        </w:rPr>
        <w:t>9</w:t>
      </w:r>
      <w:r w:rsidRPr="00E923BE">
        <w:rPr>
          <w:rStyle w:val="SingleTxt"/>
          <w:rFonts w:cs="SimSun"/>
        </w:rPr>
        <w:t>个城市的妇女和年轻女孩设立</w:t>
      </w:r>
      <w:r w:rsidRPr="00E923BE">
        <w:rPr>
          <w:rStyle w:val="SingleTxt"/>
          <w:rFonts w:cs="SimSun"/>
        </w:rPr>
        <w:t>44</w:t>
      </w:r>
      <w:r w:rsidRPr="00E923BE">
        <w:rPr>
          <w:rStyle w:val="SingleTxt"/>
          <w:rFonts w:cs="SimSun"/>
        </w:rPr>
        <w:t>所多功能社区服务中心（详见</w:t>
      </w:r>
      <w:r>
        <w:rPr>
          <w:rStyle w:val="SingleTxt"/>
          <w:rFonts w:cs="SimSun"/>
        </w:rPr>
        <w:t>第六次报告</w:t>
      </w:r>
      <w:r w:rsidRPr="00E923BE">
        <w:rPr>
          <w:rStyle w:val="SingleTxt"/>
          <w:rFonts w:cs="SimSun"/>
        </w:rPr>
        <w:t>）。约有</w:t>
      </w:r>
      <w:r w:rsidRPr="00E923BE">
        <w:rPr>
          <w:rStyle w:val="SingleTxt"/>
          <w:rFonts w:cs="SimSun"/>
        </w:rPr>
        <w:t>235 000</w:t>
      </w:r>
      <w:r w:rsidRPr="00E923BE">
        <w:rPr>
          <w:rStyle w:val="SingleTxt"/>
          <w:rFonts w:cs="SimSun"/>
        </w:rPr>
        <w:t>名妇女使用了这些中心。自</w:t>
      </w:r>
      <w:r w:rsidRPr="00E923BE">
        <w:rPr>
          <w:rStyle w:val="SingleTxt"/>
          <w:rFonts w:cs="SimSun"/>
        </w:rPr>
        <w:t>1995</w:t>
      </w:r>
      <w:r w:rsidRPr="00E923BE">
        <w:rPr>
          <w:rStyle w:val="SingleTxt"/>
          <w:rFonts w:cs="SimSun"/>
        </w:rPr>
        <w:t>年以来，每月、每半年和每年都会举行会议，采用通过参与式办法决定的指标对这些社区服务中心开展跟踪和评估。除了这些报告以外，土耳其每两年也会开展一项社会影响评估。</w:t>
      </w:r>
    </w:p>
    <w:p w:rsidR="005C05C5" w:rsidRPr="00E923BE" w:rsidRDefault="005C05C5" w:rsidP="005C05C5">
      <w:pPr>
        <w:pStyle w:val="SingleTxtGC"/>
        <w:spacing w:before="240" w:after="240"/>
        <w:rPr>
          <w:rFonts w:eastAsia="SimHei" w:cs="Arial"/>
          <w:bCs/>
          <w:szCs w:val="21"/>
        </w:rPr>
      </w:pPr>
      <w:r>
        <w:rPr>
          <w:rFonts w:eastAsia="SimHei" w:cs="Arial"/>
          <w:bCs/>
          <w:szCs w:val="21"/>
        </w:rPr>
        <w:br w:type="page"/>
      </w:r>
      <w:r w:rsidRPr="00E923BE">
        <w:rPr>
          <w:rFonts w:eastAsia="SimHei" w:cs="Arial"/>
          <w:bCs/>
          <w:szCs w:val="21"/>
        </w:rPr>
        <w:t>第</w:t>
      </w:r>
      <w:r w:rsidRPr="00E923BE">
        <w:rPr>
          <w:rFonts w:eastAsia="SimHei" w:cs="Arial"/>
          <w:b/>
          <w:bCs/>
          <w:szCs w:val="21"/>
        </w:rPr>
        <w:t>14.2</w:t>
      </w:r>
      <w:r w:rsidRPr="00E923BE">
        <w:rPr>
          <w:rFonts w:eastAsia="SimHei" w:cs="Arial"/>
          <w:bCs/>
          <w:szCs w:val="21"/>
        </w:rPr>
        <w:t>条</w:t>
      </w:r>
      <w:r w:rsidRPr="00E923BE">
        <w:rPr>
          <w:rFonts w:eastAsia="SimHei" w:cs="Arial" w:hint="eastAsia"/>
          <w:b/>
          <w:bCs/>
          <w:szCs w:val="21"/>
        </w:rPr>
        <w:t>g</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209.</w:t>
      </w:r>
      <w:r w:rsidRPr="00E923BE">
        <w:rPr>
          <w:rStyle w:val="SingleTxt"/>
          <w:rFonts w:cs="SimSun"/>
        </w:rPr>
        <w:tab/>
      </w:r>
      <w:r w:rsidRPr="00E923BE">
        <w:rPr>
          <w:rStyle w:val="SingleTxt"/>
          <w:rFonts w:cs="SimSun"/>
        </w:rPr>
        <w:t>根据关于土壤保护和土地使用的第</w:t>
      </w:r>
      <w:r w:rsidRPr="00E923BE">
        <w:rPr>
          <w:rStyle w:val="SingleTxt"/>
          <w:rFonts w:cs="SimSun"/>
        </w:rPr>
        <w:t>6537</w:t>
      </w:r>
      <w:r w:rsidRPr="00E923BE">
        <w:rPr>
          <w:rStyle w:val="SingleTxt"/>
          <w:rFonts w:cs="SimSun"/>
        </w:rPr>
        <w:t>号法律修正案，土耳其力求避免土地分散，从而防止农业耕地干旱化。在针对土地整合所开展的工作中，《增强农村妇女权能国家行动计划》规定了有关让妇女知悉自身切实法律权利和如何使用这些权利的目标和战略。</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14.2</w:t>
      </w:r>
      <w:r w:rsidRPr="00E923BE">
        <w:rPr>
          <w:rFonts w:eastAsia="SimHei" w:cs="Arial"/>
          <w:bCs/>
          <w:szCs w:val="21"/>
        </w:rPr>
        <w:t>条</w:t>
      </w:r>
      <w:r w:rsidRPr="00E923BE">
        <w:rPr>
          <w:rFonts w:eastAsia="SimHei" w:cs="Arial" w:hint="eastAsia"/>
          <w:b/>
          <w:bCs/>
          <w:szCs w:val="21"/>
        </w:rPr>
        <w:t>h</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210.</w:t>
      </w:r>
      <w:r w:rsidRPr="00E923BE">
        <w:rPr>
          <w:rStyle w:val="SingleTxt"/>
          <w:rFonts w:cs="SimSun"/>
        </w:rPr>
        <w:tab/>
      </w:r>
      <w:r w:rsidRPr="00E923BE">
        <w:rPr>
          <w:rStyle w:val="SingleTxt"/>
          <w:rFonts w:cs="SimSun"/>
        </w:rPr>
        <w:t>农村地区所面临的另一严峻问题是季节农业工人问题。土耳其已制定了一项《行动计划》，改善季节农业工人在交通、住宿、教育、保健、安全、社会关系、劳动和社会保险方面的现有情况，也启动了</w:t>
      </w:r>
      <w:r w:rsidRPr="00E923BE">
        <w:rPr>
          <w:rStyle w:val="SingleTxt"/>
          <w:rFonts w:cs="SimSun"/>
          <w:cs/>
        </w:rPr>
        <w:t>“</w:t>
      </w:r>
      <w:r w:rsidRPr="00E923BE">
        <w:rPr>
          <w:rStyle w:val="SingleTxt"/>
          <w:rFonts w:cs="SimSun"/>
        </w:rPr>
        <w:t>改善季节移徙农业工人工作和社会生活条件项目</w:t>
      </w:r>
      <w:r w:rsidRPr="00E923BE">
        <w:rPr>
          <w:rStyle w:val="SingleTxt"/>
          <w:rFonts w:cs="SimSun"/>
          <w:cs/>
        </w:rPr>
        <w:t>”</w:t>
      </w:r>
      <w:r w:rsidRPr="00E923BE">
        <w:rPr>
          <w:rStyle w:val="SingleTxt"/>
          <w:rFonts w:cs="SimSun"/>
        </w:rPr>
        <w:t>。在开展有关项目后，各个城市设立了季节移徙农业工人问题监察委员会。土耳其已在离季节农业工人聚集地区最近的地方适当建立了大规模居住区，以满足他们的最低需求，如烹饪、洗衣和洗碗，还建立了卫生间和卧室；也为定期开展怀孕检查、产妇跟踪治疗、婴儿注射疫苗和其他健康检查营造了有利条件。</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15</w:t>
      </w:r>
      <w:r w:rsidRPr="00E923BE">
        <w:rPr>
          <w:rFonts w:eastAsia="SimHei" w:cs="Arial"/>
          <w:bCs/>
          <w:szCs w:val="21"/>
        </w:rPr>
        <w:t>条</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211.</w:t>
      </w:r>
      <w:r w:rsidRPr="00E923BE">
        <w:rPr>
          <w:rStyle w:val="SingleTxt"/>
          <w:rFonts w:cs="SimSun"/>
        </w:rPr>
        <w:tab/>
      </w:r>
      <w:r w:rsidRPr="00E923BE">
        <w:rPr>
          <w:rStyle w:val="SingleTxt"/>
          <w:rFonts w:cs="SimSun"/>
        </w:rPr>
        <w:t>土耳其扩大了法律框架，纳入了性别平等，也广泛实施了相关政策。在这一方面，土耳其已经对基本法律和《宪法》进行了多方面的修正。关于上述进展，见第</w:t>
      </w:r>
      <w:r>
        <w:rPr>
          <w:rStyle w:val="SingleTxt"/>
          <w:rFonts w:cs="SimSun" w:hint="eastAsia"/>
        </w:rPr>
        <w:t>四</w:t>
      </w:r>
      <w:r w:rsidRPr="00E923BE">
        <w:rPr>
          <w:rStyle w:val="SingleTxt"/>
          <w:rFonts w:cs="SimSun"/>
        </w:rPr>
        <w:t>次和第</w:t>
      </w:r>
      <w:r>
        <w:rPr>
          <w:rStyle w:val="SingleTxt"/>
          <w:rFonts w:cs="SimSun" w:hint="eastAsia"/>
        </w:rPr>
        <w:t>五</w:t>
      </w:r>
      <w:r w:rsidRPr="00E923BE">
        <w:rPr>
          <w:rStyle w:val="SingleTxt"/>
          <w:rFonts w:cs="SimSun"/>
        </w:rPr>
        <w:t>次合并报告以及</w:t>
      </w:r>
      <w:r>
        <w:rPr>
          <w:rStyle w:val="SingleTxt"/>
          <w:rFonts w:cs="SimSun"/>
        </w:rPr>
        <w:t>第六次报告</w:t>
      </w:r>
      <w:r w:rsidRPr="00E923BE">
        <w:rPr>
          <w:rStyle w:val="SingleTxt"/>
          <w:rFonts w:cs="SimSun"/>
        </w:rPr>
        <w:t>第</w:t>
      </w:r>
      <w:r w:rsidRPr="00E923BE">
        <w:rPr>
          <w:rStyle w:val="SingleTxt"/>
          <w:rFonts w:cs="SimSun"/>
        </w:rPr>
        <w:t>1</w:t>
      </w:r>
      <w:r w:rsidRPr="00E923BE">
        <w:rPr>
          <w:rStyle w:val="SingleTxt"/>
          <w:rFonts w:cs="SimSun"/>
        </w:rPr>
        <w:t>条、第</w:t>
      </w:r>
      <w:r w:rsidRPr="00E923BE">
        <w:rPr>
          <w:rStyle w:val="SingleTxt"/>
          <w:rFonts w:cs="SimSun"/>
        </w:rPr>
        <w:t>2</w:t>
      </w:r>
      <w:r w:rsidRPr="00E923BE">
        <w:rPr>
          <w:rStyle w:val="SingleTxt"/>
          <w:rFonts w:cs="SimSun"/>
        </w:rPr>
        <w:t>条</w:t>
      </w:r>
      <w:r w:rsidRPr="00E923BE">
        <w:rPr>
          <w:rStyle w:val="SingleTxt"/>
          <w:rFonts w:cs="SimSun"/>
        </w:rPr>
        <w:t>a</w:t>
      </w:r>
      <w:r w:rsidRPr="00E923BE">
        <w:rPr>
          <w:rStyle w:val="SingleTxt"/>
          <w:rFonts w:cs="SimSun"/>
        </w:rPr>
        <w:t>款</w:t>
      </w:r>
      <w:r w:rsidRPr="00E923BE">
        <w:rPr>
          <w:rStyle w:val="SingleTxt"/>
          <w:rFonts w:cs="SimSun" w:hint="eastAsia"/>
        </w:rPr>
        <w:t>、</w:t>
      </w:r>
      <w:r w:rsidRPr="00E923BE">
        <w:rPr>
          <w:rStyle w:val="SingleTxt"/>
          <w:rFonts w:cs="SimSun"/>
        </w:rPr>
        <w:t>b</w:t>
      </w:r>
      <w:r w:rsidRPr="00E923BE">
        <w:rPr>
          <w:rStyle w:val="SingleTxt"/>
          <w:rFonts w:cs="SimSun"/>
        </w:rPr>
        <w:t>款</w:t>
      </w:r>
      <w:r w:rsidRPr="00E923BE">
        <w:rPr>
          <w:rStyle w:val="SingleTxt"/>
          <w:rFonts w:cs="SimSun" w:hint="eastAsia"/>
        </w:rPr>
        <w:t>和</w:t>
      </w:r>
      <w:r w:rsidRPr="00E923BE">
        <w:rPr>
          <w:rStyle w:val="SingleTxt"/>
          <w:rFonts w:cs="SimSun"/>
        </w:rPr>
        <w:t>f</w:t>
      </w:r>
      <w:r w:rsidRPr="00E923BE">
        <w:rPr>
          <w:rStyle w:val="SingleTxt"/>
          <w:rFonts w:cs="SimSun"/>
        </w:rPr>
        <w:t>款以及第</w:t>
      </w:r>
      <w:r w:rsidRPr="00E923BE">
        <w:rPr>
          <w:rStyle w:val="SingleTxt"/>
          <w:rFonts w:cs="SimSun"/>
        </w:rPr>
        <w:t>4-1/2</w:t>
      </w:r>
      <w:r w:rsidRPr="00E923BE">
        <w:rPr>
          <w:rStyle w:val="SingleTxt"/>
          <w:rFonts w:cs="SimSun"/>
        </w:rPr>
        <w:t>条。</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16.1</w:t>
      </w:r>
      <w:r w:rsidRPr="00E923BE">
        <w:rPr>
          <w:rFonts w:eastAsia="SimHei" w:cs="Arial"/>
          <w:bCs/>
          <w:szCs w:val="21"/>
        </w:rPr>
        <w:t>条</w:t>
      </w:r>
      <w:r w:rsidRPr="00E923BE">
        <w:rPr>
          <w:rFonts w:eastAsia="SimHei" w:cs="Arial"/>
          <w:b/>
          <w:bCs/>
          <w:szCs w:val="21"/>
        </w:rPr>
        <w:t>a</w:t>
      </w:r>
      <w:r w:rsidRPr="00E923BE">
        <w:rPr>
          <w:rFonts w:eastAsia="SimHei" w:cs="Arial"/>
          <w:bCs/>
          <w:szCs w:val="21"/>
        </w:rPr>
        <w:t>款</w:t>
      </w:r>
    </w:p>
    <w:p w:rsidR="005C05C5" w:rsidRPr="00E923BE" w:rsidRDefault="005C05C5" w:rsidP="005C05C5">
      <w:pPr>
        <w:pStyle w:val="SingleTxt"/>
        <w:spacing w:after="120"/>
        <w:ind w:left="1134" w:right="1134"/>
      </w:pPr>
      <w:r w:rsidRPr="00E923BE">
        <w:rPr>
          <w:rStyle w:val="SingleTxt"/>
          <w:rFonts w:cs="SimSun"/>
        </w:rPr>
        <w:t>212.</w:t>
      </w:r>
      <w:r w:rsidRPr="00E923BE">
        <w:rPr>
          <w:rStyle w:val="SingleTxt"/>
          <w:rFonts w:cs="SimSun"/>
        </w:rPr>
        <w:tab/>
      </w:r>
      <w:r w:rsidRPr="00E923BE">
        <w:rPr>
          <w:rStyle w:val="SingleTxt"/>
          <w:rFonts w:cs="SimSun"/>
        </w:rPr>
        <w:t>见第</w:t>
      </w:r>
      <w:r>
        <w:rPr>
          <w:rStyle w:val="SingleTxt"/>
          <w:rFonts w:cs="SimSun" w:hint="eastAsia"/>
        </w:rPr>
        <w:t>四</w:t>
      </w:r>
      <w:r w:rsidRPr="00E923BE">
        <w:rPr>
          <w:rStyle w:val="SingleTxt"/>
          <w:rFonts w:cs="SimSun"/>
        </w:rPr>
        <w:t>次和第</w:t>
      </w:r>
      <w:r>
        <w:rPr>
          <w:rStyle w:val="SingleTxt"/>
          <w:rFonts w:cs="SimSun" w:hint="eastAsia"/>
        </w:rPr>
        <w:t>五</w:t>
      </w:r>
      <w:r w:rsidRPr="00E923BE">
        <w:rPr>
          <w:rStyle w:val="SingleTxt"/>
          <w:rFonts w:cs="SimSun"/>
        </w:rPr>
        <w:t>次合并报告。</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16.1</w:t>
      </w:r>
      <w:r w:rsidRPr="00E923BE">
        <w:rPr>
          <w:rFonts w:eastAsia="SimHei" w:cs="Arial"/>
          <w:bCs/>
          <w:szCs w:val="21"/>
        </w:rPr>
        <w:t>条</w:t>
      </w:r>
      <w:r w:rsidRPr="00E923BE">
        <w:rPr>
          <w:rFonts w:eastAsia="SimHei" w:cs="Arial" w:hint="eastAsia"/>
          <w:b/>
          <w:bCs/>
          <w:szCs w:val="21"/>
        </w:rPr>
        <w:t>b</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213.</w:t>
      </w:r>
      <w:r w:rsidRPr="00E923BE">
        <w:rPr>
          <w:rStyle w:val="SingleTxt"/>
          <w:rFonts w:cs="SimSun"/>
        </w:rPr>
        <w:tab/>
      </w:r>
      <w:r w:rsidRPr="00E923BE">
        <w:rPr>
          <w:rStyle w:val="SingleTxt"/>
          <w:rFonts w:cs="SimSun"/>
        </w:rPr>
        <w:t>见第</w:t>
      </w:r>
      <w:r>
        <w:rPr>
          <w:rStyle w:val="SingleTxt"/>
          <w:rFonts w:cs="SimSun" w:hint="eastAsia"/>
        </w:rPr>
        <w:t>四</w:t>
      </w:r>
      <w:r w:rsidRPr="00E923BE">
        <w:rPr>
          <w:rStyle w:val="SingleTxt"/>
          <w:rFonts w:cs="SimSun"/>
        </w:rPr>
        <w:t>次和第</w:t>
      </w:r>
      <w:r>
        <w:rPr>
          <w:rStyle w:val="SingleTxt"/>
          <w:rFonts w:cs="SimSun" w:hint="eastAsia"/>
        </w:rPr>
        <w:t>五</w:t>
      </w:r>
      <w:r w:rsidRPr="00E923BE">
        <w:rPr>
          <w:rStyle w:val="SingleTxt"/>
          <w:rFonts w:cs="SimSun"/>
        </w:rPr>
        <w:t>次合并报告。</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16.1</w:t>
      </w:r>
      <w:r w:rsidRPr="00E923BE">
        <w:rPr>
          <w:rFonts w:eastAsia="SimHei" w:cs="Arial"/>
          <w:bCs/>
          <w:szCs w:val="21"/>
        </w:rPr>
        <w:t>条</w:t>
      </w:r>
      <w:r w:rsidRPr="00E923BE">
        <w:rPr>
          <w:rFonts w:eastAsia="SimHei" w:cs="Arial" w:hint="eastAsia"/>
          <w:b/>
          <w:bCs/>
          <w:szCs w:val="21"/>
        </w:rPr>
        <w:t>c</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214.</w:t>
      </w:r>
      <w:r w:rsidRPr="00E923BE">
        <w:rPr>
          <w:rStyle w:val="SingleTxt"/>
          <w:rFonts w:cs="SimSun"/>
        </w:rPr>
        <w:tab/>
      </w:r>
      <w:r w:rsidRPr="00E923BE">
        <w:rPr>
          <w:rStyle w:val="SingleTxt"/>
          <w:rFonts w:cs="SimSun"/>
        </w:rPr>
        <w:t>见第</w:t>
      </w:r>
      <w:r>
        <w:rPr>
          <w:rStyle w:val="SingleTxt"/>
          <w:rFonts w:cs="SimSun" w:hint="eastAsia"/>
        </w:rPr>
        <w:t>四</w:t>
      </w:r>
      <w:r w:rsidRPr="00E923BE">
        <w:rPr>
          <w:rStyle w:val="SingleTxt"/>
          <w:rFonts w:cs="SimSun"/>
        </w:rPr>
        <w:t>次和第</w:t>
      </w:r>
      <w:r>
        <w:rPr>
          <w:rStyle w:val="SingleTxt"/>
          <w:rFonts w:cs="SimSun" w:hint="eastAsia"/>
        </w:rPr>
        <w:t>五</w:t>
      </w:r>
      <w:r w:rsidRPr="00E923BE">
        <w:rPr>
          <w:rStyle w:val="SingleTxt"/>
          <w:rFonts w:cs="SimSun"/>
        </w:rPr>
        <w:t>次合并报告。</w:t>
      </w:r>
      <w:r>
        <w:rPr>
          <w:rStyle w:val="SingleTxt"/>
          <w:rFonts w:cs="SimSun"/>
        </w:rPr>
        <w:t>结论性意见</w:t>
      </w:r>
      <w:r w:rsidRPr="00E923BE">
        <w:rPr>
          <w:rStyle w:val="SingleTxt"/>
          <w:rFonts w:cs="SimSun"/>
        </w:rPr>
        <w:t>第</w:t>
      </w:r>
      <w:r w:rsidRPr="00E923BE">
        <w:rPr>
          <w:rStyle w:val="SingleTxt"/>
          <w:rFonts w:cs="SimSun"/>
        </w:rPr>
        <w:t>40</w:t>
      </w:r>
      <w:r>
        <w:rPr>
          <w:rStyle w:val="SingleTxt"/>
          <w:rFonts w:cs="SimSun" w:hint="eastAsia"/>
        </w:rPr>
        <w:t>段</w:t>
      </w:r>
      <w:r w:rsidRPr="00E923BE">
        <w:rPr>
          <w:rStyle w:val="SingleTxt"/>
          <w:rFonts w:cs="SimSun"/>
        </w:rPr>
        <w:t>提到《民法典》规定了妇女在离婚后再婚所需的等待时间。但这一等待时间可通过法院判决撤销。</w:t>
      </w:r>
    </w:p>
    <w:p w:rsidR="005C05C5" w:rsidRPr="00E923BE" w:rsidRDefault="005C05C5" w:rsidP="005C05C5">
      <w:pPr>
        <w:pStyle w:val="SingleTxtGC"/>
        <w:spacing w:before="240" w:after="240"/>
        <w:rPr>
          <w:rFonts w:eastAsia="SimHei" w:cs="Arial"/>
          <w:bCs/>
          <w:szCs w:val="21"/>
        </w:rPr>
      </w:pPr>
      <w:r w:rsidRPr="00E923BE">
        <w:rPr>
          <w:rFonts w:eastAsia="SimHei" w:cs="Arial"/>
          <w:bCs/>
          <w:szCs w:val="21"/>
        </w:rPr>
        <w:t>第</w:t>
      </w:r>
      <w:r w:rsidRPr="00E923BE">
        <w:rPr>
          <w:rFonts w:eastAsia="SimHei" w:cs="Arial"/>
          <w:b/>
          <w:bCs/>
          <w:szCs w:val="21"/>
        </w:rPr>
        <w:t>16.1</w:t>
      </w:r>
      <w:r w:rsidRPr="00E923BE">
        <w:rPr>
          <w:rFonts w:eastAsia="SimHei" w:cs="Arial"/>
          <w:bCs/>
          <w:szCs w:val="21"/>
        </w:rPr>
        <w:t>条</w:t>
      </w:r>
      <w:r w:rsidRPr="00E923BE">
        <w:rPr>
          <w:rFonts w:eastAsia="SimHei" w:cs="Arial" w:hint="eastAsia"/>
          <w:b/>
          <w:bCs/>
          <w:szCs w:val="21"/>
        </w:rPr>
        <w:t>d</w:t>
      </w:r>
      <w:r w:rsidRPr="00E923BE">
        <w:rPr>
          <w:rFonts w:eastAsia="SimHei" w:cs="Arial" w:hint="eastAsia"/>
          <w:bCs/>
          <w:szCs w:val="21"/>
        </w:rPr>
        <w:t>款</w:t>
      </w:r>
    </w:p>
    <w:p w:rsidR="005C05C5" w:rsidRPr="00E923BE" w:rsidRDefault="005C05C5" w:rsidP="005C05C5">
      <w:pPr>
        <w:pStyle w:val="SingleTxt"/>
        <w:spacing w:after="120"/>
        <w:ind w:left="1134" w:right="1134"/>
      </w:pPr>
      <w:r w:rsidRPr="00E923BE">
        <w:rPr>
          <w:rStyle w:val="SingleTxt"/>
          <w:rFonts w:cs="SimSun"/>
        </w:rPr>
        <w:t>215.</w:t>
      </w:r>
      <w:r w:rsidRPr="00E923BE">
        <w:rPr>
          <w:rStyle w:val="SingleTxt"/>
          <w:rFonts w:cs="SimSun"/>
        </w:rPr>
        <w:tab/>
      </w:r>
      <w:r w:rsidRPr="00E923BE">
        <w:rPr>
          <w:rStyle w:val="SingleTxt"/>
          <w:rFonts w:cs="SimSun"/>
        </w:rPr>
        <w:t>见第</w:t>
      </w:r>
      <w:r>
        <w:rPr>
          <w:rStyle w:val="SingleTxt"/>
          <w:rFonts w:cs="SimSun" w:hint="eastAsia"/>
        </w:rPr>
        <w:t>四</w:t>
      </w:r>
      <w:r w:rsidRPr="00E923BE">
        <w:rPr>
          <w:rStyle w:val="SingleTxt"/>
          <w:rFonts w:cs="SimSun"/>
        </w:rPr>
        <w:t>次和第</w:t>
      </w:r>
      <w:r>
        <w:rPr>
          <w:rStyle w:val="SingleTxt"/>
          <w:rFonts w:cs="SimSun" w:hint="eastAsia"/>
        </w:rPr>
        <w:t>五</w:t>
      </w:r>
      <w:r w:rsidRPr="00E923BE">
        <w:rPr>
          <w:rStyle w:val="SingleTxt"/>
          <w:rFonts w:cs="SimSun"/>
        </w:rPr>
        <w:t>次合并报告。</w:t>
      </w:r>
    </w:p>
    <w:p w:rsidR="005C05C5" w:rsidRPr="00E923BE" w:rsidRDefault="005C05C5" w:rsidP="005C05C5">
      <w:pPr>
        <w:pStyle w:val="SingleTxtGC"/>
        <w:spacing w:before="240" w:after="240" w:line="300" w:lineRule="exact"/>
        <w:rPr>
          <w:rFonts w:eastAsia="SimHei" w:cs="Arial"/>
          <w:bCs/>
          <w:szCs w:val="21"/>
        </w:rPr>
      </w:pPr>
      <w:r w:rsidRPr="00E923BE">
        <w:rPr>
          <w:rFonts w:eastAsia="SimHei" w:cs="Arial"/>
          <w:bCs/>
          <w:szCs w:val="21"/>
        </w:rPr>
        <w:t>第</w:t>
      </w:r>
      <w:r w:rsidRPr="00E923BE">
        <w:rPr>
          <w:rFonts w:eastAsia="SimHei" w:cs="Arial"/>
          <w:b/>
          <w:bCs/>
          <w:szCs w:val="21"/>
        </w:rPr>
        <w:t>16.1</w:t>
      </w:r>
      <w:r w:rsidRPr="00E923BE">
        <w:rPr>
          <w:rFonts w:eastAsia="SimHei" w:cs="Arial"/>
          <w:bCs/>
          <w:szCs w:val="21"/>
        </w:rPr>
        <w:t>条</w:t>
      </w:r>
      <w:r w:rsidRPr="00E923BE">
        <w:rPr>
          <w:rFonts w:eastAsia="SimHei" w:cs="Arial"/>
          <w:b/>
          <w:bCs/>
          <w:szCs w:val="21"/>
        </w:rPr>
        <w:t>e</w:t>
      </w:r>
      <w:r w:rsidRPr="00E923BE">
        <w:rPr>
          <w:rFonts w:eastAsia="SimHei" w:cs="Arial"/>
          <w:bCs/>
          <w:szCs w:val="21"/>
        </w:rPr>
        <w:t>款</w:t>
      </w:r>
    </w:p>
    <w:p w:rsidR="005C05C5" w:rsidRPr="00E923BE" w:rsidRDefault="005C05C5" w:rsidP="005C05C5">
      <w:pPr>
        <w:pStyle w:val="SingleTxt"/>
        <w:spacing w:after="120" w:line="300" w:lineRule="exact"/>
        <w:ind w:left="1134" w:right="1134"/>
      </w:pPr>
      <w:r w:rsidRPr="00E923BE">
        <w:rPr>
          <w:rStyle w:val="SingleTxt"/>
          <w:rFonts w:cs="SimSun"/>
        </w:rPr>
        <w:t>216.</w:t>
      </w:r>
      <w:r w:rsidRPr="00E923BE">
        <w:rPr>
          <w:rStyle w:val="SingleTxt"/>
          <w:rFonts w:cs="SimSun"/>
        </w:rPr>
        <w:tab/>
      </w:r>
      <w:r w:rsidRPr="00E923BE">
        <w:rPr>
          <w:rStyle w:val="SingleTxt"/>
          <w:rFonts w:cs="SimSun"/>
        </w:rPr>
        <w:t>关于计划生育活动，见第</w:t>
      </w:r>
      <w:r w:rsidRPr="00E923BE">
        <w:rPr>
          <w:rStyle w:val="SingleTxt"/>
          <w:rFonts w:cs="SimSun"/>
        </w:rPr>
        <w:t>10</w:t>
      </w:r>
      <w:r w:rsidRPr="00E923BE">
        <w:rPr>
          <w:rStyle w:val="SingleTxt"/>
          <w:rFonts w:cs="SimSun"/>
        </w:rPr>
        <w:t>条</w:t>
      </w:r>
      <w:r w:rsidRPr="00E923BE">
        <w:rPr>
          <w:rStyle w:val="SingleTxt"/>
          <w:rFonts w:cs="SimSun" w:hint="eastAsia"/>
        </w:rPr>
        <w:t>h</w:t>
      </w:r>
      <w:r w:rsidRPr="00E923BE">
        <w:rPr>
          <w:rStyle w:val="H23"/>
          <w:rFonts w:cs="SimSun" w:hint="eastAsia"/>
        </w:rPr>
        <w:t>款</w:t>
      </w:r>
      <w:r w:rsidRPr="00E923BE">
        <w:rPr>
          <w:rStyle w:val="SingleTxt"/>
          <w:rFonts w:cs="SimSun"/>
        </w:rPr>
        <w:t>和第</w:t>
      </w:r>
      <w:r w:rsidRPr="00E923BE">
        <w:rPr>
          <w:rStyle w:val="SingleTxt"/>
          <w:rFonts w:cs="SimSun"/>
        </w:rPr>
        <w:t>12/1</w:t>
      </w:r>
      <w:r w:rsidRPr="00E923BE">
        <w:rPr>
          <w:rStyle w:val="SingleTxt"/>
          <w:rFonts w:cs="SimSun"/>
        </w:rPr>
        <w:t>条。</w:t>
      </w:r>
    </w:p>
    <w:p w:rsidR="005C05C5" w:rsidRPr="00E923BE" w:rsidRDefault="005C05C5" w:rsidP="005C05C5">
      <w:pPr>
        <w:pStyle w:val="SingleTxtGC"/>
        <w:spacing w:before="240" w:after="240" w:line="300" w:lineRule="exact"/>
        <w:rPr>
          <w:rFonts w:eastAsia="SimHei" w:cs="Arial"/>
          <w:bCs/>
          <w:szCs w:val="21"/>
        </w:rPr>
      </w:pPr>
      <w:r w:rsidRPr="00E923BE">
        <w:rPr>
          <w:rFonts w:eastAsia="SimHei" w:cs="Arial"/>
          <w:bCs/>
          <w:szCs w:val="21"/>
        </w:rPr>
        <w:t>第</w:t>
      </w:r>
      <w:r w:rsidRPr="00E923BE">
        <w:rPr>
          <w:rFonts w:eastAsia="SimHei" w:cs="Arial"/>
          <w:b/>
          <w:bCs/>
          <w:szCs w:val="21"/>
        </w:rPr>
        <w:t>16.1</w:t>
      </w:r>
      <w:r w:rsidRPr="00E923BE">
        <w:rPr>
          <w:rFonts w:eastAsia="SimHei" w:cs="Arial"/>
          <w:bCs/>
          <w:szCs w:val="21"/>
        </w:rPr>
        <w:t>条</w:t>
      </w:r>
      <w:r w:rsidRPr="00E923BE">
        <w:rPr>
          <w:rFonts w:eastAsia="SimHei" w:cs="Arial"/>
          <w:b/>
          <w:bCs/>
          <w:szCs w:val="21"/>
        </w:rPr>
        <w:t>f</w:t>
      </w:r>
      <w:r w:rsidRPr="00E923BE">
        <w:rPr>
          <w:rFonts w:eastAsia="SimHei" w:cs="Arial"/>
          <w:bCs/>
          <w:szCs w:val="21"/>
        </w:rPr>
        <w:t>款</w:t>
      </w:r>
    </w:p>
    <w:p w:rsidR="005C05C5" w:rsidRPr="00E923BE" w:rsidRDefault="005C05C5" w:rsidP="005C05C5">
      <w:pPr>
        <w:pStyle w:val="SingleTxt"/>
        <w:spacing w:after="120" w:line="300" w:lineRule="exact"/>
        <w:ind w:left="1134" w:right="1134"/>
      </w:pPr>
      <w:r w:rsidRPr="00E923BE">
        <w:rPr>
          <w:rStyle w:val="SingleTxt"/>
          <w:rFonts w:cs="SimSun"/>
        </w:rPr>
        <w:t>217.</w:t>
      </w:r>
      <w:r w:rsidRPr="00E923BE">
        <w:rPr>
          <w:rStyle w:val="SingleTxt"/>
          <w:rFonts w:cs="SimSun"/>
        </w:rPr>
        <w:tab/>
      </w:r>
      <w:r w:rsidRPr="00E923BE">
        <w:rPr>
          <w:rStyle w:val="SingleTxt"/>
          <w:rFonts w:cs="SimSun"/>
        </w:rPr>
        <w:t>见</w:t>
      </w:r>
      <w:r>
        <w:rPr>
          <w:rStyle w:val="SingleTxt"/>
          <w:rFonts w:cs="SimSun"/>
        </w:rPr>
        <w:t>第六次报告</w:t>
      </w:r>
      <w:r w:rsidRPr="00E923BE">
        <w:rPr>
          <w:rStyle w:val="SingleTxt"/>
          <w:rFonts w:cs="SimSun"/>
        </w:rPr>
        <w:t>。</w:t>
      </w:r>
    </w:p>
    <w:p w:rsidR="005C05C5" w:rsidRPr="00E923BE" w:rsidRDefault="005C05C5" w:rsidP="005C05C5">
      <w:pPr>
        <w:pStyle w:val="SingleTxtGC"/>
        <w:spacing w:before="240" w:after="240" w:line="300" w:lineRule="exact"/>
        <w:rPr>
          <w:rFonts w:eastAsia="SimHei" w:cs="Arial"/>
          <w:bCs/>
          <w:szCs w:val="21"/>
        </w:rPr>
      </w:pPr>
      <w:r w:rsidRPr="00E923BE">
        <w:rPr>
          <w:rFonts w:eastAsia="SimHei" w:cs="Arial"/>
          <w:bCs/>
          <w:szCs w:val="21"/>
        </w:rPr>
        <w:t>第</w:t>
      </w:r>
      <w:r w:rsidRPr="00E923BE">
        <w:rPr>
          <w:rFonts w:eastAsia="SimHei" w:cs="Arial"/>
          <w:b/>
          <w:bCs/>
          <w:szCs w:val="21"/>
        </w:rPr>
        <w:t>16.1</w:t>
      </w:r>
      <w:r w:rsidRPr="00E923BE">
        <w:rPr>
          <w:rFonts w:eastAsia="SimHei" w:cs="Arial"/>
          <w:bCs/>
          <w:szCs w:val="21"/>
        </w:rPr>
        <w:t>条</w:t>
      </w:r>
      <w:r w:rsidRPr="00E923BE">
        <w:rPr>
          <w:rFonts w:eastAsia="SimHei" w:cs="Arial" w:hint="eastAsia"/>
          <w:b/>
          <w:bCs/>
          <w:szCs w:val="21"/>
        </w:rPr>
        <w:t>g</w:t>
      </w:r>
      <w:r w:rsidRPr="00E923BE">
        <w:rPr>
          <w:rFonts w:eastAsia="SimHei" w:cs="Arial" w:hint="eastAsia"/>
          <w:bCs/>
          <w:szCs w:val="21"/>
        </w:rPr>
        <w:t>款</w:t>
      </w:r>
      <w:bookmarkStart w:id="5" w:name="TmpSave"/>
      <w:bookmarkEnd w:id="5"/>
    </w:p>
    <w:p w:rsidR="005C05C5" w:rsidRPr="00E923BE" w:rsidRDefault="005C05C5" w:rsidP="005C05C5">
      <w:pPr>
        <w:pStyle w:val="SingleTxt"/>
        <w:spacing w:after="120" w:line="300" w:lineRule="exact"/>
        <w:ind w:left="1134" w:right="1134"/>
      </w:pPr>
      <w:r w:rsidRPr="00E923BE">
        <w:rPr>
          <w:rStyle w:val="SingleTxt"/>
          <w:rFonts w:cs="SimSun"/>
        </w:rPr>
        <w:t>218.</w:t>
      </w:r>
      <w:r w:rsidRPr="00E923BE">
        <w:rPr>
          <w:rStyle w:val="SingleTxt"/>
          <w:rFonts w:cs="SimSun"/>
        </w:rPr>
        <w:tab/>
      </w:r>
      <w:r w:rsidRPr="00E923BE">
        <w:rPr>
          <w:rStyle w:val="SingleTxt"/>
          <w:rFonts w:cs="SimSun"/>
        </w:rPr>
        <w:t>在</w:t>
      </w:r>
      <w:r>
        <w:rPr>
          <w:rStyle w:val="SingleTxt"/>
          <w:rFonts w:cs="SimSun"/>
        </w:rPr>
        <w:t>结论性意见</w:t>
      </w:r>
      <w:r w:rsidRPr="00E923BE">
        <w:rPr>
          <w:rStyle w:val="SingleTxt"/>
          <w:rFonts w:cs="SimSun"/>
        </w:rPr>
        <w:t>第</w:t>
      </w:r>
      <w:r w:rsidRPr="00E923BE">
        <w:rPr>
          <w:rStyle w:val="SingleTxt"/>
          <w:rFonts w:cs="SimSun"/>
        </w:rPr>
        <w:t>40</w:t>
      </w:r>
      <w:r w:rsidRPr="00E923BE">
        <w:rPr>
          <w:rStyle w:val="SingleTxt"/>
          <w:rFonts w:cs="SimSun"/>
        </w:rPr>
        <w:t>段提出建议的同时，土耳其指出以下进展：宪法法院在</w:t>
      </w:r>
      <w:r w:rsidRPr="00E923BE">
        <w:rPr>
          <w:rStyle w:val="SingleTxt"/>
          <w:rFonts w:cs="SimSun"/>
        </w:rPr>
        <w:t>2013</w:t>
      </w:r>
      <w:r w:rsidRPr="00E923BE">
        <w:rPr>
          <w:rStyle w:val="SingleTxt"/>
          <w:rFonts w:cs="SimSun"/>
        </w:rPr>
        <w:t>年</w:t>
      </w:r>
      <w:r w:rsidRPr="00E923BE">
        <w:rPr>
          <w:rStyle w:val="SingleTxt"/>
          <w:rFonts w:cs="SimSun"/>
        </w:rPr>
        <w:t>12</w:t>
      </w:r>
      <w:r w:rsidRPr="00E923BE">
        <w:rPr>
          <w:rStyle w:val="SingleTxt"/>
          <w:rFonts w:cs="SimSun"/>
        </w:rPr>
        <w:t>月</w:t>
      </w:r>
      <w:r w:rsidRPr="00E923BE">
        <w:rPr>
          <w:rStyle w:val="SingleTxt"/>
          <w:rFonts w:cs="SimSun"/>
        </w:rPr>
        <w:t>19</w:t>
      </w:r>
      <w:r w:rsidRPr="00E923BE">
        <w:rPr>
          <w:rStyle w:val="SingleTxt"/>
          <w:rFonts w:cs="SimSun"/>
        </w:rPr>
        <w:t>日颁布了一项经一致通过的法令，规定若法院拒绝妇女使用婚前姓的申请，则构成违反</w:t>
      </w:r>
      <w:r w:rsidRPr="00E923BE">
        <w:rPr>
          <w:rStyle w:val="SingleTxt"/>
          <w:rFonts w:cs="SimSun" w:hint="eastAsia"/>
        </w:rPr>
        <w:t>《</w:t>
      </w:r>
      <w:r w:rsidRPr="00E923BE">
        <w:rPr>
          <w:rStyle w:val="SingleTxt"/>
          <w:rFonts w:cs="SimSun"/>
        </w:rPr>
        <w:t>宪法</w:t>
      </w:r>
      <w:r w:rsidRPr="00E923BE">
        <w:rPr>
          <w:rStyle w:val="SingleTxt"/>
          <w:rFonts w:cs="SimSun" w:hint="eastAsia"/>
        </w:rPr>
        <w:t>》</w:t>
      </w:r>
      <w:r w:rsidRPr="00E923BE">
        <w:rPr>
          <w:rStyle w:val="SingleTxt"/>
          <w:rFonts w:cs="SimSun"/>
        </w:rPr>
        <w:t>行为。这一法令的依据是《宪法》第</w:t>
      </w:r>
      <w:r w:rsidRPr="00E923BE">
        <w:rPr>
          <w:rStyle w:val="SingleTxt"/>
          <w:rFonts w:cs="SimSun"/>
        </w:rPr>
        <w:t>90</w:t>
      </w:r>
      <w:r w:rsidRPr="00E923BE">
        <w:rPr>
          <w:rStyle w:val="SingleTxt"/>
          <w:rFonts w:cs="SimSun"/>
        </w:rPr>
        <w:t>条的规定以及《消除对妇女一切形式歧视公约》和《欧洲人权公约》的决定。根据对一项个人申请做出的裁定，妇女可以就婚前姓氏的使用向法院提出上诉。另一方面，法律也作出了调整，使妇女可以通过行政手段维护这一权利，而无需使用法庭程序。有关修正法律条款的建议已向大会提交。</w:t>
      </w:r>
    </w:p>
    <w:p w:rsidR="005C05C5" w:rsidRPr="00E923BE" w:rsidRDefault="005C05C5" w:rsidP="005C05C5">
      <w:pPr>
        <w:pStyle w:val="SingleTxtGC"/>
        <w:spacing w:before="240" w:after="240" w:line="300" w:lineRule="exact"/>
        <w:rPr>
          <w:rFonts w:eastAsia="SimHei" w:cs="Arial"/>
          <w:bCs/>
          <w:szCs w:val="21"/>
        </w:rPr>
      </w:pPr>
      <w:r w:rsidRPr="00E923BE">
        <w:rPr>
          <w:rFonts w:eastAsia="SimHei" w:cs="Arial"/>
          <w:bCs/>
          <w:szCs w:val="21"/>
        </w:rPr>
        <w:t>第</w:t>
      </w:r>
      <w:r w:rsidRPr="00E923BE">
        <w:rPr>
          <w:rFonts w:eastAsia="SimHei" w:cs="Arial"/>
          <w:b/>
          <w:bCs/>
          <w:szCs w:val="21"/>
        </w:rPr>
        <w:t>16.1</w:t>
      </w:r>
      <w:r w:rsidRPr="00E923BE">
        <w:rPr>
          <w:rFonts w:eastAsia="SimHei" w:cs="Arial"/>
          <w:bCs/>
          <w:szCs w:val="21"/>
        </w:rPr>
        <w:t>条</w:t>
      </w:r>
      <w:r w:rsidRPr="00E923BE">
        <w:rPr>
          <w:rFonts w:eastAsia="SimHei" w:cs="Arial"/>
          <w:b/>
          <w:bCs/>
          <w:szCs w:val="21"/>
        </w:rPr>
        <w:t>h</w:t>
      </w:r>
      <w:r w:rsidRPr="00E923BE">
        <w:rPr>
          <w:rFonts w:eastAsia="SimHei" w:cs="Arial"/>
          <w:bCs/>
          <w:szCs w:val="21"/>
        </w:rPr>
        <w:t>款</w:t>
      </w:r>
    </w:p>
    <w:p w:rsidR="005C05C5" w:rsidRPr="00E923BE" w:rsidRDefault="005C05C5" w:rsidP="005C05C5">
      <w:pPr>
        <w:pStyle w:val="SingleTxt"/>
        <w:spacing w:after="120" w:line="300" w:lineRule="exact"/>
        <w:ind w:left="1134" w:right="1134"/>
        <w:rPr>
          <w:rStyle w:val="SingleTxt"/>
          <w:rFonts w:cs="SimSun"/>
        </w:rPr>
      </w:pPr>
      <w:r w:rsidRPr="00E923BE">
        <w:rPr>
          <w:rStyle w:val="SingleTxt"/>
          <w:rFonts w:cs="SimSun"/>
        </w:rPr>
        <w:t>219.</w:t>
      </w:r>
      <w:r w:rsidRPr="00E923BE">
        <w:rPr>
          <w:rStyle w:val="SingleTxt"/>
          <w:rFonts w:cs="SimSun"/>
        </w:rPr>
        <w:tab/>
      </w:r>
      <w:r w:rsidRPr="00E923BE">
        <w:rPr>
          <w:rStyle w:val="SingleTxt"/>
          <w:rFonts w:cs="SimSun"/>
        </w:rPr>
        <w:t>见第</w:t>
      </w:r>
      <w:r>
        <w:rPr>
          <w:rStyle w:val="SingleTxt"/>
          <w:rFonts w:cs="SimSun" w:hint="eastAsia"/>
        </w:rPr>
        <w:t>四</w:t>
      </w:r>
      <w:r w:rsidRPr="00E923BE">
        <w:rPr>
          <w:rStyle w:val="SingleTxt"/>
          <w:rFonts w:cs="SimSun"/>
        </w:rPr>
        <w:t>次和第</w:t>
      </w:r>
      <w:r>
        <w:rPr>
          <w:rStyle w:val="SingleTxt"/>
          <w:rFonts w:cs="SimSun" w:hint="eastAsia"/>
        </w:rPr>
        <w:t>五</w:t>
      </w:r>
      <w:r w:rsidRPr="00E923BE">
        <w:rPr>
          <w:rStyle w:val="SingleTxt"/>
          <w:rFonts w:cs="SimSun"/>
        </w:rPr>
        <w:t>次合并报告。</w:t>
      </w:r>
    </w:p>
    <w:p w:rsidR="005C05C5" w:rsidRPr="00E923BE" w:rsidRDefault="005C05C5" w:rsidP="005C05C5">
      <w:pPr>
        <w:pStyle w:val="SingleTxtGC"/>
        <w:spacing w:before="240" w:after="240" w:line="300" w:lineRule="exact"/>
        <w:rPr>
          <w:rFonts w:eastAsia="SimHei" w:cs="Arial"/>
          <w:bCs/>
          <w:szCs w:val="21"/>
        </w:rPr>
      </w:pPr>
      <w:r w:rsidRPr="00E923BE">
        <w:rPr>
          <w:rFonts w:eastAsia="SimHei" w:cs="Arial"/>
          <w:bCs/>
          <w:szCs w:val="21"/>
        </w:rPr>
        <w:t>第</w:t>
      </w:r>
      <w:r w:rsidRPr="00E923BE">
        <w:rPr>
          <w:rFonts w:eastAsia="SimHei" w:cs="Arial"/>
          <w:b/>
          <w:bCs/>
          <w:szCs w:val="21"/>
        </w:rPr>
        <w:t>16.2</w:t>
      </w:r>
      <w:r w:rsidRPr="00E923BE">
        <w:rPr>
          <w:rFonts w:eastAsia="SimHei" w:cs="Arial"/>
          <w:bCs/>
          <w:szCs w:val="21"/>
        </w:rPr>
        <w:t>条</w:t>
      </w:r>
    </w:p>
    <w:p w:rsidR="005C05C5" w:rsidRPr="00E923BE" w:rsidRDefault="005C05C5" w:rsidP="005C05C5">
      <w:pPr>
        <w:pStyle w:val="SingleTxt"/>
        <w:spacing w:after="120" w:line="300" w:lineRule="exact"/>
        <w:ind w:left="1134" w:right="1134"/>
      </w:pPr>
      <w:r w:rsidRPr="00E923BE">
        <w:rPr>
          <w:rStyle w:val="SingleTxt"/>
          <w:rFonts w:cs="SimSun"/>
        </w:rPr>
        <w:t>220.</w:t>
      </w:r>
      <w:r w:rsidRPr="00E923BE">
        <w:rPr>
          <w:rStyle w:val="SingleTxt"/>
          <w:rFonts w:cs="SimSun"/>
        </w:rPr>
        <w:tab/>
      </w:r>
      <w:r w:rsidRPr="00E923BE">
        <w:rPr>
          <w:rStyle w:val="SingleTxt"/>
          <w:rFonts w:cs="SimSun"/>
        </w:rPr>
        <w:t>鉴于</w:t>
      </w:r>
      <w:r>
        <w:rPr>
          <w:rStyle w:val="SingleTxt"/>
          <w:rFonts w:cs="SimSun"/>
        </w:rPr>
        <w:t>结论性意见</w:t>
      </w:r>
      <w:r w:rsidRPr="00E923BE">
        <w:rPr>
          <w:rStyle w:val="SingleTxt"/>
          <w:rFonts w:cs="SimSun"/>
        </w:rPr>
        <w:t>第</w:t>
      </w:r>
      <w:r w:rsidRPr="00E923BE">
        <w:rPr>
          <w:rStyle w:val="SingleTxt"/>
          <w:rFonts w:cs="SimSun"/>
        </w:rPr>
        <w:t>20</w:t>
      </w:r>
      <w:r w:rsidRPr="00E923BE">
        <w:rPr>
          <w:rStyle w:val="SingleTxt"/>
          <w:rFonts w:cs="SimSun"/>
        </w:rPr>
        <w:t>段提出的关切，土耳其指出以下工作：妇女地位总局设立了一个</w:t>
      </w:r>
      <w:r w:rsidRPr="00E923BE">
        <w:rPr>
          <w:rStyle w:val="SingleTxt"/>
          <w:rFonts w:cs="SimSun"/>
          <w:cs/>
        </w:rPr>
        <w:t>“</w:t>
      </w:r>
      <w:r w:rsidRPr="00E923BE">
        <w:rPr>
          <w:rStyle w:val="SingleTxt"/>
          <w:rFonts w:cs="SimSun"/>
        </w:rPr>
        <w:t>预防早婚</w:t>
      </w:r>
      <w:r w:rsidRPr="00E923BE">
        <w:rPr>
          <w:rStyle w:val="SingleTxt"/>
          <w:rFonts w:cs="SimSun" w:hint="eastAsia"/>
        </w:rPr>
        <w:t>部门</w:t>
      </w:r>
      <w:r w:rsidRPr="00E923BE">
        <w:rPr>
          <w:rStyle w:val="SingleTxt"/>
          <w:rFonts w:cs="SimSun"/>
          <w:cs/>
        </w:rPr>
        <w:t>”</w:t>
      </w:r>
      <w:r w:rsidRPr="00E923BE">
        <w:rPr>
          <w:rStyle w:val="SingleTxt"/>
          <w:rFonts w:cs="SimSun"/>
        </w:rPr>
        <w:t>。此外，家庭和社会政策部也在</w:t>
      </w:r>
      <w:r w:rsidRPr="00E923BE">
        <w:rPr>
          <w:rStyle w:val="SingleTxt"/>
          <w:rFonts w:cs="SimSun"/>
        </w:rPr>
        <w:t>2013</w:t>
      </w:r>
      <w:r w:rsidRPr="00E923BE">
        <w:rPr>
          <w:rStyle w:val="SingleTxt"/>
          <w:rFonts w:cs="SimSun"/>
        </w:rPr>
        <w:t>年</w:t>
      </w:r>
      <w:r w:rsidRPr="00E923BE">
        <w:rPr>
          <w:rStyle w:val="SingleTxt"/>
          <w:rFonts w:cs="SimSun"/>
        </w:rPr>
        <w:t>7</w:t>
      </w:r>
      <w:r w:rsidRPr="00E923BE">
        <w:rPr>
          <w:rStyle w:val="SingleTxt"/>
          <w:rFonts w:cs="SimSun"/>
        </w:rPr>
        <w:t>月</w:t>
      </w:r>
      <w:r w:rsidRPr="00E923BE">
        <w:rPr>
          <w:rStyle w:val="SingleTxt"/>
          <w:rFonts w:cs="SimSun"/>
        </w:rPr>
        <w:t>18</w:t>
      </w:r>
      <w:r w:rsidRPr="00E923BE">
        <w:rPr>
          <w:rStyle w:val="SingleTxt"/>
          <w:rFonts w:cs="SimSun"/>
        </w:rPr>
        <w:t>日设立了</w:t>
      </w:r>
      <w:r w:rsidRPr="00E923BE">
        <w:rPr>
          <w:rStyle w:val="SingleTxt"/>
          <w:rFonts w:cs="SimSun"/>
          <w:cs/>
        </w:rPr>
        <w:t>“</w:t>
      </w:r>
      <w:r w:rsidRPr="00E923BE">
        <w:rPr>
          <w:rStyle w:val="SingleTxt"/>
          <w:rFonts w:cs="SimSun"/>
        </w:rPr>
        <w:t>防止早婚委员会</w:t>
      </w:r>
      <w:r w:rsidRPr="00E923BE">
        <w:rPr>
          <w:rStyle w:val="SingleTxt"/>
          <w:rFonts w:cs="SimSun"/>
          <w:cs/>
        </w:rPr>
        <w:t>”</w:t>
      </w:r>
      <w:r w:rsidRPr="00E923BE">
        <w:rPr>
          <w:rStyle w:val="SingleTxt"/>
          <w:rFonts w:cs="SimSun"/>
        </w:rPr>
        <w:t>，其成员为政府办公室和机构、大学、非政府组织和安卡拉律师协会的代表。该委员会在</w:t>
      </w:r>
      <w:r w:rsidRPr="00E923BE">
        <w:rPr>
          <w:rStyle w:val="SingleTxt"/>
          <w:rFonts w:cs="SimSun"/>
        </w:rPr>
        <w:t>2013</w:t>
      </w:r>
      <w:r w:rsidRPr="00E923BE">
        <w:rPr>
          <w:rStyle w:val="SingleTxt"/>
          <w:rFonts w:cs="SimSun"/>
        </w:rPr>
        <w:t>年</w:t>
      </w:r>
      <w:r w:rsidRPr="00E923BE">
        <w:rPr>
          <w:rStyle w:val="SingleTxt"/>
          <w:rFonts w:cs="SimSun"/>
        </w:rPr>
        <w:t>9</w:t>
      </w:r>
      <w:r w:rsidRPr="00E923BE">
        <w:rPr>
          <w:rStyle w:val="SingleTxt"/>
          <w:rFonts w:cs="SimSun"/>
        </w:rPr>
        <w:t>月召开了第一届会议，作出了有关启动立法工作、开展定性和定量研究以及设立受害者</w:t>
      </w:r>
      <w:r w:rsidRPr="00E923BE">
        <w:rPr>
          <w:rStyle w:val="SingleTxt"/>
          <w:rFonts w:cs="SimSun"/>
        </w:rPr>
        <w:t>/</w:t>
      </w:r>
      <w:r w:rsidRPr="00E923BE">
        <w:rPr>
          <w:rStyle w:val="SingleTxt"/>
          <w:rFonts w:cs="SimSun"/>
        </w:rPr>
        <w:t>幸存者支助服务的决定。此外，关于早婚和强迫婚姻的问题也被加入</w:t>
      </w:r>
      <w:r w:rsidRPr="00E923BE">
        <w:rPr>
          <w:rStyle w:val="SingleTxt"/>
          <w:rFonts w:cs="SimSun"/>
          <w:cs/>
        </w:rPr>
        <w:t>“</w:t>
      </w:r>
      <w:r w:rsidRPr="00E923BE">
        <w:rPr>
          <w:rStyle w:val="SingleTxt"/>
          <w:rFonts w:cs="SimSun"/>
        </w:rPr>
        <w:t>土耳其全国范围内对妇女的家庭暴力研究</w:t>
      </w:r>
      <w:r w:rsidRPr="00E923BE">
        <w:rPr>
          <w:rStyle w:val="SingleTxt"/>
          <w:rFonts w:cs="SimSun"/>
          <w:cs/>
        </w:rPr>
        <w:t>”</w:t>
      </w:r>
      <w:r w:rsidRPr="00E923BE">
        <w:rPr>
          <w:rStyle w:val="SingleTxt"/>
          <w:rFonts w:cs="SimSun"/>
        </w:rPr>
        <w:t>更新活动框架下开展的问卷调查表格中。</w:t>
      </w:r>
    </w:p>
    <w:p w:rsidR="005C05C5" w:rsidRPr="00E923BE" w:rsidRDefault="005C05C5" w:rsidP="005C05C5">
      <w:pPr>
        <w:pStyle w:val="SingleTxt"/>
        <w:spacing w:after="120" w:line="300" w:lineRule="exact"/>
        <w:ind w:left="1134" w:right="1134"/>
      </w:pPr>
      <w:r w:rsidRPr="00E923BE">
        <w:rPr>
          <w:rStyle w:val="SingleTxt"/>
          <w:rFonts w:cs="SimSun"/>
        </w:rPr>
        <w:t>221.</w:t>
      </w:r>
      <w:r w:rsidRPr="00E923BE">
        <w:rPr>
          <w:rStyle w:val="SingleTxt"/>
          <w:rFonts w:cs="SimSun"/>
        </w:rPr>
        <w:tab/>
      </w:r>
      <w:r w:rsidRPr="00E923BE">
        <w:rPr>
          <w:rStyle w:val="SingleTxt"/>
          <w:rFonts w:cs="SimSun"/>
        </w:rPr>
        <w:t>根据妇女地位总局已开展的活动，家庭和社会政策部在</w:t>
      </w:r>
      <w:r w:rsidRPr="00E923BE">
        <w:rPr>
          <w:rStyle w:val="SingleTxt"/>
          <w:rFonts w:cs="SimSun"/>
        </w:rPr>
        <w:t>2014</w:t>
      </w:r>
      <w:r w:rsidRPr="00E923BE">
        <w:rPr>
          <w:rStyle w:val="SingleTxt"/>
          <w:rFonts w:cs="SimSun"/>
        </w:rPr>
        <w:t>年更新了《儿童权利国家战略文件和行动计划》，采用综合办法开展打击早婚和强迫婚姻工作。更新内容包括找出和记录未受教育的女孩，确保她们能重返学校，并且确定少女怀孕情况，同时采取相应的统治措施和开展相关信息活动。</w:t>
      </w:r>
    </w:p>
    <w:p w:rsidR="005C05C5" w:rsidRPr="00E923BE" w:rsidRDefault="005C05C5" w:rsidP="005C05C5">
      <w:pPr>
        <w:pStyle w:val="SingleTxt"/>
        <w:spacing w:after="120" w:line="300" w:lineRule="exact"/>
        <w:ind w:left="1134" w:right="1134"/>
        <w:rPr>
          <w:rStyle w:val="SingleTxt"/>
          <w:rFonts w:cs="SimSun"/>
        </w:rPr>
      </w:pPr>
      <w:r w:rsidRPr="00E923BE">
        <w:rPr>
          <w:rStyle w:val="SingleTxt"/>
          <w:rFonts w:cs="SimSun"/>
        </w:rPr>
        <w:t>222.</w:t>
      </w:r>
      <w:r w:rsidRPr="00E923BE">
        <w:rPr>
          <w:rStyle w:val="SingleTxt"/>
          <w:rFonts w:cs="SimSun"/>
        </w:rPr>
        <w:tab/>
      </w:r>
      <w:r w:rsidRPr="00E923BE">
        <w:rPr>
          <w:rStyle w:val="SingleTxt"/>
          <w:rFonts w:cs="SimSun"/>
        </w:rPr>
        <w:t>根据土耳其统计局的婚姻统计数据，在</w:t>
      </w:r>
      <w:r w:rsidRPr="00E923BE">
        <w:rPr>
          <w:rStyle w:val="SingleTxt"/>
          <w:rFonts w:cs="SimSun"/>
        </w:rPr>
        <w:t>2013</w:t>
      </w:r>
      <w:r w:rsidRPr="00E923BE">
        <w:rPr>
          <w:rStyle w:val="SingleTxt"/>
          <w:rFonts w:cs="SimSun"/>
        </w:rPr>
        <w:t>年，土耳其妇女和男子第一次结婚的平均年龄分别是</w:t>
      </w:r>
      <w:r w:rsidRPr="00E923BE">
        <w:rPr>
          <w:rStyle w:val="SingleTxt"/>
          <w:rFonts w:cs="SimSun"/>
        </w:rPr>
        <w:t>23.6</w:t>
      </w:r>
      <w:r w:rsidRPr="00E923BE">
        <w:rPr>
          <w:rStyle w:val="SingleTxt"/>
          <w:rFonts w:cs="SimSun"/>
        </w:rPr>
        <w:t>岁和</w:t>
      </w:r>
      <w:r w:rsidRPr="00E923BE">
        <w:rPr>
          <w:rStyle w:val="SingleTxt"/>
          <w:rFonts w:cs="SimSun"/>
        </w:rPr>
        <w:t>26.8</w:t>
      </w:r>
      <w:r w:rsidRPr="00E923BE">
        <w:rPr>
          <w:rStyle w:val="SingleTxt"/>
          <w:rFonts w:cs="SimSun"/>
        </w:rPr>
        <w:t>岁。在</w:t>
      </w:r>
      <w:r w:rsidRPr="00E923BE">
        <w:rPr>
          <w:rStyle w:val="SingleTxt"/>
          <w:rFonts w:cs="SimSun"/>
        </w:rPr>
        <w:t>2008</w:t>
      </w:r>
      <w:r w:rsidRPr="00E923BE">
        <w:rPr>
          <w:rStyle w:val="SingleTxt"/>
          <w:rFonts w:cs="SimSun"/>
        </w:rPr>
        <w:t>年，妇女第一次结婚的年龄为</w:t>
      </w:r>
      <w:r w:rsidRPr="00E923BE">
        <w:rPr>
          <w:rStyle w:val="SingleTxt"/>
          <w:rFonts w:cs="SimSun"/>
        </w:rPr>
        <w:t>22.9</w:t>
      </w:r>
      <w:r>
        <w:rPr>
          <w:rStyle w:val="SingleTxt"/>
          <w:rFonts w:cs="SimSun" w:hint="eastAsia"/>
        </w:rPr>
        <w:t>岁</w:t>
      </w:r>
      <w:r w:rsidRPr="00E923BE">
        <w:rPr>
          <w:rStyle w:val="SingleTxt"/>
          <w:rFonts w:cs="SimSun"/>
        </w:rPr>
        <w:t>，男子第一次结婚的年龄则为</w:t>
      </w:r>
      <w:r w:rsidRPr="00E923BE">
        <w:rPr>
          <w:rStyle w:val="SingleTxt"/>
          <w:rFonts w:cs="SimSun"/>
        </w:rPr>
        <w:t>26.2</w:t>
      </w:r>
      <w:r>
        <w:rPr>
          <w:rStyle w:val="SingleTxt"/>
          <w:rFonts w:cs="SimSun" w:hint="eastAsia"/>
        </w:rPr>
        <w:t>岁</w:t>
      </w:r>
      <w:r w:rsidRPr="00E923BE">
        <w:rPr>
          <w:rStyle w:val="SingleTxt"/>
          <w:rFonts w:cs="SimSun"/>
        </w:rPr>
        <w:t>。第一次结婚的年龄呈现上升趋势。</w:t>
      </w:r>
    </w:p>
    <w:p w:rsidR="005C05C5" w:rsidRPr="00E923BE" w:rsidRDefault="005C05C5" w:rsidP="005C05C5">
      <w:pPr>
        <w:pStyle w:val="SingleTxt"/>
        <w:spacing w:after="120"/>
        <w:ind w:left="1134" w:right="1134"/>
        <w:rPr>
          <w:rStyle w:val="SingleTxt"/>
          <w:rFonts w:cs="SimSun"/>
        </w:rPr>
      </w:pPr>
      <w:r w:rsidRPr="00E923BE">
        <w:rPr>
          <w:rStyle w:val="SingleTxt"/>
          <w:rFonts w:cs="SimSun"/>
        </w:rPr>
        <w:t>223.</w:t>
      </w:r>
      <w:r w:rsidRPr="00E923BE">
        <w:rPr>
          <w:rStyle w:val="SingleTxt"/>
          <w:rFonts w:cs="SimSun"/>
        </w:rPr>
        <w:tab/>
      </w:r>
      <w:r w:rsidRPr="00E923BE">
        <w:rPr>
          <w:rStyle w:val="SingleTxt"/>
          <w:rFonts w:cs="SimSun"/>
        </w:rPr>
        <w:t>在</w:t>
      </w:r>
      <w:r w:rsidRPr="00E923BE">
        <w:rPr>
          <w:rStyle w:val="SingleTxt"/>
          <w:rFonts w:cs="SimSun"/>
        </w:rPr>
        <w:t>2008</w:t>
      </w:r>
      <w:r w:rsidRPr="00E923BE">
        <w:rPr>
          <w:rStyle w:val="SingleTxt"/>
          <w:rFonts w:cs="SimSun"/>
        </w:rPr>
        <w:t>年至</w:t>
      </w:r>
      <w:r w:rsidRPr="00E923BE">
        <w:rPr>
          <w:rStyle w:val="SingleTxt"/>
          <w:rFonts w:cs="SimSun"/>
        </w:rPr>
        <w:t>2013</w:t>
      </w:r>
      <w:r w:rsidRPr="00E923BE">
        <w:rPr>
          <w:rStyle w:val="SingleTxt"/>
          <w:rFonts w:cs="SimSun"/>
        </w:rPr>
        <w:t>年期间，</w:t>
      </w:r>
      <w:r w:rsidRPr="00E923BE">
        <w:rPr>
          <w:rStyle w:val="SingleTxt"/>
          <w:rFonts w:cs="SimSun"/>
        </w:rPr>
        <w:t>18</w:t>
      </w:r>
      <w:r w:rsidRPr="00E923BE">
        <w:rPr>
          <w:rStyle w:val="SingleTxt"/>
          <w:rFonts w:cs="SimSun"/>
        </w:rPr>
        <w:t>岁以下结婚的人数呈现了下降趋势（见附件表</w:t>
      </w:r>
      <w:r w:rsidRPr="00E923BE">
        <w:rPr>
          <w:rStyle w:val="SingleTxt"/>
          <w:rFonts w:cs="SimSun"/>
        </w:rPr>
        <w:t>37</w:t>
      </w:r>
      <w:r w:rsidRPr="00E923BE">
        <w:rPr>
          <w:rStyle w:val="SingleTxt"/>
          <w:rFonts w:cs="SimSun"/>
        </w:rPr>
        <w:t>）。</w:t>
      </w:r>
    </w:p>
    <w:p w:rsidR="005C05C5" w:rsidRPr="00E923BE" w:rsidRDefault="005C05C5" w:rsidP="005C05C5">
      <w:pPr>
        <w:pStyle w:val="HChGC"/>
      </w:pPr>
      <w:r w:rsidRPr="00E923BE">
        <w:br w:type="page"/>
      </w:r>
      <w:r w:rsidRPr="00E923BE">
        <w:tab/>
      </w:r>
      <w:r w:rsidRPr="00E923BE">
        <w:tab/>
      </w:r>
      <w:r w:rsidRPr="00E923BE">
        <w:t>缩略语</w:t>
      </w:r>
    </w:p>
    <w:p w:rsidR="005C05C5" w:rsidRPr="00E923BE" w:rsidRDefault="005C05C5" w:rsidP="005C05C5">
      <w:pPr>
        <w:pStyle w:val="SingleTxt"/>
        <w:spacing w:after="0" w:line="120" w:lineRule="exact"/>
        <w:rPr>
          <w:sz w:val="10"/>
        </w:rPr>
      </w:pPr>
    </w:p>
    <w:tbl>
      <w:tblPr>
        <w:tblW w:w="0" w:type="auto"/>
        <w:tblInd w:w="1267" w:type="dxa"/>
        <w:tblLayout w:type="fixed"/>
        <w:tblCellMar>
          <w:left w:w="0" w:type="dxa"/>
          <w:right w:w="0" w:type="dxa"/>
        </w:tblCellMar>
        <w:tblLook w:val="04A0"/>
      </w:tblPr>
      <w:tblGrid>
        <w:gridCol w:w="1793"/>
        <w:gridCol w:w="5527"/>
      </w:tblGrid>
      <w:tr w:rsidR="005C05C5" w:rsidRPr="00E923BE" w:rsidTr="009D7982">
        <w:trPr>
          <w:trHeight w:hRule="exact" w:val="115"/>
          <w:tblHeader/>
        </w:trPr>
        <w:tc>
          <w:tcPr>
            <w:tcW w:w="1793" w:type="dxa"/>
            <w:shd w:val="clear" w:color="auto" w:fill="auto"/>
            <w:vAlign w:val="center"/>
          </w:tcPr>
          <w:p w:rsidR="005C05C5" w:rsidRPr="00E923BE" w:rsidRDefault="005C05C5" w:rsidP="009D7982">
            <w:pPr>
              <w:pStyle w:val="SingleTxt"/>
              <w:tabs>
                <w:tab w:val="clear" w:pos="1264"/>
                <w:tab w:val="clear" w:pos="5574"/>
              </w:tabs>
              <w:spacing w:after="120" w:line="280" w:lineRule="exact"/>
              <w:ind w:left="0" w:right="40"/>
              <w:rPr>
                <w:rFonts w:eastAsia="Times New Roman"/>
              </w:rPr>
            </w:pPr>
          </w:p>
        </w:tc>
        <w:tc>
          <w:tcPr>
            <w:tcW w:w="5527" w:type="dxa"/>
            <w:shd w:val="clear" w:color="auto" w:fill="auto"/>
            <w:vAlign w:val="center"/>
          </w:tcPr>
          <w:p w:rsidR="005C05C5" w:rsidRPr="00E923BE" w:rsidRDefault="005C05C5" w:rsidP="009D7982">
            <w:pPr>
              <w:pStyle w:val="SingleTxt"/>
              <w:tabs>
                <w:tab w:val="clear" w:pos="1264"/>
                <w:tab w:val="clear" w:pos="5574"/>
              </w:tabs>
              <w:spacing w:after="120" w:line="280" w:lineRule="exact"/>
              <w:ind w:left="144" w:right="43"/>
              <w:jc w:val="left"/>
              <w:rPr>
                <w:rFonts w:eastAsia="Times New Roman"/>
              </w:rPr>
            </w:pP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ASPB</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家庭和社会政策部</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CEDAW</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消除对妇女一切形式歧视公约</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ÇATOM</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多功能社区服务中心</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ÇİM</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儿童监测中心</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ÇSGB</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劳动和社会保障部</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FTP</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家庭培训课程</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GTHB</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粮食、农业和畜牧业部</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IPA</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欧洲联盟加入前援助工具</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İŞKUR</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土耳其就业组织</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KEFEK</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男女机会均等委员会</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KOSGEB</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中小工业企业发展组织</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KSGM</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妇女地位总局</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MEB</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国家教育局</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NAP</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国家行动计划</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NGOs</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非政府组织</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OIZ</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有组织工业区</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ÖSYM</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土耳其高等教育部学生选拔中心</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SHÇEK</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社会服务和儿童保护机构</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ŞÖNİM</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预防和控制暴力行为中心</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TBMM</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土耳其大国民议会</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第</w:t>
            </w:r>
            <w:r w:rsidRPr="00E923BE">
              <w:rPr>
                <w:rStyle w:val="SingleTxt"/>
                <w:rFonts w:cs="SimSun"/>
              </w:rPr>
              <w:t>6284</w:t>
            </w:r>
            <w:r w:rsidRPr="00E923BE">
              <w:rPr>
                <w:rStyle w:val="SingleTxt"/>
                <w:rFonts w:cs="SimSun"/>
              </w:rPr>
              <w:t>号法律</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保护家庭和防止对妇女暴力行为法</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TNSA</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人口与健康研究</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TÜİK</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土耳其统计局</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UN</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联合国</w:t>
            </w:r>
            <w:r w:rsidRPr="00E923BE">
              <w:rPr>
                <w:rStyle w:val="SingleTxt"/>
                <w:rFonts w:cs="SimSun"/>
              </w:rPr>
              <w:t xml:space="preserve"> </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UNFPA</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联合国人口基金</w:t>
            </w:r>
          </w:p>
        </w:tc>
      </w:tr>
      <w:tr w:rsidR="005C05C5" w:rsidRPr="00E923BE" w:rsidTr="009D7982">
        <w:tc>
          <w:tcPr>
            <w:tcW w:w="1793"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0" w:right="40"/>
              <w:rPr>
                <w:rFonts w:eastAsia="Times New Roman"/>
              </w:rPr>
            </w:pPr>
            <w:r w:rsidRPr="00E923BE">
              <w:rPr>
                <w:rStyle w:val="SingleTxt"/>
                <w:rFonts w:cs="SimSun"/>
              </w:rPr>
              <w:t>YİBO</w:t>
            </w:r>
          </w:p>
        </w:tc>
        <w:tc>
          <w:tcPr>
            <w:tcW w:w="5527" w:type="dxa"/>
            <w:shd w:val="clear" w:color="auto" w:fill="auto"/>
            <w:vAlign w:val="center"/>
          </w:tcPr>
          <w:p w:rsidR="005C05C5" w:rsidRPr="00E923BE" w:rsidRDefault="005C05C5" w:rsidP="009D7982">
            <w:pPr>
              <w:pStyle w:val="SingleTxt"/>
              <w:tabs>
                <w:tab w:val="clear" w:pos="1264"/>
                <w:tab w:val="clear" w:pos="5574"/>
                <w:tab w:val="left" w:pos="288"/>
                <w:tab w:val="left" w:pos="576"/>
                <w:tab w:val="left" w:pos="864"/>
                <w:tab w:val="left" w:pos="1152"/>
              </w:tabs>
              <w:spacing w:after="120" w:line="280" w:lineRule="exact"/>
              <w:ind w:left="144" w:right="43"/>
              <w:jc w:val="left"/>
              <w:rPr>
                <w:rFonts w:eastAsia="Times New Roman"/>
              </w:rPr>
            </w:pPr>
            <w:r w:rsidRPr="00E923BE">
              <w:rPr>
                <w:rStyle w:val="SingleTxt"/>
                <w:rFonts w:cs="SimSun"/>
              </w:rPr>
              <w:t>地区寄宿制小学</w:t>
            </w:r>
          </w:p>
        </w:tc>
      </w:tr>
    </w:tbl>
    <w:p w:rsidR="005C05C5" w:rsidRDefault="005C05C5" w:rsidP="005C05C5">
      <w:pPr>
        <w:pStyle w:val="SingleTxt"/>
        <w:spacing w:after="0" w:line="120" w:lineRule="exact"/>
        <w:rPr>
          <w:sz w:val="10"/>
        </w:rPr>
      </w:pPr>
    </w:p>
    <w:p w:rsidR="005C05C5" w:rsidRDefault="005C05C5" w:rsidP="005C05C5">
      <w:pPr>
        <w:pStyle w:val="SingleTxt"/>
        <w:spacing w:after="0" w:line="120" w:lineRule="exact"/>
        <w:rPr>
          <w:sz w:val="10"/>
        </w:rPr>
      </w:pPr>
    </w:p>
    <w:p w:rsidR="005C05C5" w:rsidRPr="005C05C5" w:rsidRDefault="005C05C5" w:rsidP="005C05C5">
      <w:pPr>
        <w:pStyle w:val="SingleTxt"/>
        <w:spacing w:after="0" w:line="240" w:lineRule="auto"/>
        <w:rPr>
          <w:sz w:val="20"/>
        </w:rPr>
      </w:pPr>
      <w:r>
        <w:rPr>
          <w:noProof/>
          <w:snapToGrid/>
          <w:sz w:val="20"/>
        </w:rPr>
        <w:pict>
          <v:line id="_x0000_s1026" style="position:absolute;left:0;text-align:left;z-index:1;mso-position-horizontal:center" from="0,30pt" to="1in,30pt" strokecolor="#010000" strokeweight=".25pt"/>
        </w:pict>
      </w:r>
    </w:p>
    <w:sectPr w:rsidR="005C05C5" w:rsidRPr="005C05C5" w:rsidSect="008D6536">
      <w:type w:val="continuous"/>
      <w:pgSz w:w="12240" w:h="15840" w:code="1"/>
      <w:pgMar w:top="1742" w:right="1200" w:bottom="1898" w:left="1200" w:header="576" w:footer="1030" w:gutter="0"/>
      <w:cols w:space="425"/>
      <w:noEndnote/>
      <w:docGrid w:linePitch="312"/>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01T09:33:00Z" w:initials="Start">
    <w:p w:rsidR="008D6536" w:rsidRDefault="008D6536">
      <w:pPr>
        <w:pStyle w:val="CommentText"/>
      </w:pPr>
      <w:r>
        <w:fldChar w:fldCharType="begin"/>
      </w:r>
      <w:r>
        <w:rPr>
          <w:rStyle w:val="CommentReference"/>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CommentReference"/>
        </w:rPr>
        <w:instrText xml:space="preserve"> </w:instrText>
      </w:r>
      <w:r w:rsidR="00E66ED6">
        <w:fldChar w:fldCharType="separate"/>
      </w:r>
      <w:r w:rsidR="00E66ED6">
        <w:rPr>
          <w:rFonts w:hint="eastAsia"/>
          <w:noProof/>
        </w:rPr>
        <w:t>页</w:t>
      </w:r>
      <w:r w:rsidR="00E66ED6">
        <w:rPr>
          <w:rFonts w:hint="eastAsia"/>
          <w:noProof/>
        </w:rPr>
        <w:t xml:space="preserve">: </w:t>
      </w:r>
      <w:r w:rsidR="00E66ED6">
        <w:rPr>
          <w:noProof/>
        </w:rPr>
        <w:t>1</w:t>
      </w:r>
      <w:r w:rsidR="00E66ED6">
        <w:rPr>
          <w:rFonts w:hint="eastAsia"/>
          <w:noProof/>
        </w:rPr>
        <w:br/>
      </w:r>
      <w:r>
        <w:fldChar w:fldCharType="end"/>
      </w:r>
      <w:r>
        <w:rPr>
          <w:rStyle w:val="CommentReference"/>
        </w:rPr>
        <w:annotationRef/>
      </w:r>
      <w:r>
        <w:t>&lt;&lt;ODS JOB NO&gt;&gt;N1468142C&lt;&lt;ODS JOB NO&gt;&gt;</w:t>
      </w:r>
    </w:p>
    <w:p w:rsidR="008D6536" w:rsidRDefault="008D6536">
      <w:pPr>
        <w:pStyle w:val="CommentText"/>
      </w:pPr>
      <w:r>
        <w:t>&lt;&lt;ODS DOC SYMBOL1&gt;&gt;CEDAW/C/TUR/7&lt;&lt;ODS DOC SYMBOL1&gt;&gt;</w:t>
      </w:r>
    </w:p>
    <w:p w:rsidR="008D6536" w:rsidRDefault="008D6536">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6AD" w:rsidRDefault="00B176AD">
      <w:r>
        <w:separator/>
      </w:r>
    </w:p>
  </w:endnote>
  <w:endnote w:type="continuationSeparator" w:id="0">
    <w:p w:rsidR="00B176AD" w:rsidRDefault="00B176A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Malgun Gothic">
    <w:panose1 w:val="020B0503020000020004"/>
    <w:charset w:val="81"/>
    <w:family w:val="swiss"/>
    <w:pitch w:val="variable"/>
    <w:sig w:usb0="900002AF" w:usb1="09D77CFB" w:usb2="00000012" w:usb3="00000000" w:csb0="00080001" w:csb1="00000000"/>
  </w:font>
  <w:font w:name="Batang">
    <w:altName w:val="바탕"/>
    <w:panose1 w:val="02030600000101010101"/>
    <w:charset w:val="81"/>
    <w:family w:val="roman"/>
    <w:pitch w:val="variable"/>
    <w:sig w:usb0="B00002AF" w:usb1="69D77CFB" w:usb2="00000030" w:usb3="00000000" w:csb0="0008009F" w:csb1="00000000"/>
  </w:font>
  <w:font w:name="Gulim">
    <w:altName w:val="굴림"/>
    <w:panose1 w:val="020B0600000101010101"/>
    <w:charset w:val="81"/>
    <w:family w:val="swiss"/>
    <w:pitch w:val="variable"/>
    <w:sig w:usb0="B00002AF" w:usb1="69D77CFB" w:usb2="00000030" w:usb3="00000000" w:csb0="000800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Sylfaen">
    <w:panose1 w:val="010A0502050306030303"/>
    <w:charset w:val="00"/>
    <w:family w:val="roman"/>
    <w:pitch w:val="variable"/>
    <w:sig w:usb0="04000687" w:usb1="00000000" w:usb2="00000000" w:usb3="00000000" w:csb0="0000009F" w:csb1="00000000"/>
  </w:font>
  <w:font w:name="LitNusx">
    <w:altName w:val="Times New Roman"/>
    <w:charset w:val="00"/>
    <w:family w:val="auto"/>
    <w:pitch w:val="variable"/>
    <w:sig w:usb0="00000087" w:usb1="00000000" w:usb2="00000000" w:usb3="00000000" w:csb0="0000001B" w:csb1="00000000"/>
  </w:font>
  <w:font w:name="Arial Unicode MS">
    <w:panose1 w:val="020B0604020202020204"/>
    <w:charset w:val="00"/>
    <w:family w:val="roman"/>
    <w:notTrueType/>
    <w:pitch w:val="variable"/>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D6536" w:rsidTr="008D6536">
      <w:tblPrEx>
        <w:tblCellMar>
          <w:top w:w="0" w:type="dxa"/>
          <w:bottom w:w="0" w:type="dxa"/>
        </w:tblCellMar>
      </w:tblPrEx>
      <w:tc>
        <w:tcPr>
          <w:tcW w:w="5028" w:type="dxa"/>
          <w:shd w:val="clear" w:color="auto" w:fill="auto"/>
        </w:tcPr>
        <w:p w:rsidR="008D6536" w:rsidRPr="008D6536" w:rsidRDefault="008D6536" w:rsidP="008D6536">
          <w:pPr>
            <w:pStyle w:val="Footer"/>
            <w:jc w:val="right"/>
            <w:rPr>
              <w:b w:val="0"/>
              <w:w w:val="103"/>
              <w:sz w:val="14"/>
              <w:lang w:eastAsia="zh-CN"/>
            </w:rPr>
          </w:pPr>
          <w:fldSimple w:instr=" DOCVARIABLE &quot;FooterJN&quot; \* MERGEFORMAT ">
            <w:r w:rsidR="00E66ED6">
              <w:rPr>
                <w:b w:val="0"/>
                <w:w w:val="103"/>
                <w:sz w:val="14"/>
                <w:lang w:eastAsia="zh-CN"/>
              </w:rPr>
              <w:t>14-66760 (C)</w:t>
            </w:r>
          </w:fldSimple>
        </w:p>
      </w:tc>
      <w:tc>
        <w:tcPr>
          <w:tcW w:w="5028" w:type="dxa"/>
          <w:shd w:val="clear" w:color="auto" w:fill="auto"/>
        </w:tcPr>
        <w:p w:rsidR="008D6536" w:rsidRPr="008D6536" w:rsidRDefault="008D6536" w:rsidP="008D6536">
          <w:pPr>
            <w:pStyle w:val="Footer"/>
            <w:jc w:val="left"/>
            <w:rPr>
              <w:w w:val="103"/>
              <w:lang w:eastAsia="zh-CN"/>
            </w:rPr>
          </w:pPr>
          <w:r>
            <w:rPr>
              <w:w w:val="103"/>
              <w:lang w:eastAsia="zh-CN"/>
            </w:rPr>
            <w:fldChar w:fldCharType="begin"/>
          </w:r>
          <w:r>
            <w:rPr>
              <w:w w:val="103"/>
              <w:lang w:eastAsia="zh-CN"/>
            </w:rPr>
            <w:instrText xml:space="preserve"> PAGE  \* Arabic  \* MERGEFORMAT </w:instrText>
          </w:r>
          <w:r>
            <w:rPr>
              <w:w w:val="103"/>
              <w:lang w:eastAsia="zh-CN"/>
            </w:rPr>
            <w:fldChar w:fldCharType="separate"/>
          </w:r>
          <w:r w:rsidR="00E66ED6">
            <w:rPr>
              <w:w w:val="103"/>
              <w:lang w:eastAsia="zh-CN"/>
            </w:rPr>
            <w:t>30</w:t>
          </w:r>
          <w:r>
            <w:rPr>
              <w:w w:val="103"/>
              <w:lang w:eastAsia="zh-CN"/>
            </w:rPr>
            <w:fldChar w:fldCharType="end"/>
          </w:r>
          <w:r>
            <w:rPr>
              <w:w w:val="103"/>
              <w:lang w:eastAsia="zh-CN"/>
            </w:rPr>
            <w:t>/</w:t>
          </w:r>
          <w:fldSimple w:instr=" NUMPAGES  \* Arabic  \* MERGEFORMAT ">
            <w:r w:rsidR="00E66ED6">
              <w:rPr>
                <w:w w:val="103"/>
                <w:lang w:eastAsia="zh-CN"/>
              </w:rPr>
              <w:t>31</w:t>
            </w:r>
          </w:fldSimple>
        </w:p>
      </w:tc>
    </w:tr>
  </w:tbl>
  <w:p w:rsidR="008D6536" w:rsidRPr="008D6536" w:rsidRDefault="008D6536" w:rsidP="008D6536">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28"/>
      <w:gridCol w:w="5028"/>
    </w:tblGrid>
    <w:tr w:rsidR="008D6536" w:rsidTr="008D6536">
      <w:tblPrEx>
        <w:tblCellMar>
          <w:top w:w="0" w:type="dxa"/>
          <w:bottom w:w="0" w:type="dxa"/>
        </w:tblCellMar>
      </w:tblPrEx>
      <w:tc>
        <w:tcPr>
          <w:tcW w:w="5028" w:type="dxa"/>
          <w:shd w:val="clear" w:color="auto" w:fill="auto"/>
        </w:tcPr>
        <w:p w:rsidR="008D6536" w:rsidRPr="008D6536" w:rsidRDefault="008D6536" w:rsidP="008D6536">
          <w:pPr>
            <w:pStyle w:val="Footer"/>
            <w:jc w:val="right"/>
            <w:rPr>
              <w:lang w:eastAsia="zh-CN"/>
            </w:rPr>
          </w:pPr>
          <w:r>
            <w:rPr>
              <w:lang w:eastAsia="zh-CN"/>
            </w:rPr>
            <w:fldChar w:fldCharType="begin"/>
          </w:r>
          <w:r>
            <w:rPr>
              <w:lang w:eastAsia="zh-CN"/>
            </w:rPr>
            <w:instrText xml:space="preserve"> PAGE  \* Arabic  \* MERGEFORMAT </w:instrText>
          </w:r>
          <w:r>
            <w:rPr>
              <w:lang w:eastAsia="zh-CN"/>
            </w:rPr>
            <w:fldChar w:fldCharType="separate"/>
          </w:r>
          <w:r w:rsidR="00E66ED6">
            <w:rPr>
              <w:lang w:eastAsia="zh-CN"/>
            </w:rPr>
            <w:t>31</w:t>
          </w:r>
          <w:r>
            <w:rPr>
              <w:lang w:eastAsia="zh-CN"/>
            </w:rPr>
            <w:fldChar w:fldCharType="end"/>
          </w:r>
          <w:r>
            <w:rPr>
              <w:lang w:eastAsia="zh-CN"/>
            </w:rPr>
            <w:t>/</w:t>
          </w:r>
          <w:fldSimple w:instr=" NUMPAGES  \* Arabic  \* MERGEFORMAT ">
            <w:r w:rsidR="00E66ED6">
              <w:rPr>
                <w:lang w:eastAsia="zh-CN"/>
              </w:rPr>
              <w:t>31</w:t>
            </w:r>
          </w:fldSimple>
        </w:p>
      </w:tc>
      <w:tc>
        <w:tcPr>
          <w:tcW w:w="5028" w:type="dxa"/>
          <w:shd w:val="clear" w:color="auto" w:fill="auto"/>
        </w:tcPr>
        <w:p w:rsidR="008D6536" w:rsidRPr="008D6536" w:rsidRDefault="008D6536" w:rsidP="008D6536">
          <w:pPr>
            <w:pStyle w:val="Footer"/>
            <w:jc w:val="left"/>
            <w:rPr>
              <w:b w:val="0"/>
              <w:w w:val="103"/>
              <w:sz w:val="14"/>
              <w:lang w:eastAsia="zh-CN"/>
            </w:rPr>
          </w:pPr>
          <w:fldSimple w:instr=" DOCVARIABLE &quot;FooterJN&quot; \* MERGEFORMAT ">
            <w:r w:rsidR="00E66ED6">
              <w:rPr>
                <w:b w:val="0"/>
                <w:w w:val="103"/>
                <w:sz w:val="14"/>
                <w:lang w:eastAsia="zh-CN"/>
              </w:rPr>
              <w:t>14-66760 (C)</w:t>
            </w:r>
          </w:fldSimple>
        </w:p>
      </w:tc>
    </w:tr>
  </w:tbl>
  <w:p w:rsidR="008D6536" w:rsidRPr="008D6536" w:rsidRDefault="008D6536" w:rsidP="008D6536">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Layout w:type="fixed"/>
      <w:tblLook w:val="0000"/>
    </w:tblPr>
    <w:tblGrid>
      <w:gridCol w:w="3744"/>
      <w:gridCol w:w="5028"/>
    </w:tblGrid>
    <w:tr w:rsidR="008D6536" w:rsidTr="008D6536">
      <w:tblPrEx>
        <w:tblCellMar>
          <w:top w:w="0" w:type="dxa"/>
          <w:bottom w:w="0" w:type="dxa"/>
        </w:tblCellMar>
      </w:tblPrEx>
      <w:tc>
        <w:tcPr>
          <w:tcW w:w="3744" w:type="dxa"/>
        </w:tcPr>
        <w:p w:rsidR="008D6536" w:rsidRDefault="008D6536" w:rsidP="008D6536">
          <w:pPr>
            <w:pStyle w:val="Release"/>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40.55pt;margin-top:-70.35pt;width:54.7pt;height:54.7pt;z-index:1;mso-position-horizontal-relative:page;mso-position-vertical-relative:page" filled="t">
                <v:imagedata r:id="rId1" o:title="7Size =1Lang = C"/>
                <w10:wrap anchorx="page" anchory="page"/>
              </v:shape>
            </w:pict>
          </w:r>
          <w:r w:rsidR="00ED537E" w:rsidRPr="00ED537E">
            <w:t>14-66760 X (C)</w:t>
          </w:r>
          <w:r>
            <w:t xml:space="preserve">    010415    010415</w:t>
          </w:r>
        </w:p>
        <w:p w:rsidR="008D6536" w:rsidRPr="008D6536" w:rsidRDefault="008D6536" w:rsidP="008D6536">
          <w:pPr>
            <w:spacing w:before="80" w:line="210" w:lineRule="exact"/>
            <w:rPr>
              <w:rFonts w:ascii="Barcode 3 of 9 by request" w:hAnsi="Barcode 3 of 9 by request"/>
              <w:sz w:val="24"/>
            </w:rPr>
          </w:pPr>
          <w:r>
            <w:rPr>
              <w:rFonts w:ascii="Barcode 3 of 9 by request" w:hAnsi="Barcode 3 of 9 by request" w:hint="eastAsia"/>
              <w:sz w:val="24"/>
            </w:rPr>
            <w:t>*1466760*</w:t>
          </w:r>
        </w:p>
      </w:tc>
      <w:tc>
        <w:tcPr>
          <w:tcW w:w="5028" w:type="dxa"/>
        </w:tcPr>
        <w:p w:rsidR="008D6536" w:rsidRDefault="008D6536" w:rsidP="008D6536">
          <w:pPr>
            <w:pStyle w:val="Footer"/>
            <w:jc w:val="right"/>
            <w:rPr>
              <w:b w:val="0"/>
              <w:sz w:val="21"/>
              <w:lang w:eastAsia="zh-CN"/>
            </w:rPr>
          </w:pPr>
          <w:r>
            <w:rPr>
              <w:b w:val="0"/>
              <w:sz w:val="21"/>
              <w:lang w:eastAsia="zh-CN"/>
            </w:rPr>
            <w:pict>
              <v:shape id="_x0000_i1026" type="#_x0000_t75" style="width:48.75pt;height:18pt">
                <v:imagedata r:id="rId2" o:title="recycle_Chinese"/>
              </v:shape>
            </w:pict>
          </w:r>
        </w:p>
      </w:tc>
    </w:tr>
  </w:tbl>
  <w:p w:rsidR="008D6536" w:rsidRPr="008D6536" w:rsidRDefault="008D6536" w:rsidP="008D6536">
    <w:pPr>
      <w:pStyle w:val="Footer"/>
      <w:spacing w:line="56" w:lineRule="auto"/>
      <w:jc w:val="left"/>
      <w:rPr>
        <w:b w:val="0"/>
        <w:sz w:val="21"/>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6AD" w:rsidRPr="005C05C5" w:rsidRDefault="00B176AD" w:rsidP="005C05C5">
      <w:pPr>
        <w:pStyle w:val="Footer"/>
        <w:spacing w:after="80"/>
        <w:ind w:left="792"/>
        <w:rPr>
          <w:sz w:val="16"/>
        </w:rPr>
      </w:pPr>
      <w:r w:rsidRPr="005C05C5">
        <w:rPr>
          <w:sz w:val="16"/>
        </w:rPr>
        <w:t>__________________</w:t>
      </w:r>
    </w:p>
  </w:footnote>
  <w:footnote w:type="continuationSeparator" w:id="0">
    <w:p w:rsidR="00B176AD" w:rsidRPr="005C05C5" w:rsidRDefault="00B176AD" w:rsidP="005C05C5">
      <w:pPr>
        <w:pStyle w:val="Footer"/>
        <w:spacing w:after="80"/>
        <w:ind w:left="792"/>
        <w:rPr>
          <w:sz w:val="16"/>
        </w:rPr>
      </w:pPr>
      <w:r w:rsidRPr="005C05C5">
        <w:rPr>
          <w:sz w:val="16"/>
        </w:rPr>
        <w:t>__________________</w:t>
      </w:r>
    </w:p>
  </w:footnote>
  <w:footnote w:id="1">
    <w:p w:rsidR="001035D8" w:rsidRPr="00C31096" w:rsidRDefault="001035D8" w:rsidP="005C05C5">
      <w:pPr>
        <w:pStyle w:val="FootnoteText"/>
        <w:tabs>
          <w:tab w:val="clear" w:pos="418"/>
          <w:tab w:val="right" w:pos="1195"/>
          <w:tab w:val="left" w:pos="1264"/>
          <w:tab w:val="left" w:pos="1695"/>
          <w:tab w:val="left" w:pos="2126"/>
          <w:tab w:val="left" w:pos="2557"/>
        </w:tabs>
        <w:ind w:left="1264" w:right="1264" w:hanging="432"/>
        <w:rPr>
          <w:lang w:val="fr-CH"/>
        </w:rPr>
      </w:pPr>
      <w:r w:rsidRPr="00C31096">
        <w:tab/>
      </w:r>
      <w:r w:rsidRPr="00C31096">
        <w:rPr>
          <w:rStyle w:val="FootnoteReference"/>
          <w:color w:val="000000"/>
          <w:szCs w:val="18"/>
        </w:rPr>
        <w:t>*</w:t>
      </w:r>
      <w:r w:rsidRPr="00C31096">
        <w:rPr>
          <w:rFonts w:hint="eastAsia"/>
        </w:rPr>
        <w:tab/>
      </w:r>
      <w:r w:rsidRPr="00C31096">
        <w:rPr>
          <w:rFonts w:hint="eastAsia"/>
        </w:rPr>
        <w:t>本报告印发之前未经正式编辑。</w:t>
      </w:r>
    </w:p>
  </w:footnote>
  <w:footnote w:id="2">
    <w:p w:rsidR="005C05C5" w:rsidRPr="00C31096" w:rsidRDefault="005C05C5" w:rsidP="005C05C5">
      <w:pPr>
        <w:pStyle w:val="FootnoteText"/>
        <w:tabs>
          <w:tab w:val="clear" w:pos="418"/>
          <w:tab w:val="right" w:pos="1195"/>
          <w:tab w:val="left" w:pos="1264"/>
          <w:tab w:val="left" w:pos="1695"/>
          <w:tab w:val="left" w:pos="2126"/>
          <w:tab w:val="left" w:pos="2557"/>
        </w:tabs>
        <w:ind w:left="1264" w:right="1264" w:hanging="432"/>
      </w:pPr>
      <w:r w:rsidRPr="00C31096">
        <w:rPr>
          <w:rStyle w:val="FootnoteText"/>
          <w:rFonts w:cs="SimSun"/>
          <w:color w:val="000000"/>
          <w:szCs w:val="18"/>
        </w:rPr>
        <w:tab/>
      </w:r>
      <w:r w:rsidRPr="00C31096">
        <w:rPr>
          <w:rStyle w:val="FootnoteText"/>
          <w:color w:val="000000"/>
          <w:vertAlign w:val="superscript"/>
        </w:rPr>
        <w:footnoteRef/>
      </w:r>
      <w:r>
        <w:rPr>
          <w:rStyle w:val="FootnoteText"/>
          <w:rFonts w:cs="SimSun" w:hint="eastAsia"/>
          <w:color w:val="000000"/>
          <w:szCs w:val="18"/>
        </w:rPr>
        <w:tab/>
      </w:r>
      <w:r w:rsidRPr="00C31096">
        <w:rPr>
          <w:rStyle w:val="FootnoteText"/>
          <w:rFonts w:hAnsi="SimSun" w:cs="SimSun"/>
          <w:color w:val="000000"/>
          <w:szCs w:val="18"/>
        </w:rPr>
        <w:t>定期国别报告以下简称</w:t>
      </w:r>
      <w:r w:rsidRPr="00C31096">
        <w:rPr>
          <w:rStyle w:val="FootnoteText"/>
          <w:rFonts w:cs="SimSun"/>
          <w:color w:val="000000"/>
          <w:szCs w:val="18"/>
          <w:cs/>
        </w:rPr>
        <w:t>“</w:t>
      </w:r>
      <w:r w:rsidRPr="00C31096">
        <w:rPr>
          <w:rStyle w:val="FootnoteText"/>
          <w:rFonts w:hAnsi="SimSun" w:cs="SimSun"/>
          <w:color w:val="000000"/>
          <w:szCs w:val="18"/>
        </w:rPr>
        <w:t>报告</w:t>
      </w:r>
      <w:r w:rsidRPr="00C31096">
        <w:rPr>
          <w:rStyle w:val="FootnoteText"/>
          <w:rFonts w:cs="SimSun"/>
          <w:color w:val="000000"/>
          <w:szCs w:val="18"/>
          <w:cs/>
        </w:rPr>
        <w:t>”</w:t>
      </w:r>
      <w:r w:rsidRPr="00C31096">
        <w:rPr>
          <w:rStyle w:val="FootnoteText"/>
          <w:rFonts w:hAnsi="SimSun" w:cs="SimSun"/>
          <w:color w:val="000000"/>
          <w:szCs w:val="18"/>
        </w:rPr>
        <w:t>。</w:t>
      </w:r>
    </w:p>
  </w:footnote>
  <w:footnote w:id="3">
    <w:p w:rsidR="005C05C5" w:rsidRPr="00C31096" w:rsidRDefault="005C05C5" w:rsidP="005C05C5">
      <w:pPr>
        <w:pStyle w:val="FootnoteText"/>
        <w:tabs>
          <w:tab w:val="clear" w:pos="418"/>
          <w:tab w:val="right" w:pos="1195"/>
          <w:tab w:val="left" w:pos="1264"/>
          <w:tab w:val="left" w:pos="1695"/>
          <w:tab w:val="left" w:pos="2126"/>
          <w:tab w:val="left" w:pos="2557"/>
        </w:tabs>
        <w:ind w:left="1264" w:right="1264" w:hanging="432"/>
      </w:pPr>
      <w:r w:rsidRPr="00C31096">
        <w:rPr>
          <w:rStyle w:val="FootnoteText"/>
          <w:rFonts w:cs="SimSun"/>
          <w:color w:val="000000"/>
          <w:szCs w:val="18"/>
        </w:rPr>
        <w:tab/>
      </w:r>
      <w:r w:rsidRPr="00C31096">
        <w:rPr>
          <w:rStyle w:val="FootnoteReference"/>
          <w:rFonts w:cs="SimSun"/>
          <w:color w:val="000000"/>
          <w:szCs w:val="18"/>
        </w:rPr>
        <w:footnoteRef/>
      </w:r>
      <w:r w:rsidRPr="00C31096">
        <w:rPr>
          <w:rStyle w:val="FootnoteText"/>
          <w:rFonts w:cs="SimSun" w:hint="eastAsia"/>
          <w:color w:val="000000"/>
          <w:szCs w:val="18"/>
        </w:rPr>
        <w:tab/>
      </w:r>
      <w:r w:rsidRPr="00C31096">
        <w:rPr>
          <w:rStyle w:val="FootnoteText"/>
          <w:rFonts w:hAnsi="SimSun" w:cs="SimSun"/>
          <w:color w:val="000000"/>
          <w:szCs w:val="18"/>
        </w:rPr>
        <w:t>以下简称</w:t>
      </w:r>
      <w:r w:rsidRPr="00C31096">
        <w:rPr>
          <w:rStyle w:val="FootnoteText"/>
          <w:rFonts w:cs="SimSun"/>
          <w:color w:val="000000"/>
          <w:szCs w:val="18"/>
          <w:cs/>
        </w:rPr>
        <w:t>“</w:t>
      </w:r>
      <w:r>
        <w:rPr>
          <w:rStyle w:val="FootnoteText"/>
          <w:rFonts w:hAnsi="SimSun" w:cs="SimSun"/>
          <w:color w:val="000000"/>
          <w:szCs w:val="18"/>
        </w:rPr>
        <w:t>结论性意见</w:t>
      </w:r>
      <w:r w:rsidRPr="00C31096">
        <w:rPr>
          <w:rStyle w:val="FootnoteText"/>
          <w:rFonts w:cs="SimSun"/>
          <w:color w:val="000000"/>
          <w:szCs w:val="18"/>
          <w:cs/>
        </w:rPr>
        <w:t>”</w:t>
      </w:r>
      <w:r w:rsidRPr="00C31096">
        <w:rPr>
          <w:rStyle w:val="FootnoteText"/>
          <w:rFonts w:hAnsi="SimSun" w:cs="SimSun"/>
          <w:color w:val="000000"/>
          <w:szCs w:val="18"/>
        </w:rPr>
        <w:t>。</w:t>
      </w:r>
    </w:p>
  </w:footnote>
  <w:footnote w:id="4">
    <w:p w:rsidR="005C05C5" w:rsidRPr="00C31096" w:rsidRDefault="005C05C5" w:rsidP="005C05C5">
      <w:pPr>
        <w:pStyle w:val="FootnoteText"/>
        <w:tabs>
          <w:tab w:val="clear" w:pos="418"/>
          <w:tab w:val="right" w:pos="1195"/>
          <w:tab w:val="left" w:pos="1264"/>
          <w:tab w:val="left" w:pos="1695"/>
          <w:tab w:val="left" w:pos="2126"/>
          <w:tab w:val="left" w:pos="2557"/>
        </w:tabs>
        <w:ind w:left="1264" w:right="1264" w:hanging="432"/>
      </w:pPr>
      <w:r w:rsidRPr="00C31096">
        <w:rPr>
          <w:rStyle w:val="FootnoteText"/>
          <w:rFonts w:cs="SimSun"/>
          <w:color w:val="000000"/>
          <w:szCs w:val="18"/>
        </w:rPr>
        <w:tab/>
      </w:r>
      <w:r w:rsidRPr="003C73DF">
        <w:rPr>
          <w:rStyle w:val="FootnoteText"/>
          <w:vertAlign w:val="superscript"/>
        </w:rPr>
        <w:footnoteRef/>
      </w:r>
      <w:r>
        <w:rPr>
          <w:rStyle w:val="FootnoteText"/>
          <w:rFonts w:cs="SimSun" w:hint="eastAsia"/>
          <w:color w:val="000000"/>
          <w:szCs w:val="18"/>
        </w:rPr>
        <w:tab/>
      </w:r>
      <w:r w:rsidRPr="001A29AB">
        <w:rPr>
          <w:rStyle w:val="FootnoteText"/>
          <w:rFonts w:cs="SimSun"/>
          <w:color w:val="000000"/>
          <w:szCs w:val="18"/>
        </w:rPr>
        <w:t>关于</w:t>
      </w:r>
      <w:r>
        <w:rPr>
          <w:rStyle w:val="FootnoteText"/>
          <w:rFonts w:cs="SimSun"/>
          <w:color w:val="000000"/>
          <w:szCs w:val="18"/>
        </w:rPr>
        <w:t>结论性意见</w:t>
      </w:r>
      <w:r w:rsidRPr="001A29AB">
        <w:rPr>
          <w:rStyle w:val="FootnoteText"/>
          <w:rFonts w:cs="SimSun"/>
          <w:color w:val="000000"/>
          <w:szCs w:val="18"/>
        </w:rPr>
        <w:t>第</w:t>
      </w:r>
      <w:r w:rsidRPr="00C31096">
        <w:rPr>
          <w:rStyle w:val="FootnoteText"/>
          <w:rFonts w:cs="SimSun"/>
          <w:color w:val="000000"/>
          <w:szCs w:val="18"/>
        </w:rPr>
        <w:t>16</w:t>
      </w:r>
      <w:r w:rsidRPr="001A29AB">
        <w:rPr>
          <w:rStyle w:val="FootnoteText"/>
          <w:rFonts w:cs="SimSun"/>
          <w:color w:val="000000"/>
          <w:szCs w:val="18"/>
        </w:rPr>
        <w:t>段和第</w:t>
      </w:r>
      <w:r w:rsidRPr="00C31096">
        <w:rPr>
          <w:rStyle w:val="FootnoteText"/>
          <w:rFonts w:cs="SimSun"/>
          <w:color w:val="000000"/>
          <w:szCs w:val="18"/>
        </w:rPr>
        <w:t>17</w:t>
      </w:r>
      <w:r w:rsidRPr="001A29AB">
        <w:rPr>
          <w:rStyle w:val="FootnoteText"/>
          <w:rFonts w:cs="SimSun"/>
          <w:color w:val="000000"/>
          <w:szCs w:val="18"/>
        </w:rPr>
        <w:t>段提到的头巾禁令改进情况，见后续报告和额外信息请求的答复。</w:t>
      </w:r>
    </w:p>
  </w:footnote>
  <w:footnote w:id="5">
    <w:p w:rsidR="005C05C5" w:rsidRPr="00C31096" w:rsidRDefault="005C05C5" w:rsidP="005C05C5">
      <w:pPr>
        <w:pStyle w:val="FootnoteText"/>
        <w:tabs>
          <w:tab w:val="clear" w:pos="418"/>
          <w:tab w:val="right" w:pos="1195"/>
          <w:tab w:val="left" w:pos="1264"/>
          <w:tab w:val="left" w:pos="1695"/>
          <w:tab w:val="left" w:pos="2126"/>
          <w:tab w:val="left" w:pos="2557"/>
        </w:tabs>
        <w:ind w:left="1264" w:right="1264" w:hanging="432"/>
      </w:pPr>
      <w:r w:rsidRPr="00C31096">
        <w:rPr>
          <w:rStyle w:val="FootnoteText"/>
          <w:rFonts w:cs="SimSun"/>
          <w:color w:val="000000"/>
          <w:szCs w:val="18"/>
        </w:rPr>
        <w:tab/>
      </w:r>
      <w:r w:rsidRPr="003C73DF">
        <w:rPr>
          <w:rStyle w:val="FootnoteText"/>
          <w:vertAlign w:val="superscript"/>
        </w:rPr>
        <w:footnoteRef/>
      </w:r>
      <w:r>
        <w:rPr>
          <w:rStyle w:val="FootnoteText"/>
          <w:rFonts w:cs="SimSun" w:hint="eastAsia"/>
          <w:color w:val="000000"/>
          <w:szCs w:val="18"/>
        </w:rPr>
        <w:tab/>
      </w:r>
      <w:r w:rsidRPr="00C31096">
        <w:rPr>
          <w:rStyle w:val="FootnoteText"/>
          <w:rFonts w:cs="SimSun"/>
          <w:color w:val="000000"/>
          <w:szCs w:val="18"/>
        </w:rPr>
        <w:t>2</w:t>
      </w:r>
      <w:r w:rsidRPr="00276B5D">
        <w:rPr>
          <w:rStyle w:val="FootnoteText"/>
          <w:rFonts w:cs="SimSun"/>
          <w:color w:val="000000"/>
          <w:szCs w:val="18"/>
        </w:rPr>
        <w:t>里拉（土耳其里拉）</w:t>
      </w:r>
      <w:r w:rsidRPr="00C31096">
        <w:rPr>
          <w:rStyle w:val="FootnoteText"/>
          <w:rFonts w:cs="SimSun"/>
          <w:color w:val="000000"/>
          <w:szCs w:val="18"/>
        </w:rPr>
        <w:t>=1</w:t>
      </w:r>
      <w:r w:rsidRPr="00276B5D">
        <w:rPr>
          <w:rStyle w:val="FootnoteText"/>
          <w:rFonts w:cs="SimSun"/>
          <w:color w:val="000000"/>
          <w:szCs w:val="18"/>
        </w:rPr>
        <w:t>美元。</w:t>
      </w:r>
    </w:p>
  </w:footnote>
  <w:footnote w:id="6">
    <w:p w:rsidR="005C05C5" w:rsidRPr="00C31096" w:rsidRDefault="005C05C5" w:rsidP="005C05C5">
      <w:pPr>
        <w:pStyle w:val="FootnoteText"/>
        <w:tabs>
          <w:tab w:val="clear" w:pos="418"/>
          <w:tab w:val="right" w:pos="1195"/>
          <w:tab w:val="left" w:pos="1264"/>
          <w:tab w:val="left" w:pos="1695"/>
          <w:tab w:val="left" w:pos="2126"/>
          <w:tab w:val="left" w:pos="2557"/>
        </w:tabs>
        <w:ind w:left="1264" w:right="1264" w:hanging="432"/>
      </w:pPr>
      <w:r w:rsidRPr="00C31096">
        <w:rPr>
          <w:rStyle w:val="FootnoteText"/>
          <w:rFonts w:cs="SimSun"/>
          <w:color w:val="000000"/>
          <w:szCs w:val="18"/>
        </w:rPr>
        <w:tab/>
      </w:r>
      <w:r w:rsidRPr="0062779E">
        <w:rPr>
          <w:rStyle w:val="FootnoteText"/>
          <w:vertAlign w:val="superscript"/>
        </w:rPr>
        <w:footnoteRef/>
      </w:r>
      <w:r>
        <w:rPr>
          <w:rStyle w:val="FootnoteText"/>
          <w:rFonts w:cs="SimSun" w:hint="eastAsia"/>
          <w:color w:val="000000"/>
          <w:szCs w:val="18"/>
        </w:rPr>
        <w:tab/>
      </w:r>
      <w:r w:rsidRPr="0062779E">
        <w:rPr>
          <w:rStyle w:val="FootnoteText"/>
          <w:rFonts w:cs="SimSun"/>
          <w:color w:val="000000"/>
          <w:szCs w:val="18"/>
        </w:rPr>
        <w:t>家庭和社会政策部。</w:t>
      </w:r>
    </w:p>
  </w:footnote>
  <w:footnote w:id="7">
    <w:p w:rsidR="005C05C5" w:rsidRPr="00C31096" w:rsidRDefault="005C05C5" w:rsidP="005C05C5">
      <w:pPr>
        <w:pStyle w:val="FootnoteText"/>
        <w:tabs>
          <w:tab w:val="clear" w:pos="418"/>
          <w:tab w:val="right" w:pos="1195"/>
          <w:tab w:val="left" w:pos="1264"/>
          <w:tab w:val="left" w:pos="1695"/>
          <w:tab w:val="left" w:pos="2126"/>
          <w:tab w:val="left" w:pos="2557"/>
        </w:tabs>
        <w:ind w:left="1264" w:right="1264" w:hanging="432"/>
      </w:pPr>
      <w:r w:rsidRPr="00C31096">
        <w:rPr>
          <w:rStyle w:val="FootnoteText"/>
          <w:rFonts w:cs="SimSun"/>
          <w:color w:val="000000"/>
          <w:szCs w:val="18"/>
        </w:rPr>
        <w:tab/>
      </w:r>
      <w:r w:rsidRPr="00D009CC">
        <w:rPr>
          <w:rStyle w:val="FootnoteText"/>
          <w:vertAlign w:val="superscript"/>
        </w:rPr>
        <w:footnoteRef/>
      </w:r>
      <w:r w:rsidRPr="00C31096">
        <w:rPr>
          <w:rStyle w:val="FootnoteText"/>
          <w:rFonts w:cs="SimSun"/>
          <w:color w:val="000000"/>
          <w:szCs w:val="18"/>
        </w:rPr>
        <w:tab/>
      </w:r>
      <w:r w:rsidRPr="00D009CC">
        <w:rPr>
          <w:rStyle w:val="FootnoteText"/>
          <w:rFonts w:cs="SimSun"/>
          <w:color w:val="000000"/>
          <w:szCs w:val="18"/>
        </w:rPr>
        <w:t>该比例不包括国家情报机构秘书处、土耳其中央银行、土耳其农业银行、土耳其人民银行、地方政府工作人员以及土耳其武装部队士兵的人员情况。</w:t>
      </w:r>
    </w:p>
  </w:footnote>
  <w:footnote w:id="8">
    <w:p w:rsidR="005C05C5" w:rsidRPr="00C31096" w:rsidRDefault="005C05C5" w:rsidP="005C05C5">
      <w:pPr>
        <w:pStyle w:val="FootnoteText"/>
        <w:tabs>
          <w:tab w:val="clear" w:pos="418"/>
          <w:tab w:val="right" w:pos="1195"/>
          <w:tab w:val="left" w:pos="1264"/>
          <w:tab w:val="left" w:pos="1695"/>
          <w:tab w:val="left" w:pos="2126"/>
          <w:tab w:val="left" w:pos="2557"/>
        </w:tabs>
        <w:ind w:left="1264" w:right="1264" w:hanging="432"/>
      </w:pPr>
      <w:r w:rsidRPr="00C31096">
        <w:rPr>
          <w:rStyle w:val="FootnoteText"/>
          <w:rFonts w:cs="SimSun"/>
          <w:color w:val="000000"/>
          <w:szCs w:val="18"/>
        </w:rPr>
        <w:tab/>
      </w:r>
      <w:r w:rsidRPr="00C31096">
        <w:rPr>
          <w:rStyle w:val="FootnoteReference"/>
          <w:rFonts w:cs="SimSun"/>
          <w:color w:val="000000"/>
          <w:szCs w:val="18"/>
        </w:rPr>
        <w:footnoteRef/>
      </w:r>
      <w:r>
        <w:rPr>
          <w:rStyle w:val="FootnoteText"/>
          <w:rFonts w:cs="SimSun" w:hint="eastAsia"/>
          <w:color w:val="000000"/>
          <w:szCs w:val="18"/>
        </w:rPr>
        <w:tab/>
      </w:r>
      <w:r w:rsidRPr="00C31096">
        <w:rPr>
          <w:rStyle w:val="FootnoteText"/>
          <w:rFonts w:hAnsi="SimSun" w:cs="SimSun"/>
          <w:color w:val="000000"/>
          <w:szCs w:val="18"/>
        </w:rPr>
        <w:t>数据来自每五年开展一次的土耳其人口与健康研究。</w:t>
      </w:r>
      <w:r w:rsidRPr="00C31096">
        <w:rPr>
          <w:rStyle w:val="FootnoteText"/>
          <w:rFonts w:cs="SimSun"/>
          <w:color w:val="000000"/>
          <w:szCs w:val="18"/>
        </w:rPr>
        <w:t>2013</w:t>
      </w:r>
      <w:r w:rsidRPr="00C31096">
        <w:rPr>
          <w:rStyle w:val="FootnoteText"/>
          <w:rFonts w:hAnsi="SimSun" w:cs="SimSun"/>
          <w:color w:val="000000"/>
          <w:szCs w:val="18"/>
        </w:rPr>
        <w:t>年的调查结果仍未公布。</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8D6536" w:rsidTr="008D6536">
      <w:tblPrEx>
        <w:tblCellMar>
          <w:top w:w="0" w:type="dxa"/>
          <w:bottom w:w="0" w:type="dxa"/>
        </w:tblCellMar>
      </w:tblPrEx>
      <w:trPr>
        <w:trHeight w:hRule="exact" w:val="864"/>
      </w:trPr>
      <w:tc>
        <w:tcPr>
          <w:tcW w:w="4838" w:type="dxa"/>
          <w:shd w:val="clear" w:color="auto" w:fill="auto"/>
          <w:vAlign w:val="bottom"/>
        </w:tcPr>
        <w:p w:rsidR="008D6536" w:rsidRPr="008D6536" w:rsidRDefault="008D6536" w:rsidP="008D6536">
          <w:pPr>
            <w:pStyle w:val="Header"/>
            <w:spacing w:after="80"/>
            <w:jc w:val="left"/>
            <w:rPr>
              <w:b/>
              <w:sz w:val="17"/>
              <w:lang w:eastAsia="zh-CN"/>
            </w:rPr>
          </w:pPr>
          <w:fldSimple w:instr=" DOCVARIABLE &quot;sss1&quot; \* MERGEFORMAT ">
            <w:r w:rsidR="00E66ED6">
              <w:rPr>
                <w:b/>
                <w:sz w:val="17"/>
                <w:lang w:eastAsia="zh-CN"/>
              </w:rPr>
              <w:t>CEDAW/C/TUR/7</w:t>
            </w:r>
          </w:fldSimple>
        </w:p>
      </w:tc>
      <w:tc>
        <w:tcPr>
          <w:tcW w:w="5028" w:type="dxa"/>
          <w:shd w:val="clear" w:color="auto" w:fill="auto"/>
          <w:vAlign w:val="bottom"/>
        </w:tcPr>
        <w:p w:rsidR="008D6536" w:rsidRDefault="008D6536" w:rsidP="008D6536">
          <w:pPr>
            <w:pStyle w:val="Header"/>
            <w:rPr>
              <w:lang w:eastAsia="zh-CN"/>
            </w:rPr>
          </w:pPr>
        </w:p>
      </w:tc>
    </w:tr>
  </w:tbl>
  <w:p w:rsidR="008D6536" w:rsidRPr="008D6536" w:rsidRDefault="008D6536" w:rsidP="008D6536">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66" w:type="dxa"/>
      <w:tblBorders>
        <w:bottom w:val="single" w:sz="2" w:space="0" w:color="000000"/>
      </w:tblBorders>
      <w:tblLayout w:type="fixed"/>
      <w:tblCellMar>
        <w:left w:w="0" w:type="dxa"/>
        <w:right w:w="0" w:type="dxa"/>
      </w:tblCellMar>
      <w:tblLook w:val="0000"/>
    </w:tblPr>
    <w:tblGrid>
      <w:gridCol w:w="4838"/>
      <w:gridCol w:w="5028"/>
    </w:tblGrid>
    <w:tr w:rsidR="008D6536" w:rsidTr="008D6536">
      <w:tblPrEx>
        <w:tblCellMar>
          <w:top w:w="0" w:type="dxa"/>
          <w:bottom w:w="0" w:type="dxa"/>
        </w:tblCellMar>
      </w:tblPrEx>
      <w:trPr>
        <w:trHeight w:hRule="exact" w:val="864"/>
      </w:trPr>
      <w:tc>
        <w:tcPr>
          <w:tcW w:w="4838" w:type="dxa"/>
          <w:shd w:val="clear" w:color="auto" w:fill="auto"/>
          <w:vAlign w:val="bottom"/>
        </w:tcPr>
        <w:p w:rsidR="008D6536" w:rsidRDefault="008D6536" w:rsidP="008D6536">
          <w:pPr>
            <w:pStyle w:val="Header"/>
            <w:rPr>
              <w:lang w:eastAsia="zh-CN"/>
            </w:rPr>
          </w:pPr>
        </w:p>
      </w:tc>
      <w:tc>
        <w:tcPr>
          <w:tcW w:w="5028" w:type="dxa"/>
          <w:shd w:val="clear" w:color="auto" w:fill="auto"/>
          <w:vAlign w:val="bottom"/>
        </w:tcPr>
        <w:p w:rsidR="008D6536" w:rsidRPr="008D6536" w:rsidRDefault="008D6536" w:rsidP="008D6536">
          <w:pPr>
            <w:pStyle w:val="Header"/>
            <w:spacing w:after="80"/>
            <w:jc w:val="right"/>
            <w:rPr>
              <w:b/>
              <w:sz w:val="17"/>
              <w:lang w:eastAsia="zh-CN"/>
            </w:rPr>
          </w:pPr>
          <w:fldSimple w:instr=" DOCVARIABLE &quot;sss1&quot; \* MERGEFORMAT ">
            <w:r w:rsidR="00E66ED6">
              <w:rPr>
                <w:b/>
                <w:sz w:val="17"/>
                <w:lang w:eastAsia="zh-CN"/>
              </w:rPr>
              <w:t>CEDAW/C/TUR/7</w:t>
            </w:r>
          </w:fldSimple>
        </w:p>
      </w:tc>
    </w:tr>
  </w:tbl>
  <w:p w:rsidR="008D6536" w:rsidRPr="008D6536" w:rsidRDefault="008D6536" w:rsidP="008D6536">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1872"/>
      <w:gridCol w:w="245"/>
      <w:gridCol w:w="3110"/>
      <w:gridCol w:w="245"/>
      <w:gridCol w:w="3168"/>
      <w:gridCol w:w="12"/>
    </w:tblGrid>
    <w:tr w:rsidR="008D6536" w:rsidTr="008D6536">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D6536" w:rsidRDefault="008D6536" w:rsidP="008D6536">
          <w:pPr>
            <w:pStyle w:val="Header"/>
            <w:spacing w:after="120"/>
            <w:rPr>
              <w:lang w:eastAsia="zh-CN"/>
            </w:rPr>
          </w:pPr>
        </w:p>
      </w:tc>
      <w:tc>
        <w:tcPr>
          <w:tcW w:w="1872" w:type="dxa"/>
          <w:tcBorders>
            <w:bottom w:val="single" w:sz="4" w:space="0" w:color="auto"/>
          </w:tcBorders>
          <w:shd w:val="clear" w:color="auto" w:fill="auto"/>
          <w:vAlign w:val="bottom"/>
        </w:tcPr>
        <w:p w:rsidR="008D6536" w:rsidRPr="008D6536" w:rsidRDefault="008D6536" w:rsidP="008D6536">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8D6536" w:rsidRDefault="008D6536" w:rsidP="008D6536">
          <w:pPr>
            <w:pStyle w:val="Header"/>
            <w:spacing w:after="120"/>
            <w:rPr>
              <w:lang w:eastAsia="zh-CN"/>
            </w:rPr>
          </w:pPr>
        </w:p>
      </w:tc>
      <w:tc>
        <w:tcPr>
          <w:tcW w:w="6523" w:type="dxa"/>
          <w:gridSpan w:val="3"/>
          <w:tcBorders>
            <w:bottom w:val="single" w:sz="4" w:space="0" w:color="auto"/>
          </w:tcBorders>
          <w:shd w:val="clear" w:color="auto" w:fill="auto"/>
          <w:vAlign w:val="bottom"/>
        </w:tcPr>
        <w:p w:rsidR="008D6536" w:rsidRPr="008D6536" w:rsidRDefault="008D6536" w:rsidP="008D6536">
          <w:pPr>
            <w:spacing w:after="80" w:line="240" w:lineRule="auto"/>
            <w:jc w:val="right"/>
            <w:rPr>
              <w:position w:val="-4"/>
            </w:rPr>
          </w:pPr>
          <w:r>
            <w:rPr>
              <w:position w:val="-4"/>
              <w:sz w:val="40"/>
            </w:rPr>
            <w:t>CEDAW</w:t>
          </w:r>
          <w:r>
            <w:rPr>
              <w:position w:val="-4"/>
            </w:rPr>
            <w:t>/C/TUR/7</w:t>
          </w:r>
        </w:p>
      </w:tc>
    </w:tr>
    <w:tr w:rsidR="008D6536" w:rsidRPr="008D6536" w:rsidTr="008D6536">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D6536" w:rsidRPr="008D6536" w:rsidRDefault="008D6536" w:rsidP="008D6536">
          <w:pPr>
            <w:pStyle w:val="Header"/>
            <w:spacing w:before="109"/>
            <w:ind w:left="-72"/>
            <w:rPr>
              <w:lang w:eastAsia="zh-CN"/>
            </w:rPr>
          </w:pPr>
          <w:r>
            <w:rPr>
              <w:lang w:eastAsia="zh-CN"/>
            </w:rPr>
            <w:t xml:space="preserve"> </w:t>
          </w:r>
          <w:r>
            <w:rPr>
              <w:lang w:eastAsia="zh-CN"/>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tc>
      <w:tc>
        <w:tcPr>
          <w:tcW w:w="5227" w:type="dxa"/>
          <w:gridSpan w:val="3"/>
          <w:tcBorders>
            <w:top w:val="single" w:sz="4" w:space="0" w:color="auto"/>
            <w:bottom w:val="single" w:sz="12" w:space="0" w:color="auto"/>
          </w:tcBorders>
          <w:shd w:val="clear" w:color="auto" w:fill="auto"/>
        </w:tcPr>
        <w:p w:rsidR="008D6536" w:rsidRPr="008D6536" w:rsidRDefault="008D6536" w:rsidP="008D6536">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8D6536" w:rsidRPr="008D6536" w:rsidRDefault="008D6536" w:rsidP="008D6536">
          <w:pPr>
            <w:pStyle w:val="Header"/>
            <w:spacing w:before="109"/>
            <w:rPr>
              <w:lang w:eastAsia="zh-CN"/>
            </w:rPr>
          </w:pPr>
        </w:p>
      </w:tc>
      <w:tc>
        <w:tcPr>
          <w:tcW w:w="3180" w:type="dxa"/>
          <w:gridSpan w:val="2"/>
          <w:tcBorders>
            <w:top w:val="single" w:sz="4" w:space="0" w:color="auto"/>
            <w:bottom w:val="single" w:sz="12" w:space="0" w:color="auto"/>
          </w:tcBorders>
          <w:shd w:val="clear" w:color="auto" w:fill="auto"/>
        </w:tcPr>
        <w:p w:rsidR="008D6536" w:rsidRDefault="008D6536" w:rsidP="008D6536">
          <w:pPr>
            <w:pStyle w:val="Distr"/>
          </w:pPr>
          <w:r>
            <w:t>Distr.: General</w:t>
          </w:r>
        </w:p>
        <w:p w:rsidR="008D6536" w:rsidRDefault="008D6536" w:rsidP="008D6536">
          <w:pPr>
            <w:pStyle w:val="Publication"/>
          </w:pPr>
          <w:r>
            <w:t>9 December 2014</w:t>
          </w:r>
        </w:p>
        <w:p w:rsidR="008D6536" w:rsidRDefault="008D6536" w:rsidP="008D6536">
          <w:pPr>
            <w:spacing w:line="240" w:lineRule="exact"/>
          </w:pPr>
          <w:r>
            <w:t>Chinese</w:t>
          </w:r>
        </w:p>
        <w:p w:rsidR="008D6536" w:rsidRDefault="008D6536" w:rsidP="008D6536">
          <w:pPr>
            <w:pStyle w:val="Original"/>
          </w:pPr>
          <w:r>
            <w:t>Original: English</w:t>
          </w:r>
        </w:p>
        <w:p w:rsidR="008D6536" w:rsidRPr="008D6536" w:rsidRDefault="008D6536" w:rsidP="008D6536"/>
      </w:tc>
    </w:tr>
  </w:tbl>
  <w:p w:rsidR="008D6536" w:rsidRPr="008D6536" w:rsidRDefault="008D6536" w:rsidP="008D6536">
    <w:pPr>
      <w:pStyle w:val="Header"/>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4">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5">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4"/>
  </w:num>
  <w:num w:numId="4">
    <w:abstractNumId w:val="8"/>
  </w:num>
  <w:num w:numId="5">
    <w:abstractNumId w:val="5"/>
  </w:num>
  <w:num w:numId="6">
    <w:abstractNumId w:val="7"/>
  </w:num>
  <w:num w:numId="7">
    <w:abstractNumId w:val="6"/>
  </w:num>
  <w:num w:numId="8">
    <w:abstractNumId w:val="3"/>
  </w:num>
  <w:num w:numId="9">
    <w:abstractNumId w:val="2"/>
  </w:num>
  <w:num w:numId="10">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stylePaneFormatFilter w:val="3F01"/>
  <w:revisionView w:markup="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o:shapelayout v:ext="edit">
      <o:idmap v:ext="edit" data="2"/>
    </o:shapelayout>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760*"/>
    <w:docVar w:name="CreationDt" w:val="01/04/2015 09:10:37"/>
    <w:docVar w:name="DocCategory" w:val="Doc"/>
    <w:docVar w:name="DocType" w:val="Final"/>
    <w:docVar w:name="DutyStation" w:val="New York"/>
    <w:docVar w:name="FooterJN" w:val="14-66760 (C)"/>
    <w:docVar w:name="jobn" w:val="14-66760 (C)"/>
    <w:docVar w:name="jobnDT" w:val="14-66760 (C)   010415"/>
    <w:docVar w:name="jobnDTDT" w:val="14-66760 (C)   010415   010415"/>
    <w:docVar w:name="JobNo" w:val="1466760C"/>
    <w:docVar w:name="OandT" w:val="ji sx"/>
    <w:docVar w:name="PaperSize" w:val="Letter"/>
    <w:docVar w:name="sss1" w:val="CEDAW/C/TUR/7"/>
    <w:docVar w:name="sss2" w:val="-"/>
    <w:docVar w:name="Symbol1" w:val="CEDAW/C/TUR/7"/>
    <w:docVar w:name="Symbol2" w:val="-"/>
  </w:docVars>
  <w:rsids>
    <w:rsidRoot w:val="008B4B5E"/>
    <w:rsid w:val="00000689"/>
    <w:rsid w:val="0000347C"/>
    <w:rsid w:val="0000715A"/>
    <w:rsid w:val="000101C8"/>
    <w:rsid w:val="000125BC"/>
    <w:rsid w:val="0001645E"/>
    <w:rsid w:val="0001726F"/>
    <w:rsid w:val="00021314"/>
    <w:rsid w:val="00021A2B"/>
    <w:rsid w:val="00024E72"/>
    <w:rsid w:val="00034465"/>
    <w:rsid w:val="000366AA"/>
    <w:rsid w:val="00036AA2"/>
    <w:rsid w:val="00036F1B"/>
    <w:rsid w:val="00037444"/>
    <w:rsid w:val="00037B39"/>
    <w:rsid w:val="00044CA4"/>
    <w:rsid w:val="00044EE9"/>
    <w:rsid w:val="00045EFE"/>
    <w:rsid w:val="00054631"/>
    <w:rsid w:val="00056952"/>
    <w:rsid w:val="0006608A"/>
    <w:rsid w:val="00066B28"/>
    <w:rsid w:val="00067AEB"/>
    <w:rsid w:val="0007337D"/>
    <w:rsid w:val="00074771"/>
    <w:rsid w:val="000758DF"/>
    <w:rsid w:val="00076EB8"/>
    <w:rsid w:val="000777FC"/>
    <w:rsid w:val="00077AEE"/>
    <w:rsid w:val="00082CCB"/>
    <w:rsid w:val="00083560"/>
    <w:rsid w:val="00083CAB"/>
    <w:rsid w:val="000863AD"/>
    <w:rsid w:val="00095C67"/>
    <w:rsid w:val="000A31F9"/>
    <w:rsid w:val="000C1786"/>
    <w:rsid w:val="000C4C08"/>
    <w:rsid w:val="000C4DDE"/>
    <w:rsid w:val="000C5208"/>
    <w:rsid w:val="000D32BA"/>
    <w:rsid w:val="000E240F"/>
    <w:rsid w:val="000E49A4"/>
    <w:rsid w:val="000F1058"/>
    <w:rsid w:val="000F55DC"/>
    <w:rsid w:val="00101C4E"/>
    <w:rsid w:val="00101D5B"/>
    <w:rsid w:val="00101F86"/>
    <w:rsid w:val="001035D8"/>
    <w:rsid w:val="001113F8"/>
    <w:rsid w:val="00114578"/>
    <w:rsid w:val="00114C03"/>
    <w:rsid w:val="00114F57"/>
    <w:rsid w:val="001212F9"/>
    <w:rsid w:val="00121328"/>
    <w:rsid w:val="00124677"/>
    <w:rsid w:val="001267BE"/>
    <w:rsid w:val="0012708E"/>
    <w:rsid w:val="00130EE5"/>
    <w:rsid w:val="00131015"/>
    <w:rsid w:val="001329F7"/>
    <w:rsid w:val="0014121B"/>
    <w:rsid w:val="00141322"/>
    <w:rsid w:val="0015066B"/>
    <w:rsid w:val="00150D3A"/>
    <w:rsid w:val="00153D29"/>
    <w:rsid w:val="001602C9"/>
    <w:rsid w:val="00161E69"/>
    <w:rsid w:val="00161F54"/>
    <w:rsid w:val="00164626"/>
    <w:rsid w:val="00170FBE"/>
    <w:rsid w:val="001720CC"/>
    <w:rsid w:val="00173F4B"/>
    <w:rsid w:val="00174233"/>
    <w:rsid w:val="001746A8"/>
    <w:rsid w:val="0017506F"/>
    <w:rsid w:val="00187208"/>
    <w:rsid w:val="001873A2"/>
    <w:rsid w:val="001944A4"/>
    <w:rsid w:val="001A4A37"/>
    <w:rsid w:val="001B0DFD"/>
    <w:rsid w:val="001B2814"/>
    <w:rsid w:val="001B4F95"/>
    <w:rsid w:val="001C1478"/>
    <w:rsid w:val="001C161F"/>
    <w:rsid w:val="001C3329"/>
    <w:rsid w:val="001C3F7F"/>
    <w:rsid w:val="001C5166"/>
    <w:rsid w:val="001D0354"/>
    <w:rsid w:val="001D225C"/>
    <w:rsid w:val="001D3F72"/>
    <w:rsid w:val="001D41AE"/>
    <w:rsid w:val="001E0ADA"/>
    <w:rsid w:val="001E20EC"/>
    <w:rsid w:val="001E340C"/>
    <w:rsid w:val="001E4442"/>
    <w:rsid w:val="001E5A51"/>
    <w:rsid w:val="001F03A7"/>
    <w:rsid w:val="001F2F76"/>
    <w:rsid w:val="001F6F25"/>
    <w:rsid w:val="00203760"/>
    <w:rsid w:val="00207135"/>
    <w:rsid w:val="00212008"/>
    <w:rsid w:val="002145EA"/>
    <w:rsid w:val="00221884"/>
    <w:rsid w:val="0022603B"/>
    <w:rsid w:val="00230FAB"/>
    <w:rsid w:val="00231575"/>
    <w:rsid w:val="00232F4A"/>
    <w:rsid w:val="00241DB7"/>
    <w:rsid w:val="002423D2"/>
    <w:rsid w:val="00247382"/>
    <w:rsid w:val="00252E35"/>
    <w:rsid w:val="00254858"/>
    <w:rsid w:val="00254B46"/>
    <w:rsid w:val="00255FC4"/>
    <w:rsid w:val="00257053"/>
    <w:rsid w:val="00260C62"/>
    <w:rsid w:val="00263B7B"/>
    <w:rsid w:val="00266257"/>
    <w:rsid w:val="00271BE6"/>
    <w:rsid w:val="00273391"/>
    <w:rsid w:val="0027454D"/>
    <w:rsid w:val="0027574F"/>
    <w:rsid w:val="00277AAE"/>
    <w:rsid w:val="00280671"/>
    <w:rsid w:val="002814F9"/>
    <w:rsid w:val="00282D17"/>
    <w:rsid w:val="00286AD1"/>
    <w:rsid w:val="00290382"/>
    <w:rsid w:val="0029111A"/>
    <w:rsid w:val="002A4AEF"/>
    <w:rsid w:val="002A5E53"/>
    <w:rsid w:val="002B305F"/>
    <w:rsid w:val="002B564F"/>
    <w:rsid w:val="002B5F5D"/>
    <w:rsid w:val="002B62ED"/>
    <w:rsid w:val="002C2254"/>
    <w:rsid w:val="002C3BC9"/>
    <w:rsid w:val="002C54DB"/>
    <w:rsid w:val="002D039F"/>
    <w:rsid w:val="002D0694"/>
    <w:rsid w:val="002D0B62"/>
    <w:rsid w:val="002D4ACE"/>
    <w:rsid w:val="002D5503"/>
    <w:rsid w:val="002D65A8"/>
    <w:rsid w:val="002D76B6"/>
    <w:rsid w:val="002E66D5"/>
    <w:rsid w:val="002F41E2"/>
    <w:rsid w:val="002F746E"/>
    <w:rsid w:val="003063F6"/>
    <w:rsid w:val="00320C99"/>
    <w:rsid w:val="003274A9"/>
    <w:rsid w:val="003305F1"/>
    <w:rsid w:val="00331221"/>
    <w:rsid w:val="00346223"/>
    <w:rsid w:val="00346C74"/>
    <w:rsid w:val="00350AE6"/>
    <w:rsid w:val="00355510"/>
    <w:rsid w:val="00363610"/>
    <w:rsid w:val="003649EE"/>
    <w:rsid w:val="00371BC6"/>
    <w:rsid w:val="00373A15"/>
    <w:rsid w:val="00376C04"/>
    <w:rsid w:val="00383ACA"/>
    <w:rsid w:val="00384CB1"/>
    <w:rsid w:val="003869FA"/>
    <w:rsid w:val="00394A02"/>
    <w:rsid w:val="003966E8"/>
    <w:rsid w:val="003A1C26"/>
    <w:rsid w:val="003A7B88"/>
    <w:rsid w:val="003C1B27"/>
    <w:rsid w:val="003C448D"/>
    <w:rsid w:val="003C7B20"/>
    <w:rsid w:val="003D075F"/>
    <w:rsid w:val="003D5B4D"/>
    <w:rsid w:val="003E4565"/>
    <w:rsid w:val="003E5999"/>
    <w:rsid w:val="003E748F"/>
    <w:rsid w:val="003E7612"/>
    <w:rsid w:val="003F4BD2"/>
    <w:rsid w:val="003F7BF8"/>
    <w:rsid w:val="004044EF"/>
    <w:rsid w:val="00413FBC"/>
    <w:rsid w:val="00414423"/>
    <w:rsid w:val="0041733F"/>
    <w:rsid w:val="00420761"/>
    <w:rsid w:val="00433853"/>
    <w:rsid w:val="00440B0D"/>
    <w:rsid w:val="004411AD"/>
    <w:rsid w:val="004424EF"/>
    <w:rsid w:val="00453BB0"/>
    <w:rsid w:val="00460162"/>
    <w:rsid w:val="004620A8"/>
    <w:rsid w:val="0046458E"/>
    <w:rsid w:val="00466BB5"/>
    <w:rsid w:val="004700CF"/>
    <w:rsid w:val="00474C34"/>
    <w:rsid w:val="004821D0"/>
    <w:rsid w:val="00483BDA"/>
    <w:rsid w:val="00487444"/>
    <w:rsid w:val="00493C9C"/>
    <w:rsid w:val="004955C1"/>
    <w:rsid w:val="00495C7E"/>
    <w:rsid w:val="0049799B"/>
    <w:rsid w:val="004A06D1"/>
    <w:rsid w:val="004A11FC"/>
    <w:rsid w:val="004A1D1E"/>
    <w:rsid w:val="004B2C67"/>
    <w:rsid w:val="004B4F06"/>
    <w:rsid w:val="004C0224"/>
    <w:rsid w:val="004C053E"/>
    <w:rsid w:val="004C089F"/>
    <w:rsid w:val="004C3255"/>
    <w:rsid w:val="004C3BAA"/>
    <w:rsid w:val="004D07E1"/>
    <w:rsid w:val="004D1C19"/>
    <w:rsid w:val="004E4081"/>
    <w:rsid w:val="004E739A"/>
    <w:rsid w:val="004F29B8"/>
    <w:rsid w:val="004F3649"/>
    <w:rsid w:val="004F4BBB"/>
    <w:rsid w:val="004F4EFB"/>
    <w:rsid w:val="004F5333"/>
    <w:rsid w:val="004F5E26"/>
    <w:rsid w:val="0050413E"/>
    <w:rsid w:val="00510AEA"/>
    <w:rsid w:val="00512841"/>
    <w:rsid w:val="00515657"/>
    <w:rsid w:val="0051592B"/>
    <w:rsid w:val="00521275"/>
    <w:rsid w:val="0052216F"/>
    <w:rsid w:val="00523247"/>
    <w:rsid w:val="005232CA"/>
    <w:rsid w:val="00523636"/>
    <w:rsid w:val="00530CBB"/>
    <w:rsid w:val="0053111B"/>
    <w:rsid w:val="005335B9"/>
    <w:rsid w:val="00536CCE"/>
    <w:rsid w:val="00537F92"/>
    <w:rsid w:val="00542636"/>
    <w:rsid w:val="00545A99"/>
    <w:rsid w:val="00547EC6"/>
    <w:rsid w:val="00552CE5"/>
    <w:rsid w:val="005541E4"/>
    <w:rsid w:val="00554F60"/>
    <w:rsid w:val="00562B21"/>
    <w:rsid w:val="00562FE7"/>
    <w:rsid w:val="00564EAA"/>
    <w:rsid w:val="0057094A"/>
    <w:rsid w:val="00570BD4"/>
    <w:rsid w:val="00572790"/>
    <w:rsid w:val="0057450D"/>
    <w:rsid w:val="0058302A"/>
    <w:rsid w:val="00585A6B"/>
    <w:rsid w:val="005A175A"/>
    <w:rsid w:val="005A7200"/>
    <w:rsid w:val="005B04F3"/>
    <w:rsid w:val="005B1476"/>
    <w:rsid w:val="005B1D3C"/>
    <w:rsid w:val="005B3B9A"/>
    <w:rsid w:val="005B4497"/>
    <w:rsid w:val="005B6C71"/>
    <w:rsid w:val="005B7338"/>
    <w:rsid w:val="005C02AB"/>
    <w:rsid w:val="005C05C5"/>
    <w:rsid w:val="005C5FC3"/>
    <w:rsid w:val="005D0F04"/>
    <w:rsid w:val="005D2204"/>
    <w:rsid w:val="005D680F"/>
    <w:rsid w:val="005F12F0"/>
    <w:rsid w:val="005F1AAD"/>
    <w:rsid w:val="005F3273"/>
    <w:rsid w:val="005F34A3"/>
    <w:rsid w:val="00601DF9"/>
    <w:rsid w:val="00602C6C"/>
    <w:rsid w:val="006107DE"/>
    <w:rsid w:val="00610CF2"/>
    <w:rsid w:val="00615A9C"/>
    <w:rsid w:val="00617802"/>
    <w:rsid w:val="006328DE"/>
    <w:rsid w:val="006353DE"/>
    <w:rsid w:val="00640671"/>
    <w:rsid w:val="006432CB"/>
    <w:rsid w:val="006479F1"/>
    <w:rsid w:val="0065055D"/>
    <w:rsid w:val="00650BEE"/>
    <w:rsid w:val="006520FA"/>
    <w:rsid w:val="0065377D"/>
    <w:rsid w:val="00661120"/>
    <w:rsid w:val="00666F57"/>
    <w:rsid w:val="006740A7"/>
    <w:rsid w:val="006767D5"/>
    <w:rsid w:val="00691524"/>
    <w:rsid w:val="006926DF"/>
    <w:rsid w:val="006A5CFB"/>
    <w:rsid w:val="006A654B"/>
    <w:rsid w:val="006B769C"/>
    <w:rsid w:val="006C4BB3"/>
    <w:rsid w:val="006D4068"/>
    <w:rsid w:val="006E2924"/>
    <w:rsid w:val="006E7A26"/>
    <w:rsid w:val="006F04EF"/>
    <w:rsid w:val="006F2B3D"/>
    <w:rsid w:val="006F6A4F"/>
    <w:rsid w:val="006F761A"/>
    <w:rsid w:val="006F7749"/>
    <w:rsid w:val="007016DF"/>
    <w:rsid w:val="007038D4"/>
    <w:rsid w:val="00704287"/>
    <w:rsid w:val="007052CC"/>
    <w:rsid w:val="00715C4B"/>
    <w:rsid w:val="00722965"/>
    <w:rsid w:val="00724400"/>
    <w:rsid w:val="007319E0"/>
    <w:rsid w:val="00731FBF"/>
    <w:rsid w:val="007328A2"/>
    <w:rsid w:val="00732A10"/>
    <w:rsid w:val="007345AA"/>
    <w:rsid w:val="00735C21"/>
    <w:rsid w:val="00737B00"/>
    <w:rsid w:val="00747DB4"/>
    <w:rsid w:val="0075155C"/>
    <w:rsid w:val="00753A05"/>
    <w:rsid w:val="0075586B"/>
    <w:rsid w:val="00757193"/>
    <w:rsid w:val="007606E1"/>
    <w:rsid w:val="00761190"/>
    <w:rsid w:val="00766FD7"/>
    <w:rsid w:val="00770BE9"/>
    <w:rsid w:val="00774DE5"/>
    <w:rsid w:val="00776537"/>
    <w:rsid w:val="00780C90"/>
    <w:rsid w:val="00783A25"/>
    <w:rsid w:val="007843DB"/>
    <w:rsid w:val="007877F4"/>
    <w:rsid w:val="007B2492"/>
    <w:rsid w:val="007B394B"/>
    <w:rsid w:val="007B6BAE"/>
    <w:rsid w:val="007C5623"/>
    <w:rsid w:val="007C6FC5"/>
    <w:rsid w:val="007C74B9"/>
    <w:rsid w:val="007D441A"/>
    <w:rsid w:val="007D4E7D"/>
    <w:rsid w:val="007D518C"/>
    <w:rsid w:val="007E0D70"/>
    <w:rsid w:val="007E1B5E"/>
    <w:rsid w:val="007E6253"/>
    <w:rsid w:val="007F2278"/>
    <w:rsid w:val="00803014"/>
    <w:rsid w:val="00805783"/>
    <w:rsid w:val="00806CEF"/>
    <w:rsid w:val="00806F57"/>
    <w:rsid w:val="00806F90"/>
    <w:rsid w:val="00814156"/>
    <w:rsid w:val="00815AB6"/>
    <w:rsid w:val="008246FC"/>
    <w:rsid w:val="00824C19"/>
    <w:rsid w:val="00826250"/>
    <w:rsid w:val="0083056F"/>
    <w:rsid w:val="008378D1"/>
    <w:rsid w:val="00843C13"/>
    <w:rsid w:val="00846462"/>
    <w:rsid w:val="00847383"/>
    <w:rsid w:val="00860742"/>
    <w:rsid w:val="0086691F"/>
    <w:rsid w:val="00872730"/>
    <w:rsid w:val="00883DB0"/>
    <w:rsid w:val="008843BC"/>
    <w:rsid w:val="00884C8F"/>
    <w:rsid w:val="008927AD"/>
    <w:rsid w:val="00896D38"/>
    <w:rsid w:val="008A0216"/>
    <w:rsid w:val="008A0650"/>
    <w:rsid w:val="008A1208"/>
    <w:rsid w:val="008B0240"/>
    <w:rsid w:val="008B0349"/>
    <w:rsid w:val="008B1481"/>
    <w:rsid w:val="008B4B5E"/>
    <w:rsid w:val="008B5DE8"/>
    <w:rsid w:val="008C076B"/>
    <w:rsid w:val="008C3296"/>
    <w:rsid w:val="008C3413"/>
    <w:rsid w:val="008D6536"/>
    <w:rsid w:val="008E2C22"/>
    <w:rsid w:val="008E2D03"/>
    <w:rsid w:val="008E7BDF"/>
    <w:rsid w:val="008F2BB5"/>
    <w:rsid w:val="008F425D"/>
    <w:rsid w:val="008F43E4"/>
    <w:rsid w:val="008F5472"/>
    <w:rsid w:val="008F5D0F"/>
    <w:rsid w:val="00907874"/>
    <w:rsid w:val="009122E0"/>
    <w:rsid w:val="00913351"/>
    <w:rsid w:val="009248ED"/>
    <w:rsid w:val="009264B1"/>
    <w:rsid w:val="00946C87"/>
    <w:rsid w:val="00957134"/>
    <w:rsid w:val="0096193C"/>
    <w:rsid w:val="009769E1"/>
    <w:rsid w:val="00977E0D"/>
    <w:rsid w:val="00982D5C"/>
    <w:rsid w:val="00986132"/>
    <w:rsid w:val="00986C04"/>
    <w:rsid w:val="009932F9"/>
    <w:rsid w:val="009A11E3"/>
    <w:rsid w:val="009A2F76"/>
    <w:rsid w:val="009B1250"/>
    <w:rsid w:val="009B378F"/>
    <w:rsid w:val="009C600E"/>
    <w:rsid w:val="009C7B18"/>
    <w:rsid w:val="009D00AA"/>
    <w:rsid w:val="009D0B10"/>
    <w:rsid w:val="009D2AC2"/>
    <w:rsid w:val="009D7982"/>
    <w:rsid w:val="009E1774"/>
    <w:rsid w:val="009E2668"/>
    <w:rsid w:val="009E40A3"/>
    <w:rsid w:val="009E5C8C"/>
    <w:rsid w:val="009F10B1"/>
    <w:rsid w:val="009F3D89"/>
    <w:rsid w:val="009F47E3"/>
    <w:rsid w:val="009F6938"/>
    <w:rsid w:val="00A0537D"/>
    <w:rsid w:val="00A055AB"/>
    <w:rsid w:val="00A069AD"/>
    <w:rsid w:val="00A171EB"/>
    <w:rsid w:val="00A17A85"/>
    <w:rsid w:val="00A20856"/>
    <w:rsid w:val="00A24399"/>
    <w:rsid w:val="00A24CA5"/>
    <w:rsid w:val="00A252DF"/>
    <w:rsid w:val="00A27E35"/>
    <w:rsid w:val="00A33D4D"/>
    <w:rsid w:val="00A33D6D"/>
    <w:rsid w:val="00A37345"/>
    <w:rsid w:val="00A40AAE"/>
    <w:rsid w:val="00A40EA9"/>
    <w:rsid w:val="00A4532A"/>
    <w:rsid w:val="00A46BEE"/>
    <w:rsid w:val="00A46E28"/>
    <w:rsid w:val="00A5206D"/>
    <w:rsid w:val="00A55E9E"/>
    <w:rsid w:val="00A635A7"/>
    <w:rsid w:val="00A652D9"/>
    <w:rsid w:val="00A72E47"/>
    <w:rsid w:val="00A74DBA"/>
    <w:rsid w:val="00A750A5"/>
    <w:rsid w:val="00A778F1"/>
    <w:rsid w:val="00A90956"/>
    <w:rsid w:val="00A95404"/>
    <w:rsid w:val="00A968C5"/>
    <w:rsid w:val="00AA3C28"/>
    <w:rsid w:val="00AA65E5"/>
    <w:rsid w:val="00AA759D"/>
    <w:rsid w:val="00AB2786"/>
    <w:rsid w:val="00AB5BEE"/>
    <w:rsid w:val="00AC373F"/>
    <w:rsid w:val="00AC4A28"/>
    <w:rsid w:val="00AC550F"/>
    <w:rsid w:val="00AD4308"/>
    <w:rsid w:val="00AE6C5D"/>
    <w:rsid w:val="00AF021F"/>
    <w:rsid w:val="00AF114B"/>
    <w:rsid w:val="00AF2A33"/>
    <w:rsid w:val="00AF4C2D"/>
    <w:rsid w:val="00B014C7"/>
    <w:rsid w:val="00B03EFA"/>
    <w:rsid w:val="00B16C8C"/>
    <w:rsid w:val="00B171E7"/>
    <w:rsid w:val="00B176AD"/>
    <w:rsid w:val="00B309DD"/>
    <w:rsid w:val="00B31E9D"/>
    <w:rsid w:val="00B3574C"/>
    <w:rsid w:val="00B36621"/>
    <w:rsid w:val="00B36D64"/>
    <w:rsid w:val="00B412C8"/>
    <w:rsid w:val="00B41B48"/>
    <w:rsid w:val="00B425CC"/>
    <w:rsid w:val="00B42711"/>
    <w:rsid w:val="00B43CAA"/>
    <w:rsid w:val="00B509DC"/>
    <w:rsid w:val="00B5567C"/>
    <w:rsid w:val="00B55E1D"/>
    <w:rsid w:val="00B56194"/>
    <w:rsid w:val="00B60F41"/>
    <w:rsid w:val="00B61A34"/>
    <w:rsid w:val="00B62FDC"/>
    <w:rsid w:val="00B64E8E"/>
    <w:rsid w:val="00B65E8B"/>
    <w:rsid w:val="00B677A0"/>
    <w:rsid w:val="00B7141E"/>
    <w:rsid w:val="00B75C92"/>
    <w:rsid w:val="00B8025A"/>
    <w:rsid w:val="00B827B1"/>
    <w:rsid w:val="00B9116F"/>
    <w:rsid w:val="00B9408D"/>
    <w:rsid w:val="00B94698"/>
    <w:rsid w:val="00BB23A4"/>
    <w:rsid w:val="00BB6332"/>
    <w:rsid w:val="00BC0F5C"/>
    <w:rsid w:val="00BC2276"/>
    <w:rsid w:val="00BD1B08"/>
    <w:rsid w:val="00BD1BFF"/>
    <w:rsid w:val="00BD2150"/>
    <w:rsid w:val="00BE1CC3"/>
    <w:rsid w:val="00BE1CDE"/>
    <w:rsid w:val="00BE365A"/>
    <w:rsid w:val="00BE47C4"/>
    <w:rsid w:val="00BE50EF"/>
    <w:rsid w:val="00C052A2"/>
    <w:rsid w:val="00C06A4A"/>
    <w:rsid w:val="00C131AA"/>
    <w:rsid w:val="00C1391A"/>
    <w:rsid w:val="00C14CE6"/>
    <w:rsid w:val="00C15218"/>
    <w:rsid w:val="00C21D51"/>
    <w:rsid w:val="00C22BB2"/>
    <w:rsid w:val="00C22F76"/>
    <w:rsid w:val="00C2725D"/>
    <w:rsid w:val="00C31771"/>
    <w:rsid w:val="00C31E79"/>
    <w:rsid w:val="00C403C9"/>
    <w:rsid w:val="00C42033"/>
    <w:rsid w:val="00C464DD"/>
    <w:rsid w:val="00C52423"/>
    <w:rsid w:val="00C53A40"/>
    <w:rsid w:val="00C60D8E"/>
    <w:rsid w:val="00C62EF9"/>
    <w:rsid w:val="00C650F5"/>
    <w:rsid w:val="00C672B6"/>
    <w:rsid w:val="00C75600"/>
    <w:rsid w:val="00C76854"/>
    <w:rsid w:val="00C847BD"/>
    <w:rsid w:val="00C900C5"/>
    <w:rsid w:val="00C92AE0"/>
    <w:rsid w:val="00C93BC6"/>
    <w:rsid w:val="00C943B4"/>
    <w:rsid w:val="00CA2BB0"/>
    <w:rsid w:val="00CA450F"/>
    <w:rsid w:val="00CA4BBC"/>
    <w:rsid w:val="00CA7E8C"/>
    <w:rsid w:val="00CB298A"/>
    <w:rsid w:val="00CB2B1E"/>
    <w:rsid w:val="00CC053E"/>
    <w:rsid w:val="00CC05C5"/>
    <w:rsid w:val="00CC1E2C"/>
    <w:rsid w:val="00CC213B"/>
    <w:rsid w:val="00CC3E8B"/>
    <w:rsid w:val="00CC4E84"/>
    <w:rsid w:val="00CD5641"/>
    <w:rsid w:val="00CE11A2"/>
    <w:rsid w:val="00CE1F38"/>
    <w:rsid w:val="00CE474E"/>
    <w:rsid w:val="00CE4CEF"/>
    <w:rsid w:val="00CE64AC"/>
    <w:rsid w:val="00CE7DFC"/>
    <w:rsid w:val="00CF02D3"/>
    <w:rsid w:val="00CF060B"/>
    <w:rsid w:val="00CF1FCA"/>
    <w:rsid w:val="00CF49BA"/>
    <w:rsid w:val="00CF7718"/>
    <w:rsid w:val="00D0701A"/>
    <w:rsid w:val="00D10888"/>
    <w:rsid w:val="00D177F1"/>
    <w:rsid w:val="00D21209"/>
    <w:rsid w:val="00D22A31"/>
    <w:rsid w:val="00D24E82"/>
    <w:rsid w:val="00D25E6B"/>
    <w:rsid w:val="00D26510"/>
    <w:rsid w:val="00D32015"/>
    <w:rsid w:val="00D323B5"/>
    <w:rsid w:val="00D42ACC"/>
    <w:rsid w:val="00D46BC5"/>
    <w:rsid w:val="00D51DC5"/>
    <w:rsid w:val="00D53449"/>
    <w:rsid w:val="00D5525A"/>
    <w:rsid w:val="00D613E0"/>
    <w:rsid w:val="00D676D7"/>
    <w:rsid w:val="00D71517"/>
    <w:rsid w:val="00D7168D"/>
    <w:rsid w:val="00D83D1B"/>
    <w:rsid w:val="00D86A32"/>
    <w:rsid w:val="00D874E1"/>
    <w:rsid w:val="00D950BE"/>
    <w:rsid w:val="00D9586D"/>
    <w:rsid w:val="00D95A8C"/>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F5B53"/>
    <w:rsid w:val="00DF742A"/>
    <w:rsid w:val="00E041F4"/>
    <w:rsid w:val="00E050BA"/>
    <w:rsid w:val="00E076AC"/>
    <w:rsid w:val="00E15934"/>
    <w:rsid w:val="00E16A6B"/>
    <w:rsid w:val="00E21275"/>
    <w:rsid w:val="00E25442"/>
    <w:rsid w:val="00E25A1F"/>
    <w:rsid w:val="00E34E6A"/>
    <w:rsid w:val="00E35B72"/>
    <w:rsid w:val="00E37B54"/>
    <w:rsid w:val="00E37EEB"/>
    <w:rsid w:val="00E440B3"/>
    <w:rsid w:val="00E5153D"/>
    <w:rsid w:val="00E56B5D"/>
    <w:rsid w:val="00E63A20"/>
    <w:rsid w:val="00E66265"/>
    <w:rsid w:val="00E66ED6"/>
    <w:rsid w:val="00E710FB"/>
    <w:rsid w:val="00E73CC9"/>
    <w:rsid w:val="00E75847"/>
    <w:rsid w:val="00E76FCC"/>
    <w:rsid w:val="00E80528"/>
    <w:rsid w:val="00E806D9"/>
    <w:rsid w:val="00E816C7"/>
    <w:rsid w:val="00E82CA2"/>
    <w:rsid w:val="00E94E5A"/>
    <w:rsid w:val="00E95594"/>
    <w:rsid w:val="00E95A55"/>
    <w:rsid w:val="00EA31C3"/>
    <w:rsid w:val="00EB33AC"/>
    <w:rsid w:val="00EC25DE"/>
    <w:rsid w:val="00EC669D"/>
    <w:rsid w:val="00EC6F21"/>
    <w:rsid w:val="00ED2D39"/>
    <w:rsid w:val="00ED537E"/>
    <w:rsid w:val="00EE0913"/>
    <w:rsid w:val="00EF23C4"/>
    <w:rsid w:val="00EF2DB0"/>
    <w:rsid w:val="00EF36AA"/>
    <w:rsid w:val="00EF695D"/>
    <w:rsid w:val="00F01440"/>
    <w:rsid w:val="00F020E7"/>
    <w:rsid w:val="00F03676"/>
    <w:rsid w:val="00F04C64"/>
    <w:rsid w:val="00F057A4"/>
    <w:rsid w:val="00F13305"/>
    <w:rsid w:val="00F3596A"/>
    <w:rsid w:val="00F40463"/>
    <w:rsid w:val="00F44A01"/>
    <w:rsid w:val="00F50336"/>
    <w:rsid w:val="00F55E5B"/>
    <w:rsid w:val="00F569BC"/>
    <w:rsid w:val="00F62E3F"/>
    <w:rsid w:val="00F66E5C"/>
    <w:rsid w:val="00F67F90"/>
    <w:rsid w:val="00F708D7"/>
    <w:rsid w:val="00F77B3E"/>
    <w:rsid w:val="00F833CB"/>
    <w:rsid w:val="00F87754"/>
    <w:rsid w:val="00F90A4B"/>
    <w:rsid w:val="00F90C56"/>
    <w:rsid w:val="00F94B3C"/>
    <w:rsid w:val="00FA7A95"/>
    <w:rsid w:val="00FB089D"/>
    <w:rsid w:val="00FB282B"/>
    <w:rsid w:val="00FC1CE4"/>
    <w:rsid w:val="00FD4C0F"/>
    <w:rsid w:val="00FD594E"/>
    <w:rsid w:val="00FD6983"/>
    <w:rsid w:val="00FD75B9"/>
    <w:rsid w:val="00FE0315"/>
    <w:rsid w:val="00FE1E08"/>
    <w:rsid w:val="00FE5FE8"/>
    <w:rsid w:val="00FF3563"/>
    <w:rsid w:val="00FF5B08"/>
    <w:rsid w:val="00FF674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035D8"/>
    <w:pPr>
      <w:tabs>
        <w:tab w:val="left" w:pos="431"/>
      </w:tabs>
      <w:overflowPunct w:val="0"/>
      <w:adjustRightInd w:val="0"/>
      <w:snapToGrid w:val="0"/>
      <w:spacing w:line="320" w:lineRule="exact"/>
      <w:jc w:val="both"/>
    </w:pPr>
    <w:rPr>
      <w:snapToGrid w:val="0"/>
      <w:sz w:val="21"/>
      <w:lang w:eastAsia="zh-CN"/>
    </w:rPr>
  </w:style>
  <w:style w:type="paragraph" w:styleId="Heading1">
    <w:name w:val="heading 1"/>
    <w:aliases w:val="Table_G"/>
    <w:basedOn w:val="Normal"/>
    <w:next w:val="HCh"/>
    <w:link w:val="Heading1Char1"/>
    <w:qFormat/>
    <w:rsid w:val="005B04F3"/>
    <w:pPr>
      <w:keepNext/>
      <w:keepLines/>
      <w:numPr>
        <w:numId w:val="5"/>
      </w:numPr>
      <w:tabs>
        <w:tab w:val="clear" w:pos="431"/>
        <w:tab w:val="right" w:pos="1021"/>
        <w:tab w:val="left" w:pos="1264"/>
        <w:tab w:val="left" w:pos="1695"/>
        <w:tab w:val="left" w:pos="2126"/>
        <w:tab w:val="left" w:pos="2557"/>
      </w:tabs>
      <w:overflowPunct/>
      <w:adjustRightInd/>
      <w:snapToGrid/>
      <w:spacing w:line="400" w:lineRule="exact"/>
      <w:ind w:right="1264"/>
      <w:outlineLvl w:val="0"/>
    </w:pPr>
    <w:rPr>
      <w:rFonts w:eastAsia="SimHei"/>
      <w:bCs/>
      <w:snapToGrid/>
      <w:kern w:val="14"/>
      <w:sz w:val="28"/>
      <w:szCs w:val="28"/>
      <w:lang/>
    </w:rPr>
  </w:style>
  <w:style w:type="paragraph" w:styleId="Heading2">
    <w:name w:val="heading 2"/>
    <w:basedOn w:val="Normal"/>
    <w:next w:val="H1"/>
    <w:link w:val="Heading2Char1"/>
    <w:qFormat/>
    <w:rsid w:val="005B04F3"/>
    <w:pPr>
      <w:keepNext/>
      <w:keepLines/>
      <w:numPr>
        <w:ilvl w:val="1"/>
        <w:numId w:val="5"/>
      </w:numPr>
      <w:tabs>
        <w:tab w:val="clear" w:pos="431"/>
        <w:tab w:val="right" w:pos="1021"/>
        <w:tab w:val="left" w:pos="1264"/>
        <w:tab w:val="left" w:pos="1695"/>
        <w:tab w:val="left" w:pos="2126"/>
        <w:tab w:val="left" w:pos="2557"/>
      </w:tabs>
      <w:overflowPunct/>
      <w:adjustRightInd/>
      <w:snapToGrid/>
      <w:spacing w:line="240" w:lineRule="exact"/>
      <w:ind w:right="1264"/>
      <w:outlineLvl w:val="1"/>
    </w:pPr>
    <w:rPr>
      <w:rFonts w:ascii="SimHei" w:hAnsi="SimHei"/>
      <w:b/>
      <w:bCs/>
      <w:snapToGrid/>
      <w:kern w:val="14"/>
      <w:sz w:val="28"/>
      <w:szCs w:val="26"/>
      <w:lang/>
    </w:rPr>
  </w:style>
  <w:style w:type="paragraph" w:styleId="Heading3">
    <w:name w:val="heading 3"/>
    <w:aliases w:val="Char Знак Знак Знак"/>
    <w:basedOn w:val="Normal"/>
    <w:next w:val="Normal"/>
    <w:link w:val="Heading3Char"/>
    <w:qFormat/>
    <w:rsid w:val="005B04F3"/>
    <w:pPr>
      <w:keepNext/>
      <w:keepLines/>
      <w:numPr>
        <w:ilvl w:val="2"/>
        <w:numId w:val="5"/>
      </w:numPr>
      <w:tabs>
        <w:tab w:val="clear" w:pos="431"/>
      </w:tabs>
      <w:overflowPunct/>
      <w:adjustRightInd/>
      <w:snapToGrid/>
      <w:spacing w:before="260" w:after="260" w:line="416" w:lineRule="atLeast"/>
      <w:outlineLvl w:val="2"/>
    </w:pPr>
    <w:rPr>
      <w:rFonts w:ascii="SimSun" w:hAnsi="SimSun"/>
      <w:b/>
      <w:bCs/>
      <w:snapToGrid/>
      <w:kern w:val="14"/>
      <w:sz w:val="32"/>
      <w:lang/>
    </w:rPr>
  </w:style>
  <w:style w:type="paragraph" w:styleId="Heading4">
    <w:name w:val="heading 4"/>
    <w:basedOn w:val="Normal"/>
    <w:next w:val="Normal"/>
    <w:link w:val="Heading4Char"/>
    <w:qFormat/>
    <w:rsid w:val="005C05C5"/>
    <w:pPr>
      <w:keepNext/>
      <w:keepLines/>
      <w:widowControl w:val="0"/>
      <w:numPr>
        <w:ilvl w:val="3"/>
        <w:numId w:val="5"/>
      </w:numPr>
      <w:spacing w:after="240"/>
      <w:ind w:left="864" w:hanging="144"/>
      <w:outlineLvl w:val="3"/>
    </w:pPr>
    <w:rPr>
      <w:u w:val="single"/>
      <w:lang/>
    </w:rPr>
  </w:style>
  <w:style w:type="paragraph" w:styleId="Heading5">
    <w:name w:val="heading 5"/>
    <w:basedOn w:val="Normal"/>
    <w:next w:val="Normal"/>
    <w:link w:val="Heading5Char"/>
    <w:qFormat/>
    <w:rsid w:val="005C05C5"/>
    <w:pPr>
      <w:numPr>
        <w:ilvl w:val="4"/>
        <w:numId w:val="5"/>
      </w:numPr>
      <w:spacing w:after="240"/>
      <w:ind w:left="1008" w:hanging="432"/>
      <w:outlineLvl w:val="4"/>
    </w:pPr>
    <w:rPr>
      <w:rFonts w:eastAsia="SimHei"/>
      <w:bCs/>
      <w:szCs w:val="36"/>
      <w:lang/>
    </w:rPr>
  </w:style>
  <w:style w:type="paragraph" w:styleId="Heading6">
    <w:name w:val="heading 6"/>
    <w:basedOn w:val="Normal"/>
    <w:next w:val="Normal"/>
    <w:link w:val="Heading6Char"/>
    <w:qFormat/>
    <w:rsid w:val="005C05C5"/>
    <w:pPr>
      <w:keepNext/>
      <w:keepLines/>
      <w:numPr>
        <w:ilvl w:val="5"/>
        <w:numId w:val="5"/>
      </w:numPr>
      <w:spacing w:before="240" w:after="64" w:line="320" w:lineRule="auto"/>
      <w:ind w:left="1152" w:hanging="432"/>
      <w:outlineLvl w:val="5"/>
    </w:pPr>
    <w:rPr>
      <w:rFonts w:ascii="Arial" w:eastAsia="SimHei" w:hAnsi="Arial"/>
      <w:b/>
      <w:bCs/>
      <w:szCs w:val="24"/>
      <w:lang/>
    </w:rPr>
  </w:style>
  <w:style w:type="paragraph" w:styleId="Heading7">
    <w:name w:val="heading 7"/>
    <w:basedOn w:val="Normal"/>
    <w:next w:val="Normal"/>
    <w:link w:val="Heading7Char"/>
    <w:qFormat/>
    <w:rsid w:val="005C05C5"/>
    <w:pPr>
      <w:keepNext/>
      <w:keepLines/>
      <w:numPr>
        <w:ilvl w:val="6"/>
        <w:numId w:val="5"/>
      </w:numPr>
      <w:spacing w:before="240" w:after="64" w:line="320" w:lineRule="auto"/>
      <w:ind w:left="1296" w:hanging="288"/>
      <w:outlineLvl w:val="6"/>
    </w:pPr>
    <w:rPr>
      <w:b/>
      <w:bCs/>
      <w:szCs w:val="24"/>
      <w:lang/>
    </w:rPr>
  </w:style>
  <w:style w:type="paragraph" w:styleId="Heading8">
    <w:name w:val="heading 8"/>
    <w:basedOn w:val="Normal"/>
    <w:next w:val="Normal"/>
    <w:link w:val="Heading8Char"/>
    <w:qFormat/>
    <w:rsid w:val="005C05C5"/>
    <w:pPr>
      <w:keepNext/>
      <w:keepLines/>
      <w:numPr>
        <w:ilvl w:val="7"/>
        <w:numId w:val="5"/>
      </w:numPr>
      <w:spacing w:before="240" w:after="64" w:line="320" w:lineRule="auto"/>
      <w:ind w:left="1440" w:hanging="432"/>
      <w:outlineLvl w:val="7"/>
    </w:pPr>
    <w:rPr>
      <w:rFonts w:ascii="Arial" w:eastAsia="SimHei" w:hAnsi="Arial"/>
      <w:szCs w:val="24"/>
      <w:lang/>
    </w:rPr>
  </w:style>
  <w:style w:type="paragraph" w:styleId="Heading9">
    <w:name w:val="heading 9"/>
    <w:basedOn w:val="Normal"/>
    <w:next w:val="Normal"/>
    <w:link w:val="Heading9Char"/>
    <w:qFormat/>
    <w:rsid w:val="005C05C5"/>
    <w:pPr>
      <w:keepNext/>
      <w:keepLines/>
      <w:numPr>
        <w:ilvl w:val="8"/>
        <w:numId w:val="5"/>
      </w:numPr>
      <w:spacing w:before="240" w:after="64" w:line="320" w:lineRule="auto"/>
      <w:ind w:left="1584" w:hanging="144"/>
      <w:outlineLvl w:val="8"/>
    </w:pPr>
    <w:rPr>
      <w:rFonts w:ascii="Arial" w:eastAsia="SimHei" w:hAnsi="Arial"/>
      <w:szCs w:val="21"/>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Normal"/>
    <w:qFormat/>
    <w:rsid w:val="00986132"/>
    <w:pPr>
      <w:keepNext/>
      <w:keepLines/>
      <w:suppressAutoHyphens/>
      <w:outlineLvl w:val="0"/>
    </w:pPr>
    <w:rPr>
      <w:rFonts w:ascii="SimHei" w:eastAsia="SimHei"/>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Normal"/>
    <w:autoRedefine/>
    <w:qFormat/>
    <w:rsid w:val="001E5A51"/>
    <w:pPr>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pPr>
    <w:rPr>
      <w:sz w:val="34"/>
    </w:rPr>
  </w:style>
  <w:style w:type="paragraph" w:customStyle="1" w:styleId="H23">
    <w:name w:val="_ H_2/3"/>
    <w:basedOn w:val="Normal"/>
    <w:next w:val="Normal"/>
    <w:qFormat/>
    <w:rsid w:val="00986132"/>
    <w:pPr>
      <w:outlineLvl w:val="1"/>
    </w:pPr>
    <w:rPr>
      <w:rFonts w:ascii="SimHei" w:eastAsia="SimHei"/>
      <w:spacing w:val="2"/>
    </w:rPr>
  </w:style>
  <w:style w:type="paragraph" w:customStyle="1" w:styleId="H4">
    <w:name w:val="_ H_4"/>
    <w:basedOn w:val="Normal"/>
    <w:next w:val="Normal"/>
    <w:qFormat/>
    <w:rsid w:val="00986132"/>
    <w:pPr>
      <w:keepNext/>
      <w:keepLines/>
      <w:tabs>
        <w:tab w:val="left" w:pos="431"/>
      </w:tabs>
      <w:suppressAutoHyphens/>
      <w:outlineLvl w:val="3"/>
    </w:pPr>
    <w:rPr>
      <w:rFonts w:ascii="KaiTi_GB2312" w:eastAsia="KaiTi_GB2312"/>
      <w:noProof/>
      <w:spacing w:val="3"/>
      <w:w w:val="103"/>
    </w:rPr>
  </w:style>
  <w:style w:type="paragraph" w:customStyle="1" w:styleId="H56">
    <w:name w:val="_ H_5/6"/>
    <w:basedOn w:val="Normal"/>
    <w:next w:val="Normal"/>
    <w:qFormat/>
    <w:rsid w:val="001E5A51"/>
    <w:pPr>
      <w:keepNext/>
      <w:keepLines/>
      <w:tabs>
        <w:tab w:val="right" w:pos="360"/>
      </w:tabs>
      <w:suppressAutoHyphens/>
      <w:outlineLvl w:val="4"/>
    </w:pPr>
    <w:rPr>
      <w:noProof/>
      <w:spacing w:val="4"/>
      <w:w w:val="103"/>
    </w:rPr>
  </w:style>
  <w:style w:type="paragraph" w:customStyle="1" w:styleId="DualTxt">
    <w:name w:val="__Dual Txt"/>
    <w:basedOn w:val="Normal"/>
    <w:qFormat/>
    <w:rsid w:val="001E5A51"/>
    <w:pPr>
      <w:tabs>
        <w:tab w:val="clear" w:pos="431"/>
        <w:tab w:val="left" w:pos="432"/>
        <w:tab w:val="left" w:pos="864"/>
        <w:tab w:val="left" w:pos="1293"/>
        <w:tab w:val="left" w:pos="1724"/>
        <w:tab w:val="left" w:pos="2155"/>
        <w:tab w:val="left" w:pos="2586"/>
      </w:tabs>
      <w:spacing w:after="140"/>
    </w:pPr>
  </w:style>
  <w:style w:type="paragraph" w:customStyle="1" w:styleId="SM">
    <w:name w:val="__S_M"/>
    <w:basedOn w:val="Normal"/>
    <w:next w:val="Normal"/>
    <w:qFormat/>
    <w:rsid w:val="00986132"/>
    <w:pPr>
      <w:keepNext/>
      <w:keepLines/>
      <w:tabs>
        <w:tab w:val="right" w:leader="dot" w:pos="360"/>
      </w:tabs>
      <w:suppressAutoHyphens/>
      <w:spacing w:line="500" w:lineRule="exact"/>
      <w:ind w:left="1264" w:right="1264"/>
      <w:outlineLvl w:val="0"/>
    </w:pPr>
    <w:rPr>
      <w:rFonts w:ascii="SimHei" w:eastAsia="SimHei"/>
      <w:noProof/>
      <w:spacing w:val="-4"/>
      <w:w w:val="98"/>
      <w:sz w:val="40"/>
    </w:rPr>
  </w:style>
  <w:style w:type="paragraph" w:customStyle="1" w:styleId="SL">
    <w:name w:val="__S_L"/>
    <w:basedOn w:val="SM"/>
    <w:next w:val="Normal"/>
    <w:qFormat/>
    <w:rsid w:val="001E5A51"/>
    <w:pPr>
      <w:spacing w:line="640" w:lineRule="exact"/>
    </w:pPr>
    <w:rPr>
      <w:spacing w:val="-8"/>
      <w:w w:val="96"/>
      <w:sz w:val="57"/>
    </w:rPr>
  </w:style>
  <w:style w:type="paragraph" w:customStyle="1" w:styleId="SS">
    <w:name w:val="__S_S"/>
    <w:basedOn w:val="HCh"/>
    <w:next w:val="Normal"/>
    <w:qFormat/>
    <w:rsid w:val="001E5A51"/>
    <w:pPr>
      <w:ind w:left="1264" w:right="1264"/>
    </w:pPr>
  </w:style>
  <w:style w:type="paragraph" w:customStyle="1" w:styleId="SingleTxt">
    <w:name w:val="__Single Txt"/>
    <w:basedOn w:val="Normal"/>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FootnoteReference">
    <w:name w:val="footnote reference"/>
    <w:rsid w:val="00803014"/>
    <w:rPr>
      <w:color w:val="auto"/>
      <w:spacing w:val="0"/>
      <w:w w:val="150"/>
      <w:position w:val="0"/>
      <w:vertAlign w:val="superscript"/>
    </w:rPr>
  </w:style>
  <w:style w:type="character" w:styleId="EndnoteReference">
    <w:name w:val="endnote reference"/>
    <w:rsid w:val="001E5A51"/>
    <w:rPr>
      <w:color w:val="auto"/>
      <w:spacing w:val="0"/>
      <w:w w:val="150"/>
      <w:position w:val="0"/>
      <w:vertAlign w:val="superscript"/>
    </w:rPr>
  </w:style>
  <w:style w:type="paragraph" w:styleId="FootnoteText">
    <w:name w:val="footnote text"/>
    <w:basedOn w:val="Normal"/>
    <w:link w:val="FootnoteTextChar"/>
    <w:rsid w:val="001E5A51"/>
    <w:pPr>
      <w:tabs>
        <w:tab w:val="clear" w:pos="431"/>
        <w:tab w:val="right" w:pos="418"/>
      </w:tabs>
      <w:spacing w:after="120" w:line="240" w:lineRule="exact"/>
      <w:ind w:left="170" w:hanging="170"/>
    </w:pPr>
    <w:rPr>
      <w:noProof/>
      <w:snapToGrid/>
      <w:kern w:val="14"/>
      <w:sz w:val="18"/>
      <w:lang/>
    </w:rPr>
  </w:style>
  <w:style w:type="paragraph" w:styleId="EndnoteText">
    <w:name w:val="endnote text"/>
    <w:basedOn w:val="FootnoteText"/>
    <w:rsid w:val="001E5A51"/>
  </w:style>
  <w:style w:type="paragraph" w:styleId="CommentText">
    <w:name w:val="annotation text"/>
    <w:basedOn w:val="Normal"/>
    <w:link w:val="CommentTextChar3"/>
    <w:rsid w:val="001E5A51"/>
    <w:rPr>
      <w:snapToGrid/>
      <w:kern w:val="14"/>
      <w:lang/>
    </w:rPr>
  </w:style>
  <w:style w:type="paragraph" w:styleId="CommentSubject">
    <w:name w:val="annotation subject"/>
    <w:basedOn w:val="CommentText"/>
    <w:next w:val="CommentText"/>
    <w:link w:val="CommentSubjectChar"/>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link w:val="BalloonTextChar1"/>
    <w:rsid w:val="001E5A51"/>
    <w:rPr>
      <w:snapToGrid/>
      <w:kern w:val="14"/>
      <w:sz w:val="18"/>
      <w:szCs w:val="18"/>
      <w:lang/>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link w:val="HeaderChar1"/>
    <w:rsid w:val="001E5A51"/>
    <w:pPr>
      <w:tabs>
        <w:tab w:val="center" w:pos="4320"/>
        <w:tab w:val="right" w:pos="8640"/>
      </w:tabs>
      <w:jc w:val="both"/>
    </w:pPr>
    <w:rPr>
      <w:noProof/>
      <w:sz w:val="18"/>
    </w:rPr>
  </w:style>
  <w:style w:type="paragraph" w:styleId="Footer">
    <w:name w:val="footer"/>
    <w:link w:val="FooterChar1"/>
    <w:rsid w:val="001E5A51"/>
    <w:pPr>
      <w:tabs>
        <w:tab w:val="center" w:pos="4320"/>
        <w:tab w:val="right" w:pos="8640"/>
      </w:tabs>
      <w:jc w:val="both"/>
    </w:pPr>
    <w:rPr>
      <w:b/>
      <w:noProof/>
      <w:sz w:val="18"/>
      <w:szCs w:val="18"/>
    </w:rPr>
  </w:style>
  <w:style w:type="character" w:styleId="Hyperlink">
    <w:name w:val="Hyperlink"/>
    <w:rsid w:val="00036F1B"/>
    <w:rPr>
      <w:color w:val="0000FF"/>
      <w:u w:val="none"/>
    </w:rPr>
  </w:style>
  <w:style w:type="character" w:styleId="FollowedHyperlink">
    <w:name w:val="FollowedHyperlink"/>
    <w:qFormat/>
    <w:rsid w:val="00036F1B"/>
    <w:rPr>
      <w:color w:val="0000FF"/>
      <w:u w:val="none"/>
    </w:rPr>
  </w:style>
  <w:style w:type="paragraph" w:customStyle="1" w:styleId="Distr">
    <w:name w:val="Distr 分发种类"/>
    <w:next w:val="Normal"/>
    <w:qFormat/>
    <w:rsid w:val="005B1D3C"/>
    <w:pPr>
      <w:spacing w:before="240" w:line="240" w:lineRule="exact"/>
    </w:pPr>
    <w:rPr>
      <w:kern w:val="14"/>
      <w:lang w:eastAsia="zh-CN"/>
    </w:rPr>
  </w:style>
  <w:style w:type="paragraph" w:customStyle="1" w:styleId="Publication">
    <w:name w:val="Publication 印发日期"/>
    <w:next w:val="Normal"/>
    <w:qFormat/>
    <w:rsid w:val="005B1D3C"/>
    <w:pPr>
      <w:spacing w:line="240" w:lineRule="exact"/>
    </w:pPr>
    <w:rPr>
      <w:kern w:val="14"/>
      <w:lang w:eastAsia="zh-CN"/>
    </w:rPr>
  </w:style>
  <w:style w:type="paragraph" w:customStyle="1" w:styleId="Original">
    <w:name w:val="Original 原件种类"/>
    <w:next w:val="Normal"/>
    <w:qFormat/>
    <w:rsid w:val="005B1D3C"/>
    <w:pPr>
      <w:spacing w:line="240" w:lineRule="exact"/>
    </w:pPr>
    <w:rPr>
      <w:kern w:val="14"/>
      <w:lang w:eastAsia="zh-CN"/>
    </w:rPr>
  </w:style>
  <w:style w:type="paragraph" w:customStyle="1" w:styleId="Release">
    <w:name w:val="Release 送印日期"/>
    <w:next w:val="Normal"/>
    <w:qFormat/>
    <w:rsid w:val="00074771"/>
    <w:pPr>
      <w:spacing w:line="240" w:lineRule="exact"/>
    </w:pPr>
    <w:rPr>
      <w:kern w:val="14"/>
      <w:sz w:val="21"/>
      <w:lang w:eastAsia="zh-CN"/>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NormalWeb"/>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NormalWeb">
    <w:name w:val="Normal (Web)"/>
    <w:basedOn w:val="Normal"/>
    <w:rsid w:val="001944A4"/>
    <w:rPr>
      <w:sz w:val="24"/>
      <w:szCs w:val="24"/>
    </w:rPr>
  </w:style>
  <w:style w:type="character" w:customStyle="1" w:styleId="Heading1Char1">
    <w:name w:val="Heading 1 Char1"/>
    <w:aliases w:val="Table_G Char"/>
    <w:link w:val="Heading1"/>
    <w:rsid w:val="005B04F3"/>
    <w:rPr>
      <w:rFonts w:eastAsia="SimHei"/>
      <w:bCs/>
      <w:kern w:val="14"/>
      <w:sz w:val="28"/>
      <w:szCs w:val="28"/>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Heading2Char1">
    <w:name w:val="Heading 2 Char1"/>
    <w:link w:val="Heading2"/>
    <w:rsid w:val="005B04F3"/>
    <w:rPr>
      <w:rFonts w:ascii="SimHei" w:hAnsi="SimHei"/>
      <w:b/>
      <w:bCs/>
      <w:kern w:val="14"/>
      <w:sz w:val="28"/>
      <w:szCs w:val="26"/>
    </w:rPr>
  </w:style>
  <w:style w:type="character" w:customStyle="1" w:styleId="Heading3Char">
    <w:name w:val="Heading 3 Char"/>
    <w:aliases w:val="Char Знак Знак Знак Char"/>
    <w:link w:val="Heading3"/>
    <w:rsid w:val="005B04F3"/>
    <w:rPr>
      <w:rFonts w:ascii="SimSun" w:hAnsi="SimSun"/>
      <w:b/>
      <w:bCs/>
      <w:kern w:val="14"/>
      <w:sz w:val="32"/>
    </w:rPr>
  </w:style>
  <w:style w:type="paragraph" w:customStyle="1" w:styleId="1">
    <w:name w:val="日刊标题1"/>
    <w:basedOn w:val="Normal"/>
    <w:qFormat/>
    <w:rsid w:val="009D00AA"/>
    <w:pPr>
      <w:spacing w:line="560" w:lineRule="exact"/>
    </w:pPr>
    <w:rPr>
      <w:rFonts w:ascii="SimHei" w:eastAsia="SimHei" w:hAnsi="SimHei"/>
      <w:sz w:val="36"/>
    </w:rPr>
  </w:style>
  <w:style w:type="paragraph" w:customStyle="1" w:styleId="2">
    <w:name w:val="日刊标题2"/>
    <w:basedOn w:val="Normal"/>
    <w:next w:val="Normal"/>
    <w:qFormat/>
    <w:rsid w:val="009D00AA"/>
    <w:pPr>
      <w:spacing w:line="400" w:lineRule="exact"/>
    </w:pPr>
    <w:rPr>
      <w:rFonts w:ascii="SimHei" w:hAnsi="SimHei"/>
      <w:sz w:val="28"/>
    </w:rPr>
  </w:style>
  <w:style w:type="paragraph" w:customStyle="1" w:styleId="3">
    <w:name w:val="日刊标题3"/>
    <w:basedOn w:val="Normal"/>
    <w:next w:val="Normal"/>
    <w:qFormat/>
    <w:rsid w:val="009D00AA"/>
    <w:pPr>
      <w:spacing w:line="360" w:lineRule="exact"/>
    </w:pPr>
    <w:rPr>
      <w:rFonts w:ascii="SimHei" w:eastAsia="SimHei" w:hAnsi="SimHei"/>
      <w:sz w:val="24"/>
    </w:rPr>
  </w:style>
  <w:style w:type="paragraph" w:customStyle="1" w:styleId="4">
    <w:name w:val="日刊标题4"/>
    <w:basedOn w:val="Normal"/>
    <w:next w:val="Normal"/>
    <w:qFormat/>
    <w:rsid w:val="000C5208"/>
    <w:rPr>
      <w:rFonts w:ascii="SimHei" w:eastAsia="SimHei" w:hAnsi="SimHei"/>
      <w:sz w:val="24"/>
    </w:rPr>
  </w:style>
  <w:style w:type="paragraph" w:customStyle="1" w:styleId="HMGC">
    <w:name w:val="_ H __M_GC"/>
    <w:basedOn w:val="Normal"/>
    <w:next w:val="SingleTxtGC"/>
    <w:link w:val="HMGCChar"/>
    <w:rsid w:val="001035D8"/>
    <w:pPr>
      <w:keepNext/>
      <w:keepLines/>
      <w:tabs>
        <w:tab w:val="clear" w:pos="431"/>
        <w:tab w:val="right" w:pos="851"/>
      </w:tabs>
      <w:spacing w:before="240" w:after="240" w:line="440" w:lineRule="exact"/>
      <w:ind w:left="1134" w:right="1134" w:hanging="1134"/>
      <w:outlineLvl w:val="0"/>
    </w:pPr>
    <w:rPr>
      <w:rFonts w:eastAsia="SimHei"/>
      <w:sz w:val="34"/>
      <w:lang/>
    </w:rPr>
  </w:style>
  <w:style w:type="paragraph" w:customStyle="1" w:styleId="HChGC">
    <w:name w:val="_ H _Ch_GC"/>
    <w:basedOn w:val="Normal"/>
    <w:next w:val="SingleTxtGC"/>
    <w:rsid w:val="001035D8"/>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SingleTxtGC">
    <w:name w:val="_ Single Txt_GC"/>
    <w:basedOn w:val="Normal"/>
    <w:link w:val="SingleTxtGCChar"/>
    <w:rsid w:val="001035D8"/>
    <w:pPr>
      <w:tabs>
        <w:tab w:val="left" w:pos="1134"/>
        <w:tab w:val="left" w:pos="1565"/>
        <w:tab w:val="left" w:pos="1996"/>
        <w:tab w:val="left" w:pos="2427"/>
      </w:tabs>
      <w:spacing w:after="120"/>
      <w:ind w:left="1134" w:right="1134"/>
    </w:pPr>
    <w:rPr>
      <w:lang/>
    </w:rPr>
  </w:style>
  <w:style w:type="character" w:customStyle="1" w:styleId="FootnoteTextChar">
    <w:name w:val="Footnote Text Char"/>
    <w:link w:val="FootnoteText"/>
    <w:rsid w:val="001035D8"/>
    <w:rPr>
      <w:noProof/>
      <w:kern w:val="14"/>
      <w:sz w:val="18"/>
    </w:rPr>
  </w:style>
  <w:style w:type="character" w:customStyle="1" w:styleId="FooterChar1">
    <w:name w:val="Footer Char1"/>
    <w:link w:val="Footer"/>
    <w:locked/>
    <w:rsid w:val="001035D8"/>
    <w:rPr>
      <w:b/>
      <w:noProof/>
      <w:sz w:val="18"/>
      <w:szCs w:val="18"/>
      <w:lang w:bidi="ar-SA"/>
    </w:rPr>
  </w:style>
  <w:style w:type="character" w:customStyle="1" w:styleId="SingleTxtGCChar">
    <w:name w:val="_ Single Txt_GC Char"/>
    <w:link w:val="SingleTxtGC"/>
    <w:locked/>
    <w:rsid w:val="001035D8"/>
    <w:rPr>
      <w:snapToGrid/>
      <w:sz w:val="21"/>
    </w:rPr>
  </w:style>
  <w:style w:type="character" w:customStyle="1" w:styleId="HMGCChar">
    <w:name w:val="_ H __M_GC Char"/>
    <w:link w:val="HMGC"/>
    <w:rsid w:val="001035D8"/>
    <w:rPr>
      <w:rFonts w:eastAsia="SimHei"/>
      <w:snapToGrid/>
      <w:sz w:val="34"/>
    </w:rPr>
  </w:style>
  <w:style w:type="character" w:customStyle="1" w:styleId="Heading4Char">
    <w:name w:val="Heading 4 Char"/>
    <w:link w:val="Heading4"/>
    <w:rsid w:val="005C05C5"/>
    <w:rPr>
      <w:snapToGrid/>
      <w:sz w:val="21"/>
      <w:u w:val="single"/>
    </w:rPr>
  </w:style>
  <w:style w:type="character" w:customStyle="1" w:styleId="Heading5Char">
    <w:name w:val="Heading 5 Char"/>
    <w:link w:val="Heading5"/>
    <w:rsid w:val="005C05C5"/>
    <w:rPr>
      <w:rFonts w:eastAsia="SimHei"/>
      <w:bCs/>
      <w:snapToGrid/>
      <w:sz w:val="21"/>
      <w:szCs w:val="36"/>
    </w:rPr>
  </w:style>
  <w:style w:type="character" w:customStyle="1" w:styleId="Heading6Char">
    <w:name w:val="Heading 6 Char"/>
    <w:link w:val="Heading6"/>
    <w:rsid w:val="005C05C5"/>
    <w:rPr>
      <w:rFonts w:ascii="Arial" w:eastAsia="SimHei" w:hAnsi="Arial"/>
      <w:b/>
      <w:bCs/>
      <w:snapToGrid/>
      <w:sz w:val="21"/>
      <w:szCs w:val="24"/>
    </w:rPr>
  </w:style>
  <w:style w:type="character" w:customStyle="1" w:styleId="Heading7Char">
    <w:name w:val="Heading 7 Char"/>
    <w:link w:val="Heading7"/>
    <w:rsid w:val="005C05C5"/>
    <w:rPr>
      <w:b/>
      <w:bCs/>
      <w:snapToGrid/>
      <w:sz w:val="21"/>
      <w:szCs w:val="24"/>
    </w:rPr>
  </w:style>
  <w:style w:type="character" w:customStyle="1" w:styleId="Heading8Char">
    <w:name w:val="Heading 8 Char"/>
    <w:link w:val="Heading8"/>
    <w:rsid w:val="005C05C5"/>
    <w:rPr>
      <w:rFonts w:ascii="Arial" w:eastAsia="SimHei" w:hAnsi="Arial"/>
      <w:snapToGrid/>
      <w:sz w:val="21"/>
      <w:szCs w:val="24"/>
    </w:rPr>
  </w:style>
  <w:style w:type="character" w:customStyle="1" w:styleId="Heading9Char">
    <w:name w:val="Heading 9 Char"/>
    <w:link w:val="Heading9"/>
    <w:rsid w:val="005C05C5"/>
    <w:rPr>
      <w:rFonts w:ascii="Arial" w:eastAsia="SimHei" w:hAnsi="Arial"/>
      <w:snapToGrid/>
      <w:sz w:val="21"/>
      <w:szCs w:val="21"/>
    </w:rPr>
  </w:style>
  <w:style w:type="paragraph" w:customStyle="1" w:styleId="DashGC">
    <w:name w:val="_Dash_GC"/>
    <w:basedOn w:val="Normal"/>
    <w:rsid w:val="005C05C5"/>
    <w:pPr>
      <w:numPr>
        <w:numId w:val="5"/>
      </w:numPr>
      <w:spacing w:after="120"/>
      <w:ind w:right="1134"/>
    </w:pPr>
    <w:rPr>
      <w:lang w:val="fr-CH"/>
    </w:rPr>
  </w:style>
  <w:style w:type="paragraph" w:customStyle="1" w:styleId="a">
    <w:name w:val="缩进正文"/>
    <w:basedOn w:val="SingleTxtGC"/>
    <w:rsid w:val="005C05C5"/>
    <w:pPr>
      <w:ind w:left="1565"/>
    </w:pPr>
  </w:style>
  <w:style w:type="paragraph" w:customStyle="1" w:styleId="a0">
    <w:name w:val="表中标题"/>
    <w:basedOn w:val="SingleTxtGC"/>
    <w:rsid w:val="005C05C5"/>
    <w:pPr>
      <w:spacing w:before="80" w:after="80" w:line="200" w:lineRule="exact"/>
      <w:ind w:left="0" w:right="113"/>
    </w:pPr>
    <w:rPr>
      <w:rFonts w:eastAsia="KaiTi_GB2312"/>
      <w:sz w:val="18"/>
    </w:rPr>
  </w:style>
  <w:style w:type="paragraph" w:customStyle="1" w:styleId="a1">
    <w:name w:val="目录段页次"/>
    <w:basedOn w:val="Normal"/>
    <w:rsid w:val="005C05C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5C05C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link w:val="MacroTextChar"/>
    <w:rsid w:val="005C0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rPr>
  </w:style>
  <w:style w:type="character" w:customStyle="1" w:styleId="MacroTextChar">
    <w:name w:val="Macro Text Char"/>
    <w:link w:val="MacroText"/>
    <w:rsid w:val="005C05C5"/>
    <w:rPr>
      <w:kern w:val="24"/>
      <w:sz w:val="24"/>
      <w:lang w:bidi="ar-SA"/>
    </w:rPr>
  </w:style>
  <w:style w:type="character" w:styleId="PageNumber">
    <w:name w:val="page number"/>
    <w:rsid w:val="005C05C5"/>
    <w:rPr>
      <w:rFonts w:ascii="Times New Roman" w:hAnsi="Times New Roman"/>
      <w:b/>
      <w:spacing w:val="0"/>
      <w:kern w:val="0"/>
      <w:sz w:val="18"/>
    </w:rPr>
  </w:style>
  <w:style w:type="paragraph" w:customStyle="1" w:styleId="Bullet1GC">
    <w:name w:val="_Bullet 1_GC"/>
    <w:basedOn w:val="Normal"/>
    <w:rsid w:val="005C05C5"/>
    <w:pPr>
      <w:numPr>
        <w:numId w:val="3"/>
      </w:numPr>
      <w:spacing w:after="120"/>
      <w:ind w:right="1134"/>
    </w:pPr>
  </w:style>
  <w:style w:type="paragraph" w:customStyle="1" w:styleId="Bullet2GC">
    <w:name w:val="_Bullet 2_GC"/>
    <w:basedOn w:val="Normal"/>
    <w:rsid w:val="005C05C5"/>
    <w:pPr>
      <w:numPr>
        <w:numId w:val="4"/>
      </w:numPr>
      <w:spacing w:after="120"/>
      <w:ind w:right="1134"/>
    </w:pPr>
  </w:style>
  <w:style w:type="paragraph" w:styleId="Title">
    <w:name w:val="Title"/>
    <w:basedOn w:val="Normal"/>
    <w:link w:val="TitleChar"/>
    <w:qFormat/>
    <w:rsid w:val="005C05C5"/>
    <w:pPr>
      <w:spacing w:before="240" w:after="60"/>
      <w:jc w:val="center"/>
      <w:outlineLvl w:val="0"/>
    </w:pPr>
    <w:rPr>
      <w:rFonts w:ascii="Arial" w:hAnsi="Arial"/>
      <w:b/>
      <w:bCs/>
      <w:sz w:val="32"/>
      <w:szCs w:val="32"/>
      <w:lang/>
    </w:rPr>
  </w:style>
  <w:style w:type="character" w:customStyle="1" w:styleId="TitleChar">
    <w:name w:val="Title Char"/>
    <w:link w:val="Title"/>
    <w:rsid w:val="005C05C5"/>
    <w:rPr>
      <w:rFonts w:ascii="Arial" w:hAnsi="Arial" w:cs="Arial"/>
      <w:b/>
      <w:bCs/>
      <w:snapToGrid/>
      <w:sz w:val="32"/>
      <w:szCs w:val="32"/>
    </w:rPr>
  </w:style>
  <w:style w:type="paragraph" w:customStyle="1" w:styleId="H1GC">
    <w:name w:val="_ H_1_GC"/>
    <w:basedOn w:val="Normal"/>
    <w:next w:val="SingleTxtGC"/>
    <w:rsid w:val="005C05C5"/>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C05C5"/>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C05C5"/>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C05C5"/>
    <w:pPr>
      <w:keepNext/>
      <w:keepLines/>
      <w:tabs>
        <w:tab w:val="clear" w:pos="431"/>
        <w:tab w:val="right" w:pos="851"/>
      </w:tabs>
      <w:spacing w:before="240" w:after="120"/>
      <w:ind w:left="1134" w:right="1134" w:hanging="1134"/>
      <w:outlineLvl w:val="5"/>
    </w:pPr>
  </w:style>
  <w:style w:type="paragraph" w:customStyle="1" w:styleId="SLGC">
    <w:name w:val="__S_L_GC"/>
    <w:basedOn w:val="Normal"/>
    <w:next w:val="SingleTxtGC"/>
    <w:rsid w:val="005C05C5"/>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5C05C5"/>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5C05C5"/>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5C05C5"/>
    <w:pPr>
      <w:keepNext/>
      <w:keepLines/>
      <w:spacing w:before="240" w:after="240" w:line="420" w:lineRule="exact"/>
      <w:ind w:left="1134" w:right="1134"/>
      <w:jc w:val="left"/>
    </w:pPr>
    <w:rPr>
      <w:rFonts w:eastAsia="SimHei"/>
      <w:sz w:val="40"/>
    </w:rPr>
  </w:style>
  <w:style w:type="paragraph" w:customStyle="1" w:styleId="a3">
    <w:name w:val="悬挂"/>
    <w:basedOn w:val="SingleTxtGC"/>
    <w:rsid w:val="005C05C5"/>
    <w:pPr>
      <w:ind w:left="1565" w:hanging="431"/>
    </w:pPr>
  </w:style>
  <w:style w:type="paragraph" w:customStyle="1" w:styleId="a4">
    <w:name w:val="表中文字"/>
    <w:basedOn w:val="SingleTxtGC"/>
    <w:rsid w:val="005C05C5"/>
    <w:pPr>
      <w:spacing w:before="40" w:line="240" w:lineRule="atLeast"/>
      <w:ind w:left="0" w:right="113"/>
    </w:pPr>
    <w:rPr>
      <w:sz w:val="18"/>
    </w:rPr>
  </w:style>
  <w:style w:type="paragraph" w:customStyle="1" w:styleId="a5">
    <w:name w:val="表数文字"/>
    <w:basedOn w:val="SingleTxtGC"/>
    <w:rsid w:val="005C05C5"/>
    <w:pPr>
      <w:spacing w:before="40" w:after="40" w:line="240" w:lineRule="atLeast"/>
      <w:ind w:left="0" w:right="113"/>
    </w:pPr>
    <w:rPr>
      <w:sz w:val="18"/>
    </w:rPr>
  </w:style>
  <w:style w:type="table" w:styleId="TableGrid">
    <w:name w:val="Table Grid"/>
    <w:basedOn w:val="TableNormal"/>
    <w:rsid w:val="005C05C5"/>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DocumentMap">
    <w:name w:val="Document Map"/>
    <w:basedOn w:val="Normal"/>
    <w:link w:val="DocumentMapChar1"/>
    <w:rsid w:val="005C05C5"/>
    <w:pPr>
      <w:shd w:val="clear" w:color="auto" w:fill="000080"/>
      <w:tabs>
        <w:tab w:val="clear" w:pos="431"/>
      </w:tabs>
      <w:overflowPunct/>
      <w:adjustRightInd/>
      <w:snapToGrid/>
    </w:pPr>
    <w:rPr>
      <w:rFonts w:ascii="SimSun"/>
      <w:snapToGrid/>
      <w:kern w:val="14"/>
      <w:lang/>
    </w:rPr>
  </w:style>
  <w:style w:type="character" w:customStyle="1" w:styleId="DocumentMapChar1">
    <w:name w:val="Document Map Char1"/>
    <w:link w:val="DocumentMap"/>
    <w:rsid w:val="005C05C5"/>
    <w:rPr>
      <w:rFonts w:ascii="SimSun"/>
      <w:kern w:val="14"/>
      <w:sz w:val="21"/>
      <w:shd w:val="clear" w:color="auto" w:fill="000080"/>
      <w:lang/>
    </w:rPr>
  </w:style>
  <w:style w:type="paragraph" w:customStyle="1" w:styleId="HMG">
    <w:name w:val="_ H __M_G"/>
    <w:basedOn w:val="Normal"/>
    <w:next w:val="Normal"/>
    <w:rsid w:val="005C05C5"/>
    <w:pPr>
      <w:keepNext/>
      <w:keepLines/>
      <w:tabs>
        <w:tab w:val="clear" w:pos="431"/>
        <w:tab w:val="right" w:pos="851"/>
      </w:tabs>
      <w:suppressAutoHyphens/>
      <w:overflowPunct/>
      <w:adjustRightInd/>
      <w:snapToGrid/>
      <w:spacing w:before="240" w:after="240" w:line="360" w:lineRule="exact"/>
      <w:ind w:left="1134" w:right="1134" w:hanging="1134"/>
      <w:jc w:val="left"/>
    </w:pPr>
    <w:rPr>
      <w:b/>
      <w:snapToGrid/>
      <w:sz w:val="34"/>
      <w:lang w:val="en-GB" w:eastAsia="en-US"/>
    </w:rPr>
  </w:style>
  <w:style w:type="paragraph" w:customStyle="1" w:styleId="HChG">
    <w:name w:val="_ H _Ch_G"/>
    <w:basedOn w:val="Normal"/>
    <w:next w:val="Normal"/>
    <w:link w:val="HChGChar"/>
    <w:rsid w:val="005C05C5"/>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SingleTxtG">
    <w:name w:val="_ Single Txt_G"/>
    <w:basedOn w:val="Normal"/>
    <w:rsid w:val="005C05C5"/>
    <w:pPr>
      <w:tabs>
        <w:tab w:val="clear" w:pos="431"/>
      </w:tabs>
      <w:suppressAutoHyphens/>
      <w:overflowPunct/>
      <w:adjustRightInd/>
      <w:snapToGrid/>
      <w:spacing w:after="120" w:line="240" w:lineRule="atLeast"/>
      <w:ind w:left="1134" w:right="1134"/>
    </w:pPr>
    <w:rPr>
      <w:snapToGrid/>
      <w:sz w:val="20"/>
      <w:lang w:val="en-GB" w:eastAsia="en-US"/>
    </w:rPr>
  </w:style>
  <w:style w:type="paragraph" w:styleId="PlainText">
    <w:name w:val="Plain Text"/>
    <w:basedOn w:val="Normal"/>
    <w:link w:val="PlainTextChar"/>
    <w:rsid w:val="005C05C5"/>
    <w:pPr>
      <w:tabs>
        <w:tab w:val="clear" w:pos="431"/>
      </w:tabs>
      <w:suppressAutoHyphens/>
      <w:overflowPunct/>
      <w:adjustRightInd/>
      <w:snapToGrid/>
      <w:spacing w:line="240" w:lineRule="atLeast"/>
      <w:jc w:val="left"/>
    </w:pPr>
    <w:rPr>
      <w:snapToGrid/>
      <w:sz w:val="20"/>
      <w:lang w:val="en-GB" w:eastAsia="en-US"/>
    </w:rPr>
  </w:style>
  <w:style w:type="character" w:customStyle="1" w:styleId="PlainTextChar">
    <w:name w:val="Plain Text Char"/>
    <w:link w:val="PlainText"/>
    <w:rsid w:val="005C05C5"/>
    <w:rPr>
      <w:lang w:val="en-GB" w:eastAsia="en-US"/>
    </w:rPr>
  </w:style>
  <w:style w:type="paragraph" w:styleId="BodyText">
    <w:name w:val="Body Text"/>
    <w:aliases w:val="Знак8"/>
    <w:basedOn w:val="Normal"/>
    <w:next w:val="Normal"/>
    <w:link w:val="BodyTextChar2"/>
    <w:rsid w:val="005C05C5"/>
    <w:pPr>
      <w:tabs>
        <w:tab w:val="clear" w:pos="431"/>
      </w:tabs>
      <w:suppressAutoHyphens/>
      <w:overflowPunct/>
      <w:adjustRightInd/>
      <w:snapToGrid/>
      <w:spacing w:line="240" w:lineRule="atLeast"/>
      <w:jc w:val="left"/>
    </w:pPr>
    <w:rPr>
      <w:snapToGrid/>
      <w:sz w:val="20"/>
      <w:lang w:val="en-GB" w:eastAsia="en-US"/>
    </w:rPr>
  </w:style>
  <w:style w:type="character" w:customStyle="1" w:styleId="BodyTextChar2">
    <w:name w:val="Body Text Char2"/>
    <w:aliases w:val="Знак8 Char1"/>
    <w:link w:val="BodyText"/>
    <w:rsid w:val="005C05C5"/>
    <w:rPr>
      <w:lang w:val="en-GB" w:eastAsia="en-US"/>
    </w:rPr>
  </w:style>
  <w:style w:type="paragraph" w:styleId="BodyTextIndent">
    <w:name w:val="Body Text Indent"/>
    <w:aliases w:val="Знак1"/>
    <w:basedOn w:val="Normal"/>
    <w:link w:val="BodyTextIndentChar"/>
    <w:rsid w:val="005C05C5"/>
    <w:pPr>
      <w:tabs>
        <w:tab w:val="clear" w:pos="431"/>
      </w:tabs>
      <w:suppressAutoHyphens/>
      <w:overflowPunct/>
      <w:adjustRightInd/>
      <w:snapToGrid/>
      <w:spacing w:after="120" w:line="240" w:lineRule="atLeast"/>
      <w:ind w:left="283"/>
      <w:jc w:val="left"/>
    </w:pPr>
    <w:rPr>
      <w:snapToGrid/>
      <w:sz w:val="20"/>
      <w:lang w:val="en-GB" w:eastAsia="en-US"/>
    </w:rPr>
  </w:style>
  <w:style w:type="character" w:customStyle="1" w:styleId="BodyTextIndentChar">
    <w:name w:val="Body Text Indent Char"/>
    <w:aliases w:val="Знак1 Char"/>
    <w:link w:val="BodyTextIndent"/>
    <w:rsid w:val="005C05C5"/>
    <w:rPr>
      <w:lang w:val="en-GB" w:eastAsia="en-US"/>
    </w:rPr>
  </w:style>
  <w:style w:type="paragraph" w:styleId="BlockText">
    <w:name w:val="Block Text"/>
    <w:basedOn w:val="Normal"/>
    <w:rsid w:val="005C05C5"/>
    <w:pPr>
      <w:tabs>
        <w:tab w:val="clear" w:pos="431"/>
      </w:tabs>
      <w:suppressAutoHyphens/>
      <w:overflowPunct/>
      <w:adjustRightInd/>
      <w:snapToGrid/>
      <w:spacing w:line="240" w:lineRule="atLeast"/>
      <w:ind w:left="1440" w:right="1440"/>
      <w:jc w:val="left"/>
    </w:pPr>
    <w:rPr>
      <w:snapToGrid/>
      <w:sz w:val="20"/>
      <w:lang w:val="en-GB" w:eastAsia="en-US"/>
    </w:rPr>
  </w:style>
  <w:style w:type="paragraph" w:customStyle="1" w:styleId="SMG">
    <w:name w:val="__S_M_G"/>
    <w:basedOn w:val="Normal"/>
    <w:next w:val="Normal"/>
    <w:rsid w:val="005C05C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SLG">
    <w:name w:val="__S_L_G"/>
    <w:basedOn w:val="Normal"/>
    <w:next w:val="Normal"/>
    <w:rsid w:val="005C05C5"/>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SSG">
    <w:name w:val="__S_S_G"/>
    <w:basedOn w:val="Normal"/>
    <w:next w:val="Normal"/>
    <w:rsid w:val="005C05C5"/>
    <w:pPr>
      <w:keepNext/>
      <w:keepLines/>
      <w:tabs>
        <w:tab w:val="clear" w:pos="431"/>
      </w:tabs>
      <w:suppressAutoHyphens/>
      <w:overflowPunct/>
      <w:adjustRightInd/>
      <w:snapToGrid/>
      <w:spacing w:before="240" w:after="240" w:line="300" w:lineRule="exact"/>
      <w:ind w:left="1134" w:right="1134"/>
      <w:jc w:val="left"/>
    </w:pPr>
    <w:rPr>
      <w:b/>
      <w:snapToGrid/>
      <w:sz w:val="28"/>
      <w:lang w:val="en-GB" w:eastAsia="en-US"/>
    </w:rPr>
  </w:style>
  <w:style w:type="paragraph" w:customStyle="1" w:styleId="XLargeG">
    <w:name w:val="__XLarge_G"/>
    <w:basedOn w:val="Normal"/>
    <w:next w:val="Normal"/>
    <w:rsid w:val="005C05C5"/>
    <w:pPr>
      <w:keepNext/>
      <w:keepLines/>
      <w:tabs>
        <w:tab w:val="clear" w:pos="431"/>
      </w:tabs>
      <w:suppressAutoHyphens/>
      <w:overflowPunct/>
      <w:adjustRightInd/>
      <w:snapToGrid/>
      <w:spacing w:before="240" w:after="240" w:line="420" w:lineRule="exact"/>
      <w:ind w:left="1134" w:right="1134"/>
      <w:jc w:val="left"/>
    </w:pPr>
    <w:rPr>
      <w:b/>
      <w:snapToGrid/>
      <w:sz w:val="40"/>
      <w:lang w:val="en-GB" w:eastAsia="en-US"/>
    </w:rPr>
  </w:style>
  <w:style w:type="paragraph" w:customStyle="1" w:styleId="Bullet1G">
    <w:name w:val="_Bullet 1_G"/>
    <w:basedOn w:val="Normal"/>
    <w:rsid w:val="005C05C5"/>
    <w:pPr>
      <w:numPr>
        <w:numId w:val="9"/>
      </w:numPr>
      <w:tabs>
        <w:tab w:val="clear" w:pos="431"/>
      </w:tabs>
      <w:suppressAutoHyphens/>
      <w:overflowPunct/>
      <w:adjustRightInd/>
      <w:snapToGrid/>
      <w:spacing w:after="120" w:line="240" w:lineRule="atLeast"/>
      <w:ind w:right="1134"/>
    </w:pPr>
    <w:rPr>
      <w:snapToGrid/>
      <w:sz w:val="20"/>
      <w:lang w:val="en-GB" w:eastAsia="en-US"/>
    </w:rPr>
  </w:style>
  <w:style w:type="character" w:styleId="LineNumber">
    <w:name w:val="line number"/>
    <w:rsid w:val="005C05C5"/>
    <w:rPr>
      <w:sz w:val="14"/>
    </w:rPr>
  </w:style>
  <w:style w:type="paragraph" w:customStyle="1" w:styleId="Bullet2G">
    <w:name w:val="_Bullet 2_G"/>
    <w:basedOn w:val="Normal"/>
    <w:rsid w:val="005C05C5"/>
    <w:pPr>
      <w:numPr>
        <w:numId w:val="10"/>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5C05C5"/>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5C05C5"/>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paragraph" w:customStyle="1" w:styleId="H4G">
    <w:name w:val="_ H_4_G"/>
    <w:basedOn w:val="Normal"/>
    <w:next w:val="Normal"/>
    <w:rsid w:val="005C05C5"/>
    <w:pPr>
      <w:keepNext/>
      <w:keepLines/>
      <w:tabs>
        <w:tab w:val="clear" w:pos="431"/>
        <w:tab w:val="right" w:pos="851"/>
      </w:tabs>
      <w:suppressAutoHyphens/>
      <w:overflowPunct/>
      <w:adjustRightInd/>
      <w:snapToGrid/>
      <w:spacing w:before="240" w:after="120" w:line="240" w:lineRule="exact"/>
      <w:ind w:left="1134" w:right="1134" w:hanging="1134"/>
      <w:jc w:val="left"/>
    </w:pPr>
    <w:rPr>
      <w:i/>
      <w:snapToGrid/>
      <w:sz w:val="20"/>
      <w:lang w:val="en-GB" w:eastAsia="en-US"/>
    </w:rPr>
  </w:style>
  <w:style w:type="paragraph" w:customStyle="1" w:styleId="H56G">
    <w:name w:val="_ H_5/6_G"/>
    <w:basedOn w:val="Normal"/>
    <w:next w:val="Normal"/>
    <w:rsid w:val="005C05C5"/>
    <w:pPr>
      <w:keepNext/>
      <w:keepLines/>
      <w:tabs>
        <w:tab w:val="clear" w:pos="431"/>
        <w:tab w:val="right" w:pos="851"/>
      </w:tabs>
      <w:suppressAutoHyphens/>
      <w:overflowPunct/>
      <w:adjustRightInd/>
      <w:snapToGrid/>
      <w:spacing w:before="240" w:after="120" w:line="240" w:lineRule="exact"/>
      <w:ind w:left="1134" w:right="1134" w:hanging="1134"/>
      <w:jc w:val="left"/>
    </w:pPr>
    <w:rPr>
      <w:snapToGrid/>
      <w:sz w:val="20"/>
      <w:lang w:val="en-GB" w:eastAsia="en-US"/>
    </w:rPr>
  </w:style>
  <w:style w:type="numbering" w:styleId="111111">
    <w:name w:val="Outline List 2"/>
    <w:basedOn w:val="NoList"/>
    <w:rsid w:val="005C05C5"/>
    <w:pPr>
      <w:numPr>
        <w:numId w:val="6"/>
      </w:numPr>
    </w:pPr>
  </w:style>
  <w:style w:type="numbering" w:styleId="1ai">
    <w:name w:val="Outline List 1"/>
    <w:basedOn w:val="NoList"/>
    <w:rsid w:val="005C05C5"/>
    <w:pPr>
      <w:numPr>
        <w:numId w:val="7"/>
      </w:numPr>
    </w:pPr>
  </w:style>
  <w:style w:type="numbering" w:styleId="ArticleSection">
    <w:name w:val="Outline List 3"/>
    <w:basedOn w:val="NoList"/>
    <w:rsid w:val="005C05C5"/>
    <w:pPr>
      <w:numPr>
        <w:numId w:val="8"/>
      </w:numPr>
    </w:pPr>
  </w:style>
  <w:style w:type="paragraph" w:styleId="BodyText2">
    <w:name w:val="Body Text 2"/>
    <w:basedOn w:val="Normal"/>
    <w:link w:val="BodyText2Char"/>
    <w:rsid w:val="005C05C5"/>
    <w:pPr>
      <w:tabs>
        <w:tab w:val="clear" w:pos="431"/>
      </w:tabs>
      <w:suppressAutoHyphens/>
      <w:overflowPunct/>
      <w:adjustRightInd/>
      <w:snapToGrid/>
      <w:spacing w:after="120" w:line="480" w:lineRule="auto"/>
      <w:jc w:val="left"/>
    </w:pPr>
    <w:rPr>
      <w:snapToGrid/>
      <w:sz w:val="20"/>
      <w:lang w:val="en-GB" w:eastAsia="en-US"/>
    </w:rPr>
  </w:style>
  <w:style w:type="character" w:customStyle="1" w:styleId="BodyText2Char">
    <w:name w:val="Body Text 2 Char"/>
    <w:link w:val="BodyText2"/>
    <w:rsid w:val="005C05C5"/>
    <w:rPr>
      <w:lang w:val="en-GB" w:eastAsia="en-US"/>
    </w:rPr>
  </w:style>
  <w:style w:type="paragraph" w:styleId="BodyText3">
    <w:name w:val="Body Text 3"/>
    <w:aliases w:val="Знак"/>
    <w:basedOn w:val="Normal"/>
    <w:link w:val="BodyText3Char"/>
    <w:rsid w:val="005C05C5"/>
    <w:pPr>
      <w:tabs>
        <w:tab w:val="clear" w:pos="431"/>
      </w:tabs>
      <w:suppressAutoHyphens/>
      <w:overflowPunct/>
      <w:adjustRightInd/>
      <w:snapToGrid/>
      <w:spacing w:after="120" w:line="240" w:lineRule="atLeast"/>
      <w:jc w:val="left"/>
    </w:pPr>
    <w:rPr>
      <w:snapToGrid/>
      <w:sz w:val="16"/>
      <w:szCs w:val="16"/>
      <w:lang w:val="en-GB" w:eastAsia="en-US"/>
    </w:rPr>
  </w:style>
  <w:style w:type="character" w:customStyle="1" w:styleId="BodyText3Char">
    <w:name w:val="Body Text 3 Char"/>
    <w:aliases w:val="Знак Char"/>
    <w:link w:val="BodyText3"/>
    <w:rsid w:val="005C05C5"/>
    <w:rPr>
      <w:sz w:val="16"/>
      <w:szCs w:val="16"/>
      <w:lang w:val="en-GB" w:eastAsia="en-US"/>
    </w:rPr>
  </w:style>
  <w:style w:type="paragraph" w:styleId="BodyTextFirstIndent">
    <w:name w:val="Body Text First Indent"/>
    <w:basedOn w:val="BodyText"/>
    <w:link w:val="BodyTextFirstIndentChar"/>
    <w:rsid w:val="005C05C5"/>
    <w:pPr>
      <w:spacing w:after="120"/>
      <w:ind w:firstLine="210"/>
    </w:pPr>
  </w:style>
  <w:style w:type="character" w:customStyle="1" w:styleId="BodyTextFirstIndentChar">
    <w:name w:val="Body Text First Indent Char"/>
    <w:basedOn w:val="BodyTextChar2"/>
    <w:link w:val="BodyTextFirstIndent"/>
    <w:rsid w:val="005C05C5"/>
  </w:style>
  <w:style w:type="paragraph" w:styleId="BodyTextFirstIndent2">
    <w:name w:val="Body Text First Indent 2"/>
    <w:basedOn w:val="BodyTextIndent"/>
    <w:link w:val="BodyTextFirstIndent2Char"/>
    <w:rsid w:val="005C05C5"/>
    <w:pPr>
      <w:ind w:firstLine="210"/>
    </w:pPr>
  </w:style>
  <w:style w:type="character" w:customStyle="1" w:styleId="BodyTextFirstIndent2Char">
    <w:name w:val="Body Text First Indent 2 Char"/>
    <w:basedOn w:val="BodyTextIndentChar"/>
    <w:link w:val="BodyTextFirstIndent2"/>
    <w:rsid w:val="005C05C5"/>
  </w:style>
  <w:style w:type="paragraph" w:styleId="BodyTextIndent2">
    <w:name w:val="Body Text Indent 2"/>
    <w:basedOn w:val="Normal"/>
    <w:link w:val="BodyTextIndent2Char"/>
    <w:rsid w:val="005C05C5"/>
    <w:pPr>
      <w:tabs>
        <w:tab w:val="clear" w:pos="431"/>
      </w:tabs>
      <w:suppressAutoHyphens/>
      <w:overflowPunct/>
      <w:adjustRightInd/>
      <w:snapToGrid/>
      <w:spacing w:after="120" w:line="480" w:lineRule="auto"/>
      <w:ind w:left="283"/>
      <w:jc w:val="left"/>
    </w:pPr>
    <w:rPr>
      <w:snapToGrid/>
      <w:sz w:val="20"/>
      <w:lang w:val="en-GB" w:eastAsia="en-US"/>
    </w:rPr>
  </w:style>
  <w:style w:type="character" w:customStyle="1" w:styleId="BodyTextIndent2Char">
    <w:name w:val="Body Text Indent 2 Char"/>
    <w:link w:val="BodyTextIndent2"/>
    <w:rsid w:val="005C05C5"/>
    <w:rPr>
      <w:lang w:val="en-GB" w:eastAsia="en-US"/>
    </w:rPr>
  </w:style>
  <w:style w:type="paragraph" w:styleId="BodyTextIndent3">
    <w:name w:val="Body Text Indent 3"/>
    <w:basedOn w:val="Normal"/>
    <w:link w:val="BodyTextIndent3Char"/>
    <w:rsid w:val="005C05C5"/>
    <w:pPr>
      <w:tabs>
        <w:tab w:val="clear" w:pos="431"/>
      </w:tabs>
      <w:suppressAutoHyphens/>
      <w:overflowPunct/>
      <w:adjustRightInd/>
      <w:snapToGrid/>
      <w:spacing w:after="120" w:line="240" w:lineRule="atLeast"/>
      <w:ind w:left="283"/>
      <w:jc w:val="left"/>
    </w:pPr>
    <w:rPr>
      <w:snapToGrid/>
      <w:sz w:val="16"/>
      <w:szCs w:val="16"/>
      <w:lang w:val="en-GB" w:eastAsia="en-US"/>
    </w:rPr>
  </w:style>
  <w:style w:type="character" w:customStyle="1" w:styleId="BodyTextIndent3Char">
    <w:name w:val="Body Text Indent 3 Char"/>
    <w:link w:val="BodyTextIndent3"/>
    <w:rsid w:val="005C05C5"/>
    <w:rPr>
      <w:sz w:val="16"/>
      <w:szCs w:val="16"/>
      <w:lang w:val="en-GB" w:eastAsia="en-US"/>
    </w:rPr>
  </w:style>
  <w:style w:type="paragraph" w:styleId="Closing">
    <w:name w:val="Closing"/>
    <w:basedOn w:val="Normal"/>
    <w:link w:val="ClosingChar"/>
    <w:rsid w:val="005C05C5"/>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ClosingChar">
    <w:name w:val="Closing Char"/>
    <w:link w:val="Closing"/>
    <w:rsid w:val="005C05C5"/>
    <w:rPr>
      <w:lang w:val="en-GB" w:eastAsia="en-US"/>
    </w:rPr>
  </w:style>
  <w:style w:type="paragraph" w:styleId="Date">
    <w:name w:val="Date"/>
    <w:basedOn w:val="Normal"/>
    <w:next w:val="Normal"/>
    <w:link w:val="DateChar"/>
    <w:rsid w:val="005C05C5"/>
    <w:pPr>
      <w:tabs>
        <w:tab w:val="clear" w:pos="431"/>
      </w:tabs>
      <w:suppressAutoHyphens/>
      <w:overflowPunct/>
      <w:adjustRightInd/>
      <w:snapToGrid/>
      <w:spacing w:line="240" w:lineRule="atLeast"/>
      <w:jc w:val="left"/>
    </w:pPr>
    <w:rPr>
      <w:snapToGrid/>
      <w:sz w:val="20"/>
      <w:lang w:val="en-GB" w:eastAsia="en-US"/>
    </w:rPr>
  </w:style>
  <w:style w:type="character" w:customStyle="1" w:styleId="DateChar">
    <w:name w:val="Date Char"/>
    <w:link w:val="Date"/>
    <w:rsid w:val="005C05C5"/>
    <w:rPr>
      <w:lang w:val="en-GB" w:eastAsia="en-US"/>
    </w:rPr>
  </w:style>
  <w:style w:type="paragraph" w:styleId="E-mailSignature">
    <w:name w:val="E-mail Signature"/>
    <w:basedOn w:val="Normal"/>
    <w:link w:val="E-mailSignatureChar"/>
    <w:rsid w:val="005C05C5"/>
    <w:pPr>
      <w:tabs>
        <w:tab w:val="clear" w:pos="431"/>
      </w:tabs>
      <w:suppressAutoHyphens/>
      <w:overflowPunct/>
      <w:adjustRightInd/>
      <w:snapToGrid/>
      <w:spacing w:line="240" w:lineRule="atLeast"/>
      <w:jc w:val="left"/>
    </w:pPr>
    <w:rPr>
      <w:snapToGrid/>
      <w:sz w:val="20"/>
      <w:lang w:val="en-GB" w:eastAsia="en-US"/>
    </w:rPr>
  </w:style>
  <w:style w:type="character" w:customStyle="1" w:styleId="E-mailSignatureChar">
    <w:name w:val="E-mail Signature Char"/>
    <w:link w:val="E-mailSignature"/>
    <w:rsid w:val="005C05C5"/>
    <w:rPr>
      <w:lang w:val="en-GB" w:eastAsia="en-US"/>
    </w:rPr>
  </w:style>
  <w:style w:type="character" w:styleId="Emphasis">
    <w:name w:val="Emphasis"/>
    <w:qFormat/>
    <w:rsid w:val="005C05C5"/>
    <w:rPr>
      <w:i/>
      <w:iCs/>
    </w:rPr>
  </w:style>
  <w:style w:type="paragraph" w:styleId="EnvelopeReturn">
    <w:name w:val="envelope return"/>
    <w:basedOn w:val="Normal"/>
    <w:rsid w:val="005C05C5"/>
    <w:pPr>
      <w:tabs>
        <w:tab w:val="clear" w:pos="431"/>
      </w:tabs>
      <w:suppressAutoHyphens/>
      <w:overflowPunct/>
      <w:adjustRightInd/>
      <w:snapToGrid/>
      <w:spacing w:line="240" w:lineRule="atLeast"/>
      <w:jc w:val="left"/>
    </w:pPr>
    <w:rPr>
      <w:rFonts w:ascii="Arial" w:hAnsi="Arial" w:cs="Arial"/>
      <w:snapToGrid/>
      <w:sz w:val="20"/>
      <w:lang w:val="en-GB" w:eastAsia="en-US"/>
    </w:rPr>
  </w:style>
  <w:style w:type="character" w:styleId="HTMLAcronym">
    <w:name w:val="HTML Acronym"/>
    <w:rsid w:val="005C05C5"/>
  </w:style>
  <w:style w:type="paragraph" w:styleId="HTMLAddress">
    <w:name w:val="HTML Address"/>
    <w:basedOn w:val="Normal"/>
    <w:link w:val="HTMLAddressChar"/>
    <w:rsid w:val="005C05C5"/>
    <w:pPr>
      <w:tabs>
        <w:tab w:val="clear" w:pos="431"/>
      </w:tabs>
      <w:suppressAutoHyphens/>
      <w:overflowPunct/>
      <w:adjustRightInd/>
      <w:snapToGrid/>
      <w:spacing w:line="240" w:lineRule="atLeast"/>
      <w:jc w:val="left"/>
    </w:pPr>
    <w:rPr>
      <w:i/>
      <w:iCs/>
      <w:snapToGrid/>
      <w:sz w:val="20"/>
      <w:lang w:val="en-GB" w:eastAsia="en-US"/>
    </w:rPr>
  </w:style>
  <w:style w:type="character" w:customStyle="1" w:styleId="HTMLAddressChar">
    <w:name w:val="HTML Address Char"/>
    <w:link w:val="HTMLAddress"/>
    <w:rsid w:val="005C05C5"/>
    <w:rPr>
      <w:i/>
      <w:iCs/>
      <w:lang w:val="en-GB" w:eastAsia="en-US"/>
    </w:rPr>
  </w:style>
  <w:style w:type="character" w:styleId="HTMLCite">
    <w:name w:val="HTML Cite"/>
    <w:rsid w:val="005C05C5"/>
    <w:rPr>
      <w:i/>
      <w:iCs/>
    </w:rPr>
  </w:style>
  <w:style w:type="character" w:styleId="HTMLCode">
    <w:name w:val="HTML Code"/>
    <w:rsid w:val="005C05C5"/>
    <w:rPr>
      <w:rFonts w:ascii="Courier New" w:hAnsi="Courier New" w:cs="Courier New"/>
      <w:sz w:val="20"/>
      <w:szCs w:val="20"/>
    </w:rPr>
  </w:style>
  <w:style w:type="character" w:styleId="HTMLDefinition">
    <w:name w:val="HTML Definition"/>
    <w:rsid w:val="005C05C5"/>
    <w:rPr>
      <w:i/>
      <w:iCs/>
    </w:rPr>
  </w:style>
  <w:style w:type="character" w:styleId="HTMLKeyboard">
    <w:name w:val="HTML Keyboard"/>
    <w:rsid w:val="005C05C5"/>
    <w:rPr>
      <w:rFonts w:ascii="Courier New" w:hAnsi="Courier New" w:cs="Courier New"/>
      <w:sz w:val="20"/>
      <w:szCs w:val="20"/>
    </w:rPr>
  </w:style>
  <w:style w:type="paragraph" w:styleId="HTMLPreformatted">
    <w:name w:val="HTML Preformatted"/>
    <w:basedOn w:val="Normal"/>
    <w:link w:val="HTMLPreformattedChar"/>
    <w:rsid w:val="005C05C5"/>
    <w:pPr>
      <w:tabs>
        <w:tab w:val="clear" w:pos="431"/>
      </w:tabs>
      <w:suppressAutoHyphens/>
      <w:overflowPunct/>
      <w:adjustRightInd/>
      <w:snapToGrid/>
      <w:spacing w:line="240" w:lineRule="atLeast"/>
      <w:jc w:val="left"/>
    </w:pPr>
    <w:rPr>
      <w:rFonts w:ascii="Courier New" w:hAnsi="Courier New"/>
      <w:snapToGrid/>
      <w:sz w:val="20"/>
      <w:lang w:val="en-GB" w:eastAsia="en-US"/>
    </w:rPr>
  </w:style>
  <w:style w:type="character" w:customStyle="1" w:styleId="HTMLPreformattedChar">
    <w:name w:val="HTML Preformatted Char"/>
    <w:link w:val="HTMLPreformatted"/>
    <w:rsid w:val="005C05C5"/>
    <w:rPr>
      <w:rFonts w:ascii="Courier New" w:hAnsi="Courier New"/>
      <w:lang w:val="en-GB" w:eastAsia="en-US"/>
    </w:rPr>
  </w:style>
  <w:style w:type="character" w:styleId="HTMLSample">
    <w:name w:val="HTML Sample"/>
    <w:rsid w:val="005C05C5"/>
    <w:rPr>
      <w:rFonts w:ascii="Courier New" w:hAnsi="Courier New" w:cs="Courier New"/>
    </w:rPr>
  </w:style>
  <w:style w:type="character" w:styleId="HTMLTypewriter">
    <w:name w:val="HTML Typewriter"/>
    <w:rsid w:val="005C05C5"/>
    <w:rPr>
      <w:rFonts w:ascii="Courier New" w:hAnsi="Courier New" w:cs="Courier New"/>
      <w:sz w:val="20"/>
      <w:szCs w:val="20"/>
    </w:rPr>
  </w:style>
  <w:style w:type="character" w:styleId="HTMLVariable">
    <w:name w:val="HTML Variable"/>
    <w:rsid w:val="005C05C5"/>
    <w:rPr>
      <w:i/>
      <w:iCs/>
    </w:rPr>
  </w:style>
  <w:style w:type="paragraph" w:styleId="List">
    <w:name w:val="List"/>
    <w:basedOn w:val="Normal"/>
    <w:rsid w:val="005C05C5"/>
    <w:pPr>
      <w:tabs>
        <w:tab w:val="clear" w:pos="431"/>
      </w:tabs>
      <w:suppressAutoHyphens/>
      <w:overflowPunct/>
      <w:adjustRightInd/>
      <w:snapToGrid/>
      <w:spacing w:line="240" w:lineRule="atLeast"/>
      <w:ind w:left="283" w:hanging="283"/>
      <w:jc w:val="left"/>
    </w:pPr>
    <w:rPr>
      <w:snapToGrid/>
      <w:sz w:val="20"/>
      <w:lang w:val="en-GB" w:eastAsia="en-US"/>
    </w:rPr>
  </w:style>
  <w:style w:type="paragraph" w:styleId="List2">
    <w:name w:val="List 2"/>
    <w:basedOn w:val="Normal"/>
    <w:rsid w:val="005C05C5"/>
    <w:pPr>
      <w:tabs>
        <w:tab w:val="clear" w:pos="431"/>
      </w:tabs>
      <w:suppressAutoHyphens/>
      <w:overflowPunct/>
      <w:adjustRightInd/>
      <w:snapToGrid/>
      <w:spacing w:line="240" w:lineRule="atLeast"/>
      <w:ind w:left="566" w:hanging="283"/>
      <w:jc w:val="left"/>
    </w:pPr>
    <w:rPr>
      <w:snapToGrid/>
      <w:sz w:val="20"/>
      <w:lang w:val="en-GB" w:eastAsia="en-US"/>
    </w:rPr>
  </w:style>
  <w:style w:type="paragraph" w:styleId="List3">
    <w:name w:val="List 3"/>
    <w:basedOn w:val="Normal"/>
    <w:rsid w:val="005C05C5"/>
    <w:pPr>
      <w:tabs>
        <w:tab w:val="clear" w:pos="431"/>
      </w:tabs>
      <w:suppressAutoHyphens/>
      <w:overflowPunct/>
      <w:adjustRightInd/>
      <w:snapToGrid/>
      <w:spacing w:line="240" w:lineRule="atLeast"/>
      <w:ind w:left="849" w:hanging="283"/>
      <w:jc w:val="left"/>
    </w:pPr>
    <w:rPr>
      <w:snapToGrid/>
      <w:sz w:val="20"/>
      <w:lang w:val="en-GB" w:eastAsia="en-US"/>
    </w:rPr>
  </w:style>
  <w:style w:type="paragraph" w:styleId="List4">
    <w:name w:val="List 4"/>
    <w:basedOn w:val="Normal"/>
    <w:rsid w:val="005C05C5"/>
    <w:pPr>
      <w:tabs>
        <w:tab w:val="clear" w:pos="431"/>
      </w:tabs>
      <w:suppressAutoHyphens/>
      <w:overflowPunct/>
      <w:adjustRightInd/>
      <w:snapToGrid/>
      <w:spacing w:line="240" w:lineRule="atLeast"/>
      <w:ind w:left="1132" w:hanging="283"/>
      <w:jc w:val="left"/>
    </w:pPr>
    <w:rPr>
      <w:snapToGrid/>
      <w:sz w:val="20"/>
      <w:lang w:val="en-GB" w:eastAsia="en-US"/>
    </w:rPr>
  </w:style>
  <w:style w:type="paragraph" w:styleId="List5">
    <w:name w:val="List 5"/>
    <w:basedOn w:val="Normal"/>
    <w:rsid w:val="005C05C5"/>
    <w:pPr>
      <w:tabs>
        <w:tab w:val="clear" w:pos="431"/>
      </w:tabs>
      <w:suppressAutoHyphens/>
      <w:overflowPunct/>
      <w:adjustRightInd/>
      <w:snapToGrid/>
      <w:spacing w:line="240" w:lineRule="atLeast"/>
      <w:ind w:left="1415" w:hanging="283"/>
      <w:jc w:val="left"/>
    </w:pPr>
    <w:rPr>
      <w:snapToGrid/>
      <w:sz w:val="20"/>
      <w:lang w:val="en-GB" w:eastAsia="en-US"/>
    </w:rPr>
  </w:style>
  <w:style w:type="paragraph" w:styleId="ListBullet">
    <w:name w:val="List Bullet"/>
    <w:basedOn w:val="Normal"/>
    <w:rsid w:val="005C05C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Bullet2">
    <w:name w:val="List Bullet 2"/>
    <w:basedOn w:val="Normal"/>
    <w:rsid w:val="005C05C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Bullet3">
    <w:name w:val="List Bullet 3"/>
    <w:basedOn w:val="Normal"/>
    <w:rsid w:val="005C05C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Bullet4">
    <w:name w:val="List Bullet 4"/>
    <w:basedOn w:val="Normal"/>
    <w:rsid w:val="005C05C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Bullet5">
    <w:name w:val="List Bullet 5"/>
    <w:basedOn w:val="Normal"/>
    <w:rsid w:val="005C05C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ListContinue">
    <w:name w:val="List Continue"/>
    <w:basedOn w:val="Normal"/>
    <w:rsid w:val="005C05C5"/>
    <w:pPr>
      <w:tabs>
        <w:tab w:val="clear" w:pos="431"/>
      </w:tabs>
      <w:suppressAutoHyphens/>
      <w:overflowPunct/>
      <w:adjustRightInd/>
      <w:snapToGrid/>
      <w:spacing w:after="120" w:line="240" w:lineRule="atLeast"/>
      <w:ind w:left="283"/>
      <w:jc w:val="left"/>
    </w:pPr>
    <w:rPr>
      <w:snapToGrid/>
      <w:sz w:val="20"/>
      <w:lang w:val="en-GB" w:eastAsia="en-US"/>
    </w:rPr>
  </w:style>
  <w:style w:type="paragraph" w:styleId="ListContinue2">
    <w:name w:val="List Continue 2"/>
    <w:basedOn w:val="Normal"/>
    <w:rsid w:val="005C05C5"/>
    <w:pPr>
      <w:tabs>
        <w:tab w:val="clear" w:pos="431"/>
      </w:tabs>
      <w:suppressAutoHyphens/>
      <w:overflowPunct/>
      <w:adjustRightInd/>
      <w:snapToGrid/>
      <w:spacing w:after="120" w:line="240" w:lineRule="atLeast"/>
      <w:ind w:left="566"/>
      <w:jc w:val="left"/>
    </w:pPr>
    <w:rPr>
      <w:snapToGrid/>
      <w:sz w:val="20"/>
      <w:lang w:val="en-GB" w:eastAsia="en-US"/>
    </w:rPr>
  </w:style>
  <w:style w:type="paragraph" w:styleId="ListContinue3">
    <w:name w:val="List Continue 3"/>
    <w:basedOn w:val="Normal"/>
    <w:rsid w:val="005C05C5"/>
    <w:pPr>
      <w:tabs>
        <w:tab w:val="clear" w:pos="431"/>
      </w:tabs>
      <w:suppressAutoHyphens/>
      <w:overflowPunct/>
      <w:adjustRightInd/>
      <w:snapToGrid/>
      <w:spacing w:after="120" w:line="240" w:lineRule="atLeast"/>
      <w:ind w:left="849"/>
      <w:jc w:val="left"/>
    </w:pPr>
    <w:rPr>
      <w:snapToGrid/>
      <w:sz w:val="20"/>
      <w:lang w:val="en-GB" w:eastAsia="en-US"/>
    </w:rPr>
  </w:style>
  <w:style w:type="paragraph" w:styleId="ListContinue4">
    <w:name w:val="List Continue 4"/>
    <w:basedOn w:val="Normal"/>
    <w:rsid w:val="005C05C5"/>
    <w:pPr>
      <w:tabs>
        <w:tab w:val="clear" w:pos="431"/>
      </w:tabs>
      <w:suppressAutoHyphens/>
      <w:overflowPunct/>
      <w:adjustRightInd/>
      <w:snapToGrid/>
      <w:spacing w:after="120" w:line="240" w:lineRule="atLeast"/>
      <w:ind w:left="1132"/>
      <w:jc w:val="left"/>
    </w:pPr>
    <w:rPr>
      <w:snapToGrid/>
      <w:sz w:val="20"/>
      <w:lang w:val="en-GB" w:eastAsia="en-US"/>
    </w:rPr>
  </w:style>
  <w:style w:type="paragraph" w:styleId="ListContinue5">
    <w:name w:val="List Continue 5"/>
    <w:basedOn w:val="Normal"/>
    <w:rsid w:val="005C05C5"/>
    <w:pPr>
      <w:tabs>
        <w:tab w:val="clear" w:pos="431"/>
      </w:tabs>
      <w:suppressAutoHyphens/>
      <w:overflowPunct/>
      <w:adjustRightInd/>
      <w:snapToGrid/>
      <w:spacing w:after="120" w:line="240" w:lineRule="atLeast"/>
      <w:ind w:left="1415"/>
      <w:jc w:val="left"/>
    </w:pPr>
    <w:rPr>
      <w:snapToGrid/>
      <w:sz w:val="20"/>
      <w:lang w:val="en-GB" w:eastAsia="en-US"/>
    </w:rPr>
  </w:style>
  <w:style w:type="paragraph" w:styleId="ListNumber">
    <w:name w:val="List Number"/>
    <w:basedOn w:val="Normal"/>
    <w:rsid w:val="005C05C5"/>
    <w:pPr>
      <w:tabs>
        <w:tab w:val="clear" w:pos="431"/>
        <w:tab w:val="num" w:pos="360"/>
      </w:tabs>
      <w:suppressAutoHyphens/>
      <w:overflowPunct/>
      <w:adjustRightInd/>
      <w:snapToGrid/>
      <w:spacing w:line="240" w:lineRule="atLeast"/>
      <w:ind w:left="360" w:hanging="360"/>
      <w:jc w:val="left"/>
    </w:pPr>
    <w:rPr>
      <w:snapToGrid/>
      <w:sz w:val="20"/>
      <w:lang w:val="en-GB" w:eastAsia="en-US"/>
    </w:rPr>
  </w:style>
  <w:style w:type="paragraph" w:styleId="ListNumber2">
    <w:name w:val="List Number 2"/>
    <w:basedOn w:val="Normal"/>
    <w:rsid w:val="005C05C5"/>
    <w:pPr>
      <w:tabs>
        <w:tab w:val="clear" w:pos="431"/>
        <w:tab w:val="num" w:pos="643"/>
      </w:tabs>
      <w:suppressAutoHyphens/>
      <w:overflowPunct/>
      <w:adjustRightInd/>
      <w:snapToGrid/>
      <w:spacing w:line="240" w:lineRule="atLeast"/>
      <w:ind w:left="643" w:hanging="360"/>
      <w:jc w:val="left"/>
    </w:pPr>
    <w:rPr>
      <w:snapToGrid/>
      <w:sz w:val="20"/>
      <w:lang w:val="en-GB" w:eastAsia="en-US"/>
    </w:rPr>
  </w:style>
  <w:style w:type="paragraph" w:styleId="ListNumber3">
    <w:name w:val="List Number 3"/>
    <w:basedOn w:val="Normal"/>
    <w:rsid w:val="005C05C5"/>
    <w:pPr>
      <w:tabs>
        <w:tab w:val="clear" w:pos="431"/>
        <w:tab w:val="num" w:pos="926"/>
      </w:tabs>
      <w:suppressAutoHyphens/>
      <w:overflowPunct/>
      <w:adjustRightInd/>
      <w:snapToGrid/>
      <w:spacing w:line="240" w:lineRule="atLeast"/>
      <w:ind w:left="926" w:hanging="360"/>
      <w:jc w:val="left"/>
    </w:pPr>
    <w:rPr>
      <w:snapToGrid/>
      <w:sz w:val="20"/>
      <w:lang w:val="en-GB" w:eastAsia="en-US"/>
    </w:rPr>
  </w:style>
  <w:style w:type="paragraph" w:styleId="ListNumber4">
    <w:name w:val="List Number 4"/>
    <w:basedOn w:val="Normal"/>
    <w:rsid w:val="005C05C5"/>
    <w:pPr>
      <w:tabs>
        <w:tab w:val="clear" w:pos="431"/>
        <w:tab w:val="num" w:pos="1209"/>
      </w:tabs>
      <w:suppressAutoHyphens/>
      <w:overflowPunct/>
      <w:adjustRightInd/>
      <w:snapToGrid/>
      <w:spacing w:line="240" w:lineRule="atLeast"/>
      <w:ind w:left="1209" w:hanging="360"/>
      <w:jc w:val="left"/>
    </w:pPr>
    <w:rPr>
      <w:snapToGrid/>
      <w:sz w:val="20"/>
      <w:lang w:val="en-GB" w:eastAsia="en-US"/>
    </w:rPr>
  </w:style>
  <w:style w:type="paragraph" w:styleId="ListNumber5">
    <w:name w:val="List Number 5"/>
    <w:basedOn w:val="Normal"/>
    <w:rsid w:val="005C05C5"/>
    <w:pPr>
      <w:tabs>
        <w:tab w:val="clear" w:pos="431"/>
        <w:tab w:val="num" w:pos="1492"/>
      </w:tabs>
      <w:suppressAutoHyphens/>
      <w:overflowPunct/>
      <w:adjustRightInd/>
      <w:snapToGrid/>
      <w:spacing w:line="240" w:lineRule="atLeast"/>
      <w:ind w:left="1492" w:hanging="360"/>
      <w:jc w:val="left"/>
    </w:pPr>
    <w:rPr>
      <w:snapToGrid/>
      <w:sz w:val="20"/>
      <w:lang w:val="en-GB" w:eastAsia="en-US"/>
    </w:rPr>
  </w:style>
  <w:style w:type="paragraph" w:styleId="MessageHeader">
    <w:name w:val="Message Header"/>
    <w:basedOn w:val="Normal"/>
    <w:link w:val="MessageHeaderChar"/>
    <w:rsid w:val="005C05C5"/>
    <w:pPr>
      <w:pBdr>
        <w:top w:val="single" w:sz="6" w:space="1" w:color="auto"/>
        <w:left w:val="single" w:sz="6" w:space="1" w:color="auto"/>
        <w:bottom w:val="single" w:sz="6" w:space="1" w:color="auto"/>
        <w:right w:val="single" w:sz="6" w:space="1" w:color="auto"/>
      </w:pBdr>
      <w:shd w:val="pct20" w:color="auto" w:fill="auto"/>
      <w:tabs>
        <w:tab w:val="clear" w:pos="431"/>
      </w:tabs>
      <w:suppressAutoHyphens/>
      <w:overflowPunct/>
      <w:adjustRightInd/>
      <w:snapToGrid/>
      <w:spacing w:line="240" w:lineRule="atLeast"/>
      <w:ind w:left="1134" w:hanging="1134"/>
      <w:jc w:val="left"/>
    </w:pPr>
    <w:rPr>
      <w:rFonts w:ascii="Arial" w:hAnsi="Arial"/>
      <w:snapToGrid/>
      <w:sz w:val="24"/>
      <w:szCs w:val="24"/>
      <w:lang w:val="en-GB" w:eastAsia="en-US"/>
    </w:rPr>
  </w:style>
  <w:style w:type="character" w:customStyle="1" w:styleId="MessageHeaderChar">
    <w:name w:val="Message Header Char"/>
    <w:link w:val="MessageHeader"/>
    <w:rsid w:val="005C05C5"/>
    <w:rPr>
      <w:rFonts w:ascii="Arial" w:hAnsi="Arial" w:cs="Arial"/>
      <w:sz w:val="24"/>
      <w:szCs w:val="24"/>
      <w:shd w:val="pct20" w:color="auto" w:fill="auto"/>
      <w:lang w:val="en-GB" w:eastAsia="en-US"/>
    </w:rPr>
  </w:style>
  <w:style w:type="paragraph" w:styleId="NormalIndent">
    <w:name w:val="Normal Indent"/>
    <w:basedOn w:val="Normal"/>
    <w:rsid w:val="005C05C5"/>
    <w:pPr>
      <w:tabs>
        <w:tab w:val="clear" w:pos="431"/>
      </w:tabs>
      <w:suppressAutoHyphens/>
      <w:overflowPunct/>
      <w:adjustRightInd/>
      <w:snapToGrid/>
      <w:spacing w:line="240" w:lineRule="atLeast"/>
      <w:ind w:left="567"/>
      <w:jc w:val="left"/>
    </w:pPr>
    <w:rPr>
      <w:snapToGrid/>
      <w:sz w:val="20"/>
      <w:lang w:val="en-GB" w:eastAsia="en-US"/>
    </w:rPr>
  </w:style>
  <w:style w:type="paragraph" w:styleId="NoteHeading">
    <w:name w:val="Note Heading"/>
    <w:basedOn w:val="Normal"/>
    <w:next w:val="Normal"/>
    <w:link w:val="NoteHeadingChar"/>
    <w:rsid w:val="005C05C5"/>
    <w:pPr>
      <w:tabs>
        <w:tab w:val="clear" w:pos="431"/>
      </w:tabs>
      <w:suppressAutoHyphens/>
      <w:overflowPunct/>
      <w:adjustRightInd/>
      <w:snapToGrid/>
      <w:spacing w:line="240" w:lineRule="atLeast"/>
      <w:jc w:val="left"/>
    </w:pPr>
    <w:rPr>
      <w:snapToGrid/>
      <w:sz w:val="20"/>
      <w:lang w:val="en-GB" w:eastAsia="en-US"/>
    </w:rPr>
  </w:style>
  <w:style w:type="character" w:customStyle="1" w:styleId="NoteHeadingChar">
    <w:name w:val="Note Heading Char"/>
    <w:link w:val="NoteHeading"/>
    <w:rsid w:val="005C05C5"/>
    <w:rPr>
      <w:lang w:val="en-GB" w:eastAsia="en-US"/>
    </w:rPr>
  </w:style>
  <w:style w:type="paragraph" w:styleId="Salutation">
    <w:name w:val="Salutation"/>
    <w:basedOn w:val="Normal"/>
    <w:next w:val="Normal"/>
    <w:link w:val="SalutationChar"/>
    <w:rsid w:val="005C05C5"/>
    <w:pPr>
      <w:tabs>
        <w:tab w:val="clear" w:pos="431"/>
      </w:tabs>
      <w:suppressAutoHyphens/>
      <w:overflowPunct/>
      <w:adjustRightInd/>
      <w:snapToGrid/>
      <w:spacing w:line="240" w:lineRule="atLeast"/>
      <w:jc w:val="left"/>
    </w:pPr>
    <w:rPr>
      <w:snapToGrid/>
      <w:sz w:val="20"/>
      <w:lang w:val="en-GB" w:eastAsia="en-US"/>
    </w:rPr>
  </w:style>
  <w:style w:type="character" w:customStyle="1" w:styleId="SalutationChar">
    <w:name w:val="Salutation Char"/>
    <w:link w:val="Salutation"/>
    <w:rsid w:val="005C05C5"/>
    <w:rPr>
      <w:lang w:val="en-GB" w:eastAsia="en-US"/>
    </w:rPr>
  </w:style>
  <w:style w:type="paragraph" w:styleId="Signature">
    <w:name w:val="Signature"/>
    <w:basedOn w:val="Normal"/>
    <w:link w:val="SignatureChar"/>
    <w:rsid w:val="005C05C5"/>
    <w:pPr>
      <w:tabs>
        <w:tab w:val="clear" w:pos="431"/>
      </w:tabs>
      <w:suppressAutoHyphens/>
      <w:overflowPunct/>
      <w:adjustRightInd/>
      <w:snapToGrid/>
      <w:spacing w:line="240" w:lineRule="atLeast"/>
      <w:ind w:left="4252"/>
      <w:jc w:val="left"/>
    </w:pPr>
    <w:rPr>
      <w:snapToGrid/>
      <w:sz w:val="20"/>
      <w:lang w:val="en-GB" w:eastAsia="en-US"/>
    </w:rPr>
  </w:style>
  <w:style w:type="character" w:customStyle="1" w:styleId="SignatureChar">
    <w:name w:val="Signature Char"/>
    <w:link w:val="Signature"/>
    <w:rsid w:val="005C05C5"/>
    <w:rPr>
      <w:lang w:val="en-GB" w:eastAsia="en-US"/>
    </w:rPr>
  </w:style>
  <w:style w:type="character" w:styleId="Strong">
    <w:name w:val="Strong"/>
    <w:qFormat/>
    <w:rsid w:val="005C05C5"/>
    <w:rPr>
      <w:b/>
      <w:bCs/>
    </w:rPr>
  </w:style>
  <w:style w:type="paragraph" w:styleId="Subtitle">
    <w:name w:val="Subtitle"/>
    <w:basedOn w:val="Normal"/>
    <w:link w:val="SubtitleChar"/>
    <w:qFormat/>
    <w:rsid w:val="005C05C5"/>
    <w:pPr>
      <w:tabs>
        <w:tab w:val="clear" w:pos="431"/>
      </w:tabs>
      <w:suppressAutoHyphens/>
      <w:overflowPunct/>
      <w:adjustRightInd/>
      <w:snapToGrid/>
      <w:spacing w:after="60" w:line="240" w:lineRule="atLeast"/>
      <w:jc w:val="center"/>
      <w:outlineLvl w:val="1"/>
    </w:pPr>
    <w:rPr>
      <w:rFonts w:ascii="Arial" w:hAnsi="Arial"/>
      <w:snapToGrid/>
      <w:sz w:val="24"/>
      <w:szCs w:val="24"/>
      <w:lang w:val="en-GB" w:eastAsia="en-US"/>
    </w:rPr>
  </w:style>
  <w:style w:type="character" w:customStyle="1" w:styleId="SubtitleChar">
    <w:name w:val="Subtitle Char"/>
    <w:link w:val="Subtitle"/>
    <w:rsid w:val="005C05C5"/>
    <w:rPr>
      <w:rFonts w:ascii="Arial" w:hAnsi="Arial" w:cs="Arial"/>
      <w:sz w:val="24"/>
      <w:szCs w:val="24"/>
      <w:lang w:val="en-GB" w:eastAsia="en-US"/>
    </w:rPr>
  </w:style>
  <w:style w:type="table" w:styleId="Table3Deffects1">
    <w:name w:val="Table 3D effects 1"/>
    <w:basedOn w:val="TableNormal"/>
    <w:rsid w:val="005C05C5"/>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5C05C5"/>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5C05C5"/>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5C05C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5C05C5"/>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5C05C5"/>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5C05C5"/>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5C05C5"/>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5C05C5"/>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5C05C5"/>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5C05C5"/>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5C05C5"/>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5C05C5"/>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5C05C5"/>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5C05C5"/>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5C05C5"/>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5C05C5"/>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5C05C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5C05C5"/>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5C05C5"/>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5C05C5"/>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5C05C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5C05C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5C05C5"/>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5C05C5"/>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5C05C5"/>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5C05C5"/>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5C05C5"/>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5C05C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5C05C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5C05C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5C05C5"/>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5C05C5"/>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5C05C5"/>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5C05C5"/>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5C05C5"/>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5C05C5"/>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5C05C5"/>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5C05C5"/>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5C05C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rsid w:val="005C05C5"/>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5C05C5"/>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5C05C5"/>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EnvelopeAddress">
    <w:name w:val="envelope address"/>
    <w:basedOn w:val="Normal"/>
    <w:rsid w:val="005C05C5"/>
    <w:pPr>
      <w:framePr w:w="7920" w:h="1980" w:hRule="exact" w:hSpace="180" w:wrap="auto" w:hAnchor="page" w:xAlign="center" w:yAlign="bottom"/>
      <w:tabs>
        <w:tab w:val="clear" w:pos="431"/>
      </w:tabs>
      <w:suppressAutoHyphens/>
      <w:overflowPunct/>
      <w:adjustRightInd/>
      <w:snapToGrid/>
      <w:spacing w:line="240" w:lineRule="atLeast"/>
      <w:ind w:left="2880"/>
      <w:jc w:val="left"/>
    </w:pPr>
    <w:rPr>
      <w:rFonts w:ascii="Arial" w:hAnsi="Arial" w:cs="Arial"/>
      <w:snapToGrid/>
      <w:sz w:val="24"/>
      <w:szCs w:val="24"/>
      <w:lang w:val="en-GB" w:eastAsia="en-US"/>
    </w:rPr>
  </w:style>
  <w:style w:type="paragraph" w:customStyle="1" w:styleId="NoSpacing1">
    <w:name w:val="No Spacing1"/>
    <w:qFormat/>
    <w:rsid w:val="005C05C5"/>
    <w:pPr>
      <w:widowControl w:val="0"/>
      <w:wordWrap w:val="0"/>
      <w:autoSpaceDE w:val="0"/>
      <w:autoSpaceDN w:val="0"/>
      <w:jc w:val="both"/>
    </w:pPr>
    <w:rPr>
      <w:rFonts w:ascii="Malgun Gothic" w:eastAsia="Malgun Gothic" w:hAnsi="Malgun Gothic"/>
      <w:kern w:val="2"/>
      <w:szCs w:val="22"/>
      <w:lang w:eastAsia="ko-KR"/>
    </w:rPr>
  </w:style>
  <w:style w:type="paragraph" w:customStyle="1" w:styleId="ListParagraph1">
    <w:name w:val="List Paragraph1"/>
    <w:basedOn w:val="Normal"/>
    <w:qFormat/>
    <w:rsid w:val="005C05C5"/>
    <w:pPr>
      <w:widowControl w:val="0"/>
      <w:tabs>
        <w:tab w:val="clear" w:pos="431"/>
      </w:tabs>
      <w:wordWrap w:val="0"/>
      <w:overflowPunct/>
      <w:autoSpaceDE w:val="0"/>
      <w:autoSpaceDN w:val="0"/>
      <w:adjustRightInd/>
      <w:snapToGrid/>
      <w:spacing w:after="200" w:line="276" w:lineRule="auto"/>
      <w:ind w:leftChars="400" w:left="800"/>
    </w:pPr>
    <w:rPr>
      <w:rFonts w:ascii="Malgun Gothic" w:eastAsia="Malgun Gothic" w:hAnsi="Malgun Gothic"/>
      <w:snapToGrid/>
      <w:kern w:val="2"/>
      <w:sz w:val="20"/>
      <w:szCs w:val="22"/>
      <w:lang w:eastAsia="ko-KR"/>
    </w:rPr>
  </w:style>
  <w:style w:type="paragraph" w:customStyle="1" w:styleId="a6">
    <w:name w:val="바탕글"/>
    <w:basedOn w:val="Normal"/>
    <w:rsid w:val="005C05C5"/>
    <w:pPr>
      <w:tabs>
        <w:tab w:val="clear" w:pos="431"/>
      </w:tabs>
      <w:overflowPunct/>
      <w:adjustRightInd/>
      <w:spacing w:line="384" w:lineRule="auto"/>
    </w:pPr>
    <w:rPr>
      <w:rFonts w:ascii="Batang" w:eastAsia="Batang" w:hAnsi="Batang" w:cs="Gulim"/>
      <w:snapToGrid/>
      <w:color w:val="000000"/>
      <w:sz w:val="20"/>
      <w:lang w:eastAsia="ko-KR"/>
    </w:rPr>
  </w:style>
  <w:style w:type="character" w:customStyle="1" w:styleId="BalloonTextChar1">
    <w:name w:val="Balloon Text Char1"/>
    <w:link w:val="BalloonText"/>
    <w:locked/>
    <w:rsid w:val="005C05C5"/>
    <w:rPr>
      <w:kern w:val="14"/>
      <w:sz w:val="18"/>
      <w:szCs w:val="18"/>
    </w:rPr>
  </w:style>
  <w:style w:type="paragraph" w:customStyle="1" w:styleId="15">
    <w:name w:val="작은제목(중고딕15)"/>
    <w:basedOn w:val="Normal"/>
    <w:rsid w:val="005C05C5"/>
    <w:pPr>
      <w:tabs>
        <w:tab w:val="clear" w:pos="431"/>
      </w:tabs>
      <w:overflowPunct/>
      <w:adjustRightInd/>
      <w:snapToGrid/>
      <w:spacing w:before="100" w:beforeAutospacing="1" w:after="100" w:afterAutospacing="1" w:line="240" w:lineRule="auto"/>
      <w:jc w:val="left"/>
    </w:pPr>
    <w:rPr>
      <w:rFonts w:ascii="Gulim" w:eastAsia="Gulim" w:hAnsi="Gulim" w:cs="Gulim"/>
      <w:snapToGrid/>
      <w:sz w:val="24"/>
      <w:szCs w:val="24"/>
      <w:lang w:eastAsia="ko-KR"/>
    </w:rPr>
  </w:style>
  <w:style w:type="character" w:customStyle="1" w:styleId="HeaderChar1">
    <w:name w:val="Header Char1"/>
    <w:link w:val="Header"/>
    <w:rsid w:val="005C05C5"/>
    <w:rPr>
      <w:noProof/>
      <w:sz w:val="18"/>
      <w:lang w:bidi="ar-SA"/>
    </w:rPr>
  </w:style>
  <w:style w:type="paragraph" w:customStyle="1" w:styleId="Char2CharCharChar">
    <w:name w:val=" Char2 Char Char Char"/>
    <w:basedOn w:val="Normal"/>
    <w:rsid w:val="005C05C5"/>
    <w:pPr>
      <w:tabs>
        <w:tab w:val="clear" w:pos="431"/>
      </w:tabs>
      <w:overflowPunct/>
      <w:adjustRightInd/>
      <w:snapToGrid/>
      <w:spacing w:after="160" w:line="240" w:lineRule="exact"/>
      <w:jc w:val="left"/>
    </w:pPr>
    <w:rPr>
      <w:rFonts w:ascii="Verdana" w:hAnsi="Verdana"/>
      <w:snapToGrid/>
      <w:sz w:val="20"/>
      <w:lang w:eastAsia="en-US"/>
    </w:rPr>
  </w:style>
  <w:style w:type="paragraph" w:customStyle="1" w:styleId="Style">
    <w:name w:val="Style"/>
    <w:rsid w:val="005C05C5"/>
    <w:pPr>
      <w:widowControl w:val="0"/>
      <w:autoSpaceDE w:val="0"/>
      <w:autoSpaceDN w:val="0"/>
      <w:adjustRightInd w:val="0"/>
    </w:pPr>
    <w:rPr>
      <w:rFonts w:ascii="Arial" w:hAnsi="Arial" w:cs="Arial"/>
      <w:sz w:val="24"/>
      <w:szCs w:val="24"/>
    </w:rPr>
  </w:style>
  <w:style w:type="character" w:customStyle="1" w:styleId="CharChar8">
    <w:name w:val=" Char Char8"/>
    <w:rsid w:val="005C05C5"/>
    <w:rPr>
      <w:sz w:val="22"/>
      <w:szCs w:val="22"/>
      <w:lang w:eastAsia="en-US"/>
    </w:rPr>
  </w:style>
  <w:style w:type="character" w:customStyle="1" w:styleId="CharChar7">
    <w:name w:val=" Char Char7"/>
    <w:rsid w:val="005C05C5"/>
    <w:rPr>
      <w:sz w:val="22"/>
      <w:szCs w:val="22"/>
      <w:lang w:eastAsia="en-US"/>
    </w:rPr>
  </w:style>
  <w:style w:type="character" w:customStyle="1" w:styleId="CharChar5">
    <w:name w:val=" Char Char5"/>
    <w:semiHidden/>
    <w:rsid w:val="005C05C5"/>
    <w:rPr>
      <w:rFonts w:ascii="Tahoma" w:hAnsi="Tahoma" w:cs="Tahoma"/>
      <w:sz w:val="16"/>
      <w:szCs w:val="16"/>
      <w:lang w:val="en-ZA" w:eastAsia="en-US"/>
    </w:rPr>
  </w:style>
  <w:style w:type="character" w:customStyle="1" w:styleId="CommentTextChar3">
    <w:name w:val="Comment Text Char3"/>
    <w:link w:val="CommentText"/>
    <w:rsid w:val="005C05C5"/>
    <w:rPr>
      <w:kern w:val="14"/>
      <w:sz w:val="21"/>
    </w:rPr>
  </w:style>
  <w:style w:type="character" w:customStyle="1" w:styleId="CommentSubjectChar">
    <w:name w:val="Comment Subject Char"/>
    <w:link w:val="CommentSubject"/>
    <w:rsid w:val="005C05C5"/>
    <w:rPr>
      <w:b/>
      <w:bCs/>
      <w:kern w:val="14"/>
      <w:sz w:val="21"/>
    </w:rPr>
  </w:style>
  <w:style w:type="character" w:customStyle="1" w:styleId="FootnoteTextCharChar">
    <w:name w:val="Footnote Text Char Char"/>
    <w:aliases w:val="Footnote Text Char1 Char,Footnote Text Char Char1 Char,Footnote Text Char2 Char1,Footnote Text Char Char Char Char Char,Footnote Text Char1 Char1 Char,Footnote Text Char Char Char1 Char,Footnote Text Char3 Char,Arial Char Char"/>
    <w:rsid w:val="005C05C5"/>
    <w:rPr>
      <w:spacing w:val="5"/>
      <w:w w:val="104"/>
      <w:kern w:val="14"/>
      <w:sz w:val="17"/>
      <w:lang w:val="en-GB" w:eastAsia="en-US"/>
    </w:rPr>
  </w:style>
  <w:style w:type="paragraph" w:customStyle="1" w:styleId="Default">
    <w:name w:val="Default"/>
    <w:rsid w:val="005C05C5"/>
    <w:pPr>
      <w:autoSpaceDE w:val="0"/>
      <w:autoSpaceDN w:val="0"/>
      <w:adjustRightInd w:val="0"/>
    </w:pPr>
    <w:rPr>
      <w:color w:val="000000"/>
      <w:sz w:val="24"/>
      <w:szCs w:val="24"/>
      <w:lang w:val="en-SG" w:eastAsia="en-SG"/>
    </w:rPr>
  </w:style>
  <w:style w:type="character" w:customStyle="1" w:styleId="apple-style-span">
    <w:name w:val="apple-style-span"/>
    <w:rsid w:val="005C05C5"/>
  </w:style>
  <w:style w:type="character" w:customStyle="1" w:styleId="text">
    <w:name w:val="text"/>
    <w:rsid w:val="005C05C5"/>
    <w:rPr>
      <w:bdr w:val="none" w:sz="0" w:space="0" w:color="auto" w:frame="1"/>
    </w:rPr>
  </w:style>
  <w:style w:type="character" w:customStyle="1" w:styleId="apple-converted-space">
    <w:name w:val="apple-converted-space"/>
    <w:rsid w:val="005C05C5"/>
  </w:style>
  <w:style w:type="character" w:customStyle="1" w:styleId="FootnoteTextCharChar1Char1">
    <w:name w:val="Footnote Text Char Char1 Char1"/>
    <w:aliases w:val="Footnote Text Char2 Char2,Footnote Text Char Char Char Char Char1,Footnote Text Char1 Char1 Char1,Footnote Text Char Char Char1 Char1,Footnote Text Char3 Char1,Footnote Text Char2 Char Char1,Footnote Text Char1 Char Char1"/>
    <w:locked/>
    <w:rsid w:val="005C05C5"/>
  </w:style>
  <w:style w:type="character" w:customStyle="1" w:styleId="IntenseEmphasis1">
    <w:name w:val="Intense Emphasis1"/>
    <w:qFormat/>
    <w:rsid w:val="005C05C5"/>
    <w:rPr>
      <w:b/>
      <w:bCs/>
      <w:i/>
      <w:iCs/>
      <w:color w:val="4F81BD"/>
      <w:sz w:val="24"/>
    </w:rPr>
  </w:style>
  <w:style w:type="character" w:customStyle="1" w:styleId="longtext1">
    <w:name w:val="long_text1"/>
    <w:rsid w:val="005C05C5"/>
    <w:rPr>
      <w:sz w:val="20"/>
      <w:szCs w:val="20"/>
    </w:rPr>
  </w:style>
  <w:style w:type="character" w:customStyle="1" w:styleId="trans">
    <w:name w:val="trans"/>
    <w:rsid w:val="005C05C5"/>
  </w:style>
  <w:style w:type="character" w:customStyle="1" w:styleId="H23GChar">
    <w:name w:val="_ H_2/3_G Char"/>
    <w:link w:val="H23G"/>
    <w:locked/>
    <w:rsid w:val="005C05C5"/>
    <w:rPr>
      <w:b/>
      <w:lang w:val="en-GB" w:eastAsia="en-US"/>
    </w:rPr>
  </w:style>
  <w:style w:type="character" w:customStyle="1" w:styleId="meta1">
    <w:name w:val="meta1"/>
    <w:rsid w:val="005C05C5"/>
    <w:rPr>
      <w:rFonts w:cs="Times New Roman"/>
      <w:color w:val="6F6F6F"/>
      <w:sz w:val="14"/>
      <w:szCs w:val="14"/>
    </w:rPr>
  </w:style>
  <w:style w:type="character" w:customStyle="1" w:styleId="Char">
    <w:name w:val="脚注文本 Char"/>
    <w:aliases w:val="Char Char,Footnote Text Blue Char,EUMC_Lábjegyzetszöveg + 13 pt Char,Félkövér Char,Dolt Char,Középre zárt Char Char1,Középre zárt Char Char Char,Középre zárt Char1,Märk Char,Footnote Text Char Char Char"/>
    <w:locked/>
    <w:rsid w:val="005C05C5"/>
    <w:rPr>
      <w:rFonts w:cs="Times New Roman"/>
      <w:spacing w:val="5"/>
      <w:w w:val="104"/>
      <w:kern w:val="14"/>
      <w:sz w:val="17"/>
      <w:lang w:val="en-GB" w:eastAsia="en-US"/>
    </w:rPr>
  </w:style>
  <w:style w:type="character" w:customStyle="1" w:styleId="hps">
    <w:name w:val="hps"/>
    <w:rsid w:val="005C05C5"/>
  </w:style>
  <w:style w:type="paragraph" w:customStyle="1" w:styleId="PargrafodaLista">
    <w:name w:val="Parágrafo da Lista"/>
    <w:basedOn w:val="Normal"/>
    <w:rsid w:val="005C05C5"/>
    <w:pPr>
      <w:tabs>
        <w:tab w:val="clear" w:pos="431"/>
      </w:tabs>
      <w:overflowPunct/>
      <w:adjustRightInd/>
      <w:snapToGrid/>
      <w:spacing w:after="200" w:line="276" w:lineRule="auto"/>
      <w:ind w:left="720"/>
      <w:contextualSpacing/>
      <w:jc w:val="left"/>
    </w:pPr>
    <w:rPr>
      <w:rFonts w:ascii="Calibri" w:hAnsi="Calibri"/>
      <w:snapToGrid/>
      <w:sz w:val="22"/>
      <w:szCs w:val="22"/>
      <w:lang w:val="pt-PT" w:eastAsia="en-US"/>
    </w:rPr>
  </w:style>
  <w:style w:type="character" w:customStyle="1" w:styleId="H1GChar">
    <w:name w:val="_ H_1_G Char"/>
    <w:link w:val="H1G"/>
    <w:rsid w:val="005C05C5"/>
    <w:rPr>
      <w:b/>
      <w:sz w:val="24"/>
      <w:lang w:val="en-GB" w:eastAsia="en-US"/>
    </w:rPr>
  </w:style>
  <w:style w:type="character" w:customStyle="1" w:styleId="Heading1Char">
    <w:name w:val="Heading 1 Char"/>
    <w:rsid w:val="005C05C5"/>
    <w:rPr>
      <w:rFonts w:ascii="Cambria" w:eastAsia="SimSun" w:hAnsi="Cambria" w:cs="Times New Roman"/>
      <w:b/>
      <w:bCs/>
      <w:color w:val="365F91"/>
      <w:sz w:val="28"/>
      <w:szCs w:val="28"/>
      <w:lang w:eastAsia="en-US"/>
    </w:rPr>
  </w:style>
  <w:style w:type="character" w:customStyle="1" w:styleId="Heading2Char">
    <w:name w:val="Heading 2 Char"/>
    <w:rsid w:val="005C05C5"/>
    <w:rPr>
      <w:rFonts w:ascii="Cambria" w:eastAsia="SimSun" w:hAnsi="Cambria" w:cs="Times New Roman"/>
      <w:b/>
      <w:bCs/>
      <w:color w:val="4F81BD"/>
      <w:sz w:val="26"/>
      <w:szCs w:val="26"/>
      <w:lang w:eastAsia="en-US"/>
    </w:rPr>
  </w:style>
  <w:style w:type="character" w:customStyle="1" w:styleId="singlespaceChar">
    <w:name w:val="single space Char"/>
    <w:aliases w:val="footnote text Char,ft Char,fn Char,FOOTNOTES Char,ADB Char,WB-Fußnotentext Char,Footnote Char,Fußnote Char,Geneva 9 Char,Font: Geneva 9 Char,Boston 10 Char,f Char,12pt Char,12pt Знак Char,Текст сноски Знак Char"/>
    <w:rsid w:val="005C05C5"/>
    <w:rPr>
      <w:rFonts w:ascii="Times New Roman" w:eastAsia="Times New Roman" w:hAnsi="Times New Roman"/>
      <w:sz w:val="24"/>
      <w:lang w:val="en-GB"/>
    </w:rPr>
  </w:style>
  <w:style w:type="character" w:customStyle="1" w:styleId="BodyTextChar">
    <w:name w:val="Body Text Char"/>
    <w:aliases w:val="Знак8 Char"/>
    <w:rsid w:val="005C05C5"/>
    <w:rPr>
      <w:sz w:val="22"/>
      <w:szCs w:val="22"/>
      <w:lang w:eastAsia="en-US"/>
    </w:rPr>
  </w:style>
  <w:style w:type="paragraph" w:customStyle="1" w:styleId="Bodytext0">
    <w:name w:val="Body text"/>
    <w:basedOn w:val="Normal"/>
    <w:rsid w:val="005C05C5"/>
    <w:pPr>
      <w:tabs>
        <w:tab w:val="clear" w:pos="431"/>
      </w:tabs>
      <w:overflowPunct/>
      <w:adjustRightInd/>
      <w:snapToGrid/>
      <w:spacing w:line="240" w:lineRule="auto"/>
    </w:pPr>
    <w:rPr>
      <w:rFonts w:ascii="Arial" w:hAnsi="Arial"/>
      <w:snapToGrid/>
      <w:sz w:val="20"/>
      <w:lang w:val="en-GB" w:eastAsia="en-US"/>
    </w:rPr>
  </w:style>
  <w:style w:type="paragraph" w:customStyle="1" w:styleId="Normal0">
    <w:name w:val="[Normal]"/>
    <w:rsid w:val="005C05C5"/>
    <w:pPr>
      <w:widowControl w:val="0"/>
      <w:autoSpaceDE w:val="0"/>
      <w:autoSpaceDN w:val="0"/>
      <w:adjustRightInd w:val="0"/>
    </w:pPr>
    <w:rPr>
      <w:rFonts w:ascii="Arial" w:eastAsia="Calibri" w:hAnsi="Arial" w:cs="Arial"/>
      <w:sz w:val="24"/>
      <w:szCs w:val="24"/>
    </w:rPr>
  </w:style>
  <w:style w:type="character" w:customStyle="1" w:styleId="yshortcuts">
    <w:name w:val="yshortcuts"/>
    <w:rsid w:val="005C05C5"/>
  </w:style>
  <w:style w:type="character" w:customStyle="1" w:styleId="CommentTextChar">
    <w:name w:val="Comment Text Char"/>
    <w:semiHidden/>
    <w:rsid w:val="005C05C5"/>
    <w:rPr>
      <w:lang w:eastAsia="en-US"/>
    </w:rPr>
  </w:style>
  <w:style w:type="character" w:customStyle="1" w:styleId="CommentTextChar2">
    <w:name w:val="Comment Text Char2"/>
    <w:semiHidden/>
    <w:rsid w:val="005C05C5"/>
    <w:rPr>
      <w:rFonts w:ascii="Times New Roman" w:eastAsia="Times New Roman" w:hAnsi="Times New Roman"/>
      <w:lang w:val="ru-RU" w:eastAsia="ru-RU"/>
    </w:rPr>
  </w:style>
  <w:style w:type="character" w:customStyle="1" w:styleId="BalloonTextChar">
    <w:name w:val="Balloon Text Char"/>
    <w:rsid w:val="005C05C5"/>
    <w:rPr>
      <w:rFonts w:ascii="Tahoma" w:hAnsi="Tahoma" w:cs="Tahoma"/>
      <w:sz w:val="16"/>
      <w:szCs w:val="16"/>
      <w:lang w:eastAsia="en-US"/>
    </w:rPr>
  </w:style>
  <w:style w:type="paragraph" w:customStyle="1" w:styleId="abzacixml">
    <w:name w:val="abzaci_xml"/>
    <w:basedOn w:val="PlainText"/>
    <w:rsid w:val="005C05C5"/>
    <w:pPr>
      <w:suppressAutoHyphens w:val="0"/>
      <w:spacing w:line="240" w:lineRule="auto"/>
      <w:ind w:firstLine="283"/>
      <w:jc w:val="both"/>
    </w:pPr>
    <w:rPr>
      <w:rFonts w:ascii="Sylfaen" w:eastAsia="Sylfaen" w:hAnsi="Sylfaen"/>
      <w:sz w:val="22"/>
      <w:lang/>
    </w:rPr>
  </w:style>
  <w:style w:type="paragraph" w:customStyle="1" w:styleId="muxlixml">
    <w:name w:val="muxli_xml"/>
    <w:basedOn w:val="Normal"/>
    <w:rsid w:val="005C05C5"/>
    <w:pPr>
      <w:keepLines/>
      <w:tabs>
        <w:tab w:val="clear" w:pos="431"/>
      </w:tabs>
      <w:overflowPunct/>
      <w:adjustRightInd/>
      <w:snapToGrid/>
      <w:spacing w:before="240" w:line="240" w:lineRule="exact"/>
      <w:ind w:left="850" w:hanging="850"/>
      <w:jc w:val="left"/>
    </w:pPr>
    <w:rPr>
      <w:rFonts w:ascii="Sylfaen" w:eastAsia="Sylfaen" w:hAnsi="Sylfaen"/>
      <w:b/>
      <w:snapToGrid/>
      <w:sz w:val="22"/>
      <w:lang w:eastAsia="en-US"/>
    </w:rPr>
  </w:style>
  <w:style w:type="paragraph" w:customStyle="1" w:styleId="tavisataurixml">
    <w:name w:val="tavi_satauri_xml"/>
    <w:basedOn w:val="Normal"/>
    <w:rsid w:val="005C05C5"/>
    <w:pPr>
      <w:tabs>
        <w:tab w:val="clear" w:pos="431"/>
      </w:tabs>
      <w:overflowPunct/>
      <w:adjustRightInd/>
      <w:snapToGrid/>
      <w:spacing w:after="240" w:line="240" w:lineRule="auto"/>
      <w:jc w:val="center"/>
    </w:pPr>
    <w:rPr>
      <w:rFonts w:ascii="Sylfaen" w:eastAsia="Sylfaen" w:hAnsi="Sylfaen"/>
      <w:b/>
      <w:snapToGrid/>
      <w:sz w:val="22"/>
      <w:lang w:eastAsia="en-US"/>
    </w:rPr>
  </w:style>
  <w:style w:type="paragraph" w:customStyle="1" w:styleId="Text0">
    <w:name w:val="Text"/>
    <w:basedOn w:val="Normal"/>
    <w:rsid w:val="005C05C5"/>
    <w:pPr>
      <w:tabs>
        <w:tab w:val="clear" w:pos="431"/>
      </w:tabs>
      <w:overflowPunct/>
      <w:adjustRightInd/>
      <w:snapToGrid/>
      <w:spacing w:before="120" w:after="120" w:line="240" w:lineRule="auto"/>
    </w:pPr>
    <w:rPr>
      <w:snapToGrid/>
      <w:color w:val="000000"/>
      <w:kern w:val="28"/>
      <w:sz w:val="16"/>
      <w:szCs w:val="16"/>
      <w:lang w:eastAsia="en-US"/>
    </w:rPr>
  </w:style>
  <w:style w:type="paragraph" w:customStyle="1" w:styleId="Unit">
    <w:name w:val="Unit"/>
    <w:basedOn w:val="Normal"/>
    <w:rsid w:val="005C05C5"/>
    <w:pPr>
      <w:tabs>
        <w:tab w:val="clear" w:pos="431"/>
      </w:tabs>
      <w:overflowPunct/>
      <w:adjustRightInd/>
      <w:snapToGrid/>
      <w:spacing w:before="20" w:after="20" w:line="240" w:lineRule="auto"/>
      <w:jc w:val="right"/>
    </w:pPr>
    <w:rPr>
      <w:snapToGrid/>
      <w:color w:val="000000"/>
      <w:kern w:val="28"/>
      <w:sz w:val="14"/>
      <w:szCs w:val="14"/>
      <w:lang w:eastAsia="en-US"/>
    </w:rPr>
  </w:style>
  <w:style w:type="paragraph" w:customStyle="1" w:styleId="Sourse">
    <w:name w:val="Sourse"/>
    <w:basedOn w:val="Normal"/>
    <w:rsid w:val="005C05C5"/>
    <w:pPr>
      <w:tabs>
        <w:tab w:val="clear" w:pos="431"/>
      </w:tabs>
      <w:overflowPunct/>
      <w:adjustRightInd/>
      <w:snapToGrid/>
      <w:spacing w:before="20" w:after="20" w:line="240" w:lineRule="auto"/>
    </w:pPr>
    <w:rPr>
      <w:snapToGrid/>
      <w:color w:val="000000"/>
      <w:kern w:val="28"/>
      <w:sz w:val="14"/>
      <w:szCs w:val="14"/>
      <w:lang w:eastAsia="en-US"/>
    </w:rPr>
  </w:style>
  <w:style w:type="paragraph" w:customStyle="1" w:styleId="yiv77541397msonormal">
    <w:name w:val="yiv77541397msonormal"/>
    <w:basedOn w:val="Normal"/>
    <w:rsid w:val="005C05C5"/>
    <w:pPr>
      <w:tabs>
        <w:tab w:val="clear" w:pos="431"/>
      </w:tabs>
      <w:overflowPunct/>
      <w:adjustRightInd/>
      <w:snapToGrid/>
      <w:spacing w:before="100" w:beforeAutospacing="1" w:after="100" w:afterAutospacing="1" w:line="240" w:lineRule="auto"/>
      <w:jc w:val="left"/>
    </w:pPr>
    <w:rPr>
      <w:snapToGrid/>
      <w:sz w:val="24"/>
      <w:szCs w:val="24"/>
      <w:lang w:eastAsia="en-US"/>
    </w:rPr>
  </w:style>
  <w:style w:type="character" w:customStyle="1" w:styleId="HeaderChar">
    <w:name w:val="Header Char"/>
    <w:rsid w:val="005C05C5"/>
    <w:rPr>
      <w:sz w:val="22"/>
      <w:szCs w:val="22"/>
      <w:lang w:eastAsia="en-US"/>
    </w:rPr>
  </w:style>
  <w:style w:type="character" w:customStyle="1" w:styleId="FooterChar">
    <w:name w:val="Footer Char"/>
    <w:rsid w:val="005C05C5"/>
    <w:rPr>
      <w:sz w:val="22"/>
      <w:szCs w:val="22"/>
      <w:lang w:eastAsia="en-US"/>
    </w:rPr>
  </w:style>
  <w:style w:type="character" w:customStyle="1" w:styleId="DocumentMapChar">
    <w:name w:val="Document Map Char"/>
    <w:semiHidden/>
    <w:locked/>
    <w:rsid w:val="005C05C5"/>
    <w:rPr>
      <w:rFonts w:ascii="Tahoma" w:hAnsi="Tahoma"/>
      <w:shd w:val="clear" w:color="auto" w:fill="000080"/>
      <w:lang w:val="en-AU" w:eastAsia="ru-RU"/>
    </w:rPr>
  </w:style>
  <w:style w:type="character" w:customStyle="1" w:styleId="DocumentMapChar2">
    <w:name w:val="Document Map Char2"/>
    <w:rsid w:val="005C05C5"/>
    <w:rPr>
      <w:rFonts w:ascii="Tahoma" w:hAnsi="Tahoma" w:cs="Tahoma"/>
      <w:sz w:val="16"/>
      <w:szCs w:val="16"/>
      <w:lang w:eastAsia="en-US"/>
    </w:rPr>
  </w:style>
  <w:style w:type="character" w:customStyle="1" w:styleId="CommentTextChar1">
    <w:name w:val="Comment Text Char1"/>
    <w:semiHidden/>
    <w:locked/>
    <w:rsid w:val="005C05C5"/>
    <w:rPr>
      <w:rFonts w:cs="Times New Roman"/>
      <w:sz w:val="20"/>
      <w:szCs w:val="20"/>
    </w:rPr>
  </w:style>
  <w:style w:type="table" w:customStyle="1" w:styleId="MediumShading1Accent5">
    <w:name w:val="Medium Shading 1 Accent 5"/>
    <w:rsid w:val="005C05C5"/>
    <w:rPr>
      <w:rFonts w:ascii="Calibri" w:hAnsi="Calibri"/>
    </w:rPr>
    <w:tblPr>
      <w:tblStyleRowBandSize w:val="1"/>
      <w:tblStyleColBandSize w:val="1"/>
      <w:tblInd w:w="0" w:type="dxa"/>
      <w:tblBorders>
        <w:top w:val="single" w:sz="8" w:space="0" w:color="78C0D4"/>
        <w:left w:val="single" w:sz="8" w:space="0" w:color="78C0D4"/>
        <w:bottom w:val="single" w:sz="8" w:space="0" w:color="78C0D4"/>
        <w:right w:val="single" w:sz="8" w:space="0" w:color="78C0D4"/>
        <w:insideH w:val="single" w:sz="8" w:space="0" w:color="78C0D4"/>
      </w:tblBorders>
      <w:tblCellMar>
        <w:top w:w="0" w:type="dxa"/>
        <w:left w:w="108" w:type="dxa"/>
        <w:bottom w:w="0" w:type="dxa"/>
        <w:right w:w="108" w:type="dxa"/>
      </w:tblCellMar>
    </w:tblPr>
  </w:style>
  <w:style w:type="character" w:customStyle="1" w:styleId="BodyTextChar1">
    <w:name w:val="Body Text Char1"/>
    <w:aliases w:val="Body Text Char Char"/>
    <w:rsid w:val="005C05C5"/>
    <w:rPr>
      <w:rFonts w:ascii="LitNusx" w:hAnsi="LitNusx" w:cs="Times New Roman"/>
      <w:sz w:val="20"/>
      <w:szCs w:val="20"/>
      <w:lang w:eastAsia="ru-RU"/>
    </w:rPr>
  </w:style>
  <w:style w:type="paragraph" w:customStyle="1" w:styleId="muxlixml0">
    <w:name w:val="muxlixml0"/>
    <w:basedOn w:val="Normal"/>
    <w:rsid w:val="005C05C5"/>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abzacixml0">
    <w:name w:val="abzacixml"/>
    <w:basedOn w:val="Normal"/>
    <w:rsid w:val="005C05C5"/>
    <w:pPr>
      <w:tabs>
        <w:tab w:val="clear" w:pos="431"/>
      </w:tabs>
      <w:overflowPunct/>
      <w:adjustRightInd/>
      <w:snapToGrid/>
      <w:spacing w:before="100" w:beforeAutospacing="1" w:after="100" w:afterAutospacing="1" w:line="240" w:lineRule="auto"/>
      <w:jc w:val="left"/>
    </w:pPr>
    <w:rPr>
      <w:rFonts w:eastAsia="Calibri"/>
      <w:snapToGrid/>
      <w:sz w:val="24"/>
      <w:szCs w:val="24"/>
      <w:lang w:eastAsia="en-US"/>
    </w:rPr>
  </w:style>
  <w:style w:type="paragraph" w:customStyle="1" w:styleId="Pa9">
    <w:name w:val="Pa9"/>
    <w:basedOn w:val="Normal"/>
    <w:next w:val="Normal"/>
    <w:rsid w:val="005C05C5"/>
    <w:pPr>
      <w:tabs>
        <w:tab w:val="clear" w:pos="431"/>
      </w:tabs>
      <w:overflowPunct/>
      <w:autoSpaceDE w:val="0"/>
      <w:autoSpaceDN w:val="0"/>
      <w:snapToGrid/>
      <w:spacing w:line="221" w:lineRule="atLeast"/>
      <w:jc w:val="left"/>
    </w:pPr>
    <w:rPr>
      <w:rFonts w:ascii="Arial" w:hAnsi="Arial" w:cs="Arial"/>
      <w:snapToGrid/>
      <w:sz w:val="24"/>
      <w:szCs w:val="24"/>
      <w:lang w:val="ru-RU" w:eastAsia="ru-RU"/>
    </w:rPr>
  </w:style>
  <w:style w:type="character" w:customStyle="1" w:styleId="il">
    <w:name w:val="il"/>
    <w:rsid w:val="005C05C5"/>
  </w:style>
  <w:style w:type="paragraph" w:customStyle="1" w:styleId="yiv401499452msoplaintext">
    <w:name w:val="yiv401499452msoplaintext"/>
    <w:basedOn w:val="Normal"/>
    <w:rsid w:val="005C05C5"/>
    <w:pPr>
      <w:tabs>
        <w:tab w:val="clear" w:pos="431"/>
      </w:tabs>
      <w:overflowPunct/>
      <w:adjustRightInd/>
      <w:snapToGrid/>
      <w:spacing w:before="100" w:beforeAutospacing="1" w:after="100" w:afterAutospacing="1" w:line="240" w:lineRule="auto"/>
      <w:jc w:val="left"/>
    </w:pPr>
    <w:rPr>
      <w:snapToGrid/>
      <w:sz w:val="24"/>
      <w:szCs w:val="24"/>
      <w:lang w:val="en-GB" w:eastAsia="en-GB"/>
    </w:rPr>
  </w:style>
  <w:style w:type="paragraph" w:customStyle="1" w:styleId="Web">
    <w:name w:val="Κανονικό (Web)"/>
    <w:basedOn w:val="Normal"/>
    <w:rsid w:val="005C05C5"/>
    <w:pPr>
      <w:tabs>
        <w:tab w:val="clear" w:pos="431"/>
      </w:tabs>
      <w:overflowPunct/>
      <w:adjustRightInd/>
      <w:snapToGrid/>
      <w:spacing w:before="100" w:beforeAutospacing="1" w:after="100" w:afterAutospacing="1" w:line="240" w:lineRule="auto"/>
      <w:jc w:val="left"/>
    </w:pPr>
    <w:rPr>
      <w:rFonts w:ascii="Arial Unicode MS" w:eastAsia="Arial Unicode MS" w:hAnsi="Arial Unicode MS" w:cs="Arial Unicode MS"/>
      <w:snapToGrid/>
      <w:color w:val="000000"/>
      <w:sz w:val="24"/>
      <w:szCs w:val="24"/>
      <w:lang w:val="el-GR" w:eastAsia="el-GR"/>
    </w:rPr>
  </w:style>
  <w:style w:type="character" w:customStyle="1" w:styleId="HChGChar">
    <w:name w:val="_ H _Ch_G Char"/>
    <w:link w:val="HChG"/>
    <w:rsid w:val="005C05C5"/>
    <w:rPr>
      <w:b/>
      <w:sz w:val="28"/>
      <w:lang w:val="en-GB" w:eastAsia="en-US"/>
    </w:rPr>
  </w:style>
  <w:style w:type="paragraph" w:styleId="TOC1">
    <w:name w:val="toc 1"/>
    <w:basedOn w:val="Normal"/>
    <w:next w:val="Normal"/>
    <w:autoRedefine/>
    <w:rsid w:val="005C05C5"/>
    <w:pPr>
      <w:tabs>
        <w:tab w:val="clear" w:pos="431"/>
        <w:tab w:val="left" w:pos="1418"/>
        <w:tab w:val="right" w:leader="dot" w:pos="8080"/>
      </w:tabs>
      <w:overflowPunct/>
      <w:adjustRightInd/>
      <w:snapToGrid/>
      <w:spacing w:before="120" w:after="120"/>
      <w:ind w:leftChars="405" w:left="1417" w:hangingChars="270" w:hanging="567"/>
      <w:jc w:val="left"/>
    </w:pPr>
    <w:rPr>
      <w:rFonts w:ascii="Calibri" w:hAnsi="Calibri" w:cs="Calibri"/>
      <w:b/>
      <w:bCs/>
      <w:caps/>
      <w:snapToGrid/>
      <w:kern w:val="14"/>
      <w:sz w:val="20"/>
    </w:rPr>
  </w:style>
  <w:style w:type="paragraph" w:styleId="TOC2">
    <w:name w:val="toc 2"/>
    <w:basedOn w:val="Normal"/>
    <w:next w:val="Normal"/>
    <w:autoRedefine/>
    <w:rsid w:val="005C05C5"/>
    <w:pPr>
      <w:tabs>
        <w:tab w:val="clear" w:pos="431"/>
      </w:tabs>
      <w:overflowPunct/>
      <w:adjustRightInd/>
      <w:snapToGrid/>
      <w:ind w:left="210"/>
      <w:jc w:val="left"/>
    </w:pPr>
    <w:rPr>
      <w:rFonts w:ascii="Calibri" w:hAnsi="Calibri" w:cs="Calibri"/>
      <w:smallCaps/>
      <w:snapToGrid/>
      <w:kern w:val="14"/>
      <w:sz w:val="20"/>
    </w:rPr>
  </w:style>
  <w:style w:type="paragraph" w:styleId="TOC3">
    <w:name w:val="toc 3"/>
    <w:basedOn w:val="Normal"/>
    <w:next w:val="Normal"/>
    <w:autoRedefine/>
    <w:rsid w:val="005C05C5"/>
    <w:pPr>
      <w:tabs>
        <w:tab w:val="clear" w:pos="431"/>
      </w:tabs>
      <w:overflowPunct/>
      <w:adjustRightInd/>
      <w:snapToGrid/>
      <w:ind w:left="420"/>
      <w:jc w:val="left"/>
    </w:pPr>
    <w:rPr>
      <w:rFonts w:ascii="Calibri" w:hAnsi="Calibri" w:cs="Calibri"/>
      <w:i/>
      <w:iCs/>
      <w:snapToGrid/>
      <w:kern w:val="14"/>
      <w:sz w:val="20"/>
    </w:rPr>
  </w:style>
  <w:style w:type="paragraph" w:styleId="TOC4">
    <w:name w:val="toc 4"/>
    <w:basedOn w:val="Normal"/>
    <w:next w:val="Normal"/>
    <w:autoRedefine/>
    <w:rsid w:val="005C05C5"/>
    <w:pPr>
      <w:tabs>
        <w:tab w:val="clear" w:pos="431"/>
      </w:tabs>
      <w:overflowPunct/>
      <w:adjustRightInd/>
      <w:snapToGrid/>
      <w:ind w:left="630"/>
      <w:jc w:val="left"/>
    </w:pPr>
    <w:rPr>
      <w:rFonts w:ascii="Calibri" w:hAnsi="Calibri" w:cs="Calibri"/>
      <w:snapToGrid/>
      <w:kern w:val="14"/>
      <w:sz w:val="18"/>
      <w:szCs w:val="18"/>
    </w:rPr>
  </w:style>
  <w:style w:type="paragraph" w:styleId="TOC5">
    <w:name w:val="toc 5"/>
    <w:basedOn w:val="Normal"/>
    <w:next w:val="Normal"/>
    <w:autoRedefine/>
    <w:rsid w:val="005C05C5"/>
    <w:pPr>
      <w:tabs>
        <w:tab w:val="clear" w:pos="431"/>
      </w:tabs>
      <w:overflowPunct/>
      <w:adjustRightInd/>
      <w:snapToGrid/>
      <w:ind w:left="840"/>
      <w:jc w:val="left"/>
    </w:pPr>
    <w:rPr>
      <w:rFonts w:ascii="Calibri" w:hAnsi="Calibri" w:cs="Calibri"/>
      <w:snapToGrid/>
      <w:kern w:val="14"/>
      <w:sz w:val="18"/>
      <w:szCs w:val="18"/>
    </w:rPr>
  </w:style>
  <w:style w:type="paragraph" w:styleId="TOC6">
    <w:name w:val="toc 6"/>
    <w:basedOn w:val="Normal"/>
    <w:next w:val="Normal"/>
    <w:autoRedefine/>
    <w:rsid w:val="005C05C5"/>
    <w:pPr>
      <w:tabs>
        <w:tab w:val="clear" w:pos="431"/>
      </w:tabs>
      <w:overflowPunct/>
      <w:adjustRightInd/>
      <w:snapToGrid/>
      <w:ind w:left="1050"/>
      <w:jc w:val="left"/>
    </w:pPr>
    <w:rPr>
      <w:rFonts w:ascii="Calibri" w:hAnsi="Calibri" w:cs="Calibri"/>
      <w:snapToGrid/>
      <w:kern w:val="14"/>
      <w:sz w:val="18"/>
      <w:szCs w:val="18"/>
    </w:rPr>
  </w:style>
  <w:style w:type="paragraph" w:styleId="TOC7">
    <w:name w:val="toc 7"/>
    <w:basedOn w:val="Normal"/>
    <w:next w:val="Normal"/>
    <w:autoRedefine/>
    <w:rsid w:val="005C05C5"/>
    <w:pPr>
      <w:tabs>
        <w:tab w:val="clear" w:pos="431"/>
      </w:tabs>
      <w:overflowPunct/>
      <w:adjustRightInd/>
      <w:snapToGrid/>
      <w:ind w:left="1260"/>
      <w:jc w:val="left"/>
    </w:pPr>
    <w:rPr>
      <w:rFonts w:ascii="Calibri" w:hAnsi="Calibri" w:cs="Calibri"/>
      <w:snapToGrid/>
      <w:kern w:val="14"/>
      <w:sz w:val="18"/>
      <w:szCs w:val="18"/>
    </w:rPr>
  </w:style>
  <w:style w:type="paragraph" w:styleId="TOC8">
    <w:name w:val="toc 8"/>
    <w:basedOn w:val="Normal"/>
    <w:next w:val="Normal"/>
    <w:autoRedefine/>
    <w:rsid w:val="005C05C5"/>
    <w:pPr>
      <w:tabs>
        <w:tab w:val="clear" w:pos="431"/>
      </w:tabs>
      <w:overflowPunct/>
      <w:adjustRightInd/>
      <w:snapToGrid/>
      <w:ind w:left="1470"/>
      <w:jc w:val="left"/>
    </w:pPr>
    <w:rPr>
      <w:rFonts w:ascii="Calibri" w:hAnsi="Calibri" w:cs="Calibri"/>
      <w:snapToGrid/>
      <w:kern w:val="14"/>
      <w:sz w:val="18"/>
      <w:szCs w:val="18"/>
    </w:rPr>
  </w:style>
  <w:style w:type="paragraph" w:styleId="TOC9">
    <w:name w:val="toc 9"/>
    <w:basedOn w:val="Normal"/>
    <w:next w:val="Normal"/>
    <w:autoRedefine/>
    <w:rsid w:val="005C05C5"/>
    <w:pPr>
      <w:tabs>
        <w:tab w:val="clear" w:pos="431"/>
      </w:tabs>
      <w:overflowPunct/>
      <w:adjustRightInd/>
      <w:snapToGrid/>
      <w:ind w:left="1680"/>
      <w:jc w:val="left"/>
    </w:pPr>
    <w:rPr>
      <w:rFonts w:ascii="Calibri" w:hAnsi="Calibri" w:cs="Calibri"/>
      <w:snapToGrid/>
      <w:kern w:val="14"/>
      <w:sz w:val="18"/>
      <w:szCs w:val="18"/>
    </w:rPr>
  </w:style>
  <w:style w:type="paragraph" w:customStyle="1" w:styleId="AgendaTitle0">
    <w:name w:val="AgendaTitle"/>
    <w:basedOn w:val="Normal"/>
    <w:next w:val="Normal"/>
    <w:rsid w:val="005C05C5"/>
    <w:pPr>
      <w:tabs>
        <w:tab w:val="clear" w:pos="431"/>
      </w:tabs>
      <w:suppressAutoHyphens/>
      <w:overflowPunct/>
      <w:adjustRightInd/>
      <w:snapToGrid/>
      <w:spacing w:line="240" w:lineRule="exact"/>
      <w:jc w:val="left"/>
    </w:pPr>
    <w:rPr>
      <w:snapToGrid/>
      <w:spacing w:val="4"/>
      <w:w w:val="103"/>
      <w:kern w:val="14"/>
      <w:sz w:val="20"/>
      <w:lang w:val="zh-CN"/>
    </w:rPr>
  </w:style>
  <w:style w:type="paragraph" w:customStyle="1" w:styleId="Committee0">
    <w:name w:val="Committee"/>
    <w:basedOn w:val="H1"/>
    <w:rsid w:val="005C05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1267"/>
      <w:jc w:val="left"/>
    </w:pPr>
    <w:rPr>
      <w:rFonts w:ascii="Times New Roman" w:eastAsia="SimSun"/>
      <w:b/>
      <w:spacing w:val="4"/>
      <w:w w:val="103"/>
      <w:lang w:val="zh-CN"/>
    </w:rPr>
  </w:style>
  <w:style w:type="paragraph" w:customStyle="1" w:styleId="Session0">
    <w:name w:val="Session"/>
    <w:basedOn w:val="H23"/>
    <w:rsid w:val="005C05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1267"/>
      <w:jc w:val="left"/>
    </w:pPr>
    <w:rPr>
      <w:rFonts w:ascii="Times New Roman" w:eastAsia="SimSun"/>
      <w:b/>
      <w:spacing w:val="4"/>
      <w:w w:val="103"/>
      <w:sz w:val="20"/>
      <w:lang w:val="zh-CN"/>
    </w:rPr>
  </w:style>
  <w:style w:type="paragraph" w:customStyle="1" w:styleId="Sponsors0">
    <w:name w:val="Sponsors"/>
    <w:basedOn w:val="H23"/>
    <w:rsid w:val="005C05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jc w:val="left"/>
    </w:pPr>
    <w:rPr>
      <w:rFonts w:ascii="Times New Roman" w:eastAsia="SimSun"/>
      <w:b/>
      <w:w w:val="103"/>
      <w:sz w:val="20"/>
      <w:lang w:val="zh-CN"/>
    </w:rPr>
  </w:style>
  <w:style w:type="paragraph" w:customStyle="1" w:styleId="Title1">
    <w:name w:val="Title 1"/>
    <w:basedOn w:val="HCh"/>
    <w:rsid w:val="005C05C5"/>
    <w:pPr>
      <w:tabs>
        <w:tab w:val="clear" w:pos="57"/>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jc w:val="left"/>
    </w:pPr>
    <w:rPr>
      <w:rFonts w:ascii="Times New Roman" w:eastAsia="SimSun"/>
      <w:b/>
      <w:spacing w:val="-2"/>
      <w:w w:val="103"/>
      <w:lang w:val="zh-CN"/>
    </w:rPr>
  </w:style>
  <w:style w:type="paragraph" w:customStyle="1" w:styleId="Title2">
    <w:name w:val="Title 2"/>
    <w:basedOn w:val="H1"/>
    <w:rsid w:val="005C05C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jc w:val="left"/>
    </w:pPr>
    <w:rPr>
      <w:rFonts w:ascii="Times New Roman" w:eastAsia="SimSun"/>
      <w:b/>
      <w:spacing w:val="4"/>
      <w:w w:val="103"/>
      <w:lang w:val="zh-CN"/>
    </w:rPr>
  </w:style>
  <w:style w:type="paragraph" w:customStyle="1" w:styleId="Type0">
    <w:name w:val="Type"/>
    <w:basedOn w:val="H23"/>
    <w:autoRedefine/>
    <w:rsid w:val="005C05C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right="576"/>
      <w:jc w:val="left"/>
    </w:pPr>
    <w:rPr>
      <w:rFonts w:ascii="Times New Roman" w:eastAsia="SimSun"/>
      <w:b/>
      <w:w w:val="103"/>
      <w:sz w:val="20"/>
      <w:lang w:val="zh-CN"/>
    </w:rPr>
  </w:style>
  <w:style w:type="paragraph" w:customStyle="1" w:styleId="Distribution">
    <w:name w:val="Distribution"/>
    <w:next w:val="Normal"/>
    <w:rsid w:val="005C05C5"/>
    <w:pPr>
      <w:spacing w:before="240"/>
    </w:pPr>
    <w:rPr>
      <w:spacing w:val="4"/>
      <w:w w:val="103"/>
      <w:kern w:val="14"/>
      <w:lang w:val="zh-CN" w:eastAsia="zh-CN"/>
    </w:rPr>
  </w:style>
  <w:style w:type="paragraph" w:customStyle="1" w:styleId="Publication0">
    <w:name w:val="Publication"/>
    <w:next w:val="Normal"/>
    <w:rsid w:val="005C05C5"/>
    <w:rPr>
      <w:spacing w:val="4"/>
      <w:w w:val="103"/>
      <w:kern w:val="14"/>
      <w:lang w:val="zh-CN" w:eastAsia="zh-CN"/>
    </w:rPr>
  </w:style>
  <w:style w:type="paragraph" w:customStyle="1" w:styleId="Original0">
    <w:name w:val="Original"/>
    <w:next w:val="Normal"/>
    <w:rsid w:val="005C05C5"/>
    <w:rPr>
      <w:spacing w:val="4"/>
      <w:w w:val="103"/>
      <w:kern w:val="14"/>
      <w:lang w:val="zh-CN" w:eastAsia="zh-CN"/>
    </w:rPr>
  </w:style>
  <w:style w:type="paragraph" w:customStyle="1" w:styleId="ReleaseDate">
    <w:name w:val="Release Date"/>
    <w:next w:val="Footer"/>
    <w:rsid w:val="005C05C5"/>
    <w:rPr>
      <w:spacing w:val="4"/>
      <w:w w:val="103"/>
      <w:kern w:val="14"/>
      <w:lang w:val="zh-CN" w:eastAsia="zh-CN"/>
    </w:rPr>
  </w:style>
  <w:style w:type="paragraph" w:styleId="Revision">
    <w:name w:val="Revision"/>
    <w:hidden/>
    <w:uiPriority w:val="99"/>
    <w:semiHidden/>
    <w:rsid w:val="00E66ED6"/>
    <w:rPr>
      <w:snapToGrid w:val="0"/>
      <w:sz w:val="21"/>
      <w:lang w:eastAsia="zh-CN"/>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a/b"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a/c;"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19</TotalTime>
  <Pages>31</Pages>
  <Words>14056</Words>
  <Characters>15462</Characters>
  <Application>Microsoft Office Outlook</Application>
  <DocSecurity>4</DocSecurity>
  <Lines>552</Lines>
  <Paragraphs>351</Paragraphs>
  <ScaleCrop>false</ScaleCrop>
  <Company>United Nations</Company>
  <LinksUpToDate>false</LinksUpToDate>
  <CharactersWithSpaces>29167</CharactersWithSpaces>
  <SharedDoc>false</SharedDoc>
  <HLinks>
    <vt:vector size="12" baseType="variant">
      <vt:variant>
        <vt:i4>327698</vt:i4>
      </vt:variant>
      <vt:variant>
        <vt:i4>3</vt:i4>
      </vt:variant>
      <vt:variant>
        <vt:i4>0</vt:i4>
      </vt:variant>
      <vt:variant>
        <vt:i4>5</vt:i4>
      </vt:variant>
      <vt:variant>
        <vt:lpwstr>http://undocs.org/a/b</vt:lpwstr>
      </vt:variant>
      <vt:variant>
        <vt:lpwstr/>
      </vt:variant>
      <vt:variant>
        <vt:i4>4063345</vt:i4>
      </vt:variant>
      <vt:variant>
        <vt:i4>0</vt:i4>
      </vt:variant>
      <vt:variant>
        <vt:i4>0</vt:i4>
      </vt:variant>
      <vt:variant>
        <vt:i4>5</vt:i4>
      </vt:variant>
      <vt:variant>
        <vt:lpwstr>http://undocs.org/a/c;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Shuxing Ji</dc:creator>
  <cp:keywords/>
  <dc:description/>
  <cp:lastModifiedBy>Shuxing Ji</cp:lastModifiedBy>
  <cp:revision>7</cp:revision>
  <cp:lastPrinted>2015-04-01T07:33:00Z</cp:lastPrinted>
  <dcterms:created xsi:type="dcterms:W3CDTF">2015-04-01T07:09:00Z</dcterms:created>
  <dcterms:modified xsi:type="dcterms:W3CDTF">2015-04-01T07:33:00Z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1466760</vt:lpwstr>
  </property>
  <property fmtid="{D5CDD505-2E9C-101B-9397-08002B2CF9AE}" pid="3" name="ODSRefJobNo">
    <vt:lpwstr>1468142C</vt:lpwstr>
  </property>
  <property fmtid="{D5CDD505-2E9C-101B-9397-08002B2CF9AE}" pid="4" name="Symbol1">
    <vt:lpwstr>CEDAW/C/TUR/7</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9 December 2014</vt:lpwstr>
  </property>
  <property fmtid="{D5CDD505-2E9C-101B-9397-08002B2CF9AE}" pid="9" name="Original">
    <vt:lpwstr>English</vt:lpwstr>
  </property>
  <property fmtid="{D5CDD505-2E9C-101B-9397-08002B2CF9AE}" pid="10" name="Release Date">
    <vt:lpwstr>010415</vt:lpwstr>
  </property>
  <property fmtid="{D5CDD505-2E9C-101B-9397-08002B2CF9AE}" pid="11" name="Comment">
    <vt:lpwstr/>
  </property>
  <property fmtid="{D5CDD505-2E9C-101B-9397-08002B2CF9AE}" pid="12" name="DraftPages">
    <vt:lpwstr> 31</vt:lpwstr>
  </property>
  <property fmtid="{D5CDD505-2E9C-101B-9397-08002B2CF9AE}" pid="13" name="Operator">
    <vt:lpwstr>ji sx</vt:lpwstr>
  </property>
</Properties>
</file>