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9CC" w:rsidRDefault="00EB19CC" w:rsidP="00EB19CC">
      <w:pPr>
        <w:spacing w:line="240" w:lineRule="auto"/>
        <w:jc w:val="left"/>
        <w:rPr>
          <w:szCs w:val="6"/>
        </w:rPr>
        <w:sectPr w:rsidR="00EB19CC" w:rsidSect="00EB19C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9B16B9" w:rsidRPr="009B16B9" w:rsidRDefault="009B16B9" w:rsidP="009B16B9">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w:t>
      </w:r>
      <w:r w:rsidRPr="009B16B9">
        <w:rPr>
          <w:rtl/>
        </w:rPr>
        <w:t>لجنة المعنية بالقضاء على التمييز ضد المرأة</w:t>
      </w:r>
    </w:p>
    <w:p w:rsidR="009B16B9" w:rsidRPr="009B16B9" w:rsidRDefault="009B16B9" w:rsidP="009B16B9">
      <w:pPr>
        <w:rPr>
          <w:rFonts w:hint="cs"/>
          <w:b/>
          <w:bCs/>
          <w:rtl/>
        </w:rPr>
      </w:pPr>
      <w:r w:rsidRPr="009B16B9">
        <w:rPr>
          <w:rFonts w:hint="cs"/>
          <w:b/>
          <w:bCs/>
          <w:rtl/>
        </w:rPr>
        <w:t>الفريق العامل ل</w:t>
      </w:r>
      <w:r>
        <w:rPr>
          <w:rFonts w:hint="cs"/>
          <w:b/>
          <w:bCs/>
          <w:rtl/>
        </w:rPr>
        <w:t>ـ</w:t>
      </w:r>
      <w:r w:rsidRPr="009B16B9">
        <w:rPr>
          <w:rFonts w:hint="cs"/>
          <w:b/>
          <w:bCs/>
          <w:rtl/>
        </w:rPr>
        <w:t>ما قبل الدورة السادسة والثلاثين</w:t>
      </w:r>
    </w:p>
    <w:p w:rsidR="009B16B9" w:rsidRDefault="009B16B9" w:rsidP="009B16B9">
      <w:pPr>
        <w:rPr>
          <w:rFonts w:hint="cs"/>
          <w:rtl/>
        </w:rPr>
      </w:pPr>
      <w:r>
        <w:rPr>
          <w:rFonts w:hint="cs"/>
          <w:rtl/>
        </w:rPr>
        <w:t>7 - 25 آب/أغسطس 2006</w:t>
      </w:r>
    </w:p>
    <w:p w:rsidR="009B16B9" w:rsidRPr="009B16B9" w:rsidRDefault="009B16B9" w:rsidP="009B16B9">
      <w:pPr>
        <w:pStyle w:val="SingleTxt"/>
        <w:spacing w:after="0" w:line="120" w:lineRule="exact"/>
        <w:rPr>
          <w:rFonts w:hint="cs"/>
          <w:sz w:val="10"/>
          <w:rtl/>
        </w:rPr>
      </w:pPr>
    </w:p>
    <w:p w:rsidR="009B16B9" w:rsidRPr="009B16B9" w:rsidRDefault="009B16B9" w:rsidP="009B16B9">
      <w:pPr>
        <w:pStyle w:val="SingleTxt"/>
        <w:spacing w:after="0" w:line="120" w:lineRule="exact"/>
        <w:rPr>
          <w:rFonts w:hint="cs"/>
          <w:sz w:val="10"/>
          <w:rtl/>
        </w:rPr>
      </w:pPr>
    </w:p>
    <w:p w:rsidR="009B16B9" w:rsidRPr="009B16B9" w:rsidRDefault="009B16B9" w:rsidP="009B16B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9B16B9">
        <w:rPr>
          <w:rFonts w:hint="cs"/>
          <w:rtl/>
        </w:rPr>
        <w:t>قائمة بالقضايا و</w:t>
      </w:r>
      <w:bookmarkStart w:id="1" w:name="TmpSave"/>
      <w:bookmarkEnd w:id="1"/>
      <w:r w:rsidRPr="009B16B9">
        <w:rPr>
          <w:rFonts w:hint="cs"/>
          <w:rtl/>
        </w:rPr>
        <w:t>الأسئلة المطروحة فيما يتعلق بالنظر في تقرير دوري</w:t>
      </w:r>
    </w:p>
    <w:p w:rsidR="009B16B9" w:rsidRPr="009B16B9" w:rsidRDefault="009B16B9" w:rsidP="009B16B9">
      <w:pPr>
        <w:pStyle w:val="SingleTxt"/>
        <w:spacing w:after="0" w:line="120" w:lineRule="exact"/>
        <w:rPr>
          <w:rFonts w:hint="cs"/>
          <w:sz w:val="10"/>
          <w:rtl/>
        </w:rPr>
      </w:pPr>
    </w:p>
    <w:p w:rsidR="009B16B9" w:rsidRPr="009B16B9" w:rsidRDefault="009B16B9" w:rsidP="009B16B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9B16B9">
        <w:rPr>
          <w:rFonts w:hint="cs"/>
          <w:rtl/>
        </w:rPr>
        <w:t>ج</w:t>
      </w:r>
      <w:r>
        <w:rPr>
          <w:rFonts w:hint="cs"/>
          <w:rtl/>
        </w:rPr>
        <w:t>ـ</w:t>
      </w:r>
      <w:r w:rsidRPr="009B16B9">
        <w:rPr>
          <w:rFonts w:hint="cs"/>
          <w:rtl/>
        </w:rPr>
        <w:t>ورج</w:t>
      </w:r>
      <w:r>
        <w:rPr>
          <w:rFonts w:hint="cs"/>
          <w:rtl/>
        </w:rPr>
        <w:t>ـ</w:t>
      </w:r>
      <w:r w:rsidRPr="009B16B9">
        <w:rPr>
          <w:rFonts w:hint="cs"/>
          <w:rtl/>
        </w:rPr>
        <w:t>ي</w:t>
      </w:r>
      <w:r>
        <w:rPr>
          <w:rFonts w:hint="cs"/>
          <w:rtl/>
        </w:rPr>
        <w:t>ـ</w:t>
      </w:r>
      <w:r w:rsidRPr="009B16B9">
        <w:rPr>
          <w:rFonts w:hint="cs"/>
          <w:rtl/>
        </w:rPr>
        <w:t>ا</w:t>
      </w:r>
    </w:p>
    <w:p w:rsidR="009B16B9" w:rsidRPr="009B16B9" w:rsidRDefault="009B16B9" w:rsidP="009B16B9">
      <w:pPr>
        <w:pStyle w:val="SingleTxt"/>
        <w:spacing w:after="0" w:line="120" w:lineRule="exact"/>
        <w:rPr>
          <w:rFonts w:hint="cs"/>
          <w:sz w:val="10"/>
          <w:rtl/>
        </w:rPr>
      </w:pPr>
    </w:p>
    <w:p w:rsidR="009B16B9" w:rsidRDefault="009B16B9" w:rsidP="009B16B9">
      <w:pPr>
        <w:pStyle w:val="SingleTxt"/>
        <w:rPr>
          <w:rFonts w:hint="cs"/>
          <w:rtl/>
        </w:rPr>
      </w:pPr>
      <w:r>
        <w:rPr>
          <w:rFonts w:hint="cs"/>
          <w:rtl/>
        </w:rPr>
        <w:tab/>
      </w:r>
      <w:r w:rsidRPr="009B16B9">
        <w:rPr>
          <w:rFonts w:hint="cs"/>
          <w:rtl/>
        </w:rPr>
        <w:t>قام الفريق العامل لما قبل الدورة بدراسة تقرير</w:t>
      </w:r>
      <w:r w:rsidR="00313193">
        <w:rPr>
          <w:rFonts w:hint="cs"/>
          <w:rtl/>
        </w:rPr>
        <w:t>َ</w:t>
      </w:r>
      <w:r w:rsidRPr="009B16B9">
        <w:rPr>
          <w:rFonts w:hint="cs"/>
          <w:rtl/>
        </w:rPr>
        <w:t>ي</w:t>
      </w:r>
      <w:r w:rsidR="00313193">
        <w:rPr>
          <w:rFonts w:hint="cs"/>
          <w:rtl/>
        </w:rPr>
        <w:t>ْ</w:t>
      </w:r>
      <w:r w:rsidRPr="009B16B9">
        <w:rPr>
          <w:rFonts w:hint="cs"/>
          <w:rtl/>
        </w:rPr>
        <w:t xml:space="preserve"> جورجيا الثاني والثالث الدوريين الم</w:t>
      </w:r>
      <w:r>
        <w:rPr>
          <w:rFonts w:hint="cs"/>
          <w:rtl/>
        </w:rPr>
        <w:t xml:space="preserve">ـوحديـن </w:t>
      </w:r>
      <w:r w:rsidRPr="009B16B9">
        <w:rPr>
          <w:rFonts w:hint="cs"/>
          <w:rtl/>
        </w:rPr>
        <w:t>(</w:t>
      </w:r>
      <w:r w:rsidRPr="009B16B9">
        <w:t>CEDAW/C/GEO/2-3</w:t>
      </w:r>
      <w:r w:rsidRPr="009B16B9">
        <w:rPr>
          <w:rFonts w:hint="cs"/>
          <w:rtl/>
        </w:rPr>
        <w:t>)</w:t>
      </w:r>
      <w:r>
        <w:rPr>
          <w:rFonts w:hint="cs"/>
          <w:rtl/>
        </w:rPr>
        <w:t>.</w:t>
      </w:r>
    </w:p>
    <w:p w:rsidR="009B16B9" w:rsidRPr="009B16B9" w:rsidRDefault="009B16B9" w:rsidP="009B16B9">
      <w:pPr>
        <w:pStyle w:val="SingleTxt"/>
        <w:spacing w:after="0" w:line="120" w:lineRule="exact"/>
        <w:rPr>
          <w:rFonts w:hint="cs"/>
          <w:sz w:val="10"/>
          <w:rtl/>
        </w:rPr>
      </w:pPr>
    </w:p>
    <w:p w:rsidR="009B16B9" w:rsidRPr="009B16B9" w:rsidRDefault="009B16B9" w:rsidP="0031319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313193">
        <w:rPr>
          <w:rFonts w:hint="cs"/>
          <w:rtl/>
        </w:rPr>
        <w:t xml:space="preserve">لـمـحــة </w:t>
      </w:r>
      <w:r w:rsidRPr="009B16B9">
        <w:rPr>
          <w:rFonts w:hint="cs"/>
          <w:rtl/>
        </w:rPr>
        <w:t>عام</w:t>
      </w:r>
      <w:r>
        <w:rPr>
          <w:rFonts w:hint="cs"/>
          <w:rtl/>
        </w:rPr>
        <w:t>ـ</w:t>
      </w:r>
      <w:r w:rsidRPr="009B16B9">
        <w:rPr>
          <w:rFonts w:hint="cs"/>
          <w:rtl/>
        </w:rPr>
        <w:t>ة</w:t>
      </w:r>
    </w:p>
    <w:p w:rsidR="009B16B9" w:rsidRDefault="00313193" w:rsidP="00313193">
      <w:pPr>
        <w:pStyle w:val="SingleTxt"/>
        <w:rPr>
          <w:rFonts w:hint="cs"/>
          <w:rtl/>
        </w:rPr>
      </w:pPr>
      <w:r>
        <w:rPr>
          <w:rFonts w:hint="cs"/>
          <w:rtl/>
        </w:rPr>
        <w:t>1 -</w:t>
      </w:r>
      <w:r>
        <w:rPr>
          <w:rFonts w:hint="cs"/>
          <w:rtl/>
        </w:rPr>
        <w:tab/>
      </w:r>
      <w:r w:rsidR="009B16B9" w:rsidRPr="009B16B9">
        <w:rPr>
          <w:rFonts w:hint="cs"/>
          <w:rtl/>
        </w:rPr>
        <w:t xml:space="preserve">يشير التقرير إلى أن المعلومات الواردة فيه قدمتها عدة وزارات ووكالات حكومية (الفقرة 2)، غير أنه ليس من الواضح ما إذا كانت الحكومة قد أقرت ذلك التقرير. ويذكر التقرير أيضا أن هناك ما يزيد على 60 منظمة غير </w:t>
      </w:r>
      <w:r>
        <w:rPr>
          <w:rFonts w:hint="cs"/>
          <w:rtl/>
        </w:rPr>
        <w:t>حكومية نسائية في جورجيا (الفقرة</w:t>
      </w:r>
      <w:r>
        <w:rPr>
          <w:rFonts w:hint="eastAsia"/>
          <w:rtl/>
        </w:rPr>
        <w:t> </w:t>
      </w:r>
      <w:r w:rsidR="009B16B9" w:rsidRPr="009B16B9">
        <w:rPr>
          <w:rFonts w:hint="cs"/>
          <w:rtl/>
        </w:rPr>
        <w:t xml:space="preserve">30). يُرجى تقديم المزيد من التفاصيل عما إذا كانت هذه المنظمات غير الحكومية قد شاركت كذلك في </w:t>
      </w:r>
      <w:r>
        <w:rPr>
          <w:rFonts w:hint="cs"/>
          <w:rtl/>
        </w:rPr>
        <w:t xml:space="preserve">إعـداد </w:t>
      </w:r>
      <w:r w:rsidR="009B16B9" w:rsidRPr="009B16B9">
        <w:rPr>
          <w:rFonts w:hint="cs"/>
          <w:rtl/>
        </w:rPr>
        <w:t>التقرير أو استشيرت أثناء إعداده، وعما إذا كان التقرير قد أق</w:t>
      </w:r>
      <w:r>
        <w:rPr>
          <w:rFonts w:hint="cs"/>
          <w:rtl/>
        </w:rPr>
        <w:t>رته الحكومة وعُرض على البرلمان.</w:t>
      </w:r>
    </w:p>
    <w:p w:rsidR="00313193" w:rsidRPr="00313193" w:rsidRDefault="00313193" w:rsidP="00313193">
      <w:pPr>
        <w:pStyle w:val="SingleTxt"/>
        <w:spacing w:after="0" w:line="120" w:lineRule="exact"/>
        <w:rPr>
          <w:rFonts w:hint="cs"/>
          <w:sz w:val="10"/>
          <w:rtl/>
        </w:rPr>
      </w:pPr>
    </w:p>
    <w:p w:rsidR="009B16B9" w:rsidRPr="009B16B9" w:rsidRDefault="00313193" w:rsidP="0031319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B16B9" w:rsidRPr="009B16B9">
        <w:rPr>
          <w:rFonts w:hint="cs"/>
          <w:rtl/>
        </w:rPr>
        <w:t>الدستور وا</w:t>
      </w:r>
      <w:r>
        <w:rPr>
          <w:rFonts w:hint="cs"/>
          <w:rtl/>
        </w:rPr>
        <w:t>لتشريعات والآليات الوطنية</w:t>
      </w:r>
    </w:p>
    <w:p w:rsidR="009B16B9" w:rsidRDefault="00313193" w:rsidP="00313193">
      <w:pPr>
        <w:pStyle w:val="SingleTxt"/>
        <w:rPr>
          <w:rFonts w:hint="cs"/>
          <w:rtl/>
        </w:rPr>
      </w:pPr>
      <w:r>
        <w:rPr>
          <w:rFonts w:hint="cs"/>
          <w:rtl/>
        </w:rPr>
        <w:t>2 -</w:t>
      </w:r>
      <w:r>
        <w:rPr>
          <w:rFonts w:hint="cs"/>
          <w:rtl/>
        </w:rPr>
        <w:tab/>
        <w:t>يـ</w:t>
      </w:r>
      <w:r w:rsidR="009B16B9" w:rsidRPr="009B16B9">
        <w:rPr>
          <w:rFonts w:hint="cs"/>
          <w:rtl/>
        </w:rPr>
        <w:t>رج</w:t>
      </w:r>
      <w:r>
        <w:rPr>
          <w:rFonts w:hint="cs"/>
          <w:rtl/>
        </w:rPr>
        <w:t xml:space="preserve">ـى </w:t>
      </w:r>
      <w:r w:rsidR="009B16B9" w:rsidRPr="009B16B9">
        <w:rPr>
          <w:rFonts w:hint="cs"/>
          <w:rtl/>
        </w:rPr>
        <w:t xml:space="preserve">إيضاح وضع الاتفاقية في إطار النظام القانوني المحلي. </w:t>
      </w:r>
      <w:r>
        <w:rPr>
          <w:rFonts w:hint="cs"/>
          <w:rtl/>
        </w:rPr>
        <w:t>و</w:t>
      </w:r>
      <w:r w:rsidR="009B16B9" w:rsidRPr="009B16B9">
        <w:rPr>
          <w:rFonts w:hint="cs"/>
          <w:rtl/>
        </w:rPr>
        <w:t xml:space="preserve">يُرجى على وجه الخصوص إيضاح </w:t>
      </w:r>
      <w:r>
        <w:rPr>
          <w:rFonts w:hint="cs"/>
          <w:rtl/>
        </w:rPr>
        <w:t xml:space="preserve">قابليـة </w:t>
      </w:r>
      <w:r w:rsidR="009B16B9" w:rsidRPr="009B16B9">
        <w:rPr>
          <w:rFonts w:hint="cs"/>
          <w:rtl/>
        </w:rPr>
        <w:t>تطبيق الاتفاقية أمام المحاكم الوطنية، والإشارة إلى أي من القضايا التي نظرت فيها الم</w:t>
      </w:r>
      <w:r>
        <w:rPr>
          <w:rFonts w:hint="cs"/>
          <w:rtl/>
        </w:rPr>
        <w:t>حاكم وأُشير فيها إلى الاتفاقية.</w:t>
      </w:r>
    </w:p>
    <w:p w:rsidR="009B16B9" w:rsidRDefault="00313193" w:rsidP="0016541F">
      <w:pPr>
        <w:pStyle w:val="SingleTxt"/>
        <w:rPr>
          <w:rFonts w:hint="cs"/>
          <w:rtl/>
        </w:rPr>
      </w:pPr>
      <w:r>
        <w:rPr>
          <w:rFonts w:hint="cs"/>
          <w:rtl/>
        </w:rPr>
        <w:t>3 -</w:t>
      </w:r>
      <w:r>
        <w:rPr>
          <w:rFonts w:hint="cs"/>
          <w:rtl/>
        </w:rPr>
        <w:tab/>
      </w:r>
      <w:r w:rsidR="009B16B9" w:rsidRPr="009B16B9">
        <w:rPr>
          <w:rFonts w:hint="cs"/>
          <w:rtl/>
        </w:rPr>
        <w:t xml:space="preserve">وفقا لما جاء في التقرير، فإن وزارة العدل </w:t>
      </w:r>
      <w:r w:rsidR="009B16B9" w:rsidRPr="009B16B9">
        <w:rPr>
          <w:rtl/>
        </w:rPr>
        <w:t xml:space="preserve">واللجنة الحكومية المعنية بوضع السياسة الحكومية من أجل النهوض بالمرأة </w:t>
      </w:r>
      <w:r w:rsidR="009B16B9" w:rsidRPr="009B16B9">
        <w:rPr>
          <w:rFonts w:hint="cs"/>
          <w:rtl/>
        </w:rPr>
        <w:t xml:space="preserve">كانتا بصدد </w:t>
      </w:r>
      <w:r w:rsidR="009B16B9" w:rsidRPr="009B16B9">
        <w:rPr>
          <w:rtl/>
        </w:rPr>
        <w:t xml:space="preserve">إعداد </w:t>
      </w:r>
      <w:r>
        <w:rPr>
          <w:rFonts w:hint="cs"/>
          <w:rtl/>
        </w:rPr>
        <w:t>”</w:t>
      </w:r>
      <w:r w:rsidR="009B16B9" w:rsidRPr="009B16B9">
        <w:rPr>
          <w:rtl/>
        </w:rPr>
        <w:t xml:space="preserve">صيغة جديدة من المادة 36 من الدستور، لضمان وجود </w:t>
      </w:r>
      <w:r w:rsidR="009B16B9" w:rsidRPr="009B16B9">
        <w:rPr>
          <w:rFonts w:hint="cs"/>
          <w:rtl/>
        </w:rPr>
        <w:t xml:space="preserve">نص قانوني مستقل يتناول </w:t>
      </w:r>
      <w:r w:rsidR="009B16B9" w:rsidRPr="009B16B9">
        <w:rPr>
          <w:rtl/>
        </w:rPr>
        <w:t>حقوق المرأة والمساواة بين الجنسين</w:t>
      </w:r>
      <w:r w:rsidR="0016541F">
        <w:rPr>
          <w:rFonts w:hint="cs"/>
          <w:rtl/>
        </w:rPr>
        <w:t>“ قبل</w:t>
      </w:r>
      <w:r w:rsidR="0016541F">
        <w:rPr>
          <w:rFonts w:hint="eastAsia"/>
          <w:rtl/>
        </w:rPr>
        <w:t> </w:t>
      </w:r>
      <w:r w:rsidR="009B16B9" w:rsidRPr="009B16B9">
        <w:rPr>
          <w:rFonts w:hint="cs"/>
          <w:rtl/>
        </w:rPr>
        <w:t>حلول نهاية عام 2004 (الفقرة 42). يُرجى تقديم تفاصيل عن وضع هذا التعديل المقترح إدخاله على الدستور وعن فحواه.</w:t>
      </w:r>
    </w:p>
    <w:p w:rsidR="009B16B9" w:rsidRDefault="0016541F" w:rsidP="009B16B9">
      <w:pPr>
        <w:pStyle w:val="SingleTxt"/>
        <w:rPr>
          <w:rFonts w:hint="cs"/>
          <w:rtl/>
        </w:rPr>
      </w:pPr>
      <w:r>
        <w:rPr>
          <w:rFonts w:hint="cs"/>
          <w:rtl/>
        </w:rPr>
        <w:t>4 -</w:t>
      </w:r>
      <w:r>
        <w:rPr>
          <w:rFonts w:hint="cs"/>
          <w:rtl/>
        </w:rPr>
        <w:tab/>
      </w:r>
      <w:r w:rsidR="009B16B9" w:rsidRPr="009B16B9">
        <w:rPr>
          <w:rFonts w:hint="cs"/>
          <w:rtl/>
        </w:rPr>
        <w:t>يشير التقرير إلى أن ال</w:t>
      </w:r>
      <w:r w:rsidR="009B16B9" w:rsidRPr="009B16B9">
        <w:rPr>
          <w:rtl/>
        </w:rPr>
        <w:t xml:space="preserve">لجنة </w:t>
      </w:r>
      <w:r w:rsidR="009B16B9" w:rsidRPr="009B16B9">
        <w:rPr>
          <w:rFonts w:hint="cs"/>
          <w:rtl/>
        </w:rPr>
        <w:t>ال</w:t>
      </w:r>
      <w:r w:rsidR="009B16B9" w:rsidRPr="009B16B9">
        <w:rPr>
          <w:rtl/>
        </w:rPr>
        <w:t xml:space="preserve">فرعية </w:t>
      </w:r>
      <w:r w:rsidR="009B16B9" w:rsidRPr="009B16B9">
        <w:rPr>
          <w:rFonts w:hint="cs"/>
          <w:rtl/>
        </w:rPr>
        <w:t>ل</w:t>
      </w:r>
      <w:r w:rsidR="009B16B9" w:rsidRPr="009B16B9">
        <w:rPr>
          <w:rtl/>
        </w:rPr>
        <w:t xml:space="preserve">حماية الأمومة والطفولة وتطوير الأسرة </w:t>
      </w:r>
      <w:r w:rsidR="009B16B9" w:rsidRPr="009B16B9">
        <w:rPr>
          <w:rFonts w:hint="cs"/>
          <w:rtl/>
        </w:rPr>
        <w:t>و</w:t>
      </w:r>
      <w:r w:rsidR="009B16B9" w:rsidRPr="009B16B9">
        <w:rPr>
          <w:rtl/>
        </w:rPr>
        <w:t>اللجنة البرلمانية لحماية حقوق الإنسان والدفاع عن حقوق المواطنين وبناء المجتمع المدني</w:t>
      </w:r>
      <w:r w:rsidR="009B16B9" w:rsidRPr="009B16B9">
        <w:rPr>
          <w:rFonts w:hint="cs"/>
          <w:rtl/>
        </w:rPr>
        <w:t xml:space="preserve"> قد </w:t>
      </w:r>
      <w:r w:rsidR="009B16B9" w:rsidRPr="009B16B9">
        <w:rPr>
          <w:rtl/>
        </w:rPr>
        <w:t>شاركت</w:t>
      </w:r>
      <w:r w:rsidR="009B16B9" w:rsidRPr="009B16B9">
        <w:rPr>
          <w:rFonts w:hint="cs"/>
          <w:rtl/>
        </w:rPr>
        <w:t>ا</w:t>
      </w:r>
      <w:r w:rsidR="009B16B9" w:rsidRPr="009B16B9">
        <w:rPr>
          <w:rtl/>
        </w:rPr>
        <w:t xml:space="preserve"> بنشاط في إعداد مشاريع قوانين تعبر عن قضايا الجنسين </w:t>
      </w:r>
      <w:r w:rsidR="009B16B9" w:rsidRPr="009B16B9">
        <w:rPr>
          <w:rFonts w:hint="cs"/>
          <w:rtl/>
        </w:rPr>
        <w:t xml:space="preserve">(الفقرة 32). يُرجى تقديم تفاصيل عن مشاريع القوانين التي اقترحتها </w:t>
      </w:r>
      <w:r w:rsidR="006E0852">
        <w:rPr>
          <w:rFonts w:hint="cs"/>
          <w:rtl/>
        </w:rPr>
        <w:t xml:space="preserve">هاتـان الهيئتـان </w:t>
      </w:r>
      <w:r w:rsidR="009B16B9" w:rsidRPr="009B16B9">
        <w:rPr>
          <w:rFonts w:hint="cs"/>
          <w:rtl/>
        </w:rPr>
        <w:t>وذكر ما إذا</w:t>
      </w:r>
      <w:r w:rsidR="006E0852">
        <w:rPr>
          <w:rFonts w:hint="cs"/>
          <w:rtl/>
        </w:rPr>
        <w:t xml:space="preserve"> كان أيا منها قد اعتُمد</w:t>
      </w:r>
      <w:r w:rsidR="006E0852">
        <w:rPr>
          <w:rFonts w:hint="eastAsia"/>
          <w:rtl/>
        </w:rPr>
        <w:t> </w:t>
      </w:r>
      <w:r>
        <w:rPr>
          <w:rFonts w:hint="cs"/>
          <w:rtl/>
        </w:rPr>
        <w:t>بالفعل.</w:t>
      </w:r>
    </w:p>
    <w:p w:rsidR="009B16B9" w:rsidRDefault="0016541F" w:rsidP="006E0852">
      <w:pPr>
        <w:pStyle w:val="SingleTxt"/>
        <w:rPr>
          <w:rFonts w:hint="cs"/>
          <w:rtl/>
        </w:rPr>
      </w:pPr>
      <w:r>
        <w:rPr>
          <w:rFonts w:hint="cs"/>
          <w:rtl/>
        </w:rPr>
        <w:t>5 -</w:t>
      </w:r>
      <w:r>
        <w:rPr>
          <w:rFonts w:hint="cs"/>
          <w:rtl/>
        </w:rPr>
        <w:tab/>
      </w:r>
      <w:r w:rsidR="009B16B9" w:rsidRPr="009B16B9">
        <w:rPr>
          <w:rFonts w:hint="cs"/>
          <w:rtl/>
        </w:rPr>
        <w:t xml:space="preserve">يذكر التقرير أن </w:t>
      </w:r>
      <w:r w:rsidR="006E0852">
        <w:rPr>
          <w:rFonts w:hint="cs"/>
          <w:rtl/>
        </w:rPr>
        <w:t xml:space="preserve">هنـاك </w:t>
      </w:r>
      <w:r w:rsidR="009B16B9" w:rsidRPr="009B16B9">
        <w:rPr>
          <w:rFonts w:hint="cs"/>
          <w:rtl/>
        </w:rPr>
        <w:t xml:space="preserve">قانونا يوقع عقوبات جنائية عند ارتكاب مخالفة </w:t>
      </w:r>
      <w:r w:rsidR="006E0852">
        <w:rPr>
          <w:rFonts w:hint="eastAsia"/>
          <w:rtl/>
        </w:rPr>
        <w:t>”</w:t>
      </w:r>
      <w:r w:rsidR="006E0852">
        <w:rPr>
          <w:rtl/>
        </w:rPr>
        <w:t>انتهاك</w:t>
      </w:r>
      <w:r w:rsidR="006E0852">
        <w:rPr>
          <w:rFonts w:hint="cs"/>
          <w:rtl/>
        </w:rPr>
        <w:t> </w:t>
      </w:r>
      <w:r w:rsidR="009B16B9" w:rsidRPr="009B16B9">
        <w:rPr>
          <w:rtl/>
        </w:rPr>
        <w:t>المساواة بين المواطنين</w:t>
      </w:r>
      <w:r w:rsidR="006E0852">
        <w:rPr>
          <w:rFonts w:hint="cs"/>
          <w:rtl/>
        </w:rPr>
        <w:t>“</w:t>
      </w:r>
      <w:r w:rsidR="009B16B9" w:rsidRPr="009B16B9">
        <w:rPr>
          <w:rFonts w:hint="cs"/>
          <w:rtl/>
        </w:rPr>
        <w:t xml:space="preserve"> قد </w:t>
      </w:r>
      <w:r w:rsidR="006E0852">
        <w:rPr>
          <w:rFonts w:hint="cs"/>
          <w:rtl/>
        </w:rPr>
        <w:t xml:space="preserve">بـدأ نفـاذه </w:t>
      </w:r>
      <w:r w:rsidR="009B16B9" w:rsidRPr="009B16B9">
        <w:rPr>
          <w:rtl/>
        </w:rPr>
        <w:t>في 1 حزيران/يونيه 2000</w:t>
      </w:r>
      <w:r w:rsidR="009B16B9" w:rsidRPr="009B16B9">
        <w:rPr>
          <w:rFonts w:hint="cs"/>
          <w:rtl/>
        </w:rPr>
        <w:t xml:space="preserve"> (الفقرة 35)</w:t>
      </w:r>
      <w:r w:rsidR="009B16B9" w:rsidRPr="009B16B9">
        <w:rPr>
          <w:rtl/>
        </w:rPr>
        <w:t xml:space="preserve">. </w:t>
      </w:r>
      <w:r w:rsidR="009B16B9" w:rsidRPr="009B16B9">
        <w:rPr>
          <w:rFonts w:hint="cs"/>
          <w:rtl/>
        </w:rPr>
        <w:t>يُرجى تحديد ما إذا كان قد جرى، في إطار هذا القانون، إقامة دعاوى قضائية بشأن حالات تمييز على أساس الجنس وما أسفرت عنه هذه ال</w:t>
      </w:r>
      <w:r w:rsidR="006E0852">
        <w:rPr>
          <w:rFonts w:hint="cs"/>
          <w:rtl/>
        </w:rPr>
        <w:t xml:space="preserve">ـدعـاوى، </w:t>
      </w:r>
      <w:r w:rsidR="009B16B9" w:rsidRPr="009B16B9">
        <w:rPr>
          <w:rFonts w:hint="cs"/>
          <w:rtl/>
        </w:rPr>
        <w:t>وإيضاح ما إذا كانت هناك سبل انتصاف مدنية أو إدارية أو غيرها</w:t>
      </w:r>
      <w:r>
        <w:rPr>
          <w:rFonts w:hint="cs"/>
          <w:rtl/>
        </w:rPr>
        <w:t xml:space="preserve"> متاحة للنساء من ضحايا التمييز.</w:t>
      </w:r>
    </w:p>
    <w:p w:rsidR="009B16B9" w:rsidRDefault="0016541F" w:rsidP="00D910B7">
      <w:pPr>
        <w:pStyle w:val="SingleTxt"/>
        <w:rPr>
          <w:rFonts w:hint="cs"/>
          <w:rtl/>
        </w:rPr>
      </w:pPr>
      <w:r>
        <w:rPr>
          <w:rFonts w:hint="cs"/>
          <w:rtl/>
        </w:rPr>
        <w:t>6 -</w:t>
      </w:r>
      <w:r>
        <w:rPr>
          <w:rFonts w:hint="cs"/>
          <w:rtl/>
        </w:rPr>
        <w:tab/>
      </w:r>
      <w:r w:rsidR="009B16B9" w:rsidRPr="009B16B9">
        <w:rPr>
          <w:rFonts w:hint="cs"/>
          <w:rtl/>
        </w:rPr>
        <w:t xml:space="preserve">يسهب التقرير في وصف إجراءات عدة كان يُعتزم اتخاذها عملا بخطة العمل </w:t>
      </w:r>
      <w:r w:rsidR="009B16B9" w:rsidRPr="009B16B9">
        <w:rPr>
          <w:rtl/>
        </w:rPr>
        <w:t xml:space="preserve">لتحسين ظروف المرأة في جورجيا </w:t>
      </w:r>
      <w:r w:rsidR="009B16B9" w:rsidRPr="009B16B9">
        <w:rPr>
          <w:rFonts w:hint="cs"/>
          <w:rtl/>
        </w:rPr>
        <w:t>(</w:t>
      </w:r>
      <w:r w:rsidR="009B16B9" w:rsidRPr="009B16B9">
        <w:rPr>
          <w:rtl/>
        </w:rPr>
        <w:t>2001-2004</w:t>
      </w:r>
      <w:r w:rsidR="009B16B9" w:rsidRPr="009B16B9">
        <w:rPr>
          <w:rFonts w:hint="cs"/>
          <w:rtl/>
        </w:rPr>
        <w:t>)، بما في ذلك إنشاء</w:t>
      </w:r>
      <w:r w:rsidR="009B16B9" w:rsidRPr="009B16B9">
        <w:rPr>
          <w:rtl/>
        </w:rPr>
        <w:t xml:space="preserve"> آليات مؤسسية </w:t>
      </w:r>
      <w:r w:rsidR="009B16B9" w:rsidRPr="009B16B9">
        <w:rPr>
          <w:rFonts w:hint="cs"/>
          <w:rtl/>
        </w:rPr>
        <w:t xml:space="preserve">لإدماج الشؤون الجنسانية في </w:t>
      </w:r>
      <w:r w:rsidR="009B16B9" w:rsidRPr="009B16B9">
        <w:rPr>
          <w:rtl/>
        </w:rPr>
        <w:t>صلب السياسات والتشريعات العامة؛</w:t>
      </w:r>
      <w:r w:rsidR="009B16B9" w:rsidRPr="009B16B9">
        <w:rPr>
          <w:rFonts w:hint="cs"/>
          <w:rtl/>
        </w:rPr>
        <w:t xml:space="preserve"> وحماية حقوق المرأة </w:t>
      </w:r>
      <w:r w:rsidR="00D910B7">
        <w:rPr>
          <w:rtl/>
        </w:rPr>
        <w:t>في حالة ال</w:t>
      </w:r>
      <w:r w:rsidR="00D910B7">
        <w:rPr>
          <w:rFonts w:hint="cs"/>
          <w:rtl/>
        </w:rPr>
        <w:t xml:space="preserve">صـراع </w:t>
      </w:r>
      <w:r w:rsidR="009B16B9" w:rsidRPr="009B16B9">
        <w:rPr>
          <w:rtl/>
        </w:rPr>
        <w:t>المسلح وفي فترات ما بعد ال</w:t>
      </w:r>
      <w:r w:rsidR="00D910B7">
        <w:rPr>
          <w:rFonts w:hint="cs"/>
          <w:rtl/>
        </w:rPr>
        <w:t xml:space="preserve">صراع؛ </w:t>
      </w:r>
      <w:r w:rsidR="009B16B9" w:rsidRPr="009B16B9">
        <w:rPr>
          <w:rFonts w:hint="cs"/>
          <w:rtl/>
        </w:rPr>
        <w:t xml:space="preserve">وتعزيز مشاركة المرأة </w:t>
      </w:r>
      <w:r w:rsidR="009B16B9" w:rsidRPr="009B16B9">
        <w:rPr>
          <w:rtl/>
        </w:rPr>
        <w:t>في عمليات صنع القرار</w:t>
      </w:r>
      <w:r w:rsidR="009B16B9" w:rsidRPr="009B16B9">
        <w:rPr>
          <w:rFonts w:hint="cs"/>
          <w:rtl/>
        </w:rPr>
        <w:t>؛ و</w:t>
      </w:r>
      <w:r w:rsidR="009B16B9" w:rsidRPr="009B16B9">
        <w:rPr>
          <w:rtl/>
        </w:rPr>
        <w:t>تشجيع الاستقلال الاقتصادي للمر</w:t>
      </w:r>
      <w:r w:rsidR="009B16B9" w:rsidRPr="009B16B9">
        <w:rPr>
          <w:rFonts w:hint="cs"/>
          <w:rtl/>
        </w:rPr>
        <w:t>أ</w:t>
      </w:r>
      <w:r w:rsidR="009B16B9" w:rsidRPr="009B16B9">
        <w:rPr>
          <w:rtl/>
        </w:rPr>
        <w:t>ة</w:t>
      </w:r>
      <w:r w:rsidR="009B16B9" w:rsidRPr="009B16B9">
        <w:rPr>
          <w:rFonts w:hint="cs"/>
          <w:rtl/>
        </w:rPr>
        <w:t xml:space="preserve">؛ والحد من الفقر وتحسين الظروف الصحية للمرأة (الفقرة 19). يُرجى تقديم تفاصيل عن الآثار الملموسة التي تمخضت عنها هذه الخطة عند تنفيذها في كل من هذه المجالات، وإيضاح الآليات </w:t>
      </w:r>
      <w:r>
        <w:rPr>
          <w:rFonts w:hint="cs"/>
          <w:rtl/>
        </w:rPr>
        <w:t>التي أُ</w:t>
      </w:r>
      <w:r w:rsidR="00D910B7">
        <w:rPr>
          <w:rFonts w:hint="cs"/>
          <w:rtl/>
        </w:rPr>
        <w:t xml:space="preserve">نشـئـت </w:t>
      </w:r>
      <w:r>
        <w:rPr>
          <w:rFonts w:hint="cs"/>
          <w:rtl/>
        </w:rPr>
        <w:t>دعما لعملية التنفيذ</w:t>
      </w:r>
      <w:r>
        <w:rPr>
          <w:rFonts w:hint="eastAsia"/>
          <w:rtl/>
        </w:rPr>
        <w:t> </w:t>
      </w:r>
      <w:r w:rsidR="009B16B9" w:rsidRPr="009B16B9">
        <w:rPr>
          <w:rFonts w:hint="cs"/>
          <w:rtl/>
        </w:rPr>
        <w:t>هذه.</w:t>
      </w:r>
    </w:p>
    <w:p w:rsidR="009B16B9" w:rsidRDefault="0016541F" w:rsidP="00D910B7">
      <w:pPr>
        <w:pStyle w:val="SingleTxt"/>
        <w:rPr>
          <w:rFonts w:hint="cs"/>
          <w:rtl/>
        </w:rPr>
      </w:pPr>
      <w:r>
        <w:rPr>
          <w:rFonts w:hint="cs"/>
          <w:rtl/>
        </w:rPr>
        <w:t>7 -</w:t>
      </w:r>
      <w:r>
        <w:rPr>
          <w:rFonts w:hint="cs"/>
          <w:rtl/>
        </w:rPr>
        <w:tab/>
      </w:r>
      <w:r w:rsidR="009B16B9" w:rsidRPr="009B16B9">
        <w:rPr>
          <w:rFonts w:hint="cs"/>
          <w:rtl/>
        </w:rPr>
        <w:t xml:space="preserve">جاء في التقرير أن تشكيل </w:t>
      </w:r>
      <w:r w:rsidR="009B16B9" w:rsidRPr="009B16B9">
        <w:rPr>
          <w:rtl/>
        </w:rPr>
        <w:t xml:space="preserve">اللجنة الحكومية </w:t>
      </w:r>
      <w:r w:rsidR="00D910B7">
        <w:rPr>
          <w:rFonts w:hint="cs"/>
          <w:rtl/>
        </w:rPr>
        <w:t>المعنيـة بـ</w:t>
      </w:r>
      <w:r w:rsidR="009B16B9" w:rsidRPr="009B16B9">
        <w:rPr>
          <w:rFonts w:hint="cs"/>
          <w:rtl/>
        </w:rPr>
        <w:t>وضع السياسات الحكومية من أجل النهوض بالمرأة، وهي الهيئة الرئيسية القائمة على تنسيق السياسات الحكومية فيما</w:t>
      </w:r>
      <w:r w:rsidR="00D910B7">
        <w:rPr>
          <w:rFonts w:hint="eastAsia"/>
          <w:rtl/>
        </w:rPr>
        <w:t> </w:t>
      </w:r>
      <w:r w:rsidR="009B16B9" w:rsidRPr="009B16B9">
        <w:rPr>
          <w:rFonts w:hint="cs"/>
          <w:rtl/>
        </w:rPr>
        <w:t>يتعلق بالشؤون الجنسانية، قد تغير بصورة جوهرية بعد نيسان/أبريل 2000 نظرا لا</w:t>
      </w:r>
      <w:r w:rsidR="009B16B9" w:rsidRPr="009B16B9">
        <w:rPr>
          <w:rtl/>
        </w:rPr>
        <w:t xml:space="preserve">ستقالة الحكومة السابقة </w:t>
      </w:r>
      <w:r w:rsidR="009B16B9" w:rsidRPr="009B16B9">
        <w:rPr>
          <w:rFonts w:hint="cs"/>
          <w:rtl/>
        </w:rPr>
        <w:t>(الفقرة 27). يُرجى تقديم المزيد من التفاصيل عن التشكيل الحالي للجنة وولايتها وسلطاتها ومواردها، وإيضاح صلتها بإدارة ا</w:t>
      </w:r>
      <w:r w:rsidR="009B16B9" w:rsidRPr="009B16B9">
        <w:rPr>
          <w:rtl/>
        </w:rPr>
        <w:t>لسكان وحماية الأم</w:t>
      </w:r>
      <w:r w:rsidR="009B16B9" w:rsidRPr="009B16B9">
        <w:rPr>
          <w:rFonts w:hint="cs"/>
          <w:rtl/>
        </w:rPr>
        <w:t>ومة</w:t>
      </w:r>
      <w:r w:rsidR="009B16B9" w:rsidRPr="009B16B9">
        <w:rPr>
          <w:rtl/>
        </w:rPr>
        <w:t xml:space="preserve"> والطف</w:t>
      </w:r>
      <w:r w:rsidR="009B16B9" w:rsidRPr="009B16B9">
        <w:rPr>
          <w:rFonts w:hint="cs"/>
          <w:rtl/>
        </w:rPr>
        <w:t>و</w:t>
      </w:r>
      <w:r w:rsidR="009B16B9" w:rsidRPr="009B16B9">
        <w:rPr>
          <w:rtl/>
        </w:rPr>
        <w:t>ل</w:t>
      </w:r>
      <w:r w:rsidR="009B16B9" w:rsidRPr="009B16B9">
        <w:rPr>
          <w:rFonts w:hint="cs"/>
          <w:rtl/>
        </w:rPr>
        <w:t>ة</w:t>
      </w:r>
      <w:r w:rsidR="009B16B9" w:rsidRPr="009B16B9">
        <w:rPr>
          <w:rtl/>
        </w:rPr>
        <w:t xml:space="preserve"> وتطوير الأسرة </w:t>
      </w:r>
      <w:r w:rsidR="009B16B9" w:rsidRPr="009B16B9">
        <w:rPr>
          <w:rFonts w:hint="cs"/>
          <w:rtl/>
        </w:rPr>
        <w:t>المكلَّفة، وفقا لما ورد في التقرير، برصد وتنسيق الأنشطة التي تقوم بها مختلف الوكالات الحكومية الم</w:t>
      </w:r>
      <w:r w:rsidR="00D910B7">
        <w:rPr>
          <w:rFonts w:hint="cs"/>
          <w:rtl/>
        </w:rPr>
        <w:t xml:space="preserve">سـؤولة عـن </w:t>
      </w:r>
      <w:r w:rsidR="009B16B9" w:rsidRPr="009B16B9">
        <w:rPr>
          <w:rFonts w:hint="cs"/>
          <w:rtl/>
        </w:rPr>
        <w:t>ش</w:t>
      </w:r>
      <w:r>
        <w:rPr>
          <w:rFonts w:hint="cs"/>
          <w:rtl/>
        </w:rPr>
        <w:t>ؤون المرأة والأسرة (الفقرة 28).</w:t>
      </w:r>
    </w:p>
    <w:p w:rsidR="009B16B9" w:rsidRDefault="0016541F" w:rsidP="00D910B7">
      <w:pPr>
        <w:pStyle w:val="SingleTxt"/>
        <w:rPr>
          <w:rFonts w:hint="cs"/>
          <w:rtl/>
        </w:rPr>
      </w:pPr>
      <w:r>
        <w:rPr>
          <w:rFonts w:hint="cs"/>
          <w:rtl/>
        </w:rPr>
        <w:t>8 -</w:t>
      </w:r>
      <w:r>
        <w:rPr>
          <w:rFonts w:hint="cs"/>
          <w:rtl/>
        </w:rPr>
        <w:tab/>
      </w:r>
      <w:r w:rsidR="009B16B9" w:rsidRPr="009B16B9">
        <w:rPr>
          <w:rFonts w:hint="cs"/>
          <w:rtl/>
        </w:rPr>
        <w:t xml:space="preserve">يذكر التقرير أن مركزا لحقوق المرأة قد أنشئ في مكتب المحامي العام (ديوان المظالم) في عام 2002 (الفقرة 31). يُرجى تقديم تفاصيل عن الشكاوى المتعلقة بانتهاكات حقوق المرأة والتي </w:t>
      </w:r>
      <w:r w:rsidR="00D910B7">
        <w:rPr>
          <w:rFonts w:hint="cs"/>
          <w:rtl/>
        </w:rPr>
        <w:t xml:space="preserve">تلقاهـا </w:t>
      </w:r>
      <w:r w:rsidR="009B16B9" w:rsidRPr="009B16B9">
        <w:rPr>
          <w:rFonts w:hint="cs"/>
          <w:rtl/>
        </w:rPr>
        <w:t xml:space="preserve">المركز أو المحامي العام </w:t>
      </w:r>
      <w:r w:rsidR="00D910B7">
        <w:rPr>
          <w:rFonts w:hint="cs"/>
          <w:rtl/>
        </w:rPr>
        <w:t xml:space="preserve">وقـام </w:t>
      </w:r>
      <w:r w:rsidR="009B16B9" w:rsidRPr="009B16B9">
        <w:rPr>
          <w:rFonts w:hint="cs"/>
          <w:rtl/>
        </w:rPr>
        <w:t>بحلها في ال</w:t>
      </w:r>
      <w:r>
        <w:rPr>
          <w:rFonts w:hint="cs"/>
          <w:rtl/>
        </w:rPr>
        <w:t>فترة المنقضية منذ تقديم التقرير</w:t>
      </w:r>
      <w:r>
        <w:rPr>
          <w:rFonts w:hint="eastAsia"/>
          <w:rtl/>
        </w:rPr>
        <w:t> </w:t>
      </w:r>
      <w:r w:rsidR="009B16B9" w:rsidRPr="009B16B9">
        <w:rPr>
          <w:rFonts w:hint="cs"/>
          <w:rtl/>
        </w:rPr>
        <w:t>الأو</w:t>
      </w:r>
      <w:r>
        <w:rPr>
          <w:rFonts w:hint="cs"/>
          <w:rtl/>
        </w:rPr>
        <w:t>َّ</w:t>
      </w:r>
      <w:r w:rsidR="009B16B9" w:rsidRPr="009B16B9">
        <w:rPr>
          <w:rFonts w:hint="cs"/>
          <w:rtl/>
        </w:rPr>
        <w:t>ل</w:t>
      </w:r>
      <w:r>
        <w:rPr>
          <w:rFonts w:hint="cs"/>
          <w:rtl/>
        </w:rPr>
        <w:t>ـِـ</w:t>
      </w:r>
      <w:r w:rsidR="009B16B9" w:rsidRPr="009B16B9">
        <w:rPr>
          <w:rFonts w:hint="cs"/>
          <w:rtl/>
        </w:rPr>
        <w:t>ي.</w:t>
      </w:r>
    </w:p>
    <w:p w:rsidR="009B16B9" w:rsidRDefault="0016541F" w:rsidP="0016541F">
      <w:pPr>
        <w:pStyle w:val="SingleTxt"/>
        <w:rPr>
          <w:rFonts w:hint="cs"/>
          <w:rtl/>
        </w:rPr>
      </w:pPr>
      <w:r>
        <w:rPr>
          <w:rFonts w:hint="cs"/>
          <w:rtl/>
        </w:rPr>
        <w:t>9 -</w:t>
      </w:r>
      <w:r>
        <w:rPr>
          <w:rFonts w:hint="cs"/>
          <w:rtl/>
        </w:rPr>
        <w:tab/>
      </w:r>
      <w:r w:rsidR="009B16B9" w:rsidRPr="009B16B9">
        <w:rPr>
          <w:rFonts w:hint="cs"/>
          <w:rtl/>
        </w:rPr>
        <w:t xml:space="preserve">يشير التقرير إلى أن </w:t>
      </w:r>
      <w:r w:rsidR="009B16B9" w:rsidRPr="009B16B9">
        <w:rPr>
          <w:rtl/>
        </w:rPr>
        <w:t>الإدارة العامة للإحصاء</w:t>
      </w:r>
      <w:r w:rsidR="009B16B9" w:rsidRPr="009B16B9">
        <w:rPr>
          <w:rFonts w:hint="cs"/>
          <w:rtl/>
        </w:rPr>
        <w:t>ات</w:t>
      </w:r>
      <w:r w:rsidR="009B16B9" w:rsidRPr="009B16B9">
        <w:rPr>
          <w:rtl/>
        </w:rPr>
        <w:t xml:space="preserve"> </w:t>
      </w:r>
      <w:r w:rsidR="009B16B9" w:rsidRPr="009B16B9">
        <w:rPr>
          <w:rFonts w:hint="cs"/>
          <w:rtl/>
        </w:rPr>
        <w:t xml:space="preserve">كُلفت </w:t>
      </w:r>
      <w:r w:rsidR="009B16B9" w:rsidRPr="009B16B9">
        <w:rPr>
          <w:rtl/>
        </w:rPr>
        <w:t>ب</w:t>
      </w:r>
      <w:r w:rsidR="009B16B9" w:rsidRPr="009B16B9">
        <w:rPr>
          <w:rFonts w:hint="cs"/>
          <w:rtl/>
        </w:rPr>
        <w:t xml:space="preserve">إدراج </w:t>
      </w:r>
      <w:r w:rsidR="009B16B9" w:rsidRPr="009B16B9">
        <w:rPr>
          <w:rtl/>
        </w:rPr>
        <w:t xml:space="preserve">بيانات </w:t>
      </w:r>
      <w:r w:rsidR="009B16B9" w:rsidRPr="009B16B9">
        <w:rPr>
          <w:rFonts w:hint="cs"/>
          <w:rtl/>
        </w:rPr>
        <w:t>إحصائية</w:t>
      </w:r>
      <w:r w:rsidR="009B16B9" w:rsidRPr="009B16B9">
        <w:rPr>
          <w:rtl/>
        </w:rPr>
        <w:t xml:space="preserve"> </w:t>
      </w:r>
      <w:r w:rsidR="00D910B7">
        <w:rPr>
          <w:rFonts w:hint="cs"/>
          <w:rtl/>
        </w:rPr>
        <w:t xml:space="preserve">ذات منظـور </w:t>
      </w:r>
      <w:r w:rsidR="009B16B9" w:rsidRPr="009B16B9">
        <w:rPr>
          <w:rFonts w:hint="cs"/>
          <w:rtl/>
        </w:rPr>
        <w:t>جنساني</w:t>
      </w:r>
      <w:r w:rsidR="009B16B9" w:rsidRPr="009B16B9">
        <w:rPr>
          <w:rtl/>
        </w:rPr>
        <w:t xml:space="preserve"> </w:t>
      </w:r>
      <w:r w:rsidR="009B16B9" w:rsidRPr="009B16B9">
        <w:rPr>
          <w:rFonts w:hint="cs"/>
          <w:rtl/>
        </w:rPr>
        <w:t>في</w:t>
      </w:r>
      <w:r w:rsidR="009B16B9" w:rsidRPr="009B16B9">
        <w:rPr>
          <w:rtl/>
        </w:rPr>
        <w:t xml:space="preserve"> تقريرها السنوي</w:t>
      </w:r>
      <w:r w:rsidR="009B16B9" w:rsidRPr="009B16B9">
        <w:rPr>
          <w:rFonts w:hint="cs"/>
          <w:rtl/>
        </w:rPr>
        <w:t xml:space="preserve"> (الفقرة 16) وأن الإدارة نشرت في عامي 1999 و</w:t>
      </w:r>
      <w:r>
        <w:rPr>
          <w:rFonts w:hint="eastAsia"/>
          <w:rtl/>
        </w:rPr>
        <w:t> </w:t>
      </w:r>
      <w:r w:rsidR="009B16B9" w:rsidRPr="009B16B9">
        <w:rPr>
          <w:rFonts w:hint="cs"/>
          <w:rtl/>
        </w:rPr>
        <w:t xml:space="preserve">2002 مجموعة إصدارات إحصائية عنوانها </w:t>
      </w:r>
      <w:r>
        <w:rPr>
          <w:rFonts w:hint="eastAsia"/>
          <w:rtl/>
        </w:rPr>
        <w:t>”</w:t>
      </w:r>
      <w:r w:rsidR="009B16B9" w:rsidRPr="009B16B9">
        <w:rPr>
          <w:rFonts w:hint="cs"/>
          <w:rtl/>
        </w:rPr>
        <w:t>الرجل والمرأة في جورجيا</w:t>
      </w:r>
      <w:r>
        <w:rPr>
          <w:rFonts w:hint="eastAsia"/>
          <w:rtl/>
        </w:rPr>
        <w:t>“</w:t>
      </w:r>
      <w:r w:rsidR="009B16B9" w:rsidRPr="009B16B9">
        <w:rPr>
          <w:rFonts w:hint="cs"/>
          <w:rtl/>
        </w:rPr>
        <w:t xml:space="preserve"> تحتوى على بيانات جنسانية (الفقرة 48). بيد أن التقرير لا يورد</w:t>
      </w:r>
      <w:r>
        <w:rPr>
          <w:rFonts w:hint="cs"/>
          <w:rtl/>
        </w:rPr>
        <w:t xml:space="preserve"> إلا معلومات إحصائية محدودة ولا</w:t>
      </w:r>
      <w:r>
        <w:rPr>
          <w:rFonts w:hint="eastAsia"/>
          <w:rtl/>
        </w:rPr>
        <w:t> </w:t>
      </w:r>
      <w:r w:rsidR="009B16B9" w:rsidRPr="009B16B9">
        <w:rPr>
          <w:rFonts w:hint="cs"/>
          <w:rtl/>
        </w:rPr>
        <w:t>يناقش النتائج الإحصائية المتصلة بوضع المرأة وبتنفيذ الاتفاقية في جو</w:t>
      </w:r>
      <w:r w:rsidR="00D910B7">
        <w:rPr>
          <w:rFonts w:hint="cs"/>
          <w:rtl/>
        </w:rPr>
        <w:t xml:space="preserve">رجيا. يُرجى تقديم معلومات عن الـرؤى التي تـم اكتسابها بشــأن </w:t>
      </w:r>
      <w:r w:rsidR="009B16B9" w:rsidRPr="009B16B9">
        <w:rPr>
          <w:rFonts w:hint="cs"/>
          <w:rtl/>
        </w:rPr>
        <w:t xml:space="preserve">وضع المرأة </w:t>
      </w:r>
      <w:r w:rsidR="00D910B7">
        <w:rPr>
          <w:rFonts w:hint="cs"/>
          <w:rtl/>
        </w:rPr>
        <w:t xml:space="preserve">من خلال </w:t>
      </w:r>
      <w:r w:rsidR="009B16B9" w:rsidRPr="009B16B9">
        <w:rPr>
          <w:rFonts w:hint="cs"/>
          <w:rtl/>
        </w:rPr>
        <w:t xml:space="preserve">الدراسات الإحصائية </w:t>
      </w:r>
      <w:r w:rsidR="00D910B7">
        <w:rPr>
          <w:rFonts w:hint="cs"/>
          <w:rtl/>
        </w:rPr>
        <w:t xml:space="preserve">التي أُجريــت. </w:t>
      </w:r>
      <w:r w:rsidR="009B16B9" w:rsidRPr="009B16B9">
        <w:rPr>
          <w:rFonts w:hint="cs"/>
          <w:rtl/>
        </w:rPr>
        <w:t>كذلك، يُرجى إيضاح كيفية استخدام هذه المعلومات للتوعية والرصد وتقييم السياسات ا</w:t>
      </w:r>
      <w:r>
        <w:rPr>
          <w:rFonts w:hint="cs"/>
          <w:rtl/>
        </w:rPr>
        <w:t>لعامة والبرامج المتصلة بالمرأة.</w:t>
      </w:r>
    </w:p>
    <w:p w:rsidR="0016541F" w:rsidRPr="0016541F" w:rsidRDefault="0016541F" w:rsidP="0016541F">
      <w:pPr>
        <w:pStyle w:val="SingleTxt"/>
        <w:spacing w:after="0" w:line="120" w:lineRule="exact"/>
        <w:rPr>
          <w:rFonts w:hint="cs"/>
          <w:sz w:val="10"/>
          <w:rtl/>
        </w:rPr>
      </w:pPr>
    </w:p>
    <w:p w:rsidR="009B16B9" w:rsidRPr="009B16B9" w:rsidRDefault="0016541F" w:rsidP="001654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B16B9" w:rsidRPr="009B16B9">
        <w:rPr>
          <w:rFonts w:hint="cs"/>
          <w:rtl/>
        </w:rPr>
        <w:t>مشاركة النساء في الحياة العامة وصنع القرار</w:t>
      </w:r>
    </w:p>
    <w:p w:rsidR="009B16B9" w:rsidRDefault="0016541F" w:rsidP="00D910B7">
      <w:pPr>
        <w:pStyle w:val="SingleTxt"/>
        <w:rPr>
          <w:rFonts w:hint="cs"/>
          <w:rtl/>
        </w:rPr>
      </w:pPr>
      <w:r>
        <w:rPr>
          <w:rFonts w:hint="cs"/>
          <w:rtl/>
        </w:rPr>
        <w:t>10 -</w:t>
      </w:r>
      <w:r>
        <w:rPr>
          <w:rFonts w:hint="cs"/>
          <w:rtl/>
        </w:rPr>
        <w:tab/>
      </w:r>
      <w:r w:rsidR="009B16B9" w:rsidRPr="009B16B9">
        <w:rPr>
          <w:rFonts w:hint="cs"/>
          <w:rtl/>
        </w:rPr>
        <w:t xml:space="preserve">وفقا لما جاء في التقرير، فإن </w:t>
      </w:r>
      <w:r w:rsidR="009B16B9" w:rsidRPr="009B16B9">
        <w:rPr>
          <w:rtl/>
        </w:rPr>
        <w:t xml:space="preserve">تمثيل المرأة في مستويات صنع القرار </w:t>
      </w:r>
      <w:r w:rsidR="009B16B9" w:rsidRPr="009B16B9">
        <w:rPr>
          <w:rFonts w:hint="cs"/>
          <w:rtl/>
        </w:rPr>
        <w:t>ل</w:t>
      </w:r>
      <w:r w:rsidR="009B16B9" w:rsidRPr="009B16B9">
        <w:rPr>
          <w:rtl/>
        </w:rPr>
        <w:t>م يتغير بدرجة كبيرة</w:t>
      </w:r>
      <w:r w:rsidR="009B16B9" w:rsidRPr="009B16B9">
        <w:rPr>
          <w:rFonts w:hint="cs"/>
          <w:rtl/>
        </w:rPr>
        <w:t xml:space="preserve"> منذ تقديم التقرير الأو</w:t>
      </w:r>
      <w:r w:rsidR="00D910B7">
        <w:rPr>
          <w:rFonts w:hint="cs"/>
          <w:rtl/>
        </w:rPr>
        <w:t xml:space="preserve">َّلـِـي - </w:t>
      </w:r>
      <w:r w:rsidR="009B16B9" w:rsidRPr="009B16B9">
        <w:rPr>
          <w:rFonts w:hint="cs"/>
          <w:rtl/>
        </w:rPr>
        <w:t xml:space="preserve">حيث أن النساء ممثلات </w:t>
      </w:r>
      <w:r w:rsidR="00D910B7">
        <w:rPr>
          <w:rFonts w:hint="cs"/>
          <w:rtl/>
        </w:rPr>
        <w:t xml:space="preserve">بنسبـة 7 في المائة </w:t>
      </w:r>
      <w:r w:rsidR="009B16B9" w:rsidRPr="009B16B9">
        <w:rPr>
          <w:rFonts w:hint="cs"/>
          <w:rtl/>
        </w:rPr>
        <w:t>في البرلمان و</w:t>
      </w:r>
      <w:r w:rsidR="00D910B7">
        <w:rPr>
          <w:rFonts w:hint="eastAsia"/>
          <w:rtl/>
        </w:rPr>
        <w:t> </w:t>
      </w:r>
      <w:r w:rsidR="009B16B9" w:rsidRPr="009B16B9">
        <w:rPr>
          <w:rFonts w:hint="cs"/>
          <w:rtl/>
        </w:rPr>
        <w:t>14 في المائة في هيئات الحك</w:t>
      </w:r>
      <w:r w:rsidR="00D910B7">
        <w:rPr>
          <w:rFonts w:hint="cs"/>
          <w:rtl/>
        </w:rPr>
        <w:t>ـ</w:t>
      </w:r>
      <w:r w:rsidR="009B16B9" w:rsidRPr="009B16B9">
        <w:rPr>
          <w:rFonts w:hint="cs"/>
          <w:rtl/>
        </w:rPr>
        <w:t xml:space="preserve">م المحلي (الفقرة 82). ولم تستخدم جورجيا تدابير خاصة مؤقتة لزيادة نسبة مشاركة المرأة (الفقرة 49). ويمضي التقرير إلى ملاحظة أن تمثيل المرأة في الهيئة القضائية أفضل بكثير حيث أن ثلث القضاة في جورجيا من النساء، ويشير إلى أن </w:t>
      </w:r>
      <w:r w:rsidR="00D910B7">
        <w:rPr>
          <w:rFonts w:hint="eastAsia"/>
          <w:rtl/>
        </w:rPr>
        <w:t>”</w:t>
      </w:r>
      <w:r w:rsidR="009B16B9" w:rsidRPr="009B16B9">
        <w:rPr>
          <w:rtl/>
        </w:rPr>
        <w:t>هذه</w:t>
      </w:r>
      <w:r w:rsidR="00D910B7">
        <w:rPr>
          <w:rFonts w:hint="cs"/>
          <w:rtl/>
        </w:rPr>
        <w:t> </w:t>
      </w:r>
      <w:r w:rsidR="009B16B9" w:rsidRPr="009B16B9">
        <w:rPr>
          <w:rtl/>
        </w:rPr>
        <w:t>الحالة يمكن تفسيرها بسهول</w:t>
      </w:r>
      <w:r w:rsidR="009B16B9" w:rsidRPr="009B16B9">
        <w:rPr>
          <w:rFonts w:hint="cs"/>
          <w:rtl/>
        </w:rPr>
        <w:t>ة</w:t>
      </w:r>
      <w:r w:rsidR="009B16B9" w:rsidRPr="009B16B9">
        <w:rPr>
          <w:rtl/>
        </w:rPr>
        <w:t xml:space="preserve"> </w:t>
      </w:r>
      <w:r w:rsidR="00D910B7">
        <w:rPr>
          <w:rFonts w:hint="cs"/>
          <w:rtl/>
        </w:rPr>
        <w:t>بـ</w:t>
      </w:r>
      <w:r w:rsidR="009B16B9" w:rsidRPr="009B16B9">
        <w:rPr>
          <w:rtl/>
        </w:rPr>
        <w:t>أن المحاميات استفدن من قواعد اختيار القضاة التي أتاحت لهن منافسة الرجال على قدم المساواة</w:t>
      </w:r>
      <w:r w:rsidR="00D910B7">
        <w:rPr>
          <w:rFonts w:hint="cs"/>
          <w:rtl/>
        </w:rPr>
        <w:t>“</w:t>
      </w:r>
      <w:r w:rsidR="009B16B9" w:rsidRPr="009B16B9">
        <w:rPr>
          <w:rFonts w:hint="cs"/>
          <w:rtl/>
        </w:rPr>
        <w:t xml:space="preserve"> (الفقرة 83). يُرجى إيضاح الدروس المستفادة من وجود قواعد للاختيار تتيح للنساء منافسة الرجال على قدم المساواة، وكيف يمكن تطبيق هذه القواعد في سياق إجراءات أخرى للاختيار والانتخاب. يُرجى كذلك الإشارة إلى التدابير المعتمدة لتحقيق مشاركة المرأة وتمثيلها على نحو كامل وع</w:t>
      </w:r>
      <w:r w:rsidR="00D910B7">
        <w:rPr>
          <w:rFonts w:hint="cs"/>
          <w:rtl/>
        </w:rPr>
        <w:t xml:space="preserve">لى قدم المساواة </w:t>
      </w:r>
      <w:r w:rsidR="009B16B9" w:rsidRPr="009B16B9">
        <w:rPr>
          <w:rFonts w:hint="cs"/>
          <w:rtl/>
        </w:rPr>
        <w:t xml:space="preserve">في جميع المستويات الحكومية مع </w:t>
      </w:r>
      <w:r w:rsidR="00D910B7">
        <w:rPr>
          <w:rFonts w:hint="cs"/>
          <w:rtl/>
        </w:rPr>
        <w:t xml:space="preserve">مراعـاة </w:t>
      </w:r>
      <w:r w:rsidR="009B16B9" w:rsidRPr="009B16B9">
        <w:rPr>
          <w:rFonts w:hint="cs"/>
          <w:rtl/>
        </w:rPr>
        <w:t>التوصيتين العامتين للجنة، رقم 25 عن التدابير الخاصة المؤقتة ورقم 23 عن مشاركة المرأة في الحياة العامة</w:t>
      </w:r>
      <w:r w:rsidR="009B16B9">
        <w:rPr>
          <w:rFonts w:hint="cs"/>
          <w:rtl/>
        </w:rPr>
        <w:t>.</w:t>
      </w:r>
    </w:p>
    <w:p w:rsidR="0016541F" w:rsidRPr="0016541F" w:rsidRDefault="0016541F" w:rsidP="0016541F">
      <w:pPr>
        <w:pStyle w:val="SingleTxt"/>
        <w:spacing w:after="0" w:line="120" w:lineRule="exact"/>
        <w:rPr>
          <w:rFonts w:hint="cs"/>
          <w:sz w:val="10"/>
          <w:rtl/>
        </w:rPr>
      </w:pPr>
    </w:p>
    <w:p w:rsidR="009B16B9" w:rsidRPr="009B16B9" w:rsidRDefault="0016541F" w:rsidP="00D910B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B16B9" w:rsidRPr="009B16B9">
        <w:rPr>
          <w:rFonts w:hint="cs"/>
          <w:rtl/>
        </w:rPr>
        <w:t>العنف ضد المرأة</w:t>
      </w:r>
    </w:p>
    <w:p w:rsidR="009B16B9" w:rsidRDefault="0016541F" w:rsidP="009B16B9">
      <w:pPr>
        <w:pStyle w:val="SingleTxt"/>
        <w:rPr>
          <w:rFonts w:hint="cs"/>
          <w:rtl/>
        </w:rPr>
      </w:pPr>
      <w:r>
        <w:rPr>
          <w:rFonts w:hint="cs"/>
          <w:rtl/>
        </w:rPr>
        <w:t xml:space="preserve">11 - </w:t>
      </w:r>
      <w:r w:rsidR="009B16B9" w:rsidRPr="009B16B9">
        <w:rPr>
          <w:rFonts w:hint="cs"/>
          <w:rtl/>
        </w:rPr>
        <w:t>يُرجى إيضاح أي نوع من البيانات يجمع عند وقوع أي من أشكال العنف ضد المرأة، بما في ذلك العنف العائلي والاختطاف والاغتصاب والعنف الجنسي، وما تك</w:t>
      </w:r>
      <w:r>
        <w:rPr>
          <w:rFonts w:hint="cs"/>
          <w:rtl/>
        </w:rPr>
        <w:t>شف عنه هذه البيانات من اتجاهات.</w:t>
      </w:r>
    </w:p>
    <w:p w:rsidR="009B16B9" w:rsidRDefault="0016541F" w:rsidP="009B16B9">
      <w:pPr>
        <w:pStyle w:val="SingleTxt"/>
        <w:rPr>
          <w:rFonts w:hint="cs"/>
          <w:rtl/>
        </w:rPr>
      </w:pPr>
      <w:r>
        <w:rPr>
          <w:rFonts w:hint="cs"/>
          <w:rtl/>
        </w:rPr>
        <w:t>12 -</w:t>
      </w:r>
      <w:r>
        <w:rPr>
          <w:rFonts w:hint="cs"/>
          <w:rtl/>
        </w:rPr>
        <w:tab/>
      </w:r>
      <w:r w:rsidR="009B16B9" w:rsidRPr="009B16B9">
        <w:rPr>
          <w:rFonts w:hint="cs"/>
          <w:rtl/>
        </w:rPr>
        <w:t>يشير التقرير إلى أن 134 حالة اغتصاب و</w:t>
      </w:r>
      <w:r w:rsidR="00A50774">
        <w:rPr>
          <w:rFonts w:hint="eastAsia"/>
          <w:rtl/>
        </w:rPr>
        <w:t> </w:t>
      </w:r>
      <w:r w:rsidR="009B16B9" w:rsidRPr="009B16B9">
        <w:rPr>
          <w:rFonts w:hint="cs"/>
          <w:rtl/>
        </w:rPr>
        <w:t>87 محاولة اغتصاب قد سجلت بين عامي 2000 و</w:t>
      </w:r>
      <w:r>
        <w:rPr>
          <w:rFonts w:hint="eastAsia"/>
          <w:rtl/>
        </w:rPr>
        <w:t> </w:t>
      </w:r>
      <w:r w:rsidR="009B16B9" w:rsidRPr="009B16B9">
        <w:rPr>
          <w:rFonts w:hint="cs"/>
          <w:rtl/>
        </w:rPr>
        <w:t xml:space="preserve">2003 (الفقرة 76). يُرجى تقديم بيانات مستوفاة عن عدد حالات العنف الجنسي، بما في ذلك عدد الحالات التي انتهت بإدانة </w:t>
      </w:r>
      <w:r>
        <w:rPr>
          <w:rFonts w:hint="cs"/>
          <w:rtl/>
        </w:rPr>
        <w:t>المتهم ومتوسط العقوبة المفروضة.</w:t>
      </w:r>
    </w:p>
    <w:p w:rsidR="009B16B9" w:rsidRDefault="0016541F" w:rsidP="00A50774">
      <w:pPr>
        <w:pStyle w:val="SingleTxt"/>
        <w:rPr>
          <w:rFonts w:hint="cs"/>
          <w:rtl/>
        </w:rPr>
      </w:pPr>
      <w:r>
        <w:rPr>
          <w:rFonts w:hint="cs"/>
          <w:rtl/>
        </w:rPr>
        <w:t>13 -</w:t>
      </w:r>
      <w:r>
        <w:rPr>
          <w:rFonts w:hint="cs"/>
          <w:rtl/>
        </w:rPr>
        <w:tab/>
      </w:r>
      <w:r w:rsidR="009B16B9" w:rsidRPr="009B16B9">
        <w:rPr>
          <w:rFonts w:hint="cs"/>
          <w:rtl/>
        </w:rPr>
        <w:t xml:space="preserve">يذكر تقرير عام 2003 للمقررة الخاصة </w:t>
      </w:r>
      <w:r w:rsidR="009B16B9" w:rsidRPr="009B16B9">
        <w:rPr>
          <w:rtl/>
        </w:rPr>
        <w:t>المعني</w:t>
      </w:r>
      <w:r w:rsidR="009B16B9" w:rsidRPr="009B16B9">
        <w:rPr>
          <w:rFonts w:hint="cs"/>
          <w:rtl/>
        </w:rPr>
        <w:t>ة با</w:t>
      </w:r>
      <w:r w:rsidR="009B16B9" w:rsidRPr="009B16B9">
        <w:rPr>
          <w:rtl/>
        </w:rPr>
        <w:t>لعنف ضد المرأة وأسبابه ونتائجه</w:t>
      </w:r>
      <w:r w:rsidR="009B16B9" w:rsidRPr="009B16B9">
        <w:rPr>
          <w:rFonts w:hint="cs"/>
          <w:rtl/>
        </w:rPr>
        <w:t xml:space="preserve"> (</w:t>
      </w:r>
      <w:r w:rsidR="009B16B9" w:rsidRPr="009B16B9">
        <w:t>E/CN.4/2003/75/Add.1</w:t>
      </w:r>
      <w:r w:rsidR="009B16B9" w:rsidRPr="009B16B9">
        <w:rPr>
          <w:rFonts w:hint="cs"/>
          <w:rtl/>
        </w:rPr>
        <w:t>) (الفقرة 1991) أن العنف العائلي يعد مشكلة خطيرة في جورجيا إلا أنه نادرا ما يجري الإبلاغ عنه أو معاقبته بسبب المحظورات الاجتماعية التي تمنع طرح هذه المشكلة خارج إطار العائلة. وترد إشارة إلى خطة العمل لمكافحة العنف ضد المرأة (2000-2002) (الفقرة 37). بيد أن التقرير لم يتطرق إلى ذكر ما إذا كان قد سن قانون بشأن العنف ال</w:t>
      </w:r>
      <w:r w:rsidR="00A50774">
        <w:rPr>
          <w:rFonts w:hint="cs"/>
          <w:rtl/>
        </w:rPr>
        <w:t xml:space="preserve">عائلـي </w:t>
      </w:r>
      <w:r w:rsidR="009B16B9" w:rsidRPr="009B16B9">
        <w:rPr>
          <w:rFonts w:hint="cs"/>
          <w:rtl/>
        </w:rPr>
        <w:t>أم أن مثل هذا القانون لا يزال قيد النظر. يُرجى تقديم تفاصيل عن التدابير التي تتخذها الحكومة للتصدي للعنف ال</w:t>
      </w:r>
      <w:r w:rsidR="00A50774">
        <w:rPr>
          <w:rFonts w:hint="cs"/>
          <w:rtl/>
        </w:rPr>
        <w:t xml:space="preserve">عائلـي، </w:t>
      </w:r>
      <w:r w:rsidR="009B16B9" w:rsidRPr="009B16B9">
        <w:rPr>
          <w:rFonts w:hint="cs"/>
          <w:rtl/>
        </w:rPr>
        <w:t>بما في ذلك تفاصيل عن البحوث في هذا المجال والتشريعات التي اعتمدت والخدمات التي قدمت والآليا</w:t>
      </w:r>
      <w:r w:rsidR="009B16B9">
        <w:rPr>
          <w:rFonts w:hint="cs"/>
          <w:rtl/>
        </w:rPr>
        <w:t xml:space="preserve">ت التي </w:t>
      </w:r>
      <w:r w:rsidR="00A50774">
        <w:rPr>
          <w:rFonts w:hint="cs"/>
          <w:rtl/>
        </w:rPr>
        <w:t xml:space="preserve">أُنشئــت </w:t>
      </w:r>
      <w:r w:rsidR="009B16B9">
        <w:rPr>
          <w:rFonts w:hint="cs"/>
          <w:rtl/>
        </w:rPr>
        <w:t>لتناول هذه المسألة.</w:t>
      </w:r>
    </w:p>
    <w:p w:rsidR="009B16B9" w:rsidRDefault="009B16B9" w:rsidP="00A50774">
      <w:pPr>
        <w:pStyle w:val="SingleTxt"/>
        <w:rPr>
          <w:rFonts w:hint="cs"/>
          <w:rtl/>
        </w:rPr>
      </w:pPr>
      <w:r>
        <w:rPr>
          <w:rFonts w:hint="cs"/>
          <w:rtl/>
        </w:rPr>
        <w:t>14 -</w:t>
      </w:r>
      <w:r>
        <w:rPr>
          <w:rFonts w:hint="cs"/>
          <w:rtl/>
        </w:rPr>
        <w:tab/>
      </w:r>
      <w:r w:rsidRPr="009B16B9">
        <w:rPr>
          <w:rFonts w:hint="cs"/>
          <w:rtl/>
        </w:rPr>
        <w:t xml:space="preserve">وفقا لما جاء في التقرير، فإن القوانين المتعلقة </w:t>
      </w:r>
      <w:r>
        <w:rPr>
          <w:rFonts w:hint="cs"/>
          <w:rtl/>
        </w:rPr>
        <w:t>بــ</w:t>
      </w:r>
      <w:r w:rsidR="00A50774">
        <w:rPr>
          <w:rFonts w:hint="eastAsia"/>
          <w:rtl/>
        </w:rPr>
        <w:t> </w:t>
      </w:r>
      <w:r>
        <w:rPr>
          <w:rFonts w:hint="eastAsia"/>
          <w:rtl/>
        </w:rPr>
        <w:t>”</w:t>
      </w:r>
      <w:r w:rsidRPr="009B16B9">
        <w:rPr>
          <w:rFonts w:hint="cs"/>
          <w:rtl/>
        </w:rPr>
        <w:t>العنف المهني (بما في ذلك التحرش الجنسي في مجال العمل)</w:t>
      </w:r>
      <w:r>
        <w:rPr>
          <w:rFonts w:hint="eastAsia"/>
          <w:rtl/>
        </w:rPr>
        <w:t>“</w:t>
      </w:r>
      <w:r w:rsidRPr="009B16B9">
        <w:rPr>
          <w:rFonts w:hint="cs"/>
          <w:rtl/>
        </w:rPr>
        <w:t xml:space="preserve"> لا تزال قيد النظر (الفقرة 105). يُرجى تقديم تفاصيل عن التقدم المحرز، أو بعبارة أخرى ما إذا كانت هذه القوانين قد اع</w:t>
      </w:r>
      <w:r>
        <w:rPr>
          <w:rFonts w:hint="cs"/>
          <w:rtl/>
        </w:rPr>
        <w:t>تمدت و</w:t>
      </w:r>
      <w:r w:rsidR="00A50774">
        <w:rPr>
          <w:rFonts w:hint="cs"/>
          <w:rtl/>
        </w:rPr>
        <w:t xml:space="preserve">بيـان </w:t>
      </w:r>
      <w:r>
        <w:rPr>
          <w:rFonts w:hint="cs"/>
          <w:rtl/>
        </w:rPr>
        <w:t>نطاقها وفحواها.</w:t>
      </w:r>
    </w:p>
    <w:p w:rsidR="009B16B9" w:rsidRPr="009B16B9" w:rsidRDefault="009B16B9" w:rsidP="009B16B9">
      <w:pPr>
        <w:pStyle w:val="SingleTxt"/>
        <w:spacing w:after="0" w:line="120" w:lineRule="exact"/>
        <w:rPr>
          <w:rFonts w:hint="cs"/>
          <w:sz w:val="10"/>
          <w:rtl/>
        </w:rPr>
      </w:pPr>
    </w:p>
    <w:p w:rsidR="009B16B9" w:rsidRPr="009B16B9" w:rsidRDefault="009B16B9" w:rsidP="009B16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B16B9">
        <w:rPr>
          <w:rFonts w:hint="cs"/>
          <w:rtl/>
        </w:rPr>
        <w:t>الاتجار غير المشروع واستغلال الدعارة</w:t>
      </w:r>
    </w:p>
    <w:p w:rsidR="009B16B9" w:rsidRDefault="009B16B9" w:rsidP="00A50774">
      <w:pPr>
        <w:pStyle w:val="SingleTxt"/>
        <w:rPr>
          <w:rFonts w:hint="cs"/>
          <w:rtl/>
        </w:rPr>
      </w:pPr>
      <w:r>
        <w:rPr>
          <w:rFonts w:hint="cs"/>
          <w:rtl/>
        </w:rPr>
        <w:t>15 -</w:t>
      </w:r>
      <w:r>
        <w:rPr>
          <w:rFonts w:hint="cs"/>
          <w:rtl/>
        </w:rPr>
        <w:tab/>
      </w:r>
      <w:r w:rsidRPr="009B16B9">
        <w:rPr>
          <w:rFonts w:hint="cs"/>
          <w:rtl/>
        </w:rPr>
        <w:t xml:space="preserve">تشير المقررة الخاصة </w:t>
      </w:r>
      <w:r w:rsidRPr="009B16B9">
        <w:rPr>
          <w:rtl/>
        </w:rPr>
        <w:t>المعني</w:t>
      </w:r>
      <w:r w:rsidRPr="009B16B9">
        <w:rPr>
          <w:rFonts w:hint="cs"/>
          <w:rtl/>
        </w:rPr>
        <w:t>ة با</w:t>
      </w:r>
      <w:r w:rsidRPr="009B16B9">
        <w:rPr>
          <w:rtl/>
        </w:rPr>
        <w:t>لعنف ضد المرأة وأسبابه ونتائجه</w:t>
      </w:r>
      <w:r w:rsidRPr="009B16B9">
        <w:rPr>
          <w:rFonts w:hint="cs"/>
          <w:rtl/>
        </w:rPr>
        <w:t xml:space="preserve"> في تقريرها لعام 2003 (</w:t>
      </w:r>
      <w:r w:rsidRPr="009B16B9">
        <w:t>E/CN.4/2003/75/Add.1</w:t>
      </w:r>
      <w:r w:rsidRPr="009B16B9">
        <w:rPr>
          <w:rFonts w:hint="cs"/>
          <w:rtl/>
        </w:rPr>
        <w:t>) (الفقرة 1993) إلى أن جورجيا تعد دولة مصدر علاوة على كونها دولة مرور عابر للنساء اللاتي يُجلبن أساسا إلى تركيا وإسرائيل واليونان وأوروبا الغربية بشكل غير مشروع لأغراض الاستغلال الجنسي وا</w:t>
      </w:r>
      <w:r w:rsidR="00A50774">
        <w:rPr>
          <w:rFonts w:hint="cs"/>
          <w:rtl/>
        </w:rPr>
        <w:t xml:space="preserve">لاستـعـبـاد المنـزلـي. </w:t>
      </w:r>
      <w:r w:rsidRPr="009B16B9">
        <w:rPr>
          <w:rFonts w:hint="cs"/>
          <w:rtl/>
        </w:rPr>
        <w:t>وقد توخت خطة العمل لمكافحة العنف ضد المرأة (2000-2002) تدابير لجمع البيانات عن الاتجار غير المشروع لأغراض الاستغلال الجنسي، وو</w:t>
      </w:r>
      <w:r>
        <w:rPr>
          <w:rFonts w:hint="cs"/>
          <w:rtl/>
        </w:rPr>
        <w:t>ضع برامج لحماية الضحايا (الفقرة</w:t>
      </w:r>
      <w:r>
        <w:rPr>
          <w:rFonts w:hint="eastAsia"/>
          <w:rtl/>
        </w:rPr>
        <w:t> </w:t>
      </w:r>
      <w:r w:rsidRPr="009B16B9">
        <w:rPr>
          <w:rFonts w:hint="cs"/>
          <w:rtl/>
        </w:rPr>
        <w:t xml:space="preserve">60). إضافة إلى ذلك، فإن خطة العمل لمكافحة الاتجار غير المشروع (2003-2005) تتوخى أيضا تقديم خدمات إعادة </w:t>
      </w:r>
      <w:r w:rsidR="00A50774">
        <w:rPr>
          <w:rFonts w:hint="cs"/>
          <w:rtl/>
        </w:rPr>
        <w:t>ال</w:t>
      </w:r>
      <w:r w:rsidRPr="009B16B9">
        <w:rPr>
          <w:rFonts w:hint="cs"/>
          <w:rtl/>
        </w:rPr>
        <w:t>ت</w:t>
      </w:r>
      <w:r w:rsidR="00A50774">
        <w:rPr>
          <w:rFonts w:hint="cs"/>
          <w:rtl/>
        </w:rPr>
        <w:t>ـ</w:t>
      </w:r>
      <w:r w:rsidRPr="009B16B9">
        <w:rPr>
          <w:rFonts w:hint="cs"/>
          <w:rtl/>
        </w:rPr>
        <w:t>أهيل لضحايا الاتجار غير المشروع (الفقرة 62). بيد أن التقرير لا</w:t>
      </w:r>
      <w:r w:rsidR="00A50774">
        <w:rPr>
          <w:rFonts w:hint="eastAsia"/>
          <w:rtl/>
        </w:rPr>
        <w:t> </w:t>
      </w:r>
      <w:r w:rsidRPr="009B16B9">
        <w:rPr>
          <w:rFonts w:hint="cs"/>
          <w:rtl/>
        </w:rPr>
        <w:t>يتطرق إلى أي</w:t>
      </w:r>
      <w:r w:rsidR="00A50774">
        <w:rPr>
          <w:rFonts w:hint="cs"/>
          <w:rtl/>
        </w:rPr>
        <w:t>ـة</w:t>
      </w:r>
      <w:r w:rsidRPr="009B16B9">
        <w:rPr>
          <w:rFonts w:hint="cs"/>
          <w:rtl/>
        </w:rPr>
        <w:t xml:space="preserve"> بيانات عن الاتجار غير المشروع ولا يحدد إذا ما كانت </w:t>
      </w:r>
      <w:r w:rsidR="00A50774">
        <w:rPr>
          <w:rFonts w:hint="cs"/>
          <w:rtl/>
        </w:rPr>
        <w:t xml:space="preserve">وضـِـعـت </w:t>
      </w:r>
      <w:r w:rsidRPr="009B16B9">
        <w:rPr>
          <w:rFonts w:hint="cs"/>
          <w:rtl/>
        </w:rPr>
        <w:t>أي برامج لحماية الضحايا وإعادة تأهيله</w:t>
      </w:r>
      <w:r w:rsidR="00A50774">
        <w:rPr>
          <w:rFonts w:hint="cs"/>
          <w:rtl/>
        </w:rPr>
        <w:t>ـن.</w:t>
      </w:r>
      <w:r w:rsidRPr="009B16B9">
        <w:rPr>
          <w:rFonts w:hint="cs"/>
          <w:rtl/>
        </w:rPr>
        <w:t xml:space="preserve"> </w:t>
      </w:r>
      <w:r>
        <w:rPr>
          <w:rFonts w:hint="cs"/>
          <w:rtl/>
        </w:rPr>
        <w:t>يُرجى توفير هذه المعلومات.</w:t>
      </w:r>
    </w:p>
    <w:p w:rsidR="009B16B9" w:rsidRDefault="009B16B9" w:rsidP="009B16B9">
      <w:pPr>
        <w:pStyle w:val="SingleTxt"/>
        <w:rPr>
          <w:rFonts w:hint="cs"/>
          <w:rtl/>
        </w:rPr>
      </w:pPr>
      <w:r>
        <w:rPr>
          <w:rFonts w:hint="cs"/>
          <w:rtl/>
        </w:rPr>
        <w:t>16 -</w:t>
      </w:r>
      <w:r>
        <w:rPr>
          <w:rFonts w:hint="cs"/>
          <w:rtl/>
        </w:rPr>
        <w:tab/>
      </w:r>
      <w:r w:rsidRPr="009B16B9">
        <w:rPr>
          <w:rFonts w:hint="cs"/>
          <w:rtl/>
        </w:rPr>
        <w:t xml:space="preserve">وفقا لما جاء في التقرير، فإن تعديلات القانون الجنائي التي تجرم الاتجار غير المشروع قد </w:t>
      </w:r>
      <w:r w:rsidR="00A50774">
        <w:rPr>
          <w:rFonts w:hint="cs"/>
          <w:rtl/>
        </w:rPr>
        <w:t xml:space="preserve">بـدأ نفاذهـا </w:t>
      </w:r>
      <w:r w:rsidRPr="009B16B9">
        <w:rPr>
          <w:rFonts w:hint="cs"/>
          <w:rtl/>
        </w:rPr>
        <w:t xml:space="preserve">في 10 تموز/يوليه 2003، وفي الفترة بين تموز/يوليه وتشرين الأول/أكتوبر 2003، </w:t>
      </w:r>
      <w:r w:rsidRPr="009B16B9">
        <w:rPr>
          <w:rtl/>
        </w:rPr>
        <w:t>أقيمت أربع دعاوى جنائية تتعلق بجرائم الاتجار غير المشروع</w:t>
      </w:r>
      <w:r>
        <w:rPr>
          <w:rFonts w:hint="cs"/>
          <w:rtl/>
        </w:rPr>
        <w:t xml:space="preserve"> (الفقرة</w:t>
      </w:r>
      <w:r>
        <w:rPr>
          <w:rFonts w:hint="eastAsia"/>
          <w:rtl/>
        </w:rPr>
        <w:t> </w:t>
      </w:r>
      <w:r w:rsidRPr="009B16B9">
        <w:rPr>
          <w:rFonts w:hint="cs"/>
          <w:rtl/>
        </w:rPr>
        <w:t>70). يُرجى تقديم تفاصيل عن فحوى القانون الذي يجرم الاتجار غير المشروع، وبيانات مستوفاة عن عدد القضايا التي نظرتها المحاكم في إطاره</w:t>
      </w:r>
      <w:r>
        <w:rPr>
          <w:rFonts w:hint="cs"/>
          <w:rtl/>
        </w:rPr>
        <w:t xml:space="preserve"> والعقوبات التي فُرضت.</w:t>
      </w:r>
    </w:p>
    <w:p w:rsidR="009B16B9" w:rsidRPr="009B16B9" w:rsidRDefault="009B16B9" w:rsidP="009B16B9">
      <w:pPr>
        <w:pStyle w:val="SingleTxt"/>
        <w:spacing w:after="0" w:line="120" w:lineRule="exact"/>
        <w:rPr>
          <w:rFonts w:hint="cs"/>
          <w:sz w:val="10"/>
          <w:rtl/>
        </w:rPr>
      </w:pPr>
    </w:p>
    <w:p w:rsidR="009B16B9" w:rsidRPr="009B16B9" w:rsidRDefault="009B16B9" w:rsidP="00A50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w:t>
      </w:r>
      <w:r w:rsidR="00A50774">
        <w:rPr>
          <w:rFonts w:hint="cs"/>
          <w:rtl/>
        </w:rPr>
        <w:t>ـعـمـالـــة</w:t>
      </w:r>
    </w:p>
    <w:p w:rsidR="009B16B9" w:rsidRDefault="009B16B9" w:rsidP="00A50774">
      <w:pPr>
        <w:pStyle w:val="SingleTxt"/>
        <w:rPr>
          <w:rFonts w:hint="cs"/>
          <w:rtl/>
        </w:rPr>
      </w:pPr>
      <w:r>
        <w:rPr>
          <w:rFonts w:hint="cs"/>
          <w:rtl/>
        </w:rPr>
        <w:t>17 -</w:t>
      </w:r>
      <w:r>
        <w:rPr>
          <w:rFonts w:hint="cs"/>
          <w:rtl/>
        </w:rPr>
        <w:tab/>
      </w:r>
      <w:r w:rsidRPr="009B16B9">
        <w:rPr>
          <w:rFonts w:hint="cs"/>
          <w:rtl/>
        </w:rPr>
        <w:t>أعربت اللجنة في تعليقاتها الختامية السابقة عن قلقها إزاء است</w:t>
      </w:r>
      <w:r w:rsidR="00A50774">
        <w:rPr>
          <w:rFonts w:hint="cs"/>
          <w:rtl/>
        </w:rPr>
        <w:t xml:space="preserve">مرار الفجوة القائمة بين أجور الرجـال والنسـاء، </w:t>
      </w:r>
      <w:r w:rsidRPr="009B16B9">
        <w:rPr>
          <w:rFonts w:hint="cs"/>
          <w:rtl/>
        </w:rPr>
        <w:t>لا</w:t>
      </w:r>
      <w:r w:rsidR="00A50774">
        <w:rPr>
          <w:rFonts w:hint="eastAsia"/>
          <w:rtl/>
        </w:rPr>
        <w:t> </w:t>
      </w:r>
      <w:r w:rsidRPr="009B16B9">
        <w:rPr>
          <w:rFonts w:hint="cs"/>
          <w:rtl/>
        </w:rPr>
        <w:t>سيما في القطاع العام، وطلبت من جورجيا تحديد أسباب وجود هذه الفجوة (</w:t>
      </w:r>
      <w:r w:rsidRPr="009B16B9">
        <w:t>A/54/38/Rev.1</w:t>
      </w:r>
      <w:r w:rsidRPr="009B16B9">
        <w:rPr>
          <w:rFonts w:hint="cs"/>
          <w:rtl/>
        </w:rPr>
        <w:t>، الجزء الثاني، الفقرتان 107 و</w:t>
      </w:r>
      <w:r w:rsidR="00A50774">
        <w:rPr>
          <w:rFonts w:hint="eastAsia"/>
          <w:rtl/>
        </w:rPr>
        <w:t> </w:t>
      </w:r>
      <w:r w:rsidRPr="009B16B9">
        <w:rPr>
          <w:rFonts w:hint="cs"/>
          <w:rtl/>
        </w:rPr>
        <w:t>108). ويشير التقرير إلى استمرار وجود الفجوة في جميع القطاعات (الفقرة 111، الجدول 9)، ويب</w:t>
      </w:r>
      <w:r w:rsidR="00A50774">
        <w:rPr>
          <w:rFonts w:hint="cs"/>
          <w:rtl/>
        </w:rPr>
        <w:t xml:space="preserve">ـيـن أن سبـب ذلـك يرجـع إلى تعيـين عـدد أكبر بكثير من النسـاء، </w:t>
      </w:r>
      <w:r w:rsidRPr="009B16B9">
        <w:rPr>
          <w:rFonts w:hint="cs"/>
          <w:rtl/>
        </w:rPr>
        <w:t>بغض النظر عن مستواهن التعليمي، في وظائف متدنية الأجر بالمقارنة بالرجال (الفقرة 115). يُرجى الإشارة إلى التدابير المتخذة لسد هذه الفجوة في الأجور، والفجوة بين مؤهلات</w:t>
      </w:r>
      <w:r>
        <w:rPr>
          <w:rFonts w:hint="cs"/>
          <w:rtl/>
        </w:rPr>
        <w:t xml:space="preserve"> المرأة وفرص العمل المتاحة لها.</w:t>
      </w:r>
    </w:p>
    <w:p w:rsidR="009B16B9" w:rsidRDefault="009B16B9" w:rsidP="009B16B9">
      <w:pPr>
        <w:pStyle w:val="SingleTxt"/>
        <w:rPr>
          <w:rFonts w:hint="cs"/>
          <w:rtl/>
        </w:rPr>
      </w:pPr>
      <w:r>
        <w:rPr>
          <w:rFonts w:hint="cs"/>
          <w:rtl/>
        </w:rPr>
        <w:t>18 -</w:t>
      </w:r>
      <w:r>
        <w:rPr>
          <w:rFonts w:hint="cs"/>
          <w:rtl/>
        </w:rPr>
        <w:tab/>
      </w:r>
      <w:r w:rsidRPr="009B16B9">
        <w:rPr>
          <w:rFonts w:hint="cs"/>
          <w:rtl/>
        </w:rPr>
        <w:t xml:space="preserve">وفقا لما جاء في التقرير، فقد كلفت وزارة الصحة بتحليل المعايير الصحية المستخدمة عند تعيين المرأة لإلغاء </w:t>
      </w:r>
      <w:r w:rsidR="00542903">
        <w:rPr>
          <w:rFonts w:hint="cs"/>
          <w:rtl/>
        </w:rPr>
        <w:t xml:space="preserve">التميـيـز المباشـر </w:t>
      </w:r>
      <w:r w:rsidRPr="009B16B9">
        <w:rPr>
          <w:rFonts w:hint="cs"/>
          <w:rtl/>
        </w:rPr>
        <w:t xml:space="preserve">أو غير </w:t>
      </w:r>
      <w:r w:rsidR="00542903">
        <w:rPr>
          <w:rFonts w:hint="cs"/>
          <w:rtl/>
        </w:rPr>
        <w:t>ال</w:t>
      </w:r>
      <w:r w:rsidRPr="009B16B9">
        <w:rPr>
          <w:rFonts w:hint="cs"/>
          <w:rtl/>
        </w:rPr>
        <w:t>مباشر ضد النساء في سوق العمل (الفقرتان 11 و</w:t>
      </w:r>
      <w:r>
        <w:rPr>
          <w:rFonts w:hint="eastAsia"/>
          <w:rtl/>
        </w:rPr>
        <w:t> </w:t>
      </w:r>
      <w:r w:rsidRPr="009B16B9">
        <w:rPr>
          <w:rFonts w:hint="cs"/>
          <w:rtl/>
        </w:rPr>
        <w:t>44). يُرجى تقديم تفاصيل عن التحليلات التي أُجريت وا</w:t>
      </w:r>
      <w:r>
        <w:rPr>
          <w:rFonts w:hint="cs"/>
          <w:rtl/>
        </w:rPr>
        <w:t>لتغييرات المقترحة و/أو المنفذة.</w:t>
      </w:r>
    </w:p>
    <w:p w:rsidR="009B16B9" w:rsidRDefault="009B16B9" w:rsidP="00542903">
      <w:pPr>
        <w:pStyle w:val="SingleTxt"/>
        <w:rPr>
          <w:rFonts w:hint="cs"/>
          <w:rtl/>
          <w:lang w:bidi="ar-EG"/>
        </w:rPr>
      </w:pPr>
      <w:r>
        <w:rPr>
          <w:rFonts w:hint="cs"/>
          <w:rtl/>
        </w:rPr>
        <w:t>19 -</w:t>
      </w:r>
      <w:r>
        <w:rPr>
          <w:rFonts w:hint="cs"/>
          <w:rtl/>
        </w:rPr>
        <w:tab/>
      </w:r>
      <w:r w:rsidRPr="009B16B9">
        <w:rPr>
          <w:rFonts w:hint="cs"/>
          <w:rtl/>
        </w:rPr>
        <w:t xml:space="preserve">يشير التقرير إلى أن عدد النساء اللاتي يعتبرن </w:t>
      </w:r>
      <w:r>
        <w:rPr>
          <w:rFonts w:hint="eastAsia"/>
          <w:rtl/>
        </w:rPr>
        <w:t>”</w:t>
      </w:r>
      <w:r w:rsidRPr="009B16B9">
        <w:rPr>
          <w:rFonts w:hint="cs"/>
          <w:rtl/>
        </w:rPr>
        <w:t>خاملات اقتصاديا</w:t>
      </w:r>
      <w:r>
        <w:rPr>
          <w:rFonts w:hint="eastAsia"/>
          <w:rtl/>
        </w:rPr>
        <w:t>“</w:t>
      </w:r>
      <w:r w:rsidRPr="009B16B9">
        <w:rPr>
          <w:rFonts w:hint="cs"/>
          <w:rtl/>
        </w:rPr>
        <w:t xml:space="preserve"> أكثر من ضعف عدد الرجال </w:t>
      </w:r>
      <w:r>
        <w:rPr>
          <w:rFonts w:hint="eastAsia"/>
          <w:rtl/>
        </w:rPr>
        <w:t>”</w:t>
      </w:r>
      <w:r w:rsidRPr="009B16B9">
        <w:rPr>
          <w:rFonts w:hint="cs"/>
          <w:rtl/>
        </w:rPr>
        <w:t>الخاملين اقتصاديا</w:t>
      </w:r>
      <w:r>
        <w:rPr>
          <w:rFonts w:hint="eastAsia"/>
          <w:rtl/>
        </w:rPr>
        <w:t>“</w:t>
      </w:r>
      <w:r w:rsidRPr="009B16B9">
        <w:rPr>
          <w:rFonts w:hint="cs"/>
          <w:rtl/>
        </w:rPr>
        <w:t xml:space="preserve"> (الفقرة 109، الجدول 7). بيد أن عدد الرجال المصنفين ك</w:t>
      </w:r>
      <w:r>
        <w:rPr>
          <w:rFonts w:hint="cs"/>
          <w:rtl/>
        </w:rPr>
        <w:t>ـ</w:t>
      </w:r>
      <w:r w:rsidRPr="009B16B9">
        <w:rPr>
          <w:rFonts w:hint="cs"/>
          <w:rtl/>
        </w:rPr>
        <w:t>ـ</w:t>
      </w:r>
      <w:r>
        <w:rPr>
          <w:rFonts w:hint="eastAsia"/>
          <w:rtl/>
        </w:rPr>
        <w:t> </w:t>
      </w:r>
      <w:r>
        <w:rPr>
          <w:rFonts w:hint="cs"/>
          <w:rtl/>
        </w:rPr>
        <w:t>”</w:t>
      </w:r>
      <w:r w:rsidRPr="009B16B9">
        <w:rPr>
          <w:rtl/>
          <w:lang w:bidi="ar-EG"/>
        </w:rPr>
        <w:t>أشخاص م</w:t>
      </w:r>
      <w:r w:rsidR="00542903">
        <w:rPr>
          <w:rFonts w:hint="cs"/>
          <w:rtl/>
          <w:lang w:bidi="ar-EG"/>
        </w:rPr>
        <w:t xml:space="preserve">ستخدميـن </w:t>
      </w:r>
      <w:r w:rsidRPr="009B16B9">
        <w:rPr>
          <w:rtl/>
          <w:lang w:bidi="ar-EG"/>
        </w:rPr>
        <w:t>في شركات مملوكة للأسرة</w:t>
      </w:r>
      <w:r w:rsidR="00542903">
        <w:rPr>
          <w:rFonts w:hint="cs"/>
          <w:rtl/>
          <w:lang w:bidi="ar-EG"/>
        </w:rPr>
        <w:t xml:space="preserve"> </w:t>
      </w:r>
      <w:r w:rsidRPr="009B16B9">
        <w:rPr>
          <w:rtl/>
          <w:lang w:bidi="ar-EG"/>
        </w:rPr>
        <w:t>بدون أجر</w:t>
      </w:r>
      <w:r>
        <w:rPr>
          <w:rFonts w:hint="eastAsia"/>
          <w:rtl/>
          <w:lang w:bidi="ar-EG"/>
        </w:rPr>
        <w:t>“</w:t>
      </w:r>
      <w:r w:rsidRPr="009B16B9">
        <w:rPr>
          <w:rFonts w:hint="cs"/>
          <w:rtl/>
          <w:lang w:bidi="ar-EG"/>
        </w:rPr>
        <w:t xml:space="preserve"> هو ضعف عدد النساء المصنفات في الفئة نفسها (الفقرة 114، الجدول 11). يُرجى إيضاح مفهومي </w:t>
      </w:r>
      <w:r>
        <w:rPr>
          <w:rFonts w:hint="eastAsia"/>
          <w:rtl/>
          <w:lang w:bidi="ar-EG"/>
        </w:rPr>
        <w:t>”</w:t>
      </w:r>
      <w:r w:rsidRPr="009B16B9">
        <w:rPr>
          <w:rFonts w:hint="cs"/>
          <w:rtl/>
          <w:lang w:bidi="ar-EG"/>
        </w:rPr>
        <w:t>خامل</w:t>
      </w:r>
      <w:r>
        <w:rPr>
          <w:rFonts w:hint="eastAsia"/>
          <w:rtl/>
          <w:lang w:bidi="ar-EG"/>
        </w:rPr>
        <w:t> </w:t>
      </w:r>
      <w:r w:rsidRPr="009B16B9">
        <w:rPr>
          <w:rFonts w:hint="cs"/>
          <w:rtl/>
          <w:lang w:bidi="ar-EG"/>
        </w:rPr>
        <w:t>اقتصاديا</w:t>
      </w:r>
      <w:r>
        <w:rPr>
          <w:rFonts w:hint="eastAsia"/>
          <w:rtl/>
          <w:lang w:bidi="ar-EG"/>
        </w:rPr>
        <w:t>“</w:t>
      </w:r>
      <w:r w:rsidRPr="009B16B9">
        <w:rPr>
          <w:rFonts w:hint="cs"/>
          <w:rtl/>
          <w:lang w:bidi="ar-EG"/>
        </w:rPr>
        <w:t xml:space="preserve"> و</w:t>
      </w:r>
      <w:r>
        <w:rPr>
          <w:rFonts w:hint="eastAsia"/>
          <w:rtl/>
          <w:lang w:bidi="ar-EG"/>
        </w:rPr>
        <w:t> </w:t>
      </w:r>
      <w:r>
        <w:rPr>
          <w:rFonts w:hint="cs"/>
          <w:rtl/>
          <w:lang w:bidi="ar-EG"/>
        </w:rPr>
        <w:t>”</w:t>
      </w:r>
      <w:r w:rsidRPr="009B16B9">
        <w:rPr>
          <w:rtl/>
          <w:lang w:bidi="ar-EG"/>
        </w:rPr>
        <w:t>م</w:t>
      </w:r>
      <w:r w:rsidR="00542903">
        <w:rPr>
          <w:rFonts w:hint="cs"/>
          <w:rtl/>
          <w:lang w:bidi="ar-EG"/>
        </w:rPr>
        <w:t>ستخدم في الأسرة المعيشيـة</w:t>
      </w:r>
      <w:r w:rsidR="00542903">
        <w:rPr>
          <w:rFonts w:hint="eastAsia"/>
          <w:rtl/>
          <w:lang w:bidi="ar-EG"/>
        </w:rPr>
        <w:t>“</w:t>
      </w:r>
      <w:r w:rsidRPr="009B16B9">
        <w:rPr>
          <w:rtl/>
          <w:lang w:bidi="ar-EG"/>
        </w:rPr>
        <w:t>بدون أجر</w:t>
      </w:r>
      <w:r>
        <w:rPr>
          <w:rFonts w:hint="eastAsia"/>
          <w:rtl/>
          <w:lang w:bidi="ar-EG"/>
        </w:rPr>
        <w:t>“</w:t>
      </w:r>
      <w:r w:rsidRPr="009B16B9">
        <w:rPr>
          <w:rFonts w:hint="cs"/>
          <w:rtl/>
          <w:lang w:bidi="ar-EG"/>
        </w:rPr>
        <w:t xml:space="preserve"> وفقا للسياق الذي وردا فيه في هذا التقرير وتقديم معلومات مفصلة</w:t>
      </w:r>
      <w:r>
        <w:rPr>
          <w:rFonts w:hint="cs"/>
          <w:rtl/>
          <w:lang w:bidi="ar-EG"/>
        </w:rPr>
        <w:t xml:space="preserve"> عن مشاركة المرأة في القطاع غير</w:t>
      </w:r>
      <w:r w:rsidR="00542903">
        <w:rPr>
          <w:rFonts w:hint="cs"/>
          <w:rtl/>
          <w:lang w:bidi="ar-EG"/>
        </w:rPr>
        <w:t xml:space="preserve"> </w:t>
      </w:r>
      <w:r w:rsidRPr="009B16B9">
        <w:rPr>
          <w:rFonts w:hint="cs"/>
          <w:rtl/>
          <w:lang w:bidi="ar-EG"/>
        </w:rPr>
        <w:t>الرسمي.</w:t>
      </w:r>
    </w:p>
    <w:p w:rsidR="009B16B9" w:rsidRPr="009B16B9" w:rsidRDefault="009B16B9" w:rsidP="009B16B9">
      <w:pPr>
        <w:pStyle w:val="SingleTxt"/>
        <w:spacing w:after="0" w:line="120" w:lineRule="exact"/>
        <w:rPr>
          <w:rFonts w:hint="cs"/>
          <w:sz w:val="10"/>
          <w:rtl/>
          <w:lang w:bidi="ar-EG"/>
        </w:rPr>
      </w:pPr>
    </w:p>
    <w:p w:rsidR="009B16B9" w:rsidRPr="009B16B9" w:rsidRDefault="009B16B9" w:rsidP="009B16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9B16B9">
        <w:rPr>
          <w:rFonts w:hint="cs"/>
          <w:rtl/>
          <w:lang w:bidi="ar-EG"/>
        </w:rPr>
        <w:t>التعليم والقوالب النمطية</w:t>
      </w:r>
    </w:p>
    <w:p w:rsidR="009B16B9" w:rsidRDefault="009B16B9" w:rsidP="00542903">
      <w:pPr>
        <w:pStyle w:val="SingleTxt"/>
        <w:rPr>
          <w:rFonts w:hint="cs"/>
          <w:rtl/>
          <w:lang w:bidi="ar-EG"/>
        </w:rPr>
      </w:pPr>
      <w:r>
        <w:rPr>
          <w:rFonts w:hint="cs"/>
          <w:rtl/>
          <w:lang w:bidi="ar-EG"/>
        </w:rPr>
        <w:t>20 -</w:t>
      </w:r>
      <w:r>
        <w:rPr>
          <w:rFonts w:hint="cs"/>
          <w:rtl/>
          <w:lang w:bidi="ar-EG"/>
        </w:rPr>
        <w:tab/>
      </w:r>
      <w:r w:rsidRPr="009B16B9">
        <w:rPr>
          <w:rFonts w:hint="cs"/>
          <w:rtl/>
          <w:lang w:bidi="ar-EG"/>
        </w:rPr>
        <w:t xml:space="preserve">يشير التقرير إلى أن وزارة التعليم كلفت بإجراء تحليل من المنظور الجنساني للكتب الدراسية وإصدار مبادئ توجيهية بشأن </w:t>
      </w:r>
      <w:r>
        <w:rPr>
          <w:rFonts w:hint="eastAsia"/>
          <w:rtl/>
          <w:lang w:bidi="ar-EG"/>
        </w:rPr>
        <w:t>”</w:t>
      </w:r>
      <w:r w:rsidRPr="009B16B9">
        <w:rPr>
          <w:rFonts w:hint="cs"/>
          <w:rtl/>
          <w:lang w:bidi="ar-EG"/>
        </w:rPr>
        <w:t>المساواة بين الجنسين وحظر التمييز القائم على أساس الجنس</w:t>
      </w:r>
      <w:r>
        <w:rPr>
          <w:rFonts w:hint="eastAsia"/>
          <w:rtl/>
          <w:lang w:bidi="ar-EG"/>
        </w:rPr>
        <w:t>“</w:t>
      </w:r>
      <w:r w:rsidRPr="009B16B9">
        <w:rPr>
          <w:rFonts w:hint="cs"/>
          <w:rtl/>
          <w:lang w:bidi="ar-EG"/>
        </w:rPr>
        <w:t xml:space="preserve"> </w:t>
      </w:r>
      <w:r w:rsidR="00542903">
        <w:rPr>
          <w:rFonts w:hint="cs"/>
          <w:rtl/>
          <w:lang w:bidi="ar-EG"/>
        </w:rPr>
        <w:t xml:space="preserve">لكـي </w:t>
      </w:r>
      <w:r w:rsidRPr="009B16B9">
        <w:rPr>
          <w:rFonts w:hint="cs"/>
          <w:rtl/>
          <w:lang w:bidi="ar-EG"/>
        </w:rPr>
        <w:t xml:space="preserve">يستخدمها مؤلفو الكتب الدراسية (الفقرة 54). يُرجى </w:t>
      </w:r>
      <w:r>
        <w:rPr>
          <w:rFonts w:hint="cs"/>
          <w:rtl/>
          <w:lang w:bidi="ar-EG"/>
        </w:rPr>
        <w:t>تقديم تفاصيل عما</w:t>
      </w:r>
      <w:r>
        <w:rPr>
          <w:rFonts w:hint="eastAsia"/>
          <w:rtl/>
          <w:lang w:bidi="ar-EG"/>
        </w:rPr>
        <w:t> </w:t>
      </w:r>
      <w:r w:rsidRPr="009B16B9">
        <w:rPr>
          <w:rFonts w:hint="cs"/>
          <w:rtl/>
          <w:lang w:bidi="ar-EG"/>
        </w:rPr>
        <w:t>إذا كان المشروع الرامي إلى حذف القوالب النمطية من الكتب الدراسية قد استكمل، وعما إذا كانت الكتب التي يتم تدريسها في غير الم</w:t>
      </w:r>
      <w:r>
        <w:rPr>
          <w:rFonts w:hint="cs"/>
          <w:rtl/>
          <w:lang w:bidi="ar-EG"/>
        </w:rPr>
        <w:t>رحلة الابتدائية قد نقحت وروجعت.</w:t>
      </w:r>
    </w:p>
    <w:p w:rsidR="009B16B9" w:rsidRDefault="002A6CF2" w:rsidP="009B16B9">
      <w:pPr>
        <w:pStyle w:val="SingleTxt"/>
        <w:rPr>
          <w:rFonts w:hint="cs"/>
          <w:rtl/>
          <w:lang w:bidi="ar-EG"/>
        </w:rPr>
      </w:pPr>
      <w:r>
        <w:rPr>
          <w:rFonts w:hint="cs"/>
          <w:rtl/>
          <w:lang w:bidi="ar-EG"/>
        </w:rPr>
        <w:t>21 -</w:t>
      </w:r>
      <w:r>
        <w:rPr>
          <w:rFonts w:hint="cs"/>
          <w:rtl/>
          <w:lang w:bidi="ar-EG"/>
        </w:rPr>
        <w:tab/>
      </w:r>
      <w:r w:rsidR="009B16B9" w:rsidRPr="009B16B9">
        <w:rPr>
          <w:rFonts w:hint="cs"/>
          <w:rtl/>
          <w:lang w:bidi="ar-EG"/>
        </w:rPr>
        <w:t>يُرجى توفير معلومات عن التدابير التي تتخذها الحكومة لتشجيع وسائط الإعلام على الكف عن تصوير النساء في إطار القوالب النمطية والمشاركة على نحو نشط في تكوين صورة إيجابية ل</w:t>
      </w:r>
      <w:r>
        <w:rPr>
          <w:rFonts w:hint="cs"/>
          <w:rtl/>
          <w:lang w:bidi="ar-EG"/>
        </w:rPr>
        <w:t>لمرأة لا تمت بصلة لهذه القوالب.</w:t>
      </w:r>
    </w:p>
    <w:p w:rsidR="002A6CF2" w:rsidRPr="002A6CF2" w:rsidRDefault="002A6CF2" w:rsidP="002A6CF2">
      <w:pPr>
        <w:pStyle w:val="SingleTxt"/>
        <w:spacing w:after="0" w:line="120" w:lineRule="exact"/>
        <w:rPr>
          <w:rFonts w:hint="cs"/>
          <w:sz w:val="10"/>
          <w:rtl/>
          <w:lang w:bidi="ar-EG"/>
        </w:rPr>
      </w:pPr>
    </w:p>
    <w:p w:rsidR="009B16B9" w:rsidRPr="009B16B9" w:rsidRDefault="002A6CF2" w:rsidP="002A6C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9B16B9" w:rsidRPr="009B16B9">
        <w:rPr>
          <w:rFonts w:hint="cs"/>
          <w:rtl/>
          <w:lang w:bidi="ar-EG"/>
        </w:rPr>
        <w:t>الرعاية الصحية</w:t>
      </w:r>
    </w:p>
    <w:p w:rsidR="006926DE" w:rsidRDefault="002A6CF2" w:rsidP="006926DE">
      <w:pPr>
        <w:pStyle w:val="SingleTxt"/>
        <w:rPr>
          <w:rFonts w:hint="cs"/>
          <w:rtl/>
        </w:rPr>
      </w:pPr>
      <w:r>
        <w:rPr>
          <w:rFonts w:hint="cs"/>
          <w:rtl/>
          <w:lang w:bidi="ar-EG"/>
        </w:rPr>
        <w:t>22 -</w:t>
      </w:r>
      <w:r>
        <w:rPr>
          <w:rFonts w:hint="cs"/>
          <w:rtl/>
          <w:lang w:bidi="ar-EG"/>
        </w:rPr>
        <w:tab/>
      </w:r>
      <w:r w:rsidR="009B16B9" w:rsidRPr="009B16B9">
        <w:rPr>
          <w:rFonts w:hint="cs"/>
          <w:rtl/>
          <w:lang w:bidi="ar-EG"/>
        </w:rPr>
        <w:t xml:space="preserve">يذكر التقرير أنه بمقتضى المرسوم الرئاسي رقم 110 </w:t>
      </w:r>
      <w:r>
        <w:rPr>
          <w:rFonts w:hint="eastAsia"/>
          <w:rtl/>
          <w:lang w:bidi="ar-EG"/>
        </w:rPr>
        <w:t>”</w:t>
      </w:r>
      <w:r w:rsidR="009B16B9" w:rsidRPr="009B16B9">
        <w:rPr>
          <w:rFonts w:hint="cs"/>
          <w:rtl/>
          <w:lang w:bidi="ar-EG"/>
        </w:rPr>
        <w:t xml:space="preserve">بشأن </w:t>
      </w:r>
      <w:r w:rsidR="006926DE">
        <w:rPr>
          <w:rFonts w:hint="cs"/>
          <w:rtl/>
          <w:lang w:bidi="ar-EG"/>
        </w:rPr>
        <w:t>ال</w:t>
      </w:r>
      <w:r w:rsidR="009B16B9" w:rsidRPr="009B16B9">
        <w:rPr>
          <w:rtl/>
          <w:lang w:bidi="ar-EG"/>
        </w:rPr>
        <w:t xml:space="preserve">تدابير </w:t>
      </w:r>
      <w:r w:rsidR="006926DE">
        <w:rPr>
          <w:rFonts w:hint="cs"/>
          <w:rtl/>
          <w:lang w:bidi="ar-EG"/>
        </w:rPr>
        <w:t xml:space="preserve">الراميـة </w:t>
      </w:r>
      <w:r w:rsidR="009B16B9" w:rsidRPr="009B16B9">
        <w:rPr>
          <w:rtl/>
          <w:lang w:bidi="ar-EG"/>
        </w:rPr>
        <w:t>للوقاية من الأمراض المنقولة جنسيا</w:t>
      </w:r>
      <w:r>
        <w:rPr>
          <w:rFonts w:hint="cs"/>
          <w:rtl/>
          <w:lang w:bidi="ar-EG"/>
        </w:rPr>
        <w:t>“</w:t>
      </w:r>
      <w:r w:rsidR="009B16B9" w:rsidRPr="009B16B9">
        <w:rPr>
          <w:rFonts w:hint="cs"/>
          <w:rtl/>
        </w:rPr>
        <w:t xml:space="preserve">، </w:t>
      </w:r>
      <w:r w:rsidR="009B16B9" w:rsidRPr="009B16B9">
        <w:rPr>
          <w:rFonts w:hint="cs"/>
          <w:rtl/>
          <w:lang w:bidi="ar-EG"/>
        </w:rPr>
        <w:t xml:space="preserve">كُلفت وزارة الشؤون الداخلية </w:t>
      </w:r>
      <w:r>
        <w:rPr>
          <w:rFonts w:hint="eastAsia"/>
          <w:rtl/>
          <w:lang w:bidi="ar-EG"/>
        </w:rPr>
        <w:t>”</w:t>
      </w:r>
      <w:r w:rsidR="009B16B9" w:rsidRPr="009B16B9">
        <w:rPr>
          <w:rFonts w:hint="cs"/>
          <w:rtl/>
          <w:lang w:bidi="ar-EG"/>
        </w:rPr>
        <w:t>بإ</w:t>
      </w:r>
      <w:r w:rsidR="006926DE">
        <w:rPr>
          <w:rFonts w:hint="cs"/>
          <w:rtl/>
          <w:lang w:bidi="ar-EG"/>
        </w:rPr>
        <w:t xml:space="preserve">حضـار </w:t>
      </w:r>
      <w:r w:rsidR="009B16B9" w:rsidRPr="009B16B9">
        <w:rPr>
          <w:rtl/>
          <w:lang w:bidi="ar-EG"/>
        </w:rPr>
        <w:t xml:space="preserve">البغايا </w:t>
      </w:r>
      <w:r w:rsidR="009B16B9" w:rsidRPr="009B16B9">
        <w:rPr>
          <w:rFonts w:hint="cs"/>
          <w:rtl/>
          <w:lang w:bidi="ar-EG"/>
        </w:rPr>
        <w:t>إلى</w:t>
      </w:r>
      <w:r w:rsidR="009B16B9" w:rsidRPr="009B16B9">
        <w:rPr>
          <w:rtl/>
          <w:lang w:bidi="ar-EG"/>
        </w:rPr>
        <w:t xml:space="preserve"> المؤسسات الطبية الملائمة للكشف عن المصابات بأمراض منقولة جنسيا</w:t>
      </w:r>
      <w:r>
        <w:rPr>
          <w:rFonts w:hint="cs"/>
          <w:rtl/>
          <w:lang w:bidi="ar-EG"/>
        </w:rPr>
        <w:t>“</w:t>
      </w:r>
      <w:r w:rsidR="009B16B9" w:rsidRPr="009B16B9">
        <w:rPr>
          <w:rFonts w:hint="cs"/>
          <w:rtl/>
        </w:rPr>
        <w:t xml:space="preserve"> (الفقرة 75). يُرجى إيضاح هذه العبارة وتحديد كيفية حماية حقوق الإنسان للمرأة </w:t>
      </w:r>
      <w:r w:rsidR="006926DE">
        <w:rPr>
          <w:rFonts w:hint="cs"/>
          <w:rtl/>
        </w:rPr>
        <w:t>في هذه العملية.</w:t>
      </w:r>
    </w:p>
    <w:p w:rsidR="009B16B9" w:rsidRDefault="002A6CF2" w:rsidP="006926DE">
      <w:pPr>
        <w:pStyle w:val="SingleTxt"/>
        <w:rPr>
          <w:rFonts w:hint="cs"/>
          <w:rtl/>
        </w:rPr>
      </w:pPr>
      <w:r>
        <w:rPr>
          <w:rFonts w:hint="cs"/>
          <w:rtl/>
        </w:rPr>
        <w:t>23 -</w:t>
      </w:r>
      <w:r>
        <w:rPr>
          <w:rFonts w:hint="cs"/>
          <w:rtl/>
        </w:rPr>
        <w:tab/>
      </w:r>
      <w:r w:rsidR="009B16B9" w:rsidRPr="009B16B9">
        <w:rPr>
          <w:rtl/>
        </w:rPr>
        <w:t>و</w:t>
      </w:r>
      <w:r w:rsidR="009B16B9" w:rsidRPr="009B16B9">
        <w:rPr>
          <w:rFonts w:hint="cs"/>
          <w:rtl/>
        </w:rPr>
        <w:t xml:space="preserve">فقا لما جاء في التقرير، </w:t>
      </w:r>
      <w:r w:rsidR="006926DE">
        <w:rPr>
          <w:rFonts w:hint="cs"/>
          <w:rtl/>
        </w:rPr>
        <w:t xml:space="preserve">سجلـت </w:t>
      </w:r>
      <w:r w:rsidR="009B16B9" w:rsidRPr="009B16B9">
        <w:rPr>
          <w:rFonts w:hint="cs"/>
          <w:rtl/>
        </w:rPr>
        <w:t xml:space="preserve">الحكومة 457 حالة إصابة بفيروس نقص المناعة البشرية/الإيدز </w:t>
      </w:r>
      <w:r w:rsidR="009B16B9" w:rsidRPr="009B16B9">
        <w:rPr>
          <w:rtl/>
        </w:rPr>
        <w:t>في عام 2003 من بينه</w:t>
      </w:r>
      <w:r w:rsidR="006926DE">
        <w:rPr>
          <w:rFonts w:hint="cs"/>
          <w:rtl/>
        </w:rPr>
        <w:t>ـا</w:t>
      </w:r>
      <w:r w:rsidR="009B16B9" w:rsidRPr="009B16B9">
        <w:rPr>
          <w:rtl/>
        </w:rPr>
        <w:t xml:space="preserve"> 70 من النساء</w:t>
      </w:r>
      <w:r w:rsidR="009B16B9" w:rsidRPr="009B16B9">
        <w:rPr>
          <w:rFonts w:hint="cs"/>
          <w:rtl/>
        </w:rPr>
        <w:t xml:space="preserve">، بينما تشير تقديرات </w:t>
      </w:r>
      <w:r w:rsidR="009B16B9" w:rsidRPr="009B16B9">
        <w:rPr>
          <w:rtl/>
        </w:rPr>
        <w:t xml:space="preserve">منظمة الصحة العالمية </w:t>
      </w:r>
      <w:r w:rsidR="006926DE">
        <w:rPr>
          <w:rFonts w:hint="cs"/>
          <w:rtl/>
        </w:rPr>
        <w:t xml:space="preserve">إلـى </w:t>
      </w:r>
      <w:r w:rsidR="009B16B9" w:rsidRPr="009B16B9">
        <w:rPr>
          <w:rFonts w:hint="cs"/>
          <w:rtl/>
        </w:rPr>
        <w:t xml:space="preserve">أن </w:t>
      </w:r>
      <w:r w:rsidR="009B16B9" w:rsidRPr="009B16B9">
        <w:rPr>
          <w:rtl/>
        </w:rPr>
        <w:t xml:space="preserve">العدد </w:t>
      </w:r>
      <w:r w:rsidR="009B16B9" w:rsidRPr="009B16B9">
        <w:rPr>
          <w:rFonts w:hint="cs"/>
          <w:rtl/>
        </w:rPr>
        <w:t xml:space="preserve">الحقيقي </w:t>
      </w:r>
      <w:r w:rsidR="009B16B9" w:rsidRPr="009B16B9">
        <w:rPr>
          <w:rtl/>
        </w:rPr>
        <w:t xml:space="preserve">للأشخاص المصابين يبلغ </w:t>
      </w:r>
      <w:r>
        <w:rPr>
          <w:rFonts w:hint="cs"/>
          <w:rtl/>
        </w:rPr>
        <w:t xml:space="preserve">000 2 </w:t>
      </w:r>
      <w:r w:rsidR="009B16B9" w:rsidRPr="009B16B9">
        <w:rPr>
          <w:rtl/>
        </w:rPr>
        <w:t>شخص</w:t>
      </w:r>
      <w:r w:rsidR="009B16B9" w:rsidRPr="009B16B9">
        <w:rPr>
          <w:rFonts w:hint="cs"/>
          <w:rtl/>
        </w:rPr>
        <w:t xml:space="preserve"> (الفقرة 80). ويشير التقرير كذلك إلى أن الدلالات السلبية التي تقترن بفيروس نقص المناعة البشرية/الإيدز تمنع النساء عن التصريح ع</w:t>
      </w:r>
      <w:r w:rsidR="006926DE">
        <w:rPr>
          <w:rFonts w:hint="cs"/>
          <w:rtl/>
        </w:rPr>
        <w:t xml:space="preserve">ـن حالتهـن </w:t>
      </w:r>
      <w:r w:rsidR="009B16B9" w:rsidRPr="009B16B9">
        <w:rPr>
          <w:rFonts w:hint="cs"/>
          <w:rtl/>
        </w:rPr>
        <w:t>(الفقرة 122). يُرجى تحديد ما إذا كان البرنامج الحكومي لمكافحة الإصابة بفيروس نقص المناعة البشرية/الإيدز (2003-2007) (الفقرة 77) يعتمد منظورا جنسانيا وكيف</w:t>
      </w:r>
      <w:r w:rsidR="006926DE">
        <w:rPr>
          <w:rFonts w:hint="cs"/>
          <w:rtl/>
        </w:rPr>
        <w:t xml:space="preserve">يـة تطبيق ذلك المنظـور، </w:t>
      </w:r>
      <w:r w:rsidR="009B16B9" w:rsidRPr="009B16B9">
        <w:rPr>
          <w:rFonts w:hint="cs"/>
          <w:rtl/>
        </w:rPr>
        <w:t>وما هي التدابير المتخذة لإزالة الوصمة التي ت</w:t>
      </w:r>
      <w:r w:rsidR="006926DE">
        <w:rPr>
          <w:rFonts w:hint="cs"/>
          <w:rtl/>
        </w:rPr>
        <w:t xml:space="preserve">ـلازم هـذه </w:t>
      </w:r>
      <w:r w:rsidR="009B16B9" w:rsidRPr="009B16B9">
        <w:rPr>
          <w:rFonts w:hint="cs"/>
          <w:rtl/>
        </w:rPr>
        <w:t>الإصابة و</w:t>
      </w:r>
      <w:r>
        <w:rPr>
          <w:rFonts w:hint="cs"/>
          <w:rtl/>
        </w:rPr>
        <w:t>تشجيع النساء على التماس العلاج.</w:t>
      </w:r>
    </w:p>
    <w:p w:rsidR="002A6CF2" w:rsidRPr="002A6CF2" w:rsidRDefault="002A6CF2" w:rsidP="002A6CF2">
      <w:pPr>
        <w:pStyle w:val="SingleTxt"/>
        <w:spacing w:after="0" w:line="120" w:lineRule="exact"/>
        <w:rPr>
          <w:rFonts w:hint="cs"/>
          <w:sz w:val="10"/>
          <w:rtl/>
        </w:rPr>
      </w:pPr>
    </w:p>
    <w:p w:rsidR="009B16B9" w:rsidRPr="009B16B9" w:rsidRDefault="002A6CF2" w:rsidP="002A6C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B16B9" w:rsidRPr="009B16B9">
        <w:rPr>
          <w:rFonts w:hint="cs"/>
          <w:rtl/>
        </w:rPr>
        <w:t>الزواج والعلاقات العائلية</w:t>
      </w:r>
    </w:p>
    <w:p w:rsidR="009B16B9" w:rsidRDefault="002A6CF2" w:rsidP="002A6CF2">
      <w:pPr>
        <w:pStyle w:val="SingleTxt"/>
        <w:rPr>
          <w:rFonts w:hint="cs"/>
          <w:rtl/>
        </w:rPr>
      </w:pPr>
      <w:r>
        <w:rPr>
          <w:rFonts w:hint="cs"/>
          <w:rtl/>
        </w:rPr>
        <w:t>24 -</w:t>
      </w:r>
      <w:r>
        <w:rPr>
          <w:rFonts w:hint="cs"/>
          <w:rtl/>
        </w:rPr>
        <w:tab/>
      </w:r>
      <w:r w:rsidR="009B16B9" w:rsidRPr="009B16B9">
        <w:rPr>
          <w:rFonts w:hint="cs"/>
          <w:rtl/>
        </w:rPr>
        <w:t>يشير التقرير الأو</w:t>
      </w:r>
      <w:r w:rsidR="006926DE">
        <w:rPr>
          <w:rFonts w:hint="cs"/>
          <w:rtl/>
        </w:rPr>
        <w:t xml:space="preserve">َّلـِـي </w:t>
      </w:r>
      <w:r w:rsidR="009B16B9" w:rsidRPr="009B16B9">
        <w:rPr>
          <w:rFonts w:hint="cs"/>
          <w:rtl/>
        </w:rPr>
        <w:t xml:space="preserve">لجورجيا إلى أن الدولة </w:t>
      </w:r>
      <w:r>
        <w:rPr>
          <w:rFonts w:hint="eastAsia"/>
          <w:rtl/>
        </w:rPr>
        <w:t>”</w:t>
      </w:r>
      <w:r w:rsidR="009B16B9" w:rsidRPr="009B16B9">
        <w:rPr>
          <w:rFonts w:hint="cs"/>
          <w:rtl/>
        </w:rPr>
        <w:t xml:space="preserve">لا </w:t>
      </w:r>
      <w:r w:rsidR="009B16B9" w:rsidRPr="009B16B9">
        <w:rPr>
          <w:rtl/>
        </w:rPr>
        <w:t>ت</w:t>
      </w:r>
      <w:r w:rsidR="006926DE">
        <w:rPr>
          <w:rFonts w:hint="cs"/>
          <w:rtl/>
        </w:rPr>
        <w:t xml:space="preserve">ضـع </w:t>
      </w:r>
      <w:r w:rsidR="009B16B9" w:rsidRPr="009B16B9">
        <w:rPr>
          <w:rtl/>
        </w:rPr>
        <w:t>أي عقبات أمام الزيجات الدينية التي أصبحت شائعة مؤخرا في جورجيا</w:t>
      </w:r>
      <w:r>
        <w:rPr>
          <w:rFonts w:hint="eastAsia"/>
          <w:rtl/>
        </w:rPr>
        <w:t>“</w:t>
      </w:r>
      <w:r w:rsidR="009B16B9" w:rsidRPr="009B16B9">
        <w:rPr>
          <w:rFonts w:hint="cs"/>
          <w:rtl/>
        </w:rPr>
        <w:t xml:space="preserve"> (</w:t>
      </w:r>
      <w:r w:rsidR="009B16B9" w:rsidRPr="009B16B9">
        <w:t>CEDAW/C/GEO/1</w:t>
      </w:r>
      <w:r w:rsidR="009B16B9" w:rsidRPr="009B16B9">
        <w:rPr>
          <w:rFonts w:hint="cs"/>
          <w:rtl/>
        </w:rPr>
        <w:t xml:space="preserve">، الفقرة 127). ويشير التقريران الثاني والثالث الدوريان (الفقرة 161) إلى أن المعلومات الواردة في التقرير الأولي </w:t>
      </w:r>
      <w:r w:rsidR="009B16B9" w:rsidRPr="009B16B9">
        <w:rPr>
          <w:rtl/>
        </w:rPr>
        <w:t xml:space="preserve">عن الإطار القانوني المنصوص عليه في </w:t>
      </w:r>
      <w:r w:rsidR="009B16B9" w:rsidRPr="009B16B9">
        <w:rPr>
          <w:rFonts w:hint="cs"/>
          <w:rtl/>
        </w:rPr>
        <w:t>هذه ال</w:t>
      </w:r>
      <w:r w:rsidR="009B16B9" w:rsidRPr="009B16B9">
        <w:rPr>
          <w:rtl/>
        </w:rPr>
        <w:t xml:space="preserve">مادة </w:t>
      </w:r>
      <w:r w:rsidR="009B16B9" w:rsidRPr="009B16B9">
        <w:rPr>
          <w:rFonts w:hint="cs"/>
          <w:rtl/>
        </w:rPr>
        <w:t xml:space="preserve">لا تزال </w:t>
      </w:r>
      <w:r w:rsidR="009B16B9" w:rsidRPr="009B16B9">
        <w:rPr>
          <w:rtl/>
        </w:rPr>
        <w:t>صحيحة</w:t>
      </w:r>
      <w:r w:rsidR="009B16B9" w:rsidRPr="009B16B9">
        <w:rPr>
          <w:rFonts w:hint="cs"/>
          <w:rtl/>
        </w:rPr>
        <w:t>. يُرجى تحديد ما إذا كانت أحكام قانون الزواج والأسرة تطبق على الزيجات الدينية أم أن هذه الزيجات تخضع للقانون الديني</w:t>
      </w:r>
      <w:r w:rsidR="009B16B9">
        <w:rPr>
          <w:rFonts w:hint="cs"/>
          <w:rtl/>
        </w:rPr>
        <w:t>.</w:t>
      </w:r>
    </w:p>
    <w:p w:rsidR="009B16B9" w:rsidRPr="009B16B9" w:rsidRDefault="009B16B9" w:rsidP="009B16B9">
      <w:pPr>
        <w:pStyle w:val="SingleTxt"/>
        <w:spacing w:after="0" w:line="120" w:lineRule="exact"/>
        <w:rPr>
          <w:rFonts w:hint="cs"/>
          <w:sz w:val="10"/>
          <w:rtl/>
        </w:rPr>
      </w:pPr>
    </w:p>
    <w:p w:rsidR="009B16B9" w:rsidRPr="009B16B9" w:rsidRDefault="009B16B9" w:rsidP="009B16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B16B9">
        <w:rPr>
          <w:rFonts w:hint="cs"/>
          <w:rtl/>
        </w:rPr>
        <w:t>الريفيات و</w:t>
      </w:r>
      <w:r w:rsidR="006926DE">
        <w:rPr>
          <w:rFonts w:hint="cs"/>
          <w:rtl/>
        </w:rPr>
        <w:t xml:space="preserve">نســاء </w:t>
      </w:r>
      <w:r w:rsidRPr="009B16B9">
        <w:rPr>
          <w:rFonts w:hint="cs"/>
          <w:rtl/>
        </w:rPr>
        <w:t>الأقليات العرقية وال</w:t>
      </w:r>
      <w:r w:rsidR="002A6CF2">
        <w:rPr>
          <w:rFonts w:hint="cs"/>
          <w:rtl/>
        </w:rPr>
        <w:t>مسنات</w:t>
      </w:r>
    </w:p>
    <w:p w:rsidR="009B16B9" w:rsidRDefault="009B16B9" w:rsidP="009B16B9">
      <w:pPr>
        <w:pStyle w:val="SingleTxt"/>
        <w:rPr>
          <w:rFonts w:hint="cs"/>
          <w:rtl/>
        </w:rPr>
      </w:pPr>
      <w:r>
        <w:rPr>
          <w:rFonts w:hint="cs"/>
          <w:rtl/>
        </w:rPr>
        <w:t>25 -</w:t>
      </w:r>
      <w:r>
        <w:rPr>
          <w:rFonts w:hint="cs"/>
          <w:rtl/>
        </w:rPr>
        <w:tab/>
      </w:r>
      <w:r w:rsidRPr="009B16B9">
        <w:rPr>
          <w:rFonts w:hint="cs"/>
          <w:rtl/>
        </w:rPr>
        <w:t>يُرجى تقديم معلومات مفصلة عن الحالة الصحية والتعليمية والاقتصادية ل</w:t>
      </w:r>
      <w:r>
        <w:rPr>
          <w:rFonts w:hint="cs"/>
          <w:rtl/>
        </w:rPr>
        <w:t>لريفيات ومدى مشاركتهن السياسية.</w:t>
      </w:r>
    </w:p>
    <w:p w:rsidR="009B16B9" w:rsidRDefault="009B16B9" w:rsidP="006926DE">
      <w:pPr>
        <w:pStyle w:val="SingleTxt"/>
        <w:rPr>
          <w:rFonts w:hint="cs"/>
          <w:rtl/>
        </w:rPr>
      </w:pPr>
      <w:r>
        <w:rPr>
          <w:rFonts w:hint="cs"/>
          <w:rtl/>
        </w:rPr>
        <w:t>26 -</w:t>
      </w:r>
      <w:r>
        <w:rPr>
          <w:rFonts w:hint="cs"/>
          <w:rtl/>
        </w:rPr>
        <w:tab/>
      </w:r>
      <w:r w:rsidRPr="009B16B9">
        <w:rPr>
          <w:rFonts w:hint="cs"/>
          <w:rtl/>
        </w:rPr>
        <w:t>تشير الوثيقة الأساسية بشأن جورجيا (</w:t>
      </w:r>
      <w:r w:rsidRPr="009B16B9">
        <w:t>HRI/CORE/1/Add.90/Rev.1</w:t>
      </w:r>
      <w:r w:rsidRPr="009B16B9">
        <w:rPr>
          <w:rFonts w:hint="cs"/>
          <w:rtl/>
        </w:rPr>
        <w:t>) إلى أن هذا البلد يعيش فيه شعب تمتزج فيه عدة أصول عرقية (الفقرات 24 إلى 26). بيد أن المناقشة التي تناولت، في التقريرين الثاني والثالث الدوري</w:t>
      </w:r>
      <w:r w:rsidR="006926DE">
        <w:rPr>
          <w:rFonts w:hint="cs"/>
          <w:rtl/>
        </w:rPr>
        <w:t>ي</w:t>
      </w:r>
      <w:r w:rsidRPr="009B16B9">
        <w:rPr>
          <w:rFonts w:hint="cs"/>
          <w:rtl/>
        </w:rPr>
        <w:t>ن ال</w:t>
      </w:r>
      <w:r w:rsidR="006926DE">
        <w:rPr>
          <w:rFonts w:hint="cs"/>
          <w:rtl/>
        </w:rPr>
        <w:t xml:space="preserve">موحـدين، </w:t>
      </w:r>
      <w:r w:rsidRPr="009B16B9">
        <w:rPr>
          <w:rFonts w:hint="cs"/>
          <w:rtl/>
        </w:rPr>
        <w:t>مختلف مواد الاتفاقية لا</w:t>
      </w:r>
      <w:r w:rsidR="006926DE">
        <w:rPr>
          <w:rFonts w:hint="eastAsia"/>
          <w:rtl/>
        </w:rPr>
        <w:t> </w:t>
      </w:r>
      <w:r w:rsidRPr="009B16B9">
        <w:rPr>
          <w:rFonts w:hint="cs"/>
          <w:rtl/>
        </w:rPr>
        <w:t xml:space="preserve">تفصح عما </w:t>
      </w:r>
      <w:r>
        <w:rPr>
          <w:rFonts w:hint="cs"/>
          <w:rtl/>
        </w:rPr>
        <w:t>إذا</w:t>
      </w:r>
      <w:r w:rsidR="006926DE">
        <w:rPr>
          <w:rFonts w:hint="cs"/>
          <w:rtl/>
        </w:rPr>
        <w:t xml:space="preserve"> </w:t>
      </w:r>
      <w:r w:rsidRPr="009B16B9">
        <w:rPr>
          <w:rFonts w:hint="cs"/>
          <w:rtl/>
        </w:rPr>
        <w:t>كانت النساء المنتميات إلى مختلف المجموعات العرقية يعتبرن، في ضوء مختلف أحكام الاتفاقية، ضعيفات أو محرومات بشكل خاص؛ كما أنها لا تتطرق إلى ذكر ما إذا كانت هناك تدابير معينة اتخذت للتصدي له</w:t>
      </w:r>
      <w:r w:rsidR="006926DE">
        <w:rPr>
          <w:rFonts w:hint="cs"/>
          <w:rtl/>
        </w:rPr>
        <w:t xml:space="preserve">ذه التحديات. يُرجى تقديم هذه المعلومـات، </w:t>
      </w:r>
      <w:r w:rsidRPr="009B16B9">
        <w:rPr>
          <w:rFonts w:hint="cs"/>
          <w:rtl/>
        </w:rPr>
        <w:t>بما في ذلك بيانات إحصائية مصنفة حسب نوع</w:t>
      </w:r>
      <w:r>
        <w:rPr>
          <w:rFonts w:hint="cs"/>
          <w:rtl/>
        </w:rPr>
        <w:t xml:space="preserve"> الجنس والعمر.</w:t>
      </w:r>
    </w:p>
    <w:p w:rsidR="009B16B9" w:rsidRDefault="009B16B9" w:rsidP="009B16B9">
      <w:pPr>
        <w:pStyle w:val="SingleTxt"/>
        <w:rPr>
          <w:rFonts w:hint="cs"/>
          <w:rtl/>
        </w:rPr>
      </w:pPr>
      <w:r>
        <w:rPr>
          <w:rFonts w:hint="cs"/>
          <w:rtl/>
        </w:rPr>
        <w:t>27 -</w:t>
      </w:r>
      <w:r>
        <w:rPr>
          <w:rFonts w:hint="cs"/>
          <w:rtl/>
        </w:rPr>
        <w:tab/>
      </w:r>
      <w:r w:rsidR="006926DE">
        <w:rPr>
          <w:rFonts w:hint="cs"/>
          <w:rtl/>
        </w:rPr>
        <w:t xml:space="preserve">تشكـل المـرأة غالبيـة </w:t>
      </w:r>
      <w:r w:rsidRPr="009B16B9">
        <w:rPr>
          <w:rFonts w:hint="cs"/>
          <w:rtl/>
        </w:rPr>
        <w:t>السكان في الفئة العمرية ابتداء من 25 عاما وما فوق</w:t>
      </w:r>
      <w:r w:rsidR="006926DE">
        <w:rPr>
          <w:rFonts w:hint="cs"/>
          <w:rtl/>
        </w:rPr>
        <w:t xml:space="preserve">. </w:t>
      </w:r>
      <w:r w:rsidRPr="009B16B9">
        <w:rPr>
          <w:rFonts w:hint="cs"/>
          <w:rtl/>
        </w:rPr>
        <w:t>يُرجى تقديم معلومات عن الخطط والبرامج التي تقدم الدعم للمسنات، خاصة في المناطق الريفية وبين الأقليات العرقية.</w:t>
      </w:r>
    </w:p>
    <w:p w:rsidR="009B16B9" w:rsidRPr="009B16B9" w:rsidRDefault="009B16B9" w:rsidP="009B16B9">
      <w:pPr>
        <w:pStyle w:val="SingleTxt"/>
        <w:spacing w:after="0" w:line="120" w:lineRule="exact"/>
        <w:rPr>
          <w:rFonts w:hint="cs"/>
          <w:sz w:val="10"/>
          <w:rtl/>
        </w:rPr>
      </w:pPr>
    </w:p>
    <w:p w:rsidR="009B16B9" w:rsidRPr="009B16B9" w:rsidRDefault="009B16B9" w:rsidP="009B16B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B16B9">
        <w:rPr>
          <w:rFonts w:hint="cs"/>
          <w:rtl/>
        </w:rPr>
        <w:t>الجنسية والمواطنة</w:t>
      </w:r>
    </w:p>
    <w:p w:rsidR="000C1560" w:rsidRDefault="009B16B9" w:rsidP="009B16B9">
      <w:pPr>
        <w:pStyle w:val="SingleTxt"/>
        <w:rPr>
          <w:rFonts w:hint="cs"/>
          <w:rtl/>
        </w:rPr>
      </w:pPr>
      <w:r>
        <w:rPr>
          <w:rFonts w:hint="cs"/>
          <w:rtl/>
        </w:rPr>
        <w:t>28 -</w:t>
      </w:r>
      <w:r>
        <w:rPr>
          <w:rFonts w:hint="cs"/>
          <w:rtl/>
        </w:rPr>
        <w:tab/>
      </w:r>
      <w:r w:rsidRPr="009B16B9">
        <w:rPr>
          <w:rFonts w:hint="cs"/>
          <w:rtl/>
        </w:rPr>
        <w:t>يُرجى تحديد الأسباب التي تمنع الحكومة من تغيير قانون المواطنة أو تعديله فيما يتعلق بجنسية المرأة</w:t>
      </w:r>
      <w:r>
        <w:rPr>
          <w:rFonts w:hint="cs"/>
          <w:rtl/>
        </w:rPr>
        <w:t>.</w:t>
      </w:r>
    </w:p>
    <w:p w:rsidR="009B16B9" w:rsidRPr="009B16B9" w:rsidRDefault="009B16B9" w:rsidP="009B16B9">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9B16B9" w:rsidRPr="009B16B9" w:rsidSect="00EB19CC">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08T17:42:00Z" w:initials="Start">
    <w:p w:rsidR="00506C40" w:rsidRDefault="00506C40">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NO&gt;&gt;N0625022A&lt;&lt;ODS JOB NO</w:t>
      </w:r>
      <w:r>
        <w:rPr>
          <w:rtl/>
        </w:rPr>
        <w:t>&gt;&gt;</w:t>
      </w:r>
    </w:p>
    <w:p w:rsidR="00506C40" w:rsidRDefault="00506C40">
      <w:pPr>
        <w:pStyle w:val="CommentText"/>
        <w:rPr>
          <w:rtl/>
        </w:rPr>
      </w:pPr>
      <w:r>
        <w:rPr>
          <w:rtl/>
        </w:rPr>
        <w:t>&lt;&lt;</w:t>
      </w:r>
      <w:r>
        <w:t>ODS DOC SYMBOL1&gt;&gt;CEDAW/C/GEO/Q/3&lt;&lt;ODS DOC SYMBOL1</w:t>
      </w:r>
      <w:r>
        <w:rPr>
          <w:rtl/>
        </w:rPr>
        <w:t>&gt;&gt;</w:t>
      </w:r>
    </w:p>
    <w:p w:rsidR="00506C40" w:rsidRDefault="00506C40">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6C40" w:rsidRDefault="00506C40">
      <w:r>
        <w:separator/>
      </w:r>
    </w:p>
  </w:endnote>
  <w:endnote w:type="continuationSeparator" w:id="0">
    <w:p w:rsidR="00506C40" w:rsidRDefault="00506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06C40">
      <w:tblPrEx>
        <w:tblCellMar>
          <w:top w:w="0" w:type="dxa"/>
          <w:bottom w:w="0" w:type="dxa"/>
        </w:tblCellMar>
      </w:tblPrEx>
      <w:tc>
        <w:tcPr>
          <w:tcW w:w="5033" w:type="dxa"/>
          <w:shd w:val="clear" w:color="auto" w:fill="auto"/>
        </w:tcPr>
        <w:p w:rsidR="00506C40" w:rsidRPr="00EB19CC" w:rsidRDefault="00506C40" w:rsidP="00EB19CC">
          <w:pPr>
            <w:pStyle w:val="Footer"/>
            <w:jc w:val="right"/>
            <w:rPr>
              <w:w w:val="103"/>
            </w:rPr>
          </w:pPr>
          <w:r>
            <w:rPr>
              <w:w w:val="103"/>
            </w:rPr>
            <w:fldChar w:fldCharType="begin"/>
          </w:r>
          <w:r>
            <w:rPr>
              <w:w w:val="103"/>
            </w:rPr>
            <w:instrText xml:space="preserve"> PAGE  \* MERGEFORMAT </w:instrText>
          </w:r>
          <w:r>
            <w:rPr>
              <w:w w:val="103"/>
            </w:rPr>
            <w:fldChar w:fldCharType="separate"/>
          </w:r>
          <w:r w:rsidR="00852FF2">
            <w:rPr>
              <w:w w:val="103"/>
            </w:rPr>
            <w:t>6</w:t>
          </w:r>
          <w:r>
            <w:rPr>
              <w:w w:val="103"/>
            </w:rPr>
            <w:fldChar w:fldCharType="end"/>
          </w:r>
        </w:p>
      </w:tc>
      <w:tc>
        <w:tcPr>
          <w:tcW w:w="5033" w:type="dxa"/>
          <w:shd w:val="clear" w:color="auto" w:fill="auto"/>
        </w:tcPr>
        <w:p w:rsidR="00506C40" w:rsidRPr="00EB19CC" w:rsidRDefault="00506C40" w:rsidP="00EB19C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52FF2">
            <w:rPr>
              <w:b w:val="0"/>
              <w:w w:val="103"/>
            </w:rPr>
            <w:t>06-25022</w:t>
          </w:r>
          <w:r>
            <w:rPr>
              <w:b w:val="0"/>
              <w:w w:val="103"/>
            </w:rPr>
            <w:fldChar w:fldCharType="end"/>
          </w:r>
        </w:p>
      </w:tc>
    </w:tr>
  </w:tbl>
  <w:p w:rsidR="00506C40" w:rsidRPr="00EB19CC" w:rsidRDefault="00506C40" w:rsidP="00EB19C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06C40">
      <w:tblPrEx>
        <w:tblCellMar>
          <w:top w:w="0" w:type="dxa"/>
          <w:bottom w:w="0" w:type="dxa"/>
        </w:tblCellMar>
      </w:tblPrEx>
      <w:tc>
        <w:tcPr>
          <w:tcW w:w="5033" w:type="dxa"/>
          <w:shd w:val="clear" w:color="auto" w:fill="auto"/>
        </w:tcPr>
        <w:p w:rsidR="00506C40" w:rsidRPr="00EB19CC" w:rsidRDefault="00506C40" w:rsidP="00EB19CC">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52FF2">
            <w:rPr>
              <w:b w:val="0"/>
              <w:w w:val="103"/>
            </w:rPr>
            <w:t>06-25022</w:t>
          </w:r>
          <w:r>
            <w:rPr>
              <w:b w:val="0"/>
              <w:w w:val="103"/>
            </w:rPr>
            <w:fldChar w:fldCharType="end"/>
          </w:r>
        </w:p>
      </w:tc>
      <w:tc>
        <w:tcPr>
          <w:tcW w:w="5033" w:type="dxa"/>
          <w:shd w:val="clear" w:color="auto" w:fill="auto"/>
        </w:tcPr>
        <w:p w:rsidR="00506C40" w:rsidRPr="00EB19CC" w:rsidRDefault="00506C40" w:rsidP="00EB19CC">
          <w:pPr>
            <w:pStyle w:val="Footer"/>
            <w:rPr>
              <w:w w:val="103"/>
            </w:rPr>
          </w:pPr>
          <w:r>
            <w:rPr>
              <w:w w:val="103"/>
            </w:rPr>
            <w:fldChar w:fldCharType="begin"/>
          </w:r>
          <w:r>
            <w:rPr>
              <w:w w:val="103"/>
            </w:rPr>
            <w:instrText xml:space="preserve"> PAGE  \* MERGEFORMAT </w:instrText>
          </w:r>
          <w:r>
            <w:rPr>
              <w:w w:val="103"/>
            </w:rPr>
            <w:fldChar w:fldCharType="separate"/>
          </w:r>
          <w:r w:rsidR="00852FF2">
            <w:rPr>
              <w:w w:val="103"/>
            </w:rPr>
            <w:t>7</w:t>
          </w:r>
          <w:r>
            <w:rPr>
              <w:w w:val="103"/>
            </w:rPr>
            <w:fldChar w:fldCharType="end"/>
          </w:r>
        </w:p>
      </w:tc>
    </w:tr>
  </w:tbl>
  <w:p w:rsidR="00506C40" w:rsidRPr="00EB19CC" w:rsidRDefault="00506C40" w:rsidP="00EB19C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C40" w:rsidRDefault="00506C40">
    <w:pPr>
      <w:pStyle w:val="Footer"/>
    </w:pPr>
  </w:p>
  <w:p w:rsidR="00506C40" w:rsidRDefault="00506C40" w:rsidP="00EB19CC">
    <w:pPr>
      <w:pStyle w:val="Footer"/>
      <w:jc w:val="right"/>
      <w:rPr>
        <w:rFonts w:cs="Times New Roman"/>
        <w:b w:val="0"/>
        <w:w w:val="103"/>
        <w:sz w:val="20"/>
      </w:rPr>
    </w:pPr>
    <w:r>
      <w:rPr>
        <w:rFonts w:cs="Times New Roman"/>
        <w:b w:val="0"/>
        <w:w w:val="103"/>
        <w:sz w:val="20"/>
      </w:rPr>
      <w:t xml:space="preserve">080306    080306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852FF2">
      <w:rPr>
        <w:rFonts w:cs="Times New Roman"/>
        <w:b w:val="0"/>
        <w:w w:val="103"/>
        <w:sz w:val="20"/>
      </w:rPr>
      <w:t>06-25022 (A)</w:t>
    </w:r>
    <w:r>
      <w:rPr>
        <w:rFonts w:cs="Times New Roman"/>
        <w:b w:val="0"/>
        <w:w w:val="103"/>
        <w:sz w:val="20"/>
      </w:rPr>
      <w:fldChar w:fldCharType="end"/>
    </w:r>
  </w:p>
  <w:p w:rsidR="00506C40" w:rsidRPr="00EB19CC" w:rsidRDefault="00506C40" w:rsidP="00EB19CC">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852FF2">
      <w:rPr>
        <w:rFonts w:ascii="Barcode 3 of 9 by request" w:hAnsi="Barcode 3 of 9 by request" w:cs="Times New Roman"/>
        <w:b w:val="0"/>
        <w:sz w:val="24"/>
      </w:rPr>
      <w:t>*0625022*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6C40" w:rsidRDefault="00506C40">
      <w:r>
        <w:separator/>
      </w:r>
    </w:p>
  </w:footnote>
  <w:footnote w:type="continuationSeparator" w:id="0">
    <w:p w:rsidR="00506C40" w:rsidRDefault="00506C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506C40">
      <w:tblPrEx>
        <w:tblCellMar>
          <w:top w:w="0" w:type="dxa"/>
          <w:bottom w:w="0" w:type="dxa"/>
        </w:tblCellMar>
      </w:tblPrEx>
      <w:trPr>
        <w:trHeight w:hRule="exact" w:val="864"/>
        <w:jc w:val="center"/>
      </w:trPr>
      <w:tc>
        <w:tcPr>
          <w:tcW w:w="5033" w:type="dxa"/>
          <w:shd w:val="clear" w:color="auto" w:fill="auto"/>
          <w:vAlign w:val="bottom"/>
        </w:tcPr>
        <w:p w:rsidR="00506C40" w:rsidRDefault="00506C40" w:rsidP="00EB19CC">
          <w:pPr>
            <w:pStyle w:val="Header"/>
            <w:bidi/>
            <w:jc w:val="right"/>
          </w:pPr>
        </w:p>
      </w:tc>
      <w:tc>
        <w:tcPr>
          <w:tcW w:w="5033" w:type="dxa"/>
          <w:shd w:val="clear" w:color="auto" w:fill="auto"/>
          <w:vAlign w:val="bottom"/>
        </w:tcPr>
        <w:p w:rsidR="00506C40" w:rsidRPr="00EB19CC" w:rsidRDefault="00506C40" w:rsidP="00EB19CC">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852FF2">
            <w:rPr>
              <w:w w:val="103"/>
            </w:rPr>
            <w:t>CEDAW/C/GEO/Q/3</w:t>
          </w:r>
          <w:r>
            <w:rPr>
              <w:w w:val="103"/>
            </w:rPr>
            <w:fldChar w:fldCharType="end"/>
          </w:r>
        </w:p>
      </w:tc>
    </w:tr>
  </w:tbl>
  <w:p w:rsidR="00506C40" w:rsidRPr="00EB19CC" w:rsidRDefault="00506C40" w:rsidP="00EB19C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506C40">
      <w:tblPrEx>
        <w:tblCellMar>
          <w:top w:w="0" w:type="dxa"/>
          <w:bottom w:w="0" w:type="dxa"/>
        </w:tblCellMar>
      </w:tblPrEx>
      <w:trPr>
        <w:trHeight w:hRule="exact" w:val="864"/>
        <w:jc w:val="center"/>
      </w:trPr>
      <w:tc>
        <w:tcPr>
          <w:tcW w:w="5033" w:type="dxa"/>
          <w:shd w:val="clear" w:color="auto" w:fill="auto"/>
          <w:vAlign w:val="bottom"/>
        </w:tcPr>
        <w:p w:rsidR="00506C40" w:rsidRPr="00EB19CC" w:rsidRDefault="00506C40" w:rsidP="00EB19CC">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852FF2">
            <w:rPr>
              <w:w w:val="103"/>
            </w:rPr>
            <w:t>CEDAW/C/GEO/Q/3</w:t>
          </w:r>
          <w:r>
            <w:rPr>
              <w:w w:val="103"/>
              <w:rtl/>
            </w:rPr>
            <w:fldChar w:fldCharType="end"/>
          </w:r>
        </w:p>
      </w:tc>
      <w:tc>
        <w:tcPr>
          <w:tcW w:w="5033" w:type="dxa"/>
          <w:shd w:val="clear" w:color="auto" w:fill="auto"/>
          <w:vAlign w:val="bottom"/>
        </w:tcPr>
        <w:p w:rsidR="00506C40" w:rsidRDefault="00506C40" w:rsidP="00EB19CC">
          <w:pPr>
            <w:pStyle w:val="Header"/>
          </w:pPr>
        </w:p>
      </w:tc>
    </w:tr>
  </w:tbl>
  <w:p w:rsidR="00506C40" w:rsidRPr="00EB19CC" w:rsidRDefault="00506C40" w:rsidP="00EB19C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06C4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06C40" w:rsidRDefault="00506C40" w:rsidP="00EB19CC">
          <w:pPr>
            <w:pStyle w:val="Header"/>
            <w:spacing w:after="120"/>
          </w:pPr>
        </w:p>
      </w:tc>
      <w:tc>
        <w:tcPr>
          <w:tcW w:w="1786" w:type="dxa"/>
          <w:tcBorders>
            <w:bottom w:val="single" w:sz="4" w:space="0" w:color="auto"/>
          </w:tcBorders>
          <w:shd w:val="clear" w:color="auto" w:fill="auto"/>
          <w:vAlign w:val="bottom"/>
        </w:tcPr>
        <w:p w:rsidR="00506C40" w:rsidRPr="00EB19CC" w:rsidRDefault="00506C40" w:rsidP="00EB19C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06C40" w:rsidRDefault="00506C40" w:rsidP="00EB19CC">
          <w:pPr>
            <w:pStyle w:val="Header"/>
            <w:spacing w:after="120"/>
          </w:pPr>
        </w:p>
      </w:tc>
      <w:tc>
        <w:tcPr>
          <w:tcW w:w="6523" w:type="dxa"/>
          <w:gridSpan w:val="3"/>
          <w:tcBorders>
            <w:bottom w:val="single" w:sz="4" w:space="0" w:color="auto"/>
          </w:tcBorders>
          <w:shd w:val="clear" w:color="auto" w:fill="auto"/>
          <w:vAlign w:val="bottom"/>
        </w:tcPr>
        <w:p w:rsidR="00506C40" w:rsidRPr="00EB19CC" w:rsidRDefault="00506C40" w:rsidP="00EB19CC">
          <w:pPr>
            <w:spacing w:line="380" w:lineRule="exact"/>
            <w:jc w:val="right"/>
          </w:pPr>
          <w:r>
            <w:rPr>
              <w:sz w:val="40"/>
            </w:rPr>
            <w:t>CEDAW</w:t>
          </w:r>
          <w:r>
            <w:t>/C/GEO/Q/3</w:t>
          </w:r>
        </w:p>
      </w:tc>
    </w:tr>
    <w:tr w:rsidR="00506C40" w:rsidRPr="00EB19C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06C40" w:rsidRDefault="00506C40" w:rsidP="00EB19C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06C40" w:rsidRPr="00EB19CC" w:rsidRDefault="00506C40" w:rsidP="00EB19CC">
          <w:pPr>
            <w:pStyle w:val="Header"/>
            <w:spacing w:before="109"/>
            <w:jc w:val="right"/>
          </w:pPr>
        </w:p>
      </w:tc>
      <w:tc>
        <w:tcPr>
          <w:tcW w:w="5227" w:type="dxa"/>
          <w:gridSpan w:val="3"/>
          <w:tcBorders>
            <w:top w:val="single" w:sz="4" w:space="0" w:color="auto"/>
            <w:bottom w:val="single" w:sz="12" w:space="0" w:color="auto"/>
          </w:tcBorders>
          <w:shd w:val="clear" w:color="auto" w:fill="auto"/>
        </w:tcPr>
        <w:p w:rsidR="00506C40" w:rsidRPr="00EB19CC" w:rsidRDefault="00506C40" w:rsidP="00EB19C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06C40" w:rsidRPr="00EB19CC" w:rsidRDefault="00506C40" w:rsidP="00EB19CC">
          <w:pPr>
            <w:pStyle w:val="Header"/>
            <w:spacing w:before="109"/>
          </w:pPr>
        </w:p>
      </w:tc>
      <w:tc>
        <w:tcPr>
          <w:tcW w:w="3100" w:type="dxa"/>
          <w:gridSpan w:val="2"/>
          <w:tcBorders>
            <w:top w:val="single" w:sz="4" w:space="0" w:color="auto"/>
            <w:bottom w:val="single" w:sz="12" w:space="0" w:color="auto"/>
          </w:tcBorders>
          <w:shd w:val="clear" w:color="auto" w:fill="auto"/>
        </w:tcPr>
        <w:p w:rsidR="00506C40" w:rsidRDefault="00506C40" w:rsidP="00EB19CC">
          <w:pPr>
            <w:bidi w:val="0"/>
            <w:spacing w:before="240" w:line="240" w:lineRule="exact"/>
          </w:pPr>
          <w:r>
            <w:t>Distr.: General</w:t>
          </w:r>
        </w:p>
        <w:p w:rsidR="00506C40" w:rsidRDefault="00506C40" w:rsidP="00EB19CC">
          <w:pPr>
            <w:bidi w:val="0"/>
            <w:spacing w:line="240" w:lineRule="exact"/>
            <w:jc w:val="left"/>
          </w:pPr>
          <w:r>
            <w:t>22 February 2006</w:t>
          </w:r>
        </w:p>
        <w:p w:rsidR="00506C40" w:rsidRDefault="00506C40" w:rsidP="00EB19CC">
          <w:pPr>
            <w:bidi w:val="0"/>
            <w:spacing w:line="240" w:lineRule="exact"/>
            <w:jc w:val="left"/>
          </w:pPr>
          <w:r>
            <w:t>Arabic</w:t>
          </w:r>
        </w:p>
        <w:p w:rsidR="00506C40" w:rsidRPr="00EB19CC" w:rsidRDefault="00506C40" w:rsidP="00EB19CC">
          <w:pPr>
            <w:bidi w:val="0"/>
            <w:spacing w:line="240" w:lineRule="exact"/>
            <w:jc w:val="left"/>
          </w:pPr>
          <w:r>
            <w:t>Original: English</w:t>
          </w:r>
        </w:p>
      </w:tc>
    </w:tr>
  </w:tbl>
  <w:p w:rsidR="00506C40" w:rsidRPr="00EB19CC" w:rsidRDefault="00506C40" w:rsidP="00EB19C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5022*"/>
    <w:docVar w:name="CreationDt" w:val="08/03/2006 05:424 م"/>
    <w:docVar w:name="DocCategory" w:val="Doc"/>
    <w:docVar w:name="DocType" w:val="Final"/>
    <w:docVar w:name="FooterJN" w:val="06-25022"/>
    <w:docVar w:name="jobn" w:val="06-25022 (A)"/>
    <w:docVar w:name="jobnDT" w:val="06-25022 (A)   080306"/>
    <w:docVar w:name="jobnDTDT" w:val="06-25022 (A)   080306   080306"/>
    <w:docVar w:name="JobNo" w:val="0625022A"/>
    <w:docVar w:name="OandT" w:val=" "/>
    <w:docVar w:name="sss1" w:val="CEDAW/C/GEO/Q/3"/>
    <w:docVar w:name="sss2" w:val="-"/>
    <w:docVar w:name="Symbol1" w:val="CEDAW/C/GEO/Q/3"/>
    <w:docVar w:name="Symbol2" w:val="-"/>
  </w:docVars>
  <w:rsids>
    <w:rsidRoot w:val="00412A2E"/>
    <w:rsid w:val="00042425"/>
    <w:rsid w:val="0006648F"/>
    <w:rsid w:val="00087310"/>
    <w:rsid w:val="0009732C"/>
    <w:rsid w:val="000C1560"/>
    <w:rsid w:val="000C4EED"/>
    <w:rsid w:val="000D2CEC"/>
    <w:rsid w:val="00101EE8"/>
    <w:rsid w:val="00113349"/>
    <w:rsid w:val="001519A9"/>
    <w:rsid w:val="0016541F"/>
    <w:rsid w:val="001737F8"/>
    <w:rsid w:val="00187870"/>
    <w:rsid w:val="001F6786"/>
    <w:rsid w:val="002416C5"/>
    <w:rsid w:val="00266F59"/>
    <w:rsid w:val="00272B6C"/>
    <w:rsid w:val="0027623A"/>
    <w:rsid w:val="00290F2F"/>
    <w:rsid w:val="002937DA"/>
    <w:rsid w:val="002A09C6"/>
    <w:rsid w:val="002A6CF2"/>
    <w:rsid w:val="002C2AF2"/>
    <w:rsid w:val="002C4E1B"/>
    <w:rsid w:val="00312162"/>
    <w:rsid w:val="00313193"/>
    <w:rsid w:val="003501D5"/>
    <w:rsid w:val="00371AC4"/>
    <w:rsid w:val="00383CA8"/>
    <w:rsid w:val="003A65ED"/>
    <w:rsid w:val="003D4612"/>
    <w:rsid w:val="003F4B8C"/>
    <w:rsid w:val="00401BDF"/>
    <w:rsid w:val="00411BBD"/>
    <w:rsid w:val="00412A2E"/>
    <w:rsid w:val="00415922"/>
    <w:rsid w:val="00423BD7"/>
    <w:rsid w:val="0042757D"/>
    <w:rsid w:val="00437C14"/>
    <w:rsid w:val="004527C9"/>
    <w:rsid w:val="00453069"/>
    <w:rsid w:val="00462520"/>
    <w:rsid w:val="00483F5B"/>
    <w:rsid w:val="00490874"/>
    <w:rsid w:val="00494EE2"/>
    <w:rsid w:val="00496E83"/>
    <w:rsid w:val="004A2886"/>
    <w:rsid w:val="004B14A0"/>
    <w:rsid w:val="004D1B0C"/>
    <w:rsid w:val="004F1402"/>
    <w:rsid w:val="0050659B"/>
    <w:rsid w:val="00506C40"/>
    <w:rsid w:val="00524A2E"/>
    <w:rsid w:val="005279DE"/>
    <w:rsid w:val="00534772"/>
    <w:rsid w:val="00537FCD"/>
    <w:rsid w:val="00542903"/>
    <w:rsid w:val="00545F76"/>
    <w:rsid w:val="005545BB"/>
    <w:rsid w:val="00556882"/>
    <w:rsid w:val="00561E43"/>
    <w:rsid w:val="005665BE"/>
    <w:rsid w:val="005838F5"/>
    <w:rsid w:val="00591B45"/>
    <w:rsid w:val="005A0F73"/>
    <w:rsid w:val="005A2EA3"/>
    <w:rsid w:val="005C2ECE"/>
    <w:rsid w:val="00616E82"/>
    <w:rsid w:val="006218A3"/>
    <w:rsid w:val="0065464C"/>
    <w:rsid w:val="006564CE"/>
    <w:rsid w:val="00663F64"/>
    <w:rsid w:val="006926DE"/>
    <w:rsid w:val="00696B7A"/>
    <w:rsid w:val="006C38EE"/>
    <w:rsid w:val="006E0852"/>
    <w:rsid w:val="0071531E"/>
    <w:rsid w:val="0071645B"/>
    <w:rsid w:val="00716E9D"/>
    <w:rsid w:val="00747B9E"/>
    <w:rsid w:val="007524BE"/>
    <w:rsid w:val="007525FA"/>
    <w:rsid w:val="00774FF0"/>
    <w:rsid w:val="0079046D"/>
    <w:rsid w:val="0079753A"/>
    <w:rsid w:val="007A6DD9"/>
    <w:rsid w:val="007D60E0"/>
    <w:rsid w:val="007E32B9"/>
    <w:rsid w:val="0081284F"/>
    <w:rsid w:val="00814843"/>
    <w:rsid w:val="008170DE"/>
    <w:rsid w:val="00830E32"/>
    <w:rsid w:val="00852FF2"/>
    <w:rsid w:val="00873A11"/>
    <w:rsid w:val="00873AF9"/>
    <w:rsid w:val="008D1C04"/>
    <w:rsid w:val="008F04A0"/>
    <w:rsid w:val="008F64A7"/>
    <w:rsid w:val="0090012B"/>
    <w:rsid w:val="0090351F"/>
    <w:rsid w:val="00970BAD"/>
    <w:rsid w:val="009768D1"/>
    <w:rsid w:val="009829B7"/>
    <w:rsid w:val="009927C0"/>
    <w:rsid w:val="009961E6"/>
    <w:rsid w:val="009B16B9"/>
    <w:rsid w:val="009B6C65"/>
    <w:rsid w:val="009C0017"/>
    <w:rsid w:val="009C15F4"/>
    <w:rsid w:val="009D62A3"/>
    <w:rsid w:val="009E2A1F"/>
    <w:rsid w:val="00A37C4B"/>
    <w:rsid w:val="00A50774"/>
    <w:rsid w:val="00A66F66"/>
    <w:rsid w:val="00A71AE5"/>
    <w:rsid w:val="00AA1E16"/>
    <w:rsid w:val="00AC002C"/>
    <w:rsid w:val="00AC6CDD"/>
    <w:rsid w:val="00AD38D0"/>
    <w:rsid w:val="00AE108C"/>
    <w:rsid w:val="00AF1A53"/>
    <w:rsid w:val="00AF7AC7"/>
    <w:rsid w:val="00B05ADC"/>
    <w:rsid w:val="00B272BE"/>
    <w:rsid w:val="00B66F16"/>
    <w:rsid w:val="00B9542C"/>
    <w:rsid w:val="00B95560"/>
    <w:rsid w:val="00BA7FAB"/>
    <w:rsid w:val="00BC2F4C"/>
    <w:rsid w:val="00BC4A05"/>
    <w:rsid w:val="00BF0B15"/>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910B7"/>
    <w:rsid w:val="00DA66B7"/>
    <w:rsid w:val="00DB0865"/>
    <w:rsid w:val="00DC727A"/>
    <w:rsid w:val="00DE5433"/>
    <w:rsid w:val="00DF5F38"/>
    <w:rsid w:val="00E16E7E"/>
    <w:rsid w:val="00E23336"/>
    <w:rsid w:val="00E31661"/>
    <w:rsid w:val="00E32B52"/>
    <w:rsid w:val="00E47EB8"/>
    <w:rsid w:val="00E750E1"/>
    <w:rsid w:val="00E9114A"/>
    <w:rsid w:val="00EA489C"/>
    <w:rsid w:val="00EB0CA7"/>
    <w:rsid w:val="00EB19CC"/>
    <w:rsid w:val="00EB4992"/>
    <w:rsid w:val="00EF2E52"/>
    <w:rsid w:val="00F32E4A"/>
    <w:rsid w:val="00F36D8C"/>
    <w:rsid w:val="00F6433B"/>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EB19CC"/>
    <w:rPr>
      <w:szCs w:val="20"/>
    </w:rPr>
  </w:style>
  <w:style w:type="paragraph" w:styleId="CommentSubject">
    <w:name w:val="annotation subject"/>
    <w:basedOn w:val="CommentText"/>
    <w:next w:val="CommentText"/>
    <w:semiHidden/>
    <w:rsid w:val="00EB19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1795</Words>
  <Characters>10235</Characters>
  <Application>Microsoft Office Word</Application>
  <DocSecurity>4</DocSecurity>
  <Lines>85</Lines>
  <Paragraphs>24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12006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Samir Atia</dc:creator>
  <cp:keywords/>
  <dc:description/>
  <cp:lastModifiedBy>123</cp:lastModifiedBy>
  <cp:revision>2</cp:revision>
  <cp:lastPrinted>2006-03-08T18:48:00Z</cp:lastPrinted>
  <dcterms:created xsi:type="dcterms:W3CDTF">2006-03-08T18:48:00Z</dcterms:created>
  <dcterms:modified xsi:type="dcterms:W3CDTF">2006-03-08T18:48:00Z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0625022</vt:lpwstr>
  </property>
  <property fmtid="{D5CDD505-2E9C-101B-9397-08002B2CF9AE}" pid="3" name="Symbol1">
    <vt:lpwstr>CEDAW/C/GEO/Q/3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