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504"/>
      </w:tblGrid>
      <w:tr w:rsidR="00000000">
        <w:tblPrEx>
          <w:tblCellMar>
            <w:top w:w="0" w:type="dxa"/>
            <w:bottom w:w="0" w:type="dxa"/>
          </w:tblCellMar>
        </w:tblPrEx>
        <w:trPr>
          <w:cantSplit/>
        </w:trPr>
        <w:tc>
          <w:tcPr>
            <w:tcW w:w="6096" w:type="dxa"/>
            <w:gridSpan w:val="2"/>
            <w:tcBorders>
              <w:top w:val="nil"/>
              <w:left w:val="nil"/>
              <w:bottom w:val="single" w:sz="4" w:space="0" w:color="auto"/>
              <w:right w:val="nil"/>
            </w:tcBorders>
          </w:tcPr>
          <w:p w:rsidR="00000000" w:rsidRDefault="00000000">
            <w:r>
              <w:rPr>
                <w:rFonts w:ascii="Arial" w:hAnsi="Arial" w:cs="Arial"/>
                <w:b/>
                <w:sz w:val="28"/>
              </w:rPr>
              <w:t xml:space="preserve">ОРГАНИЗАЦИЯ </w:t>
            </w:r>
            <w:r>
              <w:rPr>
                <w:rFonts w:ascii="Arial" w:hAnsi="Arial" w:cs="Arial"/>
                <w:b/>
                <w:sz w:val="28"/>
              </w:rPr>
              <w:br/>
              <w:t>ОБЪЕДИНЕННЫХ НАЦИЙ</w:t>
            </w:r>
          </w:p>
        </w:tc>
        <w:tc>
          <w:tcPr>
            <w:tcW w:w="3504"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lang w:val="en-US"/>
              </w:rPr>
              <w:t>E</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spacing w:before="12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900374" r:id="rId8"/>
              </w:pict>
            </w:r>
          </w:p>
        </w:tc>
        <w:tc>
          <w:tcPr>
            <w:tcW w:w="4536" w:type="dxa"/>
            <w:tcBorders>
              <w:top w:val="single" w:sz="4" w:space="0" w:color="auto"/>
              <w:left w:val="nil"/>
              <w:bottom w:val="single" w:sz="36" w:space="0" w:color="auto"/>
              <w:right w:val="nil"/>
            </w:tcBorders>
          </w:tcPr>
          <w:p w:rsidR="00000000" w:rsidRDefault="00000000">
            <w:pPr>
              <w:spacing w:before="120"/>
              <w:rPr>
                <w:rFonts w:ascii="Arial" w:hAnsi="Arial" w:cs="Arial"/>
                <w:sz w:val="32"/>
              </w:rPr>
            </w:pPr>
            <w:r>
              <w:rPr>
                <w:rFonts w:ascii="Arial" w:hAnsi="Arial" w:cs="Arial"/>
                <w:b/>
                <w:sz w:val="32"/>
              </w:rPr>
              <w:t>Экономический и Социальный Совет</w:t>
            </w:r>
          </w:p>
        </w:tc>
        <w:tc>
          <w:tcPr>
            <w:tcW w:w="3504" w:type="dxa"/>
            <w:tcBorders>
              <w:top w:val="single" w:sz="4" w:space="0" w:color="auto"/>
              <w:left w:val="nil"/>
              <w:bottom w:val="single" w:sz="36" w:space="0" w:color="auto"/>
              <w:right w:val="nil"/>
            </w:tcBorders>
            <w:vAlign w:val="center"/>
          </w:tcPr>
          <w:p w:rsidR="00000000" w:rsidRDefault="00000000">
            <w:pPr>
              <w:spacing w:before="12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rPr>
                <w:lang w:val="en-US"/>
              </w:rPr>
              <w:t>E/C.12/IND/5</w:t>
            </w:r>
          </w:p>
          <w:p w:rsidR="00000000" w:rsidRDefault="00000000">
            <w:pPr>
              <w:rPr>
                <w:lang w:val="en-US"/>
              </w:rPr>
            </w:pPr>
            <w:r>
              <w:rPr>
                <w:lang w:val="en-US"/>
              </w:rPr>
              <w:t>1 March 2007</w:t>
            </w:r>
          </w:p>
          <w:p w:rsidR="00000000" w:rsidRDefault="00000000">
            <w:pPr>
              <w:rPr>
                <w:lang w:val="en-US"/>
              </w:rPr>
            </w:pPr>
          </w:p>
          <w:p w:rsidR="00000000" w:rsidRDefault="00000000">
            <w:pPr>
              <w:spacing w:after="120"/>
              <w:rPr>
                <w:lang w:val="en-US"/>
              </w:rPr>
            </w:pPr>
            <w:r>
              <w:rPr>
                <w:lang w:val="en-US"/>
              </w:rPr>
              <w:t>RUSSIAN</w:t>
            </w:r>
            <w:r>
              <w:rPr>
                <w:lang w:val="en-US"/>
              </w:rPr>
              <w:br/>
              <w:t>Original: ENGLISH</w:t>
            </w:r>
          </w:p>
        </w:tc>
      </w:tr>
    </w:tbl>
    <w:p w:rsidR="00000000" w:rsidRDefault="00000000">
      <w:pPr>
        <w:rPr>
          <w:lang w:val="en-US"/>
        </w:rPr>
      </w:pPr>
    </w:p>
    <w:p w:rsidR="00000000" w:rsidRDefault="00000000">
      <w:r>
        <w:t>Основная сессия 2007 года</w:t>
      </w:r>
    </w:p>
    <w:p w:rsidR="00000000" w:rsidRDefault="00000000">
      <w:pPr>
        <w:pStyle w:val="Heading1"/>
        <w:spacing w:before="1560"/>
        <w:rPr>
          <w:lang w:val="ru-RU"/>
        </w:rPr>
      </w:pPr>
      <w:r>
        <w:rPr>
          <w:lang w:val="ru-RU"/>
        </w:rPr>
        <w:t>ОСУЩЕСТВЛЕНИЕ МЕЖДУНАРОДНОГО ПАКТА ОБ ЭКОНОМИЧЕСКИХ, СОЦИАЛЬНЫХ И КУЛЬТУРНЫХ ПРАВАХ</w:t>
      </w:r>
    </w:p>
    <w:p w:rsidR="00000000" w:rsidRDefault="00000000">
      <w:pPr>
        <w:pStyle w:val="Heading2"/>
        <w:rPr>
          <w:szCs w:val="23"/>
          <w:lang w:val="ru-RU"/>
        </w:rPr>
      </w:pPr>
      <w:r>
        <w:rPr>
          <w:bCs/>
          <w:szCs w:val="23"/>
          <w:lang w:val="ru-RU"/>
        </w:rPr>
        <w:t xml:space="preserve">Периодические доклады, представленные государствами-участниками </w:t>
      </w:r>
      <w:r>
        <w:rPr>
          <w:bCs/>
          <w:szCs w:val="23"/>
          <w:lang w:val="ru-RU"/>
        </w:rPr>
        <w:br/>
        <w:t>в соответствии со статьями 16 и 17 Пакта</w:t>
      </w:r>
    </w:p>
    <w:p w:rsidR="00000000" w:rsidRDefault="00000000">
      <w:pPr>
        <w:pStyle w:val="Heading1"/>
        <w:spacing w:before="840"/>
        <w:rPr>
          <w:b w:val="0"/>
          <w:sz w:val="24"/>
          <w:szCs w:val="24"/>
          <w:lang w:val="ru-RU"/>
        </w:rPr>
      </w:pPr>
      <w:r>
        <w:rPr>
          <w:b w:val="0"/>
          <w:caps w:val="0"/>
          <w:sz w:val="24"/>
          <w:szCs w:val="24"/>
          <w:lang w:val="ru-RU"/>
        </w:rPr>
        <w:t xml:space="preserve">Сводный второй, третий, четвертый и пятый периодический доклад </w:t>
      </w:r>
    </w:p>
    <w:p w:rsidR="00000000" w:rsidRDefault="00000000">
      <w:pPr>
        <w:pStyle w:val="Heading1"/>
        <w:rPr>
          <w:bCs/>
          <w:caps w:val="0"/>
          <w:szCs w:val="24"/>
          <w:lang w:val="ru-RU" w:eastAsia="ru-RU"/>
        </w:rPr>
      </w:pPr>
      <w:r>
        <w:rPr>
          <w:b w:val="0"/>
          <w:bCs/>
          <w:sz w:val="24"/>
          <w:szCs w:val="24"/>
          <w:lang w:val="ru-RU"/>
        </w:rPr>
        <w:t>ИНДИИ</w:t>
      </w:r>
      <w:r>
        <w:rPr>
          <w:sz w:val="24"/>
          <w:szCs w:val="24"/>
          <w:lang w:val="ru-RU"/>
        </w:rPr>
        <w:t xml:space="preserve"> </w:t>
      </w:r>
      <w:r>
        <w:rPr>
          <w:caps w:val="0"/>
          <w:position w:val="-2"/>
          <w:sz w:val="24"/>
          <w:szCs w:val="24"/>
          <w:vertAlign w:val="superscript"/>
          <w:lang w:val="ru-RU"/>
        </w:rPr>
        <w:t>*</w:t>
      </w:r>
      <w:r>
        <w:rPr>
          <w:sz w:val="24"/>
          <w:szCs w:val="24"/>
          <w:vertAlign w:val="superscript"/>
          <w:lang w:val="ru-RU"/>
        </w:rPr>
        <w:t xml:space="preserve"> </w:t>
      </w:r>
      <w:r>
        <w:rPr>
          <w:rStyle w:val="FootnoteReference"/>
          <w:bCs/>
          <w:caps w:val="0"/>
          <w:szCs w:val="24"/>
          <w:lang w:val="ru-RU" w:eastAsia="ru-RU"/>
        </w:rPr>
        <w:footnoteReference w:id="1"/>
        <w:t>**</w:t>
      </w:r>
    </w:p>
    <w:p w:rsidR="00000000" w:rsidRDefault="00000000">
      <w:pPr>
        <w:keepNext/>
        <w:spacing w:before="600" w:after="240"/>
        <w:jc w:val="right"/>
        <w:outlineLvl w:val="1"/>
        <w:rPr>
          <w:bCs/>
        </w:rPr>
      </w:pPr>
      <w:r>
        <w:rPr>
          <w:bCs/>
        </w:rPr>
        <w:t>[23 октября 2006 года]</w:t>
      </w:r>
    </w:p>
    <w:p w:rsidR="00000000" w:rsidRDefault="00000000"/>
    <w:p w:rsidR="00000000" w:rsidRDefault="00000000">
      <w:pPr>
        <w:jc w:val="center"/>
        <w:rPr>
          <w:b/>
          <w:sz w:val="20"/>
          <w:szCs w:val="20"/>
        </w:rPr>
      </w:pPr>
      <w:r>
        <w:br w:type="page"/>
      </w:r>
      <w:r>
        <w:rPr>
          <w:b/>
          <w:sz w:val="20"/>
          <w:szCs w:val="20"/>
        </w:rPr>
        <w:t>СОДЕРЖАНИЕ</w:t>
      </w:r>
    </w:p>
    <w:p w:rsidR="00000000" w:rsidRDefault="00000000">
      <w:pPr>
        <w:rPr>
          <w:sz w:val="20"/>
          <w:szCs w:val="20"/>
        </w:rPr>
      </w:pPr>
    </w:p>
    <w:p w:rsidR="00000000" w:rsidRDefault="00000000">
      <w:pPr>
        <w:pStyle w:val="a2"/>
        <w:rPr>
          <w:i/>
        </w:rPr>
      </w:pPr>
      <w:r>
        <w:tab/>
      </w:r>
      <w:r>
        <w:tab/>
      </w:r>
      <w:r>
        <w:rPr>
          <w:i/>
        </w:rPr>
        <w:t>Пункты</w:t>
      </w:r>
      <w:r>
        <w:rPr>
          <w:i/>
        </w:rPr>
        <w:tab/>
        <w:t>Стр.</w:t>
      </w:r>
    </w:p>
    <w:p w:rsidR="00000000" w:rsidRDefault="00000000">
      <w:pPr>
        <w:pStyle w:val="a2"/>
        <w:tabs>
          <w:tab w:val="center" w:leader="dot" w:pos="8222"/>
        </w:tabs>
        <w:rPr>
          <w:b/>
        </w:rPr>
      </w:pPr>
      <w:r>
        <w:rPr>
          <w:b/>
        </w:rPr>
        <w:t>Статья 6:  Право на труд</w:t>
      </w:r>
      <w:r>
        <w:rPr>
          <w:bCs/>
        </w:rPr>
        <w:tab/>
      </w:r>
      <w:r>
        <w:t>1–87</w:t>
      </w:r>
      <w:r>
        <w:tab/>
        <w:t>4</w:t>
      </w:r>
    </w:p>
    <w:p w:rsidR="00000000" w:rsidRDefault="00000000">
      <w:pPr>
        <w:pStyle w:val="a2"/>
        <w:tabs>
          <w:tab w:val="center" w:leader="dot" w:pos="8222"/>
        </w:tabs>
      </w:pPr>
      <w:r>
        <w:t xml:space="preserve">Раздел </w:t>
      </w:r>
      <w:r>
        <w:rPr>
          <w:lang w:val="en-US"/>
        </w:rPr>
        <w:t>I</w:t>
      </w:r>
      <w:r>
        <w:tab/>
        <w:t>Общие положения</w:t>
      </w:r>
      <w:r>
        <w:tab/>
        <w:t>7</w:t>
      </w:r>
      <w:r>
        <w:tab/>
        <w:t>5</w:t>
      </w:r>
    </w:p>
    <w:p w:rsidR="00000000" w:rsidRDefault="00000000">
      <w:pPr>
        <w:pStyle w:val="a2"/>
        <w:tabs>
          <w:tab w:val="center" w:leader="dot" w:pos="8222"/>
        </w:tabs>
      </w:pPr>
      <w:r>
        <w:t xml:space="preserve">Раздел </w:t>
      </w:r>
      <w:r>
        <w:rPr>
          <w:lang w:val="en-US"/>
        </w:rPr>
        <w:t>II</w:t>
      </w:r>
      <w:r>
        <w:tab/>
        <w:t>Тенденции в области занятости, безработицы и неполной занятости</w:t>
      </w:r>
      <w:r>
        <w:tab/>
        <w:t>8–18</w:t>
      </w:r>
      <w:r>
        <w:tab/>
        <w:t>6</w:t>
      </w:r>
    </w:p>
    <w:p w:rsidR="00000000" w:rsidRDefault="00000000">
      <w:pPr>
        <w:pStyle w:val="a2"/>
        <w:tabs>
          <w:tab w:val="center" w:leader="dot" w:pos="8222"/>
        </w:tabs>
        <w:ind w:left="1701" w:hanging="1701"/>
      </w:pPr>
      <w:r>
        <w:t xml:space="preserve">Раздел </w:t>
      </w:r>
      <w:r>
        <w:rPr>
          <w:lang w:val="en-US"/>
        </w:rPr>
        <w:t>III</w:t>
      </w:r>
      <w:r>
        <w:tab/>
        <w:t xml:space="preserve">Свобода выбора работы и недопущение дискриминации </w:t>
      </w:r>
      <w:r>
        <w:br/>
        <w:t>в сфере занятости</w:t>
      </w:r>
      <w:r>
        <w:tab/>
        <w:t>19–39</w:t>
      </w:r>
      <w:r>
        <w:tab/>
        <w:t>13</w:t>
      </w:r>
    </w:p>
    <w:p w:rsidR="00000000" w:rsidRDefault="00000000">
      <w:pPr>
        <w:pStyle w:val="a2"/>
        <w:tabs>
          <w:tab w:val="center" w:leader="dot" w:pos="8222"/>
        </w:tabs>
      </w:pPr>
      <w:r>
        <w:t xml:space="preserve">Раздел </w:t>
      </w:r>
      <w:r>
        <w:rPr>
          <w:lang w:val="en-US"/>
        </w:rPr>
        <w:t>IV</w:t>
      </w:r>
      <w:r>
        <w:tab/>
        <w:t xml:space="preserve">Политика и меры, осуществляемые в целях обеспечения занятости </w:t>
      </w:r>
      <w:r>
        <w:tab/>
        <w:t>40–64</w:t>
      </w:r>
      <w:r>
        <w:tab/>
        <w:t>20</w:t>
      </w:r>
    </w:p>
    <w:p w:rsidR="00000000" w:rsidRDefault="00000000">
      <w:pPr>
        <w:pStyle w:val="a2"/>
        <w:tabs>
          <w:tab w:val="center" w:leader="dot" w:pos="8222"/>
        </w:tabs>
      </w:pPr>
      <w:r>
        <w:t xml:space="preserve">Раздел </w:t>
      </w:r>
      <w:r>
        <w:rPr>
          <w:lang w:val="en-US"/>
        </w:rPr>
        <w:t>V</w:t>
      </w:r>
      <w:r>
        <w:tab/>
        <w:t>Производительность труда</w:t>
      </w:r>
      <w:r>
        <w:tab/>
        <w:t>65–76</w:t>
      </w:r>
      <w:r>
        <w:tab/>
        <w:t>26</w:t>
      </w:r>
    </w:p>
    <w:p w:rsidR="00000000" w:rsidRDefault="00000000">
      <w:pPr>
        <w:pStyle w:val="a2"/>
        <w:tabs>
          <w:tab w:val="center" w:leader="dot" w:pos="8222"/>
        </w:tabs>
      </w:pPr>
      <w:r>
        <w:t xml:space="preserve">Раздел </w:t>
      </w:r>
      <w:r>
        <w:rPr>
          <w:lang w:val="en-US"/>
        </w:rPr>
        <w:t>VI</w:t>
      </w:r>
      <w:r>
        <w:tab/>
        <w:t>Проблемы, с которыми сталкивается Индия, и достижения</w:t>
      </w:r>
      <w:r>
        <w:tab/>
        <w:t>77–83</w:t>
      </w:r>
      <w:r>
        <w:tab/>
        <w:t>30</w:t>
      </w:r>
    </w:p>
    <w:p w:rsidR="00000000" w:rsidRDefault="00000000">
      <w:pPr>
        <w:pStyle w:val="a2"/>
        <w:tabs>
          <w:tab w:val="center" w:leader="dot" w:pos="8222"/>
        </w:tabs>
      </w:pPr>
      <w:r>
        <w:t xml:space="preserve">Раздел </w:t>
      </w:r>
      <w:r>
        <w:rPr>
          <w:lang w:val="en-US"/>
        </w:rPr>
        <w:t>VII</w:t>
      </w:r>
      <w:r>
        <w:tab/>
        <w:t>Международная помощь</w:t>
      </w:r>
      <w:r>
        <w:tab/>
        <w:t>84–87</w:t>
      </w:r>
      <w:r>
        <w:tab/>
        <w:t>31</w:t>
      </w:r>
    </w:p>
    <w:p w:rsidR="00000000" w:rsidRDefault="00000000">
      <w:pPr>
        <w:pStyle w:val="a2"/>
        <w:tabs>
          <w:tab w:val="center" w:leader="dot" w:pos="8222"/>
        </w:tabs>
      </w:pPr>
    </w:p>
    <w:p w:rsidR="00000000" w:rsidRDefault="00000000">
      <w:pPr>
        <w:pStyle w:val="a2"/>
        <w:tabs>
          <w:tab w:val="center" w:leader="dot" w:pos="8222"/>
        </w:tabs>
        <w:rPr>
          <w:b/>
        </w:rPr>
      </w:pPr>
      <w:r>
        <w:rPr>
          <w:b/>
        </w:rPr>
        <w:t xml:space="preserve">Статья 7:  Право на справедливые и благоприятные условия труда </w:t>
      </w:r>
      <w:r>
        <w:tab/>
        <w:t>88–137</w:t>
      </w:r>
      <w:r>
        <w:tab/>
        <w:t>31</w:t>
      </w:r>
    </w:p>
    <w:p w:rsidR="00000000" w:rsidRDefault="00000000">
      <w:pPr>
        <w:pStyle w:val="a2"/>
        <w:tabs>
          <w:tab w:val="center" w:leader="dot" w:pos="8222"/>
        </w:tabs>
      </w:pPr>
      <w:r>
        <w:t xml:space="preserve">Раздел </w:t>
      </w:r>
      <w:r>
        <w:rPr>
          <w:lang w:val="en-US"/>
        </w:rPr>
        <w:t>I</w:t>
      </w:r>
      <w:r>
        <w:tab/>
        <w:t>Общие положения</w:t>
      </w:r>
      <w:r>
        <w:tab/>
        <w:t>90</w:t>
      </w:r>
      <w:r>
        <w:tab/>
        <w:t>32</w:t>
      </w:r>
    </w:p>
    <w:p w:rsidR="00000000" w:rsidRDefault="00000000">
      <w:pPr>
        <w:pStyle w:val="a2"/>
        <w:tabs>
          <w:tab w:val="center" w:leader="dot" w:pos="8222"/>
        </w:tabs>
        <w:ind w:left="1701" w:hanging="1701"/>
      </w:pPr>
      <w:r>
        <w:t xml:space="preserve">Раздел </w:t>
      </w:r>
      <w:r>
        <w:rPr>
          <w:lang w:val="en-US"/>
        </w:rPr>
        <w:t>II</w:t>
      </w:r>
      <w:r>
        <w:tab/>
        <w:t>Основные методы, используемые для установления фиксированной/</w:t>
      </w:r>
      <w:r>
        <w:br/>
        <w:t>минимальной заработной платы</w:t>
      </w:r>
      <w:r>
        <w:tab/>
        <w:t>91–112</w:t>
      </w:r>
      <w:r>
        <w:tab/>
        <w:t>33</w:t>
      </w:r>
    </w:p>
    <w:p w:rsidR="00000000" w:rsidRDefault="00000000">
      <w:pPr>
        <w:pStyle w:val="a2"/>
        <w:tabs>
          <w:tab w:val="center" w:leader="dot" w:pos="8222"/>
        </w:tabs>
      </w:pPr>
      <w:r>
        <w:t xml:space="preserve">Раздел </w:t>
      </w:r>
      <w:r>
        <w:rPr>
          <w:lang w:val="en-US"/>
        </w:rPr>
        <w:t>III</w:t>
      </w:r>
      <w:r>
        <w:tab/>
        <w:t>Равная плата за равный труд</w:t>
      </w:r>
      <w:r>
        <w:tab/>
        <w:t>113–117</w:t>
      </w:r>
      <w:r>
        <w:tab/>
        <w:t>39</w:t>
      </w:r>
    </w:p>
    <w:p w:rsidR="00000000" w:rsidRDefault="00000000">
      <w:pPr>
        <w:pStyle w:val="a2"/>
        <w:tabs>
          <w:tab w:val="center" w:leader="dot" w:pos="8222"/>
        </w:tabs>
      </w:pPr>
      <w:r>
        <w:t xml:space="preserve">Раздел </w:t>
      </w:r>
      <w:r>
        <w:rPr>
          <w:lang w:val="en-US"/>
        </w:rPr>
        <w:t>IV</w:t>
      </w:r>
      <w:r>
        <w:tab/>
        <w:t>Условия обеспечения гигиены и охраны труда</w:t>
      </w:r>
      <w:r>
        <w:tab/>
        <w:t>118–127</w:t>
      </w:r>
      <w:r>
        <w:tab/>
        <w:t>41</w:t>
      </w:r>
    </w:p>
    <w:p w:rsidR="00000000" w:rsidRDefault="00000000">
      <w:pPr>
        <w:pStyle w:val="a2"/>
        <w:tabs>
          <w:tab w:val="center" w:leader="dot" w:pos="8222"/>
        </w:tabs>
      </w:pPr>
      <w:r>
        <w:t xml:space="preserve">Раздел </w:t>
      </w:r>
      <w:r>
        <w:rPr>
          <w:lang w:val="en-US"/>
        </w:rPr>
        <w:t>V</w:t>
      </w:r>
      <w:r>
        <w:tab/>
        <w:t>Равные возможности для продвижения по службе</w:t>
      </w:r>
      <w:r>
        <w:tab/>
        <w:t>128–132</w:t>
      </w:r>
      <w:r>
        <w:tab/>
        <w:t>43</w:t>
      </w:r>
    </w:p>
    <w:p w:rsidR="00000000" w:rsidRDefault="00000000">
      <w:pPr>
        <w:pStyle w:val="a2"/>
        <w:tabs>
          <w:tab w:val="center" w:leader="dot" w:pos="8222"/>
        </w:tabs>
        <w:ind w:left="1701" w:hanging="1701"/>
      </w:pPr>
      <w:r>
        <w:t xml:space="preserve">Раздел </w:t>
      </w:r>
      <w:r>
        <w:rPr>
          <w:lang w:val="en-US"/>
        </w:rPr>
        <w:t>VI</w:t>
      </w:r>
      <w:r>
        <w:tab/>
        <w:t xml:space="preserve">Отдых, досуг, разумное ограничение рабочего времени, </w:t>
      </w:r>
      <w:r>
        <w:br/>
        <w:t xml:space="preserve">периодические оплачиваемые отпуска и оплата труда за дни </w:t>
      </w:r>
      <w:r>
        <w:br/>
        <w:t>государственных праздников</w:t>
      </w:r>
      <w:r>
        <w:tab/>
        <w:t>133–136</w:t>
      </w:r>
      <w:r>
        <w:tab/>
        <w:t>45</w:t>
      </w:r>
    </w:p>
    <w:p w:rsidR="00000000" w:rsidRDefault="00000000">
      <w:pPr>
        <w:pStyle w:val="a2"/>
        <w:tabs>
          <w:tab w:val="center" w:leader="dot" w:pos="8222"/>
        </w:tabs>
      </w:pPr>
      <w:r>
        <w:t xml:space="preserve">Раздел </w:t>
      </w:r>
      <w:r>
        <w:rPr>
          <w:lang w:val="en-US"/>
        </w:rPr>
        <w:t>VII</w:t>
      </w:r>
      <w:r>
        <w:tab/>
        <w:t>Международная помощь</w:t>
      </w:r>
      <w:r>
        <w:tab/>
        <w:t>137</w:t>
      </w:r>
      <w:r>
        <w:tab/>
        <w:t>46</w:t>
      </w:r>
    </w:p>
    <w:p w:rsidR="00000000" w:rsidRDefault="00000000">
      <w:pPr>
        <w:pStyle w:val="a2"/>
        <w:tabs>
          <w:tab w:val="center" w:leader="dot" w:pos="8222"/>
        </w:tabs>
      </w:pPr>
    </w:p>
    <w:p w:rsidR="00000000" w:rsidRDefault="00000000">
      <w:pPr>
        <w:pStyle w:val="a2"/>
        <w:tabs>
          <w:tab w:val="center" w:leader="dot" w:pos="8222"/>
        </w:tabs>
      </w:pPr>
      <w:r>
        <w:rPr>
          <w:b/>
        </w:rPr>
        <w:t>Статья 8:  Права профсоюзов</w:t>
      </w:r>
      <w:r>
        <w:t xml:space="preserve"> </w:t>
      </w:r>
      <w:r>
        <w:tab/>
        <w:t>138–173</w:t>
      </w:r>
      <w:r>
        <w:tab/>
        <w:t>46</w:t>
      </w:r>
    </w:p>
    <w:p w:rsidR="00000000" w:rsidRDefault="00000000">
      <w:pPr>
        <w:pStyle w:val="a2"/>
        <w:tabs>
          <w:tab w:val="center" w:leader="dot" w:pos="8222"/>
        </w:tabs>
      </w:pPr>
      <w:r>
        <w:t xml:space="preserve">Раздел </w:t>
      </w:r>
      <w:r>
        <w:rPr>
          <w:lang w:val="en-US"/>
        </w:rPr>
        <w:t>I</w:t>
      </w:r>
      <w:r>
        <w:tab/>
        <w:t>Общие положения</w:t>
      </w:r>
      <w:r>
        <w:tab/>
        <w:t>139–142</w:t>
      </w:r>
      <w:r>
        <w:tab/>
        <w:t>47</w:t>
      </w:r>
    </w:p>
    <w:p w:rsidR="00000000" w:rsidRDefault="00000000">
      <w:pPr>
        <w:pStyle w:val="a2"/>
        <w:tabs>
          <w:tab w:val="center" w:leader="dot" w:pos="8222"/>
        </w:tabs>
      </w:pPr>
      <w:r>
        <w:t xml:space="preserve">Раздел </w:t>
      </w:r>
      <w:r>
        <w:rPr>
          <w:lang w:val="en-US"/>
        </w:rPr>
        <w:t>II</w:t>
      </w:r>
      <w:r>
        <w:tab/>
        <w:t>Право на создание ассоциаций и коллективные переговоры</w:t>
      </w:r>
      <w:r>
        <w:tab/>
        <w:t>143–166</w:t>
      </w:r>
      <w:r>
        <w:tab/>
        <w:t>48</w:t>
      </w:r>
    </w:p>
    <w:p w:rsidR="00000000" w:rsidRDefault="00000000">
      <w:pPr>
        <w:pStyle w:val="a2"/>
        <w:tabs>
          <w:tab w:val="center" w:leader="dot" w:pos="8222"/>
        </w:tabs>
      </w:pPr>
      <w:r>
        <w:t xml:space="preserve">Раздел </w:t>
      </w:r>
      <w:r>
        <w:rPr>
          <w:lang w:val="en-US"/>
        </w:rPr>
        <w:t>III</w:t>
      </w:r>
      <w:r>
        <w:tab/>
        <w:t>Право на забастовку</w:t>
      </w:r>
      <w:r>
        <w:tab/>
        <w:t>167–173</w:t>
      </w:r>
      <w:r>
        <w:tab/>
        <w:t>55</w:t>
      </w:r>
    </w:p>
    <w:p w:rsidR="00000000" w:rsidRDefault="00000000">
      <w:pPr>
        <w:pStyle w:val="a2"/>
      </w:pPr>
    </w:p>
    <w:p w:rsidR="00000000" w:rsidRDefault="00000000">
      <w:pPr>
        <w:pStyle w:val="a2"/>
        <w:tabs>
          <w:tab w:val="clear" w:pos="8222"/>
          <w:tab w:val="center" w:leader="dot" w:pos="9356"/>
        </w:tabs>
        <w:rPr>
          <w:b/>
        </w:rPr>
      </w:pPr>
      <w:r>
        <w:rPr>
          <w:b/>
        </w:rPr>
        <w:t>Статья 9:  Право на социальное обеспечение</w:t>
      </w:r>
      <w:r>
        <w:rPr>
          <w:bCs/>
        </w:rPr>
        <w:tab/>
      </w:r>
      <w:r>
        <w:tab/>
        <w:t>57</w:t>
      </w:r>
    </w:p>
    <w:p w:rsidR="00000000" w:rsidRDefault="00000000">
      <w:pPr>
        <w:pStyle w:val="a2"/>
        <w:tabs>
          <w:tab w:val="center" w:leader="dot" w:pos="8222"/>
        </w:tabs>
        <w:ind w:left="1701" w:hanging="1701"/>
      </w:pPr>
      <w:r>
        <w:tab/>
        <w:t xml:space="preserve">Фонды страхования трудящихся. Планы пенсионного обеспечения </w:t>
      </w:r>
      <w:r>
        <w:br/>
        <w:t xml:space="preserve">семей персонала. Закон о материнских льготах. Закон о выходных </w:t>
      </w:r>
      <w:r>
        <w:br/>
        <w:t>пособиях. Пособия по безработице. Международная помощь</w:t>
      </w:r>
      <w:r>
        <w:tab/>
        <w:t>174–205</w:t>
      </w:r>
      <w:r>
        <w:tab/>
        <w:t>57</w:t>
      </w:r>
    </w:p>
    <w:p w:rsidR="00000000" w:rsidRDefault="00000000">
      <w:pPr>
        <w:pStyle w:val="a2"/>
        <w:tabs>
          <w:tab w:val="center" w:leader="dot" w:pos="8222"/>
        </w:tabs>
      </w:pPr>
    </w:p>
    <w:p w:rsidR="00000000" w:rsidRDefault="00000000">
      <w:pPr>
        <w:pStyle w:val="a2"/>
        <w:tabs>
          <w:tab w:val="clear" w:pos="8222"/>
          <w:tab w:val="center" w:leader="dot" w:pos="9356"/>
        </w:tabs>
      </w:pPr>
      <w:r>
        <w:rPr>
          <w:b/>
        </w:rPr>
        <w:t xml:space="preserve">Статья 10:  Охрана семьи </w:t>
      </w:r>
      <w:r>
        <w:tab/>
      </w:r>
      <w:r>
        <w:tab/>
        <w:t>69</w:t>
      </w:r>
    </w:p>
    <w:p w:rsidR="00000000" w:rsidRDefault="00000000">
      <w:pPr>
        <w:pStyle w:val="a2"/>
        <w:tabs>
          <w:tab w:val="center" w:leader="dot" w:pos="8222"/>
        </w:tabs>
        <w:ind w:left="1701" w:hanging="1701"/>
      </w:pPr>
      <w:r>
        <w:tab/>
        <w:t xml:space="preserve">Семья и брак в Индии. Охрана семьи. Охрана материнства и детства. </w:t>
      </w:r>
      <w:r>
        <w:br/>
        <w:t xml:space="preserve">Программа охраны репродуктивного здоровья и здоровья детей. </w:t>
      </w:r>
      <w:r>
        <w:br/>
        <w:t xml:space="preserve">Национальный план действий в интересах детей. Защита и развитие </w:t>
      </w:r>
      <w:r>
        <w:br/>
        <w:t xml:space="preserve">детей.  Детский труд. Детская инвалидность. Нуждающиеся дети </w:t>
      </w:r>
      <w:r>
        <w:br/>
        <w:t xml:space="preserve">и несовершеннолетние преступники. Положение девочек. </w:t>
      </w:r>
      <w:r>
        <w:br/>
        <w:t>Детская проституция</w:t>
      </w:r>
      <w:r>
        <w:tab/>
        <w:t>206–339</w:t>
      </w:r>
      <w:r>
        <w:tab/>
        <w:t>69</w:t>
      </w:r>
    </w:p>
    <w:p w:rsidR="00000000" w:rsidRDefault="00000000">
      <w:pPr>
        <w:pStyle w:val="a2"/>
        <w:tabs>
          <w:tab w:val="center" w:leader="dot" w:pos="8222"/>
        </w:tabs>
      </w:pPr>
    </w:p>
    <w:p w:rsidR="00000000" w:rsidRDefault="00000000">
      <w:pPr>
        <w:pStyle w:val="a2"/>
        <w:tabs>
          <w:tab w:val="clear" w:pos="8222"/>
          <w:tab w:val="center" w:leader="dot" w:pos="9356"/>
        </w:tabs>
      </w:pPr>
      <w:r>
        <w:rPr>
          <w:b/>
        </w:rPr>
        <w:t xml:space="preserve">Статья 11:  Право на достаточный жизненный уровень </w:t>
      </w:r>
      <w:r>
        <w:tab/>
      </w:r>
      <w:r>
        <w:tab/>
        <w:t>96</w:t>
      </w:r>
    </w:p>
    <w:p w:rsidR="00000000" w:rsidRDefault="00000000">
      <w:pPr>
        <w:pStyle w:val="a2"/>
        <w:tabs>
          <w:tab w:val="center" w:leader="dot" w:pos="8222"/>
        </w:tabs>
        <w:ind w:left="1701" w:hanging="1701"/>
      </w:pPr>
      <w:r>
        <w:tab/>
        <w:t xml:space="preserve">Развитие человеческого потенциала и условия жизни. Показатели </w:t>
      </w:r>
      <w:r>
        <w:br/>
        <w:t xml:space="preserve">на нынешнем этапе уровня жизни. Индекс развития человеческого </w:t>
      </w:r>
      <w:r>
        <w:br/>
        <w:t>потенциала и индекс равенства полов. Продовольственная безопасность.</w:t>
      </w:r>
      <w:r>
        <w:br/>
        <w:t xml:space="preserve">Учет и рациональное использование продуктов питания. Программы </w:t>
      </w:r>
      <w:r>
        <w:br/>
        <w:t xml:space="preserve">борьбы с голодом и недоеданием. Земельные реформы. Жилье/кров. </w:t>
      </w:r>
      <w:r>
        <w:br/>
        <w:t xml:space="preserve">Право на жилище. Правовые реформы. Технологические инициативы. </w:t>
      </w:r>
      <w:r>
        <w:br/>
        <w:t xml:space="preserve">Планы обеспечения жильем. Снабжение питьевой водой. </w:t>
      </w:r>
      <w:r>
        <w:br/>
        <w:t xml:space="preserve">Электрификация. Дорожная сеть. Урбанизация. Международное </w:t>
      </w:r>
      <w:r>
        <w:br/>
        <w:t>сотрудничество</w:t>
      </w:r>
      <w:r>
        <w:tab/>
        <w:t>340–472</w:t>
      </w:r>
      <w:r>
        <w:tab/>
        <w:t>96</w:t>
      </w:r>
    </w:p>
    <w:p w:rsidR="00000000" w:rsidRDefault="00000000">
      <w:pPr>
        <w:pStyle w:val="a2"/>
        <w:tabs>
          <w:tab w:val="center" w:leader="dot" w:pos="8222"/>
        </w:tabs>
      </w:pPr>
    </w:p>
    <w:p w:rsidR="00000000" w:rsidRDefault="00000000">
      <w:pPr>
        <w:pStyle w:val="a2"/>
        <w:tabs>
          <w:tab w:val="clear" w:pos="8222"/>
          <w:tab w:val="center" w:leader="dot" w:pos="9356"/>
        </w:tabs>
      </w:pPr>
      <w:r>
        <w:rPr>
          <w:b/>
        </w:rPr>
        <w:t xml:space="preserve">Статья 12:  Право на физическое и психическое здоровье </w:t>
      </w:r>
      <w:r>
        <w:tab/>
      </w:r>
      <w:r>
        <w:tab/>
        <w:t>126</w:t>
      </w:r>
    </w:p>
    <w:p w:rsidR="00000000" w:rsidRDefault="00000000">
      <w:pPr>
        <w:pStyle w:val="a2"/>
        <w:tabs>
          <w:tab w:val="center" w:leader="dot" w:pos="8222"/>
        </w:tabs>
        <w:ind w:left="1701" w:hanging="1701"/>
      </w:pPr>
      <w:r>
        <w:tab/>
        <w:t xml:space="preserve">Показатели состояния здоровья. Система предоставления медицинских </w:t>
      </w:r>
      <w:r>
        <w:br/>
        <w:t xml:space="preserve">услуг. Медицинское образование и медицинские исследования. </w:t>
      </w:r>
      <w:r>
        <w:br/>
        <w:t xml:space="preserve">Производство лекарств. Охрана окружающей среды. Программы </w:t>
      </w:r>
      <w:r>
        <w:br/>
        <w:t xml:space="preserve">борьбы с различными (инфекционными и неинфекционными) </w:t>
      </w:r>
      <w:r>
        <w:br/>
        <w:t xml:space="preserve">заболеваниями. Охрана психического здоровья. Охрана здоровья </w:t>
      </w:r>
      <w:r>
        <w:br/>
        <w:t xml:space="preserve">матери и ребенка. Медицинское страхование. Права и обязанности </w:t>
      </w:r>
      <w:r>
        <w:br/>
        <w:t>пациентов</w:t>
      </w:r>
      <w:r>
        <w:tab/>
        <w:t>473–571</w:t>
      </w:r>
      <w:r>
        <w:tab/>
        <w:t>126</w:t>
      </w:r>
    </w:p>
    <w:p w:rsidR="00000000" w:rsidRDefault="00000000">
      <w:pPr>
        <w:pStyle w:val="a2"/>
        <w:tabs>
          <w:tab w:val="center" w:leader="dot" w:pos="8222"/>
        </w:tabs>
      </w:pPr>
    </w:p>
    <w:p w:rsidR="00000000" w:rsidRDefault="00000000">
      <w:pPr>
        <w:pStyle w:val="a2"/>
        <w:tabs>
          <w:tab w:val="clear" w:pos="8222"/>
          <w:tab w:val="center" w:leader="dot" w:pos="9356"/>
        </w:tabs>
      </w:pPr>
      <w:r>
        <w:rPr>
          <w:b/>
        </w:rPr>
        <w:t xml:space="preserve">Статьи 13 и 14:  Право на образование </w:t>
      </w:r>
      <w:r>
        <w:tab/>
      </w:r>
      <w:r>
        <w:tab/>
        <w:t>150</w:t>
      </w:r>
    </w:p>
    <w:p w:rsidR="00000000" w:rsidRDefault="00000000">
      <w:pPr>
        <w:pStyle w:val="a2"/>
        <w:tabs>
          <w:tab w:val="center" w:leader="dot" w:pos="8222"/>
        </w:tabs>
        <w:ind w:left="1701" w:hanging="1701"/>
      </w:pPr>
      <w:r>
        <w:tab/>
        <w:t xml:space="preserve">Равный доступ ко всем уровням образования. Школьная система. </w:t>
      </w:r>
      <w:r>
        <w:br/>
        <w:t xml:space="preserve">Структура образования. Льготы в области образования. Школьное </w:t>
      </w:r>
      <w:r>
        <w:br/>
        <w:t xml:space="preserve">образование для девочек. Начальное образование.  Официальные </w:t>
      </w:r>
      <w:r>
        <w:br/>
        <w:t xml:space="preserve">программы начального образования. Сарва Шикша Абхиян. Среднее </w:t>
      </w:r>
      <w:r>
        <w:br/>
        <w:t xml:space="preserve">образование. Профессионально-техническое образование. Высшее </w:t>
      </w:r>
      <w:r>
        <w:br/>
        <w:t xml:space="preserve">образование. Программа дистанционного обучения. Образование </w:t>
      </w:r>
      <w:r>
        <w:br/>
        <w:t xml:space="preserve">для взрослых. Расходы на образование. Уровень грамотности. Отсев </w:t>
      </w:r>
      <w:r>
        <w:br/>
        <w:t xml:space="preserve">учащихся. Языки и средства преподавания в школах.  Материальное </w:t>
      </w:r>
      <w:r>
        <w:br/>
        <w:t xml:space="preserve">положение учителей. Роль неправительственных организаций. </w:t>
      </w:r>
      <w:r>
        <w:br/>
        <w:t xml:space="preserve">Трудности в деле осуществления права на образование. Роль </w:t>
      </w:r>
      <w:r>
        <w:br/>
        <w:t>международной помощи</w:t>
      </w:r>
      <w:r>
        <w:tab/>
        <w:t>572–674</w:t>
      </w:r>
      <w:r>
        <w:tab/>
        <w:t>150</w:t>
      </w:r>
    </w:p>
    <w:p w:rsidR="00000000" w:rsidRDefault="00000000">
      <w:pPr>
        <w:pStyle w:val="a2"/>
        <w:tabs>
          <w:tab w:val="center" w:leader="dot" w:pos="8222"/>
        </w:tabs>
      </w:pPr>
    </w:p>
    <w:p w:rsidR="00000000" w:rsidRDefault="00000000">
      <w:pPr>
        <w:pStyle w:val="a2"/>
        <w:tabs>
          <w:tab w:val="clear" w:pos="8222"/>
          <w:tab w:val="center" w:leader="dot" w:pos="9356"/>
        </w:tabs>
      </w:pPr>
      <w:r>
        <w:rPr>
          <w:b/>
        </w:rPr>
        <w:t xml:space="preserve">Статья 15:  Право участвовать в культурной жизни и пользоваться результатами </w:t>
      </w:r>
      <w:r>
        <w:rPr>
          <w:b/>
        </w:rPr>
        <w:br/>
        <w:t xml:space="preserve">научного прогресса </w:t>
      </w:r>
      <w:r>
        <w:tab/>
      </w:r>
      <w:r>
        <w:tab/>
        <w:t>182</w:t>
      </w:r>
    </w:p>
    <w:p w:rsidR="00000000" w:rsidRDefault="00000000">
      <w:pPr>
        <w:pStyle w:val="a2"/>
        <w:tabs>
          <w:tab w:val="center" w:leader="dot" w:pos="8222"/>
        </w:tabs>
        <w:ind w:left="1701" w:hanging="1701"/>
      </w:pPr>
      <w:r>
        <w:tab/>
        <w:t xml:space="preserve">Изящные искусства, музыка, танец, драма. Археология. Музеи </w:t>
      </w:r>
      <w:r>
        <w:br/>
        <w:t xml:space="preserve">и библиотеки. Стипендии и финансовая помощь. Средства массовой </w:t>
      </w:r>
      <w:r>
        <w:br/>
        <w:t xml:space="preserve">информации в сфере культуры. Наука и техника. Развитие </w:t>
      </w:r>
      <w:r>
        <w:br/>
        <w:t xml:space="preserve">инфраструктуры. Развитие людских ресурсов. Программы </w:t>
      </w:r>
      <w:r>
        <w:br/>
        <w:t xml:space="preserve">технологического развития. Развитие предпринимательства. </w:t>
      </w:r>
      <w:r>
        <w:br/>
        <w:t>Социальные программы. Международное сотрудничество</w:t>
      </w:r>
      <w:r>
        <w:tab/>
        <w:t>675–781</w:t>
      </w:r>
      <w:r>
        <w:tab/>
        <w:t>182</w:t>
      </w:r>
    </w:p>
    <w:p w:rsidR="00000000" w:rsidRDefault="00000000">
      <w:pPr>
        <w:jc w:val="center"/>
        <w:rPr>
          <w:b/>
          <w:bCs/>
          <w:sz w:val="24"/>
        </w:rPr>
      </w:pPr>
      <w:r>
        <w:rPr>
          <w:rStyle w:val="111"/>
        </w:rPr>
        <w:br w:type="page"/>
      </w:r>
      <w:r>
        <w:rPr>
          <w:b/>
          <w:bCs/>
          <w:sz w:val="24"/>
        </w:rPr>
        <w:t>Статья 6</w:t>
      </w:r>
    </w:p>
    <w:p w:rsidR="00000000" w:rsidRDefault="00000000">
      <w:pPr>
        <w:jc w:val="center"/>
        <w:rPr>
          <w:b/>
          <w:bCs/>
          <w:sz w:val="24"/>
        </w:rPr>
      </w:pPr>
    </w:p>
    <w:p w:rsidR="00000000" w:rsidRDefault="00000000">
      <w:pPr>
        <w:jc w:val="center"/>
        <w:rPr>
          <w:b/>
          <w:bCs/>
          <w:sz w:val="24"/>
        </w:rPr>
      </w:pPr>
      <w:r>
        <w:rPr>
          <w:b/>
          <w:bCs/>
          <w:sz w:val="24"/>
        </w:rPr>
        <w:t>Право на труд</w:t>
      </w:r>
    </w:p>
    <w:p w:rsidR="00000000" w:rsidRDefault="00000000">
      <w:pPr>
        <w:rPr>
          <w:b/>
          <w:bCs/>
          <w:sz w:val="24"/>
        </w:rPr>
      </w:pPr>
    </w:p>
    <w:p w:rsidR="00000000" w:rsidRDefault="00000000">
      <w:pPr>
        <w:jc w:val="both"/>
        <w:rPr>
          <w:rStyle w:val="111"/>
        </w:rPr>
      </w:pPr>
      <w:r>
        <w:rPr>
          <w:rStyle w:val="111"/>
        </w:rPr>
        <w:t>1.</w:t>
      </w:r>
      <w:r>
        <w:rPr>
          <w:rStyle w:val="111"/>
        </w:rPr>
        <w:tab/>
        <w:t>Право на труд и его осуществление закреплено в Конституции Индии и в трудовом законодательстве.  Индийские пятилетние планы</w:t>
      </w:r>
      <w:r>
        <w:rPr>
          <w:rStyle w:val="FootnoteReference"/>
        </w:rPr>
        <w:footnoteReference w:customMarkFollows="1" w:id="2"/>
        <w:t>1</w:t>
      </w:r>
      <w:r>
        <w:rPr>
          <w:rStyle w:val="111"/>
        </w:rPr>
        <w:t xml:space="preserve"> и программы разработаны таким образом, чтобы придать этим правам реальное значение и создать соответствующие возможности для получения работы и проч.  Эти планы и программы осуществляются в рамках экономики смешанного типа и дополняются политикой либерализации.</w:t>
      </w:r>
    </w:p>
    <w:p w:rsidR="00000000" w:rsidRDefault="00000000">
      <w:pPr>
        <w:pStyle w:val="112"/>
      </w:pPr>
      <w:r>
        <w:t>2.</w:t>
      </w:r>
      <w:r>
        <w:tab/>
        <w:t>В 1980-е годы прошлого столетия в Индии значительно возросла безработица.  В этой связи в 1990-е годы правительство Индии выработало новый, ориентированный на занятость подход к вопросам развития и сокращения масштабов нищеты, предполагающий постоянную взаимосвязь между исследовательской работой, анализом политики и оперативной деятельностью.  С тех пор в области обеспечения занятости и производительности труда был достигнут значительный прогресс.</w:t>
      </w:r>
    </w:p>
    <w:p w:rsidR="00000000" w:rsidRDefault="00000000">
      <w:pPr>
        <w:pStyle w:val="112"/>
        <w:spacing w:before="160"/>
      </w:pPr>
      <w:r>
        <w:t>3.</w:t>
      </w:r>
      <w:r>
        <w:tab/>
        <w:t>Политика Индии в сфере труда преследует цель обеспечения полной занятости как основного приоритета экономической и социальной политики и позволяет всем мужчинам и женщинам обеспечить себе надежные и стабильные средства к существованию путем свободного выбора продуктивной сферы занятости и работы.  Наряду с расширением занятости произошли кардинальные изменения в признании динамической ценности возможности трудоустройства – проблемы, решаемой посредством развития системы профессионально-технической подготовки.  Правительство Индии поставило задачу создания рабочих мест в центр стратегий и политики при полном соблюдении прав трудящихся и широком участии работодателей, трудящихся и их соответствующих организаций.  Стоит отметить, что именно такое содержание политики закреплено в Конституции Индии.</w:t>
      </w:r>
    </w:p>
    <w:p w:rsidR="00000000" w:rsidRDefault="00000000">
      <w:pPr>
        <w:pStyle w:val="112"/>
        <w:spacing w:before="160"/>
        <w:rPr>
          <w:rStyle w:val="111"/>
        </w:rPr>
      </w:pPr>
      <w:r>
        <w:t>4.</w:t>
      </w:r>
      <w:r>
        <w:tab/>
        <w:t>Свобода труда и право на экономическую безопасность являются двумя основными элементами программ обеспечения занятости в Индии.  Часть </w:t>
      </w:r>
      <w:r>
        <w:rPr>
          <w:lang w:val="en-US"/>
        </w:rPr>
        <w:t>III</w:t>
      </w:r>
      <w:r>
        <w:t xml:space="preserve"> и часть </w:t>
      </w:r>
      <w:r>
        <w:rPr>
          <w:lang w:val="en-US"/>
        </w:rPr>
        <w:t>IV</w:t>
      </w:r>
      <w:r>
        <w:t xml:space="preserve"> Конституции </w:t>
      </w:r>
      <w:r>
        <w:rPr>
          <w:rStyle w:val="111"/>
        </w:rPr>
        <w:t>Индии закрепляют право на труд</w:t>
      </w:r>
      <w:r>
        <w:rPr>
          <w:rStyle w:val="FootnoteReference"/>
        </w:rPr>
        <w:footnoteReference w:customMarkFollows="1" w:id="3"/>
        <w:t>2</w:t>
      </w:r>
      <w:r>
        <w:t xml:space="preserve">. </w:t>
      </w:r>
      <w:r>
        <w:rPr>
          <w:rStyle w:val="111"/>
        </w:rPr>
        <w:t>Вместе с тем на различных международных форумах правительство Индии выражало обеспокоенность в связи с программами бюджетной стабилизации и структурной корректировки</w:t>
      </w:r>
      <w:r>
        <w:t xml:space="preserve"> </w:t>
      </w:r>
      <w:r>
        <w:rPr>
          <w:rStyle w:val="111"/>
        </w:rPr>
        <w:t>Международного валютного фонда и Всемирного банка, которые имеют неоднозначные последствия для права на труд. В частности, дерегулирование рынка труда отражается на правах на достаточные средства к существованию (статья 39 а) Конституции Индии), труд (статья 41), государственную помощь и социальное обеспечение (статья 41), прожиточный минимум (статья 43), а также на справедливые и гуманные условия труда (статья 42).</w:t>
      </w:r>
    </w:p>
    <w:p w:rsidR="00000000" w:rsidRDefault="00000000">
      <w:pPr>
        <w:pStyle w:val="112"/>
        <w:spacing w:before="160" w:after="80"/>
      </w:pPr>
      <w:r>
        <w:t>5.</w:t>
      </w:r>
      <w:r>
        <w:tab/>
        <w:t>Разработка и осуществление программы обеспечения занятости не являются исключительной прерогативой министерства труда.  В соответствии с Конституцией Индии вопросы труда включены в Список совместных полномочий, согласно которому и центральное правительство, и правительства штатов имеют право принимать нормативно-правовые акты по этим вопросам, за исключением некоторых аспектов, остающихся в компетенции Центра.  В своих усилия Индия исходит из признания того, что проблемы обеспечения занятости необходимо рассматривать в новом контексте быстрой глобализации мировой экономики.</w:t>
      </w:r>
    </w:p>
    <w:p w:rsidR="00000000" w:rsidRDefault="00000000">
      <w:pPr>
        <w:pStyle w:val="112"/>
        <w:spacing w:before="280"/>
      </w:pPr>
      <w:r>
        <w:t>6.</w:t>
      </w:r>
      <w:r>
        <w:tab/>
        <w:t xml:space="preserve">Правительство Индии полно решимости добиваться обеспечения занятости, и эта решимость отражена в его различных планах.  Основной особенностью Шестого пятилетнего плана (1980–1985 годы) являлось начало осуществления таких программ обеспечения занятости, как Национальная программа обеспечения занятости в сельских районах, Программа гарантированной занятости для безземельных крестьян в сельских районах, Комплексная программа развития сельских районов, План профессиональной подготовки сельской молодежи для обеспечения самозанятости, Программа самозанятости для образованной безработной молодежи и т. д.  В Седьмом пятилетнем плане (1985–1990 годы) акцент был сделан на создании рабочих мест в сельской местности, необходимости более эффективного использования имеющихся мощностей, повышении эффективности и производительности труда на городских предприятиях, реабилитации трудящихся в медицинских пунктах, улучшении производственных отношений, повышении уровня безопасности на производстве, проведении надлежащей политики в области заработной платы, ставящей своей основной целью увеличение уровня реальных доходов в зависимости от повышения производительности труда.  Восьмой пятилетний план (1990–1995 годы) также ставил задачу повышения производительности труда.  Девятый и десятый планы предусматривали осуществление мер по выявлению, освобождению и реабилитации трудящихся, работающих на кабальных условиях, усиление защиты трудящихся-мигрантов и решение проблем, связанных с детским трудом.  </w:t>
      </w:r>
      <w:r>
        <w:br/>
        <w:t xml:space="preserve">С 1992 года в двух планах, принятых после начала глобализации, были отражены потребности, возникающие в связи с глобализацией.  До настоящего времени правительство Индии назначало две национальные комиссии по вопросам труда (одну – в 1966 году и вторую – в 1999 году) для пересмотра программ и планов индийского правительства по обеспечению занятости и связанных с этим сфер трудового законодательства.  Доклад первой Комиссии был представлен правительству в 1969 году, а второй – в 2002 году.  В соответствии с  Десятым пятилетним планом было образовано шесть рабочих групп по вопросам труда и занятости:  </w:t>
      </w:r>
      <w:r>
        <w:rPr>
          <w:lang w:val="en-US"/>
        </w:rPr>
        <w:t>i</w:t>
      </w:r>
      <w:r>
        <w:t xml:space="preserve">)  по планированию и политике в области обеспечения занятости; </w:t>
      </w:r>
      <w:r>
        <w:rPr>
          <w:lang w:val="en-US"/>
        </w:rPr>
        <w:t>ii</w:t>
      </w:r>
      <w:r>
        <w:t xml:space="preserve">) по повышению квалификации и профессиональной подготовке;  </w:t>
      </w:r>
      <w:r>
        <w:rPr>
          <w:lang w:val="en-US"/>
        </w:rPr>
        <w:t>iii</w:t>
      </w:r>
      <w:r>
        <w:t xml:space="preserve">)  по законам и другим нормативным актам в сфере труда;  </w:t>
      </w:r>
      <w:r>
        <w:rPr>
          <w:lang w:val="en-US"/>
        </w:rPr>
        <w:t>iv</w:t>
      </w:r>
      <w:r>
        <w:t xml:space="preserve">)   по социальному обеспечению;  </w:t>
      </w:r>
      <w:r>
        <w:rPr>
          <w:lang w:val="en-US"/>
        </w:rPr>
        <w:t>v</w:t>
      </w:r>
      <w:r>
        <w:t xml:space="preserve">)  по уязвимым группам экономически активного населения и </w:t>
      </w:r>
      <w:r>
        <w:rPr>
          <w:lang w:val="en-US"/>
        </w:rPr>
        <w:t>vi</w:t>
      </w:r>
      <w:r>
        <w:t>)  по гигиене и охране труда.  В докладах этих рабочих групп были обозначены сферы, на которых необходимо сосредоточить больше внимания в период осуществления плана.</w:t>
      </w:r>
    </w:p>
    <w:p w:rsidR="00000000" w:rsidRDefault="00000000">
      <w:pPr>
        <w:jc w:val="both"/>
        <w:rPr>
          <w:b/>
          <w:bCs/>
          <w:sz w:val="24"/>
        </w:rPr>
      </w:pPr>
    </w:p>
    <w:p w:rsidR="00000000" w:rsidRDefault="00000000">
      <w:pPr>
        <w:spacing w:before="240"/>
        <w:jc w:val="both"/>
        <w:rPr>
          <w:b/>
          <w:bCs/>
          <w:sz w:val="24"/>
        </w:rPr>
      </w:pPr>
      <w:r>
        <w:rPr>
          <w:b/>
          <w:bCs/>
          <w:sz w:val="24"/>
        </w:rPr>
        <w:t xml:space="preserve">Раздел </w:t>
      </w:r>
      <w:r>
        <w:rPr>
          <w:b/>
          <w:bCs/>
          <w:sz w:val="24"/>
          <w:lang w:val="en-US"/>
        </w:rPr>
        <w:t>I</w:t>
      </w:r>
    </w:p>
    <w:p w:rsidR="00000000" w:rsidRDefault="00000000">
      <w:pPr>
        <w:jc w:val="both"/>
        <w:rPr>
          <w:b/>
          <w:bCs/>
          <w:sz w:val="24"/>
        </w:rPr>
      </w:pPr>
    </w:p>
    <w:p w:rsidR="00000000" w:rsidRDefault="00000000">
      <w:pPr>
        <w:pStyle w:val="112"/>
        <w:spacing w:before="0"/>
      </w:pPr>
      <w:r>
        <w:t>7.</w:t>
      </w:r>
      <w:r>
        <w:tab/>
        <w:t>а)</w:t>
      </w:r>
      <w:r>
        <w:tab/>
        <w:t>Конвенция МОТ 1964 года (№ 122) о политике в области занятости, в которой, в частности, рассматриваются вопросы обеспечения полной, производительной и свободно избираемой занятости, была ратифицирована Индией 17 ноября 1998 года.  Комитет экспертов по применению конвенций и рекомендаций (</w:t>
      </w:r>
      <w:r>
        <w:rPr>
          <w:lang w:val="en-US"/>
        </w:rPr>
        <w:t>CEACR</w:t>
      </w:r>
      <w:r>
        <w:t xml:space="preserve">) МОТ провел Общее обследование по вопросу о правовом документе, касающемся политики стран-членов в области обеспечения занятости и профессиональной подготовки. На девяносто второй сессии Международной конференции труда в 2004 году рассматривались отчеты по обследованию государств-участников по третьему пункту повестки дня, и было выражено удовлетворение докладом, представленным Индией.  В приложении III к </w:t>
      </w:r>
      <w:r>
        <w:rPr>
          <w:caps/>
        </w:rPr>
        <w:t>о</w:t>
      </w:r>
      <w:r>
        <w:t>бщему обследованию (запрошенные и полученные доклады) Индия фигурирует среди стран, которые представили свои доклады.</w:t>
      </w:r>
    </w:p>
    <w:p w:rsidR="00000000" w:rsidRDefault="00000000">
      <w:pPr>
        <w:pStyle w:val="112"/>
      </w:pPr>
      <w:r>
        <w:tab/>
        <w:t>b)</w:t>
      </w:r>
      <w:r>
        <w:tab/>
        <w:t>Конвенция МОТ 1958 года о дискриминации в области труда и занятий (№ 111), направленная на устранение дискриминации в сфере труда и профессиональной деятельности, была ратифицирована Индией 3 июня 1960 года.  Ратификация этой Конвенции, являющейся одной из ключевых конвенций МОТ, ясно свидетельствует о решимости Индии соблюдать и поощрять основополагающие принципы и права в области труда.  В Глобальных докладах за 2000, 2001, 2003 и 2004 годы отмечалось, что Индия не должна представлять годовой доклад.  Однако Индия представила свои отдельные доклады в 2003, 1999, 1998 и 1994 годах  и т. д.  В этих докладах содержится информация о последних соответствующих судебных решениях, а также о планах и политике правительства.  В Разделе III настоящего доклада приводится дополнительная информация о недопущении дискриминации в сфере занятости в Индии.</w:t>
      </w:r>
    </w:p>
    <w:p w:rsidR="00000000" w:rsidRDefault="00000000">
      <w:pPr>
        <w:pStyle w:val="112"/>
      </w:pPr>
      <w:r>
        <w:tab/>
        <w:t>с)</w:t>
      </w:r>
      <w:r>
        <w:tab/>
        <w:t>Индия присоединилась к Международной конвенции о ликвидации всех форм расовой дискриминации путем ее ратификации 3 декабря 1968 года.  Индия направила сведенные в единый документ периодические доклады с 10-го по 14-й, которые она должна была представить, соответственно, 5 июня 1988, 1990, 1992, 1994 и 1996 годов.  В настоящее время идет подготовка очередного периодического доклада, который должен был быть представлен 4 января 1998 года.</w:t>
      </w:r>
    </w:p>
    <w:p w:rsidR="00000000" w:rsidRDefault="00000000">
      <w:pPr>
        <w:pStyle w:val="112"/>
      </w:pPr>
      <w:r>
        <w:tab/>
        <w:t>d)</w:t>
      </w:r>
      <w:r>
        <w:tab/>
        <w:t>Международная конвенция о ликвидации всех форм дискриминации в отношении женщин, в которой конкретно рассматриваются вопросы ликвидации всех форм дискриминации в отношении женщин, была подписана Индией 30 июля 1980 года и ратифицирована 9 июля 1993 года.  Свой первоначальный доклад в КЛДЖ Индия представила в 2000 году.  Сводный второй и третий периодический доклад был направлен в КЛДЖ в августе 2005 года.</w:t>
      </w:r>
    </w:p>
    <w:p w:rsidR="00000000" w:rsidRDefault="00000000">
      <w:pPr>
        <w:pStyle w:val="112"/>
        <w:spacing w:before="0"/>
      </w:pPr>
    </w:p>
    <w:p w:rsidR="00000000" w:rsidRDefault="00000000">
      <w:pPr>
        <w:spacing w:before="240"/>
        <w:jc w:val="both"/>
        <w:rPr>
          <w:b/>
          <w:bCs/>
          <w:sz w:val="24"/>
        </w:rPr>
      </w:pPr>
      <w:r>
        <w:rPr>
          <w:b/>
          <w:bCs/>
          <w:sz w:val="24"/>
        </w:rPr>
        <w:t>Раздел II</w:t>
      </w:r>
    </w:p>
    <w:p w:rsidR="00000000" w:rsidRDefault="00000000">
      <w:pPr>
        <w:jc w:val="both"/>
        <w:rPr>
          <w:b/>
          <w:bCs/>
          <w:sz w:val="24"/>
        </w:rPr>
      </w:pPr>
    </w:p>
    <w:p w:rsidR="00000000" w:rsidRDefault="00000000">
      <w:pPr>
        <w:jc w:val="both"/>
        <w:rPr>
          <w:b/>
          <w:bCs/>
          <w:sz w:val="24"/>
        </w:rPr>
      </w:pPr>
      <w:r>
        <w:rPr>
          <w:b/>
          <w:bCs/>
          <w:sz w:val="24"/>
        </w:rPr>
        <w:t>Тенденции в области занятости, безработицы и неполной занятости</w:t>
      </w:r>
    </w:p>
    <w:p w:rsidR="00000000" w:rsidRDefault="00000000">
      <w:pPr>
        <w:jc w:val="both"/>
        <w:rPr>
          <w:b/>
          <w:bCs/>
          <w:sz w:val="24"/>
        </w:rPr>
      </w:pPr>
    </w:p>
    <w:p w:rsidR="00000000" w:rsidRDefault="00000000">
      <w:pPr>
        <w:jc w:val="both"/>
        <w:rPr>
          <w:rStyle w:val="FootnoteReference"/>
        </w:rPr>
      </w:pPr>
      <w:r>
        <w:rPr>
          <w:bCs/>
          <w:sz w:val="24"/>
        </w:rPr>
        <w:t>8.</w:t>
      </w:r>
      <w:r>
        <w:rPr>
          <w:bCs/>
          <w:sz w:val="24"/>
        </w:rPr>
        <w:tab/>
      </w:r>
      <w:r>
        <w:rPr>
          <w:rStyle w:val="111"/>
        </w:rPr>
        <w:t>По результатам Национального выборочного обследования (НВО), проведенного в 1999–</w:t>
      </w:r>
      <w:r>
        <w:rPr>
          <w:rStyle w:val="111"/>
        </w:rPr>
        <w:br/>
        <w:t>2000 годах (55-й цикл)</w:t>
      </w:r>
      <w:r>
        <w:rPr>
          <w:rStyle w:val="FootnoteReference"/>
        </w:rPr>
        <w:footnoteReference w:customMarkFollows="1" w:id="4"/>
        <w:t>3</w:t>
      </w:r>
      <w:r>
        <w:t>:</w:t>
      </w:r>
    </w:p>
    <w:tbl>
      <w:tblPr>
        <w:tblW w:w="0" w:type="auto"/>
        <w:tblLook w:val="0000" w:firstRow="0" w:lastRow="0" w:firstColumn="0" w:lastColumn="0" w:noHBand="0" w:noVBand="0"/>
      </w:tblPr>
      <w:tblGrid>
        <w:gridCol w:w="7775"/>
        <w:gridCol w:w="1796"/>
      </w:tblGrid>
      <w:tr w:rsidR="00000000">
        <w:tblPrEx>
          <w:tblCellMar>
            <w:top w:w="0" w:type="dxa"/>
            <w:bottom w:w="0" w:type="dxa"/>
          </w:tblCellMar>
        </w:tblPrEx>
        <w:tc>
          <w:tcPr>
            <w:tcW w:w="7775" w:type="dxa"/>
          </w:tcPr>
          <w:p w:rsidR="00000000" w:rsidRDefault="00000000">
            <w:pPr>
              <w:pStyle w:val="112"/>
              <w:pageBreakBefore/>
              <w:spacing w:before="0"/>
              <w:rPr>
                <w:szCs w:val="22"/>
              </w:rPr>
            </w:pPr>
            <w:r>
              <w:rPr>
                <w:szCs w:val="22"/>
              </w:rPr>
              <w:t xml:space="preserve">Общая численность рабочей силы по состоянию на 1.1.2000 года </w:t>
            </w:r>
          </w:p>
        </w:tc>
        <w:tc>
          <w:tcPr>
            <w:tcW w:w="1796" w:type="dxa"/>
          </w:tcPr>
          <w:p w:rsidR="00000000" w:rsidRDefault="00000000">
            <w:pPr>
              <w:pStyle w:val="112"/>
              <w:pageBreakBefore/>
              <w:spacing w:before="0"/>
              <w:rPr>
                <w:szCs w:val="22"/>
              </w:rPr>
            </w:pPr>
            <w:r>
              <w:rPr>
                <w:szCs w:val="22"/>
              </w:rPr>
              <w:t>406 млн. чел.</w:t>
            </w:r>
          </w:p>
        </w:tc>
      </w:tr>
      <w:tr w:rsidR="00000000">
        <w:tblPrEx>
          <w:tblCellMar>
            <w:top w:w="0" w:type="dxa"/>
            <w:bottom w:w="0" w:type="dxa"/>
          </w:tblCellMar>
        </w:tblPrEx>
        <w:tc>
          <w:tcPr>
            <w:tcW w:w="7775" w:type="dxa"/>
          </w:tcPr>
          <w:p w:rsidR="00000000" w:rsidRDefault="00000000">
            <w:pPr>
              <w:pStyle w:val="112"/>
              <w:jc w:val="left"/>
              <w:rPr>
                <w:szCs w:val="22"/>
              </w:rPr>
            </w:pPr>
            <w:r>
              <w:rPr>
                <w:szCs w:val="22"/>
              </w:rPr>
              <w:t>Общая численность занятой рабочей силы по состоянию на 1.1.2000 года</w:t>
            </w:r>
          </w:p>
        </w:tc>
        <w:tc>
          <w:tcPr>
            <w:tcW w:w="1796" w:type="dxa"/>
          </w:tcPr>
          <w:p w:rsidR="00000000" w:rsidRDefault="00000000">
            <w:pPr>
              <w:pStyle w:val="112"/>
              <w:rPr>
                <w:szCs w:val="22"/>
              </w:rPr>
            </w:pPr>
            <w:r>
              <w:rPr>
                <w:szCs w:val="22"/>
              </w:rPr>
              <w:t>397 млн. чел.</w:t>
            </w:r>
          </w:p>
        </w:tc>
      </w:tr>
      <w:tr w:rsidR="00000000">
        <w:tblPrEx>
          <w:tblCellMar>
            <w:top w:w="0" w:type="dxa"/>
            <w:bottom w:w="0" w:type="dxa"/>
          </w:tblCellMar>
        </w:tblPrEx>
        <w:tc>
          <w:tcPr>
            <w:tcW w:w="7775" w:type="dxa"/>
          </w:tcPr>
          <w:p w:rsidR="00000000" w:rsidRDefault="00000000">
            <w:pPr>
              <w:pStyle w:val="112"/>
              <w:rPr>
                <w:szCs w:val="22"/>
              </w:rPr>
            </w:pPr>
            <w:r>
              <w:rPr>
                <w:szCs w:val="22"/>
              </w:rPr>
              <w:t>Прирост рабочей силы за период 1994–2000 годов</w:t>
            </w:r>
          </w:p>
        </w:tc>
        <w:tc>
          <w:tcPr>
            <w:tcW w:w="1796" w:type="dxa"/>
          </w:tcPr>
          <w:p w:rsidR="00000000" w:rsidRDefault="00000000">
            <w:pPr>
              <w:pStyle w:val="112"/>
              <w:rPr>
                <w:szCs w:val="22"/>
              </w:rPr>
            </w:pPr>
            <w:r>
              <w:rPr>
                <w:szCs w:val="22"/>
              </w:rPr>
              <w:t>1,03%</w:t>
            </w:r>
          </w:p>
        </w:tc>
      </w:tr>
      <w:tr w:rsidR="00000000">
        <w:tblPrEx>
          <w:tblCellMar>
            <w:top w:w="0" w:type="dxa"/>
            <w:bottom w:w="0" w:type="dxa"/>
          </w:tblCellMar>
        </w:tblPrEx>
        <w:tc>
          <w:tcPr>
            <w:tcW w:w="7775" w:type="dxa"/>
          </w:tcPr>
          <w:p w:rsidR="00000000" w:rsidRDefault="00000000">
            <w:pPr>
              <w:pStyle w:val="112"/>
              <w:rPr>
                <w:szCs w:val="22"/>
              </w:rPr>
            </w:pPr>
            <w:r>
              <w:rPr>
                <w:szCs w:val="22"/>
              </w:rPr>
              <w:t>Повышение уровня занятости за период 1994–2000 годов</w:t>
            </w:r>
          </w:p>
        </w:tc>
        <w:tc>
          <w:tcPr>
            <w:tcW w:w="1796" w:type="dxa"/>
          </w:tcPr>
          <w:p w:rsidR="00000000" w:rsidRDefault="00000000">
            <w:pPr>
              <w:pStyle w:val="112"/>
              <w:rPr>
                <w:szCs w:val="22"/>
              </w:rPr>
            </w:pPr>
            <w:r>
              <w:rPr>
                <w:szCs w:val="22"/>
              </w:rPr>
              <w:t>0,98%</w:t>
            </w:r>
          </w:p>
        </w:tc>
      </w:tr>
      <w:tr w:rsidR="00000000">
        <w:tblPrEx>
          <w:tblCellMar>
            <w:top w:w="0" w:type="dxa"/>
            <w:bottom w:w="0" w:type="dxa"/>
          </w:tblCellMar>
        </w:tblPrEx>
        <w:tc>
          <w:tcPr>
            <w:tcW w:w="7775" w:type="dxa"/>
          </w:tcPr>
          <w:p w:rsidR="00000000" w:rsidRDefault="00000000">
            <w:pPr>
              <w:pStyle w:val="112"/>
              <w:rPr>
                <w:szCs w:val="22"/>
              </w:rPr>
            </w:pPr>
            <w:r>
              <w:rPr>
                <w:szCs w:val="22"/>
              </w:rPr>
              <w:t>Численность полностью безработных по состоянию на 1.1.2000 года</w:t>
            </w:r>
          </w:p>
        </w:tc>
        <w:tc>
          <w:tcPr>
            <w:tcW w:w="1796" w:type="dxa"/>
          </w:tcPr>
          <w:p w:rsidR="00000000" w:rsidRDefault="00000000">
            <w:pPr>
              <w:pStyle w:val="112"/>
              <w:rPr>
                <w:szCs w:val="22"/>
              </w:rPr>
            </w:pPr>
            <w:r>
              <w:rPr>
                <w:szCs w:val="22"/>
              </w:rPr>
              <w:t>9 млн. чел.</w:t>
            </w:r>
          </w:p>
        </w:tc>
      </w:tr>
    </w:tbl>
    <w:p w:rsidR="00000000" w:rsidRDefault="00000000">
      <w:pPr>
        <w:pStyle w:val="112"/>
      </w:pPr>
      <w:r>
        <w:t>9.</w:t>
      </w:r>
      <w:r>
        <w:tab/>
        <w:t>По результатам Национального выборочного обследования, проведенного в 1999–2000 годах с учетом обычного статуса (т. е. рассмотрения главных и вспомогательных видов деятельности) общая численность рабочей силы Индии на 1 января 2000 года составляла порядка 406 млн. человек.  Около 7% совокупной рабочей силы было занято в формальном, или организованном, секторе (все предприятия государственного и частного секторов со штатом 10 или более работников), а остальные 93% работали в неформальном, или неорганизованном, секторе.  Со времени провозглашения независимости правительство Индии чувствует, что с учетом нынешнего упора на модернизацию и автоматизацию способность организованного сектора поглощать дополнительное количество рабочей силы ограничена.  В планах и программах правительства Индии подчеркивается, что подавляющая часть дополнительной рабочей силы будет поглощаться неорганизованным сектором.  В неорганизованном/неформальном секторе страны занято сегодня около 373 млн. работников, причем бóльшую часть этой рабочей силы составляют работники сельского хозяйства.</w:t>
      </w:r>
    </w:p>
    <w:p w:rsidR="00000000" w:rsidRDefault="00000000">
      <w:pPr>
        <w:pStyle w:val="112"/>
        <w:spacing w:before="0"/>
      </w:pPr>
    </w:p>
    <w:p w:rsidR="00000000" w:rsidRDefault="00000000">
      <w:pPr>
        <w:spacing w:before="120"/>
        <w:jc w:val="both"/>
        <w:rPr>
          <w:b/>
          <w:bCs/>
          <w:sz w:val="22"/>
        </w:rPr>
      </w:pPr>
      <w:r>
        <w:rPr>
          <w:b/>
          <w:bCs/>
          <w:sz w:val="22"/>
        </w:rPr>
        <w:t>Занятость</w:t>
      </w:r>
    </w:p>
    <w:p w:rsidR="00000000" w:rsidRDefault="00000000">
      <w:pPr>
        <w:jc w:val="both"/>
        <w:rPr>
          <w:b/>
          <w:bCs/>
          <w:sz w:val="24"/>
        </w:rPr>
      </w:pPr>
    </w:p>
    <w:p w:rsidR="00000000" w:rsidRDefault="00000000">
      <w:pPr>
        <w:pStyle w:val="112"/>
        <w:spacing w:before="0"/>
      </w:pPr>
      <w:r>
        <w:t>10.</w:t>
      </w:r>
      <w:r>
        <w:tab/>
        <w:t>В настоящем подразделе содержится информация об уровне и тенденциях в области занятости (рабочей силы).  За последние 50 лет в Индии происходило быстрое увеличение темпов роста занятости.  Особенно быстро росла занятость в обрабатывающей промышленности Индии в период после проведения реформы.  Из таблицы 6.1 явствует, что показатель роста занятости резко снизился с 2,43% в год в период с 1987–1988 годов по 1993–1994 годы до всего лишь 0,98% в год в период с 1993–1997 годов по 1999–2000 годы.  Снижение общего показателя роста занятости в период 1994–2000 годов в значительной степени было вызвано состоянием занятости в сельском хозяйстве, близким к стагнации.</w:t>
      </w:r>
    </w:p>
    <w:p w:rsidR="00000000" w:rsidRDefault="00000000">
      <w:pPr>
        <w:pStyle w:val="a3"/>
      </w:pPr>
    </w:p>
    <w:p w:rsidR="00000000" w:rsidRDefault="00000000">
      <w:pPr>
        <w:pStyle w:val="a3"/>
        <w:rPr>
          <w:b/>
          <w:bCs/>
          <w:sz w:val="22"/>
          <w:szCs w:val="22"/>
        </w:rPr>
      </w:pPr>
      <w:r>
        <w:rPr>
          <w:b/>
          <w:bCs/>
          <w:sz w:val="22"/>
          <w:szCs w:val="22"/>
        </w:rPr>
        <w:t>Таблица 6.1 – Показатель прироста населения, численности рабочей силы и занятости</w:t>
      </w:r>
    </w:p>
    <w:p w:rsidR="00000000" w:rsidRDefault="00000000">
      <w:pPr>
        <w:pStyle w:val="a3"/>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320"/>
        <w:gridCol w:w="1715"/>
        <w:gridCol w:w="2264"/>
        <w:gridCol w:w="1452"/>
        <w:gridCol w:w="1888"/>
      </w:tblGrid>
      <w:tr w:rsidR="00000000">
        <w:tblPrEx>
          <w:tblCellMar>
            <w:top w:w="0" w:type="dxa"/>
            <w:bottom w:w="0" w:type="dxa"/>
          </w:tblCellMar>
        </w:tblPrEx>
        <w:tc>
          <w:tcPr>
            <w:tcW w:w="2254" w:type="dxa"/>
          </w:tcPr>
          <w:p w:rsidR="00000000" w:rsidRDefault="00000000">
            <w:pPr>
              <w:pStyle w:val="a3"/>
              <w:jc w:val="center"/>
              <w:rPr>
                <w:rStyle w:val="111"/>
                <w:sz w:val="20"/>
                <w:szCs w:val="20"/>
              </w:rPr>
            </w:pPr>
            <w:r>
              <w:rPr>
                <w:rStyle w:val="111"/>
                <w:sz w:val="20"/>
                <w:szCs w:val="20"/>
              </w:rPr>
              <w:t>Период</w:t>
            </w:r>
          </w:p>
        </w:tc>
        <w:tc>
          <w:tcPr>
            <w:tcW w:w="1666" w:type="dxa"/>
          </w:tcPr>
          <w:p w:rsidR="00000000" w:rsidRDefault="00000000">
            <w:pPr>
              <w:pStyle w:val="a3"/>
              <w:jc w:val="center"/>
              <w:rPr>
                <w:rStyle w:val="111"/>
                <w:sz w:val="20"/>
                <w:szCs w:val="20"/>
              </w:rPr>
            </w:pPr>
            <w:r>
              <w:rPr>
                <w:rStyle w:val="111"/>
                <w:sz w:val="20"/>
                <w:szCs w:val="20"/>
              </w:rPr>
              <w:t>Показатель прироста населения</w:t>
            </w:r>
            <w:r>
              <w:rPr>
                <w:rStyle w:val="111"/>
                <w:sz w:val="20"/>
                <w:szCs w:val="20"/>
              </w:rPr>
              <w:br/>
              <w:t xml:space="preserve"> (%в год)</w:t>
            </w:r>
          </w:p>
        </w:tc>
        <w:tc>
          <w:tcPr>
            <w:tcW w:w="2200" w:type="dxa"/>
          </w:tcPr>
          <w:p w:rsidR="00000000" w:rsidRDefault="00000000">
            <w:pPr>
              <w:pStyle w:val="a3"/>
              <w:jc w:val="center"/>
              <w:rPr>
                <w:rStyle w:val="111"/>
                <w:sz w:val="20"/>
                <w:szCs w:val="20"/>
              </w:rPr>
            </w:pPr>
            <w:r>
              <w:rPr>
                <w:rStyle w:val="111"/>
                <w:sz w:val="20"/>
                <w:szCs w:val="20"/>
              </w:rPr>
              <w:t>Показатель п</w:t>
            </w:r>
            <w:r>
              <w:rPr>
                <w:szCs w:val="20"/>
              </w:rPr>
              <w:t>рироста численности</w:t>
            </w:r>
            <w:r>
              <w:rPr>
                <w:szCs w:val="20"/>
              </w:rPr>
              <w:br/>
              <w:t>рабочей силы</w:t>
            </w:r>
            <w:r>
              <w:rPr>
                <w:szCs w:val="20"/>
              </w:rPr>
              <w:br/>
              <w:t>(% в год)</w:t>
            </w:r>
          </w:p>
        </w:tc>
        <w:tc>
          <w:tcPr>
            <w:tcW w:w="1411" w:type="dxa"/>
          </w:tcPr>
          <w:p w:rsidR="00000000" w:rsidRDefault="00000000">
            <w:pPr>
              <w:pStyle w:val="a3"/>
              <w:jc w:val="center"/>
              <w:rPr>
                <w:rStyle w:val="111"/>
                <w:sz w:val="20"/>
                <w:szCs w:val="20"/>
              </w:rPr>
            </w:pPr>
            <w:r>
              <w:rPr>
                <w:rStyle w:val="111"/>
                <w:sz w:val="20"/>
                <w:szCs w:val="20"/>
              </w:rPr>
              <w:t xml:space="preserve">Показатель прироста занятости </w:t>
            </w:r>
            <w:r>
              <w:rPr>
                <w:rStyle w:val="111"/>
                <w:sz w:val="20"/>
                <w:szCs w:val="20"/>
              </w:rPr>
              <w:br/>
              <w:t>(% в год)</w:t>
            </w:r>
          </w:p>
        </w:tc>
        <w:tc>
          <w:tcPr>
            <w:tcW w:w="1834" w:type="dxa"/>
          </w:tcPr>
          <w:p w:rsidR="00000000" w:rsidRDefault="00000000">
            <w:pPr>
              <w:pStyle w:val="a3"/>
              <w:jc w:val="center"/>
              <w:rPr>
                <w:rStyle w:val="111"/>
                <w:sz w:val="20"/>
                <w:szCs w:val="20"/>
              </w:rPr>
            </w:pPr>
            <w:r>
              <w:rPr>
                <w:rStyle w:val="111"/>
                <w:sz w:val="20"/>
                <w:szCs w:val="20"/>
              </w:rPr>
              <w:t xml:space="preserve">Среднегодовой показатель прироста ВВП </w:t>
            </w:r>
            <w:r>
              <w:rPr>
                <w:rStyle w:val="111"/>
                <w:sz w:val="20"/>
                <w:szCs w:val="20"/>
              </w:rPr>
              <w:br/>
              <w:t>(% в год)</w:t>
            </w:r>
          </w:p>
        </w:tc>
      </w:tr>
      <w:tr w:rsidR="00000000">
        <w:tblPrEx>
          <w:tblCellMar>
            <w:top w:w="0" w:type="dxa"/>
            <w:bottom w:w="0" w:type="dxa"/>
          </w:tblCellMar>
        </w:tblPrEx>
        <w:tc>
          <w:tcPr>
            <w:tcW w:w="2254" w:type="dxa"/>
          </w:tcPr>
          <w:p w:rsidR="00000000" w:rsidRDefault="00000000">
            <w:pPr>
              <w:pStyle w:val="a3"/>
              <w:spacing w:before="40" w:after="40"/>
              <w:rPr>
                <w:szCs w:val="20"/>
              </w:rPr>
            </w:pPr>
            <w:r>
              <w:rPr>
                <w:szCs w:val="20"/>
              </w:rPr>
              <w:t xml:space="preserve">С 1972–1973 годов </w:t>
            </w:r>
            <w:r>
              <w:rPr>
                <w:szCs w:val="20"/>
              </w:rPr>
              <w:br/>
              <w:t>по 1977–1978 годы</w:t>
            </w:r>
          </w:p>
        </w:tc>
        <w:tc>
          <w:tcPr>
            <w:tcW w:w="1666" w:type="dxa"/>
            <w:vAlign w:val="center"/>
          </w:tcPr>
          <w:p w:rsidR="00000000" w:rsidRDefault="00000000">
            <w:pPr>
              <w:pStyle w:val="a3"/>
              <w:spacing w:before="40" w:after="40"/>
              <w:jc w:val="center"/>
              <w:rPr>
                <w:szCs w:val="20"/>
              </w:rPr>
            </w:pPr>
            <w:r>
              <w:rPr>
                <w:szCs w:val="20"/>
              </w:rPr>
              <w:t>2,27</w:t>
            </w:r>
          </w:p>
        </w:tc>
        <w:tc>
          <w:tcPr>
            <w:tcW w:w="2200" w:type="dxa"/>
            <w:vAlign w:val="center"/>
          </w:tcPr>
          <w:p w:rsidR="00000000" w:rsidRDefault="00000000">
            <w:pPr>
              <w:pStyle w:val="a3"/>
              <w:spacing w:before="40" w:after="40"/>
              <w:jc w:val="center"/>
              <w:rPr>
                <w:szCs w:val="20"/>
              </w:rPr>
            </w:pPr>
            <w:r>
              <w:rPr>
                <w:szCs w:val="20"/>
              </w:rPr>
              <w:t>2,94</w:t>
            </w:r>
          </w:p>
        </w:tc>
        <w:tc>
          <w:tcPr>
            <w:tcW w:w="1411" w:type="dxa"/>
            <w:vAlign w:val="center"/>
          </w:tcPr>
          <w:p w:rsidR="00000000" w:rsidRDefault="00000000">
            <w:pPr>
              <w:pStyle w:val="a3"/>
              <w:spacing w:before="40" w:after="40"/>
              <w:jc w:val="center"/>
              <w:rPr>
                <w:szCs w:val="20"/>
              </w:rPr>
            </w:pPr>
            <w:r>
              <w:rPr>
                <w:szCs w:val="20"/>
              </w:rPr>
              <w:t>2,73</w:t>
            </w:r>
          </w:p>
        </w:tc>
        <w:tc>
          <w:tcPr>
            <w:tcW w:w="1834" w:type="dxa"/>
            <w:vAlign w:val="center"/>
          </w:tcPr>
          <w:p w:rsidR="00000000" w:rsidRDefault="00000000">
            <w:pPr>
              <w:pStyle w:val="a3"/>
              <w:spacing w:before="40" w:after="40"/>
              <w:jc w:val="center"/>
              <w:rPr>
                <w:szCs w:val="20"/>
              </w:rPr>
            </w:pPr>
            <w:r>
              <w:rPr>
                <w:szCs w:val="20"/>
              </w:rPr>
              <w:t>4,02</w:t>
            </w:r>
          </w:p>
        </w:tc>
      </w:tr>
      <w:tr w:rsidR="00000000">
        <w:tblPrEx>
          <w:tblCellMar>
            <w:top w:w="0" w:type="dxa"/>
            <w:bottom w:w="0" w:type="dxa"/>
          </w:tblCellMar>
        </w:tblPrEx>
        <w:tc>
          <w:tcPr>
            <w:tcW w:w="2254" w:type="dxa"/>
          </w:tcPr>
          <w:p w:rsidR="00000000" w:rsidRDefault="00000000">
            <w:pPr>
              <w:pStyle w:val="a3"/>
              <w:spacing w:before="40" w:after="40"/>
              <w:rPr>
                <w:szCs w:val="20"/>
              </w:rPr>
            </w:pPr>
            <w:r>
              <w:rPr>
                <w:szCs w:val="20"/>
              </w:rPr>
              <w:t xml:space="preserve">С 1977–1978 годов </w:t>
            </w:r>
            <w:r>
              <w:rPr>
                <w:szCs w:val="20"/>
              </w:rPr>
              <w:br/>
              <w:t>по 1983 год</w:t>
            </w:r>
          </w:p>
        </w:tc>
        <w:tc>
          <w:tcPr>
            <w:tcW w:w="1666" w:type="dxa"/>
            <w:vAlign w:val="center"/>
          </w:tcPr>
          <w:p w:rsidR="00000000" w:rsidRDefault="00000000">
            <w:pPr>
              <w:pStyle w:val="a3"/>
              <w:spacing w:before="40" w:after="40"/>
              <w:jc w:val="center"/>
              <w:rPr>
                <w:szCs w:val="20"/>
              </w:rPr>
            </w:pPr>
            <w:r>
              <w:rPr>
                <w:szCs w:val="20"/>
              </w:rPr>
              <w:t>2,19</w:t>
            </w:r>
          </w:p>
        </w:tc>
        <w:tc>
          <w:tcPr>
            <w:tcW w:w="2200" w:type="dxa"/>
            <w:vAlign w:val="center"/>
          </w:tcPr>
          <w:p w:rsidR="00000000" w:rsidRDefault="00000000">
            <w:pPr>
              <w:pStyle w:val="a3"/>
              <w:spacing w:before="40" w:after="40"/>
              <w:jc w:val="center"/>
              <w:rPr>
                <w:szCs w:val="20"/>
              </w:rPr>
            </w:pPr>
            <w:r>
              <w:rPr>
                <w:szCs w:val="20"/>
              </w:rPr>
              <w:t>2,04</w:t>
            </w:r>
          </w:p>
        </w:tc>
        <w:tc>
          <w:tcPr>
            <w:tcW w:w="1411" w:type="dxa"/>
            <w:vAlign w:val="center"/>
          </w:tcPr>
          <w:p w:rsidR="00000000" w:rsidRDefault="00000000">
            <w:pPr>
              <w:pStyle w:val="a3"/>
              <w:spacing w:before="40" w:after="40"/>
              <w:jc w:val="center"/>
              <w:rPr>
                <w:szCs w:val="20"/>
              </w:rPr>
            </w:pPr>
            <w:r>
              <w:rPr>
                <w:szCs w:val="20"/>
              </w:rPr>
              <w:t>2,17</w:t>
            </w:r>
          </w:p>
        </w:tc>
        <w:tc>
          <w:tcPr>
            <w:tcW w:w="1834" w:type="dxa"/>
            <w:vAlign w:val="center"/>
          </w:tcPr>
          <w:p w:rsidR="00000000" w:rsidRDefault="00000000">
            <w:pPr>
              <w:pStyle w:val="a3"/>
              <w:spacing w:before="40" w:after="40"/>
              <w:jc w:val="center"/>
              <w:rPr>
                <w:szCs w:val="20"/>
              </w:rPr>
            </w:pPr>
            <w:r>
              <w:rPr>
                <w:szCs w:val="20"/>
              </w:rPr>
              <w:t>3,90</w:t>
            </w:r>
          </w:p>
        </w:tc>
      </w:tr>
      <w:tr w:rsidR="00000000">
        <w:tblPrEx>
          <w:tblCellMar>
            <w:top w:w="0" w:type="dxa"/>
            <w:bottom w:w="0" w:type="dxa"/>
          </w:tblCellMar>
        </w:tblPrEx>
        <w:tc>
          <w:tcPr>
            <w:tcW w:w="2254" w:type="dxa"/>
          </w:tcPr>
          <w:p w:rsidR="00000000" w:rsidRDefault="00000000">
            <w:pPr>
              <w:pStyle w:val="a3"/>
              <w:spacing w:before="40" w:after="40"/>
              <w:rPr>
                <w:szCs w:val="20"/>
              </w:rPr>
            </w:pPr>
            <w:r>
              <w:rPr>
                <w:szCs w:val="20"/>
              </w:rPr>
              <w:t>С 1983 года по 1987–1988 годы</w:t>
            </w:r>
          </w:p>
        </w:tc>
        <w:tc>
          <w:tcPr>
            <w:tcW w:w="1666" w:type="dxa"/>
            <w:vAlign w:val="center"/>
          </w:tcPr>
          <w:p w:rsidR="00000000" w:rsidRDefault="00000000">
            <w:pPr>
              <w:pStyle w:val="a3"/>
              <w:spacing w:before="40" w:after="40"/>
              <w:jc w:val="center"/>
              <w:rPr>
                <w:szCs w:val="20"/>
              </w:rPr>
            </w:pPr>
            <w:r>
              <w:rPr>
                <w:szCs w:val="20"/>
              </w:rPr>
              <w:t>2,14</w:t>
            </w:r>
          </w:p>
        </w:tc>
        <w:tc>
          <w:tcPr>
            <w:tcW w:w="2200" w:type="dxa"/>
            <w:vAlign w:val="center"/>
          </w:tcPr>
          <w:p w:rsidR="00000000" w:rsidRDefault="00000000">
            <w:pPr>
              <w:pStyle w:val="a3"/>
              <w:spacing w:before="40" w:after="40"/>
              <w:jc w:val="center"/>
              <w:rPr>
                <w:szCs w:val="20"/>
              </w:rPr>
            </w:pPr>
            <w:r>
              <w:rPr>
                <w:szCs w:val="20"/>
              </w:rPr>
              <w:t>1,74</w:t>
            </w:r>
          </w:p>
        </w:tc>
        <w:tc>
          <w:tcPr>
            <w:tcW w:w="1411" w:type="dxa"/>
            <w:vAlign w:val="center"/>
          </w:tcPr>
          <w:p w:rsidR="00000000" w:rsidRDefault="00000000">
            <w:pPr>
              <w:pStyle w:val="a3"/>
              <w:spacing w:before="40" w:after="40"/>
              <w:jc w:val="center"/>
              <w:rPr>
                <w:szCs w:val="20"/>
              </w:rPr>
            </w:pPr>
            <w:r>
              <w:rPr>
                <w:szCs w:val="20"/>
              </w:rPr>
              <w:t>1,54</w:t>
            </w:r>
          </w:p>
        </w:tc>
        <w:tc>
          <w:tcPr>
            <w:tcW w:w="1834" w:type="dxa"/>
            <w:vAlign w:val="center"/>
          </w:tcPr>
          <w:p w:rsidR="00000000" w:rsidRDefault="00000000">
            <w:pPr>
              <w:pStyle w:val="a3"/>
              <w:spacing w:before="40" w:after="40"/>
              <w:jc w:val="center"/>
              <w:rPr>
                <w:szCs w:val="20"/>
              </w:rPr>
            </w:pPr>
            <w:r>
              <w:rPr>
                <w:szCs w:val="20"/>
              </w:rPr>
              <w:t>4,80</w:t>
            </w:r>
          </w:p>
        </w:tc>
      </w:tr>
      <w:tr w:rsidR="00000000">
        <w:tblPrEx>
          <w:tblCellMar>
            <w:top w:w="0" w:type="dxa"/>
            <w:bottom w:w="0" w:type="dxa"/>
          </w:tblCellMar>
        </w:tblPrEx>
        <w:tc>
          <w:tcPr>
            <w:tcW w:w="2254" w:type="dxa"/>
          </w:tcPr>
          <w:p w:rsidR="00000000" w:rsidRDefault="00000000">
            <w:pPr>
              <w:pStyle w:val="a3"/>
              <w:spacing w:before="40" w:after="40"/>
              <w:rPr>
                <w:szCs w:val="20"/>
              </w:rPr>
            </w:pPr>
            <w:r>
              <w:rPr>
                <w:szCs w:val="20"/>
              </w:rPr>
              <w:t xml:space="preserve">С 1987–1988 годов </w:t>
            </w:r>
            <w:r>
              <w:rPr>
                <w:szCs w:val="20"/>
              </w:rPr>
              <w:br/>
              <w:t>по 1993–1994 годы</w:t>
            </w:r>
          </w:p>
        </w:tc>
        <w:tc>
          <w:tcPr>
            <w:tcW w:w="1666" w:type="dxa"/>
            <w:vAlign w:val="center"/>
          </w:tcPr>
          <w:p w:rsidR="00000000" w:rsidRDefault="00000000">
            <w:pPr>
              <w:pStyle w:val="a3"/>
              <w:spacing w:before="40" w:after="40"/>
              <w:jc w:val="center"/>
              <w:rPr>
                <w:szCs w:val="20"/>
              </w:rPr>
            </w:pPr>
            <w:r>
              <w:rPr>
                <w:szCs w:val="20"/>
              </w:rPr>
              <w:t>2,10</w:t>
            </w:r>
          </w:p>
        </w:tc>
        <w:tc>
          <w:tcPr>
            <w:tcW w:w="2200" w:type="dxa"/>
            <w:vAlign w:val="center"/>
          </w:tcPr>
          <w:p w:rsidR="00000000" w:rsidRDefault="00000000">
            <w:pPr>
              <w:pStyle w:val="a3"/>
              <w:spacing w:before="40" w:after="40"/>
              <w:jc w:val="center"/>
              <w:rPr>
                <w:szCs w:val="20"/>
              </w:rPr>
            </w:pPr>
            <w:r>
              <w:rPr>
                <w:szCs w:val="20"/>
              </w:rPr>
              <w:t>2,29</w:t>
            </w:r>
          </w:p>
        </w:tc>
        <w:tc>
          <w:tcPr>
            <w:tcW w:w="1411" w:type="dxa"/>
            <w:vAlign w:val="center"/>
          </w:tcPr>
          <w:p w:rsidR="00000000" w:rsidRDefault="00000000">
            <w:pPr>
              <w:pStyle w:val="a3"/>
              <w:spacing w:before="40" w:after="40"/>
              <w:jc w:val="center"/>
              <w:rPr>
                <w:szCs w:val="20"/>
              </w:rPr>
            </w:pPr>
            <w:r>
              <w:rPr>
                <w:szCs w:val="20"/>
              </w:rPr>
              <w:t>2,43</w:t>
            </w:r>
          </w:p>
        </w:tc>
        <w:tc>
          <w:tcPr>
            <w:tcW w:w="1834" w:type="dxa"/>
            <w:vAlign w:val="center"/>
          </w:tcPr>
          <w:p w:rsidR="00000000" w:rsidRDefault="00000000">
            <w:pPr>
              <w:pStyle w:val="a3"/>
              <w:spacing w:before="40" w:after="40"/>
              <w:jc w:val="center"/>
              <w:rPr>
                <w:szCs w:val="20"/>
              </w:rPr>
            </w:pPr>
            <w:r>
              <w:rPr>
                <w:szCs w:val="20"/>
              </w:rPr>
              <w:t>5,25</w:t>
            </w:r>
          </w:p>
        </w:tc>
      </w:tr>
      <w:tr w:rsidR="00000000">
        <w:tblPrEx>
          <w:tblCellMar>
            <w:top w:w="0" w:type="dxa"/>
            <w:bottom w:w="0" w:type="dxa"/>
          </w:tblCellMar>
        </w:tblPrEx>
        <w:tc>
          <w:tcPr>
            <w:tcW w:w="2254" w:type="dxa"/>
          </w:tcPr>
          <w:p w:rsidR="00000000" w:rsidRDefault="00000000">
            <w:pPr>
              <w:pStyle w:val="a3"/>
              <w:spacing w:before="40" w:after="40"/>
              <w:rPr>
                <w:szCs w:val="20"/>
              </w:rPr>
            </w:pPr>
            <w:r>
              <w:rPr>
                <w:szCs w:val="20"/>
              </w:rPr>
              <w:t>С 1993–1994 годов по 1999–2000 годы</w:t>
            </w:r>
          </w:p>
        </w:tc>
        <w:tc>
          <w:tcPr>
            <w:tcW w:w="1666" w:type="dxa"/>
            <w:vAlign w:val="center"/>
          </w:tcPr>
          <w:p w:rsidR="00000000" w:rsidRDefault="00000000">
            <w:pPr>
              <w:pStyle w:val="a3"/>
              <w:spacing w:before="40" w:after="40"/>
              <w:jc w:val="center"/>
              <w:rPr>
                <w:szCs w:val="20"/>
              </w:rPr>
            </w:pPr>
            <w:r>
              <w:rPr>
                <w:szCs w:val="20"/>
              </w:rPr>
              <w:t>1,93</w:t>
            </w:r>
          </w:p>
        </w:tc>
        <w:tc>
          <w:tcPr>
            <w:tcW w:w="2200" w:type="dxa"/>
            <w:vAlign w:val="center"/>
          </w:tcPr>
          <w:p w:rsidR="00000000" w:rsidRDefault="00000000">
            <w:pPr>
              <w:pStyle w:val="a3"/>
              <w:spacing w:before="40" w:after="40"/>
              <w:jc w:val="center"/>
              <w:rPr>
                <w:szCs w:val="20"/>
              </w:rPr>
            </w:pPr>
            <w:r>
              <w:rPr>
                <w:szCs w:val="20"/>
              </w:rPr>
              <w:t>1,03</w:t>
            </w:r>
          </w:p>
        </w:tc>
        <w:tc>
          <w:tcPr>
            <w:tcW w:w="1411" w:type="dxa"/>
            <w:vAlign w:val="center"/>
          </w:tcPr>
          <w:p w:rsidR="00000000" w:rsidRDefault="00000000">
            <w:pPr>
              <w:pStyle w:val="a3"/>
              <w:spacing w:before="40" w:after="40"/>
              <w:jc w:val="center"/>
              <w:rPr>
                <w:szCs w:val="20"/>
              </w:rPr>
            </w:pPr>
            <w:r>
              <w:rPr>
                <w:szCs w:val="20"/>
              </w:rPr>
              <w:t>0,98</w:t>
            </w:r>
          </w:p>
        </w:tc>
        <w:tc>
          <w:tcPr>
            <w:tcW w:w="1834" w:type="dxa"/>
            <w:vAlign w:val="center"/>
          </w:tcPr>
          <w:p w:rsidR="00000000" w:rsidRDefault="00000000">
            <w:pPr>
              <w:pStyle w:val="a3"/>
              <w:spacing w:before="40" w:after="40"/>
              <w:jc w:val="center"/>
              <w:rPr>
                <w:szCs w:val="20"/>
              </w:rPr>
            </w:pPr>
            <w:r>
              <w:rPr>
                <w:szCs w:val="20"/>
              </w:rPr>
              <w:t>6,60</w:t>
            </w:r>
          </w:p>
        </w:tc>
      </w:tr>
    </w:tbl>
    <w:p w:rsidR="00000000" w:rsidRDefault="00000000">
      <w:pPr>
        <w:pStyle w:val="a3"/>
        <w:spacing w:before="120"/>
      </w:pPr>
      <w:r>
        <w:rPr>
          <w:b/>
          <w:bCs/>
        </w:rPr>
        <w:t>Источник:</w:t>
      </w:r>
      <w:r>
        <w:t xml:space="preserve">  </w:t>
      </w:r>
      <w:r>
        <w:rPr>
          <w:lang w:val="en-US"/>
        </w:rPr>
        <w:t>Table</w:t>
      </w:r>
      <w:r>
        <w:t xml:space="preserve"> 12.2 </w:t>
      </w:r>
      <w:r>
        <w:rPr>
          <w:lang w:val="en-US"/>
        </w:rPr>
        <w:t>of</w:t>
      </w:r>
      <w:r>
        <w:t xml:space="preserve"> </w:t>
      </w:r>
      <w:r>
        <w:rPr>
          <w:lang w:val="en-US"/>
        </w:rPr>
        <w:t>Second</w:t>
      </w:r>
      <w:r>
        <w:t xml:space="preserve"> </w:t>
      </w:r>
      <w:r>
        <w:rPr>
          <w:lang w:val="en-US"/>
        </w:rPr>
        <w:t>Labour</w:t>
      </w:r>
      <w:r>
        <w:t xml:space="preserve"> </w:t>
      </w:r>
      <w:r>
        <w:rPr>
          <w:lang w:val="en-US"/>
        </w:rPr>
        <w:t>Commission</w:t>
      </w:r>
      <w:r>
        <w:t xml:space="preserve"> </w:t>
      </w:r>
      <w:r>
        <w:rPr>
          <w:lang w:val="en-US"/>
        </w:rPr>
        <w:t>Report</w:t>
      </w:r>
      <w:r>
        <w:t xml:space="preserve">, </w:t>
      </w:r>
      <w:r>
        <w:rPr>
          <w:lang w:val="en-US"/>
        </w:rPr>
        <w:t>p</w:t>
      </w:r>
      <w:r>
        <w:t>. 1307.</w:t>
      </w:r>
    </w:p>
    <w:p w:rsidR="00000000" w:rsidRDefault="00000000">
      <w:pPr>
        <w:pStyle w:val="112"/>
      </w:pPr>
      <w:r>
        <w:t>11.</w:t>
      </w:r>
      <w:r>
        <w:tab/>
        <w:t>В период 2000–2002 годов (июль–декабрь) показатель прироста занятости в стране составлял 2,07% в год по сравнению с 1,07% в период 1994–2000 годов.  Отмечая эти впечатляющие достижения, авторы Обзора экономического положения за 2003–2004 годы сообщают, что в период 2000–2002 годов занятость в среднем увеличивалась на 8,4 млн. рабочих мест в год в сравнении с поставленной целью создания 10 млн. рабочих мест в год в ходе осуществления  Десятого пятилетнего плана.</w:t>
      </w:r>
    </w:p>
    <w:p w:rsidR="00000000" w:rsidRDefault="00000000">
      <w:pPr>
        <w:pStyle w:val="112"/>
      </w:pPr>
      <w:r>
        <w:t>12.</w:t>
      </w:r>
      <w:r>
        <w:tab/>
        <w:t>В старшую возрастную группу (от 60 лет и старше) входило около 5% обычно занятых работников в городских зонах.  В то же время в сельских районах к этой группе относились около 9% обычно занятых работников</w:t>
      </w:r>
      <w:r>
        <w:noBreakHyphen/>
        <w:t>мужчин.</w:t>
      </w:r>
    </w:p>
    <w:p w:rsidR="00000000" w:rsidRDefault="00000000">
      <w:pPr>
        <w:pStyle w:val="112"/>
      </w:pPr>
      <w:r>
        <w:t>13.</w:t>
      </w:r>
      <w:r>
        <w:tab/>
        <w:t>Число инвалидов в стране в период с июля по декабрь 2002 года оценивалось в 18,49 млн. человек.  Они составляли около 1,8% общей численности населения.  Доля инвалидов среди мужчин в сельских районах и городских зонах Индии составляла, соответственно, 2,12% и 1,67%, а женщин – 1,56% и 1,31%.  Около 55% инвалидов в Индии были неграмотны, а около 9% имели среднее и высшее образование.  Из 1000 инвалидов только от 15 до 35 закончили какие-либо курсы профессионально-технической подготовки; из них от 74 до 80% прошли подготовку по неинженерным специальностям.  На таблице 6.2 показано, что около 26% инвалидов работали.  Соответствующие показатели для сельской местности и городских зон Индии составляли, соответственно, 26 и 24%.  Кроме того, доля занятых среди инвалидов-мужчин была намного выше, чем среди инвалидов-женщин как в сельской местности, так и в городских районах. Фактически доля работавших среди инвалидов-мужчин составляла 35–37%, а среди инвалидов-женщин – 9–11%.  Процент инвалидов, ищущих работу и/или готовых работать, был выше в городских зонах (1,2%) по сравнению с сельской местностью (0,6%).</w:t>
      </w:r>
    </w:p>
    <w:p w:rsidR="00000000" w:rsidRDefault="00000000">
      <w:pPr>
        <w:pStyle w:val="112"/>
        <w:jc w:val="left"/>
        <w:rPr>
          <w:b/>
          <w:bCs/>
        </w:rPr>
      </w:pPr>
      <w:r>
        <w:rPr>
          <w:b/>
          <w:bCs/>
        </w:rPr>
        <w:t xml:space="preserve">Таблица 6.2 </w:t>
      </w:r>
      <w:r>
        <w:rPr>
          <w:b/>
          <w:bCs/>
          <w:szCs w:val="22"/>
        </w:rPr>
        <w:t>–</w:t>
      </w:r>
      <w:r>
        <w:rPr>
          <w:b/>
          <w:bCs/>
        </w:rPr>
        <w:t xml:space="preserve"> Численность инвалидов на 1000 человек с учетом широкой обычной деятельности в разбивке по полу и по секторам</w:t>
      </w:r>
    </w:p>
    <w:p w:rsidR="00000000" w:rsidRDefault="00000000">
      <w:pPr>
        <w:pStyle w:val="112"/>
      </w:pPr>
      <w:r>
        <w:t>Вся Индия</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1283"/>
        <w:gridCol w:w="10"/>
        <w:gridCol w:w="1049"/>
        <w:gridCol w:w="832"/>
        <w:gridCol w:w="814"/>
        <w:gridCol w:w="957"/>
        <w:gridCol w:w="737"/>
        <w:gridCol w:w="967"/>
        <w:gridCol w:w="16"/>
        <w:gridCol w:w="1006"/>
        <w:gridCol w:w="961"/>
        <w:gridCol w:w="1007"/>
      </w:tblGrid>
      <w:tr w:rsidR="00000000">
        <w:tblPrEx>
          <w:tblCellMar>
            <w:top w:w="0" w:type="dxa"/>
            <w:bottom w:w="0" w:type="dxa"/>
          </w:tblCellMar>
        </w:tblPrEx>
        <w:trPr>
          <w:cantSplit/>
        </w:trPr>
        <w:tc>
          <w:tcPr>
            <w:tcW w:w="1283" w:type="dxa"/>
          </w:tcPr>
          <w:p w:rsidR="00000000" w:rsidRDefault="00000000">
            <w:pPr>
              <w:spacing w:before="40" w:after="40"/>
              <w:jc w:val="center"/>
              <w:rPr>
                <w:sz w:val="18"/>
                <w:szCs w:val="18"/>
              </w:rPr>
            </w:pPr>
            <w:r>
              <w:rPr>
                <w:sz w:val="18"/>
                <w:szCs w:val="18"/>
              </w:rPr>
              <w:t>Вид инвалидности</w:t>
            </w:r>
          </w:p>
        </w:tc>
        <w:tc>
          <w:tcPr>
            <w:tcW w:w="1059" w:type="dxa"/>
            <w:gridSpan w:val="2"/>
          </w:tcPr>
          <w:p w:rsidR="00000000" w:rsidRDefault="00000000">
            <w:pPr>
              <w:spacing w:before="40" w:after="40"/>
              <w:jc w:val="center"/>
              <w:rPr>
                <w:sz w:val="18"/>
                <w:szCs w:val="18"/>
              </w:rPr>
            </w:pPr>
            <w:r>
              <w:rPr>
                <w:sz w:val="18"/>
                <w:szCs w:val="18"/>
              </w:rPr>
              <w:t>Сельская местность</w:t>
            </w:r>
          </w:p>
        </w:tc>
        <w:tc>
          <w:tcPr>
            <w:tcW w:w="832" w:type="dxa"/>
          </w:tcPr>
          <w:p w:rsidR="00000000" w:rsidRDefault="00000000">
            <w:pPr>
              <w:spacing w:before="40" w:after="40"/>
              <w:jc w:val="center"/>
              <w:rPr>
                <w:sz w:val="18"/>
                <w:szCs w:val="18"/>
              </w:rPr>
            </w:pPr>
          </w:p>
        </w:tc>
        <w:tc>
          <w:tcPr>
            <w:tcW w:w="814" w:type="dxa"/>
          </w:tcPr>
          <w:p w:rsidR="00000000" w:rsidRDefault="00000000">
            <w:pPr>
              <w:spacing w:before="40" w:after="40"/>
              <w:jc w:val="center"/>
              <w:rPr>
                <w:sz w:val="18"/>
                <w:szCs w:val="18"/>
              </w:rPr>
            </w:pPr>
          </w:p>
        </w:tc>
        <w:tc>
          <w:tcPr>
            <w:tcW w:w="957" w:type="dxa"/>
          </w:tcPr>
          <w:p w:rsidR="00000000" w:rsidRDefault="00000000">
            <w:pPr>
              <w:spacing w:before="40" w:after="40"/>
              <w:jc w:val="center"/>
              <w:rPr>
                <w:sz w:val="18"/>
                <w:szCs w:val="18"/>
              </w:rPr>
            </w:pPr>
            <w:r>
              <w:rPr>
                <w:sz w:val="18"/>
                <w:szCs w:val="18"/>
              </w:rPr>
              <w:t>Городские районы</w:t>
            </w:r>
          </w:p>
        </w:tc>
        <w:tc>
          <w:tcPr>
            <w:tcW w:w="737" w:type="dxa"/>
          </w:tcPr>
          <w:p w:rsidR="00000000" w:rsidRDefault="00000000">
            <w:pPr>
              <w:spacing w:before="40" w:after="40"/>
              <w:jc w:val="center"/>
              <w:rPr>
                <w:sz w:val="18"/>
                <w:szCs w:val="18"/>
              </w:rPr>
            </w:pPr>
          </w:p>
        </w:tc>
        <w:tc>
          <w:tcPr>
            <w:tcW w:w="983" w:type="dxa"/>
            <w:gridSpan w:val="2"/>
          </w:tcPr>
          <w:p w:rsidR="00000000" w:rsidRDefault="00000000">
            <w:pPr>
              <w:spacing w:before="40" w:after="40"/>
              <w:jc w:val="center"/>
              <w:rPr>
                <w:sz w:val="18"/>
                <w:szCs w:val="18"/>
              </w:rPr>
            </w:pPr>
          </w:p>
        </w:tc>
        <w:tc>
          <w:tcPr>
            <w:tcW w:w="1006" w:type="dxa"/>
          </w:tcPr>
          <w:p w:rsidR="00000000" w:rsidRDefault="00000000">
            <w:pPr>
              <w:spacing w:before="40" w:after="40"/>
              <w:jc w:val="center"/>
              <w:rPr>
                <w:sz w:val="18"/>
                <w:szCs w:val="18"/>
              </w:rPr>
            </w:pPr>
            <w:r>
              <w:rPr>
                <w:sz w:val="18"/>
                <w:szCs w:val="18"/>
              </w:rPr>
              <w:t>Сельские + городские районы</w:t>
            </w:r>
          </w:p>
        </w:tc>
        <w:tc>
          <w:tcPr>
            <w:tcW w:w="961" w:type="dxa"/>
          </w:tcPr>
          <w:p w:rsidR="00000000" w:rsidRDefault="00000000">
            <w:pPr>
              <w:spacing w:before="40" w:after="40"/>
              <w:jc w:val="center"/>
              <w:rPr>
                <w:sz w:val="18"/>
                <w:szCs w:val="18"/>
              </w:rPr>
            </w:pPr>
          </w:p>
        </w:tc>
        <w:tc>
          <w:tcPr>
            <w:tcW w:w="1007" w:type="dxa"/>
          </w:tcPr>
          <w:p w:rsidR="00000000" w:rsidRDefault="00000000">
            <w:pPr>
              <w:spacing w:before="40" w:after="40"/>
              <w:jc w:val="center"/>
              <w:rPr>
                <w:sz w:val="18"/>
                <w:szCs w:val="18"/>
              </w:rPr>
            </w:pPr>
          </w:p>
        </w:tc>
      </w:tr>
      <w:tr w:rsidR="00000000">
        <w:tblPrEx>
          <w:tblCellMar>
            <w:top w:w="0" w:type="dxa"/>
            <w:bottom w:w="0" w:type="dxa"/>
          </w:tblCellMar>
        </w:tblPrEx>
        <w:trPr>
          <w:cantSplit/>
        </w:trPr>
        <w:tc>
          <w:tcPr>
            <w:tcW w:w="1283" w:type="dxa"/>
          </w:tcPr>
          <w:p w:rsidR="00000000" w:rsidRDefault="00000000">
            <w:pPr>
              <w:spacing w:before="40" w:after="40"/>
              <w:jc w:val="center"/>
              <w:rPr>
                <w:sz w:val="16"/>
                <w:szCs w:val="16"/>
              </w:rPr>
            </w:pPr>
          </w:p>
        </w:tc>
        <w:tc>
          <w:tcPr>
            <w:tcW w:w="1059" w:type="dxa"/>
            <w:gridSpan w:val="2"/>
          </w:tcPr>
          <w:p w:rsidR="00000000" w:rsidRDefault="00000000">
            <w:pPr>
              <w:spacing w:before="40" w:after="40"/>
              <w:jc w:val="center"/>
              <w:rPr>
                <w:sz w:val="16"/>
                <w:szCs w:val="16"/>
              </w:rPr>
            </w:pPr>
            <w:r>
              <w:rPr>
                <w:sz w:val="16"/>
                <w:szCs w:val="16"/>
              </w:rPr>
              <w:t>Занятые</w:t>
            </w:r>
          </w:p>
        </w:tc>
        <w:tc>
          <w:tcPr>
            <w:tcW w:w="832" w:type="dxa"/>
          </w:tcPr>
          <w:p w:rsidR="00000000" w:rsidRDefault="00000000">
            <w:pPr>
              <w:spacing w:before="40" w:after="40"/>
              <w:jc w:val="center"/>
              <w:rPr>
                <w:sz w:val="16"/>
                <w:szCs w:val="16"/>
              </w:rPr>
            </w:pPr>
            <w:r>
              <w:rPr>
                <w:sz w:val="16"/>
                <w:szCs w:val="16"/>
              </w:rPr>
              <w:t>Безработ-ные</w:t>
            </w:r>
          </w:p>
        </w:tc>
        <w:tc>
          <w:tcPr>
            <w:tcW w:w="814" w:type="dxa"/>
          </w:tcPr>
          <w:p w:rsidR="00000000" w:rsidRDefault="00000000">
            <w:pPr>
              <w:spacing w:before="40" w:after="40"/>
              <w:jc w:val="center"/>
              <w:rPr>
                <w:sz w:val="16"/>
                <w:szCs w:val="16"/>
              </w:rPr>
            </w:pPr>
            <w:r>
              <w:rPr>
                <w:sz w:val="16"/>
                <w:szCs w:val="16"/>
              </w:rPr>
              <w:t>Несамо-деятельное население</w:t>
            </w:r>
          </w:p>
        </w:tc>
        <w:tc>
          <w:tcPr>
            <w:tcW w:w="957" w:type="dxa"/>
          </w:tcPr>
          <w:p w:rsidR="00000000" w:rsidRDefault="00000000">
            <w:pPr>
              <w:spacing w:before="40" w:after="40"/>
              <w:jc w:val="center"/>
              <w:rPr>
                <w:sz w:val="16"/>
                <w:szCs w:val="16"/>
              </w:rPr>
            </w:pPr>
            <w:r>
              <w:rPr>
                <w:sz w:val="16"/>
                <w:szCs w:val="16"/>
              </w:rPr>
              <w:t>Занятые</w:t>
            </w:r>
          </w:p>
        </w:tc>
        <w:tc>
          <w:tcPr>
            <w:tcW w:w="737" w:type="dxa"/>
          </w:tcPr>
          <w:p w:rsidR="00000000" w:rsidRDefault="00000000">
            <w:pPr>
              <w:spacing w:before="40" w:after="40"/>
              <w:jc w:val="center"/>
              <w:rPr>
                <w:sz w:val="16"/>
                <w:szCs w:val="16"/>
              </w:rPr>
            </w:pPr>
            <w:r>
              <w:rPr>
                <w:sz w:val="16"/>
                <w:szCs w:val="16"/>
              </w:rPr>
              <w:t>Безработ-ные</w:t>
            </w:r>
          </w:p>
        </w:tc>
        <w:tc>
          <w:tcPr>
            <w:tcW w:w="983" w:type="dxa"/>
            <w:gridSpan w:val="2"/>
          </w:tcPr>
          <w:p w:rsidR="00000000" w:rsidRDefault="00000000">
            <w:pPr>
              <w:spacing w:before="40" w:after="40"/>
              <w:jc w:val="center"/>
              <w:rPr>
                <w:sz w:val="16"/>
                <w:szCs w:val="16"/>
              </w:rPr>
            </w:pPr>
            <w:r>
              <w:rPr>
                <w:sz w:val="16"/>
                <w:szCs w:val="16"/>
              </w:rPr>
              <w:t>Несамо-</w:t>
            </w:r>
            <w:r>
              <w:rPr>
                <w:sz w:val="16"/>
                <w:szCs w:val="16"/>
              </w:rPr>
              <w:br/>
              <w:t>деятельное население</w:t>
            </w:r>
          </w:p>
        </w:tc>
        <w:tc>
          <w:tcPr>
            <w:tcW w:w="1006" w:type="dxa"/>
          </w:tcPr>
          <w:p w:rsidR="00000000" w:rsidRDefault="00000000">
            <w:pPr>
              <w:spacing w:before="40" w:after="40"/>
              <w:jc w:val="center"/>
              <w:rPr>
                <w:sz w:val="16"/>
                <w:szCs w:val="16"/>
              </w:rPr>
            </w:pPr>
            <w:r>
              <w:rPr>
                <w:sz w:val="16"/>
                <w:szCs w:val="16"/>
              </w:rPr>
              <w:t>Занятые</w:t>
            </w:r>
          </w:p>
        </w:tc>
        <w:tc>
          <w:tcPr>
            <w:tcW w:w="961" w:type="dxa"/>
          </w:tcPr>
          <w:p w:rsidR="00000000" w:rsidRDefault="00000000">
            <w:pPr>
              <w:spacing w:before="40" w:after="40"/>
              <w:jc w:val="center"/>
              <w:rPr>
                <w:sz w:val="16"/>
                <w:szCs w:val="16"/>
              </w:rPr>
            </w:pPr>
            <w:r>
              <w:rPr>
                <w:sz w:val="16"/>
                <w:szCs w:val="16"/>
              </w:rPr>
              <w:t>Безработ-ные</w:t>
            </w:r>
          </w:p>
        </w:tc>
        <w:tc>
          <w:tcPr>
            <w:tcW w:w="1007" w:type="dxa"/>
          </w:tcPr>
          <w:p w:rsidR="00000000" w:rsidRDefault="00000000">
            <w:pPr>
              <w:spacing w:before="40" w:after="40"/>
              <w:jc w:val="center"/>
              <w:rPr>
                <w:sz w:val="16"/>
                <w:szCs w:val="16"/>
              </w:rPr>
            </w:pPr>
            <w:r>
              <w:rPr>
                <w:sz w:val="16"/>
                <w:szCs w:val="16"/>
              </w:rPr>
              <w:t>Несамо-</w:t>
            </w:r>
            <w:r>
              <w:rPr>
                <w:sz w:val="16"/>
                <w:szCs w:val="16"/>
              </w:rPr>
              <w:br/>
              <w:t>деятельное население</w:t>
            </w:r>
          </w:p>
        </w:tc>
      </w:tr>
      <w:tr w:rsidR="00000000">
        <w:tblPrEx>
          <w:tblCellMar>
            <w:top w:w="0" w:type="dxa"/>
            <w:bottom w:w="0" w:type="dxa"/>
          </w:tblCellMar>
        </w:tblPrEx>
        <w:trPr>
          <w:cantSplit/>
        </w:trPr>
        <w:tc>
          <w:tcPr>
            <w:tcW w:w="1283" w:type="dxa"/>
          </w:tcPr>
          <w:p w:rsidR="00000000" w:rsidRDefault="00000000">
            <w:pPr>
              <w:spacing w:before="40" w:after="40"/>
              <w:jc w:val="center"/>
              <w:rPr>
                <w:sz w:val="20"/>
                <w:szCs w:val="20"/>
              </w:rPr>
            </w:pPr>
            <w:r>
              <w:rPr>
                <w:sz w:val="20"/>
                <w:szCs w:val="20"/>
              </w:rPr>
              <w:t>(1)</w:t>
            </w:r>
          </w:p>
        </w:tc>
        <w:tc>
          <w:tcPr>
            <w:tcW w:w="1059" w:type="dxa"/>
            <w:gridSpan w:val="2"/>
          </w:tcPr>
          <w:p w:rsidR="00000000" w:rsidRDefault="00000000">
            <w:pPr>
              <w:spacing w:before="40" w:after="40"/>
              <w:jc w:val="center"/>
              <w:rPr>
                <w:sz w:val="20"/>
                <w:szCs w:val="20"/>
              </w:rPr>
            </w:pPr>
            <w:r>
              <w:rPr>
                <w:sz w:val="20"/>
                <w:szCs w:val="20"/>
              </w:rPr>
              <w:t>(2)</w:t>
            </w:r>
          </w:p>
        </w:tc>
        <w:tc>
          <w:tcPr>
            <w:tcW w:w="832" w:type="dxa"/>
          </w:tcPr>
          <w:p w:rsidR="00000000" w:rsidRDefault="00000000">
            <w:pPr>
              <w:spacing w:before="40" w:after="40"/>
              <w:jc w:val="center"/>
              <w:rPr>
                <w:sz w:val="20"/>
                <w:szCs w:val="20"/>
              </w:rPr>
            </w:pPr>
            <w:r>
              <w:rPr>
                <w:sz w:val="20"/>
                <w:szCs w:val="20"/>
              </w:rPr>
              <w:t>(3)</w:t>
            </w:r>
          </w:p>
        </w:tc>
        <w:tc>
          <w:tcPr>
            <w:tcW w:w="814" w:type="dxa"/>
          </w:tcPr>
          <w:p w:rsidR="00000000" w:rsidRDefault="00000000">
            <w:pPr>
              <w:spacing w:before="40" w:after="40"/>
              <w:jc w:val="center"/>
              <w:rPr>
                <w:sz w:val="20"/>
                <w:szCs w:val="20"/>
              </w:rPr>
            </w:pPr>
            <w:r>
              <w:rPr>
                <w:sz w:val="20"/>
                <w:szCs w:val="20"/>
              </w:rPr>
              <w:t>(4)</w:t>
            </w:r>
          </w:p>
        </w:tc>
        <w:tc>
          <w:tcPr>
            <w:tcW w:w="957" w:type="dxa"/>
          </w:tcPr>
          <w:p w:rsidR="00000000" w:rsidRDefault="00000000">
            <w:pPr>
              <w:spacing w:before="40" w:after="40"/>
              <w:jc w:val="center"/>
              <w:rPr>
                <w:sz w:val="20"/>
                <w:szCs w:val="20"/>
              </w:rPr>
            </w:pPr>
            <w:r>
              <w:rPr>
                <w:sz w:val="20"/>
                <w:szCs w:val="20"/>
              </w:rPr>
              <w:t>(5)</w:t>
            </w:r>
          </w:p>
        </w:tc>
        <w:tc>
          <w:tcPr>
            <w:tcW w:w="737" w:type="dxa"/>
          </w:tcPr>
          <w:p w:rsidR="00000000" w:rsidRDefault="00000000">
            <w:pPr>
              <w:spacing w:before="40" w:after="40"/>
              <w:jc w:val="center"/>
              <w:rPr>
                <w:sz w:val="20"/>
                <w:szCs w:val="20"/>
              </w:rPr>
            </w:pPr>
            <w:r>
              <w:rPr>
                <w:sz w:val="20"/>
                <w:szCs w:val="20"/>
              </w:rPr>
              <w:t>(6)</w:t>
            </w:r>
          </w:p>
        </w:tc>
        <w:tc>
          <w:tcPr>
            <w:tcW w:w="983" w:type="dxa"/>
            <w:gridSpan w:val="2"/>
          </w:tcPr>
          <w:p w:rsidR="00000000" w:rsidRDefault="00000000">
            <w:pPr>
              <w:spacing w:before="40" w:after="40"/>
              <w:jc w:val="center"/>
              <w:rPr>
                <w:sz w:val="20"/>
                <w:szCs w:val="20"/>
              </w:rPr>
            </w:pPr>
            <w:r>
              <w:rPr>
                <w:sz w:val="20"/>
                <w:szCs w:val="20"/>
              </w:rPr>
              <w:t>(7)</w:t>
            </w:r>
          </w:p>
        </w:tc>
        <w:tc>
          <w:tcPr>
            <w:tcW w:w="1006" w:type="dxa"/>
          </w:tcPr>
          <w:p w:rsidR="00000000" w:rsidRDefault="00000000">
            <w:pPr>
              <w:spacing w:before="40" w:after="40"/>
              <w:jc w:val="center"/>
              <w:rPr>
                <w:sz w:val="20"/>
                <w:szCs w:val="20"/>
              </w:rPr>
            </w:pPr>
            <w:r>
              <w:rPr>
                <w:sz w:val="20"/>
                <w:szCs w:val="20"/>
              </w:rPr>
              <w:t>(8)</w:t>
            </w:r>
          </w:p>
        </w:tc>
        <w:tc>
          <w:tcPr>
            <w:tcW w:w="961" w:type="dxa"/>
          </w:tcPr>
          <w:p w:rsidR="00000000" w:rsidRDefault="00000000">
            <w:pPr>
              <w:spacing w:before="40" w:after="40"/>
              <w:jc w:val="center"/>
              <w:rPr>
                <w:sz w:val="20"/>
                <w:szCs w:val="20"/>
              </w:rPr>
            </w:pPr>
            <w:r>
              <w:rPr>
                <w:sz w:val="20"/>
                <w:szCs w:val="20"/>
              </w:rPr>
              <w:t>(9)</w:t>
            </w:r>
          </w:p>
        </w:tc>
        <w:tc>
          <w:tcPr>
            <w:tcW w:w="1007" w:type="dxa"/>
          </w:tcPr>
          <w:p w:rsidR="00000000" w:rsidRDefault="00000000">
            <w:pPr>
              <w:spacing w:before="40" w:after="40"/>
              <w:jc w:val="center"/>
              <w:rPr>
                <w:sz w:val="20"/>
                <w:szCs w:val="20"/>
              </w:rPr>
            </w:pPr>
            <w:r>
              <w:rPr>
                <w:sz w:val="20"/>
                <w:szCs w:val="20"/>
              </w:rPr>
              <w:t>(10)</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Умственная отсталость</w:t>
            </w:r>
          </w:p>
        </w:tc>
        <w:tc>
          <w:tcPr>
            <w:tcW w:w="1059" w:type="dxa"/>
            <w:gridSpan w:val="2"/>
          </w:tcPr>
          <w:p w:rsidR="00000000" w:rsidRDefault="00000000">
            <w:pPr>
              <w:tabs>
                <w:tab w:val="decimal" w:pos="567"/>
              </w:tabs>
              <w:spacing w:before="40" w:after="40"/>
              <w:rPr>
                <w:sz w:val="20"/>
                <w:szCs w:val="20"/>
              </w:rPr>
            </w:pPr>
            <w:r>
              <w:rPr>
                <w:sz w:val="20"/>
                <w:szCs w:val="20"/>
              </w:rPr>
              <w:t>89</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911</w:t>
            </w:r>
          </w:p>
        </w:tc>
        <w:tc>
          <w:tcPr>
            <w:tcW w:w="957" w:type="dxa"/>
          </w:tcPr>
          <w:p w:rsidR="00000000" w:rsidRDefault="00000000">
            <w:pPr>
              <w:tabs>
                <w:tab w:val="decimal" w:pos="567"/>
              </w:tabs>
              <w:spacing w:before="40" w:after="40"/>
              <w:rPr>
                <w:sz w:val="20"/>
                <w:szCs w:val="20"/>
              </w:rPr>
            </w:pPr>
            <w:r>
              <w:rPr>
                <w:sz w:val="20"/>
                <w:szCs w:val="20"/>
              </w:rPr>
              <w:t>58</w:t>
            </w:r>
          </w:p>
        </w:tc>
        <w:tc>
          <w:tcPr>
            <w:tcW w:w="737" w:type="dxa"/>
          </w:tcPr>
          <w:p w:rsidR="00000000" w:rsidRDefault="00000000">
            <w:pPr>
              <w:tabs>
                <w:tab w:val="decimal" w:pos="397"/>
              </w:tabs>
              <w:spacing w:before="40" w:after="40"/>
              <w:rPr>
                <w:sz w:val="20"/>
                <w:szCs w:val="20"/>
              </w:rPr>
            </w:pPr>
            <w:r>
              <w:rPr>
                <w:sz w:val="20"/>
                <w:szCs w:val="20"/>
              </w:rPr>
              <w:t>1</w:t>
            </w:r>
          </w:p>
        </w:tc>
        <w:tc>
          <w:tcPr>
            <w:tcW w:w="983" w:type="dxa"/>
            <w:gridSpan w:val="2"/>
          </w:tcPr>
          <w:p w:rsidR="00000000" w:rsidRDefault="00000000">
            <w:pPr>
              <w:tabs>
                <w:tab w:val="decimal" w:pos="567"/>
              </w:tabs>
              <w:spacing w:before="40" w:after="40"/>
              <w:rPr>
                <w:sz w:val="20"/>
                <w:szCs w:val="20"/>
              </w:rPr>
            </w:pPr>
            <w:r>
              <w:rPr>
                <w:sz w:val="20"/>
                <w:szCs w:val="20"/>
              </w:rPr>
              <w:t>941</w:t>
            </w:r>
          </w:p>
        </w:tc>
        <w:tc>
          <w:tcPr>
            <w:tcW w:w="1006" w:type="dxa"/>
          </w:tcPr>
          <w:p w:rsidR="00000000" w:rsidRDefault="00000000">
            <w:pPr>
              <w:tabs>
                <w:tab w:val="decimal" w:pos="567"/>
              </w:tabs>
              <w:spacing w:before="40" w:after="40"/>
              <w:rPr>
                <w:sz w:val="20"/>
                <w:szCs w:val="20"/>
              </w:rPr>
            </w:pPr>
            <w:r>
              <w:rPr>
                <w:sz w:val="20"/>
                <w:szCs w:val="20"/>
              </w:rPr>
              <w:t>81</w:t>
            </w:r>
          </w:p>
        </w:tc>
        <w:tc>
          <w:tcPr>
            <w:tcW w:w="961" w:type="dxa"/>
          </w:tcPr>
          <w:p w:rsidR="00000000" w:rsidRDefault="00000000">
            <w:pPr>
              <w:tabs>
                <w:tab w:val="decimal" w:pos="425"/>
              </w:tabs>
              <w:spacing w:before="40" w:after="40"/>
              <w:rPr>
                <w:sz w:val="20"/>
                <w:szCs w:val="20"/>
              </w:rPr>
            </w:pPr>
            <w:r>
              <w:rPr>
                <w:sz w:val="20"/>
                <w:szCs w:val="20"/>
              </w:rPr>
              <w:t>1</w:t>
            </w:r>
          </w:p>
        </w:tc>
        <w:tc>
          <w:tcPr>
            <w:tcW w:w="1007" w:type="dxa"/>
          </w:tcPr>
          <w:p w:rsidR="00000000" w:rsidRDefault="00000000">
            <w:pPr>
              <w:tabs>
                <w:tab w:val="decimal" w:pos="567"/>
              </w:tabs>
              <w:spacing w:before="40" w:after="40"/>
              <w:rPr>
                <w:sz w:val="20"/>
                <w:szCs w:val="20"/>
              </w:rPr>
            </w:pPr>
            <w:r>
              <w:rPr>
                <w:sz w:val="20"/>
                <w:szCs w:val="20"/>
              </w:rPr>
              <w:t>919</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Психическая болезнь</w:t>
            </w:r>
          </w:p>
        </w:tc>
        <w:tc>
          <w:tcPr>
            <w:tcW w:w="1059" w:type="dxa"/>
            <w:gridSpan w:val="2"/>
          </w:tcPr>
          <w:p w:rsidR="00000000" w:rsidRDefault="00000000">
            <w:pPr>
              <w:tabs>
                <w:tab w:val="decimal" w:pos="567"/>
              </w:tabs>
              <w:spacing w:before="40" w:after="40"/>
              <w:rPr>
                <w:sz w:val="20"/>
                <w:szCs w:val="20"/>
              </w:rPr>
            </w:pPr>
            <w:r>
              <w:rPr>
                <w:sz w:val="20"/>
                <w:szCs w:val="20"/>
              </w:rPr>
              <w:t>199</w:t>
            </w:r>
          </w:p>
        </w:tc>
        <w:tc>
          <w:tcPr>
            <w:tcW w:w="832" w:type="dxa"/>
          </w:tcPr>
          <w:p w:rsidR="00000000" w:rsidRDefault="00000000">
            <w:pPr>
              <w:tabs>
                <w:tab w:val="decimal" w:pos="425"/>
              </w:tabs>
              <w:spacing w:before="40" w:after="40"/>
              <w:rPr>
                <w:sz w:val="20"/>
                <w:szCs w:val="20"/>
              </w:rPr>
            </w:pPr>
            <w:r>
              <w:rPr>
                <w:sz w:val="20"/>
                <w:szCs w:val="20"/>
              </w:rPr>
              <w:t>2</w:t>
            </w:r>
          </w:p>
        </w:tc>
        <w:tc>
          <w:tcPr>
            <w:tcW w:w="814" w:type="dxa"/>
          </w:tcPr>
          <w:p w:rsidR="00000000" w:rsidRDefault="00000000">
            <w:pPr>
              <w:tabs>
                <w:tab w:val="decimal" w:pos="567"/>
              </w:tabs>
              <w:spacing w:before="40" w:after="40"/>
              <w:rPr>
                <w:sz w:val="20"/>
                <w:szCs w:val="20"/>
              </w:rPr>
            </w:pPr>
            <w:r>
              <w:rPr>
                <w:sz w:val="20"/>
                <w:szCs w:val="20"/>
              </w:rPr>
              <w:t>799</w:t>
            </w:r>
          </w:p>
        </w:tc>
        <w:tc>
          <w:tcPr>
            <w:tcW w:w="957" w:type="dxa"/>
          </w:tcPr>
          <w:p w:rsidR="00000000" w:rsidRDefault="00000000">
            <w:pPr>
              <w:tabs>
                <w:tab w:val="decimal" w:pos="567"/>
              </w:tabs>
              <w:spacing w:before="40" w:after="40"/>
              <w:rPr>
                <w:sz w:val="20"/>
                <w:szCs w:val="20"/>
              </w:rPr>
            </w:pPr>
            <w:r>
              <w:rPr>
                <w:sz w:val="20"/>
                <w:szCs w:val="20"/>
              </w:rPr>
              <w:t>99</w:t>
            </w:r>
          </w:p>
        </w:tc>
        <w:tc>
          <w:tcPr>
            <w:tcW w:w="737" w:type="dxa"/>
          </w:tcPr>
          <w:p w:rsidR="00000000" w:rsidRDefault="00000000">
            <w:pPr>
              <w:tabs>
                <w:tab w:val="decimal" w:pos="397"/>
              </w:tabs>
              <w:spacing w:before="40" w:after="40"/>
              <w:rPr>
                <w:sz w:val="20"/>
                <w:szCs w:val="20"/>
              </w:rPr>
            </w:pPr>
            <w:r>
              <w:rPr>
                <w:sz w:val="20"/>
                <w:szCs w:val="20"/>
              </w:rPr>
              <w:t>4</w:t>
            </w:r>
          </w:p>
        </w:tc>
        <w:tc>
          <w:tcPr>
            <w:tcW w:w="983" w:type="dxa"/>
            <w:gridSpan w:val="2"/>
          </w:tcPr>
          <w:p w:rsidR="00000000" w:rsidRDefault="00000000">
            <w:pPr>
              <w:tabs>
                <w:tab w:val="decimal" w:pos="567"/>
              </w:tabs>
              <w:spacing w:before="40" w:after="40"/>
              <w:rPr>
                <w:sz w:val="20"/>
                <w:szCs w:val="20"/>
              </w:rPr>
            </w:pPr>
            <w:r>
              <w:rPr>
                <w:sz w:val="20"/>
                <w:szCs w:val="20"/>
              </w:rPr>
              <w:t>897</w:t>
            </w:r>
          </w:p>
        </w:tc>
        <w:tc>
          <w:tcPr>
            <w:tcW w:w="1006" w:type="dxa"/>
          </w:tcPr>
          <w:p w:rsidR="00000000" w:rsidRDefault="00000000">
            <w:pPr>
              <w:tabs>
                <w:tab w:val="decimal" w:pos="567"/>
              </w:tabs>
              <w:spacing w:before="40" w:after="40"/>
              <w:rPr>
                <w:sz w:val="20"/>
                <w:szCs w:val="20"/>
              </w:rPr>
            </w:pPr>
            <w:r>
              <w:rPr>
                <w:sz w:val="20"/>
                <w:szCs w:val="20"/>
              </w:rPr>
              <w:t>176</w:t>
            </w:r>
          </w:p>
        </w:tc>
        <w:tc>
          <w:tcPr>
            <w:tcW w:w="961" w:type="dxa"/>
          </w:tcPr>
          <w:p w:rsidR="00000000" w:rsidRDefault="00000000">
            <w:pPr>
              <w:tabs>
                <w:tab w:val="decimal" w:pos="425"/>
              </w:tabs>
              <w:spacing w:before="40" w:after="40"/>
              <w:rPr>
                <w:sz w:val="20"/>
                <w:szCs w:val="20"/>
              </w:rPr>
            </w:pPr>
            <w:r>
              <w:rPr>
                <w:sz w:val="20"/>
                <w:szCs w:val="20"/>
              </w:rPr>
              <w:t>2</w:t>
            </w:r>
          </w:p>
        </w:tc>
        <w:tc>
          <w:tcPr>
            <w:tcW w:w="1007" w:type="dxa"/>
          </w:tcPr>
          <w:p w:rsidR="00000000" w:rsidRDefault="00000000">
            <w:pPr>
              <w:tabs>
                <w:tab w:val="decimal" w:pos="567"/>
              </w:tabs>
              <w:spacing w:before="40" w:after="40"/>
              <w:rPr>
                <w:sz w:val="20"/>
                <w:szCs w:val="20"/>
              </w:rPr>
            </w:pPr>
            <w:r>
              <w:rPr>
                <w:sz w:val="20"/>
                <w:szCs w:val="20"/>
              </w:rPr>
              <w:t>821</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Слепота</w:t>
            </w:r>
          </w:p>
        </w:tc>
        <w:tc>
          <w:tcPr>
            <w:tcW w:w="1059" w:type="dxa"/>
            <w:gridSpan w:val="2"/>
          </w:tcPr>
          <w:p w:rsidR="00000000" w:rsidRDefault="00000000">
            <w:pPr>
              <w:tabs>
                <w:tab w:val="decimal" w:pos="567"/>
              </w:tabs>
              <w:spacing w:before="40" w:after="40"/>
              <w:rPr>
                <w:sz w:val="20"/>
                <w:szCs w:val="20"/>
              </w:rPr>
            </w:pPr>
            <w:r>
              <w:rPr>
                <w:sz w:val="20"/>
                <w:szCs w:val="20"/>
              </w:rPr>
              <w:t>139</w:t>
            </w:r>
          </w:p>
        </w:tc>
        <w:tc>
          <w:tcPr>
            <w:tcW w:w="832" w:type="dxa"/>
          </w:tcPr>
          <w:p w:rsidR="00000000" w:rsidRDefault="00000000">
            <w:pPr>
              <w:tabs>
                <w:tab w:val="decimal" w:pos="425"/>
              </w:tabs>
              <w:spacing w:before="40" w:after="40"/>
              <w:rPr>
                <w:sz w:val="20"/>
                <w:szCs w:val="20"/>
              </w:rPr>
            </w:pPr>
            <w:r>
              <w:rPr>
                <w:sz w:val="20"/>
                <w:szCs w:val="20"/>
              </w:rPr>
              <w:t>4</w:t>
            </w:r>
          </w:p>
        </w:tc>
        <w:tc>
          <w:tcPr>
            <w:tcW w:w="814" w:type="dxa"/>
          </w:tcPr>
          <w:p w:rsidR="00000000" w:rsidRDefault="00000000">
            <w:pPr>
              <w:tabs>
                <w:tab w:val="decimal" w:pos="567"/>
              </w:tabs>
              <w:spacing w:before="40" w:after="40"/>
              <w:rPr>
                <w:sz w:val="20"/>
                <w:szCs w:val="20"/>
              </w:rPr>
            </w:pPr>
            <w:r>
              <w:rPr>
                <w:sz w:val="20"/>
                <w:szCs w:val="20"/>
              </w:rPr>
              <w:t>857</w:t>
            </w:r>
          </w:p>
        </w:tc>
        <w:tc>
          <w:tcPr>
            <w:tcW w:w="957" w:type="dxa"/>
          </w:tcPr>
          <w:p w:rsidR="00000000" w:rsidRDefault="00000000">
            <w:pPr>
              <w:tabs>
                <w:tab w:val="decimal" w:pos="567"/>
              </w:tabs>
              <w:spacing w:before="40" w:after="40"/>
              <w:rPr>
                <w:sz w:val="20"/>
                <w:szCs w:val="20"/>
              </w:rPr>
            </w:pPr>
            <w:r>
              <w:rPr>
                <w:sz w:val="20"/>
                <w:szCs w:val="20"/>
              </w:rPr>
              <w:t>193</w:t>
            </w:r>
          </w:p>
        </w:tc>
        <w:tc>
          <w:tcPr>
            <w:tcW w:w="737" w:type="dxa"/>
          </w:tcPr>
          <w:p w:rsidR="00000000" w:rsidRDefault="00000000">
            <w:pPr>
              <w:tabs>
                <w:tab w:val="decimal" w:pos="397"/>
              </w:tabs>
              <w:spacing w:before="40" w:after="40"/>
              <w:rPr>
                <w:sz w:val="20"/>
                <w:szCs w:val="20"/>
              </w:rPr>
            </w:pPr>
            <w:r>
              <w:rPr>
                <w:sz w:val="20"/>
                <w:szCs w:val="20"/>
              </w:rPr>
              <w:t>5</w:t>
            </w:r>
          </w:p>
        </w:tc>
        <w:tc>
          <w:tcPr>
            <w:tcW w:w="983" w:type="dxa"/>
            <w:gridSpan w:val="2"/>
          </w:tcPr>
          <w:p w:rsidR="00000000" w:rsidRDefault="00000000">
            <w:pPr>
              <w:tabs>
                <w:tab w:val="decimal" w:pos="567"/>
              </w:tabs>
              <w:spacing w:before="40" w:after="40"/>
              <w:rPr>
                <w:sz w:val="20"/>
                <w:szCs w:val="20"/>
              </w:rPr>
            </w:pPr>
            <w:r>
              <w:rPr>
                <w:sz w:val="20"/>
                <w:szCs w:val="20"/>
              </w:rPr>
              <w:t>802</w:t>
            </w:r>
          </w:p>
        </w:tc>
        <w:tc>
          <w:tcPr>
            <w:tcW w:w="1006" w:type="dxa"/>
          </w:tcPr>
          <w:p w:rsidR="00000000" w:rsidRDefault="00000000">
            <w:pPr>
              <w:tabs>
                <w:tab w:val="decimal" w:pos="567"/>
              </w:tabs>
              <w:spacing w:before="40" w:after="40"/>
              <w:rPr>
                <w:sz w:val="20"/>
                <w:szCs w:val="20"/>
              </w:rPr>
            </w:pPr>
            <w:r>
              <w:rPr>
                <w:sz w:val="20"/>
                <w:szCs w:val="20"/>
              </w:rPr>
              <w:t>149</w:t>
            </w:r>
          </w:p>
        </w:tc>
        <w:tc>
          <w:tcPr>
            <w:tcW w:w="961" w:type="dxa"/>
          </w:tcPr>
          <w:p w:rsidR="00000000" w:rsidRDefault="00000000">
            <w:pPr>
              <w:tabs>
                <w:tab w:val="decimal" w:pos="425"/>
              </w:tabs>
              <w:spacing w:before="40" w:after="40"/>
              <w:rPr>
                <w:sz w:val="20"/>
                <w:szCs w:val="20"/>
              </w:rPr>
            </w:pPr>
            <w:r>
              <w:rPr>
                <w:sz w:val="20"/>
                <w:szCs w:val="20"/>
              </w:rPr>
              <w:t>4</w:t>
            </w:r>
          </w:p>
        </w:tc>
        <w:tc>
          <w:tcPr>
            <w:tcW w:w="1007" w:type="dxa"/>
          </w:tcPr>
          <w:p w:rsidR="00000000" w:rsidRDefault="00000000">
            <w:pPr>
              <w:tabs>
                <w:tab w:val="decimal" w:pos="567"/>
              </w:tabs>
              <w:spacing w:before="40" w:after="40"/>
              <w:rPr>
                <w:sz w:val="20"/>
                <w:szCs w:val="20"/>
              </w:rPr>
            </w:pPr>
            <w:r>
              <w:rPr>
                <w:sz w:val="20"/>
                <w:szCs w:val="20"/>
              </w:rPr>
              <w:t>847</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Плохое зрение</w:t>
            </w:r>
          </w:p>
        </w:tc>
        <w:tc>
          <w:tcPr>
            <w:tcW w:w="1059" w:type="dxa"/>
            <w:gridSpan w:val="2"/>
          </w:tcPr>
          <w:p w:rsidR="00000000" w:rsidRDefault="00000000">
            <w:pPr>
              <w:tabs>
                <w:tab w:val="decimal" w:pos="567"/>
              </w:tabs>
              <w:spacing w:before="40" w:after="40"/>
              <w:rPr>
                <w:sz w:val="20"/>
                <w:szCs w:val="20"/>
              </w:rPr>
            </w:pPr>
            <w:r>
              <w:rPr>
                <w:sz w:val="20"/>
                <w:szCs w:val="20"/>
              </w:rPr>
              <w:t>339</w:t>
            </w:r>
          </w:p>
        </w:tc>
        <w:tc>
          <w:tcPr>
            <w:tcW w:w="832" w:type="dxa"/>
          </w:tcPr>
          <w:p w:rsidR="00000000" w:rsidRDefault="00000000">
            <w:pPr>
              <w:tabs>
                <w:tab w:val="decimal" w:pos="425"/>
              </w:tabs>
              <w:spacing w:before="40" w:after="40"/>
              <w:rPr>
                <w:sz w:val="20"/>
                <w:szCs w:val="20"/>
              </w:rPr>
            </w:pPr>
            <w:r>
              <w:rPr>
                <w:sz w:val="20"/>
                <w:szCs w:val="20"/>
              </w:rPr>
              <w:t>5</w:t>
            </w:r>
          </w:p>
        </w:tc>
        <w:tc>
          <w:tcPr>
            <w:tcW w:w="814" w:type="dxa"/>
          </w:tcPr>
          <w:p w:rsidR="00000000" w:rsidRDefault="00000000">
            <w:pPr>
              <w:tabs>
                <w:tab w:val="decimal" w:pos="567"/>
              </w:tabs>
              <w:spacing w:before="40" w:after="40"/>
              <w:rPr>
                <w:sz w:val="20"/>
                <w:szCs w:val="20"/>
              </w:rPr>
            </w:pPr>
            <w:r>
              <w:rPr>
                <w:sz w:val="20"/>
                <w:szCs w:val="20"/>
              </w:rPr>
              <w:t>655</w:t>
            </w:r>
          </w:p>
        </w:tc>
        <w:tc>
          <w:tcPr>
            <w:tcW w:w="957" w:type="dxa"/>
          </w:tcPr>
          <w:p w:rsidR="00000000" w:rsidRDefault="00000000">
            <w:pPr>
              <w:tabs>
                <w:tab w:val="decimal" w:pos="567"/>
              </w:tabs>
              <w:spacing w:before="40" w:after="40"/>
              <w:rPr>
                <w:sz w:val="20"/>
                <w:szCs w:val="20"/>
              </w:rPr>
            </w:pPr>
            <w:r>
              <w:rPr>
                <w:sz w:val="20"/>
                <w:szCs w:val="20"/>
              </w:rPr>
              <w:t>291</w:t>
            </w:r>
          </w:p>
        </w:tc>
        <w:tc>
          <w:tcPr>
            <w:tcW w:w="737" w:type="dxa"/>
          </w:tcPr>
          <w:p w:rsidR="00000000" w:rsidRDefault="00000000">
            <w:pPr>
              <w:tabs>
                <w:tab w:val="decimal" w:pos="397"/>
              </w:tabs>
              <w:spacing w:before="40" w:after="40"/>
              <w:rPr>
                <w:sz w:val="20"/>
                <w:szCs w:val="20"/>
              </w:rPr>
            </w:pPr>
            <w:r>
              <w:rPr>
                <w:sz w:val="20"/>
                <w:szCs w:val="20"/>
              </w:rPr>
              <w:t>7</w:t>
            </w:r>
          </w:p>
        </w:tc>
        <w:tc>
          <w:tcPr>
            <w:tcW w:w="983" w:type="dxa"/>
            <w:gridSpan w:val="2"/>
          </w:tcPr>
          <w:p w:rsidR="00000000" w:rsidRDefault="00000000">
            <w:pPr>
              <w:tabs>
                <w:tab w:val="decimal" w:pos="567"/>
              </w:tabs>
              <w:spacing w:before="40" w:after="40"/>
              <w:rPr>
                <w:sz w:val="20"/>
                <w:szCs w:val="20"/>
              </w:rPr>
            </w:pPr>
            <w:r>
              <w:rPr>
                <w:sz w:val="20"/>
                <w:szCs w:val="20"/>
              </w:rPr>
              <w:t>702</w:t>
            </w:r>
          </w:p>
        </w:tc>
        <w:tc>
          <w:tcPr>
            <w:tcW w:w="1006" w:type="dxa"/>
          </w:tcPr>
          <w:p w:rsidR="00000000" w:rsidRDefault="00000000">
            <w:pPr>
              <w:tabs>
                <w:tab w:val="decimal" w:pos="567"/>
              </w:tabs>
              <w:spacing w:before="40" w:after="40"/>
              <w:rPr>
                <w:sz w:val="20"/>
                <w:szCs w:val="20"/>
              </w:rPr>
            </w:pPr>
            <w:r>
              <w:rPr>
                <w:sz w:val="20"/>
                <w:szCs w:val="20"/>
              </w:rPr>
              <w:t>331</w:t>
            </w:r>
          </w:p>
        </w:tc>
        <w:tc>
          <w:tcPr>
            <w:tcW w:w="961" w:type="dxa"/>
          </w:tcPr>
          <w:p w:rsidR="00000000" w:rsidRDefault="00000000">
            <w:pPr>
              <w:tabs>
                <w:tab w:val="decimal" w:pos="425"/>
              </w:tabs>
              <w:spacing w:before="40" w:after="40"/>
              <w:rPr>
                <w:sz w:val="20"/>
                <w:szCs w:val="20"/>
              </w:rPr>
            </w:pPr>
            <w:r>
              <w:rPr>
                <w:sz w:val="20"/>
                <w:szCs w:val="20"/>
              </w:rPr>
              <w:t>6</w:t>
            </w:r>
          </w:p>
        </w:tc>
        <w:tc>
          <w:tcPr>
            <w:tcW w:w="1007" w:type="dxa"/>
          </w:tcPr>
          <w:p w:rsidR="00000000" w:rsidRDefault="00000000">
            <w:pPr>
              <w:tabs>
                <w:tab w:val="decimal" w:pos="567"/>
              </w:tabs>
              <w:spacing w:before="40" w:after="40"/>
              <w:rPr>
                <w:sz w:val="20"/>
                <w:szCs w:val="20"/>
              </w:rPr>
            </w:pPr>
            <w:r>
              <w:rPr>
                <w:sz w:val="20"/>
                <w:szCs w:val="20"/>
              </w:rPr>
              <w:t>663</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Проблемы слуха</w:t>
            </w:r>
          </w:p>
        </w:tc>
        <w:tc>
          <w:tcPr>
            <w:tcW w:w="1059" w:type="dxa"/>
            <w:gridSpan w:val="2"/>
          </w:tcPr>
          <w:p w:rsidR="00000000" w:rsidRDefault="00000000">
            <w:pPr>
              <w:tabs>
                <w:tab w:val="decimal" w:pos="567"/>
              </w:tabs>
              <w:spacing w:before="40" w:after="40"/>
              <w:rPr>
                <w:sz w:val="20"/>
                <w:szCs w:val="20"/>
              </w:rPr>
            </w:pPr>
            <w:r>
              <w:rPr>
                <w:sz w:val="20"/>
                <w:szCs w:val="20"/>
              </w:rPr>
              <w:t>530</w:t>
            </w:r>
          </w:p>
        </w:tc>
        <w:tc>
          <w:tcPr>
            <w:tcW w:w="832" w:type="dxa"/>
          </w:tcPr>
          <w:p w:rsidR="00000000" w:rsidRDefault="00000000">
            <w:pPr>
              <w:tabs>
                <w:tab w:val="decimal" w:pos="425"/>
              </w:tabs>
              <w:spacing w:before="40" w:after="40"/>
              <w:rPr>
                <w:sz w:val="20"/>
                <w:szCs w:val="20"/>
              </w:rPr>
            </w:pPr>
            <w:r>
              <w:rPr>
                <w:sz w:val="20"/>
                <w:szCs w:val="20"/>
              </w:rPr>
              <w:t>4</w:t>
            </w:r>
          </w:p>
        </w:tc>
        <w:tc>
          <w:tcPr>
            <w:tcW w:w="814" w:type="dxa"/>
          </w:tcPr>
          <w:p w:rsidR="00000000" w:rsidRDefault="00000000">
            <w:pPr>
              <w:tabs>
                <w:tab w:val="decimal" w:pos="567"/>
              </w:tabs>
              <w:spacing w:before="40" w:after="40"/>
              <w:rPr>
                <w:sz w:val="20"/>
                <w:szCs w:val="20"/>
              </w:rPr>
            </w:pPr>
            <w:r>
              <w:rPr>
                <w:sz w:val="20"/>
                <w:szCs w:val="20"/>
              </w:rPr>
              <w:t>466</w:t>
            </w:r>
          </w:p>
        </w:tc>
        <w:tc>
          <w:tcPr>
            <w:tcW w:w="957" w:type="dxa"/>
          </w:tcPr>
          <w:p w:rsidR="00000000" w:rsidRDefault="00000000">
            <w:pPr>
              <w:tabs>
                <w:tab w:val="decimal" w:pos="567"/>
              </w:tabs>
              <w:spacing w:before="40" w:after="40"/>
              <w:rPr>
                <w:sz w:val="20"/>
                <w:szCs w:val="20"/>
              </w:rPr>
            </w:pPr>
            <w:r>
              <w:rPr>
                <w:sz w:val="20"/>
                <w:szCs w:val="20"/>
              </w:rPr>
              <w:t>347</w:t>
            </w:r>
          </w:p>
        </w:tc>
        <w:tc>
          <w:tcPr>
            <w:tcW w:w="737" w:type="dxa"/>
          </w:tcPr>
          <w:p w:rsidR="00000000" w:rsidRDefault="00000000">
            <w:pPr>
              <w:tabs>
                <w:tab w:val="decimal" w:pos="397"/>
              </w:tabs>
              <w:spacing w:before="40" w:after="40"/>
              <w:rPr>
                <w:sz w:val="20"/>
                <w:szCs w:val="20"/>
              </w:rPr>
            </w:pPr>
            <w:r>
              <w:rPr>
                <w:sz w:val="20"/>
                <w:szCs w:val="20"/>
              </w:rPr>
              <w:t>17</w:t>
            </w:r>
          </w:p>
        </w:tc>
        <w:tc>
          <w:tcPr>
            <w:tcW w:w="983" w:type="dxa"/>
            <w:gridSpan w:val="2"/>
          </w:tcPr>
          <w:p w:rsidR="00000000" w:rsidRDefault="00000000">
            <w:pPr>
              <w:tabs>
                <w:tab w:val="decimal" w:pos="567"/>
              </w:tabs>
              <w:spacing w:before="40" w:after="40"/>
              <w:rPr>
                <w:sz w:val="20"/>
                <w:szCs w:val="20"/>
              </w:rPr>
            </w:pPr>
            <w:r>
              <w:rPr>
                <w:sz w:val="20"/>
                <w:szCs w:val="20"/>
              </w:rPr>
              <w:t>635</w:t>
            </w:r>
          </w:p>
        </w:tc>
        <w:tc>
          <w:tcPr>
            <w:tcW w:w="1006" w:type="dxa"/>
          </w:tcPr>
          <w:p w:rsidR="00000000" w:rsidRDefault="00000000">
            <w:pPr>
              <w:tabs>
                <w:tab w:val="decimal" w:pos="567"/>
              </w:tabs>
              <w:spacing w:before="40" w:after="40"/>
              <w:rPr>
                <w:sz w:val="20"/>
                <w:szCs w:val="20"/>
              </w:rPr>
            </w:pPr>
            <w:r>
              <w:rPr>
                <w:sz w:val="20"/>
                <w:szCs w:val="20"/>
              </w:rPr>
              <w:t>492</w:t>
            </w:r>
          </w:p>
        </w:tc>
        <w:tc>
          <w:tcPr>
            <w:tcW w:w="961" w:type="dxa"/>
          </w:tcPr>
          <w:p w:rsidR="00000000" w:rsidRDefault="00000000">
            <w:pPr>
              <w:tabs>
                <w:tab w:val="decimal" w:pos="425"/>
              </w:tabs>
              <w:spacing w:before="40" w:after="40"/>
              <w:rPr>
                <w:sz w:val="20"/>
                <w:szCs w:val="20"/>
              </w:rPr>
            </w:pPr>
            <w:r>
              <w:rPr>
                <w:sz w:val="20"/>
                <w:szCs w:val="20"/>
              </w:rPr>
              <w:t>6</w:t>
            </w:r>
          </w:p>
        </w:tc>
        <w:tc>
          <w:tcPr>
            <w:tcW w:w="1007" w:type="dxa"/>
          </w:tcPr>
          <w:p w:rsidR="00000000" w:rsidRDefault="00000000">
            <w:pPr>
              <w:tabs>
                <w:tab w:val="decimal" w:pos="567"/>
              </w:tabs>
              <w:spacing w:before="40" w:after="40"/>
              <w:rPr>
                <w:sz w:val="20"/>
                <w:szCs w:val="20"/>
              </w:rPr>
            </w:pPr>
            <w:r>
              <w:rPr>
                <w:sz w:val="20"/>
                <w:szCs w:val="20"/>
              </w:rPr>
              <w:t>501</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Проблемы речи</w:t>
            </w:r>
          </w:p>
        </w:tc>
        <w:tc>
          <w:tcPr>
            <w:tcW w:w="1059" w:type="dxa"/>
            <w:gridSpan w:val="2"/>
          </w:tcPr>
          <w:p w:rsidR="00000000" w:rsidRDefault="00000000">
            <w:pPr>
              <w:tabs>
                <w:tab w:val="decimal" w:pos="567"/>
              </w:tabs>
              <w:spacing w:before="40" w:after="40"/>
              <w:rPr>
                <w:sz w:val="20"/>
                <w:szCs w:val="20"/>
              </w:rPr>
            </w:pPr>
            <w:r>
              <w:rPr>
                <w:sz w:val="20"/>
                <w:szCs w:val="20"/>
              </w:rPr>
              <w:t>391</w:t>
            </w:r>
          </w:p>
        </w:tc>
        <w:tc>
          <w:tcPr>
            <w:tcW w:w="832" w:type="dxa"/>
          </w:tcPr>
          <w:p w:rsidR="00000000" w:rsidRDefault="00000000">
            <w:pPr>
              <w:tabs>
                <w:tab w:val="decimal" w:pos="425"/>
              </w:tabs>
              <w:spacing w:before="40" w:after="40"/>
              <w:rPr>
                <w:sz w:val="20"/>
                <w:szCs w:val="20"/>
              </w:rPr>
            </w:pPr>
            <w:r>
              <w:rPr>
                <w:sz w:val="20"/>
                <w:szCs w:val="20"/>
              </w:rPr>
              <w:t>7</w:t>
            </w:r>
          </w:p>
        </w:tc>
        <w:tc>
          <w:tcPr>
            <w:tcW w:w="814" w:type="dxa"/>
          </w:tcPr>
          <w:p w:rsidR="00000000" w:rsidRDefault="00000000">
            <w:pPr>
              <w:tabs>
                <w:tab w:val="decimal" w:pos="567"/>
              </w:tabs>
              <w:spacing w:before="40" w:after="40"/>
              <w:rPr>
                <w:sz w:val="20"/>
                <w:szCs w:val="20"/>
              </w:rPr>
            </w:pPr>
            <w:r>
              <w:rPr>
                <w:sz w:val="20"/>
                <w:szCs w:val="20"/>
              </w:rPr>
              <w:t>602</w:t>
            </w:r>
          </w:p>
        </w:tc>
        <w:tc>
          <w:tcPr>
            <w:tcW w:w="957" w:type="dxa"/>
          </w:tcPr>
          <w:p w:rsidR="00000000" w:rsidRDefault="00000000">
            <w:pPr>
              <w:tabs>
                <w:tab w:val="decimal" w:pos="567"/>
              </w:tabs>
              <w:spacing w:before="40" w:after="40"/>
              <w:rPr>
                <w:sz w:val="20"/>
                <w:szCs w:val="20"/>
              </w:rPr>
            </w:pPr>
            <w:r>
              <w:rPr>
                <w:sz w:val="20"/>
                <w:szCs w:val="20"/>
              </w:rPr>
              <w:t>249</w:t>
            </w:r>
          </w:p>
        </w:tc>
        <w:tc>
          <w:tcPr>
            <w:tcW w:w="737" w:type="dxa"/>
          </w:tcPr>
          <w:p w:rsidR="00000000" w:rsidRDefault="00000000">
            <w:pPr>
              <w:tabs>
                <w:tab w:val="decimal" w:pos="397"/>
              </w:tabs>
              <w:spacing w:before="40" w:after="40"/>
              <w:rPr>
                <w:sz w:val="20"/>
                <w:szCs w:val="20"/>
              </w:rPr>
            </w:pPr>
            <w:r>
              <w:rPr>
                <w:sz w:val="20"/>
                <w:szCs w:val="20"/>
              </w:rPr>
              <w:t>16</w:t>
            </w:r>
          </w:p>
        </w:tc>
        <w:tc>
          <w:tcPr>
            <w:tcW w:w="983" w:type="dxa"/>
            <w:gridSpan w:val="2"/>
          </w:tcPr>
          <w:p w:rsidR="00000000" w:rsidRDefault="00000000">
            <w:pPr>
              <w:tabs>
                <w:tab w:val="decimal" w:pos="567"/>
              </w:tabs>
              <w:spacing w:before="40" w:after="40"/>
              <w:rPr>
                <w:sz w:val="20"/>
                <w:szCs w:val="20"/>
              </w:rPr>
            </w:pPr>
            <w:r>
              <w:rPr>
                <w:sz w:val="20"/>
                <w:szCs w:val="20"/>
              </w:rPr>
              <w:t>734</w:t>
            </w:r>
          </w:p>
        </w:tc>
        <w:tc>
          <w:tcPr>
            <w:tcW w:w="1006" w:type="dxa"/>
          </w:tcPr>
          <w:p w:rsidR="00000000" w:rsidRDefault="00000000">
            <w:pPr>
              <w:tabs>
                <w:tab w:val="decimal" w:pos="567"/>
              </w:tabs>
              <w:spacing w:before="40" w:after="40"/>
              <w:rPr>
                <w:sz w:val="20"/>
                <w:szCs w:val="20"/>
              </w:rPr>
            </w:pPr>
            <w:r>
              <w:rPr>
                <w:sz w:val="20"/>
                <w:szCs w:val="20"/>
              </w:rPr>
              <w:t>356</w:t>
            </w:r>
          </w:p>
        </w:tc>
        <w:tc>
          <w:tcPr>
            <w:tcW w:w="961" w:type="dxa"/>
          </w:tcPr>
          <w:p w:rsidR="00000000" w:rsidRDefault="00000000">
            <w:pPr>
              <w:tabs>
                <w:tab w:val="decimal" w:pos="425"/>
              </w:tabs>
              <w:spacing w:before="40" w:after="40"/>
              <w:rPr>
                <w:sz w:val="20"/>
                <w:szCs w:val="20"/>
              </w:rPr>
            </w:pPr>
            <w:r>
              <w:rPr>
                <w:sz w:val="20"/>
                <w:szCs w:val="20"/>
              </w:rPr>
              <w:t>9</w:t>
            </w:r>
          </w:p>
        </w:tc>
        <w:tc>
          <w:tcPr>
            <w:tcW w:w="1007" w:type="dxa"/>
          </w:tcPr>
          <w:p w:rsidR="00000000" w:rsidRDefault="00000000">
            <w:pPr>
              <w:tabs>
                <w:tab w:val="decimal" w:pos="567"/>
              </w:tabs>
              <w:spacing w:before="40" w:after="40"/>
              <w:rPr>
                <w:sz w:val="20"/>
                <w:szCs w:val="20"/>
              </w:rPr>
            </w:pPr>
            <w:r>
              <w:rPr>
                <w:sz w:val="20"/>
                <w:szCs w:val="20"/>
              </w:rPr>
              <w:t>635</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Заболевания опорно-двигательно-го аппарата</w:t>
            </w:r>
          </w:p>
        </w:tc>
        <w:tc>
          <w:tcPr>
            <w:tcW w:w="1059" w:type="dxa"/>
            <w:gridSpan w:val="2"/>
          </w:tcPr>
          <w:p w:rsidR="00000000" w:rsidRDefault="00000000">
            <w:pPr>
              <w:tabs>
                <w:tab w:val="decimal" w:pos="567"/>
              </w:tabs>
              <w:spacing w:before="40" w:after="40"/>
              <w:rPr>
                <w:sz w:val="20"/>
                <w:szCs w:val="20"/>
              </w:rPr>
            </w:pPr>
            <w:r>
              <w:rPr>
                <w:sz w:val="20"/>
                <w:szCs w:val="20"/>
              </w:rPr>
              <w:t>387</w:t>
            </w:r>
          </w:p>
        </w:tc>
        <w:tc>
          <w:tcPr>
            <w:tcW w:w="832" w:type="dxa"/>
          </w:tcPr>
          <w:p w:rsidR="00000000" w:rsidRDefault="00000000">
            <w:pPr>
              <w:tabs>
                <w:tab w:val="decimal" w:pos="425"/>
              </w:tabs>
              <w:spacing w:before="40" w:after="40"/>
              <w:rPr>
                <w:sz w:val="20"/>
                <w:szCs w:val="20"/>
              </w:rPr>
            </w:pPr>
            <w:r>
              <w:rPr>
                <w:sz w:val="20"/>
                <w:szCs w:val="20"/>
              </w:rPr>
              <w:t>11</w:t>
            </w:r>
          </w:p>
        </w:tc>
        <w:tc>
          <w:tcPr>
            <w:tcW w:w="814" w:type="dxa"/>
          </w:tcPr>
          <w:p w:rsidR="00000000" w:rsidRDefault="00000000">
            <w:pPr>
              <w:tabs>
                <w:tab w:val="decimal" w:pos="567"/>
              </w:tabs>
              <w:spacing w:before="40" w:after="40"/>
              <w:rPr>
                <w:sz w:val="20"/>
                <w:szCs w:val="20"/>
              </w:rPr>
            </w:pPr>
            <w:r>
              <w:rPr>
                <w:sz w:val="20"/>
                <w:szCs w:val="20"/>
              </w:rPr>
              <w:t>602</w:t>
            </w:r>
          </w:p>
        </w:tc>
        <w:tc>
          <w:tcPr>
            <w:tcW w:w="957" w:type="dxa"/>
          </w:tcPr>
          <w:p w:rsidR="00000000" w:rsidRDefault="00000000">
            <w:pPr>
              <w:tabs>
                <w:tab w:val="decimal" w:pos="567"/>
              </w:tabs>
              <w:spacing w:before="40" w:after="40"/>
              <w:rPr>
                <w:sz w:val="20"/>
                <w:szCs w:val="20"/>
              </w:rPr>
            </w:pPr>
            <w:r>
              <w:rPr>
                <w:sz w:val="20"/>
                <w:szCs w:val="20"/>
              </w:rPr>
              <w:t>404</w:t>
            </w:r>
          </w:p>
        </w:tc>
        <w:tc>
          <w:tcPr>
            <w:tcW w:w="737" w:type="dxa"/>
          </w:tcPr>
          <w:p w:rsidR="00000000" w:rsidRDefault="00000000">
            <w:pPr>
              <w:tabs>
                <w:tab w:val="decimal" w:pos="397"/>
              </w:tabs>
              <w:spacing w:before="40" w:after="40"/>
              <w:rPr>
                <w:sz w:val="20"/>
                <w:szCs w:val="20"/>
              </w:rPr>
            </w:pPr>
            <w:r>
              <w:rPr>
                <w:sz w:val="20"/>
                <w:szCs w:val="20"/>
              </w:rPr>
              <w:t>22</w:t>
            </w:r>
          </w:p>
        </w:tc>
        <w:tc>
          <w:tcPr>
            <w:tcW w:w="983" w:type="dxa"/>
            <w:gridSpan w:val="2"/>
          </w:tcPr>
          <w:p w:rsidR="00000000" w:rsidRDefault="00000000">
            <w:pPr>
              <w:tabs>
                <w:tab w:val="decimal" w:pos="567"/>
              </w:tabs>
              <w:spacing w:before="40" w:after="40"/>
              <w:rPr>
                <w:sz w:val="20"/>
                <w:szCs w:val="20"/>
              </w:rPr>
            </w:pPr>
            <w:r>
              <w:rPr>
                <w:sz w:val="20"/>
                <w:szCs w:val="20"/>
              </w:rPr>
              <w:t>574</w:t>
            </w:r>
          </w:p>
        </w:tc>
        <w:tc>
          <w:tcPr>
            <w:tcW w:w="1006" w:type="dxa"/>
          </w:tcPr>
          <w:p w:rsidR="00000000" w:rsidRDefault="00000000">
            <w:pPr>
              <w:tabs>
                <w:tab w:val="decimal" w:pos="567"/>
              </w:tabs>
              <w:spacing w:before="40" w:after="40"/>
              <w:rPr>
                <w:sz w:val="20"/>
                <w:szCs w:val="20"/>
              </w:rPr>
            </w:pPr>
            <w:r>
              <w:rPr>
                <w:sz w:val="20"/>
                <w:szCs w:val="20"/>
              </w:rPr>
              <w:t>391</w:t>
            </w:r>
          </w:p>
        </w:tc>
        <w:tc>
          <w:tcPr>
            <w:tcW w:w="961" w:type="dxa"/>
          </w:tcPr>
          <w:p w:rsidR="00000000" w:rsidRDefault="00000000">
            <w:pPr>
              <w:tabs>
                <w:tab w:val="decimal" w:pos="425"/>
              </w:tabs>
              <w:spacing w:before="40" w:after="40"/>
              <w:rPr>
                <w:sz w:val="20"/>
                <w:szCs w:val="20"/>
              </w:rPr>
            </w:pPr>
            <w:r>
              <w:rPr>
                <w:sz w:val="20"/>
                <w:szCs w:val="20"/>
              </w:rPr>
              <w:t>14</w:t>
            </w:r>
          </w:p>
        </w:tc>
        <w:tc>
          <w:tcPr>
            <w:tcW w:w="1007" w:type="dxa"/>
          </w:tcPr>
          <w:p w:rsidR="00000000" w:rsidRDefault="00000000">
            <w:pPr>
              <w:tabs>
                <w:tab w:val="decimal" w:pos="567"/>
              </w:tabs>
              <w:spacing w:before="40" w:after="40"/>
              <w:rPr>
                <w:sz w:val="20"/>
                <w:szCs w:val="20"/>
              </w:rPr>
            </w:pPr>
            <w:r>
              <w:rPr>
                <w:sz w:val="20"/>
                <w:szCs w:val="20"/>
              </w:rPr>
              <w:t>595</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Все инвалиды</w:t>
            </w:r>
          </w:p>
        </w:tc>
        <w:tc>
          <w:tcPr>
            <w:tcW w:w="1059" w:type="dxa"/>
            <w:gridSpan w:val="2"/>
          </w:tcPr>
          <w:p w:rsidR="00000000" w:rsidRDefault="00000000">
            <w:pPr>
              <w:tabs>
                <w:tab w:val="decimal" w:pos="567"/>
              </w:tabs>
              <w:spacing w:before="40" w:after="40"/>
              <w:rPr>
                <w:sz w:val="20"/>
                <w:szCs w:val="20"/>
              </w:rPr>
            </w:pPr>
            <w:r>
              <w:rPr>
                <w:sz w:val="20"/>
                <w:szCs w:val="20"/>
              </w:rPr>
              <w:t>369</w:t>
            </w:r>
          </w:p>
        </w:tc>
        <w:tc>
          <w:tcPr>
            <w:tcW w:w="832" w:type="dxa"/>
          </w:tcPr>
          <w:p w:rsidR="00000000" w:rsidRDefault="00000000">
            <w:pPr>
              <w:tabs>
                <w:tab w:val="decimal" w:pos="425"/>
              </w:tabs>
              <w:spacing w:before="40" w:after="40"/>
              <w:rPr>
                <w:sz w:val="20"/>
                <w:szCs w:val="20"/>
              </w:rPr>
            </w:pPr>
            <w:r>
              <w:rPr>
                <w:sz w:val="20"/>
                <w:szCs w:val="20"/>
              </w:rPr>
              <w:t>8</w:t>
            </w:r>
          </w:p>
        </w:tc>
        <w:tc>
          <w:tcPr>
            <w:tcW w:w="814" w:type="dxa"/>
          </w:tcPr>
          <w:p w:rsidR="00000000" w:rsidRDefault="00000000">
            <w:pPr>
              <w:tabs>
                <w:tab w:val="decimal" w:pos="567"/>
              </w:tabs>
              <w:spacing w:before="40" w:after="40"/>
              <w:rPr>
                <w:sz w:val="20"/>
                <w:szCs w:val="20"/>
              </w:rPr>
            </w:pPr>
            <w:r>
              <w:rPr>
                <w:sz w:val="20"/>
                <w:szCs w:val="20"/>
              </w:rPr>
              <w:t>622</w:t>
            </w:r>
          </w:p>
        </w:tc>
        <w:tc>
          <w:tcPr>
            <w:tcW w:w="957" w:type="dxa"/>
          </w:tcPr>
          <w:p w:rsidR="00000000" w:rsidRDefault="00000000">
            <w:pPr>
              <w:tabs>
                <w:tab w:val="decimal" w:pos="567"/>
              </w:tabs>
              <w:spacing w:before="40" w:after="40"/>
              <w:rPr>
                <w:sz w:val="20"/>
                <w:szCs w:val="20"/>
              </w:rPr>
            </w:pPr>
            <w:r>
              <w:rPr>
                <w:sz w:val="20"/>
                <w:szCs w:val="20"/>
              </w:rPr>
              <w:t>347</w:t>
            </w:r>
          </w:p>
        </w:tc>
        <w:tc>
          <w:tcPr>
            <w:tcW w:w="737" w:type="dxa"/>
          </w:tcPr>
          <w:p w:rsidR="00000000" w:rsidRDefault="00000000">
            <w:pPr>
              <w:tabs>
                <w:tab w:val="decimal" w:pos="397"/>
              </w:tabs>
              <w:spacing w:before="40" w:after="40"/>
              <w:rPr>
                <w:sz w:val="20"/>
                <w:szCs w:val="20"/>
              </w:rPr>
            </w:pPr>
            <w:r>
              <w:rPr>
                <w:sz w:val="20"/>
                <w:szCs w:val="20"/>
              </w:rPr>
              <w:t>18</w:t>
            </w:r>
          </w:p>
        </w:tc>
        <w:tc>
          <w:tcPr>
            <w:tcW w:w="983" w:type="dxa"/>
            <w:gridSpan w:val="2"/>
          </w:tcPr>
          <w:p w:rsidR="00000000" w:rsidRDefault="00000000">
            <w:pPr>
              <w:tabs>
                <w:tab w:val="decimal" w:pos="567"/>
              </w:tabs>
              <w:spacing w:before="40" w:after="40"/>
              <w:rPr>
                <w:sz w:val="20"/>
                <w:szCs w:val="20"/>
              </w:rPr>
            </w:pPr>
            <w:r>
              <w:rPr>
                <w:sz w:val="20"/>
                <w:szCs w:val="20"/>
              </w:rPr>
              <w:t>635</w:t>
            </w:r>
          </w:p>
        </w:tc>
        <w:tc>
          <w:tcPr>
            <w:tcW w:w="1006" w:type="dxa"/>
          </w:tcPr>
          <w:p w:rsidR="00000000" w:rsidRDefault="00000000">
            <w:pPr>
              <w:tabs>
                <w:tab w:val="decimal" w:pos="567"/>
              </w:tabs>
              <w:spacing w:before="40" w:after="40"/>
              <w:rPr>
                <w:sz w:val="20"/>
                <w:szCs w:val="20"/>
              </w:rPr>
            </w:pPr>
            <w:r>
              <w:rPr>
                <w:sz w:val="20"/>
                <w:szCs w:val="20"/>
              </w:rPr>
              <w:t>364</w:t>
            </w:r>
          </w:p>
        </w:tc>
        <w:tc>
          <w:tcPr>
            <w:tcW w:w="961" w:type="dxa"/>
          </w:tcPr>
          <w:p w:rsidR="00000000" w:rsidRDefault="00000000">
            <w:pPr>
              <w:tabs>
                <w:tab w:val="decimal" w:pos="425"/>
              </w:tabs>
              <w:spacing w:before="40" w:after="40"/>
              <w:rPr>
                <w:sz w:val="20"/>
                <w:szCs w:val="20"/>
              </w:rPr>
            </w:pPr>
            <w:r>
              <w:rPr>
                <w:sz w:val="20"/>
                <w:szCs w:val="20"/>
              </w:rPr>
              <w:t>11</w:t>
            </w:r>
          </w:p>
        </w:tc>
        <w:tc>
          <w:tcPr>
            <w:tcW w:w="1007" w:type="dxa"/>
          </w:tcPr>
          <w:p w:rsidR="00000000" w:rsidRDefault="00000000">
            <w:pPr>
              <w:tabs>
                <w:tab w:val="decimal" w:pos="567"/>
              </w:tabs>
              <w:spacing w:before="40" w:after="40"/>
              <w:rPr>
                <w:sz w:val="20"/>
                <w:szCs w:val="20"/>
              </w:rPr>
            </w:pPr>
            <w:r>
              <w:rPr>
                <w:sz w:val="20"/>
                <w:szCs w:val="20"/>
              </w:rPr>
              <w:t>625</w:t>
            </w:r>
          </w:p>
        </w:tc>
      </w:tr>
      <w:tr w:rsidR="00000000">
        <w:tblPrEx>
          <w:tblCellMar>
            <w:top w:w="0" w:type="dxa"/>
            <w:bottom w:w="0" w:type="dxa"/>
          </w:tblCellMar>
        </w:tblPrEx>
        <w:trPr>
          <w:cantSplit/>
        </w:trPr>
        <w:tc>
          <w:tcPr>
            <w:tcW w:w="9639" w:type="dxa"/>
            <w:gridSpan w:val="12"/>
          </w:tcPr>
          <w:p w:rsidR="00000000" w:rsidRDefault="00000000">
            <w:pPr>
              <w:pageBreakBefore/>
              <w:spacing w:before="40" w:after="40"/>
              <w:jc w:val="both"/>
              <w:rPr>
                <w:sz w:val="20"/>
                <w:szCs w:val="20"/>
              </w:rPr>
            </w:pPr>
            <w:r>
              <w:rPr>
                <w:sz w:val="20"/>
                <w:szCs w:val="20"/>
              </w:rPr>
              <w:t>Женщины</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Умственная отсталость</w:t>
            </w:r>
          </w:p>
        </w:tc>
        <w:tc>
          <w:tcPr>
            <w:tcW w:w="1059" w:type="dxa"/>
            <w:gridSpan w:val="2"/>
          </w:tcPr>
          <w:p w:rsidR="00000000" w:rsidRDefault="00000000">
            <w:pPr>
              <w:tabs>
                <w:tab w:val="decimal" w:pos="567"/>
              </w:tabs>
              <w:spacing w:before="40" w:after="40"/>
              <w:rPr>
                <w:sz w:val="20"/>
                <w:szCs w:val="20"/>
              </w:rPr>
            </w:pPr>
            <w:r>
              <w:rPr>
                <w:sz w:val="20"/>
                <w:szCs w:val="20"/>
              </w:rPr>
              <w:t>20</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980</w:t>
            </w:r>
          </w:p>
        </w:tc>
        <w:tc>
          <w:tcPr>
            <w:tcW w:w="957" w:type="dxa"/>
          </w:tcPr>
          <w:p w:rsidR="00000000" w:rsidRDefault="00000000">
            <w:pPr>
              <w:tabs>
                <w:tab w:val="decimal" w:pos="567"/>
              </w:tabs>
              <w:spacing w:before="40" w:after="40"/>
              <w:rPr>
                <w:sz w:val="20"/>
                <w:szCs w:val="20"/>
              </w:rPr>
            </w:pPr>
            <w:r>
              <w:rPr>
                <w:sz w:val="20"/>
                <w:szCs w:val="20"/>
              </w:rPr>
              <w:t>5</w:t>
            </w:r>
          </w:p>
        </w:tc>
        <w:tc>
          <w:tcPr>
            <w:tcW w:w="737" w:type="dxa"/>
          </w:tcPr>
          <w:p w:rsidR="00000000" w:rsidRDefault="00000000">
            <w:pPr>
              <w:tabs>
                <w:tab w:val="decimal" w:pos="397"/>
              </w:tabs>
              <w:spacing w:before="40" w:after="40"/>
              <w:rPr>
                <w:sz w:val="20"/>
                <w:szCs w:val="20"/>
              </w:rPr>
            </w:pPr>
            <w:r>
              <w:rPr>
                <w:sz w:val="20"/>
                <w:szCs w:val="20"/>
              </w:rPr>
              <w:t>1</w:t>
            </w:r>
          </w:p>
        </w:tc>
        <w:tc>
          <w:tcPr>
            <w:tcW w:w="967" w:type="dxa"/>
          </w:tcPr>
          <w:p w:rsidR="00000000" w:rsidRDefault="00000000">
            <w:pPr>
              <w:tabs>
                <w:tab w:val="decimal" w:pos="567"/>
              </w:tabs>
              <w:spacing w:before="40" w:after="40"/>
              <w:rPr>
                <w:sz w:val="20"/>
                <w:szCs w:val="20"/>
              </w:rPr>
            </w:pPr>
            <w:r>
              <w:rPr>
                <w:sz w:val="20"/>
                <w:szCs w:val="20"/>
              </w:rPr>
              <w:t>994</w:t>
            </w:r>
          </w:p>
        </w:tc>
        <w:tc>
          <w:tcPr>
            <w:tcW w:w="1022" w:type="dxa"/>
            <w:gridSpan w:val="2"/>
          </w:tcPr>
          <w:p w:rsidR="00000000" w:rsidRDefault="00000000">
            <w:pPr>
              <w:tabs>
                <w:tab w:val="decimal" w:pos="567"/>
              </w:tabs>
              <w:spacing w:before="40" w:after="40"/>
              <w:rPr>
                <w:sz w:val="20"/>
                <w:szCs w:val="20"/>
              </w:rPr>
            </w:pPr>
            <w:r>
              <w:rPr>
                <w:sz w:val="20"/>
                <w:szCs w:val="20"/>
              </w:rPr>
              <w:t>16</w:t>
            </w:r>
          </w:p>
        </w:tc>
        <w:tc>
          <w:tcPr>
            <w:tcW w:w="961" w:type="dxa"/>
          </w:tcPr>
          <w:p w:rsidR="00000000" w:rsidRDefault="00000000">
            <w:pPr>
              <w:tabs>
                <w:tab w:val="decimal" w:pos="425"/>
              </w:tabs>
              <w:spacing w:before="40" w:after="40"/>
              <w:rPr>
                <w:sz w:val="20"/>
                <w:szCs w:val="20"/>
              </w:rPr>
            </w:pPr>
            <w:r>
              <w:rPr>
                <w:sz w:val="20"/>
                <w:szCs w:val="20"/>
              </w:rPr>
              <w:t>0</w:t>
            </w:r>
          </w:p>
        </w:tc>
        <w:tc>
          <w:tcPr>
            <w:tcW w:w="1007" w:type="dxa"/>
          </w:tcPr>
          <w:p w:rsidR="00000000" w:rsidRDefault="00000000">
            <w:pPr>
              <w:tabs>
                <w:tab w:val="decimal" w:pos="567"/>
              </w:tabs>
              <w:spacing w:before="40" w:after="40"/>
              <w:rPr>
                <w:sz w:val="20"/>
                <w:szCs w:val="20"/>
              </w:rPr>
            </w:pPr>
            <w:r>
              <w:rPr>
                <w:sz w:val="20"/>
                <w:szCs w:val="20"/>
              </w:rPr>
              <w:t>984</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Психическая болезнь</w:t>
            </w:r>
          </w:p>
        </w:tc>
        <w:tc>
          <w:tcPr>
            <w:tcW w:w="1059" w:type="dxa"/>
            <w:gridSpan w:val="2"/>
          </w:tcPr>
          <w:p w:rsidR="00000000" w:rsidRDefault="00000000">
            <w:pPr>
              <w:tabs>
                <w:tab w:val="decimal" w:pos="567"/>
              </w:tabs>
              <w:spacing w:before="40" w:after="40"/>
              <w:rPr>
                <w:sz w:val="20"/>
                <w:szCs w:val="20"/>
              </w:rPr>
            </w:pPr>
            <w:r>
              <w:rPr>
                <w:sz w:val="20"/>
                <w:szCs w:val="20"/>
              </w:rPr>
              <w:t>59</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941</w:t>
            </w:r>
          </w:p>
        </w:tc>
        <w:tc>
          <w:tcPr>
            <w:tcW w:w="957" w:type="dxa"/>
          </w:tcPr>
          <w:p w:rsidR="00000000" w:rsidRDefault="00000000">
            <w:pPr>
              <w:tabs>
                <w:tab w:val="decimal" w:pos="567"/>
              </w:tabs>
              <w:spacing w:before="40" w:after="40"/>
              <w:rPr>
                <w:sz w:val="20"/>
                <w:szCs w:val="20"/>
              </w:rPr>
            </w:pPr>
            <w:r>
              <w:rPr>
                <w:sz w:val="20"/>
                <w:szCs w:val="20"/>
              </w:rPr>
              <w:t>15</w:t>
            </w:r>
          </w:p>
        </w:tc>
        <w:tc>
          <w:tcPr>
            <w:tcW w:w="737" w:type="dxa"/>
          </w:tcPr>
          <w:p w:rsidR="00000000" w:rsidRDefault="00000000">
            <w:pPr>
              <w:tabs>
                <w:tab w:val="decimal" w:pos="397"/>
              </w:tabs>
              <w:spacing w:before="40" w:after="40"/>
              <w:rPr>
                <w:sz w:val="20"/>
                <w:szCs w:val="20"/>
              </w:rPr>
            </w:pPr>
            <w:r>
              <w:rPr>
                <w:sz w:val="20"/>
                <w:szCs w:val="20"/>
              </w:rPr>
              <w:t>0</w:t>
            </w:r>
          </w:p>
        </w:tc>
        <w:tc>
          <w:tcPr>
            <w:tcW w:w="967" w:type="dxa"/>
          </w:tcPr>
          <w:p w:rsidR="00000000" w:rsidRDefault="00000000">
            <w:pPr>
              <w:tabs>
                <w:tab w:val="decimal" w:pos="567"/>
              </w:tabs>
              <w:spacing w:before="40" w:after="40"/>
              <w:rPr>
                <w:sz w:val="20"/>
                <w:szCs w:val="20"/>
              </w:rPr>
            </w:pPr>
            <w:r>
              <w:rPr>
                <w:sz w:val="20"/>
                <w:szCs w:val="20"/>
              </w:rPr>
              <w:t>985</w:t>
            </w:r>
          </w:p>
        </w:tc>
        <w:tc>
          <w:tcPr>
            <w:tcW w:w="1022" w:type="dxa"/>
            <w:gridSpan w:val="2"/>
          </w:tcPr>
          <w:p w:rsidR="00000000" w:rsidRDefault="00000000">
            <w:pPr>
              <w:tabs>
                <w:tab w:val="decimal" w:pos="567"/>
              </w:tabs>
              <w:spacing w:before="40" w:after="40"/>
              <w:rPr>
                <w:sz w:val="20"/>
                <w:szCs w:val="20"/>
              </w:rPr>
            </w:pPr>
            <w:r>
              <w:rPr>
                <w:sz w:val="20"/>
                <w:szCs w:val="20"/>
              </w:rPr>
              <w:t>49</w:t>
            </w:r>
          </w:p>
        </w:tc>
        <w:tc>
          <w:tcPr>
            <w:tcW w:w="961" w:type="dxa"/>
          </w:tcPr>
          <w:p w:rsidR="00000000" w:rsidRDefault="00000000">
            <w:pPr>
              <w:tabs>
                <w:tab w:val="decimal" w:pos="425"/>
              </w:tabs>
              <w:spacing w:before="40" w:after="40"/>
              <w:rPr>
                <w:sz w:val="20"/>
                <w:szCs w:val="20"/>
              </w:rPr>
            </w:pPr>
            <w:r>
              <w:rPr>
                <w:sz w:val="20"/>
                <w:szCs w:val="20"/>
              </w:rPr>
              <w:t>0</w:t>
            </w:r>
          </w:p>
        </w:tc>
        <w:tc>
          <w:tcPr>
            <w:tcW w:w="1007" w:type="dxa"/>
          </w:tcPr>
          <w:p w:rsidR="00000000" w:rsidRDefault="00000000">
            <w:pPr>
              <w:tabs>
                <w:tab w:val="decimal" w:pos="567"/>
              </w:tabs>
              <w:spacing w:before="40" w:after="40"/>
              <w:rPr>
                <w:sz w:val="20"/>
                <w:szCs w:val="20"/>
              </w:rPr>
            </w:pPr>
            <w:r>
              <w:rPr>
                <w:sz w:val="20"/>
                <w:szCs w:val="20"/>
              </w:rPr>
              <w:t>951</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Слепота</w:t>
            </w:r>
          </w:p>
        </w:tc>
        <w:tc>
          <w:tcPr>
            <w:tcW w:w="1059" w:type="dxa"/>
            <w:gridSpan w:val="2"/>
          </w:tcPr>
          <w:p w:rsidR="00000000" w:rsidRDefault="00000000">
            <w:pPr>
              <w:tabs>
                <w:tab w:val="decimal" w:pos="567"/>
              </w:tabs>
              <w:spacing w:before="40" w:after="40"/>
              <w:rPr>
                <w:sz w:val="20"/>
                <w:szCs w:val="20"/>
              </w:rPr>
            </w:pPr>
            <w:r>
              <w:rPr>
                <w:sz w:val="20"/>
                <w:szCs w:val="20"/>
              </w:rPr>
              <w:t>43</w:t>
            </w:r>
          </w:p>
        </w:tc>
        <w:tc>
          <w:tcPr>
            <w:tcW w:w="832" w:type="dxa"/>
          </w:tcPr>
          <w:p w:rsidR="00000000" w:rsidRDefault="00000000">
            <w:pPr>
              <w:tabs>
                <w:tab w:val="decimal" w:pos="425"/>
              </w:tabs>
              <w:spacing w:before="40" w:after="40"/>
              <w:rPr>
                <w:sz w:val="20"/>
                <w:szCs w:val="20"/>
              </w:rPr>
            </w:pPr>
            <w:r>
              <w:rPr>
                <w:sz w:val="20"/>
                <w:szCs w:val="20"/>
              </w:rPr>
              <w:t>1</w:t>
            </w:r>
          </w:p>
        </w:tc>
        <w:tc>
          <w:tcPr>
            <w:tcW w:w="814" w:type="dxa"/>
          </w:tcPr>
          <w:p w:rsidR="00000000" w:rsidRDefault="00000000">
            <w:pPr>
              <w:tabs>
                <w:tab w:val="decimal" w:pos="567"/>
              </w:tabs>
              <w:spacing w:before="40" w:after="40"/>
              <w:rPr>
                <w:sz w:val="20"/>
                <w:szCs w:val="20"/>
              </w:rPr>
            </w:pPr>
            <w:r>
              <w:rPr>
                <w:sz w:val="20"/>
                <w:szCs w:val="20"/>
              </w:rPr>
              <w:t>956</w:t>
            </w:r>
          </w:p>
        </w:tc>
        <w:tc>
          <w:tcPr>
            <w:tcW w:w="957" w:type="dxa"/>
          </w:tcPr>
          <w:p w:rsidR="00000000" w:rsidRDefault="00000000">
            <w:pPr>
              <w:tabs>
                <w:tab w:val="decimal" w:pos="567"/>
              </w:tabs>
              <w:spacing w:before="40" w:after="40"/>
              <w:rPr>
                <w:sz w:val="20"/>
                <w:szCs w:val="20"/>
              </w:rPr>
            </w:pPr>
            <w:r>
              <w:rPr>
                <w:sz w:val="20"/>
                <w:szCs w:val="20"/>
              </w:rPr>
              <w:t>33</w:t>
            </w:r>
          </w:p>
        </w:tc>
        <w:tc>
          <w:tcPr>
            <w:tcW w:w="737" w:type="dxa"/>
          </w:tcPr>
          <w:p w:rsidR="00000000" w:rsidRDefault="00000000">
            <w:pPr>
              <w:tabs>
                <w:tab w:val="decimal" w:pos="397"/>
              </w:tabs>
              <w:spacing w:before="40" w:after="40"/>
              <w:rPr>
                <w:sz w:val="20"/>
                <w:szCs w:val="20"/>
              </w:rPr>
            </w:pPr>
            <w:r>
              <w:rPr>
                <w:sz w:val="20"/>
                <w:szCs w:val="20"/>
              </w:rPr>
              <w:t>3</w:t>
            </w:r>
          </w:p>
        </w:tc>
        <w:tc>
          <w:tcPr>
            <w:tcW w:w="967" w:type="dxa"/>
          </w:tcPr>
          <w:p w:rsidR="00000000" w:rsidRDefault="00000000">
            <w:pPr>
              <w:tabs>
                <w:tab w:val="decimal" w:pos="567"/>
              </w:tabs>
              <w:spacing w:before="40" w:after="40"/>
              <w:rPr>
                <w:sz w:val="20"/>
                <w:szCs w:val="20"/>
              </w:rPr>
            </w:pPr>
            <w:r>
              <w:rPr>
                <w:sz w:val="20"/>
                <w:szCs w:val="20"/>
              </w:rPr>
              <w:t>963</w:t>
            </w:r>
          </w:p>
        </w:tc>
        <w:tc>
          <w:tcPr>
            <w:tcW w:w="1022" w:type="dxa"/>
            <w:gridSpan w:val="2"/>
          </w:tcPr>
          <w:p w:rsidR="00000000" w:rsidRDefault="00000000">
            <w:pPr>
              <w:tabs>
                <w:tab w:val="decimal" w:pos="567"/>
              </w:tabs>
              <w:spacing w:before="40" w:after="40"/>
              <w:rPr>
                <w:sz w:val="20"/>
                <w:szCs w:val="20"/>
              </w:rPr>
            </w:pPr>
            <w:r>
              <w:rPr>
                <w:sz w:val="20"/>
                <w:szCs w:val="20"/>
              </w:rPr>
              <w:t>41</w:t>
            </w:r>
          </w:p>
        </w:tc>
        <w:tc>
          <w:tcPr>
            <w:tcW w:w="961" w:type="dxa"/>
          </w:tcPr>
          <w:p w:rsidR="00000000" w:rsidRDefault="00000000">
            <w:pPr>
              <w:tabs>
                <w:tab w:val="decimal" w:pos="425"/>
              </w:tabs>
              <w:spacing w:before="40" w:after="40"/>
              <w:rPr>
                <w:sz w:val="20"/>
                <w:szCs w:val="20"/>
              </w:rPr>
            </w:pPr>
            <w:r>
              <w:rPr>
                <w:sz w:val="20"/>
                <w:szCs w:val="20"/>
              </w:rPr>
              <w:t>1</w:t>
            </w:r>
          </w:p>
        </w:tc>
        <w:tc>
          <w:tcPr>
            <w:tcW w:w="1007" w:type="dxa"/>
          </w:tcPr>
          <w:p w:rsidR="00000000" w:rsidRDefault="00000000">
            <w:pPr>
              <w:tabs>
                <w:tab w:val="decimal" w:pos="567"/>
              </w:tabs>
              <w:spacing w:before="40" w:after="40"/>
              <w:rPr>
                <w:sz w:val="20"/>
                <w:szCs w:val="20"/>
              </w:rPr>
            </w:pPr>
            <w:r>
              <w:rPr>
                <w:sz w:val="20"/>
                <w:szCs w:val="20"/>
              </w:rPr>
              <w:t>958</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Плохое зрение</w:t>
            </w:r>
          </w:p>
        </w:tc>
        <w:tc>
          <w:tcPr>
            <w:tcW w:w="1059" w:type="dxa"/>
            <w:gridSpan w:val="2"/>
          </w:tcPr>
          <w:p w:rsidR="00000000" w:rsidRDefault="00000000">
            <w:pPr>
              <w:tabs>
                <w:tab w:val="decimal" w:pos="567"/>
              </w:tabs>
              <w:spacing w:before="40" w:after="40"/>
              <w:rPr>
                <w:sz w:val="20"/>
                <w:szCs w:val="20"/>
              </w:rPr>
            </w:pPr>
            <w:r>
              <w:rPr>
                <w:sz w:val="20"/>
                <w:szCs w:val="20"/>
              </w:rPr>
              <w:t>73</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927</w:t>
            </w:r>
          </w:p>
        </w:tc>
        <w:tc>
          <w:tcPr>
            <w:tcW w:w="957" w:type="dxa"/>
          </w:tcPr>
          <w:p w:rsidR="00000000" w:rsidRDefault="00000000">
            <w:pPr>
              <w:tabs>
                <w:tab w:val="decimal" w:pos="567"/>
              </w:tabs>
              <w:spacing w:before="40" w:after="40"/>
              <w:rPr>
                <w:sz w:val="20"/>
                <w:szCs w:val="20"/>
              </w:rPr>
            </w:pPr>
            <w:r>
              <w:rPr>
                <w:sz w:val="20"/>
                <w:szCs w:val="20"/>
              </w:rPr>
              <w:t>51</w:t>
            </w:r>
          </w:p>
        </w:tc>
        <w:tc>
          <w:tcPr>
            <w:tcW w:w="737" w:type="dxa"/>
          </w:tcPr>
          <w:p w:rsidR="00000000" w:rsidRDefault="00000000">
            <w:pPr>
              <w:tabs>
                <w:tab w:val="decimal" w:pos="397"/>
              </w:tabs>
              <w:spacing w:before="40" w:after="40"/>
              <w:rPr>
                <w:sz w:val="20"/>
                <w:szCs w:val="20"/>
              </w:rPr>
            </w:pPr>
            <w:r>
              <w:rPr>
                <w:sz w:val="20"/>
                <w:szCs w:val="20"/>
              </w:rPr>
              <w:t>0</w:t>
            </w:r>
          </w:p>
        </w:tc>
        <w:tc>
          <w:tcPr>
            <w:tcW w:w="967" w:type="dxa"/>
          </w:tcPr>
          <w:p w:rsidR="00000000" w:rsidRDefault="00000000">
            <w:pPr>
              <w:tabs>
                <w:tab w:val="decimal" w:pos="567"/>
              </w:tabs>
              <w:spacing w:before="40" w:after="40"/>
              <w:rPr>
                <w:sz w:val="20"/>
                <w:szCs w:val="20"/>
              </w:rPr>
            </w:pPr>
            <w:r>
              <w:rPr>
                <w:sz w:val="20"/>
                <w:szCs w:val="20"/>
              </w:rPr>
              <w:t>949</w:t>
            </w:r>
          </w:p>
        </w:tc>
        <w:tc>
          <w:tcPr>
            <w:tcW w:w="1022" w:type="dxa"/>
            <w:gridSpan w:val="2"/>
          </w:tcPr>
          <w:p w:rsidR="00000000" w:rsidRDefault="00000000">
            <w:pPr>
              <w:tabs>
                <w:tab w:val="decimal" w:pos="567"/>
              </w:tabs>
              <w:spacing w:before="40" w:after="40"/>
              <w:rPr>
                <w:sz w:val="20"/>
                <w:szCs w:val="20"/>
              </w:rPr>
            </w:pPr>
            <w:r>
              <w:rPr>
                <w:sz w:val="20"/>
                <w:szCs w:val="20"/>
              </w:rPr>
              <w:t>69</w:t>
            </w:r>
          </w:p>
        </w:tc>
        <w:tc>
          <w:tcPr>
            <w:tcW w:w="961" w:type="dxa"/>
          </w:tcPr>
          <w:p w:rsidR="00000000" w:rsidRDefault="00000000">
            <w:pPr>
              <w:tabs>
                <w:tab w:val="decimal" w:pos="425"/>
              </w:tabs>
              <w:spacing w:before="40" w:after="40"/>
              <w:rPr>
                <w:sz w:val="20"/>
                <w:szCs w:val="20"/>
              </w:rPr>
            </w:pPr>
            <w:r>
              <w:rPr>
                <w:sz w:val="20"/>
                <w:szCs w:val="20"/>
              </w:rPr>
              <w:t>0</w:t>
            </w:r>
          </w:p>
        </w:tc>
        <w:tc>
          <w:tcPr>
            <w:tcW w:w="1007" w:type="dxa"/>
          </w:tcPr>
          <w:p w:rsidR="00000000" w:rsidRDefault="00000000">
            <w:pPr>
              <w:tabs>
                <w:tab w:val="decimal" w:pos="567"/>
              </w:tabs>
              <w:spacing w:before="40" w:after="40"/>
              <w:rPr>
                <w:sz w:val="20"/>
                <w:szCs w:val="20"/>
              </w:rPr>
            </w:pPr>
            <w:r>
              <w:rPr>
                <w:sz w:val="20"/>
                <w:szCs w:val="20"/>
              </w:rPr>
              <w:t>931</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Проблемы слуха</w:t>
            </w:r>
          </w:p>
        </w:tc>
        <w:tc>
          <w:tcPr>
            <w:tcW w:w="1059" w:type="dxa"/>
            <w:gridSpan w:val="2"/>
          </w:tcPr>
          <w:p w:rsidR="00000000" w:rsidRDefault="00000000">
            <w:pPr>
              <w:tabs>
                <w:tab w:val="decimal" w:pos="567"/>
              </w:tabs>
              <w:spacing w:before="40" w:after="40"/>
              <w:rPr>
                <w:sz w:val="20"/>
                <w:szCs w:val="20"/>
              </w:rPr>
            </w:pPr>
            <w:r>
              <w:rPr>
                <w:sz w:val="20"/>
                <w:szCs w:val="20"/>
              </w:rPr>
              <w:t>198</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802</w:t>
            </w:r>
          </w:p>
        </w:tc>
        <w:tc>
          <w:tcPr>
            <w:tcW w:w="957" w:type="dxa"/>
          </w:tcPr>
          <w:p w:rsidR="00000000" w:rsidRDefault="00000000">
            <w:pPr>
              <w:tabs>
                <w:tab w:val="decimal" w:pos="567"/>
              </w:tabs>
              <w:spacing w:before="40" w:after="40"/>
              <w:rPr>
                <w:sz w:val="20"/>
                <w:szCs w:val="20"/>
              </w:rPr>
            </w:pPr>
            <w:r>
              <w:rPr>
                <w:sz w:val="20"/>
                <w:szCs w:val="20"/>
              </w:rPr>
              <w:t>101</w:t>
            </w:r>
          </w:p>
        </w:tc>
        <w:tc>
          <w:tcPr>
            <w:tcW w:w="737" w:type="dxa"/>
          </w:tcPr>
          <w:p w:rsidR="00000000" w:rsidRDefault="00000000">
            <w:pPr>
              <w:tabs>
                <w:tab w:val="decimal" w:pos="397"/>
              </w:tabs>
              <w:spacing w:before="40" w:after="40"/>
              <w:rPr>
                <w:sz w:val="20"/>
                <w:szCs w:val="20"/>
              </w:rPr>
            </w:pPr>
            <w:r>
              <w:rPr>
                <w:sz w:val="20"/>
                <w:szCs w:val="20"/>
              </w:rPr>
              <w:t>3</w:t>
            </w:r>
          </w:p>
        </w:tc>
        <w:tc>
          <w:tcPr>
            <w:tcW w:w="967" w:type="dxa"/>
          </w:tcPr>
          <w:p w:rsidR="00000000" w:rsidRDefault="00000000">
            <w:pPr>
              <w:tabs>
                <w:tab w:val="decimal" w:pos="567"/>
              </w:tabs>
              <w:spacing w:before="40" w:after="40"/>
              <w:rPr>
                <w:sz w:val="20"/>
                <w:szCs w:val="20"/>
              </w:rPr>
            </w:pPr>
            <w:r>
              <w:rPr>
                <w:sz w:val="20"/>
                <w:szCs w:val="20"/>
              </w:rPr>
              <w:t>896</w:t>
            </w:r>
          </w:p>
        </w:tc>
        <w:tc>
          <w:tcPr>
            <w:tcW w:w="1022" w:type="dxa"/>
            <w:gridSpan w:val="2"/>
          </w:tcPr>
          <w:p w:rsidR="00000000" w:rsidRDefault="00000000">
            <w:pPr>
              <w:tabs>
                <w:tab w:val="decimal" w:pos="567"/>
              </w:tabs>
              <w:spacing w:before="40" w:after="40"/>
              <w:rPr>
                <w:sz w:val="20"/>
                <w:szCs w:val="20"/>
              </w:rPr>
            </w:pPr>
            <w:r>
              <w:rPr>
                <w:sz w:val="20"/>
                <w:szCs w:val="20"/>
              </w:rPr>
              <w:t>177</w:t>
            </w:r>
          </w:p>
        </w:tc>
        <w:tc>
          <w:tcPr>
            <w:tcW w:w="961" w:type="dxa"/>
          </w:tcPr>
          <w:p w:rsidR="00000000" w:rsidRDefault="00000000">
            <w:pPr>
              <w:tabs>
                <w:tab w:val="decimal" w:pos="425"/>
              </w:tabs>
              <w:spacing w:before="40" w:after="40"/>
              <w:rPr>
                <w:sz w:val="20"/>
                <w:szCs w:val="20"/>
              </w:rPr>
            </w:pPr>
            <w:r>
              <w:rPr>
                <w:sz w:val="20"/>
                <w:szCs w:val="20"/>
              </w:rPr>
              <w:t>1</w:t>
            </w:r>
          </w:p>
        </w:tc>
        <w:tc>
          <w:tcPr>
            <w:tcW w:w="1007" w:type="dxa"/>
          </w:tcPr>
          <w:p w:rsidR="00000000" w:rsidRDefault="00000000">
            <w:pPr>
              <w:tabs>
                <w:tab w:val="decimal" w:pos="567"/>
              </w:tabs>
              <w:spacing w:before="40" w:after="40"/>
              <w:rPr>
                <w:sz w:val="20"/>
                <w:szCs w:val="20"/>
              </w:rPr>
            </w:pPr>
            <w:r>
              <w:rPr>
                <w:sz w:val="20"/>
                <w:szCs w:val="20"/>
              </w:rPr>
              <w:t>822</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Проблемы речи</w:t>
            </w:r>
          </w:p>
        </w:tc>
        <w:tc>
          <w:tcPr>
            <w:tcW w:w="1059" w:type="dxa"/>
            <w:gridSpan w:val="2"/>
          </w:tcPr>
          <w:p w:rsidR="00000000" w:rsidRDefault="00000000">
            <w:pPr>
              <w:tabs>
                <w:tab w:val="decimal" w:pos="567"/>
              </w:tabs>
              <w:spacing w:before="40" w:after="40"/>
              <w:rPr>
                <w:sz w:val="20"/>
                <w:szCs w:val="20"/>
              </w:rPr>
            </w:pPr>
            <w:r>
              <w:rPr>
                <w:sz w:val="20"/>
                <w:szCs w:val="20"/>
              </w:rPr>
              <w:t>143</w:t>
            </w:r>
          </w:p>
        </w:tc>
        <w:tc>
          <w:tcPr>
            <w:tcW w:w="832" w:type="dxa"/>
          </w:tcPr>
          <w:p w:rsidR="00000000" w:rsidRDefault="00000000">
            <w:pPr>
              <w:tabs>
                <w:tab w:val="decimal" w:pos="425"/>
              </w:tabs>
              <w:spacing w:before="40" w:after="40"/>
              <w:rPr>
                <w:sz w:val="20"/>
                <w:szCs w:val="20"/>
              </w:rPr>
            </w:pPr>
            <w:r>
              <w:rPr>
                <w:sz w:val="20"/>
                <w:szCs w:val="20"/>
              </w:rPr>
              <w:t>3</w:t>
            </w:r>
          </w:p>
        </w:tc>
        <w:tc>
          <w:tcPr>
            <w:tcW w:w="814" w:type="dxa"/>
          </w:tcPr>
          <w:p w:rsidR="00000000" w:rsidRDefault="00000000">
            <w:pPr>
              <w:tabs>
                <w:tab w:val="decimal" w:pos="567"/>
              </w:tabs>
              <w:spacing w:before="40" w:after="40"/>
              <w:rPr>
                <w:sz w:val="20"/>
                <w:szCs w:val="20"/>
              </w:rPr>
            </w:pPr>
            <w:r>
              <w:rPr>
                <w:sz w:val="20"/>
                <w:szCs w:val="20"/>
              </w:rPr>
              <w:t>854</w:t>
            </w:r>
          </w:p>
        </w:tc>
        <w:tc>
          <w:tcPr>
            <w:tcW w:w="957" w:type="dxa"/>
          </w:tcPr>
          <w:p w:rsidR="00000000" w:rsidRDefault="00000000">
            <w:pPr>
              <w:tabs>
                <w:tab w:val="decimal" w:pos="567"/>
              </w:tabs>
              <w:spacing w:before="40" w:after="40"/>
              <w:rPr>
                <w:sz w:val="20"/>
                <w:szCs w:val="20"/>
              </w:rPr>
            </w:pPr>
            <w:r>
              <w:rPr>
                <w:sz w:val="20"/>
                <w:szCs w:val="20"/>
              </w:rPr>
              <w:t>64</w:t>
            </w:r>
          </w:p>
        </w:tc>
        <w:tc>
          <w:tcPr>
            <w:tcW w:w="737" w:type="dxa"/>
          </w:tcPr>
          <w:p w:rsidR="00000000" w:rsidRDefault="00000000">
            <w:pPr>
              <w:tabs>
                <w:tab w:val="decimal" w:pos="397"/>
              </w:tabs>
              <w:spacing w:before="40" w:after="40"/>
              <w:rPr>
                <w:sz w:val="20"/>
                <w:szCs w:val="20"/>
              </w:rPr>
            </w:pPr>
            <w:r>
              <w:rPr>
                <w:sz w:val="20"/>
                <w:szCs w:val="20"/>
              </w:rPr>
              <w:t>7</w:t>
            </w:r>
          </w:p>
        </w:tc>
        <w:tc>
          <w:tcPr>
            <w:tcW w:w="967" w:type="dxa"/>
          </w:tcPr>
          <w:p w:rsidR="00000000" w:rsidRDefault="00000000">
            <w:pPr>
              <w:tabs>
                <w:tab w:val="decimal" w:pos="567"/>
              </w:tabs>
              <w:spacing w:before="40" w:after="40"/>
              <w:rPr>
                <w:sz w:val="20"/>
                <w:szCs w:val="20"/>
              </w:rPr>
            </w:pPr>
            <w:r>
              <w:rPr>
                <w:sz w:val="20"/>
                <w:szCs w:val="20"/>
              </w:rPr>
              <w:t>929</w:t>
            </w:r>
          </w:p>
        </w:tc>
        <w:tc>
          <w:tcPr>
            <w:tcW w:w="1022" w:type="dxa"/>
            <w:gridSpan w:val="2"/>
          </w:tcPr>
          <w:p w:rsidR="00000000" w:rsidRDefault="00000000">
            <w:pPr>
              <w:tabs>
                <w:tab w:val="decimal" w:pos="567"/>
              </w:tabs>
              <w:spacing w:before="40" w:after="40"/>
              <w:rPr>
                <w:sz w:val="20"/>
                <w:szCs w:val="20"/>
              </w:rPr>
            </w:pPr>
            <w:r>
              <w:rPr>
                <w:sz w:val="20"/>
                <w:szCs w:val="20"/>
              </w:rPr>
              <w:t>125</w:t>
            </w:r>
          </w:p>
        </w:tc>
        <w:tc>
          <w:tcPr>
            <w:tcW w:w="961" w:type="dxa"/>
          </w:tcPr>
          <w:p w:rsidR="00000000" w:rsidRDefault="00000000">
            <w:pPr>
              <w:tabs>
                <w:tab w:val="decimal" w:pos="425"/>
              </w:tabs>
              <w:spacing w:before="40" w:after="40"/>
              <w:rPr>
                <w:sz w:val="20"/>
                <w:szCs w:val="20"/>
              </w:rPr>
            </w:pPr>
            <w:r>
              <w:rPr>
                <w:sz w:val="20"/>
                <w:szCs w:val="20"/>
              </w:rPr>
              <w:t>4</w:t>
            </w:r>
          </w:p>
        </w:tc>
        <w:tc>
          <w:tcPr>
            <w:tcW w:w="1007" w:type="dxa"/>
          </w:tcPr>
          <w:p w:rsidR="00000000" w:rsidRDefault="00000000">
            <w:pPr>
              <w:tabs>
                <w:tab w:val="decimal" w:pos="567"/>
              </w:tabs>
              <w:spacing w:before="40" w:after="40"/>
              <w:rPr>
                <w:sz w:val="20"/>
                <w:szCs w:val="20"/>
              </w:rPr>
            </w:pPr>
            <w:r>
              <w:rPr>
                <w:sz w:val="20"/>
                <w:szCs w:val="20"/>
              </w:rPr>
              <w:t>871</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Заболевания опорно-двигательно-го аппарата</w:t>
            </w:r>
          </w:p>
        </w:tc>
        <w:tc>
          <w:tcPr>
            <w:tcW w:w="1059" w:type="dxa"/>
            <w:gridSpan w:val="2"/>
          </w:tcPr>
          <w:p w:rsidR="00000000" w:rsidRDefault="00000000">
            <w:pPr>
              <w:tabs>
                <w:tab w:val="decimal" w:pos="567"/>
              </w:tabs>
              <w:spacing w:before="40" w:after="40"/>
              <w:rPr>
                <w:sz w:val="20"/>
                <w:szCs w:val="20"/>
              </w:rPr>
            </w:pPr>
            <w:r>
              <w:rPr>
                <w:sz w:val="20"/>
                <w:szCs w:val="20"/>
              </w:rPr>
              <w:t>98</w:t>
            </w:r>
          </w:p>
        </w:tc>
        <w:tc>
          <w:tcPr>
            <w:tcW w:w="832" w:type="dxa"/>
          </w:tcPr>
          <w:p w:rsidR="00000000" w:rsidRDefault="00000000">
            <w:pPr>
              <w:tabs>
                <w:tab w:val="decimal" w:pos="425"/>
              </w:tabs>
              <w:spacing w:before="40" w:after="40"/>
              <w:rPr>
                <w:sz w:val="20"/>
                <w:szCs w:val="20"/>
              </w:rPr>
            </w:pPr>
            <w:r>
              <w:rPr>
                <w:sz w:val="20"/>
                <w:szCs w:val="20"/>
              </w:rPr>
              <w:t>4</w:t>
            </w:r>
          </w:p>
        </w:tc>
        <w:tc>
          <w:tcPr>
            <w:tcW w:w="814" w:type="dxa"/>
          </w:tcPr>
          <w:p w:rsidR="00000000" w:rsidRDefault="00000000">
            <w:pPr>
              <w:tabs>
                <w:tab w:val="decimal" w:pos="567"/>
              </w:tabs>
              <w:spacing w:before="40" w:after="40"/>
              <w:rPr>
                <w:sz w:val="20"/>
                <w:szCs w:val="20"/>
              </w:rPr>
            </w:pPr>
            <w:r>
              <w:rPr>
                <w:sz w:val="20"/>
                <w:szCs w:val="20"/>
              </w:rPr>
              <w:t>898</w:t>
            </w:r>
          </w:p>
        </w:tc>
        <w:tc>
          <w:tcPr>
            <w:tcW w:w="957" w:type="dxa"/>
          </w:tcPr>
          <w:p w:rsidR="00000000" w:rsidRDefault="00000000">
            <w:pPr>
              <w:tabs>
                <w:tab w:val="decimal" w:pos="567"/>
              </w:tabs>
              <w:spacing w:before="40" w:after="40"/>
              <w:rPr>
                <w:sz w:val="20"/>
                <w:szCs w:val="20"/>
              </w:rPr>
            </w:pPr>
            <w:r>
              <w:rPr>
                <w:sz w:val="20"/>
                <w:szCs w:val="20"/>
              </w:rPr>
              <w:t>107</w:t>
            </w:r>
          </w:p>
        </w:tc>
        <w:tc>
          <w:tcPr>
            <w:tcW w:w="737" w:type="dxa"/>
          </w:tcPr>
          <w:p w:rsidR="00000000" w:rsidRDefault="00000000">
            <w:pPr>
              <w:tabs>
                <w:tab w:val="decimal" w:pos="397"/>
              </w:tabs>
              <w:spacing w:before="40" w:after="40"/>
              <w:rPr>
                <w:sz w:val="20"/>
                <w:szCs w:val="20"/>
              </w:rPr>
            </w:pPr>
            <w:r>
              <w:rPr>
                <w:sz w:val="20"/>
                <w:szCs w:val="20"/>
              </w:rPr>
              <w:t>5</w:t>
            </w:r>
          </w:p>
        </w:tc>
        <w:tc>
          <w:tcPr>
            <w:tcW w:w="967" w:type="dxa"/>
          </w:tcPr>
          <w:p w:rsidR="00000000" w:rsidRDefault="00000000">
            <w:pPr>
              <w:tabs>
                <w:tab w:val="decimal" w:pos="567"/>
              </w:tabs>
              <w:spacing w:before="40" w:after="40"/>
              <w:rPr>
                <w:sz w:val="20"/>
                <w:szCs w:val="20"/>
              </w:rPr>
            </w:pPr>
            <w:r>
              <w:rPr>
                <w:sz w:val="20"/>
                <w:szCs w:val="20"/>
              </w:rPr>
              <w:t>888</w:t>
            </w:r>
          </w:p>
        </w:tc>
        <w:tc>
          <w:tcPr>
            <w:tcW w:w="1022" w:type="dxa"/>
            <w:gridSpan w:val="2"/>
          </w:tcPr>
          <w:p w:rsidR="00000000" w:rsidRDefault="00000000">
            <w:pPr>
              <w:tabs>
                <w:tab w:val="decimal" w:pos="567"/>
              </w:tabs>
              <w:spacing w:before="40" w:after="40"/>
              <w:rPr>
                <w:sz w:val="20"/>
                <w:szCs w:val="20"/>
              </w:rPr>
            </w:pPr>
            <w:r>
              <w:rPr>
                <w:sz w:val="20"/>
                <w:szCs w:val="20"/>
              </w:rPr>
              <w:t>100</w:t>
            </w:r>
          </w:p>
        </w:tc>
        <w:tc>
          <w:tcPr>
            <w:tcW w:w="961" w:type="dxa"/>
          </w:tcPr>
          <w:p w:rsidR="00000000" w:rsidRDefault="00000000">
            <w:pPr>
              <w:tabs>
                <w:tab w:val="decimal" w:pos="425"/>
              </w:tabs>
              <w:spacing w:before="40" w:after="40"/>
              <w:rPr>
                <w:sz w:val="20"/>
                <w:szCs w:val="20"/>
              </w:rPr>
            </w:pPr>
            <w:r>
              <w:rPr>
                <w:sz w:val="20"/>
                <w:szCs w:val="20"/>
              </w:rPr>
              <w:t>4</w:t>
            </w:r>
          </w:p>
        </w:tc>
        <w:tc>
          <w:tcPr>
            <w:tcW w:w="1007" w:type="dxa"/>
          </w:tcPr>
          <w:p w:rsidR="00000000" w:rsidRDefault="00000000">
            <w:pPr>
              <w:tabs>
                <w:tab w:val="decimal" w:pos="567"/>
              </w:tabs>
              <w:spacing w:before="40" w:after="40"/>
              <w:rPr>
                <w:sz w:val="20"/>
                <w:szCs w:val="20"/>
              </w:rPr>
            </w:pPr>
            <w:r>
              <w:rPr>
                <w:sz w:val="20"/>
                <w:szCs w:val="20"/>
              </w:rPr>
              <w:t>896</w:t>
            </w:r>
          </w:p>
        </w:tc>
      </w:tr>
      <w:tr w:rsidR="00000000">
        <w:tblPrEx>
          <w:tblCellMar>
            <w:top w:w="0" w:type="dxa"/>
            <w:bottom w:w="0" w:type="dxa"/>
          </w:tblCellMar>
        </w:tblPrEx>
        <w:trPr>
          <w:cantSplit/>
        </w:trPr>
        <w:tc>
          <w:tcPr>
            <w:tcW w:w="1283" w:type="dxa"/>
          </w:tcPr>
          <w:p w:rsidR="00000000" w:rsidRDefault="00000000">
            <w:pPr>
              <w:spacing w:before="40" w:after="40"/>
              <w:jc w:val="both"/>
              <w:rPr>
                <w:sz w:val="20"/>
                <w:szCs w:val="20"/>
              </w:rPr>
            </w:pPr>
            <w:r>
              <w:rPr>
                <w:sz w:val="20"/>
                <w:szCs w:val="20"/>
              </w:rPr>
              <w:t>Все инвалиды</w:t>
            </w:r>
          </w:p>
        </w:tc>
        <w:tc>
          <w:tcPr>
            <w:tcW w:w="1059" w:type="dxa"/>
            <w:gridSpan w:val="2"/>
          </w:tcPr>
          <w:p w:rsidR="00000000" w:rsidRDefault="00000000">
            <w:pPr>
              <w:tabs>
                <w:tab w:val="decimal" w:pos="567"/>
              </w:tabs>
              <w:spacing w:before="40" w:after="40"/>
              <w:rPr>
                <w:sz w:val="20"/>
                <w:szCs w:val="20"/>
              </w:rPr>
            </w:pPr>
            <w:r>
              <w:rPr>
                <w:sz w:val="20"/>
                <w:szCs w:val="20"/>
              </w:rPr>
              <w:t>109</w:t>
            </w:r>
          </w:p>
        </w:tc>
        <w:tc>
          <w:tcPr>
            <w:tcW w:w="832" w:type="dxa"/>
          </w:tcPr>
          <w:p w:rsidR="00000000" w:rsidRDefault="00000000">
            <w:pPr>
              <w:tabs>
                <w:tab w:val="decimal" w:pos="425"/>
              </w:tabs>
              <w:spacing w:before="40" w:after="40"/>
              <w:rPr>
                <w:sz w:val="20"/>
                <w:szCs w:val="20"/>
              </w:rPr>
            </w:pPr>
            <w:r>
              <w:rPr>
                <w:sz w:val="20"/>
                <w:szCs w:val="20"/>
              </w:rPr>
              <w:t>2</w:t>
            </w:r>
          </w:p>
        </w:tc>
        <w:tc>
          <w:tcPr>
            <w:tcW w:w="814" w:type="dxa"/>
          </w:tcPr>
          <w:p w:rsidR="00000000" w:rsidRDefault="00000000">
            <w:pPr>
              <w:tabs>
                <w:tab w:val="decimal" w:pos="567"/>
              </w:tabs>
              <w:spacing w:before="40" w:after="40"/>
              <w:rPr>
                <w:sz w:val="20"/>
                <w:szCs w:val="20"/>
              </w:rPr>
            </w:pPr>
            <w:r>
              <w:rPr>
                <w:sz w:val="20"/>
                <w:szCs w:val="20"/>
              </w:rPr>
              <w:t>889</w:t>
            </w:r>
          </w:p>
        </w:tc>
        <w:tc>
          <w:tcPr>
            <w:tcW w:w="957" w:type="dxa"/>
          </w:tcPr>
          <w:p w:rsidR="00000000" w:rsidRDefault="00000000">
            <w:pPr>
              <w:tabs>
                <w:tab w:val="decimal" w:pos="567"/>
              </w:tabs>
              <w:spacing w:before="40" w:after="40"/>
              <w:rPr>
                <w:sz w:val="20"/>
                <w:szCs w:val="20"/>
              </w:rPr>
            </w:pPr>
            <w:r>
              <w:rPr>
                <w:sz w:val="20"/>
                <w:szCs w:val="20"/>
              </w:rPr>
              <w:t>87</w:t>
            </w:r>
          </w:p>
        </w:tc>
        <w:tc>
          <w:tcPr>
            <w:tcW w:w="737" w:type="dxa"/>
          </w:tcPr>
          <w:p w:rsidR="00000000" w:rsidRDefault="00000000">
            <w:pPr>
              <w:tabs>
                <w:tab w:val="decimal" w:pos="397"/>
              </w:tabs>
              <w:spacing w:before="40" w:after="40"/>
              <w:rPr>
                <w:sz w:val="20"/>
                <w:szCs w:val="20"/>
              </w:rPr>
            </w:pPr>
            <w:r>
              <w:rPr>
                <w:sz w:val="20"/>
                <w:szCs w:val="20"/>
              </w:rPr>
              <w:t>4</w:t>
            </w:r>
          </w:p>
        </w:tc>
        <w:tc>
          <w:tcPr>
            <w:tcW w:w="967" w:type="dxa"/>
          </w:tcPr>
          <w:p w:rsidR="00000000" w:rsidRDefault="00000000">
            <w:pPr>
              <w:tabs>
                <w:tab w:val="decimal" w:pos="567"/>
              </w:tabs>
              <w:spacing w:before="40" w:after="40"/>
              <w:rPr>
                <w:sz w:val="20"/>
                <w:szCs w:val="20"/>
              </w:rPr>
            </w:pPr>
            <w:r>
              <w:rPr>
                <w:sz w:val="20"/>
                <w:szCs w:val="20"/>
              </w:rPr>
              <w:t>909</w:t>
            </w:r>
          </w:p>
        </w:tc>
        <w:tc>
          <w:tcPr>
            <w:tcW w:w="1022" w:type="dxa"/>
            <w:gridSpan w:val="2"/>
          </w:tcPr>
          <w:p w:rsidR="00000000" w:rsidRDefault="00000000">
            <w:pPr>
              <w:tabs>
                <w:tab w:val="decimal" w:pos="567"/>
              </w:tabs>
              <w:spacing w:before="40" w:after="40"/>
              <w:rPr>
                <w:sz w:val="20"/>
                <w:szCs w:val="20"/>
              </w:rPr>
            </w:pPr>
            <w:r>
              <w:rPr>
                <w:sz w:val="20"/>
                <w:szCs w:val="20"/>
              </w:rPr>
              <w:t>104</w:t>
            </w:r>
          </w:p>
        </w:tc>
        <w:tc>
          <w:tcPr>
            <w:tcW w:w="961" w:type="dxa"/>
          </w:tcPr>
          <w:p w:rsidR="00000000" w:rsidRDefault="00000000">
            <w:pPr>
              <w:tabs>
                <w:tab w:val="decimal" w:pos="425"/>
              </w:tabs>
              <w:spacing w:before="40" w:after="40"/>
              <w:rPr>
                <w:sz w:val="20"/>
                <w:szCs w:val="20"/>
              </w:rPr>
            </w:pPr>
            <w:r>
              <w:rPr>
                <w:sz w:val="20"/>
                <w:szCs w:val="20"/>
              </w:rPr>
              <w:t>3</w:t>
            </w:r>
          </w:p>
        </w:tc>
        <w:tc>
          <w:tcPr>
            <w:tcW w:w="1007" w:type="dxa"/>
          </w:tcPr>
          <w:p w:rsidR="00000000" w:rsidRDefault="00000000">
            <w:pPr>
              <w:tabs>
                <w:tab w:val="decimal" w:pos="567"/>
              </w:tabs>
              <w:spacing w:before="40" w:after="40"/>
              <w:rPr>
                <w:sz w:val="20"/>
                <w:szCs w:val="20"/>
              </w:rPr>
            </w:pPr>
            <w:r>
              <w:rPr>
                <w:sz w:val="20"/>
                <w:szCs w:val="20"/>
              </w:rPr>
              <w:t>893</w:t>
            </w:r>
          </w:p>
        </w:tc>
      </w:tr>
      <w:tr w:rsidR="00000000">
        <w:tblPrEx>
          <w:tblCellMar>
            <w:top w:w="0" w:type="dxa"/>
            <w:bottom w:w="0" w:type="dxa"/>
          </w:tblCellMar>
        </w:tblPrEx>
        <w:trPr>
          <w:cantSplit/>
        </w:trPr>
        <w:tc>
          <w:tcPr>
            <w:tcW w:w="9639" w:type="dxa"/>
            <w:gridSpan w:val="12"/>
          </w:tcPr>
          <w:p w:rsidR="00000000" w:rsidRDefault="00000000">
            <w:pPr>
              <w:tabs>
                <w:tab w:val="decimal" w:pos="397"/>
              </w:tabs>
              <w:spacing w:before="40" w:after="40"/>
              <w:rPr>
                <w:sz w:val="20"/>
                <w:szCs w:val="20"/>
              </w:rPr>
            </w:pPr>
            <w:r>
              <w:rPr>
                <w:sz w:val="20"/>
                <w:szCs w:val="20"/>
              </w:rPr>
              <w:t xml:space="preserve">Мужчины </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Умственная отсталость</w:t>
            </w:r>
          </w:p>
        </w:tc>
        <w:tc>
          <w:tcPr>
            <w:tcW w:w="1049" w:type="dxa"/>
          </w:tcPr>
          <w:p w:rsidR="00000000" w:rsidRDefault="00000000">
            <w:pPr>
              <w:tabs>
                <w:tab w:val="decimal" w:pos="567"/>
              </w:tabs>
              <w:spacing w:before="40" w:after="40"/>
              <w:rPr>
                <w:sz w:val="20"/>
                <w:szCs w:val="20"/>
              </w:rPr>
            </w:pPr>
            <w:r>
              <w:rPr>
                <w:sz w:val="20"/>
                <w:szCs w:val="20"/>
              </w:rPr>
              <w:t>64</w:t>
            </w:r>
          </w:p>
        </w:tc>
        <w:tc>
          <w:tcPr>
            <w:tcW w:w="832" w:type="dxa"/>
          </w:tcPr>
          <w:p w:rsidR="00000000" w:rsidRDefault="00000000">
            <w:pPr>
              <w:tabs>
                <w:tab w:val="decimal" w:pos="425"/>
              </w:tabs>
              <w:spacing w:before="40" w:after="40"/>
              <w:rPr>
                <w:sz w:val="20"/>
                <w:szCs w:val="20"/>
              </w:rPr>
            </w:pPr>
            <w:r>
              <w:rPr>
                <w:sz w:val="20"/>
                <w:szCs w:val="20"/>
              </w:rPr>
              <w:t>0</w:t>
            </w:r>
          </w:p>
        </w:tc>
        <w:tc>
          <w:tcPr>
            <w:tcW w:w="814" w:type="dxa"/>
          </w:tcPr>
          <w:p w:rsidR="00000000" w:rsidRDefault="00000000">
            <w:pPr>
              <w:tabs>
                <w:tab w:val="decimal" w:pos="567"/>
              </w:tabs>
              <w:spacing w:before="40" w:after="40"/>
              <w:rPr>
                <w:sz w:val="20"/>
                <w:szCs w:val="20"/>
              </w:rPr>
            </w:pPr>
            <w:r>
              <w:rPr>
                <w:sz w:val="20"/>
                <w:szCs w:val="20"/>
              </w:rPr>
              <w:t>936</w:t>
            </w:r>
          </w:p>
        </w:tc>
        <w:tc>
          <w:tcPr>
            <w:tcW w:w="957" w:type="dxa"/>
          </w:tcPr>
          <w:p w:rsidR="00000000" w:rsidRDefault="00000000">
            <w:pPr>
              <w:tabs>
                <w:tab w:val="decimal" w:pos="567"/>
              </w:tabs>
              <w:spacing w:before="40" w:after="40"/>
              <w:rPr>
                <w:sz w:val="20"/>
                <w:szCs w:val="20"/>
              </w:rPr>
            </w:pPr>
            <w:r>
              <w:rPr>
                <w:sz w:val="20"/>
                <w:szCs w:val="20"/>
              </w:rPr>
              <w:t>38</w:t>
            </w:r>
          </w:p>
        </w:tc>
        <w:tc>
          <w:tcPr>
            <w:tcW w:w="737" w:type="dxa"/>
          </w:tcPr>
          <w:p w:rsidR="00000000" w:rsidRDefault="00000000">
            <w:pPr>
              <w:tabs>
                <w:tab w:val="decimal" w:pos="397"/>
              </w:tabs>
              <w:spacing w:before="40" w:after="40"/>
              <w:rPr>
                <w:sz w:val="20"/>
                <w:szCs w:val="20"/>
              </w:rPr>
            </w:pPr>
            <w:r>
              <w:rPr>
                <w:sz w:val="20"/>
                <w:szCs w:val="20"/>
              </w:rPr>
              <w:t>1</w:t>
            </w:r>
          </w:p>
        </w:tc>
        <w:tc>
          <w:tcPr>
            <w:tcW w:w="967" w:type="dxa"/>
          </w:tcPr>
          <w:p w:rsidR="00000000" w:rsidRDefault="00000000">
            <w:pPr>
              <w:tabs>
                <w:tab w:val="decimal" w:pos="567"/>
              </w:tabs>
              <w:spacing w:before="40" w:after="40"/>
              <w:rPr>
                <w:sz w:val="20"/>
                <w:szCs w:val="20"/>
              </w:rPr>
            </w:pPr>
            <w:r>
              <w:rPr>
                <w:sz w:val="20"/>
                <w:szCs w:val="20"/>
              </w:rPr>
              <w:t>961</w:t>
            </w:r>
          </w:p>
        </w:tc>
        <w:tc>
          <w:tcPr>
            <w:tcW w:w="1022" w:type="dxa"/>
            <w:gridSpan w:val="2"/>
          </w:tcPr>
          <w:p w:rsidR="00000000" w:rsidRDefault="00000000">
            <w:pPr>
              <w:tabs>
                <w:tab w:val="decimal" w:pos="567"/>
              </w:tabs>
              <w:spacing w:before="40" w:after="40"/>
              <w:rPr>
                <w:sz w:val="20"/>
                <w:szCs w:val="20"/>
              </w:rPr>
            </w:pPr>
            <w:r>
              <w:rPr>
                <w:sz w:val="20"/>
                <w:szCs w:val="20"/>
              </w:rPr>
              <w:t>56</w:t>
            </w:r>
          </w:p>
        </w:tc>
        <w:tc>
          <w:tcPr>
            <w:tcW w:w="961" w:type="dxa"/>
          </w:tcPr>
          <w:p w:rsidR="00000000" w:rsidRDefault="00000000">
            <w:pPr>
              <w:tabs>
                <w:tab w:val="decimal" w:pos="425"/>
              </w:tabs>
              <w:spacing w:before="40" w:after="40"/>
              <w:rPr>
                <w:sz w:val="20"/>
                <w:szCs w:val="20"/>
              </w:rPr>
            </w:pPr>
            <w:r>
              <w:rPr>
                <w:sz w:val="20"/>
                <w:szCs w:val="20"/>
              </w:rPr>
              <w:t>0</w:t>
            </w:r>
          </w:p>
        </w:tc>
        <w:tc>
          <w:tcPr>
            <w:tcW w:w="1007" w:type="dxa"/>
          </w:tcPr>
          <w:p w:rsidR="00000000" w:rsidRDefault="00000000">
            <w:pPr>
              <w:tabs>
                <w:tab w:val="decimal" w:pos="567"/>
              </w:tabs>
              <w:spacing w:before="40" w:after="40"/>
              <w:rPr>
                <w:sz w:val="20"/>
                <w:szCs w:val="20"/>
              </w:rPr>
            </w:pPr>
            <w:r>
              <w:rPr>
                <w:sz w:val="20"/>
                <w:szCs w:val="20"/>
              </w:rPr>
              <w:t>943</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Психическая болезнь</w:t>
            </w:r>
          </w:p>
        </w:tc>
        <w:tc>
          <w:tcPr>
            <w:tcW w:w="1049" w:type="dxa"/>
          </w:tcPr>
          <w:p w:rsidR="00000000" w:rsidRDefault="00000000">
            <w:pPr>
              <w:tabs>
                <w:tab w:val="decimal" w:pos="567"/>
              </w:tabs>
              <w:spacing w:before="40" w:after="40"/>
              <w:rPr>
                <w:sz w:val="20"/>
                <w:szCs w:val="20"/>
              </w:rPr>
            </w:pPr>
            <w:r>
              <w:rPr>
                <w:sz w:val="20"/>
                <w:szCs w:val="20"/>
              </w:rPr>
              <w:t>142</w:t>
            </w:r>
          </w:p>
        </w:tc>
        <w:tc>
          <w:tcPr>
            <w:tcW w:w="832" w:type="dxa"/>
          </w:tcPr>
          <w:p w:rsidR="00000000" w:rsidRDefault="00000000">
            <w:pPr>
              <w:tabs>
                <w:tab w:val="decimal" w:pos="425"/>
              </w:tabs>
              <w:spacing w:before="40" w:after="40"/>
              <w:rPr>
                <w:sz w:val="20"/>
                <w:szCs w:val="20"/>
              </w:rPr>
            </w:pPr>
            <w:r>
              <w:rPr>
                <w:sz w:val="20"/>
                <w:szCs w:val="20"/>
              </w:rPr>
              <w:t>1</w:t>
            </w:r>
          </w:p>
        </w:tc>
        <w:tc>
          <w:tcPr>
            <w:tcW w:w="814" w:type="dxa"/>
          </w:tcPr>
          <w:p w:rsidR="00000000" w:rsidRDefault="00000000">
            <w:pPr>
              <w:tabs>
                <w:tab w:val="decimal" w:pos="567"/>
              </w:tabs>
              <w:spacing w:before="40" w:after="40"/>
              <w:rPr>
                <w:sz w:val="20"/>
                <w:szCs w:val="20"/>
              </w:rPr>
            </w:pPr>
            <w:r>
              <w:rPr>
                <w:sz w:val="20"/>
                <w:szCs w:val="20"/>
              </w:rPr>
              <w:t>857</w:t>
            </w:r>
          </w:p>
        </w:tc>
        <w:tc>
          <w:tcPr>
            <w:tcW w:w="957" w:type="dxa"/>
          </w:tcPr>
          <w:p w:rsidR="00000000" w:rsidRDefault="00000000">
            <w:pPr>
              <w:tabs>
                <w:tab w:val="decimal" w:pos="567"/>
              </w:tabs>
              <w:spacing w:before="40" w:after="40"/>
              <w:rPr>
                <w:sz w:val="20"/>
                <w:szCs w:val="20"/>
              </w:rPr>
            </w:pPr>
            <w:r>
              <w:rPr>
                <w:sz w:val="20"/>
                <w:szCs w:val="20"/>
              </w:rPr>
              <w:t>67</w:t>
            </w:r>
          </w:p>
        </w:tc>
        <w:tc>
          <w:tcPr>
            <w:tcW w:w="737" w:type="dxa"/>
          </w:tcPr>
          <w:p w:rsidR="00000000" w:rsidRDefault="00000000">
            <w:pPr>
              <w:tabs>
                <w:tab w:val="decimal" w:pos="397"/>
              </w:tabs>
              <w:spacing w:before="40" w:after="40"/>
              <w:rPr>
                <w:sz w:val="20"/>
                <w:szCs w:val="20"/>
              </w:rPr>
            </w:pPr>
            <w:r>
              <w:rPr>
                <w:sz w:val="20"/>
                <w:szCs w:val="20"/>
              </w:rPr>
              <w:t>3</w:t>
            </w:r>
          </w:p>
        </w:tc>
        <w:tc>
          <w:tcPr>
            <w:tcW w:w="967" w:type="dxa"/>
          </w:tcPr>
          <w:p w:rsidR="00000000" w:rsidRDefault="00000000">
            <w:pPr>
              <w:tabs>
                <w:tab w:val="decimal" w:pos="567"/>
              </w:tabs>
              <w:spacing w:before="40" w:after="40"/>
              <w:rPr>
                <w:sz w:val="20"/>
                <w:szCs w:val="20"/>
              </w:rPr>
            </w:pPr>
            <w:r>
              <w:rPr>
                <w:sz w:val="20"/>
                <w:szCs w:val="20"/>
              </w:rPr>
              <w:t>930</w:t>
            </w:r>
          </w:p>
        </w:tc>
        <w:tc>
          <w:tcPr>
            <w:tcW w:w="1022" w:type="dxa"/>
            <w:gridSpan w:val="2"/>
          </w:tcPr>
          <w:p w:rsidR="00000000" w:rsidRDefault="00000000">
            <w:pPr>
              <w:tabs>
                <w:tab w:val="decimal" w:pos="567"/>
              </w:tabs>
              <w:spacing w:before="40" w:after="40"/>
              <w:rPr>
                <w:sz w:val="20"/>
                <w:szCs w:val="20"/>
              </w:rPr>
            </w:pPr>
            <w:r>
              <w:rPr>
                <w:sz w:val="20"/>
                <w:szCs w:val="20"/>
              </w:rPr>
              <w:t>126</w:t>
            </w:r>
          </w:p>
        </w:tc>
        <w:tc>
          <w:tcPr>
            <w:tcW w:w="961" w:type="dxa"/>
          </w:tcPr>
          <w:p w:rsidR="00000000" w:rsidRDefault="00000000">
            <w:pPr>
              <w:tabs>
                <w:tab w:val="decimal" w:pos="425"/>
              </w:tabs>
              <w:spacing w:before="40" w:after="40"/>
              <w:rPr>
                <w:sz w:val="20"/>
                <w:szCs w:val="20"/>
              </w:rPr>
            </w:pPr>
            <w:r>
              <w:rPr>
                <w:sz w:val="20"/>
                <w:szCs w:val="20"/>
              </w:rPr>
              <w:t>1</w:t>
            </w:r>
          </w:p>
        </w:tc>
        <w:tc>
          <w:tcPr>
            <w:tcW w:w="1007" w:type="dxa"/>
          </w:tcPr>
          <w:p w:rsidR="00000000" w:rsidRDefault="00000000">
            <w:pPr>
              <w:tabs>
                <w:tab w:val="decimal" w:pos="567"/>
              </w:tabs>
              <w:spacing w:before="40" w:after="40"/>
              <w:rPr>
                <w:sz w:val="20"/>
                <w:szCs w:val="20"/>
              </w:rPr>
            </w:pPr>
            <w:r>
              <w:rPr>
                <w:sz w:val="20"/>
                <w:szCs w:val="20"/>
              </w:rPr>
              <w:t>873</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Слепота</w:t>
            </w:r>
          </w:p>
        </w:tc>
        <w:tc>
          <w:tcPr>
            <w:tcW w:w="1049" w:type="dxa"/>
          </w:tcPr>
          <w:p w:rsidR="00000000" w:rsidRDefault="00000000">
            <w:pPr>
              <w:tabs>
                <w:tab w:val="decimal" w:pos="567"/>
              </w:tabs>
              <w:spacing w:before="40" w:after="40"/>
              <w:rPr>
                <w:sz w:val="20"/>
                <w:szCs w:val="20"/>
              </w:rPr>
            </w:pPr>
            <w:r>
              <w:rPr>
                <w:sz w:val="20"/>
                <w:szCs w:val="20"/>
              </w:rPr>
              <w:t>88</w:t>
            </w:r>
          </w:p>
        </w:tc>
        <w:tc>
          <w:tcPr>
            <w:tcW w:w="832" w:type="dxa"/>
          </w:tcPr>
          <w:p w:rsidR="00000000" w:rsidRDefault="00000000">
            <w:pPr>
              <w:tabs>
                <w:tab w:val="decimal" w:pos="425"/>
              </w:tabs>
              <w:spacing w:before="40" w:after="40"/>
              <w:rPr>
                <w:sz w:val="20"/>
                <w:szCs w:val="20"/>
              </w:rPr>
            </w:pPr>
            <w:r>
              <w:rPr>
                <w:sz w:val="20"/>
                <w:szCs w:val="20"/>
              </w:rPr>
              <w:t>2</w:t>
            </w:r>
          </w:p>
        </w:tc>
        <w:tc>
          <w:tcPr>
            <w:tcW w:w="814" w:type="dxa"/>
          </w:tcPr>
          <w:p w:rsidR="00000000" w:rsidRDefault="00000000">
            <w:pPr>
              <w:tabs>
                <w:tab w:val="decimal" w:pos="567"/>
              </w:tabs>
              <w:spacing w:before="40" w:after="40"/>
              <w:rPr>
                <w:sz w:val="20"/>
                <w:szCs w:val="20"/>
              </w:rPr>
            </w:pPr>
            <w:r>
              <w:rPr>
                <w:sz w:val="20"/>
                <w:szCs w:val="20"/>
              </w:rPr>
              <w:t>910</w:t>
            </w:r>
          </w:p>
        </w:tc>
        <w:tc>
          <w:tcPr>
            <w:tcW w:w="957" w:type="dxa"/>
          </w:tcPr>
          <w:p w:rsidR="00000000" w:rsidRDefault="00000000">
            <w:pPr>
              <w:tabs>
                <w:tab w:val="decimal" w:pos="567"/>
              </w:tabs>
              <w:spacing w:before="40" w:after="40"/>
              <w:rPr>
                <w:sz w:val="20"/>
                <w:szCs w:val="20"/>
              </w:rPr>
            </w:pPr>
            <w:r>
              <w:rPr>
                <w:sz w:val="20"/>
                <w:szCs w:val="20"/>
              </w:rPr>
              <w:t>103</w:t>
            </w:r>
          </w:p>
        </w:tc>
        <w:tc>
          <w:tcPr>
            <w:tcW w:w="737" w:type="dxa"/>
          </w:tcPr>
          <w:p w:rsidR="00000000" w:rsidRDefault="00000000">
            <w:pPr>
              <w:tabs>
                <w:tab w:val="decimal" w:pos="397"/>
              </w:tabs>
              <w:spacing w:before="40" w:after="40"/>
              <w:rPr>
                <w:sz w:val="20"/>
                <w:szCs w:val="20"/>
              </w:rPr>
            </w:pPr>
            <w:r>
              <w:rPr>
                <w:sz w:val="20"/>
                <w:szCs w:val="20"/>
              </w:rPr>
              <w:t>4</w:t>
            </w:r>
          </w:p>
        </w:tc>
        <w:tc>
          <w:tcPr>
            <w:tcW w:w="967" w:type="dxa"/>
          </w:tcPr>
          <w:p w:rsidR="00000000" w:rsidRDefault="00000000">
            <w:pPr>
              <w:tabs>
                <w:tab w:val="decimal" w:pos="567"/>
              </w:tabs>
              <w:spacing w:before="40" w:after="40"/>
              <w:rPr>
                <w:sz w:val="20"/>
                <w:szCs w:val="20"/>
              </w:rPr>
            </w:pPr>
            <w:r>
              <w:rPr>
                <w:sz w:val="20"/>
                <w:szCs w:val="20"/>
              </w:rPr>
              <w:t>893</w:t>
            </w:r>
          </w:p>
        </w:tc>
        <w:tc>
          <w:tcPr>
            <w:tcW w:w="1022" w:type="dxa"/>
            <w:gridSpan w:val="2"/>
          </w:tcPr>
          <w:p w:rsidR="00000000" w:rsidRDefault="00000000">
            <w:pPr>
              <w:tabs>
                <w:tab w:val="decimal" w:pos="567"/>
              </w:tabs>
              <w:spacing w:before="40" w:after="40"/>
              <w:rPr>
                <w:sz w:val="20"/>
                <w:szCs w:val="20"/>
              </w:rPr>
            </w:pPr>
            <w:r>
              <w:rPr>
                <w:sz w:val="20"/>
                <w:szCs w:val="20"/>
              </w:rPr>
              <w:t>91</w:t>
            </w:r>
          </w:p>
        </w:tc>
        <w:tc>
          <w:tcPr>
            <w:tcW w:w="961" w:type="dxa"/>
          </w:tcPr>
          <w:p w:rsidR="00000000" w:rsidRDefault="00000000">
            <w:pPr>
              <w:tabs>
                <w:tab w:val="decimal" w:pos="425"/>
              </w:tabs>
              <w:spacing w:before="40" w:after="40"/>
              <w:rPr>
                <w:sz w:val="20"/>
                <w:szCs w:val="20"/>
              </w:rPr>
            </w:pPr>
            <w:r>
              <w:rPr>
                <w:sz w:val="20"/>
                <w:szCs w:val="20"/>
              </w:rPr>
              <w:t>2</w:t>
            </w:r>
          </w:p>
        </w:tc>
        <w:tc>
          <w:tcPr>
            <w:tcW w:w="1007" w:type="dxa"/>
          </w:tcPr>
          <w:p w:rsidR="00000000" w:rsidRDefault="00000000">
            <w:pPr>
              <w:tabs>
                <w:tab w:val="decimal" w:pos="567"/>
              </w:tabs>
              <w:spacing w:before="40" w:after="40"/>
              <w:rPr>
                <w:sz w:val="20"/>
                <w:szCs w:val="20"/>
              </w:rPr>
            </w:pPr>
            <w:r>
              <w:rPr>
                <w:sz w:val="20"/>
                <w:szCs w:val="20"/>
              </w:rPr>
              <w:t>907</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Плохое зрение</w:t>
            </w:r>
          </w:p>
        </w:tc>
        <w:tc>
          <w:tcPr>
            <w:tcW w:w="1049" w:type="dxa"/>
          </w:tcPr>
          <w:p w:rsidR="00000000" w:rsidRDefault="00000000">
            <w:pPr>
              <w:tabs>
                <w:tab w:val="decimal" w:pos="567"/>
              </w:tabs>
              <w:spacing w:before="40" w:after="40"/>
              <w:rPr>
                <w:sz w:val="20"/>
                <w:szCs w:val="20"/>
              </w:rPr>
            </w:pPr>
            <w:r>
              <w:rPr>
                <w:sz w:val="20"/>
                <w:szCs w:val="20"/>
              </w:rPr>
              <w:t>195</w:t>
            </w:r>
          </w:p>
        </w:tc>
        <w:tc>
          <w:tcPr>
            <w:tcW w:w="832" w:type="dxa"/>
          </w:tcPr>
          <w:p w:rsidR="00000000" w:rsidRDefault="00000000">
            <w:pPr>
              <w:tabs>
                <w:tab w:val="decimal" w:pos="425"/>
              </w:tabs>
              <w:spacing w:before="40" w:after="40"/>
              <w:rPr>
                <w:sz w:val="20"/>
                <w:szCs w:val="20"/>
              </w:rPr>
            </w:pPr>
            <w:r>
              <w:rPr>
                <w:sz w:val="20"/>
                <w:szCs w:val="20"/>
              </w:rPr>
              <w:t>3</w:t>
            </w:r>
          </w:p>
        </w:tc>
        <w:tc>
          <w:tcPr>
            <w:tcW w:w="814" w:type="dxa"/>
          </w:tcPr>
          <w:p w:rsidR="00000000" w:rsidRDefault="00000000">
            <w:pPr>
              <w:tabs>
                <w:tab w:val="decimal" w:pos="567"/>
              </w:tabs>
              <w:spacing w:before="40" w:after="40"/>
              <w:rPr>
                <w:sz w:val="20"/>
                <w:szCs w:val="20"/>
              </w:rPr>
            </w:pPr>
            <w:r>
              <w:rPr>
                <w:sz w:val="20"/>
                <w:szCs w:val="20"/>
              </w:rPr>
              <w:t>803</w:t>
            </w:r>
          </w:p>
        </w:tc>
        <w:tc>
          <w:tcPr>
            <w:tcW w:w="957" w:type="dxa"/>
          </w:tcPr>
          <w:p w:rsidR="00000000" w:rsidRDefault="00000000">
            <w:pPr>
              <w:tabs>
                <w:tab w:val="decimal" w:pos="567"/>
              </w:tabs>
              <w:spacing w:before="40" w:after="40"/>
              <w:rPr>
                <w:sz w:val="20"/>
                <w:szCs w:val="20"/>
              </w:rPr>
            </w:pPr>
            <w:r>
              <w:rPr>
                <w:sz w:val="20"/>
                <w:szCs w:val="20"/>
              </w:rPr>
              <w:t>158</w:t>
            </w:r>
          </w:p>
        </w:tc>
        <w:tc>
          <w:tcPr>
            <w:tcW w:w="737" w:type="dxa"/>
          </w:tcPr>
          <w:p w:rsidR="00000000" w:rsidRDefault="00000000">
            <w:pPr>
              <w:tabs>
                <w:tab w:val="decimal" w:pos="397"/>
              </w:tabs>
              <w:spacing w:before="40" w:after="40"/>
              <w:rPr>
                <w:sz w:val="20"/>
                <w:szCs w:val="20"/>
              </w:rPr>
            </w:pPr>
            <w:r>
              <w:rPr>
                <w:sz w:val="20"/>
                <w:szCs w:val="20"/>
              </w:rPr>
              <w:t>3</w:t>
            </w:r>
          </w:p>
        </w:tc>
        <w:tc>
          <w:tcPr>
            <w:tcW w:w="967" w:type="dxa"/>
          </w:tcPr>
          <w:p w:rsidR="00000000" w:rsidRDefault="00000000">
            <w:pPr>
              <w:tabs>
                <w:tab w:val="decimal" w:pos="567"/>
              </w:tabs>
              <w:spacing w:before="40" w:after="40"/>
              <w:rPr>
                <w:sz w:val="20"/>
                <w:szCs w:val="20"/>
              </w:rPr>
            </w:pPr>
            <w:r>
              <w:rPr>
                <w:sz w:val="20"/>
                <w:szCs w:val="20"/>
              </w:rPr>
              <w:t>838</w:t>
            </w:r>
          </w:p>
        </w:tc>
        <w:tc>
          <w:tcPr>
            <w:tcW w:w="1022" w:type="dxa"/>
            <w:gridSpan w:val="2"/>
          </w:tcPr>
          <w:p w:rsidR="00000000" w:rsidRDefault="00000000">
            <w:pPr>
              <w:tabs>
                <w:tab w:val="decimal" w:pos="567"/>
              </w:tabs>
              <w:spacing w:before="40" w:after="40"/>
              <w:rPr>
                <w:sz w:val="20"/>
                <w:szCs w:val="20"/>
              </w:rPr>
            </w:pPr>
            <w:r>
              <w:rPr>
                <w:sz w:val="20"/>
                <w:szCs w:val="20"/>
              </w:rPr>
              <w:t>188</w:t>
            </w:r>
          </w:p>
        </w:tc>
        <w:tc>
          <w:tcPr>
            <w:tcW w:w="961" w:type="dxa"/>
          </w:tcPr>
          <w:p w:rsidR="00000000" w:rsidRDefault="00000000">
            <w:pPr>
              <w:tabs>
                <w:tab w:val="decimal" w:pos="425"/>
              </w:tabs>
              <w:spacing w:before="40" w:after="40"/>
              <w:rPr>
                <w:sz w:val="20"/>
                <w:szCs w:val="20"/>
              </w:rPr>
            </w:pPr>
            <w:r>
              <w:rPr>
                <w:sz w:val="20"/>
                <w:szCs w:val="20"/>
              </w:rPr>
              <w:t>3</w:t>
            </w:r>
          </w:p>
        </w:tc>
        <w:tc>
          <w:tcPr>
            <w:tcW w:w="1007" w:type="dxa"/>
          </w:tcPr>
          <w:p w:rsidR="00000000" w:rsidRDefault="00000000">
            <w:pPr>
              <w:tabs>
                <w:tab w:val="decimal" w:pos="567"/>
              </w:tabs>
              <w:spacing w:before="40" w:after="40"/>
              <w:rPr>
                <w:sz w:val="20"/>
                <w:szCs w:val="20"/>
              </w:rPr>
            </w:pPr>
            <w:r>
              <w:rPr>
                <w:sz w:val="20"/>
                <w:szCs w:val="20"/>
              </w:rPr>
              <w:t>809</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Проблемы слуха</w:t>
            </w:r>
          </w:p>
        </w:tc>
        <w:tc>
          <w:tcPr>
            <w:tcW w:w="1049" w:type="dxa"/>
          </w:tcPr>
          <w:p w:rsidR="00000000" w:rsidRDefault="00000000">
            <w:pPr>
              <w:tabs>
                <w:tab w:val="decimal" w:pos="567"/>
              </w:tabs>
              <w:spacing w:before="40" w:after="40"/>
              <w:rPr>
                <w:sz w:val="20"/>
                <w:szCs w:val="20"/>
              </w:rPr>
            </w:pPr>
            <w:r>
              <w:rPr>
                <w:sz w:val="20"/>
                <w:szCs w:val="20"/>
              </w:rPr>
              <w:t>374</w:t>
            </w:r>
          </w:p>
        </w:tc>
        <w:tc>
          <w:tcPr>
            <w:tcW w:w="832" w:type="dxa"/>
          </w:tcPr>
          <w:p w:rsidR="00000000" w:rsidRDefault="00000000">
            <w:pPr>
              <w:tabs>
                <w:tab w:val="decimal" w:pos="425"/>
              </w:tabs>
              <w:spacing w:before="40" w:after="40"/>
              <w:rPr>
                <w:sz w:val="20"/>
                <w:szCs w:val="20"/>
              </w:rPr>
            </w:pPr>
            <w:r>
              <w:rPr>
                <w:sz w:val="20"/>
                <w:szCs w:val="20"/>
              </w:rPr>
              <w:t>2</w:t>
            </w:r>
          </w:p>
        </w:tc>
        <w:tc>
          <w:tcPr>
            <w:tcW w:w="814" w:type="dxa"/>
          </w:tcPr>
          <w:p w:rsidR="00000000" w:rsidRDefault="00000000">
            <w:pPr>
              <w:tabs>
                <w:tab w:val="decimal" w:pos="567"/>
              </w:tabs>
              <w:spacing w:before="40" w:after="40"/>
              <w:rPr>
                <w:sz w:val="20"/>
                <w:szCs w:val="20"/>
              </w:rPr>
            </w:pPr>
            <w:r>
              <w:rPr>
                <w:sz w:val="20"/>
                <w:szCs w:val="20"/>
              </w:rPr>
              <w:t>624</w:t>
            </w:r>
          </w:p>
        </w:tc>
        <w:tc>
          <w:tcPr>
            <w:tcW w:w="957" w:type="dxa"/>
          </w:tcPr>
          <w:p w:rsidR="00000000" w:rsidRDefault="00000000">
            <w:pPr>
              <w:tabs>
                <w:tab w:val="decimal" w:pos="567"/>
              </w:tabs>
              <w:spacing w:before="40" w:after="40"/>
              <w:rPr>
                <w:sz w:val="20"/>
                <w:szCs w:val="20"/>
              </w:rPr>
            </w:pPr>
            <w:r>
              <w:rPr>
                <w:sz w:val="20"/>
                <w:szCs w:val="20"/>
              </w:rPr>
              <w:t>229</w:t>
            </w:r>
          </w:p>
        </w:tc>
        <w:tc>
          <w:tcPr>
            <w:tcW w:w="737" w:type="dxa"/>
          </w:tcPr>
          <w:p w:rsidR="00000000" w:rsidRDefault="00000000">
            <w:pPr>
              <w:tabs>
                <w:tab w:val="decimal" w:pos="397"/>
              </w:tabs>
              <w:spacing w:before="40" w:after="40"/>
              <w:rPr>
                <w:sz w:val="20"/>
                <w:szCs w:val="20"/>
              </w:rPr>
            </w:pPr>
            <w:r>
              <w:rPr>
                <w:sz w:val="20"/>
                <w:szCs w:val="20"/>
              </w:rPr>
              <w:t>10</w:t>
            </w:r>
          </w:p>
        </w:tc>
        <w:tc>
          <w:tcPr>
            <w:tcW w:w="967" w:type="dxa"/>
          </w:tcPr>
          <w:p w:rsidR="00000000" w:rsidRDefault="00000000">
            <w:pPr>
              <w:tabs>
                <w:tab w:val="decimal" w:pos="567"/>
              </w:tabs>
              <w:spacing w:before="40" w:after="40"/>
              <w:rPr>
                <w:sz w:val="20"/>
                <w:szCs w:val="20"/>
              </w:rPr>
            </w:pPr>
            <w:r>
              <w:rPr>
                <w:sz w:val="20"/>
                <w:szCs w:val="20"/>
              </w:rPr>
              <w:t>761</w:t>
            </w:r>
          </w:p>
        </w:tc>
        <w:tc>
          <w:tcPr>
            <w:tcW w:w="1022" w:type="dxa"/>
            <w:gridSpan w:val="2"/>
          </w:tcPr>
          <w:p w:rsidR="00000000" w:rsidRDefault="00000000">
            <w:pPr>
              <w:tabs>
                <w:tab w:val="decimal" w:pos="567"/>
              </w:tabs>
              <w:spacing w:before="40" w:after="40"/>
              <w:rPr>
                <w:sz w:val="20"/>
                <w:szCs w:val="20"/>
              </w:rPr>
            </w:pPr>
            <w:r>
              <w:rPr>
                <w:sz w:val="20"/>
                <w:szCs w:val="20"/>
              </w:rPr>
              <w:t>343</w:t>
            </w:r>
          </w:p>
        </w:tc>
        <w:tc>
          <w:tcPr>
            <w:tcW w:w="961" w:type="dxa"/>
          </w:tcPr>
          <w:p w:rsidR="00000000" w:rsidRDefault="00000000">
            <w:pPr>
              <w:tabs>
                <w:tab w:val="decimal" w:pos="425"/>
              </w:tabs>
              <w:spacing w:before="40" w:after="40"/>
              <w:rPr>
                <w:sz w:val="20"/>
                <w:szCs w:val="20"/>
              </w:rPr>
            </w:pPr>
            <w:r>
              <w:rPr>
                <w:sz w:val="20"/>
                <w:szCs w:val="20"/>
              </w:rPr>
              <w:t>4</w:t>
            </w:r>
          </w:p>
        </w:tc>
        <w:tc>
          <w:tcPr>
            <w:tcW w:w="1007" w:type="dxa"/>
          </w:tcPr>
          <w:p w:rsidR="00000000" w:rsidRDefault="00000000">
            <w:pPr>
              <w:tabs>
                <w:tab w:val="decimal" w:pos="567"/>
              </w:tabs>
              <w:spacing w:before="40" w:after="40"/>
              <w:rPr>
                <w:sz w:val="20"/>
                <w:szCs w:val="20"/>
              </w:rPr>
            </w:pPr>
            <w:r>
              <w:rPr>
                <w:sz w:val="20"/>
                <w:szCs w:val="20"/>
              </w:rPr>
              <w:t>653</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Проблемы речи</w:t>
            </w:r>
          </w:p>
        </w:tc>
        <w:tc>
          <w:tcPr>
            <w:tcW w:w="1049" w:type="dxa"/>
          </w:tcPr>
          <w:p w:rsidR="00000000" w:rsidRDefault="00000000">
            <w:pPr>
              <w:tabs>
                <w:tab w:val="decimal" w:pos="567"/>
              </w:tabs>
              <w:spacing w:before="40" w:after="40"/>
              <w:rPr>
                <w:sz w:val="20"/>
                <w:szCs w:val="20"/>
              </w:rPr>
            </w:pPr>
            <w:r>
              <w:rPr>
                <w:sz w:val="20"/>
                <w:szCs w:val="20"/>
              </w:rPr>
              <w:t>290</w:t>
            </w:r>
          </w:p>
        </w:tc>
        <w:tc>
          <w:tcPr>
            <w:tcW w:w="832" w:type="dxa"/>
          </w:tcPr>
          <w:p w:rsidR="00000000" w:rsidRDefault="00000000">
            <w:pPr>
              <w:tabs>
                <w:tab w:val="decimal" w:pos="425"/>
              </w:tabs>
              <w:spacing w:before="40" w:after="40"/>
              <w:rPr>
                <w:sz w:val="20"/>
                <w:szCs w:val="20"/>
              </w:rPr>
            </w:pPr>
            <w:r>
              <w:rPr>
                <w:sz w:val="20"/>
                <w:szCs w:val="20"/>
              </w:rPr>
              <w:t>5</w:t>
            </w:r>
          </w:p>
        </w:tc>
        <w:tc>
          <w:tcPr>
            <w:tcW w:w="814" w:type="dxa"/>
          </w:tcPr>
          <w:p w:rsidR="00000000" w:rsidRDefault="00000000">
            <w:pPr>
              <w:tabs>
                <w:tab w:val="decimal" w:pos="567"/>
              </w:tabs>
              <w:spacing w:before="40" w:after="40"/>
              <w:rPr>
                <w:sz w:val="20"/>
                <w:szCs w:val="20"/>
              </w:rPr>
            </w:pPr>
            <w:r>
              <w:rPr>
                <w:sz w:val="20"/>
                <w:szCs w:val="20"/>
              </w:rPr>
              <w:t>705</w:t>
            </w:r>
          </w:p>
        </w:tc>
        <w:tc>
          <w:tcPr>
            <w:tcW w:w="957" w:type="dxa"/>
          </w:tcPr>
          <w:p w:rsidR="00000000" w:rsidRDefault="00000000">
            <w:pPr>
              <w:tabs>
                <w:tab w:val="decimal" w:pos="567"/>
              </w:tabs>
              <w:spacing w:before="40" w:after="40"/>
              <w:rPr>
                <w:sz w:val="20"/>
                <w:szCs w:val="20"/>
              </w:rPr>
            </w:pPr>
            <w:r>
              <w:rPr>
                <w:sz w:val="20"/>
                <w:szCs w:val="20"/>
              </w:rPr>
              <w:t>178</w:t>
            </w:r>
          </w:p>
        </w:tc>
        <w:tc>
          <w:tcPr>
            <w:tcW w:w="737" w:type="dxa"/>
          </w:tcPr>
          <w:p w:rsidR="00000000" w:rsidRDefault="00000000">
            <w:pPr>
              <w:tabs>
                <w:tab w:val="decimal" w:pos="397"/>
              </w:tabs>
              <w:spacing w:before="40" w:after="40"/>
              <w:rPr>
                <w:sz w:val="20"/>
                <w:szCs w:val="20"/>
              </w:rPr>
            </w:pPr>
            <w:r>
              <w:rPr>
                <w:sz w:val="20"/>
                <w:szCs w:val="20"/>
              </w:rPr>
              <w:t>13</w:t>
            </w:r>
          </w:p>
        </w:tc>
        <w:tc>
          <w:tcPr>
            <w:tcW w:w="967" w:type="dxa"/>
          </w:tcPr>
          <w:p w:rsidR="00000000" w:rsidRDefault="00000000">
            <w:pPr>
              <w:tabs>
                <w:tab w:val="decimal" w:pos="567"/>
              </w:tabs>
              <w:spacing w:before="40" w:after="40"/>
              <w:rPr>
                <w:sz w:val="20"/>
                <w:szCs w:val="20"/>
              </w:rPr>
            </w:pPr>
            <w:r>
              <w:rPr>
                <w:sz w:val="20"/>
                <w:szCs w:val="20"/>
              </w:rPr>
              <w:t>809</w:t>
            </w:r>
          </w:p>
        </w:tc>
        <w:tc>
          <w:tcPr>
            <w:tcW w:w="1022" w:type="dxa"/>
            <w:gridSpan w:val="2"/>
          </w:tcPr>
          <w:p w:rsidR="00000000" w:rsidRDefault="00000000">
            <w:pPr>
              <w:tabs>
                <w:tab w:val="decimal" w:pos="567"/>
              </w:tabs>
              <w:spacing w:before="40" w:after="40"/>
              <w:rPr>
                <w:sz w:val="20"/>
                <w:szCs w:val="20"/>
              </w:rPr>
            </w:pPr>
            <w:r>
              <w:rPr>
                <w:sz w:val="20"/>
                <w:szCs w:val="20"/>
              </w:rPr>
              <w:t>263</w:t>
            </w:r>
          </w:p>
        </w:tc>
        <w:tc>
          <w:tcPr>
            <w:tcW w:w="961" w:type="dxa"/>
          </w:tcPr>
          <w:p w:rsidR="00000000" w:rsidRDefault="00000000">
            <w:pPr>
              <w:tabs>
                <w:tab w:val="decimal" w:pos="425"/>
              </w:tabs>
              <w:spacing w:before="40" w:after="40"/>
              <w:rPr>
                <w:sz w:val="20"/>
                <w:szCs w:val="20"/>
              </w:rPr>
            </w:pPr>
            <w:r>
              <w:rPr>
                <w:sz w:val="20"/>
                <w:szCs w:val="20"/>
              </w:rPr>
              <w:t>7</w:t>
            </w:r>
          </w:p>
        </w:tc>
        <w:tc>
          <w:tcPr>
            <w:tcW w:w="1007" w:type="dxa"/>
          </w:tcPr>
          <w:p w:rsidR="00000000" w:rsidRDefault="00000000">
            <w:pPr>
              <w:tabs>
                <w:tab w:val="decimal" w:pos="567"/>
              </w:tabs>
              <w:spacing w:before="40" w:after="40"/>
              <w:rPr>
                <w:sz w:val="20"/>
                <w:szCs w:val="20"/>
              </w:rPr>
            </w:pPr>
            <w:r>
              <w:rPr>
                <w:sz w:val="20"/>
                <w:szCs w:val="20"/>
              </w:rPr>
              <w:t>730</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Заболевания опорно-двигательно-го аппарата</w:t>
            </w:r>
          </w:p>
        </w:tc>
        <w:tc>
          <w:tcPr>
            <w:tcW w:w="1049" w:type="dxa"/>
          </w:tcPr>
          <w:p w:rsidR="00000000" w:rsidRDefault="00000000">
            <w:pPr>
              <w:tabs>
                <w:tab w:val="decimal" w:pos="567"/>
              </w:tabs>
              <w:spacing w:before="40" w:after="40"/>
              <w:rPr>
                <w:sz w:val="20"/>
                <w:szCs w:val="20"/>
              </w:rPr>
            </w:pPr>
            <w:r>
              <w:rPr>
                <w:sz w:val="20"/>
                <w:szCs w:val="20"/>
              </w:rPr>
              <w:t>279</w:t>
            </w:r>
          </w:p>
        </w:tc>
        <w:tc>
          <w:tcPr>
            <w:tcW w:w="832" w:type="dxa"/>
          </w:tcPr>
          <w:p w:rsidR="00000000" w:rsidRDefault="00000000">
            <w:pPr>
              <w:tabs>
                <w:tab w:val="decimal" w:pos="425"/>
              </w:tabs>
              <w:spacing w:before="40" w:after="40"/>
              <w:rPr>
                <w:sz w:val="20"/>
                <w:szCs w:val="20"/>
                <w:lang w:val="en-US"/>
              </w:rPr>
            </w:pPr>
            <w:r>
              <w:rPr>
                <w:sz w:val="20"/>
                <w:szCs w:val="20"/>
                <w:lang w:val="en-US"/>
              </w:rPr>
              <w:t>9</w:t>
            </w:r>
          </w:p>
        </w:tc>
        <w:tc>
          <w:tcPr>
            <w:tcW w:w="814" w:type="dxa"/>
          </w:tcPr>
          <w:p w:rsidR="00000000" w:rsidRDefault="00000000">
            <w:pPr>
              <w:tabs>
                <w:tab w:val="decimal" w:pos="567"/>
              </w:tabs>
              <w:spacing w:before="40" w:after="40"/>
              <w:rPr>
                <w:sz w:val="20"/>
                <w:szCs w:val="20"/>
                <w:lang w:val="en-US"/>
              </w:rPr>
            </w:pPr>
            <w:r>
              <w:rPr>
                <w:sz w:val="20"/>
                <w:szCs w:val="20"/>
                <w:lang w:val="en-US"/>
              </w:rPr>
              <w:t>712</w:t>
            </w:r>
          </w:p>
        </w:tc>
        <w:tc>
          <w:tcPr>
            <w:tcW w:w="957" w:type="dxa"/>
          </w:tcPr>
          <w:p w:rsidR="00000000" w:rsidRDefault="00000000">
            <w:pPr>
              <w:tabs>
                <w:tab w:val="decimal" w:pos="567"/>
              </w:tabs>
              <w:spacing w:before="40" w:after="40"/>
              <w:rPr>
                <w:sz w:val="20"/>
                <w:szCs w:val="20"/>
                <w:lang w:val="en-US"/>
              </w:rPr>
            </w:pPr>
            <w:r>
              <w:rPr>
                <w:sz w:val="20"/>
                <w:szCs w:val="20"/>
                <w:lang w:val="en-US"/>
              </w:rPr>
              <w:t>289</w:t>
            </w:r>
          </w:p>
        </w:tc>
        <w:tc>
          <w:tcPr>
            <w:tcW w:w="737" w:type="dxa"/>
          </w:tcPr>
          <w:p w:rsidR="00000000" w:rsidRDefault="00000000">
            <w:pPr>
              <w:tabs>
                <w:tab w:val="decimal" w:pos="397"/>
              </w:tabs>
              <w:spacing w:before="40" w:after="40"/>
              <w:rPr>
                <w:sz w:val="20"/>
                <w:szCs w:val="20"/>
                <w:lang w:val="en-US"/>
              </w:rPr>
            </w:pPr>
            <w:r>
              <w:rPr>
                <w:sz w:val="20"/>
                <w:szCs w:val="20"/>
                <w:lang w:val="en-US"/>
              </w:rPr>
              <w:t>15</w:t>
            </w:r>
          </w:p>
        </w:tc>
        <w:tc>
          <w:tcPr>
            <w:tcW w:w="967" w:type="dxa"/>
          </w:tcPr>
          <w:p w:rsidR="00000000" w:rsidRDefault="00000000">
            <w:pPr>
              <w:tabs>
                <w:tab w:val="decimal" w:pos="567"/>
              </w:tabs>
              <w:spacing w:before="40" w:after="40"/>
              <w:rPr>
                <w:sz w:val="20"/>
                <w:szCs w:val="20"/>
                <w:lang w:val="en-US"/>
              </w:rPr>
            </w:pPr>
            <w:r>
              <w:rPr>
                <w:sz w:val="20"/>
                <w:szCs w:val="20"/>
                <w:lang w:val="en-US"/>
              </w:rPr>
              <w:t>696</w:t>
            </w:r>
          </w:p>
        </w:tc>
        <w:tc>
          <w:tcPr>
            <w:tcW w:w="1022" w:type="dxa"/>
            <w:gridSpan w:val="2"/>
          </w:tcPr>
          <w:p w:rsidR="00000000" w:rsidRDefault="00000000">
            <w:pPr>
              <w:tabs>
                <w:tab w:val="decimal" w:pos="567"/>
              </w:tabs>
              <w:spacing w:before="40" w:after="40"/>
              <w:rPr>
                <w:sz w:val="20"/>
                <w:szCs w:val="20"/>
                <w:lang w:val="en-US"/>
              </w:rPr>
            </w:pPr>
            <w:r>
              <w:rPr>
                <w:sz w:val="20"/>
                <w:szCs w:val="20"/>
                <w:lang w:val="en-US"/>
              </w:rPr>
              <w:t>282</w:t>
            </w:r>
          </w:p>
        </w:tc>
        <w:tc>
          <w:tcPr>
            <w:tcW w:w="961" w:type="dxa"/>
          </w:tcPr>
          <w:p w:rsidR="00000000" w:rsidRDefault="00000000">
            <w:pPr>
              <w:tabs>
                <w:tab w:val="decimal" w:pos="425"/>
              </w:tabs>
              <w:spacing w:before="40" w:after="40"/>
              <w:rPr>
                <w:sz w:val="20"/>
                <w:szCs w:val="20"/>
                <w:lang w:val="en-US"/>
              </w:rPr>
            </w:pPr>
            <w:r>
              <w:rPr>
                <w:sz w:val="20"/>
                <w:szCs w:val="20"/>
                <w:lang w:val="en-US"/>
              </w:rPr>
              <w:t>10</w:t>
            </w:r>
          </w:p>
        </w:tc>
        <w:tc>
          <w:tcPr>
            <w:tcW w:w="1007" w:type="dxa"/>
          </w:tcPr>
          <w:p w:rsidR="00000000" w:rsidRDefault="00000000">
            <w:pPr>
              <w:tabs>
                <w:tab w:val="decimal" w:pos="567"/>
              </w:tabs>
              <w:spacing w:before="40" w:after="40"/>
              <w:rPr>
                <w:sz w:val="20"/>
                <w:szCs w:val="20"/>
                <w:lang w:val="en-US"/>
              </w:rPr>
            </w:pPr>
            <w:r>
              <w:rPr>
                <w:sz w:val="20"/>
                <w:szCs w:val="20"/>
                <w:lang w:val="en-US"/>
              </w:rPr>
              <w:t>708</w:t>
            </w:r>
          </w:p>
        </w:tc>
      </w:tr>
      <w:tr w:rsidR="00000000">
        <w:tblPrEx>
          <w:tblCellMar>
            <w:top w:w="0" w:type="dxa"/>
            <w:bottom w:w="0" w:type="dxa"/>
          </w:tblCellMar>
        </w:tblPrEx>
        <w:trPr>
          <w:cantSplit/>
        </w:trPr>
        <w:tc>
          <w:tcPr>
            <w:tcW w:w="1293" w:type="dxa"/>
            <w:gridSpan w:val="2"/>
          </w:tcPr>
          <w:p w:rsidR="00000000" w:rsidRDefault="00000000">
            <w:pPr>
              <w:spacing w:before="40" w:after="40"/>
              <w:rPr>
                <w:sz w:val="20"/>
                <w:szCs w:val="20"/>
              </w:rPr>
            </w:pPr>
            <w:r>
              <w:rPr>
                <w:sz w:val="20"/>
                <w:szCs w:val="20"/>
              </w:rPr>
              <w:t>Все инвалиды</w:t>
            </w:r>
          </w:p>
        </w:tc>
        <w:tc>
          <w:tcPr>
            <w:tcW w:w="1049" w:type="dxa"/>
          </w:tcPr>
          <w:p w:rsidR="00000000" w:rsidRDefault="00000000">
            <w:pPr>
              <w:tabs>
                <w:tab w:val="decimal" w:pos="567"/>
              </w:tabs>
              <w:spacing w:before="40" w:after="40"/>
              <w:rPr>
                <w:sz w:val="20"/>
                <w:szCs w:val="20"/>
                <w:lang w:val="en-US"/>
              </w:rPr>
            </w:pPr>
            <w:r>
              <w:rPr>
                <w:sz w:val="20"/>
                <w:szCs w:val="20"/>
                <w:lang w:val="en-US"/>
              </w:rPr>
              <w:t>263</w:t>
            </w:r>
          </w:p>
        </w:tc>
        <w:tc>
          <w:tcPr>
            <w:tcW w:w="832" w:type="dxa"/>
          </w:tcPr>
          <w:p w:rsidR="00000000" w:rsidRDefault="00000000">
            <w:pPr>
              <w:tabs>
                <w:tab w:val="decimal" w:pos="425"/>
              </w:tabs>
              <w:spacing w:before="40" w:after="40"/>
              <w:rPr>
                <w:sz w:val="20"/>
                <w:szCs w:val="20"/>
                <w:lang w:val="en-US"/>
              </w:rPr>
            </w:pPr>
            <w:r>
              <w:rPr>
                <w:sz w:val="20"/>
                <w:szCs w:val="20"/>
                <w:lang w:val="en-US"/>
              </w:rPr>
              <w:t>6</w:t>
            </w:r>
          </w:p>
        </w:tc>
        <w:tc>
          <w:tcPr>
            <w:tcW w:w="814" w:type="dxa"/>
          </w:tcPr>
          <w:p w:rsidR="00000000" w:rsidRDefault="00000000">
            <w:pPr>
              <w:tabs>
                <w:tab w:val="decimal" w:pos="567"/>
              </w:tabs>
              <w:spacing w:before="40" w:after="40"/>
              <w:rPr>
                <w:sz w:val="20"/>
                <w:szCs w:val="20"/>
                <w:lang w:val="en-US"/>
              </w:rPr>
            </w:pPr>
            <w:r>
              <w:rPr>
                <w:sz w:val="20"/>
                <w:szCs w:val="20"/>
                <w:lang w:val="en-US"/>
              </w:rPr>
              <w:t>731</w:t>
            </w:r>
          </w:p>
        </w:tc>
        <w:tc>
          <w:tcPr>
            <w:tcW w:w="957" w:type="dxa"/>
          </w:tcPr>
          <w:p w:rsidR="00000000" w:rsidRDefault="00000000">
            <w:pPr>
              <w:tabs>
                <w:tab w:val="decimal" w:pos="567"/>
              </w:tabs>
              <w:spacing w:before="40" w:after="40"/>
              <w:rPr>
                <w:sz w:val="20"/>
                <w:szCs w:val="20"/>
                <w:lang w:val="en-US"/>
              </w:rPr>
            </w:pPr>
            <w:r>
              <w:rPr>
                <w:sz w:val="20"/>
                <w:szCs w:val="20"/>
                <w:lang w:val="en-US"/>
              </w:rPr>
              <w:t>238</w:t>
            </w:r>
          </w:p>
        </w:tc>
        <w:tc>
          <w:tcPr>
            <w:tcW w:w="737" w:type="dxa"/>
          </w:tcPr>
          <w:p w:rsidR="00000000" w:rsidRDefault="00000000">
            <w:pPr>
              <w:tabs>
                <w:tab w:val="decimal" w:pos="567"/>
              </w:tabs>
              <w:spacing w:before="40" w:after="40"/>
              <w:rPr>
                <w:sz w:val="20"/>
                <w:szCs w:val="20"/>
                <w:lang w:val="en-US"/>
              </w:rPr>
            </w:pPr>
            <w:r>
              <w:rPr>
                <w:sz w:val="20"/>
                <w:szCs w:val="20"/>
                <w:lang w:val="en-US"/>
              </w:rPr>
              <w:t>12</w:t>
            </w:r>
          </w:p>
        </w:tc>
        <w:tc>
          <w:tcPr>
            <w:tcW w:w="967" w:type="dxa"/>
          </w:tcPr>
          <w:p w:rsidR="00000000" w:rsidRDefault="00000000">
            <w:pPr>
              <w:tabs>
                <w:tab w:val="decimal" w:pos="567"/>
              </w:tabs>
              <w:spacing w:before="40" w:after="40"/>
              <w:rPr>
                <w:sz w:val="20"/>
                <w:szCs w:val="20"/>
                <w:lang w:val="en-US"/>
              </w:rPr>
            </w:pPr>
            <w:r>
              <w:rPr>
                <w:sz w:val="20"/>
                <w:szCs w:val="20"/>
                <w:lang w:val="en-US"/>
              </w:rPr>
              <w:t>749</w:t>
            </w:r>
          </w:p>
        </w:tc>
        <w:tc>
          <w:tcPr>
            <w:tcW w:w="1022" w:type="dxa"/>
            <w:gridSpan w:val="2"/>
          </w:tcPr>
          <w:p w:rsidR="00000000" w:rsidRDefault="00000000">
            <w:pPr>
              <w:tabs>
                <w:tab w:val="decimal" w:pos="567"/>
              </w:tabs>
              <w:spacing w:before="40" w:after="40"/>
              <w:rPr>
                <w:sz w:val="20"/>
                <w:szCs w:val="20"/>
                <w:lang w:val="en-US"/>
              </w:rPr>
            </w:pPr>
            <w:r>
              <w:rPr>
                <w:sz w:val="20"/>
                <w:szCs w:val="20"/>
                <w:lang w:val="en-US"/>
              </w:rPr>
              <w:t>257</w:t>
            </w:r>
          </w:p>
        </w:tc>
        <w:tc>
          <w:tcPr>
            <w:tcW w:w="961" w:type="dxa"/>
          </w:tcPr>
          <w:p w:rsidR="00000000" w:rsidRDefault="00000000">
            <w:pPr>
              <w:tabs>
                <w:tab w:val="decimal" w:pos="425"/>
              </w:tabs>
              <w:spacing w:before="40" w:after="40"/>
              <w:rPr>
                <w:sz w:val="20"/>
                <w:szCs w:val="20"/>
                <w:lang w:val="en-US"/>
              </w:rPr>
            </w:pPr>
            <w:r>
              <w:rPr>
                <w:sz w:val="20"/>
                <w:szCs w:val="20"/>
                <w:lang w:val="en-US"/>
              </w:rPr>
              <w:t>7</w:t>
            </w:r>
          </w:p>
        </w:tc>
        <w:tc>
          <w:tcPr>
            <w:tcW w:w="1007" w:type="dxa"/>
          </w:tcPr>
          <w:p w:rsidR="00000000" w:rsidRDefault="00000000">
            <w:pPr>
              <w:tabs>
                <w:tab w:val="decimal" w:pos="567"/>
              </w:tabs>
              <w:spacing w:before="40" w:after="40"/>
              <w:rPr>
                <w:sz w:val="20"/>
                <w:szCs w:val="20"/>
                <w:lang w:val="en-US"/>
              </w:rPr>
            </w:pPr>
            <w:r>
              <w:rPr>
                <w:sz w:val="20"/>
                <w:szCs w:val="20"/>
                <w:lang w:val="en-US"/>
              </w:rPr>
              <w:t>735</w:t>
            </w:r>
          </w:p>
        </w:tc>
      </w:tr>
    </w:tbl>
    <w:p w:rsidR="00000000" w:rsidRDefault="00000000">
      <w:pPr>
        <w:pStyle w:val="a3"/>
        <w:spacing w:before="120"/>
        <w:rPr>
          <w:lang w:val="en-US"/>
        </w:rPr>
      </w:pPr>
      <w:r>
        <w:rPr>
          <w:b/>
          <w:bCs/>
        </w:rPr>
        <w:t>Источник</w:t>
      </w:r>
      <w:r>
        <w:rPr>
          <w:b/>
          <w:bCs/>
          <w:lang w:val="en-US"/>
        </w:rPr>
        <w:t>:</w:t>
      </w:r>
      <w:r>
        <w:rPr>
          <w:lang w:val="en-US"/>
        </w:rPr>
        <w:t xml:space="preserve"> Statement 14 of NSS Report No. 485: Disabled persons in India, p. 21.</w:t>
      </w:r>
    </w:p>
    <w:p w:rsidR="00000000" w:rsidRDefault="00000000">
      <w:pPr>
        <w:pStyle w:val="112"/>
        <w:rPr>
          <w:lang w:val="en-US"/>
        </w:rPr>
      </w:pPr>
    </w:p>
    <w:p w:rsidR="00000000" w:rsidRDefault="00000000">
      <w:pPr>
        <w:tabs>
          <w:tab w:val="left" w:pos="567"/>
          <w:tab w:val="left" w:pos="1134"/>
          <w:tab w:val="left" w:pos="1701"/>
          <w:tab w:val="left" w:pos="2268"/>
          <w:tab w:val="right" w:leader="dot" w:pos="7541"/>
          <w:tab w:val="center" w:pos="8039"/>
          <w:tab w:val="center" w:pos="9122"/>
        </w:tabs>
        <w:spacing w:before="60"/>
        <w:jc w:val="both"/>
        <w:rPr>
          <w:b/>
          <w:sz w:val="22"/>
        </w:rPr>
      </w:pPr>
      <w:r>
        <w:rPr>
          <w:b/>
          <w:sz w:val="22"/>
        </w:rPr>
        <w:t>Безработица</w:t>
      </w:r>
    </w:p>
    <w:p w:rsidR="00000000" w:rsidRDefault="00000000">
      <w:pPr>
        <w:tabs>
          <w:tab w:val="left" w:pos="567"/>
          <w:tab w:val="left" w:pos="1134"/>
          <w:tab w:val="left" w:pos="1701"/>
          <w:tab w:val="left" w:pos="2268"/>
          <w:tab w:val="right" w:leader="dot" w:pos="7541"/>
          <w:tab w:val="center" w:pos="8039"/>
          <w:tab w:val="center" w:pos="9122"/>
        </w:tabs>
        <w:jc w:val="both"/>
        <w:rPr>
          <w:b/>
          <w:sz w:val="24"/>
        </w:rPr>
      </w:pPr>
    </w:p>
    <w:p w:rsidR="00000000" w:rsidRDefault="00000000">
      <w:pPr>
        <w:pStyle w:val="112"/>
        <w:spacing w:before="0"/>
      </w:pPr>
      <w:r>
        <w:t>14.</w:t>
      </w:r>
      <w:r>
        <w:tab/>
        <w:t>На таблице 6.3 показано, что по сравнению с периодом 1993–1994 годов в период 1999–</w:t>
      </w:r>
      <w:r>
        <w:br/>
        <w:t xml:space="preserve">2000 годов показатель уровня безработицы с учетом главного обычного статуса или обычного статуса (ОС), который эквивалентен стандартному индикатору открытой безработицы, оставался почти таким же в сельской местности или городских зонах для мужчин и женщин, за исключением понижения ОС на 1 процентный пункт в случае городских женщин. В Индии, где относительно высок уровень неполной занятости или скрытой безработицы, это явление пытаются уловить с помощью показателей рабочего времени. В ходе предыдущих циклов и данного цикла никаких значительных изменений в этих показателях в плане текущего недельного статуса (ТНС) не отмечалось. В плане же текущего дневного статуса (ТДС) этот уровень в 1999–2000 годах в сельской местности был примерно на 1 процентный пункт выше, чем уровень, достигнутый в 1993–1994 годах, как для мужчин, так и для женщин. Этот показатель среди городских женщин был ниже на 1 процентный пункт. Вместе с тем за период с 1983 по 1999–2000 годы определенные тенденции в динамике этих показателей выявить не удалось. </w:t>
      </w:r>
    </w:p>
    <w:p w:rsidR="00000000" w:rsidRDefault="00000000">
      <w:pPr>
        <w:tabs>
          <w:tab w:val="left" w:pos="567"/>
          <w:tab w:val="left" w:pos="1134"/>
          <w:tab w:val="left" w:pos="1701"/>
          <w:tab w:val="left" w:pos="2268"/>
          <w:tab w:val="right" w:leader="dot" w:pos="7541"/>
          <w:tab w:val="center" w:pos="8039"/>
          <w:tab w:val="center" w:pos="9122"/>
        </w:tabs>
        <w:rPr>
          <w:sz w:val="24"/>
        </w:rPr>
      </w:pPr>
    </w:p>
    <w:p w:rsidR="00000000" w:rsidRDefault="00000000">
      <w:pPr>
        <w:pStyle w:val="112"/>
        <w:jc w:val="left"/>
        <w:rPr>
          <w:b/>
          <w:bCs/>
        </w:rPr>
      </w:pPr>
      <w:r>
        <w:rPr>
          <w:b/>
          <w:bCs/>
        </w:rPr>
        <w:t xml:space="preserve">Таблица 6.3 </w:t>
      </w:r>
      <w:r>
        <w:rPr>
          <w:b/>
          <w:bCs/>
          <w:szCs w:val="22"/>
        </w:rPr>
        <w:t xml:space="preserve">– </w:t>
      </w:r>
      <w:r>
        <w:rPr>
          <w:b/>
          <w:bCs/>
        </w:rPr>
        <w:t xml:space="preserve">Уровень безработицы в период с 1972–1973 годов по 1999–2000 годы </w:t>
      </w:r>
      <w:r>
        <w:rPr>
          <w:b/>
          <w:bCs/>
        </w:rPr>
        <w:br/>
        <w:t>по итогам различных циклов НВО</w:t>
      </w:r>
    </w:p>
    <w:p w:rsidR="00000000" w:rsidRDefault="00000000">
      <w:pPr>
        <w:pStyle w:val="112"/>
      </w:pPr>
      <w:r>
        <w:t>Вся Индия</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2548"/>
        <w:gridCol w:w="960"/>
        <w:gridCol w:w="1036"/>
        <w:gridCol w:w="873"/>
        <w:gridCol w:w="867"/>
        <w:gridCol w:w="7"/>
        <w:gridCol w:w="727"/>
        <w:gridCol w:w="1020"/>
        <w:gridCol w:w="727"/>
        <w:gridCol w:w="874"/>
      </w:tblGrid>
      <w:tr w:rsidR="00000000">
        <w:tblPrEx>
          <w:tblCellMar>
            <w:top w:w="0" w:type="dxa"/>
            <w:bottom w:w="0" w:type="dxa"/>
          </w:tblCellMar>
        </w:tblPrEx>
        <w:trPr>
          <w:cantSplit/>
        </w:trPr>
        <w:tc>
          <w:tcPr>
            <w:tcW w:w="2548" w:type="dxa"/>
          </w:tcPr>
          <w:p w:rsidR="00000000" w:rsidRDefault="00000000">
            <w:pPr>
              <w:spacing w:before="40" w:after="40"/>
              <w:jc w:val="center"/>
              <w:rPr>
                <w:sz w:val="20"/>
                <w:szCs w:val="20"/>
              </w:rPr>
            </w:pPr>
            <w:r>
              <w:rPr>
                <w:sz w:val="20"/>
                <w:szCs w:val="20"/>
              </w:rPr>
              <w:t>Цикл (год)</w:t>
            </w:r>
          </w:p>
        </w:tc>
        <w:tc>
          <w:tcPr>
            <w:tcW w:w="7091" w:type="dxa"/>
            <w:gridSpan w:val="9"/>
          </w:tcPr>
          <w:p w:rsidR="00000000" w:rsidRDefault="00000000">
            <w:pPr>
              <w:spacing w:before="40" w:after="40"/>
              <w:jc w:val="center"/>
              <w:rPr>
                <w:sz w:val="20"/>
                <w:szCs w:val="20"/>
              </w:rPr>
            </w:pPr>
            <w:r>
              <w:rPr>
                <w:sz w:val="20"/>
                <w:szCs w:val="20"/>
              </w:rPr>
              <w:t>Уровень безработицы</w:t>
            </w:r>
          </w:p>
        </w:tc>
      </w:tr>
      <w:tr w:rsidR="00000000">
        <w:tblPrEx>
          <w:tblCellMar>
            <w:top w:w="0" w:type="dxa"/>
            <w:bottom w:w="0" w:type="dxa"/>
          </w:tblCellMar>
        </w:tblPrEx>
        <w:trPr>
          <w:cantSplit/>
        </w:trPr>
        <w:tc>
          <w:tcPr>
            <w:tcW w:w="2548" w:type="dxa"/>
          </w:tcPr>
          <w:p w:rsidR="00000000" w:rsidRDefault="00000000">
            <w:pPr>
              <w:spacing w:before="40" w:after="40"/>
              <w:rPr>
                <w:sz w:val="20"/>
                <w:szCs w:val="20"/>
              </w:rPr>
            </w:pPr>
          </w:p>
        </w:tc>
        <w:tc>
          <w:tcPr>
            <w:tcW w:w="3743" w:type="dxa"/>
            <w:gridSpan w:val="5"/>
          </w:tcPr>
          <w:p w:rsidR="00000000" w:rsidRDefault="00000000">
            <w:pPr>
              <w:spacing w:before="40" w:after="40"/>
              <w:jc w:val="center"/>
              <w:rPr>
                <w:sz w:val="20"/>
                <w:szCs w:val="20"/>
              </w:rPr>
            </w:pPr>
            <w:r>
              <w:rPr>
                <w:sz w:val="20"/>
                <w:szCs w:val="20"/>
              </w:rPr>
              <w:t>Мужчины</w:t>
            </w:r>
          </w:p>
        </w:tc>
        <w:tc>
          <w:tcPr>
            <w:tcW w:w="3348" w:type="dxa"/>
            <w:gridSpan w:val="4"/>
          </w:tcPr>
          <w:p w:rsidR="00000000" w:rsidRDefault="00000000">
            <w:pPr>
              <w:spacing w:before="40" w:after="40"/>
              <w:jc w:val="center"/>
              <w:rPr>
                <w:sz w:val="20"/>
                <w:szCs w:val="20"/>
              </w:rPr>
            </w:pPr>
            <w:r>
              <w:rPr>
                <w:sz w:val="20"/>
                <w:szCs w:val="20"/>
              </w:rPr>
              <w:t>Женщины</w:t>
            </w:r>
          </w:p>
        </w:tc>
      </w:tr>
      <w:tr w:rsidR="00000000">
        <w:tblPrEx>
          <w:tblCellMar>
            <w:top w:w="0" w:type="dxa"/>
            <w:bottom w:w="0" w:type="dxa"/>
          </w:tblCellMar>
        </w:tblPrEx>
        <w:trPr>
          <w:cantSplit/>
        </w:trPr>
        <w:tc>
          <w:tcPr>
            <w:tcW w:w="2548" w:type="dxa"/>
          </w:tcPr>
          <w:p w:rsidR="00000000" w:rsidRDefault="00000000">
            <w:pPr>
              <w:spacing w:before="40" w:after="40"/>
              <w:jc w:val="center"/>
              <w:rPr>
                <w:sz w:val="20"/>
                <w:szCs w:val="20"/>
              </w:rPr>
            </w:pPr>
          </w:p>
        </w:tc>
        <w:tc>
          <w:tcPr>
            <w:tcW w:w="960" w:type="dxa"/>
          </w:tcPr>
          <w:p w:rsidR="00000000" w:rsidRDefault="00000000">
            <w:pPr>
              <w:spacing w:before="40" w:after="40"/>
              <w:jc w:val="center"/>
              <w:rPr>
                <w:sz w:val="20"/>
                <w:szCs w:val="20"/>
              </w:rPr>
            </w:pPr>
            <w:r>
              <w:rPr>
                <w:sz w:val="20"/>
                <w:szCs w:val="20"/>
              </w:rPr>
              <w:t>ОС</w:t>
            </w:r>
          </w:p>
        </w:tc>
        <w:tc>
          <w:tcPr>
            <w:tcW w:w="1036" w:type="dxa"/>
          </w:tcPr>
          <w:p w:rsidR="00000000" w:rsidRDefault="00000000">
            <w:pPr>
              <w:spacing w:before="40" w:after="40"/>
              <w:jc w:val="center"/>
              <w:rPr>
                <w:sz w:val="20"/>
                <w:szCs w:val="20"/>
              </w:rPr>
            </w:pPr>
            <w:r>
              <w:rPr>
                <w:sz w:val="20"/>
                <w:szCs w:val="20"/>
              </w:rPr>
              <w:t>ОС</w:t>
            </w:r>
            <w:r>
              <w:rPr>
                <w:sz w:val="20"/>
                <w:szCs w:val="20"/>
              </w:rPr>
              <w:br/>
              <w:t>(скорр.)</w:t>
            </w:r>
          </w:p>
        </w:tc>
        <w:tc>
          <w:tcPr>
            <w:tcW w:w="873" w:type="dxa"/>
          </w:tcPr>
          <w:p w:rsidR="00000000" w:rsidRDefault="00000000">
            <w:pPr>
              <w:spacing w:before="40" w:after="40"/>
              <w:jc w:val="center"/>
              <w:rPr>
                <w:sz w:val="20"/>
                <w:szCs w:val="20"/>
              </w:rPr>
            </w:pPr>
            <w:r>
              <w:rPr>
                <w:sz w:val="20"/>
                <w:szCs w:val="20"/>
              </w:rPr>
              <w:t>ТНС</w:t>
            </w:r>
          </w:p>
        </w:tc>
        <w:tc>
          <w:tcPr>
            <w:tcW w:w="874" w:type="dxa"/>
            <w:gridSpan w:val="2"/>
          </w:tcPr>
          <w:p w:rsidR="00000000" w:rsidRDefault="00000000">
            <w:pPr>
              <w:spacing w:before="40" w:after="40"/>
              <w:jc w:val="center"/>
              <w:rPr>
                <w:sz w:val="20"/>
                <w:szCs w:val="20"/>
              </w:rPr>
            </w:pPr>
            <w:r>
              <w:rPr>
                <w:sz w:val="20"/>
                <w:szCs w:val="20"/>
              </w:rPr>
              <w:t>ТДС</w:t>
            </w:r>
          </w:p>
        </w:tc>
        <w:tc>
          <w:tcPr>
            <w:tcW w:w="727" w:type="dxa"/>
          </w:tcPr>
          <w:p w:rsidR="00000000" w:rsidRDefault="00000000">
            <w:pPr>
              <w:spacing w:before="40" w:after="40"/>
              <w:jc w:val="center"/>
              <w:rPr>
                <w:sz w:val="20"/>
                <w:szCs w:val="20"/>
              </w:rPr>
            </w:pPr>
            <w:r>
              <w:rPr>
                <w:sz w:val="20"/>
                <w:szCs w:val="20"/>
              </w:rPr>
              <w:t>ОС</w:t>
            </w:r>
          </w:p>
        </w:tc>
        <w:tc>
          <w:tcPr>
            <w:tcW w:w="1020" w:type="dxa"/>
          </w:tcPr>
          <w:p w:rsidR="00000000" w:rsidRDefault="00000000">
            <w:pPr>
              <w:spacing w:before="40" w:after="40"/>
              <w:jc w:val="center"/>
              <w:rPr>
                <w:sz w:val="20"/>
                <w:szCs w:val="20"/>
              </w:rPr>
            </w:pPr>
            <w:r>
              <w:rPr>
                <w:sz w:val="20"/>
                <w:szCs w:val="20"/>
              </w:rPr>
              <w:t>ОС (скорр.)</w:t>
            </w:r>
          </w:p>
        </w:tc>
        <w:tc>
          <w:tcPr>
            <w:tcW w:w="727" w:type="dxa"/>
          </w:tcPr>
          <w:p w:rsidR="00000000" w:rsidRDefault="00000000">
            <w:pPr>
              <w:spacing w:before="40" w:after="40"/>
              <w:jc w:val="center"/>
              <w:rPr>
                <w:sz w:val="20"/>
                <w:szCs w:val="20"/>
              </w:rPr>
            </w:pPr>
            <w:r>
              <w:rPr>
                <w:sz w:val="20"/>
                <w:szCs w:val="20"/>
              </w:rPr>
              <w:t>ТНС</w:t>
            </w:r>
          </w:p>
        </w:tc>
        <w:tc>
          <w:tcPr>
            <w:tcW w:w="874" w:type="dxa"/>
          </w:tcPr>
          <w:p w:rsidR="00000000" w:rsidRDefault="00000000">
            <w:pPr>
              <w:spacing w:before="40" w:after="40"/>
              <w:jc w:val="center"/>
              <w:rPr>
                <w:sz w:val="20"/>
                <w:szCs w:val="20"/>
              </w:rPr>
            </w:pPr>
            <w:r>
              <w:rPr>
                <w:sz w:val="20"/>
                <w:szCs w:val="20"/>
              </w:rPr>
              <w:t>ТДС</w:t>
            </w:r>
          </w:p>
        </w:tc>
      </w:tr>
      <w:tr w:rsidR="00000000">
        <w:tblPrEx>
          <w:tblCellMar>
            <w:top w:w="0" w:type="dxa"/>
            <w:bottom w:w="0" w:type="dxa"/>
          </w:tblCellMar>
        </w:tblPrEx>
        <w:trPr>
          <w:cantSplit/>
        </w:trPr>
        <w:tc>
          <w:tcPr>
            <w:tcW w:w="2548" w:type="dxa"/>
          </w:tcPr>
          <w:p w:rsidR="00000000" w:rsidRDefault="00000000">
            <w:pPr>
              <w:spacing w:before="40" w:after="40"/>
              <w:jc w:val="center"/>
              <w:rPr>
                <w:sz w:val="20"/>
                <w:szCs w:val="20"/>
              </w:rPr>
            </w:pPr>
            <w:r>
              <w:rPr>
                <w:sz w:val="20"/>
                <w:szCs w:val="20"/>
              </w:rPr>
              <w:t>(1)</w:t>
            </w:r>
          </w:p>
        </w:tc>
        <w:tc>
          <w:tcPr>
            <w:tcW w:w="960" w:type="dxa"/>
          </w:tcPr>
          <w:p w:rsidR="00000000" w:rsidRDefault="00000000">
            <w:pPr>
              <w:spacing w:before="40" w:after="40"/>
              <w:jc w:val="center"/>
              <w:rPr>
                <w:sz w:val="20"/>
                <w:szCs w:val="20"/>
              </w:rPr>
            </w:pPr>
            <w:r>
              <w:rPr>
                <w:sz w:val="20"/>
                <w:szCs w:val="20"/>
              </w:rPr>
              <w:t>(2)</w:t>
            </w:r>
          </w:p>
        </w:tc>
        <w:tc>
          <w:tcPr>
            <w:tcW w:w="1036" w:type="dxa"/>
          </w:tcPr>
          <w:p w:rsidR="00000000" w:rsidRDefault="00000000">
            <w:pPr>
              <w:spacing w:before="40" w:after="40"/>
              <w:jc w:val="center"/>
              <w:rPr>
                <w:sz w:val="20"/>
                <w:szCs w:val="20"/>
              </w:rPr>
            </w:pPr>
            <w:r>
              <w:rPr>
                <w:sz w:val="20"/>
                <w:szCs w:val="20"/>
              </w:rPr>
              <w:t>(3)</w:t>
            </w:r>
          </w:p>
        </w:tc>
        <w:tc>
          <w:tcPr>
            <w:tcW w:w="873" w:type="dxa"/>
          </w:tcPr>
          <w:p w:rsidR="00000000" w:rsidRDefault="00000000">
            <w:pPr>
              <w:spacing w:before="40" w:after="40"/>
              <w:jc w:val="center"/>
              <w:rPr>
                <w:sz w:val="20"/>
                <w:szCs w:val="20"/>
              </w:rPr>
            </w:pPr>
            <w:r>
              <w:rPr>
                <w:sz w:val="20"/>
                <w:szCs w:val="20"/>
              </w:rPr>
              <w:t>(4)</w:t>
            </w:r>
          </w:p>
        </w:tc>
        <w:tc>
          <w:tcPr>
            <w:tcW w:w="874" w:type="dxa"/>
            <w:gridSpan w:val="2"/>
          </w:tcPr>
          <w:p w:rsidR="00000000" w:rsidRDefault="00000000">
            <w:pPr>
              <w:spacing w:before="40" w:after="40"/>
              <w:jc w:val="center"/>
              <w:rPr>
                <w:sz w:val="20"/>
                <w:szCs w:val="20"/>
              </w:rPr>
            </w:pPr>
            <w:r>
              <w:rPr>
                <w:sz w:val="20"/>
                <w:szCs w:val="20"/>
              </w:rPr>
              <w:t>(5)</w:t>
            </w:r>
          </w:p>
        </w:tc>
        <w:tc>
          <w:tcPr>
            <w:tcW w:w="727" w:type="dxa"/>
          </w:tcPr>
          <w:p w:rsidR="00000000" w:rsidRDefault="00000000">
            <w:pPr>
              <w:spacing w:before="40" w:after="40"/>
              <w:jc w:val="center"/>
              <w:rPr>
                <w:sz w:val="20"/>
                <w:szCs w:val="20"/>
              </w:rPr>
            </w:pPr>
            <w:r>
              <w:rPr>
                <w:sz w:val="20"/>
                <w:szCs w:val="20"/>
              </w:rPr>
              <w:t>(6)</w:t>
            </w:r>
          </w:p>
        </w:tc>
        <w:tc>
          <w:tcPr>
            <w:tcW w:w="1020" w:type="dxa"/>
          </w:tcPr>
          <w:p w:rsidR="00000000" w:rsidRDefault="00000000">
            <w:pPr>
              <w:spacing w:before="40" w:after="40"/>
              <w:jc w:val="center"/>
              <w:rPr>
                <w:sz w:val="20"/>
                <w:szCs w:val="20"/>
              </w:rPr>
            </w:pPr>
            <w:r>
              <w:rPr>
                <w:sz w:val="20"/>
                <w:szCs w:val="20"/>
              </w:rPr>
              <w:t>(7)</w:t>
            </w:r>
          </w:p>
        </w:tc>
        <w:tc>
          <w:tcPr>
            <w:tcW w:w="727" w:type="dxa"/>
          </w:tcPr>
          <w:p w:rsidR="00000000" w:rsidRDefault="00000000">
            <w:pPr>
              <w:spacing w:before="40" w:after="40"/>
              <w:jc w:val="center"/>
              <w:rPr>
                <w:sz w:val="20"/>
                <w:szCs w:val="20"/>
              </w:rPr>
            </w:pPr>
            <w:r>
              <w:rPr>
                <w:sz w:val="20"/>
                <w:szCs w:val="20"/>
              </w:rPr>
              <w:t>(8)</w:t>
            </w:r>
          </w:p>
        </w:tc>
        <w:tc>
          <w:tcPr>
            <w:tcW w:w="874" w:type="dxa"/>
          </w:tcPr>
          <w:p w:rsidR="00000000" w:rsidRDefault="00000000">
            <w:pPr>
              <w:spacing w:before="40" w:after="40"/>
              <w:jc w:val="center"/>
              <w:rPr>
                <w:sz w:val="20"/>
                <w:szCs w:val="20"/>
              </w:rPr>
            </w:pPr>
            <w:r>
              <w:rPr>
                <w:sz w:val="20"/>
                <w:szCs w:val="20"/>
              </w:rPr>
              <w:t>(9)</w:t>
            </w:r>
          </w:p>
        </w:tc>
      </w:tr>
      <w:tr w:rsidR="00000000">
        <w:tblPrEx>
          <w:tblCellMar>
            <w:top w:w="0" w:type="dxa"/>
            <w:bottom w:w="0" w:type="dxa"/>
          </w:tblCellMar>
        </w:tblPrEx>
        <w:trPr>
          <w:cantSplit/>
        </w:trPr>
        <w:tc>
          <w:tcPr>
            <w:tcW w:w="9639" w:type="dxa"/>
            <w:gridSpan w:val="10"/>
            <w:vAlign w:val="center"/>
          </w:tcPr>
          <w:p w:rsidR="00000000" w:rsidRDefault="00000000">
            <w:pPr>
              <w:spacing w:before="40" w:after="40"/>
              <w:rPr>
                <w:sz w:val="20"/>
                <w:szCs w:val="20"/>
              </w:rPr>
            </w:pPr>
            <w:r>
              <w:rPr>
                <w:sz w:val="20"/>
                <w:szCs w:val="20"/>
              </w:rPr>
              <w:t>Сельская местность</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rPr>
            </w:pPr>
            <w:r>
              <w:rPr>
                <w:sz w:val="20"/>
              </w:rPr>
              <w:t>55 (1999–2000)</w:t>
            </w:r>
          </w:p>
        </w:tc>
        <w:tc>
          <w:tcPr>
            <w:tcW w:w="960" w:type="dxa"/>
            <w:vAlign w:val="center"/>
          </w:tcPr>
          <w:p w:rsidR="00000000" w:rsidRDefault="00000000">
            <w:pPr>
              <w:spacing w:before="40" w:after="40"/>
              <w:ind w:right="284"/>
              <w:jc w:val="center"/>
              <w:rPr>
                <w:sz w:val="20"/>
                <w:szCs w:val="20"/>
              </w:rPr>
            </w:pPr>
            <w:r>
              <w:rPr>
                <w:sz w:val="20"/>
                <w:szCs w:val="20"/>
              </w:rPr>
              <w:t>21</w:t>
            </w:r>
          </w:p>
        </w:tc>
        <w:tc>
          <w:tcPr>
            <w:tcW w:w="1036" w:type="dxa"/>
            <w:vAlign w:val="center"/>
          </w:tcPr>
          <w:p w:rsidR="00000000" w:rsidRDefault="00000000">
            <w:pPr>
              <w:spacing w:before="40" w:after="40"/>
              <w:ind w:right="284"/>
              <w:jc w:val="center"/>
              <w:rPr>
                <w:sz w:val="20"/>
                <w:szCs w:val="20"/>
              </w:rPr>
            </w:pPr>
            <w:r>
              <w:rPr>
                <w:sz w:val="20"/>
                <w:szCs w:val="20"/>
              </w:rPr>
              <w:t>17</w:t>
            </w:r>
          </w:p>
        </w:tc>
        <w:tc>
          <w:tcPr>
            <w:tcW w:w="873" w:type="dxa"/>
            <w:vAlign w:val="center"/>
          </w:tcPr>
          <w:p w:rsidR="00000000" w:rsidRDefault="00000000">
            <w:pPr>
              <w:spacing w:before="40" w:after="40"/>
              <w:ind w:right="284"/>
              <w:jc w:val="center"/>
              <w:rPr>
                <w:sz w:val="20"/>
                <w:szCs w:val="20"/>
              </w:rPr>
            </w:pPr>
            <w:r>
              <w:rPr>
                <w:sz w:val="20"/>
                <w:szCs w:val="20"/>
              </w:rPr>
              <w:t>39</w:t>
            </w:r>
          </w:p>
        </w:tc>
        <w:tc>
          <w:tcPr>
            <w:tcW w:w="874" w:type="dxa"/>
            <w:gridSpan w:val="2"/>
            <w:vAlign w:val="center"/>
          </w:tcPr>
          <w:p w:rsidR="00000000" w:rsidRDefault="00000000">
            <w:pPr>
              <w:spacing w:before="40" w:after="40"/>
              <w:ind w:right="113"/>
              <w:jc w:val="center"/>
              <w:rPr>
                <w:sz w:val="20"/>
                <w:szCs w:val="20"/>
              </w:rPr>
            </w:pPr>
            <w:r>
              <w:rPr>
                <w:sz w:val="20"/>
                <w:szCs w:val="20"/>
              </w:rPr>
              <w:t>72</w:t>
            </w:r>
          </w:p>
        </w:tc>
        <w:tc>
          <w:tcPr>
            <w:tcW w:w="727" w:type="dxa"/>
            <w:vAlign w:val="center"/>
          </w:tcPr>
          <w:p w:rsidR="00000000" w:rsidRDefault="00000000">
            <w:pPr>
              <w:spacing w:before="40" w:after="40"/>
              <w:ind w:right="284"/>
              <w:jc w:val="right"/>
              <w:rPr>
                <w:sz w:val="20"/>
                <w:szCs w:val="20"/>
              </w:rPr>
            </w:pPr>
            <w:r>
              <w:rPr>
                <w:sz w:val="20"/>
                <w:szCs w:val="20"/>
              </w:rPr>
              <w:t>15</w:t>
            </w:r>
          </w:p>
        </w:tc>
        <w:tc>
          <w:tcPr>
            <w:tcW w:w="1020" w:type="dxa"/>
            <w:vAlign w:val="center"/>
          </w:tcPr>
          <w:p w:rsidR="00000000" w:rsidRDefault="00000000">
            <w:pPr>
              <w:spacing w:before="40" w:after="40"/>
              <w:ind w:right="397"/>
              <w:jc w:val="right"/>
              <w:rPr>
                <w:sz w:val="20"/>
                <w:szCs w:val="20"/>
              </w:rPr>
            </w:pPr>
            <w:r>
              <w:rPr>
                <w:sz w:val="20"/>
                <w:szCs w:val="20"/>
              </w:rPr>
              <w:t>10</w:t>
            </w:r>
          </w:p>
        </w:tc>
        <w:tc>
          <w:tcPr>
            <w:tcW w:w="727" w:type="dxa"/>
            <w:vAlign w:val="center"/>
          </w:tcPr>
          <w:p w:rsidR="00000000" w:rsidRDefault="00000000">
            <w:pPr>
              <w:spacing w:before="40" w:after="40"/>
              <w:ind w:right="284"/>
              <w:jc w:val="right"/>
              <w:rPr>
                <w:sz w:val="20"/>
                <w:szCs w:val="20"/>
              </w:rPr>
            </w:pPr>
            <w:r>
              <w:rPr>
                <w:sz w:val="20"/>
                <w:szCs w:val="20"/>
              </w:rPr>
              <w:t>37</w:t>
            </w:r>
          </w:p>
        </w:tc>
        <w:tc>
          <w:tcPr>
            <w:tcW w:w="874" w:type="dxa"/>
            <w:vAlign w:val="center"/>
          </w:tcPr>
          <w:p w:rsidR="00000000" w:rsidRDefault="00000000">
            <w:pPr>
              <w:spacing w:before="40" w:after="40"/>
              <w:ind w:right="284"/>
              <w:jc w:val="right"/>
              <w:rPr>
                <w:sz w:val="20"/>
                <w:szCs w:val="20"/>
              </w:rPr>
            </w:pPr>
            <w:r>
              <w:rPr>
                <w:sz w:val="20"/>
                <w:szCs w:val="20"/>
              </w:rPr>
              <w:t>70</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50 (1993–</w:t>
            </w:r>
            <w:r>
              <w:rPr>
                <w:sz w:val="20"/>
              </w:rPr>
              <w:t>19</w:t>
            </w:r>
            <w:r>
              <w:rPr>
                <w:sz w:val="20"/>
                <w:lang w:val="en-US"/>
              </w:rPr>
              <w:t>94)</w:t>
            </w:r>
          </w:p>
        </w:tc>
        <w:tc>
          <w:tcPr>
            <w:tcW w:w="960" w:type="dxa"/>
            <w:vAlign w:val="center"/>
          </w:tcPr>
          <w:p w:rsidR="00000000" w:rsidRDefault="00000000">
            <w:pPr>
              <w:spacing w:before="40" w:after="40"/>
              <w:ind w:right="284"/>
              <w:jc w:val="center"/>
              <w:rPr>
                <w:sz w:val="20"/>
                <w:szCs w:val="20"/>
                <w:lang w:val="en-US"/>
              </w:rPr>
            </w:pPr>
            <w:r>
              <w:rPr>
                <w:sz w:val="20"/>
                <w:szCs w:val="20"/>
                <w:lang w:val="en-US"/>
              </w:rPr>
              <w:t>20</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14</w:t>
            </w:r>
          </w:p>
        </w:tc>
        <w:tc>
          <w:tcPr>
            <w:tcW w:w="873" w:type="dxa"/>
            <w:vAlign w:val="center"/>
          </w:tcPr>
          <w:p w:rsidR="00000000" w:rsidRDefault="00000000">
            <w:pPr>
              <w:spacing w:before="40" w:after="40"/>
              <w:ind w:right="284"/>
              <w:jc w:val="center"/>
              <w:rPr>
                <w:sz w:val="20"/>
                <w:szCs w:val="20"/>
                <w:lang w:val="en-US"/>
              </w:rPr>
            </w:pPr>
            <w:r>
              <w:rPr>
                <w:sz w:val="20"/>
                <w:szCs w:val="20"/>
                <w:lang w:val="en-US"/>
              </w:rPr>
              <w:t>31</w:t>
            </w:r>
          </w:p>
        </w:tc>
        <w:tc>
          <w:tcPr>
            <w:tcW w:w="874" w:type="dxa"/>
            <w:gridSpan w:val="2"/>
            <w:vAlign w:val="center"/>
          </w:tcPr>
          <w:p w:rsidR="00000000" w:rsidRDefault="00000000">
            <w:pPr>
              <w:spacing w:before="40" w:after="40"/>
              <w:ind w:right="113"/>
              <w:jc w:val="center"/>
              <w:rPr>
                <w:sz w:val="20"/>
                <w:szCs w:val="20"/>
                <w:lang w:val="en-US"/>
              </w:rPr>
            </w:pPr>
            <w:r>
              <w:rPr>
                <w:sz w:val="20"/>
                <w:szCs w:val="20"/>
                <w:lang w:val="en-US"/>
              </w:rPr>
              <w:t>56</w:t>
            </w:r>
          </w:p>
        </w:tc>
        <w:tc>
          <w:tcPr>
            <w:tcW w:w="727" w:type="dxa"/>
            <w:vAlign w:val="center"/>
          </w:tcPr>
          <w:p w:rsidR="00000000" w:rsidRDefault="00000000">
            <w:pPr>
              <w:spacing w:before="40" w:after="40"/>
              <w:ind w:right="284"/>
              <w:jc w:val="right"/>
              <w:rPr>
                <w:sz w:val="20"/>
                <w:szCs w:val="20"/>
                <w:lang w:val="en-US"/>
              </w:rPr>
            </w:pPr>
            <w:r>
              <w:rPr>
                <w:sz w:val="20"/>
                <w:szCs w:val="20"/>
                <w:lang w:val="en-US"/>
              </w:rPr>
              <w:t>13</w:t>
            </w:r>
          </w:p>
        </w:tc>
        <w:tc>
          <w:tcPr>
            <w:tcW w:w="1020" w:type="dxa"/>
            <w:vAlign w:val="center"/>
          </w:tcPr>
          <w:p w:rsidR="00000000" w:rsidRDefault="00000000">
            <w:pPr>
              <w:spacing w:before="40" w:after="40"/>
              <w:ind w:right="397"/>
              <w:jc w:val="right"/>
              <w:rPr>
                <w:sz w:val="20"/>
                <w:szCs w:val="20"/>
                <w:lang w:val="en-US"/>
              </w:rPr>
            </w:pPr>
            <w:r>
              <w:rPr>
                <w:sz w:val="20"/>
                <w:szCs w:val="20"/>
                <w:lang w:val="en-US"/>
              </w:rPr>
              <w:t>9</w:t>
            </w:r>
          </w:p>
        </w:tc>
        <w:tc>
          <w:tcPr>
            <w:tcW w:w="727" w:type="dxa"/>
            <w:vAlign w:val="center"/>
          </w:tcPr>
          <w:p w:rsidR="00000000" w:rsidRDefault="00000000">
            <w:pPr>
              <w:spacing w:before="40" w:after="40"/>
              <w:ind w:right="284"/>
              <w:jc w:val="right"/>
              <w:rPr>
                <w:sz w:val="20"/>
                <w:szCs w:val="20"/>
                <w:lang w:val="en-US"/>
              </w:rPr>
            </w:pPr>
            <w:r>
              <w:rPr>
                <w:sz w:val="20"/>
                <w:szCs w:val="20"/>
                <w:lang w:val="en-US"/>
              </w:rPr>
              <w:t>29</w:t>
            </w:r>
          </w:p>
        </w:tc>
        <w:tc>
          <w:tcPr>
            <w:tcW w:w="874" w:type="dxa"/>
            <w:vAlign w:val="center"/>
          </w:tcPr>
          <w:p w:rsidR="00000000" w:rsidRDefault="00000000">
            <w:pPr>
              <w:spacing w:before="40" w:after="40"/>
              <w:ind w:right="284"/>
              <w:jc w:val="right"/>
              <w:rPr>
                <w:sz w:val="20"/>
                <w:szCs w:val="20"/>
                <w:lang w:val="en-US"/>
              </w:rPr>
            </w:pPr>
            <w:r>
              <w:rPr>
                <w:sz w:val="20"/>
                <w:szCs w:val="20"/>
                <w:lang w:val="en-US"/>
              </w:rPr>
              <w:t>56</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43 (1987–</w:t>
            </w:r>
            <w:r>
              <w:rPr>
                <w:sz w:val="20"/>
              </w:rPr>
              <w:t>19</w:t>
            </w:r>
            <w:r>
              <w:rPr>
                <w:sz w:val="20"/>
                <w:lang w:val="en-US"/>
              </w:rPr>
              <w:t>88)</w:t>
            </w:r>
          </w:p>
        </w:tc>
        <w:tc>
          <w:tcPr>
            <w:tcW w:w="960" w:type="dxa"/>
            <w:vAlign w:val="center"/>
          </w:tcPr>
          <w:p w:rsidR="00000000" w:rsidRDefault="00000000">
            <w:pPr>
              <w:spacing w:before="40" w:after="40"/>
              <w:ind w:right="284"/>
              <w:jc w:val="center"/>
              <w:rPr>
                <w:sz w:val="20"/>
                <w:szCs w:val="20"/>
                <w:lang w:val="en-US"/>
              </w:rPr>
            </w:pPr>
            <w:r>
              <w:rPr>
                <w:sz w:val="20"/>
                <w:szCs w:val="20"/>
                <w:lang w:val="en-US"/>
              </w:rPr>
              <w:t>28</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18</w:t>
            </w:r>
          </w:p>
        </w:tc>
        <w:tc>
          <w:tcPr>
            <w:tcW w:w="873" w:type="dxa"/>
            <w:vAlign w:val="center"/>
          </w:tcPr>
          <w:p w:rsidR="00000000" w:rsidRDefault="00000000">
            <w:pPr>
              <w:spacing w:before="40" w:after="40"/>
              <w:ind w:right="284"/>
              <w:jc w:val="center"/>
              <w:rPr>
                <w:sz w:val="20"/>
                <w:szCs w:val="20"/>
                <w:lang w:val="en-US"/>
              </w:rPr>
            </w:pPr>
            <w:r>
              <w:rPr>
                <w:sz w:val="20"/>
                <w:szCs w:val="20"/>
                <w:lang w:val="en-US"/>
              </w:rPr>
              <w:t>42</w:t>
            </w:r>
          </w:p>
        </w:tc>
        <w:tc>
          <w:tcPr>
            <w:tcW w:w="874" w:type="dxa"/>
            <w:gridSpan w:val="2"/>
            <w:vAlign w:val="center"/>
          </w:tcPr>
          <w:p w:rsidR="00000000" w:rsidRDefault="00000000">
            <w:pPr>
              <w:spacing w:before="40" w:after="40"/>
              <w:ind w:right="113"/>
              <w:jc w:val="center"/>
              <w:rPr>
                <w:sz w:val="20"/>
                <w:szCs w:val="20"/>
                <w:lang w:val="en-US"/>
              </w:rPr>
            </w:pPr>
            <w:r>
              <w:rPr>
                <w:sz w:val="20"/>
                <w:szCs w:val="20"/>
                <w:lang w:val="en-US"/>
              </w:rPr>
              <w:t>46</w:t>
            </w:r>
          </w:p>
        </w:tc>
        <w:tc>
          <w:tcPr>
            <w:tcW w:w="727" w:type="dxa"/>
            <w:vAlign w:val="center"/>
          </w:tcPr>
          <w:p w:rsidR="00000000" w:rsidRDefault="00000000">
            <w:pPr>
              <w:spacing w:before="40" w:after="40"/>
              <w:ind w:right="284"/>
              <w:jc w:val="right"/>
              <w:rPr>
                <w:sz w:val="20"/>
                <w:szCs w:val="20"/>
                <w:lang w:val="en-US"/>
              </w:rPr>
            </w:pPr>
            <w:r>
              <w:rPr>
                <w:sz w:val="20"/>
                <w:szCs w:val="20"/>
                <w:lang w:val="en-US"/>
              </w:rPr>
              <w:t>35</w:t>
            </w:r>
          </w:p>
        </w:tc>
        <w:tc>
          <w:tcPr>
            <w:tcW w:w="1020" w:type="dxa"/>
            <w:vAlign w:val="center"/>
          </w:tcPr>
          <w:p w:rsidR="00000000" w:rsidRDefault="00000000">
            <w:pPr>
              <w:spacing w:before="40" w:after="40"/>
              <w:ind w:right="397"/>
              <w:jc w:val="right"/>
              <w:rPr>
                <w:sz w:val="20"/>
                <w:szCs w:val="20"/>
                <w:lang w:val="en-US"/>
              </w:rPr>
            </w:pPr>
            <w:r>
              <w:rPr>
                <w:sz w:val="20"/>
                <w:szCs w:val="20"/>
                <w:lang w:val="en-US"/>
              </w:rPr>
              <w:t>24</w:t>
            </w:r>
          </w:p>
        </w:tc>
        <w:tc>
          <w:tcPr>
            <w:tcW w:w="727" w:type="dxa"/>
            <w:vAlign w:val="center"/>
          </w:tcPr>
          <w:p w:rsidR="00000000" w:rsidRDefault="00000000">
            <w:pPr>
              <w:spacing w:before="40" w:after="40"/>
              <w:ind w:right="284"/>
              <w:jc w:val="right"/>
              <w:rPr>
                <w:sz w:val="20"/>
                <w:szCs w:val="20"/>
                <w:lang w:val="en-US"/>
              </w:rPr>
            </w:pPr>
            <w:r>
              <w:rPr>
                <w:sz w:val="20"/>
                <w:szCs w:val="20"/>
                <w:lang w:val="en-US"/>
              </w:rPr>
              <w:t>44</w:t>
            </w:r>
          </w:p>
        </w:tc>
        <w:tc>
          <w:tcPr>
            <w:tcW w:w="874" w:type="dxa"/>
            <w:vAlign w:val="center"/>
          </w:tcPr>
          <w:p w:rsidR="00000000" w:rsidRDefault="00000000">
            <w:pPr>
              <w:spacing w:before="40" w:after="40"/>
              <w:ind w:right="284"/>
              <w:jc w:val="right"/>
              <w:rPr>
                <w:sz w:val="20"/>
                <w:szCs w:val="20"/>
                <w:lang w:val="en-US"/>
              </w:rPr>
            </w:pPr>
            <w:r>
              <w:rPr>
                <w:sz w:val="20"/>
                <w:szCs w:val="20"/>
                <w:lang w:val="en-US"/>
              </w:rPr>
              <w:t>67</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38 (1993)</w:t>
            </w:r>
          </w:p>
        </w:tc>
        <w:tc>
          <w:tcPr>
            <w:tcW w:w="960" w:type="dxa"/>
            <w:vAlign w:val="center"/>
          </w:tcPr>
          <w:p w:rsidR="00000000" w:rsidRDefault="00000000">
            <w:pPr>
              <w:spacing w:before="40" w:after="40"/>
              <w:ind w:right="284"/>
              <w:jc w:val="center"/>
              <w:rPr>
                <w:sz w:val="20"/>
                <w:szCs w:val="20"/>
                <w:lang w:val="en-US"/>
              </w:rPr>
            </w:pPr>
            <w:r>
              <w:rPr>
                <w:sz w:val="20"/>
                <w:szCs w:val="20"/>
                <w:lang w:val="en-US"/>
              </w:rPr>
              <w:t>21</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14</w:t>
            </w:r>
          </w:p>
        </w:tc>
        <w:tc>
          <w:tcPr>
            <w:tcW w:w="873" w:type="dxa"/>
            <w:vAlign w:val="center"/>
          </w:tcPr>
          <w:p w:rsidR="00000000" w:rsidRDefault="00000000">
            <w:pPr>
              <w:spacing w:before="40" w:after="40"/>
              <w:ind w:right="284"/>
              <w:jc w:val="center"/>
              <w:rPr>
                <w:sz w:val="20"/>
                <w:szCs w:val="20"/>
                <w:lang w:val="en-US"/>
              </w:rPr>
            </w:pPr>
            <w:r>
              <w:rPr>
                <w:sz w:val="20"/>
                <w:szCs w:val="20"/>
                <w:lang w:val="en-US"/>
              </w:rPr>
              <w:t>37</w:t>
            </w:r>
          </w:p>
        </w:tc>
        <w:tc>
          <w:tcPr>
            <w:tcW w:w="874" w:type="dxa"/>
            <w:gridSpan w:val="2"/>
            <w:vAlign w:val="center"/>
          </w:tcPr>
          <w:p w:rsidR="00000000" w:rsidRDefault="00000000">
            <w:pPr>
              <w:spacing w:before="40" w:after="40"/>
              <w:ind w:right="113"/>
              <w:jc w:val="center"/>
              <w:rPr>
                <w:sz w:val="20"/>
                <w:szCs w:val="20"/>
                <w:lang w:val="en-US"/>
              </w:rPr>
            </w:pPr>
            <w:r>
              <w:rPr>
                <w:sz w:val="20"/>
                <w:szCs w:val="20"/>
                <w:lang w:val="en-US"/>
              </w:rPr>
              <w:t>75</w:t>
            </w:r>
          </w:p>
        </w:tc>
        <w:tc>
          <w:tcPr>
            <w:tcW w:w="727" w:type="dxa"/>
            <w:vAlign w:val="center"/>
          </w:tcPr>
          <w:p w:rsidR="00000000" w:rsidRDefault="00000000">
            <w:pPr>
              <w:spacing w:before="40" w:after="40"/>
              <w:ind w:right="284"/>
              <w:jc w:val="right"/>
              <w:rPr>
                <w:sz w:val="20"/>
                <w:szCs w:val="20"/>
                <w:lang w:val="en-US"/>
              </w:rPr>
            </w:pPr>
            <w:r>
              <w:rPr>
                <w:sz w:val="20"/>
                <w:szCs w:val="20"/>
                <w:lang w:val="en-US"/>
              </w:rPr>
              <w:t>14</w:t>
            </w:r>
          </w:p>
        </w:tc>
        <w:tc>
          <w:tcPr>
            <w:tcW w:w="1020" w:type="dxa"/>
            <w:vAlign w:val="center"/>
          </w:tcPr>
          <w:p w:rsidR="00000000" w:rsidRDefault="00000000">
            <w:pPr>
              <w:spacing w:before="40" w:after="40"/>
              <w:ind w:right="397"/>
              <w:jc w:val="right"/>
              <w:rPr>
                <w:sz w:val="20"/>
                <w:szCs w:val="20"/>
                <w:lang w:val="en-US"/>
              </w:rPr>
            </w:pPr>
            <w:r>
              <w:rPr>
                <w:sz w:val="20"/>
                <w:szCs w:val="20"/>
                <w:lang w:val="en-US"/>
              </w:rPr>
              <w:t>7</w:t>
            </w:r>
          </w:p>
        </w:tc>
        <w:tc>
          <w:tcPr>
            <w:tcW w:w="727" w:type="dxa"/>
            <w:vAlign w:val="center"/>
          </w:tcPr>
          <w:p w:rsidR="00000000" w:rsidRDefault="00000000">
            <w:pPr>
              <w:spacing w:before="40" w:after="40"/>
              <w:ind w:right="284"/>
              <w:jc w:val="right"/>
              <w:rPr>
                <w:sz w:val="20"/>
                <w:szCs w:val="20"/>
                <w:lang w:val="en-US"/>
              </w:rPr>
            </w:pPr>
            <w:r>
              <w:rPr>
                <w:sz w:val="20"/>
                <w:szCs w:val="20"/>
                <w:lang w:val="en-US"/>
              </w:rPr>
              <w:t>43</w:t>
            </w:r>
          </w:p>
        </w:tc>
        <w:tc>
          <w:tcPr>
            <w:tcW w:w="874" w:type="dxa"/>
            <w:vAlign w:val="center"/>
          </w:tcPr>
          <w:p w:rsidR="00000000" w:rsidRDefault="00000000">
            <w:pPr>
              <w:spacing w:before="40" w:after="40"/>
              <w:ind w:right="284"/>
              <w:jc w:val="right"/>
              <w:rPr>
                <w:sz w:val="20"/>
                <w:szCs w:val="20"/>
                <w:lang w:val="en-US"/>
              </w:rPr>
            </w:pPr>
            <w:r>
              <w:rPr>
                <w:sz w:val="20"/>
                <w:szCs w:val="20"/>
                <w:lang w:val="en-US"/>
              </w:rPr>
              <w:t>90</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32 (1977–</w:t>
            </w:r>
            <w:r>
              <w:rPr>
                <w:sz w:val="20"/>
              </w:rPr>
              <w:t>19</w:t>
            </w:r>
            <w:r>
              <w:rPr>
                <w:sz w:val="20"/>
                <w:lang w:val="en-US"/>
              </w:rPr>
              <w:t>78)</w:t>
            </w:r>
          </w:p>
        </w:tc>
        <w:tc>
          <w:tcPr>
            <w:tcW w:w="960" w:type="dxa"/>
            <w:vAlign w:val="center"/>
          </w:tcPr>
          <w:p w:rsidR="00000000" w:rsidRDefault="00000000">
            <w:pPr>
              <w:spacing w:before="40" w:after="40"/>
              <w:ind w:right="284"/>
              <w:jc w:val="center"/>
              <w:rPr>
                <w:sz w:val="20"/>
                <w:szCs w:val="20"/>
                <w:lang w:val="en-US"/>
              </w:rPr>
            </w:pPr>
            <w:r>
              <w:rPr>
                <w:sz w:val="20"/>
                <w:szCs w:val="20"/>
                <w:lang w:val="en-US"/>
              </w:rPr>
              <w:t>22</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13</w:t>
            </w:r>
          </w:p>
        </w:tc>
        <w:tc>
          <w:tcPr>
            <w:tcW w:w="873" w:type="dxa"/>
            <w:vAlign w:val="center"/>
          </w:tcPr>
          <w:p w:rsidR="00000000" w:rsidRDefault="00000000">
            <w:pPr>
              <w:spacing w:before="40" w:after="40"/>
              <w:ind w:right="284"/>
              <w:jc w:val="center"/>
              <w:rPr>
                <w:sz w:val="20"/>
                <w:szCs w:val="20"/>
                <w:lang w:val="en-US"/>
              </w:rPr>
            </w:pPr>
            <w:r>
              <w:rPr>
                <w:sz w:val="20"/>
                <w:szCs w:val="20"/>
                <w:lang w:val="en-US"/>
              </w:rPr>
              <w:t>36</w:t>
            </w:r>
          </w:p>
        </w:tc>
        <w:tc>
          <w:tcPr>
            <w:tcW w:w="874" w:type="dxa"/>
            <w:gridSpan w:val="2"/>
            <w:vAlign w:val="center"/>
          </w:tcPr>
          <w:p w:rsidR="00000000" w:rsidRDefault="00000000">
            <w:pPr>
              <w:spacing w:before="40" w:after="40"/>
              <w:ind w:right="113"/>
              <w:jc w:val="center"/>
              <w:rPr>
                <w:sz w:val="20"/>
                <w:szCs w:val="20"/>
                <w:lang w:val="en-US"/>
              </w:rPr>
            </w:pPr>
            <w:r>
              <w:rPr>
                <w:sz w:val="20"/>
                <w:szCs w:val="20"/>
                <w:lang w:val="en-US"/>
              </w:rPr>
              <w:t>71</w:t>
            </w:r>
          </w:p>
        </w:tc>
        <w:tc>
          <w:tcPr>
            <w:tcW w:w="727" w:type="dxa"/>
            <w:vAlign w:val="center"/>
          </w:tcPr>
          <w:p w:rsidR="00000000" w:rsidRDefault="00000000">
            <w:pPr>
              <w:spacing w:before="40" w:after="40"/>
              <w:ind w:right="284"/>
              <w:jc w:val="right"/>
              <w:rPr>
                <w:sz w:val="20"/>
                <w:szCs w:val="20"/>
                <w:lang w:val="en-US"/>
              </w:rPr>
            </w:pPr>
            <w:r>
              <w:rPr>
                <w:sz w:val="20"/>
                <w:szCs w:val="20"/>
                <w:lang w:val="en-US"/>
              </w:rPr>
              <w:t>55</w:t>
            </w:r>
          </w:p>
        </w:tc>
        <w:tc>
          <w:tcPr>
            <w:tcW w:w="1020" w:type="dxa"/>
            <w:vAlign w:val="center"/>
          </w:tcPr>
          <w:p w:rsidR="00000000" w:rsidRDefault="00000000">
            <w:pPr>
              <w:spacing w:before="40" w:after="40"/>
              <w:ind w:right="397"/>
              <w:jc w:val="right"/>
              <w:rPr>
                <w:sz w:val="20"/>
                <w:szCs w:val="20"/>
                <w:lang w:val="en-US"/>
              </w:rPr>
            </w:pPr>
            <w:r>
              <w:rPr>
                <w:sz w:val="20"/>
                <w:szCs w:val="20"/>
                <w:lang w:val="en-US"/>
              </w:rPr>
              <w:t>20</w:t>
            </w:r>
          </w:p>
        </w:tc>
        <w:tc>
          <w:tcPr>
            <w:tcW w:w="727" w:type="dxa"/>
            <w:vAlign w:val="center"/>
          </w:tcPr>
          <w:p w:rsidR="00000000" w:rsidRDefault="00000000">
            <w:pPr>
              <w:spacing w:before="40" w:after="40"/>
              <w:ind w:right="284"/>
              <w:jc w:val="right"/>
              <w:rPr>
                <w:sz w:val="20"/>
                <w:szCs w:val="20"/>
                <w:lang w:val="en-US"/>
              </w:rPr>
            </w:pPr>
            <w:r>
              <w:rPr>
                <w:sz w:val="20"/>
                <w:szCs w:val="20"/>
                <w:lang w:val="en-US"/>
              </w:rPr>
              <w:t>41</w:t>
            </w:r>
          </w:p>
        </w:tc>
        <w:tc>
          <w:tcPr>
            <w:tcW w:w="874" w:type="dxa"/>
            <w:vAlign w:val="center"/>
          </w:tcPr>
          <w:p w:rsidR="00000000" w:rsidRDefault="00000000">
            <w:pPr>
              <w:spacing w:before="40" w:after="40"/>
              <w:ind w:right="284"/>
              <w:jc w:val="right"/>
              <w:rPr>
                <w:sz w:val="20"/>
                <w:szCs w:val="20"/>
                <w:lang w:val="en-US"/>
              </w:rPr>
            </w:pPr>
            <w:r>
              <w:rPr>
                <w:sz w:val="20"/>
                <w:szCs w:val="20"/>
                <w:lang w:val="en-US"/>
              </w:rPr>
              <w:t>92</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27 (1972–</w:t>
            </w:r>
            <w:r>
              <w:rPr>
                <w:sz w:val="20"/>
              </w:rPr>
              <w:t>19</w:t>
            </w:r>
            <w:r>
              <w:rPr>
                <w:sz w:val="20"/>
                <w:lang w:val="en-US"/>
              </w:rPr>
              <w:t>73)</w:t>
            </w:r>
          </w:p>
        </w:tc>
        <w:tc>
          <w:tcPr>
            <w:tcW w:w="960" w:type="dxa"/>
            <w:vAlign w:val="center"/>
          </w:tcPr>
          <w:p w:rsidR="00000000" w:rsidRDefault="00000000">
            <w:pPr>
              <w:spacing w:before="40" w:after="40"/>
              <w:ind w:right="284"/>
              <w:jc w:val="center"/>
              <w:rPr>
                <w:sz w:val="20"/>
                <w:szCs w:val="20"/>
                <w:lang w:val="en-US"/>
              </w:rPr>
            </w:pPr>
            <w:r>
              <w:rPr>
                <w:sz w:val="20"/>
                <w:szCs w:val="20"/>
                <w:lang w:val="en-US"/>
              </w:rPr>
              <w:t>--</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12</w:t>
            </w:r>
          </w:p>
        </w:tc>
        <w:tc>
          <w:tcPr>
            <w:tcW w:w="873" w:type="dxa"/>
            <w:vAlign w:val="center"/>
          </w:tcPr>
          <w:p w:rsidR="00000000" w:rsidRDefault="00000000">
            <w:pPr>
              <w:spacing w:before="40" w:after="40"/>
              <w:ind w:right="284"/>
              <w:jc w:val="center"/>
              <w:rPr>
                <w:sz w:val="20"/>
                <w:szCs w:val="20"/>
                <w:lang w:val="en-US"/>
              </w:rPr>
            </w:pPr>
            <w:r>
              <w:rPr>
                <w:sz w:val="20"/>
                <w:szCs w:val="20"/>
                <w:lang w:val="en-US"/>
              </w:rPr>
              <w:t>30</w:t>
            </w:r>
          </w:p>
        </w:tc>
        <w:tc>
          <w:tcPr>
            <w:tcW w:w="874" w:type="dxa"/>
            <w:gridSpan w:val="2"/>
            <w:vAlign w:val="center"/>
          </w:tcPr>
          <w:p w:rsidR="00000000" w:rsidRDefault="00000000">
            <w:pPr>
              <w:spacing w:before="40" w:after="40"/>
              <w:ind w:right="113"/>
              <w:jc w:val="center"/>
              <w:rPr>
                <w:sz w:val="20"/>
                <w:szCs w:val="20"/>
                <w:lang w:val="en-US"/>
              </w:rPr>
            </w:pPr>
            <w:r>
              <w:rPr>
                <w:sz w:val="20"/>
                <w:szCs w:val="20"/>
                <w:lang w:val="en-US"/>
              </w:rPr>
              <w:t>68</w:t>
            </w:r>
          </w:p>
        </w:tc>
        <w:tc>
          <w:tcPr>
            <w:tcW w:w="727" w:type="dxa"/>
            <w:vAlign w:val="center"/>
          </w:tcPr>
          <w:p w:rsidR="00000000" w:rsidRDefault="00000000">
            <w:pPr>
              <w:spacing w:before="40" w:after="40"/>
              <w:ind w:right="284"/>
              <w:jc w:val="right"/>
              <w:rPr>
                <w:sz w:val="20"/>
                <w:szCs w:val="20"/>
                <w:lang w:val="en-US"/>
              </w:rPr>
            </w:pPr>
            <w:r>
              <w:rPr>
                <w:sz w:val="20"/>
                <w:szCs w:val="20"/>
                <w:lang w:val="en-US"/>
              </w:rPr>
              <w:t>--</w:t>
            </w:r>
          </w:p>
        </w:tc>
        <w:tc>
          <w:tcPr>
            <w:tcW w:w="1020" w:type="dxa"/>
            <w:vAlign w:val="center"/>
          </w:tcPr>
          <w:p w:rsidR="00000000" w:rsidRDefault="00000000">
            <w:pPr>
              <w:spacing w:before="40" w:after="40"/>
              <w:ind w:right="397"/>
              <w:jc w:val="right"/>
              <w:rPr>
                <w:sz w:val="20"/>
                <w:szCs w:val="20"/>
                <w:lang w:val="en-US"/>
              </w:rPr>
            </w:pPr>
            <w:r>
              <w:rPr>
                <w:sz w:val="20"/>
                <w:szCs w:val="20"/>
                <w:lang w:val="en-US"/>
              </w:rPr>
              <w:t>5</w:t>
            </w:r>
          </w:p>
        </w:tc>
        <w:tc>
          <w:tcPr>
            <w:tcW w:w="727" w:type="dxa"/>
            <w:vAlign w:val="center"/>
          </w:tcPr>
          <w:p w:rsidR="00000000" w:rsidRDefault="00000000">
            <w:pPr>
              <w:spacing w:before="40" w:after="40"/>
              <w:ind w:right="284"/>
              <w:jc w:val="right"/>
              <w:rPr>
                <w:sz w:val="20"/>
                <w:szCs w:val="20"/>
                <w:lang w:val="en-US"/>
              </w:rPr>
            </w:pPr>
            <w:r>
              <w:rPr>
                <w:sz w:val="20"/>
                <w:szCs w:val="20"/>
                <w:lang w:val="en-US"/>
              </w:rPr>
              <w:t>55</w:t>
            </w:r>
          </w:p>
        </w:tc>
        <w:tc>
          <w:tcPr>
            <w:tcW w:w="874" w:type="dxa"/>
            <w:vAlign w:val="center"/>
          </w:tcPr>
          <w:p w:rsidR="00000000" w:rsidRDefault="00000000">
            <w:pPr>
              <w:spacing w:before="40" w:after="40"/>
              <w:ind w:right="284"/>
              <w:jc w:val="right"/>
              <w:rPr>
                <w:sz w:val="20"/>
                <w:szCs w:val="20"/>
                <w:lang w:val="en-US"/>
              </w:rPr>
            </w:pPr>
            <w:r>
              <w:rPr>
                <w:sz w:val="20"/>
                <w:szCs w:val="20"/>
                <w:lang w:val="en-US"/>
              </w:rPr>
              <w:t>112</w:t>
            </w:r>
          </w:p>
        </w:tc>
      </w:tr>
      <w:tr w:rsidR="00000000">
        <w:tblPrEx>
          <w:tblCellMar>
            <w:top w:w="0" w:type="dxa"/>
            <w:bottom w:w="0" w:type="dxa"/>
          </w:tblCellMar>
        </w:tblPrEx>
        <w:trPr>
          <w:cantSplit/>
        </w:trPr>
        <w:tc>
          <w:tcPr>
            <w:tcW w:w="9639" w:type="dxa"/>
            <w:gridSpan w:val="10"/>
            <w:vAlign w:val="center"/>
          </w:tcPr>
          <w:p w:rsidR="00000000" w:rsidRDefault="00000000">
            <w:pPr>
              <w:spacing w:before="40" w:after="40"/>
              <w:ind w:right="397"/>
              <w:rPr>
                <w:sz w:val="20"/>
                <w:szCs w:val="20"/>
              </w:rPr>
            </w:pPr>
            <w:r>
              <w:rPr>
                <w:sz w:val="20"/>
                <w:szCs w:val="20"/>
              </w:rPr>
              <w:t>Городские районы</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55 (1999–2000)</w:t>
            </w:r>
          </w:p>
        </w:tc>
        <w:tc>
          <w:tcPr>
            <w:tcW w:w="960" w:type="dxa"/>
            <w:vAlign w:val="center"/>
          </w:tcPr>
          <w:p w:rsidR="00000000" w:rsidRDefault="00000000">
            <w:pPr>
              <w:spacing w:before="40" w:after="40"/>
              <w:ind w:right="284"/>
              <w:jc w:val="center"/>
              <w:rPr>
                <w:sz w:val="20"/>
                <w:szCs w:val="20"/>
                <w:lang w:val="en-US"/>
              </w:rPr>
            </w:pPr>
            <w:r>
              <w:rPr>
                <w:sz w:val="20"/>
                <w:szCs w:val="20"/>
                <w:lang w:val="en-US"/>
              </w:rPr>
              <w:t>48</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45</w:t>
            </w:r>
          </w:p>
        </w:tc>
        <w:tc>
          <w:tcPr>
            <w:tcW w:w="873" w:type="dxa"/>
            <w:vAlign w:val="center"/>
          </w:tcPr>
          <w:p w:rsidR="00000000" w:rsidRDefault="00000000">
            <w:pPr>
              <w:spacing w:before="40" w:after="40"/>
              <w:ind w:right="284"/>
              <w:jc w:val="center"/>
              <w:rPr>
                <w:sz w:val="20"/>
                <w:szCs w:val="20"/>
                <w:lang w:val="en-US"/>
              </w:rPr>
            </w:pPr>
            <w:r>
              <w:rPr>
                <w:sz w:val="20"/>
                <w:szCs w:val="20"/>
                <w:lang w:val="en-US"/>
              </w:rPr>
              <w:t>56</w:t>
            </w:r>
          </w:p>
        </w:tc>
        <w:tc>
          <w:tcPr>
            <w:tcW w:w="867" w:type="dxa"/>
            <w:vAlign w:val="center"/>
          </w:tcPr>
          <w:p w:rsidR="00000000" w:rsidRDefault="00000000">
            <w:pPr>
              <w:spacing w:before="40" w:after="40"/>
              <w:ind w:right="113"/>
              <w:jc w:val="center"/>
              <w:rPr>
                <w:sz w:val="20"/>
                <w:szCs w:val="20"/>
                <w:lang w:val="en-US"/>
              </w:rPr>
            </w:pPr>
            <w:r>
              <w:rPr>
                <w:sz w:val="20"/>
                <w:szCs w:val="20"/>
                <w:lang w:val="en-US"/>
              </w:rPr>
              <w:t>73</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71</w:t>
            </w:r>
          </w:p>
        </w:tc>
        <w:tc>
          <w:tcPr>
            <w:tcW w:w="1020" w:type="dxa"/>
            <w:vAlign w:val="center"/>
          </w:tcPr>
          <w:p w:rsidR="00000000" w:rsidRDefault="00000000">
            <w:pPr>
              <w:spacing w:before="40" w:after="40"/>
              <w:ind w:right="397"/>
              <w:jc w:val="right"/>
              <w:rPr>
                <w:sz w:val="20"/>
                <w:szCs w:val="20"/>
                <w:lang w:val="en-US"/>
              </w:rPr>
            </w:pPr>
            <w:r>
              <w:rPr>
                <w:sz w:val="20"/>
                <w:szCs w:val="20"/>
                <w:lang w:val="en-US"/>
              </w:rPr>
              <w:t>57</w:t>
            </w:r>
          </w:p>
        </w:tc>
        <w:tc>
          <w:tcPr>
            <w:tcW w:w="727" w:type="dxa"/>
            <w:vAlign w:val="center"/>
          </w:tcPr>
          <w:p w:rsidR="00000000" w:rsidRDefault="00000000">
            <w:pPr>
              <w:spacing w:before="40" w:after="40"/>
              <w:ind w:right="284"/>
              <w:jc w:val="right"/>
              <w:rPr>
                <w:sz w:val="20"/>
                <w:szCs w:val="20"/>
                <w:lang w:val="en-US"/>
              </w:rPr>
            </w:pPr>
            <w:r>
              <w:rPr>
                <w:sz w:val="20"/>
                <w:szCs w:val="20"/>
                <w:lang w:val="en-US"/>
              </w:rPr>
              <w:t>73</w:t>
            </w:r>
          </w:p>
        </w:tc>
        <w:tc>
          <w:tcPr>
            <w:tcW w:w="874" w:type="dxa"/>
            <w:vAlign w:val="center"/>
          </w:tcPr>
          <w:p w:rsidR="00000000" w:rsidRDefault="00000000">
            <w:pPr>
              <w:spacing w:before="40" w:after="40"/>
              <w:ind w:right="284"/>
              <w:jc w:val="right"/>
              <w:rPr>
                <w:sz w:val="20"/>
                <w:szCs w:val="20"/>
                <w:lang w:val="en-US"/>
              </w:rPr>
            </w:pPr>
            <w:r>
              <w:rPr>
                <w:sz w:val="20"/>
                <w:szCs w:val="20"/>
                <w:lang w:val="en-US"/>
              </w:rPr>
              <w:t>94</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50 (1993–</w:t>
            </w:r>
            <w:r>
              <w:rPr>
                <w:sz w:val="20"/>
              </w:rPr>
              <w:t>19</w:t>
            </w:r>
            <w:r>
              <w:rPr>
                <w:sz w:val="20"/>
                <w:lang w:val="en-US"/>
              </w:rPr>
              <w:t>94)</w:t>
            </w:r>
          </w:p>
        </w:tc>
        <w:tc>
          <w:tcPr>
            <w:tcW w:w="960" w:type="dxa"/>
            <w:vAlign w:val="center"/>
          </w:tcPr>
          <w:p w:rsidR="00000000" w:rsidRDefault="00000000">
            <w:pPr>
              <w:spacing w:before="40" w:after="40"/>
              <w:ind w:right="284"/>
              <w:jc w:val="center"/>
              <w:rPr>
                <w:sz w:val="20"/>
                <w:szCs w:val="20"/>
                <w:lang w:val="en-US"/>
              </w:rPr>
            </w:pPr>
            <w:r>
              <w:rPr>
                <w:sz w:val="20"/>
                <w:szCs w:val="20"/>
                <w:lang w:val="en-US"/>
              </w:rPr>
              <w:t>54</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41</w:t>
            </w:r>
          </w:p>
        </w:tc>
        <w:tc>
          <w:tcPr>
            <w:tcW w:w="873" w:type="dxa"/>
            <w:vAlign w:val="center"/>
          </w:tcPr>
          <w:p w:rsidR="00000000" w:rsidRDefault="00000000">
            <w:pPr>
              <w:spacing w:before="40" w:after="40"/>
              <w:ind w:right="284"/>
              <w:jc w:val="center"/>
              <w:rPr>
                <w:sz w:val="20"/>
                <w:szCs w:val="20"/>
                <w:lang w:val="en-US"/>
              </w:rPr>
            </w:pPr>
            <w:r>
              <w:rPr>
                <w:sz w:val="20"/>
                <w:szCs w:val="20"/>
                <w:lang w:val="en-US"/>
              </w:rPr>
              <w:t>52</w:t>
            </w:r>
          </w:p>
        </w:tc>
        <w:tc>
          <w:tcPr>
            <w:tcW w:w="867" w:type="dxa"/>
            <w:vAlign w:val="center"/>
          </w:tcPr>
          <w:p w:rsidR="00000000" w:rsidRDefault="00000000">
            <w:pPr>
              <w:spacing w:before="40" w:after="40"/>
              <w:ind w:right="113"/>
              <w:jc w:val="center"/>
              <w:rPr>
                <w:sz w:val="20"/>
                <w:szCs w:val="20"/>
                <w:lang w:val="en-US"/>
              </w:rPr>
            </w:pPr>
            <w:r>
              <w:rPr>
                <w:sz w:val="20"/>
                <w:szCs w:val="20"/>
                <w:lang w:val="en-US"/>
              </w:rPr>
              <w:t>67</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83</w:t>
            </w:r>
          </w:p>
        </w:tc>
        <w:tc>
          <w:tcPr>
            <w:tcW w:w="1020" w:type="dxa"/>
            <w:vAlign w:val="center"/>
          </w:tcPr>
          <w:p w:rsidR="00000000" w:rsidRDefault="00000000">
            <w:pPr>
              <w:spacing w:before="40" w:after="40"/>
              <w:ind w:right="397"/>
              <w:jc w:val="right"/>
              <w:rPr>
                <w:sz w:val="20"/>
                <w:szCs w:val="20"/>
                <w:lang w:val="en-US"/>
              </w:rPr>
            </w:pPr>
            <w:r>
              <w:rPr>
                <w:sz w:val="20"/>
                <w:szCs w:val="20"/>
                <w:lang w:val="en-US"/>
              </w:rPr>
              <w:t>61</w:t>
            </w:r>
          </w:p>
        </w:tc>
        <w:tc>
          <w:tcPr>
            <w:tcW w:w="727" w:type="dxa"/>
            <w:vAlign w:val="center"/>
          </w:tcPr>
          <w:p w:rsidR="00000000" w:rsidRDefault="00000000">
            <w:pPr>
              <w:spacing w:before="40" w:after="40"/>
              <w:ind w:right="284"/>
              <w:jc w:val="right"/>
              <w:rPr>
                <w:sz w:val="20"/>
                <w:szCs w:val="20"/>
                <w:lang w:val="en-US"/>
              </w:rPr>
            </w:pPr>
            <w:r>
              <w:rPr>
                <w:sz w:val="20"/>
                <w:szCs w:val="20"/>
                <w:lang w:val="en-US"/>
              </w:rPr>
              <w:t>79</w:t>
            </w:r>
          </w:p>
        </w:tc>
        <w:tc>
          <w:tcPr>
            <w:tcW w:w="874" w:type="dxa"/>
            <w:vAlign w:val="center"/>
          </w:tcPr>
          <w:p w:rsidR="00000000" w:rsidRDefault="00000000">
            <w:pPr>
              <w:spacing w:before="40" w:after="40"/>
              <w:ind w:right="284"/>
              <w:jc w:val="right"/>
              <w:rPr>
                <w:sz w:val="20"/>
                <w:szCs w:val="20"/>
                <w:lang w:val="en-US"/>
              </w:rPr>
            </w:pPr>
            <w:r>
              <w:rPr>
                <w:sz w:val="20"/>
                <w:szCs w:val="20"/>
                <w:lang w:val="en-US"/>
              </w:rPr>
              <w:t>104</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43 (1987–</w:t>
            </w:r>
            <w:r>
              <w:rPr>
                <w:sz w:val="20"/>
              </w:rPr>
              <w:t>19</w:t>
            </w:r>
            <w:r>
              <w:rPr>
                <w:sz w:val="20"/>
                <w:lang w:val="en-US"/>
              </w:rPr>
              <w:t>88)</w:t>
            </w:r>
          </w:p>
        </w:tc>
        <w:tc>
          <w:tcPr>
            <w:tcW w:w="960" w:type="dxa"/>
            <w:vAlign w:val="center"/>
          </w:tcPr>
          <w:p w:rsidR="00000000" w:rsidRDefault="00000000">
            <w:pPr>
              <w:spacing w:before="40" w:after="40"/>
              <w:ind w:right="284"/>
              <w:jc w:val="center"/>
              <w:rPr>
                <w:sz w:val="20"/>
                <w:szCs w:val="20"/>
                <w:lang w:val="en-US"/>
              </w:rPr>
            </w:pPr>
            <w:r>
              <w:rPr>
                <w:sz w:val="20"/>
                <w:szCs w:val="20"/>
                <w:lang w:val="en-US"/>
              </w:rPr>
              <w:t>61</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52</w:t>
            </w:r>
          </w:p>
        </w:tc>
        <w:tc>
          <w:tcPr>
            <w:tcW w:w="873" w:type="dxa"/>
            <w:vAlign w:val="center"/>
          </w:tcPr>
          <w:p w:rsidR="00000000" w:rsidRDefault="00000000">
            <w:pPr>
              <w:spacing w:before="40" w:after="40"/>
              <w:ind w:right="284"/>
              <w:jc w:val="center"/>
              <w:rPr>
                <w:sz w:val="20"/>
                <w:szCs w:val="20"/>
                <w:lang w:val="en-US"/>
              </w:rPr>
            </w:pPr>
            <w:r>
              <w:rPr>
                <w:sz w:val="20"/>
                <w:szCs w:val="20"/>
                <w:lang w:val="en-US"/>
              </w:rPr>
              <w:t>66</w:t>
            </w:r>
          </w:p>
        </w:tc>
        <w:tc>
          <w:tcPr>
            <w:tcW w:w="867" w:type="dxa"/>
            <w:vAlign w:val="center"/>
          </w:tcPr>
          <w:p w:rsidR="00000000" w:rsidRDefault="00000000">
            <w:pPr>
              <w:spacing w:before="40" w:after="40"/>
              <w:ind w:right="113"/>
              <w:jc w:val="center"/>
              <w:rPr>
                <w:sz w:val="20"/>
                <w:szCs w:val="20"/>
                <w:lang w:val="en-US"/>
              </w:rPr>
            </w:pPr>
            <w:r>
              <w:rPr>
                <w:sz w:val="20"/>
                <w:szCs w:val="20"/>
                <w:lang w:val="en-US"/>
              </w:rPr>
              <w:t>88</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85</w:t>
            </w:r>
          </w:p>
        </w:tc>
        <w:tc>
          <w:tcPr>
            <w:tcW w:w="1020" w:type="dxa"/>
            <w:vAlign w:val="center"/>
          </w:tcPr>
          <w:p w:rsidR="00000000" w:rsidRDefault="00000000">
            <w:pPr>
              <w:spacing w:before="40" w:after="40"/>
              <w:ind w:right="397"/>
              <w:jc w:val="right"/>
              <w:rPr>
                <w:sz w:val="20"/>
                <w:szCs w:val="20"/>
                <w:lang w:val="en-US"/>
              </w:rPr>
            </w:pPr>
            <w:r>
              <w:rPr>
                <w:sz w:val="20"/>
                <w:szCs w:val="20"/>
                <w:lang w:val="en-US"/>
              </w:rPr>
              <w:t>62</w:t>
            </w:r>
          </w:p>
        </w:tc>
        <w:tc>
          <w:tcPr>
            <w:tcW w:w="727" w:type="dxa"/>
            <w:vAlign w:val="center"/>
          </w:tcPr>
          <w:p w:rsidR="00000000" w:rsidRDefault="00000000">
            <w:pPr>
              <w:spacing w:before="40" w:after="40"/>
              <w:ind w:right="284"/>
              <w:jc w:val="right"/>
              <w:rPr>
                <w:sz w:val="20"/>
                <w:szCs w:val="20"/>
                <w:lang w:val="en-US"/>
              </w:rPr>
            </w:pPr>
            <w:r>
              <w:rPr>
                <w:sz w:val="20"/>
                <w:szCs w:val="20"/>
                <w:lang w:val="en-US"/>
              </w:rPr>
              <w:t>92</w:t>
            </w:r>
          </w:p>
        </w:tc>
        <w:tc>
          <w:tcPr>
            <w:tcW w:w="874" w:type="dxa"/>
            <w:vAlign w:val="center"/>
          </w:tcPr>
          <w:p w:rsidR="00000000" w:rsidRDefault="00000000">
            <w:pPr>
              <w:spacing w:before="40" w:after="40"/>
              <w:ind w:right="284"/>
              <w:jc w:val="right"/>
              <w:rPr>
                <w:sz w:val="20"/>
                <w:szCs w:val="20"/>
                <w:lang w:val="en-US"/>
              </w:rPr>
            </w:pPr>
            <w:r>
              <w:rPr>
                <w:sz w:val="20"/>
                <w:szCs w:val="20"/>
                <w:lang w:val="en-US"/>
              </w:rPr>
              <w:t>120</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38 (1993)</w:t>
            </w:r>
          </w:p>
        </w:tc>
        <w:tc>
          <w:tcPr>
            <w:tcW w:w="960" w:type="dxa"/>
            <w:vAlign w:val="center"/>
          </w:tcPr>
          <w:p w:rsidR="00000000" w:rsidRDefault="00000000">
            <w:pPr>
              <w:spacing w:before="40" w:after="40"/>
              <w:ind w:right="284"/>
              <w:jc w:val="center"/>
              <w:rPr>
                <w:sz w:val="20"/>
                <w:szCs w:val="20"/>
                <w:lang w:val="en-US"/>
              </w:rPr>
            </w:pPr>
            <w:r>
              <w:rPr>
                <w:sz w:val="20"/>
                <w:szCs w:val="20"/>
                <w:lang w:val="en-US"/>
              </w:rPr>
              <w:t>59</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51</w:t>
            </w:r>
          </w:p>
        </w:tc>
        <w:tc>
          <w:tcPr>
            <w:tcW w:w="873" w:type="dxa"/>
            <w:vAlign w:val="center"/>
          </w:tcPr>
          <w:p w:rsidR="00000000" w:rsidRDefault="00000000">
            <w:pPr>
              <w:spacing w:before="40" w:after="40"/>
              <w:ind w:right="284"/>
              <w:jc w:val="center"/>
              <w:rPr>
                <w:sz w:val="20"/>
                <w:szCs w:val="20"/>
                <w:lang w:val="en-US"/>
              </w:rPr>
            </w:pPr>
            <w:r>
              <w:rPr>
                <w:sz w:val="20"/>
                <w:szCs w:val="20"/>
                <w:lang w:val="en-US"/>
              </w:rPr>
              <w:t>67</w:t>
            </w:r>
          </w:p>
        </w:tc>
        <w:tc>
          <w:tcPr>
            <w:tcW w:w="867" w:type="dxa"/>
            <w:vAlign w:val="center"/>
          </w:tcPr>
          <w:p w:rsidR="00000000" w:rsidRDefault="00000000">
            <w:pPr>
              <w:spacing w:before="40" w:after="40"/>
              <w:ind w:right="113"/>
              <w:jc w:val="center"/>
              <w:rPr>
                <w:sz w:val="20"/>
                <w:szCs w:val="20"/>
                <w:lang w:val="en-US"/>
              </w:rPr>
            </w:pPr>
            <w:r>
              <w:rPr>
                <w:sz w:val="20"/>
                <w:szCs w:val="20"/>
                <w:lang w:val="en-US"/>
              </w:rPr>
              <w:t>92</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69</w:t>
            </w:r>
          </w:p>
        </w:tc>
        <w:tc>
          <w:tcPr>
            <w:tcW w:w="1020" w:type="dxa"/>
            <w:vAlign w:val="center"/>
          </w:tcPr>
          <w:p w:rsidR="00000000" w:rsidRDefault="00000000">
            <w:pPr>
              <w:spacing w:before="40" w:after="40"/>
              <w:ind w:right="397"/>
              <w:jc w:val="right"/>
              <w:rPr>
                <w:sz w:val="20"/>
                <w:szCs w:val="20"/>
                <w:lang w:val="en-US"/>
              </w:rPr>
            </w:pPr>
            <w:r>
              <w:rPr>
                <w:sz w:val="20"/>
                <w:szCs w:val="20"/>
                <w:lang w:val="en-US"/>
              </w:rPr>
              <w:t>49</w:t>
            </w:r>
          </w:p>
        </w:tc>
        <w:tc>
          <w:tcPr>
            <w:tcW w:w="727" w:type="dxa"/>
            <w:vAlign w:val="center"/>
          </w:tcPr>
          <w:p w:rsidR="00000000" w:rsidRDefault="00000000">
            <w:pPr>
              <w:spacing w:before="40" w:after="40"/>
              <w:ind w:right="284"/>
              <w:jc w:val="right"/>
              <w:rPr>
                <w:sz w:val="20"/>
                <w:szCs w:val="20"/>
                <w:lang w:val="en-US"/>
              </w:rPr>
            </w:pPr>
            <w:r>
              <w:rPr>
                <w:sz w:val="20"/>
                <w:szCs w:val="20"/>
                <w:lang w:val="en-US"/>
              </w:rPr>
              <w:t>75</w:t>
            </w:r>
          </w:p>
        </w:tc>
        <w:tc>
          <w:tcPr>
            <w:tcW w:w="874" w:type="dxa"/>
            <w:vAlign w:val="center"/>
          </w:tcPr>
          <w:p w:rsidR="00000000" w:rsidRDefault="00000000">
            <w:pPr>
              <w:spacing w:before="40" w:after="40"/>
              <w:ind w:right="284"/>
              <w:jc w:val="right"/>
              <w:rPr>
                <w:sz w:val="20"/>
                <w:szCs w:val="20"/>
                <w:lang w:val="en-US"/>
              </w:rPr>
            </w:pPr>
            <w:r>
              <w:rPr>
                <w:sz w:val="20"/>
                <w:szCs w:val="20"/>
                <w:lang w:val="en-US"/>
              </w:rPr>
              <w:t>110</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32 (1977–</w:t>
            </w:r>
            <w:r>
              <w:rPr>
                <w:sz w:val="20"/>
              </w:rPr>
              <w:t>19</w:t>
            </w:r>
            <w:r>
              <w:rPr>
                <w:sz w:val="20"/>
                <w:lang w:val="en-US"/>
              </w:rPr>
              <w:t>78)</w:t>
            </w:r>
          </w:p>
        </w:tc>
        <w:tc>
          <w:tcPr>
            <w:tcW w:w="960" w:type="dxa"/>
            <w:vAlign w:val="center"/>
          </w:tcPr>
          <w:p w:rsidR="00000000" w:rsidRDefault="00000000">
            <w:pPr>
              <w:spacing w:before="40" w:after="40"/>
              <w:ind w:right="284"/>
              <w:jc w:val="center"/>
              <w:rPr>
                <w:sz w:val="20"/>
                <w:szCs w:val="20"/>
                <w:lang w:val="en-US"/>
              </w:rPr>
            </w:pPr>
            <w:r>
              <w:rPr>
                <w:sz w:val="20"/>
                <w:szCs w:val="20"/>
                <w:lang w:val="en-US"/>
              </w:rPr>
              <w:t>65</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54</w:t>
            </w:r>
          </w:p>
        </w:tc>
        <w:tc>
          <w:tcPr>
            <w:tcW w:w="873" w:type="dxa"/>
            <w:vAlign w:val="center"/>
          </w:tcPr>
          <w:p w:rsidR="00000000" w:rsidRDefault="00000000">
            <w:pPr>
              <w:spacing w:before="40" w:after="40"/>
              <w:ind w:right="284"/>
              <w:jc w:val="center"/>
              <w:rPr>
                <w:sz w:val="20"/>
                <w:szCs w:val="20"/>
                <w:lang w:val="en-US"/>
              </w:rPr>
            </w:pPr>
            <w:r>
              <w:rPr>
                <w:sz w:val="20"/>
                <w:szCs w:val="20"/>
                <w:lang w:val="en-US"/>
              </w:rPr>
              <w:t>71</w:t>
            </w:r>
          </w:p>
        </w:tc>
        <w:tc>
          <w:tcPr>
            <w:tcW w:w="867" w:type="dxa"/>
            <w:vAlign w:val="center"/>
          </w:tcPr>
          <w:p w:rsidR="00000000" w:rsidRDefault="00000000">
            <w:pPr>
              <w:spacing w:before="40" w:after="40"/>
              <w:ind w:right="113"/>
              <w:jc w:val="center"/>
              <w:rPr>
                <w:sz w:val="20"/>
                <w:szCs w:val="20"/>
                <w:lang w:val="en-US"/>
              </w:rPr>
            </w:pPr>
            <w:r>
              <w:rPr>
                <w:sz w:val="20"/>
                <w:szCs w:val="20"/>
                <w:lang w:val="en-US"/>
              </w:rPr>
              <w:t>94</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178</w:t>
            </w:r>
          </w:p>
        </w:tc>
        <w:tc>
          <w:tcPr>
            <w:tcW w:w="1020" w:type="dxa"/>
            <w:vAlign w:val="center"/>
          </w:tcPr>
          <w:p w:rsidR="00000000" w:rsidRDefault="00000000">
            <w:pPr>
              <w:spacing w:before="40" w:after="40"/>
              <w:ind w:right="397"/>
              <w:jc w:val="right"/>
              <w:rPr>
                <w:sz w:val="20"/>
                <w:szCs w:val="20"/>
                <w:lang w:val="en-US"/>
              </w:rPr>
            </w:pPr>
            <w:r>
              <w:rPr>
                <w:sz w:val="20"/>
                <w:szCs w:val="20"/>
                <w:lang w:val="en-US"/>
              </w:rPr>
              <w:t>124</w:t>
            </w:r>
          </w:p>
        </w:tc>
        <w:tc>
          <w:tcPr>
            <w:tcW w:w="727" w:type="dxa"/>
            <w:vAlign w:val="center"/>
          </w:tcPr>
          <w:p w:rsidR="00000000" w:rsidRDefault="00000000">
            <w:pPr>
              <w:spacing w:before="40" w:after="40"/>
              <w:ind w:right="284"/>
              <w:jc w:val="right"/>
              <w:rPr>
                <w:sz w:val="20"/>
                <w:szCs w:val="20"/>
                <w:lang w:val="en-US"/>
              </w:rPr>
            </w:pPr>
            <w:r>
              <w:rPr>
                <w:sz w:val="20"/>
                <w:szCs w:val="20"/>
                <w:lang w:val="en-US"/>
              </w:rPr>
              <w:t>109</w:t>
            </w:r>
          </w:p>
        </w:tc>
        <w:tc>
          <w:tcPr>
            <w:tcW w:w="874" w:type="dxa"/>
            <w:vAlign w:val="center"/>
          </w:tcPr>
          <w:p w:rsidR="00000000" w:rsidRDefault="00000000">
            <w:pPr>
              <w:spacing w:before="40" w:after="40"/>
              <w:ind w:right="284"/>
              <w:jc w:val="right"/>
              <w:rPr>
                <w:sz w:val="20"/>
                <w:szCs w:val="20"/>
                <w:lang w:val="en-US"/>
              </w:rPr>
            </w:pPr>
            <w:r>
              <w:rPr>
                <w:sz w:val="20"/>
                <w:szCs w:val="20"/>
                <w:lang w:val="en-US"/>
              </w:rPr>
              <w:t>145</w:t>
            </w:r>
          </w:p>
        </w:tc>
      </w:tr>
      <w:tr w:rsidR="00000000">
        <w:tblPrEx>
          <w:tblCellMar>
            <w:top w:w="0" w:type="dxa"/>
            <w:bottom w:w="0" w:type="dxa"/>
          </w:tblCellMar>
        </w:tblPrEx>
        <w:trPr>
          <w:cantSplit/>
        </w:trPr>
        <w:tc>
          <w:tcPr>
            <w:tcW w:w="2548" w:type="dxa"/>
          </w:tcPr>
          <w:p w:rsidR="00000000" w:rsidRDefault="00000000">
            <w:pPr>
              <w:pStyle w:val="112"/>
              <w:spacing w:before="40" w:after="40"/>
              <w:rPr>
                <w:sz w:val="20"/>
                <w:lang w:val="en-US"/>
              </w:rPr>
            </w:pPr>
            <w:r>
              <w:rPr>
                <w:sz w:val="20"/>
                <w:lang w:val="en-US"/>
              </w:rPr>
              <w:t>27 (1972–</w:t>
            </w:r>
            <w:r>
              <w:rPr>
                <w:sz w:val="20"/>
              </w:rPr>
              <w:t>19</w:t>
            </w:r>
            <w:r>
              <w:rPr>
                <w:sz w:val="20"/>
                <w:lang w:val="en-US"/>
              </w:rPr>
              <w:t>73)</w:t>
            </w:r>
          </w:p>
        </w:tc>
        <w:tc>
          <w:tcPr>
            <w:tcW w:w="960" w:type="dxa"/>
            <w:vAlign w:val="center"/>
          </w:tcPr>
          <w:p w:rsidR="00000000" w:rsidRDefault="00000000">
            <w:pPr>
              <w:spacing w:before="40" w:after="40"/>
              <w:ind w:right="284"/>
              <w:jc w:val="center"/>
              <w:rPr>
                <w:sz w:val="20"/>
                <w:szCs w:val="20"/>
                <w:lang w:val="en-US"/>
              </w:rPr>
            </w:pPr>
            <w:r>
              <w:rPr>
                <w:sz w:val="20"/>
                <w:szCs w:val="20"/>
                <w:lang w:val="en-US"/>
              </w:rPr>
              <w:t>--</w:t>
            </w:r>
          </w:p>
        </w:tc>
        <w:tc>
          <w:tcPr>
            <w:tcW w:w="1036" w:type="dxa"/>
            <w:vAlign w:val="center"/>
          </w:tcPr>
          <w:p w:rsidR="00000000" w:rsidRDefault="00000000">
            <w:pPr>
              <w:spacing w:before="40" w:after="40"/>
              <w:ind w:right="284"/>
              <w:jc w:val="center"/>
              <w:rPr>
                <w:sz w:val="20"/>
                <w:szCs w:val="20"/>
                <w:lang w:val="en-US"/>
              </w:rPr>
            </w:pPr>
            <w:r>
              <w:rPr>
                <w:sz w:val="20"/>
                <w:szCs w:val="20"/>
                <w:lang w:val="en-US"/>
              </w:rPr>
              <w:t>48</w:t>
            </w:r>
          </w:p>
        </w:tc>
        <w:tc>
          <w:tcPr>
            <w:tcW w:w="873" w:type="dxa"/>
            <w:vAlign w:val="center"/>
          </w:tcPr>
          <w:p w:rsidR="00000000" w:rsidRDefault="00000000">
            <w:pPr>
              <w:spacing w:before="40" w:after="40"/>
              <w:ind w:right="284"/>
              <w:jc w:val="center"/>
              <w:rPr>
                <w:sz w:val="20"/>
                <w:szCs w:val="20"/>
                <w:lang w:val="en-US"/>
              </w:rPr>
            </w:pPr>
            <w:r>
              <w:rPr>
                <w:sz w:val="20"/>
                <w:szCs w:val="20"/>
                <w:lang w:val="en-US"/>
              </w:rPr>
              <w:t>60</w:t>
            </w:r>
          </w:p>
        </w:tc>
        <w:tc>
          <w:tcPr>
            <w:tcW w:w="867" w:type="dxa"/>
            <w:vAlign w:val="center"/>
          </w:tcPr>
          <w:p w:rsidR="00000000" w:rsidRDefault="00000000">
            <w:pPr>
              <w:spacing w:before="40" w:after="40"/>
              <w:ind w:right="113"/>
              <w:jc w:val="center"/>
              <w:rPr>
                <w:sz w:val="20"/>
                <w:szCs w:val="20"/>
                <w:lang w:val="en-US"/>
              </w:rPr>
            </w:pPr>
            <w:r>
              <w:rPr>
                <w:sz w:val="20"/>
                <w:szCs w:val="20"/>
                <w:lang w:val="en-US"/>
              </w:rPr>
              <w:t>80</w:t>
            </w:r>
          </w:p>
        </w:tc>
        <w:tc>
          <w:tcPr>
            <w:tcW w:w="734" w:type="dxa"/>
            <w:gridSpan w:val="2"/>
            <w:vAlign w:val="center"/>
          </w:tcPr>
          <w:p w:rsidR="00000000" w:rsidRDefault="00000000">
            <w:pPr>
              <w:spacing w:before="40" w:after="40"/>
              <w:ind w:right="284"/>
              <w:jc w:val="right"/>
              <w:rPr>
                <w:sz w:val="20"/>
                <w:szCs w:val="20"/>
                <w:lang w:val="en-US"/>
              </w:rPr>
            </w:pPr>
            <w:r>
              <w:rPr>
                <w:sz w:val="20"/>
                <w:szCs w:val="20"/>
                <w:lang w:val="en-US"/>
              </w:rPr>
              <w:t>--</w:t>
            </w:r>
          </w:p>
        </w:tc>
        <w:tc>
          <w:tcPr>
            <w:tcW w:w="1020" w:type="dxa"/>
            <w:vAlign w:val="center"/>
          </w:tcPr>
          <w:p w:rsidR="00000000" w:rsidRDefault="00000000">
            <w:pPr>
              <w:spacing w:before="40" w:after="40"/>
              <w:ind w:right="397"/>
              <w:jc w:val="right"/>
              <w:rPr>
                <w:sz w:val="20"/>
                <w:szCs w:val="20"/>
                <w:lang w:val="en-US"/>
              </w:rPr>
            </w:pPr>
            <w:r>
              <w:rPr>
                <w:sz w:val="20"/>
                <w:szCs w:val="20"/>
                <w:lang w:val="en-US"/>
              </w:rPr>
              <w:t>60</w:t>
            </w:r>
          </w:p>
        </w:tc>
        <w:tc>
          <w:tcPr>
            <w:tcW w:w="727" w:type="dxa"/>
            <w:vAlign w:val="center"/>
          </w:tcPr>
          <w:p w:rsidR="00000000" w:rsidRDefault="00000000">
            <w:pPr>
              <w:spacing w:before="40" w:after="40"/>
              <w:ind w:right="284"/>
              <w:jc w:val="right"/>
              <w:rPr>
                <w:sz w:val="20"/>
                <w:szCs w:val="20"/>
                <w:lang w:val="en-US"/>
              </w:rPr>
            </w:pPr>
            <w:r>
              <w:rPr>
                <w:sz w:val="20"/>
                <w:szCs w:val="20"/>
                <w:lang w:val="en-US"/>
              </w:rPr>
              <w:t>92</w:t>
            </w:r>
          </w:p>
        </w:tc>
        <w:tc>
          <w:tcPr>
            <w:tcW w:w="874" w:type="dxa"/>
            <w:vAlign w:val="center"/>
          </w:tcPr>
          <w:p w:rsidR="00000000" w:rsidRDefault="00000000">
            <w:pPr>
              <w:spacing w:before="40" w:after="40"/>
              <w:ind w:right="284"/>
              <w:jc w:val="right"/>
              <w:rPr>
                <w:sz w:val="20"/>
                <w:szCs w:val="20"/>
                <w:lang w:val="en-US"/>
              </w:rPr>
            </w:pPr>
            <w:r>
              <w:rPr>
                <w:sz w:val="20"/>
                <w:szCs w:val="20"/>
                <w:lang w:val="en-US"/>
              </w:rPr>
              <w:t>137</w:t>
            </w:r>
          </w:p>
        </w:tc>
      </w:tr>
    </w:tbl>
    <w:p w:rsidR="00000000" w:rsidRDefault="00000000">
      <w:pPr>
        <w:pStyle w:val="a3"/>
        <w:spacing w:before="120"/>
        <w:rPr>
          <w:lang w:val="en-US"/>
        </w:rPr>
      </w:pPr>
      <w:r>
        <w:rPr>
          <w:b/>
          <w:bCs/>
        </w:rPr>
        <w:t>Источник</w:t>
      </w:r>
      <w:r>
        <w:rPr>
          <w:b/>
          <w:bCs/>
          <w:lang w:val="en-US"/>
        </w:rPr>
        <w:t>:</w:t>
      </w:r>
      <w:r>
        <w:rPr>
          <w:lang w:val="en-US"/>
        </w:rPr>
        <w:t xml:space="preserve"> Table 7.2 of NSS Report No. 458 part I, p. 130.</w:t>
      </w:r>
    </w:p>
    <w:p w:rsidR="00000000" w:rsidRDefault="00000000">
      <w:pPr>
        <w:pStyle w:val="112"/>
        <w:rPr>
          <w:lang w:val="en-US"/>
        </w:rPr>
      </w:pPr>
    </w:p>
    <w:p w:rsidR="00000000" w:rsidRDefault="00000000">
      <w:pPr>
        <w:pStyle w:val="112"/>
        <w:spacing w:before="120"/>
        <w:jc w:val="left"/>
        <w:rPr>
          <w:b/>
          <w:bCs/>
        </w:rPr>
      </w:pPr>
      <w:r>
        <w:rPr>
          <w:b/>
          <w:bCs/>
        </w:rPr>
        <w:t xml:space="preserve">Таблица 6.4 </w:t>
      </w:r>
      <w:r>
        <w:rPr>
          <w:b/>
          <w:bCs/>
          <w:szCs w:val="22"/>
        </w:rPr>
        <w:t>–</w:t>
      </w:r>
      <w:r>
        <w:rPr>
          <w:b/>
          <w:bCs/>
        </w:rPr>
        <w:t xml:space="preserve"> Уровень безработицы (на 1000 чел.) среди молодежи (15–29 лет)</w:t>
      </w:r>
    </w:p>
    <w:p w:rsidR="00000000" w:rsidRDefault="00000000">
      <w:pPr>
        <w:pStyle w:val="112"/>
      </w:pPr>
      <w:r>
        <w:t>Вся Индия</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1228"/>
        <w:gridCol w:w="981"/>
        <w:gridCol w:w="1252"/>
        <w:gridCol w:w="988"/>
        <w:gridCol w:w="986"/>
        <w:gridCol w:w="992"/>
        <w:gridCol w:w="991"/>
        <w:gridCol w:w="989"/>
        <w:gridCol w:w="1232"/>
      </w:tblGrid>
      <w:tr w:rsidR="00000000">
        <w:tblPrEx>
          <w:tblCellMar>
            <w:top w:w="0" w:type="dxa"/>
            <w:bottom w:w="0" w:type="dxa"/>
          </w:tblCellMar>
        </w:tblPrEx>
        <w:trPr>
          <w:cantSplit/>
        </w:trPr>
        <w:tc>
          <w:tcPr>
            <w:tcW w:w="1228" w:type="dxa"/>
          </w:tcPr>
          <w:p w:rsidR="00000000" w:rsidRDefault="00000000">
            <w:pPr>
              <w:spacing w:before="40" w:after="40"/>
              <w:jc w:val="center"/>
              <w:rPr>
                <w:sz w:val="20"/>
                <w:szCs w:val="20"/>
              </w:rPr>
            </w:pPr>
            <w:r>
              <w:rPr>
                <w:sz w:val="20"/>
                <w:szCs w:val="20"/>
              </w:rPr>
              <w:t>Возрастные группы (годы)</w:t>
            </w:r>
          </w:p>
        </w:tc>
        <w:tc>
          <w:tcPr>
            <w:tcW w:w="8411" w:type="dxa"/>
            <w:gridSpan w:val="8"/>
          </w:tcPr>
          <w:p w:rsidR="00000000" w:rsidRDefault="00000000">
            <w:pPr>
              <w:spacing w:before="40" w:after="40"/>
              <w:jc w:val="center"/>
              <w:rPr>
                <w:sz w:val="20"/>
                <w:szCs w:val="20"/>
              </w:rPr>
            </w:pPr>
            <w:r>
              <w:rPr>
                <w:sz w:val="20"/>
                <w:szCs w:val="20"/>
              </w:rPr>
              <w:br/>
              <w:t>Уровень безработицы</w:t>
            </w:r>
          </w:p>
        </w:tc>
      </w:tr>
      <w:tr w:rsidR="00000000">
        <w:tblPrEx>
          <w:tblCellMar>
            <w:top w:w="0" w:type="dxa"/>
            <w:bottom w:w="0" w:type="dxa"/>
          </w:tblCellMar>
        </w:tblPrEx>
        <w:trPr>
          <w:cantSplit/>
        </w:trPr>
        <w:tc>
          <w:tcPr>
            <w:tcW w:w="1228" w:type="dxa"/>
          </w:tcPr>
          <w:p w:rsidR="00000000" w:rsidRDefault="00000000">
            <w:pPr>
              <w:spacing w:before="40" w:after="40"/>
              <w:jc w:val="both"/>
              <w:rPr>
                <w:sz w:val="20"/>
                <w:szCs w:val="20"/>
              </w:rPr>
            </w:pPr>
          </w:p>
        </w:tc>
        <w:tc>
          <w:tcPr>
            <w:tcW w:w="4207" w:type="dxa"/>
            <w:gridSpan w:val="4"/>
          </w:tcPr>
          <w:p w:rsidR="00000000" w:rsidRDefault="00000000">
            <w:pPr>
              <w:spacing w:before="40" w:after="40"/>
              <w:jc w:val="center"/>
              <w:rPr>
                <w:sz w:val="20"/>
                <w:szCs w:val="20"/>
              </w:rPr>
            </w:pPr>
            <w:r>
              <w:rPr>
                <w:sz w:val="20"/>
                <w:szCs w:val="20"/>
              </w:rPr>
              <w:t>Мужчины</w:t>
            </w:r>
          </w:p>
        </w:tc>
        <w:tc>
          <w:tcPr>
            <w:tcW w:w="4204" w:type="dxa"/>
            <w:gridSpan w:val="4"/>
          </w:tcPr>
          <w:p w:rsidR="00000000" w:rsidRDefault="00000000">
            <w:pPr>
              <w:spacing w:before="40" w:after="40"/>
              <w:jc w:val="center"/>
              <w:rPr>
                <w:sz w:val="20"/>
                <w:szCs w:val="20"/>
              </w:rPr>
            </w:pPr>
            <w:r>
              <w:rPr>
                <w:sz w:val="20"/>
                <w:szCs w:val="20"/>
              </w:rPr>
              <w:t>Женщины</w:t>
            </w:r>
          </w:p>
        </w:tc>
      </w:tr>
      <w:tr w:rsidR="00000000">
        <w:tblPrEx>
          <w:tblCellMar>
            <w:top w:w="0" w:type="dxa"/>
            <w:bottom w:w="0" w:type="dxa"/>
          </w:tblCellMar>
        </w:tblPrEx>
        <w:trPr>
          <w:cantSplit/>
        </w:trPr>
        <w:tc>
          <w:tcPr>
            <w:tcW w:w="1228" w:type="dxa"/>
          </w:tcPr>
          <w:p w:rsidR="00000000" w:rsidRDefault="00000000">
            <w:pPr>
              <w:spacing w:before="40" w:after="40"/>
              <w:jc w:val="both"/>
              <w:rPr>
                <w:sz w:val="20"/>
                <w:szCs w:val="20"/>
              </w:rPr>
            </w:pPr>
          </w:p>
        </w:tc>
        <w:tc>
          <w:tcPr>
            <w:tcW w:w="981" w:type="dxa"/>
          </w:tcPr>
          <w:p w:rsidR="00000000" w:rsidRDefault="00000000">
            <w:pPr>
              <w:pStyle w:val="112"/>
              <w:spacing w:before="40" w:after="40"/>
              <w:jc w:val="center"/>
              <w:rPr>
                <w:sz w:val="20"/>
              </w:rPr>
            </w:pPr>
            <w:r>
              <w:rPr>
                <w:sz w:val="20"/>
              </w:rPr>
              <w:t>ОС</w:t>
            </w:r>
          </w:p>
        </w:tc>
        <w:tc>
          <w:tcPr>
            <w:tcW w:w="1252" w:type="dxa"/>
          </w:tcPr>
          <w:p w:rsidR="00000000" w:rsidRDefault="00000000">
            <w:pPr>
              <w:pStyle w:val="112"/>
              <w:spacing w:before="40" w:after="40"/>
              <w:jc w:val="center"/>
              <w:rPr>
                <w:sz w:val="20"/>
              </w:rPr>
            </w:pPr>
            <w:r>
              <w:rPr>
                <w:sz w:val="20"/>
              </w:rPr>
              <w:t>ОС</w:t>
            </w:r>
            <w:r>
              <w:rPr>
                <w:sz w:val="20"/>
              </w:rPr>
              <w:br/>
              <w:t>(скорр.)</w:t>
            </w:r>
          </w:p>
        </w:tc>
        <w:tc>
          <w:tcPr>
            <w:tcW w:w="988" w:type="dxa"/>
          </w:tcPr>
          <w:p w:rsidR="00000000" w:rsidRDefault="00000000">
            <w:pPr>
              <w:pStyle w:val="112"/>
              <w:spacing w:before="40" w:after="40"/>
              <w:jc w:val="center"/>
              <w:rPr>
                <w:sz w:val="20"/>
              </w:rPr>
            </w:pPr>
            <w:r>
              <w:rPr>
                <w:sz w:val="20"/>
              </w:rPr>
              <w:t>ТНС</w:t>
            </w:r>
          </w:p>
        </w:tc>
        <w:tc>
          <w:tcPr>
            <w:tcW w:w="986" w:type="dxa"/>
          </w:tcPr>
          <w:p w:rsidR="00000000" w:rsidRDefault="00000000">
            <w:pPr>
              <w:pStyle w:val="112"/>
              <w:spacing w:before="40" w:after="40"/>
              <w:jc w:val="center"/>
              <w:rPr>
                <w:sz w:val="20"/>
              </w:rPr>
            </w:pPr>
            <w:r>
              <w:rPr>
                <w:sz w:val="20"/>
              </w:rPr>
              <w:t>ТДС</w:t>
            </w:r>
          </w:p>
        </w:tc>
        <w:tc>
          <w:tcPr>
            <w:tcW w:w="992" w:type="dxa"/>
          </w:tcPr>
          <w:p w:rsidR="00000000" w:rsidRDefault="00000000">
            <w:pPr>
              <w:pStyle w:val="112"/>
              <w:spacing w:before="40" w:after="40"/>
              <w:jc w:val="center"/>
              <w:rPr>
                <w:sz w:val="20"/>
              </w:rPr>
            </w:pPr>
            <w:r>
              <w:rPr>
                <w:sz w:val="20"/>
              </w:rPr>
              <w:t>ОС</w:t>
            </w:r>
          </w:p>
        </w:tc>
        <w:tc>
          <w:tcPr>
            <w:tcW w:w="991" w:type="dxa"/>
          </w:tcPr>
          <w:p w:rsidR="00000000" w:rsidRDefault="00000000">
            <w:pPr>
              <w:pStyle w:val="112"/>
              <w:spacing w:before="40" w:after="40"/>
              <w:jc w:val="center"/>
              <w:rPr>
                <w:sz w:val="20"/>
              </w:rPr>
            </w:pPr>
            <w:r>
              <w:rPr>
                <w:sz w:val="20"/>
              </w:rPr>
              <w:t>ОС (скорр.)</w:t>
            </w:r>
          </w:p>
        </w:tc>
        <w:tc>
          <w:tcPr>
            <w:tcW w:w="989" w:type="dxa"/>
          </w:tcPr>
          <w:p w:rsidR="00000000" w:rsidRDefault="00000000">
            <w:pPr>
              <w:pStyle w:val="112"/>
              <w:spacing w:before="40" w:after="40"/>
              <w:jc w:val="center"/>
              <w:rPr>
                <w:sz w:val="20"/>
              </w:rPr>
            </w:pPr>
            <w:r>
              <w:rPr>
                <w:sz w:val="20"/>
              </w:rPr>
              <w:t>ТНС</w:t>
            </w:r>
          </w:p>
        </w:tc>
        <w:tc>
          <w:tcPr>
            <w:tcW w:w="1232" w:type="dxa"/>
          </w:tcPr>
          <w:p w:rsidR="00000000" w:rsidRDefault="00000000">
            <w:pPr>
              <w:pStyle w:val="112"/>
              <w:spacing w:before="40" w:after="40"/>
              <w:jc w:val="center"/>
              <w:rPr>
                <w:sz w:val="20"/>
              </w:rPr>
            </w:pPr>
            <w:r>
              <w:rPr>
                <w:sz w:val="20"/>
              </w:rPr>
              <w:t>ТДС</w:t>
            </w:r>
          </w:p>
        </w:tc>
      </w:tr>
      <w:tr w:rsidR="00000000">
        <w:tblPrEx>
          <w:tblCellMar>
            <w:top w:w="0" w:type="dxa"/>
            <w:bottom w:w="0" w:type="dxa"/>
          </w:tblCellMar>
        </w:tblPrEx>
        <w:trPr>
          <w:cantSplit/>
        </w:trPr>
        <w:tc>
          <w:tcPr>
            <w:tcW w:w="1228" w:type="dxa"/>
            <w:vAlign w:val="center"/>
          </w:tcPr>
          <w:p w:rsidR="00000000" w:rsidRDefault="00000000">
            <w:pPr>
              <w:spacing w:before="40" w:after="40"/>
              <w:jc w:val="center"/>
              <w:rPr>
                <w:sz w:val="20"/>
                <w:szCs w:val="20"/>
              </w:rPr>
            </w:pPr>
            <w:r>
              <w:rPr>
                <w:sz w:val="20"/>
                <w:szCs w:val="20"/>
              </w:rPr>
              <w:t>(1)</w:t>
            </w:r>
          </w:p>
        </w:tc>
        <w:tc>
          <w:tcPr>
            <w:tcW w:w="981" w:type="dxa"/>
            <w:vAlign w:val="center"/>
          </w:tcPr>
          <w:p w:rsidR="00000000" w:rsidRDefault="00000000">
            <w:pPr>
              <w:spacing w:before="40" w:after="40"/>
              <w:jc w:val="center"/>
              <w:rPr>
                <w:sz w:val="20"/>
                <w:szCs w:val="20"/>
              </w:rPr>
            </w:pPr>
            <w:r>
              <w:rPr>
                <w:sz w:val="20"/>
                <w:szCs w:val="20"/>
              </w:rPr>
              <w:t>(2)</w:t>
            </w:r>
          </w:p>
        </w:tc>
        <w:tc>
          <w:tcPr>
            <w:tcW w:w="1252" w:type="dxa"/>
            <w:vAlign w:val="center"/>
          </w:tcPr>
          <w:p w:rsidR="00000000" w:rsidRDefault="00000000">
            <w:pPr>
              <w:spacing w:before="40" w:after="40"/>
              <w:jc w:val="center"/>
              <w:rPr>
                <w:sz w:val="20"/>
                <w:szCs w:val="20"/>
              </w:rPr>
            </w:pPr>
            <w:r>
              <w:rPr>
                <w:sz w:val="20"/>
                <w:szCs w:val="20"/>
              </w:rPr>
              <w:t>(3)</w:t>
            </w:r>
          </w:p>
        </w:tc>
        <w:tc>
          <w:tcPr>
            <w:tcW w:w="988" w:type="dxa"/>
            <w:vAlign w:val="center"/>
          </w:tcPr>
          <w:p w:rsidR="00000000" w:rsidRDefault="00000000">
            <w:pPr>
              <w:spacing w:before="40" w:after="40"/>
              <w:jc w:val="center"/>
              <w:rPr>
                <w:sz w:val="20"/>
                <w:szCs w:val="20"/>
              </w:rPr>
            </w:pPr>
            <w:r>
              <w:rPr>
                <w:sz w:val="20"/>
                <w:szCs w:val="20"/>
              </w:rPr>
              <w:t>(4)</w:t>
            </w:r>
          </w:p>
        </w:tc>
        <w:tc>
          <w:tcPr>
            <w:tcW w:w="986" w:type="dxa"/>
            <w:vAlign w:val="center"/>
          </w:tcPr>
          <w:p w:rsidR="00000000" w:rsidRDefault="00000000">
            <w:pPr>
              <w:spacing w:before="40" w:after="40"/>
              <w:jc w:val="center"/>
              <w:rPr>
                <w:sz w:val="20"/>
                <w:szCs w:val="20"/>
              </w:rPr>
            </w:pPr>
            <w:r>
              <w:rPr>
                <w:sz w:val="20"/>
                <w:szCs w:val="20"/>
              </w:rPr>
              <w:t>(5)</w:t>
            </w:r>
          </w:p>
        </w:tc>
        <w:tc>
          <w:tcPr>
            <w:tcW w:w="992" w:type="dxa"/>
            <w:vAlign w:val="center"/>
          </w:tcPr>
          <w:p w:rsidR="00000000" w:rsidRDefault="00000000">
            <w:pPr>
              <w:spacing w:before="40" w:after="40"/>
              <w:jc w:val="center"/>
              <w:rPr>
                <w:sz w:val="20"/>
                <w:szCs w:val="20"/>
              </w:rPr>
            </w:pPr>
            <w:r>
              <w:rPr>
                <w:sz w:val="20"/>
                <w:szCs w:val="20"/>
              </w:rPr>
              <w:t>(6)</w:t>
            </w:r>
          </w:p>
        </w:tc>
        <w:tc>
          <w:tcPr>
            <w:tcW w:w="991" w:type="dxa"/>
            <w:vAlign w:val="center"/>
          </w:tcPr>
          <w:p w:rsidR="00000000" w:rsidRDefault="00000000">
            <w:pPr>
              <w:spacing w:before="40" w:after="40"/>
              <w:jc w:val="center"/>
              <w:rPr>
                <w:sz w:val="20"/>
                <w:szCs w:val="20"/>
              </w:rPr>
            </w:pPr>
            <w:r>
              <w:rPr>
                <w:sz w:val="20"/>
                <w:szCs w:val="20"/>
              </w:rPr>
              <w:t>(7)</w:t>
            </w:r>
          </w:p>
        </w:tc>
        <w:tc>
          <w:tcPr>
            <w:tcW w:w="989" w:type="dxa"/>
            <w:vAlign w:val="center"/>
          </w:tcPr>
          <w:p w:rsidR="00000000" w:rsidRDefault="00000000">
            <w:pPr>
              <w:spacing w:before="40" w:after="40"/>
              <w:jc w:val="center"/>
              <w:rPr>
                <w:sz w:val="20"/>
                <w:szCs w:val="20"/>
              </w:rPr>
            </w:pPr>
            <w:r>
              <w:rPr>
                <w:sz w:val="20"/>
                <w:szCs w:val="20"/>
              </w:rPr>
              <w:t>(8)</w:t>
            </w:r>
          </w:p>
        </w:tc>
        <w:tc>
          <w:tcPr>
            <w:tcW w:w="1232" w:type="dxa"/>
            <w:vAlign w:val="center"/>
          </w:tcPr>
          <w:p w:rsidR="00000000" w:rsidRDefault="00000000">
            <w:pPr>
              <w:spacing w:before="40" w:after="40"/>
              <w:jc w:val="center"/>
              <w:rPr>
                <w:sz w:val="20"/>
                <w:szCs w:val="20"/>
              </w:rPr>
            </w:pPr>
            <w:r>
              <w:rPr>
                <w:sz w:val="20"/>
                <w:szCs w:val="20"/>
              </w:rPr>
              <w:t>(9)</w:t>
            </w:r>
          </w:p>
        </w:tc>
      </w:tr>
      <w:tr w:rsidR="00000000">
        <w:tblPrEx>
          <w:tblCellMar>
            <w:top w:w="0" w:type="dxa"/>
            <w:bottom w:w="0" w:type="dxa"/>
          </w:tblCellMar>
        </w:tblPrEx>
        <w:trPr>
          <w:cantSplit/>
        </w:trPr>
        <w:tc>
          <w:tcPr>
            <w:tcW w:w="9639" w:type="dxa"/>
            <w:gridSpan w:val="9"/>
            <w:vAlign w:val="center"/>
          </w:tcPr>
          <w:p w:rsidR="00000000" w:rsidRDefault="00000000">
            <w:pPr>
              <w:spacing w:before="40" w:after="40"/>
              <w:rPr>
                <w:sz w:val="20"/>
                <w:szCs w:val="20"/>
              </w:rPr>
            </w:pPr>
            <w:r>
              <w:rPr>
                <w:sz w:val="20"/>
                <w:szCs w:val="20"/>
              </w:rPr>
              <w:t>Сельская местность</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15–19</w:t>
            </w:r>
          </w:p>
        </w:tc>
        <w:tc>
          <w:tcPr>
            <w:tcW w:w="981" w:type="dxa"/>
            <w:vAlign w:val="center"/>
          </w:tcPr>
          <w:p w:rsidR="00000000" w:rsidRDefault="00000000">
            <w:pPr>
              <w:spacing w:before="40" w:after="40"/>
              <w:ind w:left="113"/>
              <w:rPr>
                <w:sz w:val="20"/>
                <w:szCs w:val="20"/>
              </w:rPr>
            </w:pPr>
            <w:r>
              <w:rPr>
                <w:sz w:val="20"/>
                <w:szCs w:val="20"/>
              </w:rPr>
              <w:t>65 (47)</w:t>
            </w:r>
          </w:p>
        </w:tc>
        <w:tc>
          <w:tcPr>
            <w:tcW w:w="1252" w:type="dxa"/>
            <w:vAlign w:val="center"/>
          </w:tcPr>
          <w:p w:rsidR="00000000" w:rsidRDefault="00000000">
            <w:pPr>
              <w:spacing w:before="40" w:after="40"/>
              <w:ind w:left="113"/>
              <w:rPr>
                <w:sz w:val="20"/>
                <w:szCs w:val="20"/>
              </w:rPr>
            </w:pPr>
            <w:r>
              <w:rPr>
                <w:sz w:val="20"/>
                <w:szCs w:val="20"/>
              </w:rPr>
              <w:t>55 (33)</w:t>
            </w:r>
          </w:p>
        </w:tc>
        <w:tc>
          <w:tcPr>
            <w:tcW w:w="988" w:type="dxa"/>
            <w:vAlign w:val="center"/>
          </w:tcPr>
          <w:p w:rsidR="00000000" w:rsidRDefault="00000000">
            <w:pPr>
              <w:spacing w:before="40" w:after="40"/>
              <w:ind w:left="113"/>
              <w:rPr>
                <w:sz w:val="20"/>
                <w:szCs w:val="20"/>
              </w:rPr>
            </w:pPr>
            <w:r>
              <w:rPr>
                <w:sz w:val="20"/>
                <w:szCs w:val="20"/>
              </w:rPr>
              <w:t>91 (56)</w:t>
            </w:r>
          </w:p>
        </w:tc>
        <w:tc>
          <w:tcPr>
            <w:tcW w:w="986" w:type="dxa"/>
            <w:vAlign w:val="center"/>
          </w:tcPr>
          <w:p w:rsidR="00000000" w:rsidRDefault="00000000">
            <w:pPr>
              <w:spacing w:before="40" w:after="40"/>
              <w:ind w:left="113"/>
              <w:rPr>
                <w:sz w:val="20"/>
                <w:szCs w:val="20"/>
              </w:rPr>
            </w:pPr>
            <w:r>
              <w:rPr>
                <w:sz w:val="20"/>
                <w:szCs w:val="20"/>
              </w:rPr>
              <w:t>131 (90)</w:t>
            </w:r>
          </w:p>
        </w:tc>
        <w:tc>
          <w:tcPr>
            <w:tcW w:w="992" w:type="dxa"/>
            <w:vAlign w:val="center"/>
          </w:tcPr>
          <w:p w:rsidR="00000000" w:rsidRDefault="00000000">
            <w:pPr>
              <w:spacing w:before="40" w:after="40"/>
              <w:ind w:left="113"/>
              <w:rPr>
                <w:sz w:val="20"/>
                <w:szCs w:val="20"/>
              </w:rPr>
            </w:pPr>
            <w:r>
              <w:rPr>
                <w:sz w:val="20"/>
                <w:szCs w:val="20"/>
              </w:rPr>
              <w:t>31 (33)</w:t>
            </w:r>
          </w:p>
        </w:tc>
        <w:tc>
          <w:tcPr>
            <w:tcW w:w="991" w:type="dxa"/>
            <w:vAlign w:val="center"/>
          </w:tcPr>
          <w:p w:rsidR="00000000" w:rsidRDefault="00000000">
            <w:pPr>
              <w:spacing w:before="40" w:after="40"/>
              <w:ind w:left="113"/>
              <w:rPr>
                <w:sz w:val="20"/>
                <w:szCs w:val="20"/>
              </w:rPr>
            </w:pPr>
            <w:r>
              <w:rPr>
                <w:sz w:val="20"/>
                <w:szCs w:val="20"/>
              </w:rPr>
              <w:t>32 (19)</w:t>
            </w:r>
          </w:p>
        </w:tc>
        <w:tc>
          <w:tcPr>
            <w:tcW w:w="989" w:type="dxa"/>
            <w:vAlign w:val="center"/>
          </w:tcPr>
          <w:p w:rsidR="00000000" w:rsidRDefault="00000000">
            <w:pPr>
              <w:spacing w:before="40" w:after="40"/>
              <w:ind w:left="113"/>
              <w:rPr>
                <w:sz w:val="20"/>
                <w:szCs w:val="20"/>
              </w:rPr>
            </w:pPr>
            <w:r>
              <w:rPr>
                <w:sz w:val="20"/>
                <w:szCs w:val="20"/>
              </w:rPr>
              <w:t>91 (51)</w:t>
            </w:r>
          </w:p>
        </w:tc>
        <w:tc>
          <w:tcPr>
            <w:tcW w:w="1232" w:type="dxa"/>
            <w:vAlign w:val="center"/>
          </w:tcPr>
          <w:p w:rsidR="00000000" w:rsidRDefault="00000000">
            <w:pPr>
              <w:spacing w:before="40" w:after="40"/>
              <w:ind w:left="113"/>
              <w:rPr>
                <w:sz w:val="20"/>
                <w:szCs w:val="20"/>
              </w:rPr>
            </w:pPr>
            <w:r>
              <w:rPr>
                <w:sz w:val="20"/>
                <w:szCs w:val="20"/>
              </w:rPr>
              <w:t>128 (83)</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20–24</w:t>
            </w:r>
          </w:p>
        </w:tc>
        <w:tc>
          <w:tcPr>
            <w:tcW w:w="981" w:type="dxa"/>
            <w:vAlign w:val="center"/>
          </w:tcPr>
          <w:p w:rsidR="00000000" w:rsidRDefault="00000000">
            <w:pPr>
              <w:spacing w:before="40" w:after="40"/>
              <w:ind w:left="113"/>
              <w:rPr>
                <w:sz w:val="20"/>
                <w:szCs w:val="20"/>
              </w:rPr>
            </w:pPr>
            <w:r>
              <w:rPr>
                <w:sz w:val="20"/>
                <w:szCs w:val="20"/>
              </w:rPr>
              <w:t>62 (67)</w:t>
            </w:r>
          </w:p>
        </w:tc>
        <w:tc>
          <w:tcPr>
            <w:tcW w:w="1252" w:type="dxa"/>
            <w:vAlign w:val="center"/>
          </w:tcPr>
          <w:p w:rsidR="00000000" w:rsidRDefault="00000000">
            <w:pPr>
              <w:spacing w:before="40" w:after="40"/>
              <w:ind w:left="113"/>
              <w:rPr>
                <w:sz w:val="20"/>
                <w:szCs w:val="20"/>
              </w:rPr>
            </w:pPr>
            <w:r>
              <w:rPr>
                <w:sz w:val="20"/>
                <w:szCs w:val="20"/>
              </w:rPr>
              <w:t>52 (49)</w:t>
            </w:r>
          </w:p>
        </w:tc>
        <w:tc>
          <w:tcPr>
            <w:tcW w:w="988" w:type="dxa"/>
            <w:vAlign w:val="center"/>
          </w:tcPr>
          <w:p w:rsidR="00000000" w:rsidRDefault="00000000">
            <w:pPr>
              <w:spacing w:before="40" w:after="40"/>
              <w:ind w:left="113"/>
              <w:rPr>
                <w:sz w:val="20"/>
                <w:szCs w:val="20"/>
              </w:rPr>
            </w:pPr>
            <w:r>
              <w:rPr>
                <w:sz w:val="20"/>
                <w:szCs w:val="20"/>
              </w:rPr>
              <w:t>79 (72)</w:t>
            </w:r>
          </w:p>
        </w:tc>
        <w:tc>
          <w:tcPr>
            <w:tcW w:w="986" w:type="dxa"/>
            <w:vAlign w:val="center"/>
          </w:tcPr>
          <w:p w:rsidR="00000000" w:rsidRDefault="00000000">
            <w:pPr>
              <w:spacing w:before="40" w:after="40"/>
              <w:ind w:left="113"/>
              <w:rPr>
                <w:sz w:val="20"/>
                <w:szCs w:val="20"/>
              </w:rPr>
            </w:pPr>
            <w:r>
              <w:rPr>
                <w:sz w:val="20"/>
                <w:szCs w:val="20"/>
              </w:rPr>
              <w:t>117 (103)</w:t>
            </w:r>
          </w:p>
        </w:tc>
        <w:tc>
          <w:tcPr>
            <w:tcW w:w="992" w:type="dxa"/>
            <w:vAlign w:val="center"/>
          </w:tcPr>
          <w:p w:rsidR="00000000" w:rsidRDefault="00000000">
            <w:pPr>
              <w:spacing w:before="40" w:after="40"/>
              <w:ind w:left="113"/>
              <w:rPr>
                <w:sz w:val="20"/>
                <w:szCs w:val="20"/>
              </w:rPr>
            </w:pPr>
            <w:r>
              <w:rPr>
                <w:sz w:val="20"/>
                <w:szCs w:val="20"/>
              </w:rPr>
              <w:t>49 (45)</w:t>
            </w:r>
          </w:p>
        </w:tc>
        <w:tc>
          <w:tcPr>
            <w:tcW w:w="991" w:type="dxa"/>
            <w:vAlign w:val="center"/>
          </w:tcPr>
          <w:p w:rsidR="00000000" w:rsidRDefault="00000000">
            <w:pPr>
              <w:spacing w:before="40" w:after="40"/>
              <w:ind w:left="113"/>
              <w:rPr>
                <w:sz w:val="20"/>
                <w:szCs w:val="20"/>
              </w:rPr>
            </w:pPr>
            <w:r>
              <w:rPr>
                <w:sz w:val="20"/>
                <w:szCs w:val="20"/>
              </w:rPr>
              <w:t>35 (28)</w:t>
            </w:r>
          </w:p>
        </w:tc>
        <w:tc>
          <w:tcPr>
            <w:tcW w:w="989" w:type="dxa"/>
            <w:vAlign w:val="center"/>
          </w:tcPr>
          <w:p w:rsidR="00000000" w:rsidRDefault="00000000">
            <w:pPr>
              <w:spacing w:before="40" w:after="40"/>
              <w:ind w:left="113"/>
              <w:rPr>
                <w:sz w:val="20"/>
                <w:szCs w:val="20"/>
              </w:rPr>
            </w:pPr>
            <w:r>
              <w:rPr>
                <w:sz w:val="20"/>
                <w:szCs w:val="20"/>
              </w:rPr>
              <w:t>82 (59)</w:t>
            </w:r>
          </w:p>
        </w:tc>
        <w:tc>
          <w:tcPr>
            <w:tcW w:w="1232" w:type="dxa"/>
            <w:vAlign w:val="center"/>
          </w:tcPr>
          <w:p w:rsidR="00000000" w:rsidRDefault="00000000">
            <w:pPr>
              <w:spacing w:before="40" w:after="40"/>
              <w:ind w:left="113"/>
              <w:rPr>
                <w:sz w:val="20"/>
                <w:szCs w:val="20"/>
              </w:rPr>
            </w:pPr>
            <w:r>
              <w:rPr>
                <w:sz w:val="20"/>
                <w:szCs w:val="20"/>
              </w:rPr>
              <w:t>121 (82)</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25–29</w:t>
            </w:r>
          </w:p>
        </w:tc>
        <w:tc>
          <w:tcPr>
            <w:tcW w:w="981" w:type="dxa"/>
            <w:vAlign w:val="center"/>
          </w:tcPr>
          <w:p w:rsidR="00000000" w:rsidRDefault="00000000">
            <w:pPr>
              <w:spacing w:before="40" w:after="40"/>
              <w:ind w:left="113"/>
              <w:rPr>
                <w:sz w:val="20"/>
                <w:szCs w:val="20"/>
              </w:rPr>
            </w:pPr>
            <w:r>
              <w:rPr>
                <w:sz w:val="20"/>
                <w:szCs w:val="20"/>
              </w:rPr>
              <w:t>32 (32)</w:t>
            </w:r>
          </w:p>
        </w:tc>
        <w:tc>
          <w:tcPr>
            <w:tcW w:w="1252" w:type="dxa"/>
            <w:vAlign w:val="center"/>
          </w:tcPr>
          <w:p w:rsidR="00000000" w:rsidRDefault="00000000">
            <w:pPr>
              <w:spacing w:before="40" w:after="40"/>
              <w:ind w:left="113"/>
              <w:rPr>
                <w:sz w:val="20"/>
                <w:szCs w:val="20"/>
              </w:rPr>
            </w:pPr>
            <w:r>
              <w:rPr>
                <w:sz w:val="20"/>
                <w:szCs w:val="20"/>
              </w:rPr>
              <w:t>26 (23)</w:t>
            </w:r>
          </w:p>
        </w:tc>
        <w:tc>
          <w:tcPr>
            <w:tcW w:w="988" w:type="dxa"/>
            <w:vAlign w:val="center"/>
          </w:tcPr>
          <w:p w:rsidR="00000000" w:rsidRDefault="00000000">
            <w:pPr>
              <w:spacing w:before="40" w:after="40"/>
              <w:ind w:left="113"/>
              <w:rPr>
                <w:sz w:val="20"/>
                <w:szCs w:val="20"/>
              </w:rPr>
            </w:pPr>
            <w:r>
              <w:rPr>
                <w:sz w:val="20"/>
                <w:szCs w:val="20"/>
              </w:rPr>
              <w:t>56 (44)</w:t>
            </w:r>
          </w:p>
        </w:tc>
        <w:tc>
          <w:tcPr>
            <w:tcW w:w="986" w:type="dxa"/>
            <w:vAlign w:val="center"/>
          </w:tcPr>
          <w:p w:rsidR="00000000" w:rsidRDefault="00000000">
            <w:pPr>
              <w:spacing w:before="40" w:after="40"/>
              <w:ind w:left="113"/>
              <w:rPr>
                <w:sz w:val="20"/>
                <w:szCs w:val="20"/>
              </w:rPr>
            </w:pPr>
            <w:r>
              <w:rPr>
                <w:sz w:val="20"/>
                <w:szCs w:val="20"/>
              </w:rPr>
              <w:t>92 (77)</w:t>
            </w:r>
          </w:p>
        </w:tc>
        <w:tc>
          <w:tcPr>
            <w:tcW w:w="992" w:type="dxa"/>
            <w:vAlign w:val="center"/>
          </w:tcPr>
          <w:p w:rsidR="00000000" w:rsidRDefault="00000000">
            <w:pPr>
              <w:spacing w:before="40" w:after="40"/>
              <w:ind w:left="113"/>
              <w:rPr>
                <w:sz w:val="20"/>
                <w:szCs w:val="20"/>
              </w:rPr>
            </w:pPr>
            <w:r>
              <w:rPr>
                <w:sz w:val="20"/>
                <w:szCs w:val="20"/>
              </w:rPr>
              <w:t>24 (19)</w:t>
            </w:r>
          </w:p>
        </w:tc>
        <w:tc>
          <w:tcPr>
            <w:tcW w:w="991" w:type="dxa"/>
            <w:vAlign w:val="center"/>
          </w:tcPr>
          <w:p w:rsidR="00000000" w:rsidRDefault="00000000">
            <w:pPr>
              <w:spacing w:before="40" w:after="40"/>
              <w:ind w:left="113"/>
              <w:rPr>
                <w:sz w:val="20"/>
                <w:szCs w:val="20"/>
              </w:rPr>
            </w:pPr>
            <w:r>
              <w:rPr>
                <w:sz w:val="20"/>
                <w:szCs w:val="20"/>
              </w:rPr>
              <w:t>16 (9)</w:t>
            </w:r>
          </w:p>
        </w:tc>
        <w:tc>
          <w:tcPr>
            <w:tcW w:w="989" w:type="dxa"/>
            <w:vAlign w:val="center"/>
          </w:tcPr>
          <w:p w:rsidR="00000000" w:rsidRDefault="00000000">
            <w:pPr>
              <w:spacing w:before="40" w:after="40"/>
              <w:ind w:left="113"/>
              <w:rPr>
                <w:sz w:val="20"/>
                <w:szCs w:val="20"/>
              </w:rPr>
            </w:pPr>
            <w:r>
              <w:rPr>
                <w:sz w:val="20"/>
                <w:szCs w:val="20"/>
              </w:rPr>
              <w:t>40 (35)</w:t>
            </w:r>
          </w:p>
        </w:tc>
        <w:tc>
          <w:tcPr>
            <w:tcW w:w="1232" w:type="dxa"/>
            <w:vAlign w:val="center"/>
          </w:tcPr>
          <w:p w:rsidR="00000000" w:rsidRDefault="00000000">
            <w:pPr>
              <w:spacing w:before="40" w:after="40"/>
              <w:ind w:left="113"/>
              <w:rPr>
                <w:sz w:val="20"/>
                <w:szCs w:val="20"/>
              </w:rPr>
            </w:pPr>
            <w:r>
              <w:rPr>
                <w:sz w:val="20"/>
                <w:szCs w:val="20"/>
              </w:rPr>
              <w:t>77 (65)</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15–29</w:t>
            </w:r>
          </w:p>
        </w:tc>
        <w:tc>
          <w:tcPr>
            <w:tcW w:w="981" w:type="dxa"/>
            <w:vAlign w:val="center"/>
          </w:tcPr>
          <w:p w:rsidR="00000000" w:rsidRDefault="00000000">
            <w:pPr>
              <w:spacing w:before="40" w:after="40"/>
              <w:ind w:left="113"/>
              <w:rPr>
                <w:sz w:val="20"/>
                <w:szCs w:val="20"/>
              </w:rPr>
            </w:pPr>
            <w:r>
              <w:rPr>
                <w:sz w:val="20"/>
                <w:szCs w:val="20"/>
              </w:rPr>
              <w:t>51 (48)</w:t>
            </w:r>
          </w:p>
        </w:tc>
        <w:tc>
          <w:tcPr>
            <w:tcW w:w="1252" w:type="dxa"/>
            <w:vAlign w:val="center"/>
          </w:tcPr>
          <w:p w:rsidR="00000000" w:rsidRDefault="00000000">
            <w:pPr>
              <w:spacing w:before="40" w:after="40"/>
              <w:ind w:left="113"/>
              <w:rPr>
                <w:sz w:val="20"/>
                <w:szCs w:val="20"/>
              </w:rPr>
            </w:pPr>
            <w:r>
              <w:rPr>
                <w:sz w:val="20"/>
                <w:szCs w:val="20"/>
              </w:rPr>
              <w:t>43 (35)</w:t>
            </w:r>
          </w:p>
        </w:tc>
        <w:tc>
          <w:tcPr>
            <w:tcW w:w="988" w:type="dxa"/>
            <w:vAlign w:val="center"/>
          </w:tcPr>
          <w:p w:rsidR="00000000" w:rsidRDefault="00000000">
            <w:pPr>
              <w:spacing w:before="40" w:after="40"/>
              <w:ind w:left="113"/>
              <w:rPr>
                <w:sz w:val="20"/>
                <w:szCs w:val="20"/>
              </w:rPr>
            </w:pPr>
            <w:r>
              <w:rPr>
                <w:sz w:val="20"/>
                <w:szCs w:val="20"/>
              </w:rPr>
              <w:t>73 (58)</w:t>
            </w:r>
          </w:p>
        </w:tc>
        <w:tc>
          <w:tcPr>
            <w:tcW w:w="986" w:type="dxa"/>
            <w:vAlign w:val="center"/>
          </w:tcPr>
          <w:p w:rsidR="00000000" w:rsidRDefault="00000000">
            <w:pPr>
              <w:spacing w:before="40" w:after="40"/>
              <w:ind w:left="113"/>
              <w:rPr>
                <w:sz w:val="20"/>
                <w:szCs w:val="20"/>
              </w:rPr>
            </w:pPr>
            <w:r>
              <w:rPr>
                <w:sz w:val="20"/>
                <w:szCs w:val="20"/>
              </w:rPr>
              <w:t>111 (90)</w:t>
            </w:r>
          </w:p>
        </w:tc>
        <w:tc>
          <w:tcPr>
            <w:tcW w:w="992" w:type="dxa"/>
            <w:vAlign w:val="center"/>
          </w:tcPr>
          <w:p w:rsidR="00000000" w:rsidRDefault="00000000">
            <w:pPr>
              <w:spacing w:before="40" w:after="40"/>
              <w:ind w:left="113"/>
              <w:rPr>
                <w:sz w:val="20"/>
                <w:szCs w:val="20"/>
              </w:rPr>
            </w:pPr>
            <w:r>
              <w:rPr>
                <w:sz w:val="20"/>
                <w:szCs w:val="20"/>
              </w:rPr>
              <w:t>37 (32)</w:t>
            </w:r>
          </w:p>
        </w:tc>
        <w:tc>
          <w:tcPr>
            <w:tcW w:w="991" w:type="dxa"/>
            <w:vAlign w:val="center"/>
          </w:tcPr>
          <w:p w:rsidR="00000000" w:rsidRDefault="00000000">
            <w:pPr>
              <w:spacing w:before="40" w:after="40"/>
              <w:ind w:left="113"/>
              <w:rPr>
                <w:sz w:val="20"/>
                <w:szCs w:val="20"/>
              </w:rPr>
            </w:pPr>
            <w:r>
              <w:rPr>
                <w:sz w:val="20"/>
                <w:szCs w:val="20"/>
              </w:rPr>
              <w:t>27 (19)</w:t>
            </w:r>
          </w:p>
        </w:tc>
        <w:tc>
          <w:tcPr>
            <w:tcW w:w="989" w:type="dxa"/>
            <w:vAlign w:val="center"/>
          </w:tcPr>
          <w:p w:rsidR="00000000" w:rsidRDefault="00000000">
            <w:pPr>
              <w:spacing w:before="40" w:after="40"/>
              <w:ind w:left="113"/>
              <w:rPr>
                <w:sz w:val="20"/>
                <w:szCs w:val="20"/>
              </w:rPr>
            </w:pPr>
            <w:r>
              <w:rPr>
                <w:sz w:val="20"/>
                <w:szCs w:val="20"/>
              </w:rPr>
              <w:t>68 (48)</w:t>
            </w:r>
          </w:p>
        </w:tc>
        <w:tc>
          <w:tcPr>
            <w:tcW w:w="1232" w:type="dxa"/>
            <w:vAlign w:val="center"/>
          </w:tcPr>
          <w:p w:rsidR="00000000" w:rsidRDefault="00000000">
            <w:pPr>
              <w:spacing w:before="40" w:after="40"/>
              <w:ind w:left="113"/>
              <w:rPr>
                <w:sz w:val="20"/>
                <w:szCs w:val="20"/>
              </w:rPr>
            </w:pPr>
            <w:r>
              <w:rPr>
                <w:sz w:val="20"/>
                <w:szCs w:val="20"/>
              </w:rPr>
              <w:t>106 (76)</w:t>
            </w:r>
          </w:p>
        </w:tc>
      </w:tr>
      <w:tr w:rsidR="00000000">
        <w:tblPrEx>
          <w:tblCellMar>
            <w:top w:w="0" w:type="dxa"/>
            <w:bottom w:w="0" w:type="dxa"/>
          </w:tblCellMar>
        </w:tblPrEx>
        <w:trPr>
          <w:cantSplit/>
        </w:trPr>
        <w:tc>
          <w:tcPr>
            <w:tcW w:w="9639" w:type="dxa"/>
            <w:gridSpan w:val="9"/>
            <w:vAlign w:val="center"/>
          </w:tcPr>
          <w:p w:rsidR="00000000" w:rsidRDefault="00000000">
            <w:pPr>
              <w:spacing w:before="40" w:after="40"/>
              <w:rPr>
                <w:sz w:val="20"/>
                <w:szCs w:val="20"/>
              </w:rPr>
            </w:pPr>
            <w:r>
              <w:rPr>
                <w:sz w:val="20"/>
                <w:szCs w:val="20"/>
              </w:rPr>
              <w:t>Городские районы</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15–19</w:t>
            </w:r>
          </w:p>
        </w:tc>
        <w:tc>
          <w:tcPr>
            <w:tcW w:w="981" w:type="dxa"/>
            <w:vAlign w:val="center"/>
          </w:tcPr>
          <w:p w:rsidR="00000000" w:rsidRDefault="00000000">
            <w:pPr>
              <w:spacing w:before="40" w:after="40"/>
              <w:ind w:left="113"/>
              <w:rPr>
                <w:sz w:val="20"/>
                <w:szCs w:val="20"/>
              </w:rPr>
            </w:pPr>
            <w:r>
              <w:rPr>
                <w:sz w:val="20"/>
                <w:szCs w:val="20"/>
              </w:rPr>
              <w:t>154 (134)</w:t>
            </w:r>
          </w:p>
        </w:tc>
        <w:tc>
          <w:tcPr>
            <w:tcW w:w="1252" w:type="dxa"/>
            <w:vAlign w:val="center"/>
          </w:tcPr>
          <w:p w:rsidR="00000000" w:rsidRDefault="00000000">
            <w:pPr>
              <w:spacing w:before="40" w:after="40"/>
              <w:ind w:left="113"/>
              <w:rPr>
                <w:sz w:val="20"/>
                <w:szCs w:val="20"/>
              </w:rPr>
            </w:pPr>
            <w:r>
              <w:rPr>
                <w:sz w:val="20"/>
                <w:szCs w:val="20"/>
              </w:rPr>
              <w:t>142 (119)</w:t>
            </w:r>
          </w:p>
        </w:tc>
        <w:tc>
          <w:tcPr>
            <w:tcW w:w="988" w:type="dxa"/>
            <w:vAlign w:val="center"/>
          </w:tcPr>
          <w:p w:rsidR="00000000" w:rsidRDefault="00000000">
            <w:pPr>
              <w:spacing w:before="40" w:after="40"/>
              <w:ind w:left="113"/>
              <w:rPr>
                <w:sz w:val="20"/>
                <w:szCs w:val="20"/>
              </w:rPr>
            </w:pPr>
            <w:r>
              <w:rPr>
                <w:sz w:val="20"/>
                <w:szCs w:val="20"/>
              </w:rPr>
              <w:t>162 (134)</w:t>
            </w:r>
          </w:p>
        </w:tc>
        <w:tc>
          <w:tcPr>
            <w:tcW w:w="986" w:type="dxa"/>
            <w:vAlign w:val="center"/>
          </w:tcPr>
          <w:p w:rsidR="00000000" w:rsidRDefault="00000000">
            <w:pPr>
              <w:spacing w:before="40" w:after="40"/>
              <w:ind w:left="113"/>
              <w:rPr>
                <w:sz w:val="20"/>
                <w:szCs w:val="20"/>
              </w:rPr>
            </w:pPr>
            <w:r>
              <w:rPr>
                <w:sz w:val="20"/>
                <w:szCs w:val="20"/>
              </w:rPr>
              <w:t>190 (162)</w:t>
            </w:r>
          </w:p>
        </w:tc>
        <w:tc>
          <w:tcPr>
            <w:tcW w:w="992" w:type="dxa"/>
            <w:vAlign w:val="center"/>
          </w:tcPr>
          <w:p w:rsidR="00000000" w:rsidRDefault="00000000">
            <w:pPr>
              <w:spacing w:before="40" w:after="40"/>
              <w:ind w:left="113"/>
              <w:rPr>
                <w:sz w:val="20"/>
                <w:szCs w:val="20"/>
              </w:rPr>
            </w:pPr>
            <w:r>
              <w:rPr>
                <w:sz w:val="20"/>
                <w:szCs w:val="20"/>
              </w:rPr>
              <w:t>155 (168)</w:t>
            </w:r>
          </w:p>
        </w:tc>
        <w:tc>
          <w:tcPr>
            <w:tcW w:w="991" w:type="dxa"/>
            <w:vAlign w:val="center"/>
          </w:tcPr>
          <w:p w:rsidR="00000000" w:rsidRDefault="00000000">
            <w:pPr>
              <w:spacing w:before="40" w:after="40"/>
              <w:ind w:left="113"/>
              <w:rPr>
                <w:sz w:val="20"/>
                <w:szCs w:val="20"/>
              </w:rPr>
            </w:pPr>
            <w:r>
              <w:rPr>
                <w:sz w:val="20"/>
                <w:szCs w:val="20"/>
              </w:rPr>
              <w:t>132 (128)</w:t>
            </w:r>
          </w:p>
        </w:tc>
        <w:tc>
          <w:tcPr>
            <w:tcW w:w="989" w:type="dxa"/>
            <w:vAlign w:val="center"/>
          </w:tcPr>
          <w:p w:rsidR="00000000" w:rsidRDefault="00000000">
            <w:pPr>
              <w:spacing w:before="40" w:after="40"/>
              <w:ind w:left="113"/>
              <w:rPr>
                <w:sz w:val="20"/>
                <w:szCs w:val="20"/>
              </w:rPr>
            </w:pPr>
            <w:r>
              <w:rPr>
                <w:sz w:val="20"/>
                <w:szCs w:val="20"/>
              </w:rPr>
              <w:t>153 (157)</w:t>
            </w:r>
          </w:p>
        </w:tc>
        <w:tc>
          <w:tcPr>
            <w:tcW w:w="1232" w:type="dxa"/>
            <w:vAlign w:val="center"/>
          </w:tcPr>
          <w:p w:rsidR="00000000" w:rsidRDefault="00000000">
            <w:pPr>
              <w:spacing w:before="40" w:after="40"/>
              <w:ind w:left="113"/>
              <w:rPr>
                <w:sz w:val="20"/>
                <w:szCs w:val="20"/>
              </w:rPr>
            </w:pPr>
            <w:r>
              <w:rPr>
                <w:sz w:val="20"/>
                <w:szCs w:val="20"/>
              </w:rPr>
              <w:t>180 (186)</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20–24</w:t>
            </w:r>
          </w:p>
        </w:tc>
        <w:tc>
          <w:tcPr>
            <w:tcW w:w="981" w:type="dxa"/>
            <w:vAlign w:val="center"/>
          </w:tcPr>
          <w:p w:rsidR="00000000" w:rsidRDefault="00000000">
            <w:pPr>
              <w:spacing w:before="40" w:after="40"/>
              <w:ind w:left="113"/>
              <w:rPr>
                <w:sz w:val="20"/>
                <w:szCs w:val="20"/>
              </w:rPr>
            </w:pPr>
            <w:r>
              <w:rPr>
                <w:sz w:val="20"/>
                <w:szCs w:val="20"/>
              </w:rPr>
              <w:t>139 (139)</w:t>
            </w:r>
          </w:p>
        </w:tc>
        <w:tc>
          <w:tcPr>
            <w:tcW w:w="1252" w:type="dxa"/>
            <w:vAlign w:val="center"/>
          </w:tcPr>
          <w:p w:rsidR="00000000" w:rsidRDefault="00000000">
            <w:pPr>
              <w:spacing w:before="40" w:after="40"/>
              <w:ind w:left="113"/>
              <w:rPr>
                <w:sz w:val="20"/>
                <w:szCs w:val="20"/>
              </w:rPr>
            </w:pPr>
            <w:r>
              <w:rPr>
                <w:sz w:val="20"/>
                <w:szCs w:val="20"/>
              </w:rPr>
              <w:t>128 (126)</w:t>
            </w:r>
          </w:p>
        </w:tc>
        <w:tc>
          <w:tcPr>
            <w:tcW w:w="988" w:type="dxa"/>
            <w:vAlign w:val="center"/>
          </w:tcPr>
          <w:p w:rsidR="00000000" w:rsidRDefault="00000000">
            <w:pPr>
              <w:spacing w:before="40" w:after="40"/>
              <w:ind w:left="113"/>
              <w:rPr>
                <w:sz w:val="20"/>
                <w:szCs w:val="20"/>
              </w:rPr>
            </w:pPr>
            <w:r>
              <w:rPr>
                <w:sz w:val="20"/>
                <w:szCs w:val="20"/>
              </w:rPr>
              <w:t>146 (146)</w:t>
            </w:r>
          </w:p>
        </w:tc>
        <w:tc>
          <w:tcPr>
            <w:tcW w:w="986" w:type="dxa"/>
            <w:vAlign w:val="center"/>
          </w:tcPr>
          <w:p w:rsidR="00000000" w:rsidRDefault="00000000">
            <w:pPr>
              <w:spacing w:before="40" w:after="40"/>
              <w:ind w:left="113"/>
              <w:rPr>
                <w:sz w:val="20"/>
                <w:szCs w:val="20"/>
              </w:rPr>
            </w:pPr>
            <w:r>
              <w:rPr>
                <w:sz w:val="20"/>
                <w:szCs w:val="20"/>
              </w:rPr>
              <w:t>171 (170)</w:t>
            </w:r>
          </w:p>
        </w:tc>
        <w:tc>
          <w:tcPr>
            <w:tcW w:w="992" w:type="dxa"/>
            <w:vAlign w:val="center"/>
          </w:tcPr>
          <w:p w:rsidR="00000000" w:rsidRDefault="00000000">
            <w:pPr>
              <w:spacing w:before="40" w:after="40"/>
              <w:ind w:left="113"/>
              <w:rPr>
                <w:sz w:val="20"/>
                <w:szCs w:val="20"/>
              </w:rPr>
            </w:pPr>
            <w:r>
              <w:rPr>
                <w:sz w:val="20"/>
                <w:szCs w:val="20"/>
              </w:rPr>
              <w:t>226 (277)</w:t>
            </w:r>
          </w:p>
        </w:tc>
        <w:tc>
          <w:tcPr>
            <w:tcW w:w="991" w:type="dxa"/>
            <w:vAlign w:val="center"/>
          </w:tcPr>
          <w:p w:rsidR="00000000" w:rsidRDefault="00000000">
            <w:pPr>
              <w:spacing w:before="40" w:after="40"/>
              <w:ind w:left="113"/>
              <w:rPr>
                <w:sz w:val="20"/>
                <w:szCs w:val="20"/>
              </w:rPr>
            </w:pPr>
            <w:r>
              <w:rPr>
                <w:sz w:val="20"/>
                <w:szCs w:val="20"/>
              </w:rPr>
              <w:t>194 (217)</w:t>
            </w:r>
          </w:p>
        </w:tc>
        <w:tc>
          <w:tcPr>
            <w:tcW w:w="989" w:type="dxa"/>
            <w:vAlign w:val="center"/>
          </w:tcPr>
          <w:p w:rsidR="00000000" w:rsidRDefault="00000000">
            <w:pPr>
              <w:spacing w:before="40" w:after="40"/>
              <w:ind w:left="113"/>
              <w:rPr>
                <w:sz w:val="20"/>
                <w:szCs w:val="20"/>
              </w:rPr>
            </w:pPr>
            <w:r>
              <w:rPr>
                <w:sz w:val="20"/>
                <w:szCs w:val="20"/>
              </w:rPr>
              <w:t>231 (258)</w:t>
            </w:r>
          </w:p>
        </w:tc>
        <w:tc>
          <w:tcPr>
            <w:tcW w:w="1232" w:type="dxa"/>
            <w:vAlign w:val="center"/>
          </w:tcPr>
          <w:p w:rsidR="00000000" w:rsidRDefault="00000000">
            <w:pPr>
              <w:spacing w:before="40" w:after="40"/>
              <w:ind w:left="113"/>
              <w:rPr>
                <w:sz w:val="20"/>
                <w:szCs w:val="20"/>
              </w:rPr>
            </w:pPr>
            <w:r>
              <w:rPr>
                <w:sz w:val="20"/>
                <w:szCs w:val="20"/>
              </w:rPr>
              <w:t>259 (285)</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25–29</w:t>
            </w:r>
          </w:p>
        </w:tc>
        <w:tc>
          <w:tcPr>
            <w:tcW w:w="981" w:type="dxa"/>
            <w:vAlign w:val="center"/>
          </w:tcPr>
          <w:p w:rsidR="00000000" w:rsidRDefault="00000000">
            <w:pPr>
              <w:spacing w:before="40" w:after="40"/>
              <w:ind w:left="113"/>
              <w:rPr>
                <w:sz w:val="20"/>
                <w:szCs w:val="20"/>
              </w:rPr>
            </w:pPr>
            <w:r>
              <w:rPr>
                <w:sz w:val="20"/>
                <w:szCs w:val="20"/>
              </w:rPr>
              <w:t>75 (67)</w:t>
            </w:r>
          </w:p>
        </w:tc>
        <w:tc>
          <w:tcPr>
            <w:tcW w:w="1252" w:type="dxa"/>
            <w:vAlign w:val="center"/>
          </w:tcPr>
          <w:p w:rsidR="00000000" w:rsidRDefault="00000000">
            <w:pPr>
              <w:spacing w:before="40" w:after="40"/>
              <w:ind w:left="113"/>
              <w:rPr>
                <w:sz w:val="20"/>
                <w:szCs w:val="20"/>
              </w:rPr>
            </w:pPr>
            <w:r>
              <w:rPr>
                <w:sz w:val="20"/>
                <w:szCs w:val="20"/>
              </w:rPr>
              <w:t>72 (57)</w:t>
            </w:r>
          </w:p>
        </w:tc>
        <w:tc>
          <w:tcPr>
            <w:tcW w:w="988" w:type="dxa"/>
            <w:vAlign w:val="center"/>
          </w:tcPr>
          <w:p w:rsidR="00000000" w:rsidRDefault="00000000">
            <w:pPr>
              <w:spacing w:before="40" w:after="40"/>
              <w:ind w:left="113"/>
              <w:rPr>
                <w:sz w:val="20"/>
                <w:szCs w:val="20"/>
              </w:rPr>
            </w:pPr>
            <w:r>
              <w:rPr>
                <w:sz w:val="20"/>
                <w:szCs w:val="20"/>
              </w:rPr>
              <w:t>85 (73)</w:t>
            </w:r>
          </w:p>
        </w:tc>
        <w:tc>
          <w:tcPr>
            <w:tcW w:w="986" w:type="dxa"/>
            <w:vAlign w:val="center"/>
          </w:tcPr>
          <w:p w:rsidR="00000000" w:rsidRDefault="00000000">
            <w:pPr>
              <w:spacing w:before="40" w:after="40"/>
              <w:ind w:left="113"/>
              <w:rPr>
                <w:sz w:val="20"/>
                <w:szCs w:val="20"/>
              </w:rPr>
            </w:pPr>
            <w:r>
              <w:rPr>
                <w:sz w:val="20"/>
                <w:szCs w:val="20"/>
              </w:rPr>
              <w:t>103 (93)</w:t>
            </w:r>
          </w:p>
        </w:tc>
        <w:tc>
          <w:tcPr>
            <w:tcW w:w="992" w:type="dxa"/>
            <w:vAlign w:val="center"/>
          </w:tcPr>
          <w:p w:rsidR="00000000" w:rsidRDefault="00000000">
            <w:pPr>
              <w:spacing w:before="40" w:after="40"/>
              <w:ind w:left="113"/>
              <w:rPr>
                <w:sz w:val="20"/>
                <w:szCs w:val="20"/>
              </w:rPr>
            </w:pPr>
            <w:r>
              <w:rPr>
                <w:sz w:val="20"/>
                <w:szCs w:val="20"/>
              </w:rPr>
              <w:t>115 (129)</w:t>
            </w:r>
          </w:p>
        </w:tc>
        <w:tc>
          <w:tcPr>
            <w:tcW w:w="991" w:type="dxa"/>
            <w:vAlign w:val="center"/>
          </w:tcPr>
          <w:p w:rsidR="00000000" w:rsidRDefault="00000000">
            <w:pPr>
              <w:spacing w:before="40" w:after="40"/>
              <w:ind w:left="113"/>
              <w:rPr>
                <w:sz w:val="20"/>
                <w:szCs w:val="20"/>
              </w:rPr>
            </w:pPr>
            <w:r>
              <w:rPr>
                <w:sz w:val="20"/>
                <w:szCs w:val="20"/>
              </w:rPr>
              <w:t>93 (97)</w:t>
            </w:r>
          </w:p>
        </w:tc>
        <w:tc>
          <w:tcPr>
            <w:tcW w:w="989" w:type="dxa"/>
            <w:vAlign w:val="center"/>
          </w:tcPr>
          <w:p w:rsidR="00000000" w:rsidRDefault="00000000">
            <w:pPr>
              <w:spacing w:before="40" w:after="40"/>
              <w:ind w:left="113"/>
              <w:rPr>
                <w:sz w:val="20"/>
                <w:szCs w:val="20"/>
              </w:rPr>
            </w:pPr>
            <w:r>
              <w:rPr>
                <w:sz w:val="20"/>
                <w:szCs w:val="20"/>
              </w:rPr>
              <w:t>111 (129)</w:t>
            </w:r>
          </w:p>
        </w:tc>
        <w:tc>
          <w:tcPr>
            <w:tcW w:w="1232" w:type="dxa"/>
            <w:vAlign w:val="center"/>
          </w:tcPr>
          <w:p w:rsidR="00000000" w:rsidRDefault="00000000">
            <w:pPr>
              <w:spacing w:before="40" w:after="40"/>
              <w:ind w:left="113"/>
              <w:rPr>
                <w:sz w:val="20"/>
                <w:szCs w:val="20"/>
              </w:rPr>
            </w:pPr>
            <w:r>
              <w:rPr>
                <w:sz w:val="20"/>
                <w:szCs w:val="20"/>
              </w:rPr>
              <w:t>131 (155)</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15–29</w:t>
            </w:r>
          </w:p>
        </w:tc>
        <w:tc>
          <w:tcPr>
            <w:tcW w:w="981" w:type="dxa"/>
            <w:vAlign w:val="center"/>
          </w:tcPr>
          <w:p w:rsidR="00000000" w:rsidRDefault="00000000">
            <w:pPr>
              <w:spacing w:before="40" w:after="40"/>
              <w:ind w:left="113"/>
              <w:rPr>
                <w:sz w:val="20"/>
                <w:szCs w:val="20"/>
              </w:rPr>
            </w:pPr>
            <w:r>
              <w:rPr>
                <w:sz w:val="20"/>
                <w:szCs w:val="20"/>
              </w:rPr>
              <w:t>115 (108)</w:t>
            </w:r>
          </w:p>
        </w:tc>
        <w:tc>
          <w:tcPr>
            <w:tcW w:w="1252" w:type="dxa"/>
            <w:vAlign w:val="center"/>
          </w:tcPr>
          <w:p w:rsidR="00000000" w:rsidRDefault="00000000">
            <w:pPr>
              <w:spacing w:before="40" w:after="40"/>
              <w:ind w:left="113"/>
              <w:rPr>
                <w:sz w:val="20"/>
                <w:szCs w:val="20"/>
              </w:rPr>
            </w:pPr>
            <w:r>
              <w:rPr>
                <w:sz w:val="20"/>
                <w:szCs w:val="20"/>
              </w:rPr>
              <w:t>108 (96)</w:t>
            </w:r>
          </w:p>
        </w:tc>
        <w:tc>
          <w:tcPr>
            <w:tcW w:w="988" w:type="dxa"/>
            <w:vAlign w:val="center"/>
          </w:tcPr>
          <w:p w:rsidR="00000000" w:rsidRDefault="00000000">
            <w:pPr>
              <w:spacing w:before="40" w:after="40"/>
              <w:ind w:left="113"/>
              <w:rPr>
                <w:sz w:val="20"/>
                <w:szCs w:val="20"/>
              </w:rPr>
            </w:pPr>
            <w:r>
              <w:rPr>
                <w:sz w:val="20"/>
                <w:szCs w:val="20"/>
              </w:rPr>
              <w:t>124 (114)</w:t>
            </w:r>
          </w:p>
        </w:tc>
        <w:tc>
          <w:tcPr>
            <w:tcW w:w="986" w:type="dxa"/>
            <w:vAlign w:val="center"/>
          </w:tcPr>
          <w:p w:rsidR="00000000" w:rsidRDefault="00000000">
            <w:pPr>
              <w:spacing w:before="40" w:after="40"/>
              <w:ind w:left="113"/>
              <w:rPr>
                <w:sz w:val="20"/>
                <w:szCs w:val="20"/>
              </w:rPr>
            </w:pPr>
            <w:r>
              <w:rPr>
                <w:sz w:val="20"/>
                <w:szCs w:val="20"/>
              </w:rPr>
              <w:t>147 (137)</w:t>
            </w:r>
          </w:p>
        </w:tc>
        <w:tc>
          <w:tcPr>
            <w:tcW w:w="992" w:type="dxa"/>
            <w:vAlign w:val="center"/>
          </w:tcPr>
          <w:p w:rsidR="00000000" w:rsidRDefault="00000000">
            <w:pPr>
              <w:spacing w:before="40" w:after="40"/>
              <w:ind w:left="113"/>
              <w:rPr>
                <w:sz w:val="20"/>
                <w:szCs w:val="20"/>
              </w:rPr>
            </w:pPr>
            <w:r>
              <w:rPr>
                <w:sz w:val="20"/>
                <w:szCs w:val="20"/>
              </w:rPr>
              <w:t>166 (194)</w:t>
            </w:r>
          </w:p>
        </w:tc>
        <w:tc>
          <w:tcPr>
            <w:tcW w:w="991" w:type="dxa"/>
            <w:vAlign w:val="center"/>
          </w:tcPr>
          <w:p w:rsidR="00000000" w:rsidRDefault="00000000">
            <w:pPr>
              <w:spacing w:before="40" w:after="40"/>
              <w:ind w:left="113"/>
              <w:rPr>
                <w:sz w:val="20"/>
                <w:szCs w:val="20"/>
              </w:rPr>
            </w:pPr>
            <w:r>
              <w:rPr>
                <w:sz w:val="20"/>
                <w:szCs w:val="20"/>
              </w:rPr>
              <w:t>139 (150)</w:t>
            </w:r>
          </w:p>
        </w:tc>
        <w:tc>
          <w:tcPr>
            <w:tcW w:w="989" w:type="dxa"/>
            <w:vAlign w:val="center"/>
          </w:tcPr>
          <w:p w:rsidR="00000000" w:rsidRDefault="00000000">
            <w:pPr>
              <w:spacing w:before="40" w:after="40"/>
              <w:ind w:left="113"/>
              <w:rPr>
                <w:sz w:val="20"/>
                <w:szCs w:val="20"/>
              </w:rPr>
            </w:pPr>
            <w:r>
              <w:rPr>
                <w:sz w:val="20"/>
                <w:szCs w:val="20"/>
              </w:rPr>
              <w:t>166 (185)</w:t>
            </w:r>
          </w:p>
        </w:tc>
        <w:tc>
          <w:tcPr>
            <w:tcW w:w="1232" w:type="dxa"/>
            <w:vAlign w:val="center"/>
          </w:tcPr>
          <w:p w:rsidR="00000000" w:rsidRDefault="00000000">
            <w:pPr>
              <w:spacing w:before="40" w:after="40"/>
              <w:ind w:left="113"/>
              <w:rPr>
                <w:sz w:val="20"/>
                <w:szCs w:val="20"/>
              </w:rPr>
            </w:pPr>
            <w:r>
              <w:rPr>
                <w:sz w:val="20"/>
                <w:szCs w:val="20"/>
              </w:rPr>
              <w:t>191 (212)</w:t>
            </w:r>
          </w:p>
        </w:tc>
      </w:tr>
      <w:tr w:rsidR="00000000">
        <w:tblPrEx>
          <w:tblCellMar>
            <w:top w:w="0" w:type="dxa"/>
            <w:bottom w:w="0" w:type="dxa"/>
          </w:tblCellMar>
        </w:tblPrEx>
        <w:trPr>
          <w:cantSplit/>
        </w:trPr>
        <w:tc>
          <w:tcPr>
            <w:tcW w:w="1228" w:type="dxa"/>
          </w:tcPr>
          <w:p w:rsidR="00000000" w:rsidRDefault="00000000">
            <w:pPr>
              <w:pStyle w:val="112"/>
              <w:spacing w:before="40" w:after="40"/>
              <w:rPr>
                <w:sz w:val="20"/>
              </w:rPr>
            </w:pPr>
            <w:r>
              <w:rPr>
                <w:sz w:val="20"/>
              </w:rPr>
              <w:t>Примечание</w:t>
            </w:r>
          </w:p>
        </w:tc>
        <w:tc>
          <w:tcPr>
            <w:tcW w:w="8411" w:type="dxa"/>
            <w:gridSpan w:val="8"/>
          </w:tcPr>
          <w:p w:rsidR="00000000" w:rsidRDefault="00000000">
            <w:pPr>
              <w:pStyle w:val="112"/>
              <w:spacing w:before="40" w:after="40"/>
              <w:rPr>
                <w:sz w:val="20"/>
              </w:rPr>
            </w:pPr>
            <w:r>
              <w:rPr>
                <w:sz w:val="20"/>
              </w:rPr>
              <w:t>Цифры в скобках означают соответствующие показатели, полученные в ходе 50-го цикла НВО (1993–1994 годы).</w:t>
            </w:r>
          </w:p>
        </w:tc>
      </w:tr>
    </w:tbl>
    <w:p w:rsidR="00000000" w:rsidRDefault="00000000">
      <w:pPr>
        <w:spacing w:before="120"/>
        <w:rPr>
          <w:sz w:val="20"/>
          <w:szCs w:val="20"/>
          <w:lang w:val="en-US"/>
        </w:rPr>
      </w:pPr>
      <w:r>
        <w:rPr>
          <w:b/>
          <w:bCs/>
          <w:sz w:val="20"/>
          <w:szCs w:val="20"/>
        </w:rPr>
        <w:t>Источник</w:t>
      </w:r>
      <w:r>
        <w:rPr>
          <w:b/>
          <w:bCs/>
          <w:sz w:val="20"/>
          <w:szCs w:val="20"/>
          <w:lang w:val="en-US"/>
        </w:rPr>
        <w:t>:</w:t>
      </w:r>
      <w:r>
        <w:rPr>
          <w:sz w:val="20"/>
          <w:szCs w:val="20"/>
          <w:lang w:val="en-US"/>
        </w:rPr>
        <w:t xml:space="preserve"> Table 7.5 of NSS Report Part-I, p. 134.</w:t>
      </w:r>
    </w:p>
    <w:p w:rsidR="00000000" w:rsidRDefault="00000000">
      <w:pPr>
        <w:pStyle w:val="112"/>
        <w:rPr>
          <w:lang w:val="en-US"/>
        </w:rPr>
      </w:pPr>
    </w:p>
    <w:p w:rsidR="00000000" w:rsidRDefault="00000000">
      <w:pPr>
        <w:pStyle w:val="112"/>
        <w:spacing w:before="0"/>
      </w:pPr>
      <w:r>
        <w:t>15.</w:t>
      </w:r>
      <w:r>
        <w:tab/>
        <w:t>В Индии лица в возрасте от 15 до 29 лет, которые считаются молодежью, составляют 25–29% от общей численности населения.  Таблица 6.4 отражает уровни безработицы (на 1000 чел.) среди молодежи по каждому полу в масштабах всей Индии.  В сравнении с остальным населением уровень безработицы среди молодежи выше.  Он также выше среди городской, чем среди сельской молодежи.  Кроме того, по сравнению с молодыми женщинами уровень безработицы среди молодых мужчин выше в сельских районах Индии, но ниже в городских зонах.</w:t>
      </w:r>
    </w:p>
    <w:p w:rsidR="00000000" w:rsidRDefault="00000000">
      <w:pPr>
        <w:rPr>
          <w:sz w:val="24"/>
        </w:rPr>
      </w:pPr>
    </w:p>
    <w:p w:rsidR="00000000" w:rsidRDefault="00000000">
      <w:pPr>
        <w:pStyle w:val="112"/>
        <w:jc w:val="left"/>
        <w:rPr>
          <w:b/>
          <w:bCs/>
        </w:rPr>
      </w:pPr>
      <w:r>
        <w:rPr>
          <w:b/>
          <w:bCs/>
        </w:rPr>
        <w:t xml:space="preserve">Таблица 6.5 </w:t>
      </w:r>
      <w:r>
        <w:rPr>
          <w:b/>
          <w:bCs/>
          <w:szCs w:val="22"/>
        </w:rPr>
        <w:t>–</w:t>
      </w:r>
      <w:r>
        <w:rPr>
          <w:b/>
          <w:bCs/>
        </w:rPr>
        <w:t xml:space="preserve"> Уровни безработицы (обычный статус в основной сфере деятельности) </w:t>
      </w:r>
      <w:r>
        <w:rPr>
          <w:b/>
          <w:bCs/>
        </w:rPr>
        <w:br/>
        <w:t>для лиц с образованием в период с 1993–1994 по 1999–2000 годы</w:t>
      </w:r>
    </w:p>
    <w:p w:rsidR="00000000" w:rsidRDefault="00000000">
      <w:pPr>
        <w:pStyle w:val="112"/>
      </w:pPr>
      <w:r>
        <w:t>Вся Индия</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1886"/>
        <w:gridCol w:w="1875"/>
        <w:gridCol w:w="1877"/>
        <w:gridCol w:w="1877"/>
        <w:gridCol w:w="2124"/>
      </w:tblGrid>
      <w:tr w:rsidR="00000000">
        <w:tblPrEx>
          <w:tblCellMar>
            <w:top w:w="0" w:type="dxa"/>
            <w:bottom w:w="0" w:type="dxa"/>
          </w:tblCellMar>
        </w:tblPrEx>
        <w:trPr>
          <w:cantSplit/>
        </w:trPr>
        <w:tc>
          <w:tcPr>
            <w:tcW w:w="1840" w:type="dxa"/>
            <w:vMerge w:val="restart"/>
            <w:vAlign w:val="center"/>
          </w:tcPr>
          <w:p w:rsidR="00000000" w:rsidRDefault="00000000">
            <w:pPr>
              <w:spacing w:before="40" w:after="40"/>
              <w:jc w:val="center"/>
              <w:rPr>
                <w:sz w:val="20"/>
                <w:szCs w:val="20"/>
              </w:rPr>
            </w:pPr>
            <w:r>
              <w:rPr>
                <w:sz w:val="20"/>
                <w:szCs w:val="20"/>
              </w:rPr>
              <w:t>Сектор</w:t>
            </w:r>
            <w:r>
              <w:rPr>
                <w:sz w:val="20"/>
                <w:szCs w:val="20"/>
              </w:rPr>
              <w:br/>
              <w:t>и цикл</w:t>
            </w:r>
          </w:p>
        </w:tc>
        <w:tc>
          <w:tcPr>
            <w:tcW w:w="3664" w:type="dxa"/>
            <w:gridSpan w:val="2"/>
          </w:tcPr>
          <w:p w:rsidR="00000000" w:rsidRDefault="00000000">
            <w:pPr>
              <w:spacing w:before="40" w:after="40"/>
              <w:jc w:val="center"/>
              <w:rPr>
                <w:sz w:val="20"/>
                <w:szCs w:val="20"/>
              </w:rPr>
            </w:pPr>
            <w:r>
              <w:rPr>
                <w:sz w:val="20"/>
                <w:szCs w:val="20"/>
              </w:rPr>
              <w:t>Среднее образование и выше</w:t>
            </w:r>
          </w:p>
        </w:tc>
        <w:tc>
          <w:tcPr>
            <w:tcW w:w="3907" w:type="dxa"/>
            <w:gridSpan w:val="2"/>
          </w:tcPr>
          <w:p w:rsidR="00000000" w:rsidRDefault="00000000">
            <w:pPr>
              <w:spacing w:before="40" w:after="40"/>
              <w:jc w:val="center"/>
              <w:rPr>
                <w:sz w:val="20"/>
                <w:szCs w:val="20"/>
              </w:rPr>
            </w:pPr>
            <w:r>
              <w:rPr>
                <w:sz w:val="20"/>
                <w:szCs w:val="20"/>
              </w:rPr>
              <w:t>Высшее образование и выше</w:t>
            </w:r>
          </w:p>
        </w:tc>
      </w:tr>
      <w:tr w:rsidR="00000000">
        <w:tblPrEx>
          <w:tblCellMar>
            <w:top w:w="0" w:type="dxa"/>
            <w:bottom w:w="0" w:type="dxa"/>
          </w:tblCellMar>
        </w:tblPrEx>
        <w:trPr>
          <w:cantSplit/>
        </w:trPr>
        <w:tc>
          <w:tcPr>
            <w:tcW w:w="1840" w:type="dxa"/>
            <w:vMerge/>
          </w:tcPr>
          <w:p w:rsidR="00000000" w:rsidRDefault="00000000">
            <w:pPr>
              <w:spacing w:before="40" w:after="40"/>
              <w:jc w:val="center"/>
              <w:rPr>
                <w:sz w:val="20"/>
                <w:szCs w:val="20"/>
              </w:rPr>
            </w:pPr>
          </w:p>
        </w:tc>
        <w:tc>
          <w:tcPr>
            <w:tcW w:w="1831" w:type="dxa"/>
            <w:vAlign w:val="center"/>
          </w:tcPr>
          <w:p w:rsidR="00000000" w:rsidRDefault="00000000">
            <w:pPr>
              <w:spacing w:before="40" w:after="40"/>
              <w:jc w:val="center"/>
              <w:rPr>
                <w:sz w:val="20"/>
                <w:szCs w:val="20"/>
              </w:rPr>
            </w:pPr>
            <w:r>
              <w:rPr>
                <w:sz w:val="20"/>
                <w:szCs w:val="20"/>
              </w:rPr>
              <w:t>Мужчины</w:t>
            </w:r>
          </w:p>
        </w:tc>
        <w:tc>
          <w:tcPr>
            <w:tcW w:w="1833" w:type="dxa"/>
            <w:vAlign w:val="center"/>
          </w:tcPr>
          <w:p w:rsidR="00000000" w:rsidRDefault="00000000">
            <w:pPr>
              <w:spacing w:before="40" w:after="40"/>
              <w:jc w:val="center"/>
              <w:rPr>
                <w:sz w:val="20"/>
                <w:szCs w:val="20"/>
              </w:rPr>
            </w:pPr>
            <w:r>
              <w:rPr>
                <w:sz w:val="20"/>
                <w:szCs w:val="20"/>
              </w:rPr>
              <w:t>Женщины</w:t>
            </w:r>
          </w:p>
        </w:tc>
        <w:tc>
          <w:tcPr>
            <w:tcW w:w="1833" w:type="dxa"/>
            <w:vAlign w:val="center"/>
          </w:tcPr>
          <w:p w:rsidR="00000000" w:rsidRDefault="00000000">
            <w:pPr>
              <w:spacing w:before="40" w:after="40"/>
              <w:jc w:val="center"/>
              <w:rPr>
                <w:sz w:val="20"/>
                <w:szCs w:val="20"/>
              </w:rPr>
            </w:pPr>
            <w:r>
              <w:rPr>
                <w:sz w:val="20"/>
                <w:szCs w:val="20"/>
              </w:rPr>
              <w:t>Мужчины</w:t>
            </w:r>
          </w:p>
        </w:tc>
        <w:tc>
          <w:tcPr>
            <w:tcW w:w="2074" w:type="dxa"/>
            <w:vAlign w:val="center"/>
          </w:tcPr>
          <w:p w:rsidR="00000000" w:rsidRDefault="00000000">
            <w:pPr>
              <w:spacing w:before="40" w:after="40"/>
              <w:jc w:val="center"/>
              <w:rPr>
                <w:sz w:val="20"/>
                <w:szCs w:val="20"/>
              </w:rPr>
            </w:pPr>
            <w:r>
              <w:rPr>
                <w:sz w:val="20"/>
                <w:szCs w:val="20"/>
              </w:rPr>
              <w:t>Женщины</w:t>
            </w:r>
          </w:p>
        </w:tc>
      </w:tr>
      <w:tr w:rsidR="00000000">
        <w:tblPrEx>
          <w:tblCellMar>
            <w:top w:w="0" w:type="dxa"/>
            <w:bottom w:w="0" w:type="dxa"/>
          </w:tblCellMar>
        </w:tblPrEx>
        <w:trPr>
          <w:cantSplit/>
        </w:trPr>
        <w:tc>
          <w:tcPr>
            <w:tcW w:w="1840" w:type="dxa"/>
          </w:tcPr>
          <w:p w:rsidR="00000000" w:rsidRDefault="00000000">
            <w:pPr>
              <w:spacing w:before="40" w:after="40"/>
              <w:jc w:val="center"/>
              <w:rPr>
                <w:sz w:val="20"/>
                <w:szCs w:val="20"/>
              </w:rPr>
            </w:pPr>
            <w:r>
              <w:rPr>
                <w:sz w:val="20"/>
                <w:szCs w:val="20"/>
              </w:rPr>
              <w:t>(1)</w:t>
            </w:r>
          </w:p>
        </w:tc>
        <w:tc>
          <w:tcPr>
            <w:tcW w:w="1831" w:type="dxa"/>
          </w:tcPr>
          <w:p w:rsidR="00000000" w:rsidRDefault="00000000">
            <w:pPr>
              <w:spacing w:before="40" w:after="40"/>
              <w:jc w:val="center"/>
              <w:rPr>
                <w:sz w:val="20"/>
                <w:szCs w:val="20"/>
              </w:rPr>
            </w:pPr>
            <w:r>
              <w:rPr>
                <w:sz w:val="20"/>
                <w:szCs w:val="20"/>
              </w:rPr>
              <w:t>(2)</w:t>
            </w:r>
          </w:p>
        </w:tc>
        <w:tc>
          <w:tcPr>
            <w:tcW w:w="1833" w:type="dxa"/>
          </w:tcPr>
          <w:p w:rsidR="00000000" w:rsidRDefault="00000000">
            <w:pPr>
              <w:spacing w:before="40" w:after="40"/>
              <w:jc w:val="center"/>
              <w:rPr>
                <w:sz w:val="20"/>
                <w:szCs w:val="20"/>
              </w:rPr>
            </w:pPr>
            <w:r>
              <w:rPr>
                <w:sz w:val="20"/>
                <w:szCs w:val="20"/>
              </w:rPr>
              <w:t>(3)</w:t>
            </w:r>
          </w:p>
        </w:tc>
        <w:tc>
          <w:tcPr>
            <w:tcW w:w="1833" w:type="dxa"/>
          </w:tcPr>
          <w:p w:rsidR="00000000" w:rsidRDefault="00000000">
            <w:pPr>
              <w:spacing w:before="40" w:after="40"/>
              <w:jc w:val="center"/>
              <w:rPr>
                <w:sz w:val="20"/>
                <w:szCs w:val="20"/>
              </w:rPr>
            </w:pPr>
            <w:r>
              <w:rPr>
                <w:sz w:val="20"/>
                <w:szCs w:val="20"/>
              </w:rPr>
              <w:t>(4)</w:t>
            </w:r>
          </w:p>
        </w:tc>
        <w:tc>
          <w:tcPr>
            <w:tcW w:w="2074" w:type="dxa"/>
          </w:tcPr>
          <w:p w:rsidR="00000000" w:rsidRDefault="00000000">
            <w:pPr>
              <w:spacing w:before="40" w:after="40"/>
              <w:jc w:val="center"/>
              <w:rPr>
                <w:sz w:val="20"/>
                <w:szCs w:val="20"/>
              </w:rPr>
            </w:pPr>
            <w:r>
              <w:rPr>
                <w:sz w:val="20"/>
                <w:szCs w:val="20"/>
              </w:rPr>
              <w:t>(5)</w:t>
            </w:r>
          </w:p>
        </w:tc>
      </w:tr>
      <w:tr w:rsidR="00000000">
        <w:tblPrEx>
          <w:tblCellMar>
            <w:top w:w="0" w:type="dxa"/>
            <w:bottom w:w="0" w:type="dxa"/>
          </w:tblCellMar>
        </w:tblPrEx>
        <w:trPr>
          <w:cantSplit/>
        </w:trPr>
        <w:tc>
          <w:tcPr>
            <w:tcW w:w="1840" w:type="dxa"/>
          </w:tcPr>
          <w:p w:rsidR="00000000" w:rsidRDefault="00000000">
            <w:pPr>
              <w:pStyle w:val="112"/>
              <w:spacing w:before="40" w:after="40"/>
              <w:rPr>
                <w:sz w:val="20"/>
              </w:rPr>
            </w:pPr>
            <w:r>
              <w:rPr>
                <w:sz w:val="20"/>
              </w:rPr>
              <w:t xml:space="preserve">Сельская местность </w:t>
            </w:r>
          </w:p>
          <w:p w:rsidR="00000000" w:rsidRDefault="00000000">
            <w:pPr>
              <w:pStyle w:val="112"/>
              <w:spacing w:before="40" w:after="40"/>
              <w:rPr>
                <w:sz w:val="20"/>
              </w:rPr>
            </w:pPr>
            <w:r>
              <w:rPr>
                <w:sz w:val="20"/>
              </w:rPr>
              <w:t>50</w:t>
            </w:r>
            <w:r>
              <w:rPr>
                <w:sz w:val="20"/>
              </w:rPr>
              <w:noBreakHyphen/>
              <w:t>й цикл</w:t>
            </w:r>
          </w:p>
        </w:tc>
        <w:tc>
          <w:tcPr>
            <w:tcW w:w="1831" w:type="dxa"/>
            <w:vAlign w:val="center"/>
          </w:tcPr>
          <w:p w:rsidR="00000000" w:rsidRDefault="00000000">
            <w:pPr>
              <w:spacing w:before="40" w:after="40"/>
              <w:jc w:val="center"/>
              <w:rPr>
                <w:sz w:val="20"/>
                <w:szCs w:val="20"/>
              </w:rPr>
            </w:pPr>
          </w:p>
          <w:p w:rsidR="00000000" w:rsidRDefault="00000000">
            <w:pPr>
              <w:spacing w:before="40" w:after="40"/>
              <w:jc w:val="center"/>
              <w:rPr>
                <w:sz w:val="20"/>
                <w:szCs w:val="20"/>
              </w:rPr>
            </w:pPr>
            <w:r>
              <w:rPr>
                <w:sz w:val="20"/>
                <w:szCs w:val="20"/>
              </w:rPr>
              <w:t>89</w:t>
            </w:r>
          </w:p>
        </w:tc>
        <w:tc>
          <w:tcPr>
            <w:tcW w:w="1833" w:type="dxa"/>
            <w:vAlign w:val="center"/>
          </w:tcPr>
          <w:p w:rsidR="00000000" w:rsidRDefault="00000000">
            <w:pPr>
              <w:tabs>
                <w:tab w:val="decimal" w:pos="1021"/>
              </w:tabs>
              <w:spacing w:before="40" w:after="40"/>
              <w:rPr>
                <w:sz w:val="20"/>
                <w:szCs w:val="20"/>
              </w:rPr>
            </w:pPr>
          </w:p>
          <w:p w:rsidR="00000000" w:rsidRDefault="00000000">
            <w:pPr>
              <w:tabs>
                <w:tab w:val="decimal" w:pos="1021"/>
              </w:tabs>
              <w:spacing w:before="40" w:after="40"/>
              <w:rPr>
                <w:sz w:val="20"/>
                <w:szCs w:val="20"/>
              </w:rPr>
            </w:pPr>
            <w:r>
              <w:rPr>
                <w:sz w:val="20"/>
                <w:szCs w:val="20"/>
              </w:rPr>
              <w:t>243</w:t>
            </w:r>
          </w:p>
        </w:tc>
        <w:tc>
          <w:tcPr>
            <w:tcW w:w="1833" w:type="dxa"/>
            <w:vAlign w:val="center"/>
          </w:tcPr>
          <w:p w:rsidR="00000000" w:rsidRDefault="00000000">
            <w:pPr>
              <w:tabs>
                <w:tab w:val="decimal" w:pos="1021"/>
              </w:tabs>
              <w:spacing w:before="40" w:after="40"/>
              <w:rPr>
                <w:sz w:val="20"/>
                <w:szCs w:val="20"/>
              </w:rPr>
            </w:pPr>
          </w:p>
          <w:p w:rsidR="00000000" w:rsidRDefault="00000000">
            <w:pPr>
              <w:tabs>
                <w:tab w:val="decimal" w:pos="1021"/>
              </w:tabs>
              <w:spacing w:before="40" w:after="40"/>
              <w:rPr>
                <w:sz w:val="20"/>
                <w:szCs w:val="20"/>
              </w:rPr>
            </w:pPr>
            <w:r>
              <w:rPr>
                <w:sz w:val="20"/>
                <w:szCs w:val="20"/>
              </w:rPr>
              <w:t>134</w:t>
            </w:r>
          </w:p>
        </w:tc>
        <w:tc>
          <w:tcPr>
            <w:tcW w:w="2074" w:type="dxa"/>
            <w:vAlign w:val="center"/>
          </w:tcPr>
          <w:p w:rsidR="00000000" w:rsidRDefault="00000000">
            <w:pPr>
              <w:tabs>
                <w:tab w:val="decimal" w:pos="1134"/>
              </w:tabs>
              <w:spacing w:before="40" w:after="40"/>
              <w:rPr>
                <w:sz w:val="20"/>
                <w:szCs w:val="20"/>
              </w:rPr>
            </w:pPr>
          </w:p>
          <w:p w:rsidR="00000000" w:rsidRDefault="00000000">
            <w:pPr>
              <w:tabs>
                <w:tab w:val="decimal" w:pos="1134"/>
              </w:tabs>
              <w:spacing w:before="40" w:after="40"/>
              <w:rPr>
                <w:sz w:val="20"/>
                <w:szCs w:val="20"/>
              </w:rPr>
            </w:pPr>
            <w:r>
              <w:rPr>
                <w:sz w:val="20"/>
                <w:szCs w:val="20"/>
              </w:rPr>
              <w:t>323</w:t>
            </w:r>
          </w:p>
        </w:tc>
      </w:tr>
      <w:tr w:rsidR="00000000">
        <w:tblPrEx>
          <w:tblCellMar>
            <w:top w:w="0" w:type="dxa"/>
            <w:bottom w:w="0" w:type="dxa"/>
          </w:tblCellMar>
        </w:tblPrEx>
        <w:trPr>
          <w:cantSplit/>
        </w:trPr>
        <w:tc>
          <w:tcPr>
            <w:tcW w:w="1840" w:type="dxa"/>
          </w:tcPr>
          <w:p w:rsidR="00000000" w:rsidRDefault="00000000">
            <w:pPr>
              <w:pStyle w:val="112"/>
              <w:spacing w:before="40" w:after="40"/>
              <w:rPr>
                <w:sz w:val="20"/>
              </w:rPr>
            </w:pPr>
            <w:r>
              <w:rPr>
                <w:sz w:val="20"/>
              </w:rPr>
              <w:t>55</w:t>
            </w:r>
            <w:r>
              <w:rPr>
                <w:sz w:val="20"/>
              </w:rPr>
              <w:noBreakHyphen/>
              <w:t>й цикл</w:t>
            </w:r>
          </w:p>
        </w:tc>
        <w:tc>
          <w:tcPr>
            <w:tcW w:w="1831" w:type="dxa"/>
            <w:vAlign w:val="center"/>
          </w:tcPr>
          <w:p w:rsidR="00000000" w:rsidRDefault="00000000">
            <w:pPr>
              <w:spacing w:before="40" w:after="40"/>
              <w:jc w:val="center"/>
              <w:rPr>
                <w:sz w:val="20"/>
                <w:szCs w:val="20"/>
              </w:rPr>
            </w:pPr>
            <w:r>
              <w:rPr>
                <w:sz w:val="20"/>
                <w:szCs w:val="20"/>
              </w:rPr>
              <w:t>69</w:t>
            </w:r>
          </w:p>
        </w:tc>
        <w:tc>
          <w:tcPr>
            <w:tcW w:w="1833" w:type="dxa"/>
            <w:vAlign w:val="center"/>
          </w:tcPr>
          <w:p w:rsidR="00000000" w:rsidRDefault="00000000">
            <w:pPr>
              <w:tabs>
                <w:tab w:val="decimal" w:pos="1021"/>
              </w:tabs>
              <w:spacing w:before="40" w:after="40"/>
              <w:rPr>
                <w:sz w:val="20"/>
                <w:szCs w:val="20"/>
              </w:rPr>
            </w:pPr>
            <w:r>
              <w:rPr>
                <w:sz w:val="20"/>
                <w:szCs w:val="20"/>
              </w:rPr>
              <w:t>204</w:t>
            </w:r>
          </w:p>
        </w:tc>
        <w:tc>
          <w:tcPr>
            <w:tcW w:w="1833" w:type="dxa"/>
            <w:vAlign w:val="center"/>
          </w:tcPr>
          <w:p w:rsidR="00000000" w:rsidRDefault="00000000">
            <w:pPr>
              <w:tabs>
                <w:tab w:val="decimal" w:pos="1021"/>
              </w:tabs>
              <w:spacing w:before="40" w:after="40"/>
              <w:rPr>
                <w:sz w:val="20"/>
                <w:szCs w:val="20"/>
              </w:rPr>
            </w:pPr>
            <w:r>
              <w:rPr>
                <w:sz w:val="20"/>
                <w:szCs w:val="20"/>
              </w:rPr>
              <w:t>107</w:t>
            </w:r>
          </w:p>
        </w:tc>
        <w:tc>
          <w:tcPr>
            <w:tcW w:w="2074" w:type="dxa"/>
            <w:vAlign w:val="center"/>
          </w:tcPr>
          <w:p w:rsidR="00000000" w:rsidRDefault="00000000">
            <w:pPr>
              <w:tabs>
                <w:tab w:val="decimal" w:pos="1134"/>
              </w:tabs>
              <w:spacing w:before="40" w:after="40"/>
              <w:rPr>
                <w:sz w:val="20"/>
                <w:szCs w:val="20"/>
              </w:rPr>
            </w:pPr>
            <w:r>
              <w:rPr>
                <w:sz w:val="20"/>
                <w:szCs w:val="20"/>
              </w:rPr>
              <w:t>351</w:t>
            </w:r>
          </w:p>
        </w:tc>
      </w:tr>
      <w:tr w:rsidR="00000000">
        <w:tblPrEx>
          <w:tblCellMar>
            <w:top w:w="0" w:type="dxa"/>
            <w:bottom w:w="0" w:type="dxa"/>
          </w:tblCellMar>
        </w:tblPrEx>
        <w:trPr>
          <w:cantSplit/>
        </w:trPr>
        <w:tc>
          <w:tcPr>
            <w:tcW w:w="1840" w:type="dxa"/>
          </w:tcPr>
          <w:p w:rsidR="00000000" w:rsidRDefault="00000000">
            <w:pPr>
              <w:pStyle w:val="112"/>
              <w:spacing w:before="40" w:after="40"/>
              <w:rPr>
                <w:sz w:val="20"/>
              </w:rPr>
            </w:pPr>
            <w:r>
              <w:rPr>
                <w:sz w:val="20"/>
              </w:rPr>
              <w:t>Городские зоны</w:t>
            </w:r>
          </w:p>
          <w:p w:rsidR="00000000" w:rsidRDefault="00000000">
            <w:pPr>
              <w:pStyle w:val="112"/>
              <w:spacing w:before="40" w:after="40"/>
              <w:rPr>
                <w:sz w:val="20"/>
              </w:rPr>
            </w:pPr>
            <w:r>
              <w:rPr>
                <w:sz w:val="20"/>
              </w:rPr>
              <w:t>50</w:t>
            </w:r>
            <w:r>
              <w:rPr>
                <w:sz w:val="20"/>
              </w:rPr>
              <w:noBreakHyphen/>
              <w:t>й цикл</w:t>
            </w:r>
          </w:p>
        </w:tc>
        <w:tc>
          <w:tcPr>
            <w:tcW w:w="1831" w:type="dxa"/>
            <w:vAlign w:val="center"/>
          </w:tcPr>
          <w:p w:rsidR="00000000" w:rsidRDefault="00000000">
            <w:pPr>
              <w:spacing w:before="40" w:after="40"/>
              <w:jc w:val="center"/>
              <w:rPr>
                <w:sz w:val="20"/>
                <w:szCs w:val="20"/>
              </w:rPr>
            </w:pPr>
          </w:p>
          <w:p w:rsidR="00000000" w:rsidRDefault="00000000">
            <w:pPr>
              <w:spacing w:before="40" w:after="40"/>
              <w:jc w:val="center"/>
              <w:rPr>
                <w:sz w:val="20"/>
                <w:szCs w:val="20"/>
              </w:rPr>
            </w:pPr>
            <w:r>
              <w:rPr>
                <w:sz w:val="20"/>
                <w:szCs w:val="20"/>
              </w:rPr>
              <w:t>69</w:t>
            </w:r>
          </w:p>
        </w:tc>
        <w:tc>
          <w:tcPr>
            <w:tcW w:w="1833" w:type="dxa"/>
            <w:vAlign w:val="center"/>
          </w:tcPr>
          <w:p w:rsidR="00000000" w:rsidRDefault="00000000">
            <w:pPr>
              <w:tabs>
                <w:tab w:val="decimal" w:pos="1021"/>
              </w:tabs>
              <w:spacing w:before="40" w:after="40"/>
              <w:rPr>
                <w:sz w:val="20"/>
                <w:szCs w:val="20"/>
              </w:rPr>
            </w:pPr>
          </w:p>
          <w:p w:rsidR="00000000" w:rsidRDefault="00000000">
            <w:pPr>
              <w:tabs>
                <w:tab w:val="decimal" w:pos="1021"/>
              </w:tabs>
              <w:spacing w:before="40" w:after="40"/>
              <w:rPr>
                <w:sz w:val="20"/>
                <w:szCs w:val="20"/>
              </w:rPr>
            </w:pPr>
            <w:r>
              <w:rPr>
                <w:sz w:val="20"/>
                <w:szCs w:val="20"/>
              </w:rPr>
              <w:t>207</w:t>
            </w:r>
          </w:p>
        </w:tc>
        <w:tc>
          <w:tcPr>
            <w:tcW w:w="1833" w:type="dxa"/>
            <w:vAlign w:val="center"/>
          </w:tcPr>
          <w:p w:rsidR="00000000" w:rsidRDefault="00000000">
            <w:pPr>
              <w:tabs>
                <w:tab w:val="decimal" w:pos="1021"/>
              </w:tabs>
              <w:spacing w:before="40" w:after="40"/>
              <w:rPr>
                <w:sz w:val="20"/>
                <w:szCs w:val="20"/>
              </w:rPr>
            </w:pPr>
          </w:p>
          <w:p w:rsidR="00000000" w:rsidRDefault="00000000">
            <w:pPr>
              <w:tabs>
                <w:tab w:val="decimal" w:pos="1021"/>
              </w:tabs>
              <w:spacing w:before="40" w:after="40"/>
              <w:rPr>
                <w:sz w:val="20"/>
                <w:szCs w:val="20"/>
              </w:rPr>
            </w:pPr>
            <w:r>
              <w:rPr>
                <w:sz w:val="20"/>
                <w:szCs w:val="20"/>
              </w:rPr>
              <w:t>64</w:t>
            </w:r>
          </w:p>
        </w:tc>
        <w:tc>
          <w:tcPr>
            <w:tcW w:w="2074" w:type="dxa"/>
            <w:vAlign w:val="center"/>
          </w:tcPr>
          <w:p w:rsidR="00000000" w:rsidRDefault="00000000">
            <w:pPr>
              <w:tabs>
                <w:tab w:val="decimal" w:pos="1134"/>
              </w:tabs>
              <w:spacing w:before="40" w:after="40"/>
              <w:rPr>
                <w:sz w:val="20"/>
                <w:szCs w:val="20"/>
              </w:rPr>
            </w:pPr>
          </w:p>
          <w:p w:rsidR="00000000" w:rsidRDefault="00000000">
            <w:pPr>
              <w:tabs>
                <w:tab w:val="decimal" w:pos="1134"/>
              </w:tabs>
              <w:spacing w:before="40" w:after="40"/>
              <w:rPr>
                <w:sz w:val="20"/>
                <w:szCs w:val="20"/>
              </w:rPr>
            </w:pPr>
            <w:r>
              <w:rPr>
                <w:sz w:val="20"/>
                <w:szCs w:val="20"/>
              </w:rPr>
              <w:t>205</w:t>
            </w:r>
          </w:p>
        </w:tc>
      </w:tr>
      <w:tr w:rsidR="00000000">
        <w:tblPrEx>
          <w:tblCellMar>
            <w:top w:w="0" w:type="dxa"/>
            <w:bottom w:w="0" w:type="dxa"/>
          </w:tblCellMar>
        </w:tblPrEx>
        <w:trPr>
          <w:cantSplit/>
        </w:trPr>
        <w:tc>
          <w:tcPr>
            <w:tcW w:w="1840" w:type="dxa"/>
          </w:tcPr>
          <w:p w:rsidR="00000000" w:rsidRDefault="00000000">
            <w:pPr>
              <w:pStyle w:val="112"/>
              <w:spacing w:before="40" w:after="40"/>
              <w:rPr>
                <w:sz w:val="20"/>
              </w:rPr>
            </w:pPr>
            <w:r>
              <w:rPr>
                <w:sz w:val="20"/>
              </w:rPr>
              <w:t>55</w:t>
            </w:r>
            <w:r>
              <w:rPr>
                <w:sz w:val="20"/>
              </w:rPr>
              <w:noBreakHyphen/>
              <w:t>й цикл</w:t>
            </w:r>
          </w:p>
        </w:tc>
        <w:tc>
          <w:tcPr>
            <w:tcW w:w="1831" w:type="dxa"/>
            <w:vAlign w:val="center"/>
          </w:tcPr>
          <w:p w:rsidR="00000000" w:rsidRDefault="00000000">
            <w:pPr>
              <w:spacing w:before="40" w:after="40"/>
              <w:jc w:val="center"/>
              <w:rPr>
                <w:sz w:val="20"/>
                <w:szCs w:val="20"/>
              </w:rPr>
            </w:pPr>
            <w:r>
              <w:rPr>
                <w:sz w:val="20"/>
                <w:szCs w:val="20"/>
              </w:rPr>
              <w:t>66</w:t>
            </w:r>
          </w:p>
        </w:tc>
        <w:tc>
          <w:tcPr>
            <w:tcW w:w="1833" w:type="dxa"/>
            <w:vAlign w:val="center"/>
          </w:tcPr>
          <w:p w:rsidR="00000000" w:rsidRDefault="00000000">
            <w:pPr>
              <w:tabs>
                <w:tab w:val="decimal" w:pos="1021"/>
              </w:tabs>
              <w:spacing w:before="40" w:after="40"/>
              <w:rPr>
                <w:sz w:val="20"/>
                <w:szCs w:val="20"/>
              </w:rPr>
            </w:pPr>
            <w:r>
              <w:rPr>
                <w:sz w:val="20"/>
                <w:szCs w:val="20"/>
              </w:rPr>
              <w:t>163</w:t>
            </w:r>
          </w:p>
        </w:tc>
        <w:tc>
          <w:tcPr>
            <w:tcW w:w="1833" w:type="dxa"/>
            <w:vAlign w:val="center"/>
          </w:tcPr>
          <w:p w:rsidR="00000000" w:rsidRDefault="00000000">
            <w:pPr>
              <w:tabs>
                <w:tab w:val="decimal" w:pos="1021"/>
              </w:tabs>
              <w:spacing w:before="40" w:after="40"/>
              <w:rPr>
                <w:sz w:val="20"/>
                <w:szCs w:val="20"/>
              </w:rPr>
            </w:pPr>
            <w:r>
              <w:rPr>
                <w:sz w:val="20"/>
                <w:szCs w:val="20"/>
              </w:rPr>
              <w:t>6</w:t>
            </w:r>
          </w:p>
        </w:tc>
        <w:tc>
          <w:tcPr>
            <w:tcW w:w="2074" w:type="dxa"/>
            <w:vAlign w:val="center"/>
          </w:tcPr>
          <w:p w:rsidR="00000000" w:rsidRDefault="00000000">
            <w:pPr>
              <w:tabs>
                <w:tab w:val="decimal" w:pos="1134"/>
              </w:tabs>
              <w:spacing w:before="40" w:after="40"/>
              <w:rPr>
                <w:sz w:val="20"/>
                <w:szCs w:val="20"/>
              </w:rPr>
            </w:pPr>
            <w:r>
              <w:rPr>
                <w:sz w:val="20"/>
                <w:szCs w:val="20"/>
              </w:rPr>
              <w:t>163</w:t>
            </w:r>
          </w:p>
        </w:tc>
      </w:tr>
    </w:tbl>
    <w:p w:rsidR="00000000" w:rsidRDefault="00000000">
      <w:pPr>
        <w:pStyle w:val="112"/>
        <w:spacing w:before="280"/>
      </w:pPr>
    </w:p>
    <w:p w:rsidR="00000000" w:rsidRDefault="00000000">
      <w:pPr>
        <w:jc w:val="both"/>
        <w:rPr>
          <w:b/>
          <w:bCs/>
          <w:sz w:val="22"/>
        </w:rPr>
      </w:pPr>
      <w:r>
        <w:rPr>
          <w:b/>
          <w:bCs/>
          <w:sz w:val="22"/>
        </w:rPr>
        <w:t>Неполная занятость</w:t>
      </w:r>
    </w:p>
    <w:p w:rsidR="00000000" w:rsidRDefault="00000000">
      <w:pPr>
        <w:jc w:val="both"/>
        <w:rPr>
          <w:b/>
          <w:bCs/>
          <w:sz w:val="24"/>
        </w:rPr>
      </w:pPr>
    </w:p>
    <w:p w:rsidR="00000000" w:rsidRDefault="00000000">
      <w:pPr>
        <w:pStyle w:val="112"/>
        <w:spacing w:before="0"/>
      </w:pPr>
      <w:r>
        <w:t>16.</w:t>
      </w:r>
      <w:r>
        <w:tab/>
        <w:t xml:space="preserve">Неполную занятость можно разделить на две категории (видимую и невидимую).  Видимая неполная занятость относится к тем, кто сообщает о своей готовности работать в течение более короткого промежутка времени, например недели или каждого дня недели.  С другой стороны, некоторые работающие, в частности самозанятые лица, могут вроде бы работать в течение всего года, но их работа может быть недостаточной для них в смысле производительности труда или дохода.   Поэтому они могут желать иметь дополнительную и/или альтернативную работу, чтобы увеличить свой доход.  Такая неполная занятость называется невидимой и, следовательно, не поддается прямому измерению.  </w:t>
      </w:r>
    </w:p>
    <w:p w:rsidR="00000000" w:rsidRDefault="00000000">
      <w:pPr>
        <w:pStyle w:val="112"/>
      </w:pPr>
      <w:r>
        <w:t>17.</w:t>
      </w:r>
      <w:r>
        <w:tab/>
        <w:t>В Индии, по данным ОНВО, неполная занятость для получения текущего дневного статуса измеряется на основе текущего недельного статуса.  На таблице 6.6 на агрегированном уровне показано, что в период с 1987–1988 годов по 1999–2000 годы уровень неполной занятости среди женщин постепенно снижался, причем снижение в период с 1993–1994 годов по 1999–2000 годы было меньшим.  Однако по мужчинам в период с 1993–1994 годов по 1999–2000 годы показатель оставался почти таким же после некоторого снижения в период с 1987–1988 годов по 1993–1994 годы.  Эта проблема неполной занятости представляется более серьезной среди обычно занятых женщин, чем среди работающих мужчин, и более острой в сельской местности, чем в  городских районах.  В период 1999–2000 годов неполная занятость среди обычно занятых женщин составляла 17% в сельской местности и 10% – в городских районах Индии.  По обычно занятым мужчинам соответствующие показатели составляли всего лишь 4 и 2%.  Большинство обычно занятых женщин, которые в данный момент не работали, выпали из состава самодеятельного населения и не сообщали о себе, как о временно безработных.</w:t>
      </w:r>
    </w:p>
    <w:p w:rsidR="00000000" w:rsidRDefault="00000000">
      <w:pPr>
        <w:rPr>
          <w:sz w:val="24"/>
        </w:rPr>
      </w:pPr>
    </w:p>
    <w:p w:rsidR="00000000" w:rsidRDefault="00000000">
      <w:pPr>
        <w:pStyle w:val="112"/>
        <w:jc w:val="left"/>
        <w:rPr>
          <w:b/>
          <w:bCs/>
        </w:rPr>
      </w:pPr>
      <w:r>
        <w:rPr>
          <w:b/>
          <w:bCs/>
        </w:rPr>
        <w:t xml:space="preserve">Таблица 6.6 </w:t>
      </w:r>
      <w:r>
        <w:rPr>
          <w:b/>
          <w:bCs/>
          <w:szCs w:val="22"/>
        </w:rPr>
        <w:t>–</w:t>
      </w:r>
      <w:r>
        <w:rPr>
          <w:b/>
          <w:bCs/>
        </w:rPr>
        <w:t xml:space="preserve"> Число обычно занятых на 1000 чел. [основной и вспомогательный статус, </w:t>
      </w:r>
      <w:r>
        <w:rPr>
          <w:b/>
          <w:bCs/>
        </w:rPr>
        <w:br/>
        <w:t>взятые вместе] с учетом их общего текущего недельного статуса</w:t>
      </w:r>
    </w:p>
    <w:p w:rsidR="00000000" w:rsidRDefault="00000000">
      <w:pPr>
        <w:jc w:val="both"/>
        <w:rPr>
          <w:sz w:val="24"/>
        </w:rPr>
      </w:pPr>
    </w:p>
    <w:p w:rsidR="00000000" w:rsidRDefault="00000000">
      <w:pPr>
        <w:jc w:val="both"/>
        <w:rPr>
          <w:sz w:val="22"/>
          <w:szCs w:val="22"/>
        </w:rPr>
      </w:pPr>
      <w:r>
        <w:rPr>
          <w:sz w:val="22"/>
          <w:szCs w:val="22"/>
        </w:rPr>
        <w:t>Вся Индия</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370"/>
        <w:gridCol w:w="652"/>
        <w:gridCol w:w="692"/>
        <w:gridCol w:w="694"/>
        <w:gridCol w:w="692"/>
        <w:gridCol w:w="691"/>
        <w:gridCol w:w="693"/>
        <w:gridCol w:w="691"/>
        <w:gridCol w:w="691"/>
        <w:gridCol w:w="693"/>
        <w:gridCol w:w="692"/>
        <w:gridCol w:w="692"/>
        <w:gridCol w:w="696"/>
      </w:tblGrid>
      <w:tr w:rsidR="00000000">
        <w:tblPrEx>
          <w:tblCellMar>
            <w:top w:w="0" w:type="dxa"/>
            <w:bottom w:w="0" w:type="dxa"/>
          </w:tblCellMar>
        </w:tblPrEx>
        <w:trPr>
          <w:cantSplit/>
        </w:trPr>
        <w:tc>
          <w:tcPr>
            <w:tcW w:w="1337" w:type="dxa"/>
            <w:vMerge w:val="restart"/>
          </w:tcPr>
          <w:p w:rsidR="00000000" w:rsidRDefault="00000000">
            <w:pPr>
              <w:spacing w:before="40" w:after="40"/>
              <w:jc w:val="center"/>
              <w:rPr>
                <w:sz w:val="20"/>
                <w:szCs w:val="20"/>
              </w:rPr>
            </w:pPr>
            <w:r>
              <w:rPr>
                <w:sz w:val="20"/>
                <w:szCs w:val="20"/>
              </w:rPr>
              <w:t>Текущий недельный статус</w:t>
            </w:r>
          </w:p>
        </w:tc>
        <w:tc>
          <w:tcPr>
            <w:tcW w:w="4015" w:type="dxa"/>
            <w:gridSpan w:val="6"/>
            <w:vAlign w:val="center"/>
          </w:tcPr>
          <w:p w:rsidR="00000000" w:rsidRDefault="00000000">
            <w:pPr>
              <w:spacing w:before="40" w:after="40"/>
              <w:jc w:val="center"/>
              <w:rPr>
                <w:sz w:val="20"/>
                <w:szCs w:val="20"/>
              </w:rPr>
            </w:pPr>
            <w:r>
              <w:rPr>
                <w:sz w:val="20"/>
                <w:szCs w:val="20"/>
              </w:rPr>
              <w:t>Сельская местность</w:t>
            </w:r>
          </w:p>
        </w:tc>
        <w:tc>
          <w:tcPr>
            <w:tcW w:w="4059" w:type="dxa"/>
            <w:gridSpan w:val="6"/>
            <w:vAlign w:val="center"/>
          </w:tcPr>
          <w:p w:rsidR="00000000" w:rsidRDefault="00000000">
            <w:pPr>
              <w:spacing w:before="40" w:after="40"/>
              <w:jc w:val="center"/>
              <w:rPr>
                <w:sz w:val="20"/>
                <w:szCs w:val="20"/>
              </w:rPr>
            </w:pPr>
            <w:r>
              <w:rPr>
                <w:sz w:val="20"/>
                <w:szCs w:val="20"/>
              </w:rPr>
              <w:t>Городские районы</w:t>
            </w:r>
          </w:p>
        </w:tc>
      </w:tr>
      <w:tr w:rsidR="00000000">
        <w:tblPrEx>
          <w:tblCellMar>
            <w:top w:w="0" w:type="dxa"/>
            <w:bottom w:w="0" w:type="dxa"/>
          </w:tblCellMar>
        </w:tblPrEx>
        <w:trPr>
          <w:cantSplit/>
        </w:trPr>
        <w:tc>
          <w:tcPr>
            <w:tcW w:w="1337" w:type="dxa"/>
            <w:vMerge/>
          </w:tcPr>
          <w:p w:rsidR="00000000" w:rsidRDefault="00000000">
            <w:pPr>
              <w:spacing w:before="40" w:after="40"/>
              <w:jc w:val="center"/>
              <w:rPr>
                <w:sz w:val="20"/>
                <w:szCs w:val="20"/>
              </w:rPr>
            </w:pPr>
          </w:p>
        </w:tc>
        <w:tc>
          <w:tcPr>
            <w:tcW w:w="1988" w:type="dxa"/>
            <w:gridSpan w:val="3"/>
            <w:vAlign w:val="center"/>
          </w:tcPr>
          <w:p w:rsidR="00000000" w:rsidRDefault="00000000">
            <w:pPr>
              <w:spacing w:before="40" w:after="40"/>
              <w:jc w:val="center"/>
              <w:rPr>
                <w:sz w:val="20"/>
                <w:szCs w:val="20"/>
              </w:rPr>
            </w:pPr>
            <w:r>
              <w:rPr>
                <w:sz w:val="20"/>
                <w:szCs w:val="20"/>
              </w:rPr>
              <w:t>Мужчины</w:t>
            </w:r>
          </w:p>
        </w:tc>
        <w:tc>
          <w:tcPr>
            <w:tcW w:w="2027" w:type="dxa"/>
            <w:gridSpan w:val="3"/>
            <w:vAlign w:val="center"/>
          </w:tcPr>
          <w:p w:rsidR="00000000" w:rsidRDefault="00000000">
            <w:pPr>
              <w:spacing w:before="40" w:after="40"/>
              <w:jc w:val="center"/>
              <w:rPr>
                <w:sz w:val="20"/>
                <w:szCs w:val="20"/>
              </w:rPr>
            </w:pPr>
            <w:r>
              <w:rPr>
                <w:sz w:val="20"/>
                <w:szCs w:val="20"/>
              </w:rPr>
              <w:t>Женщины</w:t>
            </w:r>
          </w:p>
        </w:tc>
        <w:tc>
          <w:tcPr>
            <w:tcW w:w="2027" w:type="dxa"/>
            <w:gridSpan w:val="3"/>
            <w:vAlign w:val="center"/>
          </w:tcPr>
          <w:p w:rsidR="00000000" w:rsidRDefault="00000000">
            <w:pPr>
              <w:spacing w:before="40" w:after="40"/>
              <w:jc w:val="center"/>
              <w:rPr>
                <w:sz w:val="20"/>
                <w:szCs w:val="20"/>
              </w:rPr>
            </w:pPr>
            <w:r>
              <w:rPr>
                <w:sz w:val="20"/>
                <w:szCs w:val="20"/>
              </w:rPr>
              <w:t>Мужчины</w:t>
            </w:r>
          </w:p>
        </w:tc>
        <w:tc>
          <w:tcPr>
            <w:tcW w:w="2032" w:type="dxa"/>
            <w:gridSpan w:val="3"/>
            <w:vAlign w:val="center"/>
          </w:tcPr>
          <w:p w:rsidR="00000000" w:rsidRDefault="00000000">
            <w:pPr>
              <w:spacing w:before="40" w:after="40"/>
              <w:jc w:val="center"/>
              <w:rPr>
                <w:sz w:val="20"/>
                <w:szCs w:val="20"/>
              </w:rPr>
            </w:pPr>
            <w:r>
              <w:rPr>
                <w:sz w:val="20"/>
                <w:szCs w:val="20"/>
              </w:rPr>
              <w:t>Женщины</w:t>
            </w:r>
          </w:p>
        </w:tc>
      </w:tr>
      <w:tr w:rsidR="00000000">
        <w:tblPrEx>
          <w:tblCellMar>
            <w:top w:w="0" w:type="dxa"/>
            <w:bottom w:w="0" w:type="dxa"/>
          </w:tblCellMar>
        </w:tblPrEx>
        <w:trPr>
          <w:cantSplit/>
        </w:trPr>
        <w:tc>
          <w:tcPr>
            <w:tcW w:w="1337" w:type="dxa"/>
            <w:vMerge/>
          </w:tcPr>
          <w:p w:rsidR="00000000" w:rsidRDefault="00000000">
            <w:pPr>
              <w:spacing w:before="40" w:after="40"/>
              <w:jc w:val="center"/>
              <w:rPr>
                <w:sz w:val="20"/>
                <w:szCs w:val="20"/>
              </w:rPr>
            </w:pPr>
          </w:p>
        </w:tc>
        <w:tc>
          <w:tcPr>
            <w:tcW w:w="636" w:type="dxa"/>
            <w:vAlign w:val="center"/>
          </w:tcPr>
          <w:p w:rsidR="00000000" w:rsidRDefault="00000000">
            <w:pPr>
              <w:spacing w:before="40" w:after="40"/>
              <w:jc w:val="center"/>
              <w:rPr>
                <w:sz w:val="20"/>
                <w:szCs w:val="20"/>
              </w:rPr>
            </w:pPr>
            <w:r>
              <w:rPr>
                <w:sz w:val="20"/>
                <w:szCs w:val="20"/>
              </w:rPr>
              <w:t>1999</w:t>
            </w:r>
            <w:r>
              <w:rPr>
                <w:sz w:val="20"/>
              </w:rPr>
              <w:t>–</w:t>
            </w:r>
            <w:r>
              <w:rPr>
                <w:sz w:val="20"/>
                <w:szCs w:val="20"/>
              </w:rPr>
              <w:t>2000</w:t>
            </w:r>
          </w:p>
        </w:tc>
        <w:tc>
          <w:tcPr>
            <w:tcW w:w="675" w:type="dxa"/>
            <w:vAlign w:val="center"/>
          </w:tcPr>
          <w:p w:rsidR="00000000" w:rsidRDefault="00000000">
            <w:pPr>
              <w:spacing w:before="40" w:after="40"/>
              <w:jc w:val="center"/>
              <w:rPr>
                <w:sz w:val="20"/>
                <w:szCs w:val="20"/>
              </w:rPr>
            </w:pPr>
            <w:r>
              <w:rPr>
                <w:sz w:val="20"/>
                <w:szCs w:val="20"/>
              </w:rPr>
              <w:t>1993</w:t>
            </w:r>
            <w:r>
              <w:rPr>
                <w:sz w:val="20"/>
              </w:rPr>
              <w:t>–</w:t>
            </w:r>
            <w:r>
              <w:rPr>
                <w:sz w:val="20"/>
                <w:szCs w:val="20"/>
              </w:rPr>
              <w:t>1994</w:t>
            </w:r>
          </w:p>
        </w:tc>
        <w:tc>
          <w:tcPr>
            <w:tcW w:w="677" w:type="dxa"/>
            <w:vAlign w:val="center"/>
          </w:tcPr>
          <w:p w:rsidR="00000000" w:rsidRDefault="00000000">
            <w:pPr>
              <w:spacing w:before="40" w:after="40"/>
              <w:jc w:val="center"/>
              <w:rPr>
                <w:sz w:val="20"/>
                <w:szCs w:val="20"/>
              </w:rPr>
            </w:pPr>
            <w:r>
              <w:rPr>
                <w:sz w:val="20"/>
                <w:szCs w:val="20"/>
              </w:rPr>
              <w:t>1987</w:t>
            </w:r>
            <w:r>
              <w:rPr>
                <w:sz w:val="20"/>
              </w:rPr>
              <w:t>–</w:t>
            </w:r>
            <w:r>
              <w:rPr>
                <w:sz w:val="20"/>
                <w:szCs w:val="20"/>
              </w:rPr>
              <w:t>1988</w:t>
            </w:r>
          </w:p>
        </w:tc>
        <w:tc>
          <w:tcPr>
            <w:tcW w:w="675" w:type="dxa"/>
            <w:vAlign w:val="center"/>
          </w:tcPr>
          <w:p w:rsidR="00000000" w:rsidRDefault="00000000">
            <w:pPr>
              <w:spacing w:before="40" w:after="40"/>
              <w:jc w:val="center"/>
              <w:rPr>
                <w:sz w:val="20"/>
                <w:szCs w:val="20"/>
              </w:rPr>
            </w:pPr>
            <w:r>
              <w:rPr>
                <w:sz w:val="20"/>
                <w:szCs w:val="20"/>
              </w:rPr>
              <w:t>1999</w:t>
            </w:r>
            <w:r>
              <w:rPr>
                <w:sz w:val="20"/>
              </w:rPr>
              <w:t>–</w:t>
            </w:r>
            <w:r>
              <w:rPr>
                <w:sz w:val="20"/>
                <w:szCs w:val="20"/>
              </w:rPr>
              <w:t>2000</w:t>
            </w:r>
          </w:p>
        </w:tc>
        <w:tc>
          <w:tcPr>
            <w:tcW w:w="675" w:type="dxa"/>
            <w:vAlign w:val="center"/>
          </w:tcPr>
          <w:p w:rsidR="00000000" w:rsidRDefault="00000000">
            <w:pPr>
              <w:spacing w:before="40" w:after="40"/>
              <w:jc w:val="center"/>
              <w:rPr>
                <w:sz w:val="20"/>
                <w:szCs w:val="20"/>
              </w:rPr>
            </w:pPr>
            <w:r>
              <w:rPr>
                <w:sz w:val="20"/>
                <w:szCs w:val="20"/>
              </w:rPr>
              <w:t>1993</w:t>
            </w:r>
            <w:r>
              <w:rPr>
                <w:sz w:val="20"/>
              </w:rPr>
              <w:t>–</w:t>
            </w:r>
            <w:r>
              <w:rPr>
                <w:sz w:val="20"/>
                <w:szCs w:val="20"/>
              </w:rPr>
              <w:t>1994</w:t>
            </w:r>
          </w:p>
        </w:tc>
        <w:tc>
          <w:tcPr>
            <w:tcW w:w="677" w:type="dxa"/>
            <w:vAlign w:val="center"/>
          </w:tcPr>
          <w:p w:rsidR="00000000" w:rsidRDefault="00000000">
            <w:pPr>
              <w:spacing w:before="40" w:after="40"/>
              <w:jc w:val="center"/>
              <w:rPr>
                <w:sz w:val="20"/>
                <w:szCs w:val="20"/>
              </w:rPr>
            </w:pPr>
            <w:r>
              <w:rPr>
                <w:sz w:val="20"/>
                <w:szCs w:val="20"/>
              </w:rPr>
              <w:t>1987</w:t>
            </w:r>
            <w:r>
              <w:rPr>
                <w:sz w:val="20"/>
              </w:rPr>
              <w:t>–</w:t>
            </w:r>
            <w:r>
              <w:rPr>
                <w:sz w:val="20"/>
                <w:szCs w:val="20"/>
              </w:rPr>
              <w:t>1988</w:t>
            </w:r>
          </w:p>
        </w:tc>
        <w:tc>
          <w:tcPr>
            <w:tcW w:w="675" w:type="dxa"/>
            <w:vAlign w:val="center"/>
          </w:tcPr>
          <w:p w:rsidR="00000000" w:rsidRDefault="00000000">
            <w:pPr>
              <w:spacing w:before="40" w:after="40"/>
              <w:jc w:val="center"/>
              <w:rPr>
                <w:sz w:val="20"/>
                <w:szCs w:val="20"/>
              </w:rPr>
            </w:pPr>
            <w:r>
              <w:rPr>
                <w:sz w:val="20"/>
                <w:szCs w:val="20"/>
              </w:rPr>
              <w:t>1999</w:t>
            </w:r>
            <w:r>
              <w:rPr>
                <w:sz w:val="20"/>
              </w:rPr>
              <w:t>–</w:t>
            </w:r>
            <w:r>
              <w:rPr>
                <w:sz w:val="20"/>
                <w:szCs w:val="20"/>
              </w:rPr>
              <w:t>2000</w:t>
            </w:r>
          </w:p>
        </w:tc>
        <w:tc>
          <w:tcPr>
            <w:tcW w:w="675" w:type="dxa"/>
            <w:vAlign w:val="center"/>
          </w:tcPr>
          <w:p w:rsidR="00000000" w:rsidRDefault="00000000">
            <w:pPr>
              <w:spacing w:before="40" w:after="40"/>
              <w:jc w:val="center"/>
              <w:rPr>
                <w:sz w:val="20"/>
                <w:szCs w:val="20"/>
              </w:rPr>
            </w:pPr>
            <w:r>
              <w:rPr>
                <w:sz w:val="20"/>
                <w:szCs w:val="20"/>
              </w:rPr>
              <w:t>1993</w:t>
            </w:r>
            <w:r>
              <w:rPr>
                <w:sz w:val="20"/>
              </w:rPr>
              <w:t>–</w:t>
            </w:r>
            <w:r>
              <w:rPr>
                <w:sz w:val="20"/>
                <w:szCs w:val="20"/>
              </w:rPr>
              <w:t>1994</w:t>
            </w:r>
          </w:p>
        </w:tc>
        <w:tc>
          <w:tcPr>
            <w:tcW w:w="677" w:type="dxa"/>
            <w:vAlign w:val="center"/>
          </w:tcPr>
          <w:p w:rsidR="00000000" w:rsidRDefault="00000000">
            <w:pPr>
              <w:spacing w:before="40" w:after="40"/>
              <w:jc w:val="center"/>
              <w:rPr>
                <w:sz w:val="20"/>
                <w:szCs w:val="20"/>
              </w:rPr>
            </w:pPr>
            <w:r>
              <w:rPr>
                <w:sz w:val="20"/>
                <w:szCs w:val="20"/>
              </w:rPr>
              <w:t>1987</w:t>
            </w:r>
            <w:r>
              <w:rPr>
                <w:sz w:val="20"/>
              </w:rPr>
              <w:t>–</w:t>
            </w:r>
            <w:r>
              <w:rPr>
                <w:sz w:val="20"/>
                <w:szCs w:val="20"/>
              </w:rPr>
              <w:t>1988</w:t>
            </w:r>
          </w:p>
        </w:tc>
        <w:tc>
          <w:tcPr>
            <w:tcW w:w="676" w:type="dxa"/>
            <w:vAlign w:val="center"/>
          </w:tcPr>
          <w:p w:rsidR="00000000" w:rsidRDefault="00000000">
            <w:pPr>
              <w:spacing w:before="40" w:after="40"/>
              <w:jc w:val="center"/>
              <w:rPr>
                <w:sz w:val="20"/>
                <w:szCs w:val="20"/>
              </w:rPr>
            </w:pPr>
            <w:r>
              <w:rPr>
                <w:sz w:val="20"/>
                <w:szCs w:val="20"/>
              </w:rPr>
              <w:t>1999</w:t>
            </w:r>
            <w:r>
              <w:rPr>
                <w:sz w:val="20"/>
              </w:rPr>
              <w:t>–</w:t>
            </w:r>
            <w:r>
              <w:rPr>
                <w:sz w:val="20"/>
                <w:szCs w:val="20"/>
              </w:rPr>
              <w:t>2000</w:t>
            </w:r>
          </w:p>
        </w:tc>
        <w:tc>
          <w:tcPr>
            <w:tcW w:w="676" w:type="dxa"/>
            <w:vAlign w:val="center"/>
          </w:tcPr>
          <w:p w:rsidR="00000000" w:rsidRDefault="00000000">
            <w:pPr>
              <w:spacing w:before="40" w:after="40"/>
              <w:jc w:val="center"/>
              <w:rPr>
                <w:sz w:val="20"/>
                <w:szCs w:val="20"/>
              </w:rPr>
            </w:pPr>
            <w:r>
              <w:rPr>
                <w:sz w:val="20"/>
                <w:szCs w:val="20"/>
              </w:rPr>
              <w:t>1993</w:t>
            </w:r>
            <w:r>
              <w:rPr>
                <w:sz w:val="20"/>
              </w:rPr>
              <w:t>–1</w:t>
            </w:r>
            <w:r>
              <w:rPr>
                <w:sz w:val="20"/>
                <w:szCs w:val="20"/>
              </w:rPr>
              <w:t>994</w:t>
            </w:r>
          </w:p>
        </w:tc>
        <w:tc>
          <w:tcPr>
            <w:tcW w:w="680" w:type="dxa"/>
            <w:vAlign w:val="center"/>
          </w:tcPr>
          <w:p w:rsidR="00000000" w:rsidRDefault="00000000">
            <w:pPr>
              <w:spacing w:before="40" w:after="40"/>
              <w:jc w:val="center"/>
              <w:rPr>
                <w:sz w:val="20"/>
                <w:szCs w:val="20"/>
              </w:rPr>
            </w:pPr>
            <w:r>
              <w:rPr>
                <w:sz w:val="20"/>
                <w:szCs w:val="20"/>
              </w:rPr>
              <w:t>1987</w:t>
            </w:r>
            <w:r>
              <w:rPr>
                <w:sz w:val="20"/>
              </w:rPr>
              <w:t>–</w:t>
            </w:r>
            <w:r>
              <w:rPr>
                <w:sz w:val="20"/>
                <w:szCs w:val="20"/>
              </w:rPr>
              <w:t>1988</w:t>
            </w:r>
          </w:p>
        </w:tc>
      </w:tr>
      <w:tr w:rsidR="00000000">
        <w:tblPrEx>
          <w:tblCellMar>
            <w:top w:w="0" w:type="dxa"/>
            <w:bottom w:w="0" w:type="dxa"/>
          </w:tblCellMar>
        </w:tblPrEx>
        <w:trPr>
          <w:cantSplit/>
        </w:trPr>
        <w:tc>
          <w:tcPr>
            <w:tcW w:w="1337" w:type="dxa"/>
            <w:vAlign w:val="center"/>
          </w:tcPr>
          <w:p w:rsidR="00000000" w:rsidRDefault="00000000">
            <w:pPr>
              <w:spacing w:before="40" w:after="40"/>
              <w:jc w:val="center"/>
              <w:rPr>
                <w:sz w:val="20"/>
                <w:szCs w:val="20"/>
              </w:rPr>
            </w:pPr>
            <w:r>
              <w:rPr>
                <w:sz w:val="20"/>
                <w:szCs w:val="20"/>
              </w:rPr>
              <w:t>1</w:t>
            </w:r>
          </w:p>
        </w:tc>
        <w:tc>
          <w:tcPr>
            <w:tcW w:w="636" w:type="dxa"/>
            <w:vAlign w:val="center"/>
          </w:tcPr>
          <w:p w:rsidR="00000000" w:rsidRDefault="00000000">
            <w:pPr>
              <w:spacing w:before="40" w:after="40"/>
              <w:jc w:val="center"/>
              <w:rPr>
                <w:sz w:val="20"/>
                <w:szCs w:val="20"/>
              </w:rPr>
            </w:pPr>
            <w:r>
              <w:rPr>
                <w:sz w:val="20"/>
                <w:szCs w:val="20"/>
              </w:rPr>
              <w:t>2</w:t>
            </w:r>
          </w:p>
        </w:tc>
        <w:tc>
          <w:tcPr>
            <w:tcW w:w="675" w:type="dxa"/>
            <w:vAlign w:val="center"/>
          </w:tcPr>
          <w:p w:rsidR="00000000" w:rsidRDefault="00000000">
            <w:pPr>
              <w:spacing w:before="40" w:after="40"/>
              <w:jc w:val="center"/>
              <w:rPr>
                <w:sz w:val="20"/>
                <w:szCs w:val="20"/>
              </w:rPr>
            </w:pPr>
            <w:r>
              <w:rPr>
                <w:sz w:val="20"/>
                <w:szCs w:val="20"/>
              </w:rPr>
              <w:t>3</w:t>
            </w:r>
          </w:p>
        </w:tc>
        <w:tc>
          <w:tcPr>
            <w:tcW w:w="677" w:type="dxa"/>
            <w:vAlign w:val="center"/>
          </w:tcPr>
          <w:p w:rsidR="00000000" w:rsidRDefault="00000000">
            <w:pPr>
              <w:spacing w:before="40" w:after="40"/>
              <w:jc w:val="center"/>
              <w:rPr>
                <w:sz w:val="20"/>
                <w:szCs w:val="20"/>
              </w:rPr>
            </w:pPr>
            <w:r>
              <w:rPr>
                <w:sz w:val="20"/>
                <w:szCs w:val="20"/>
              </w:rPr>
              <w:t>4</w:t>
            </w:r>
          </w:p>
        </w:tc>
        <w:tc>
          <w:tcPr>
            <w:tcW w:w="675" w:type="dxa"/>
            <w:vAlign w:val="center"/>
          </w:tcPr>
          <w:p w:rsidR="00000000" w:rsidRDefault="00000000">
            <w:pPr>
              <w:spacing w:before="40" w:after="40"/>
              <w:jc w:val="center"/>
              <w:rPr>
                <w:sz w:val="20"/>
                <w:szCs w:val="20"/>
              </w:rPr>
            </w:pPr>
            <w:r>
              <w:rPr>
                <w:sz w:val="20"/>
                <w:szCs w:val="20"/>
              </w:rPr>
              <w:t>5</w:t>
            </w:r>
          </w:p>
        </w:tc>
        <w:tc>
          <w:tcPr>
            <w:tcW w:w="675" w:type="dxa"/>
            <w:vAlign w:val="center"/>
          </w:tcPr>
          <w:p w:rsidR="00000000" w:rsidRDefault="00000000">
            <w:pPr>
              <w:spacing w:before="40" w:after="40"/>
              <w:jc w:val="center"/>
              <w:rPr>
                <w:sz w:val="20"/>
                <w:szCs w:val="20"/>
              </w:rPr>
            </w:pPr>
            <w:r>
              <w:rPr>
                <w:sz w:val="20"/>
                <w:szCs w:val="20"/>
              </w:rPr>
              <w:t>6</w:t>
            </w:r>
          </w:p>
        </w:tc>
        <w:tc>
          <w:tcPr>
            <w:tcW w:w="677" w:type="dxa"/>
            <w:vAlign w:val="center"/>
          </w:tcPr>
          <w:p w:rsidR="00000000" w:rsidRDefault="00000000">
            <w:pPr>
              <w:spacing w:before="40" w:after="40"/>
              <w:jc w:val="center"/>
              <w:rPr>
                <w:sz w:val="20"/>
                <w:szCs w:val="20"/>
              </w:rPr>
            </w:pPr>
            <w:r>
              <w:rPr>
                <w:sz w:val="20"/>
                <w:szCs w:val="20"/>
              </w:rPr>
              <w:t>7</w:t>
            </w:r>
          </w:p>
        </w:tc>
        <w:tc>
          <w:tcPr>
            <w:tcW w:w="675" w:type="dxa"/>
            <w:vAlign w:val="center"/>
          </w:tcPr>
          <w:p w:rsidR="00000000" w:rsidRDefault="00000000">
            <w:pPr>
              <w:spacing w:before="40" w:after="40"/>
              <w:jc w:val="center"/>
              <w:rPr>
                <w:sz w:val="20"/>
                <w:szCs w:val="20"/>
              </w:rPr>
            </w:pPr>
            <w:r>
              <w:rPr>
                <w:sz w:val="20"/>
                <w:szCs w:val="20"/>
              </w:rPr>
              <w:t>8</w:t>
            </w:r>
          </w:p>
        </w:tc>
        <w:tc>
          <w:tcPr>
            <w:tcW w:w="675" w:type="dxa"/>
            <w:vAlign w:val="center"/>
          </w:tcPr>
          <w:p w:rsidR="00000000" w:rsidRDefault="00000000">
            <w:pPr>
              <w:spacing w:before="40" w:after="40"/>
              <w:jc w:val="center"/>
              <w:rPr>
                <w:sz w:val="20"/>
                <w:szCs w:val="20"/>
              </w:rPr>
            </w:pPr>
            <w:r>
              <w:rPr>
                <w:sz w:val="20"/>
                <w:szCs w:val="20"/>
              </w:rPr>
              <w:t>9</w:t>
            </w:r>
          </w:p>
        </w:tc>
        <w:tc>
          <w:tcPr>
            <w:tcW w:w="677" w:type="dxa"/>
            <w:vAlign w:val="center"/>
          </w:tcPr>
          <w:p w:rsidR="00000000" w:rsidRDefault="00000000">
            <w:pPr>
              <w:spacing w:before="40" w:after="40"/>
              <w:jc w:val="center"/>
              <w:rPr>
                <w:sz w:val="20"/>
                <w:szCs w:val="20"/>
              </w:rPr>
            </w:pPr>
            <w:r>
              <w:rPr>
                <w:sz w:val="20"/>
                <w:szCs w:val="20"/>
              </w:rPr>
              <w:t>10</w:t>
            </w:r>
          </w:p>
        </w:tc>
        <w:tc>
          <w:tcPr>
            <w:tcW w:w="676" w:type="dxa"/>
            <w:vAlign w:val="center"/>
          </w:tcPr>
          <w:p w:rsidR="00000000" w:rsidRDefault="00000000">
            <w:pPr>
              <w:spacing w:before="40" w:after="40"/>
              <w:jc w:val="center"/>
              <w:rPr>
                <w:sz w:val="20"/>
                <w:szCs w:val="20"/>
              </w:rPr>
            </w:pPr>
            <w:r>
              <w:rPr>
                <w:sz w:val="20"/>
                <w:szCs w:val="20"/>
              </w:rPr>
              <w:t>11</w:t>
            </w:r>
          </w:p>
        </w:tc>
        <w:tc>
          <w:tcPr>
            <w:tcW w:w="676" w:type="dxa"/>
            <w:vAlign w:val="center"/>
          </w:tcPr>
          <w:p w:rsidR="00000000" w:rsidRDefault="00000000">
            <w:pPr>
              <w:spacing w:before="40" w:after="40"/>
              <w:jc w:val="center"/>
              <w:rPr>
                <w:sz w:val="20"/>
                <w:szCs w:val="20"/>
              </w:rPr>
            </w:pPr>
            <w:r>
              <w:rPr>
                <w:sz w:val="20"/>
                <w:szCs w:val="20"/>
              </w:rPr>
              <w:t>12</w:t>
            </w:r>
          </w:p>
        </w:tc>
        <w:tc>
          <w:tcPr>
            <w:tcW w:w="680" w:type="dxa"/>
            <w:vAlign w:val="center"/>
          </w:tcPr>
          <w:p w:rsidR="00000000" w:rsidRDefault="00000000">
            <w:pPr>
              <w:spacing w:before="40" w:after="40"/>
              <w:jc w:val="center"/>
              <w:rPr>
                <w:sz w:val="20"/>
                <w:szCs w:val="20"/>
              </w:rPr>
            </w:pPr>
            <w:r>
              <w:rPr>
                <w:sz w:val="20"/>
                <w:szCs w:val="20"/>
              </w:rPr>
              <w:t>13</w:t>
            </w:r>
          </w:p>
        </w:tc>
      </w:tr>
      <w:tr w:rsidR="00000000">
        <w:tblPrEx>
          <w:tblCellMar>
            <w:top w:w="0" w:type="dxa"/>
            <w:bottom w:w="0" w:type="dxa"/>
          </w:tblCellMar>
        </w:tblPrEx>
        <w:trPr>
          <w:cantSplit/>
        </w:trPr>
        <w:tc>
          <w:tcPr>
            <w:tcW w:w="1337" w:type="dxa"/>
          </w:tcPr>
          <w:p w:rsidR="00000000" w:rsidRDefault="00000000">
            <w:pPr>
              <w:spacing w:before="40" w:after="40"/>
              <w:rPr>
                <w:sz w:val="20"/>
                <w:szCs w:val="20"/>
              </w:rPr>
            </w:pPr>
            <w:r>
              <w:rPr>
                <w:sz w:val="20"/>
                <w:szCs w:val="20"/>
              </w:rPr>
              <w:t>Занятые</w:t>
            </w:r>
          </w:p>
        </w:tc>
        <w:tc>
          <w:tcPr>
            <w:tcW w:w="636" w:type="dxa"/>
          </w:tcPr>
          <w:p w:rsidR="00000000" w:rsidRDefault="00000000">
            <w:pPr>
              <w:tabs>
                <w:tab w:val="decimal" w:pos="510"/>
              </w:tabs>
              <w:spacing w:before="40" w:after="40"/>
              <w:rPr>
                <w:sz w:val="20"/>
                <w:szCs w:val="20"/>
              </w:rPr>
            </w:pPr>
            <w:r>
              <w:rPr>
                <w:sz w:val="20"/>
                <w:szCs w:val="20"/>
              </w:rPr>
              <w:t>956</w:t>
            </w:r>
          </w:p>
        </w:tc>
        <w:tc>
          <w:tcPr>
            <w:tcW w:w="675" w:type="dxa"/>
          </w:tcPr>
          <w:p w:rsidR="00000000" w:rsidRDefault="00000000">
            <w:pPr>
              <w:tabs>
                <w:tab w:val="decimal" w:pos="510"/>
              </w:tabs>
              <w:spacing w:before="40" w:after="40"/>
              <w:rPr>
                <w:sz w:val="20"/>
                <w:szCs w:val="20"/>
              </w:rPr>
            </w:pPr>
            <w:r>
              <w:rPr>
                <w:sz w:val="20"/>
                <w:szCs w:val="20"/>
              </w:rPr>
              <w:t>957</w:t>
            </w:r>
          </w:p>
        </w:tc>
        <w:tc>
          <w:tcPr>
            <w:tcW w:w="677" w:type="dxa"/>
          </w:tcPr>
          <w:p w:rsidR="00000000" w:rsidRDefault="00000000">
            <w:pPr>
              <w:tabs>
                <w:tab w:val="decimal" w:pos="510"/>
              </w:tabs>
              <w:spacing w:before="40" w:after="40"/>
              <w:rPr>
                <w:sz w:val="20"/>
                <w:szCs w:val="20"/>
              </w:rPr>
            </w:pPr>
            <w:r>
              <w:rPr>
                <w:sz w:val="20"/>
                <w:szCs w:val="20"/>
              </w:rPr>
              <w:t>931</w:t>
            </w:r>
          </w:p>
        </w:tc>
        <w:tc>
          <w:tcPr>
            <w:tcW w:w="675" w:type="dxa"/>
          </w:tcPr>
          <w:p w:rsidR="00000000" w:rsidRDefault="00000000">
            <w:pPr>
              <w:tabs>
                <w:tab w:val="decimal" w:pos="510"/>
              </w:tabs>
              <w:spacing w:before="40" w:after="40"/>
              <w:rPr>
                <w:sz w:val="20"/>
                <w:szCs w:val="20"/>
              </w:rPr>
            </w:pPr>
            <w:r>
              <w:rPr>
                <w:sz w:val="20"/>
                <w:szCs w:val="20"/>
              </w:rPr>
              <w:t>832</w:t>
            </w:r>
          </w:p>
        </w:tc>
        <w:tc>
          <w:tcPr>
            <w:tcW w:w="675" w:type="dxa"/>
          </w:tcPr>
          <w:p w:rsidR="00000000" w:rsidRDefault="00000000">
            <w:pPr>
              <w:tabs>
                <w:tab w:val="decimal" w:pos="510"/>
              </w:tabs>
              <w:spacing w:before="40" w:after="40"/>
              <w:rPr>
                <w:sz w:val="20"/>
                <w:szCs w:val="20"/>
              </w:rPr>
            </w:pPr>
            <w:r>
              <w:rPr>
                <w:sz w:val="20"/>
                <w:szCs w:val="20"/>
              </w:rPr>
              <w:t>807</w:t>
            </w:r>
          </w:p>
        </w:tc>
        <w:tc>
          <w:tcPr>
            <w:tcW w:w="677" w:type="dxa"/>
          </w:tcPr>
          <w:p w:rsidR="00000000" w:rsidRDefault="00000000">
            <w:pPr>
              <w:tabs>
                <w:tab w:val="decimal" w:pos="510"/>
              </w:tabs>
              <w:spacing w:before="40" w:after="40"/>
              <w:rPr>
                <w:sz w:val="20"/>
                <w:szCs w:val="20"/>
              </w:rPr>
            </w:pPr>
            <w:r>
              <w:rPr>
                <w:sz w:val="20"/>
                <w:szCs w:val="20"/>
              </w:rPr>
              <w:t>675</w:t>
            </w:r>
          </w:p>
        </w:tc>
        <w:tc>
          <w:tcPr>
            <w:tcW w:w="675" w:type="dxa"/>
          </w:tcPr>
          <w:p w:rsidR="00000000" w:rsidRDefault="00000000">
            <w:pPr>
              <w:tabs>
                <w:tab w:val="decimal" w:pos="510"/>
              </w:tabs>
              <w:spacing w:before="40" w:after="40"/>
              <w:rPr>
                <w:sz w:val="20"/>
                <w:szCs w:val="20"/>
              </w:rPr>
            </w:pPr>
            <w:r>
              <w:rPr>
                <w:sz w:val="20"/>
                <w:szCs w:val="20"/>
              </w:rPr>
              <w:t>977</w:t>
            </w:r>
          </w:p>
        </w:tc>
        <w:tc>
          <w:tcPr>
            <w:tcW w:w="675" w:type="dxa"/>
          </w:tcPr>
          <w:p w:rsidR="00000000" w:rsidRDefault="00000000">
            <w:pPr>
              <w:tabs>
                <w:tab w:val="decimal" w:pos="510"/>
              </w:tabs>
              <w:spacing w:before="40" w:after="40"/>
              <w:rPr>
                <w:sz w:val="20"/>
                <w:szCs w:val="20"/>
              </w:rPr>
            </w:pPr>
            <w:r>
              <w:rPr>
                <w:sz w:val="20"/>
                <w:szCs w:val="20"/>
              </w:rPr>
              <w:t>976</w:t>
            </w:r>
          </w:p>
        </w:tc>
        <w:tc>
          <w:tcPr>
            <w:tcW w:w="677" w:type="dxa"/>
          </w:tcPr>
          <w:p w:rsidR="00000000" w:rsidRDefault="00000000">
            <w:pPr>
              <w:tabs>
                <w:tab w:val="decimal" w:pos="510"/>
              </w:tabs>
              <w:spacing w:before="40" w:after="40"/>
              <w:rPr>
                <w:sz w:val="20"/>
                <w:szCs w:val="20"/>
              </w:rPr>
            </w:pPr>
            <w:r>
              <w:rPr>
                <w:sz w:val="20"/>
                <w:szCs w:val="20"/>
              </w:rPr>
              <w:t>967</w:t>
            </w:r>
          </w:p>
        </w:tc>
        <w:tc>
          <w:tcPr>
            <w:tcW w:w="676" w:type="dxa"/>
          </w:tcPr>
          <w:p w:rsidR="00000000" w:rsidRDefault="00000000">
            <w:pPr>
              <w:tabs>
                <w:tab w:val="decimal" w:pos="510"/>
              </w:tabs>
              <w:spacing w:before="40" w:after="40"/>
              <w:rPr>
                <w:sz w:val="20"/>
                <w:szCs w:val="20"/>
              </w:rPr>
            </w:pPr>
            <w:r>
              <w:rPr>
                <w:sz w:val="20"/>
                <w:szCs w:val="20"/>
              </w:rPr>
              <w:t>900</w:t>
            </w:r>
          </w:p>
        </w:tc>
        <w:tc>
          <w:tcPr>
            <w:tcW w:w="676" w:type="dxa"/>
          </w:tcPr>
          <w:p w:rsidR="00000000" w:rsidRDefault="00000000">
            <w:pPr>
              <w:tabs>
                <w:tab w:val="decimal" w:pos="510"/>
              </w:tabs>
              <w:spacing w:before="40" w:after="40"/>
              <w:rPr>
                <w:sz w:val="20"/>
                <w:szCs w:val="20"/>
              </w:rPr>
            </w:pPr>
            <w:r>
              <w:rPr>
                <w:sz w:val="20"/>
                <w:szCs w:val="20"/>
              </w:rPr>
              <w:t>884</w:t>
            </w:r>
          </w:p>
        </w:tc>
        <w:tc>
          <w:tcPr>
            <w:tcW w:w="680" w:type="dxa"/>
          </w:tcPr>
          <w:p w:rsidR="00000000" w:rsidRDefault="00000000">
            <w:pPr>
              <w:tabs>
                <w:tab w:val="decimal" w:pos="510"/>
              </w:tabs>
              <w:spacing w:before="40" w:after="40"/>
              <w:rPr>
                <w:sz w:val="20"/>
                <w:szCs w:val="20"/>
              </w:rPr>
            </w:pPr>
            <w:r>
              <w:rPr>
                <w:sz w:val="20"/>
                <w:szCs w:val="20"/>
              </w:rPr>
              <w:t>768</w:t>
            </w:r>
          </w:p>
        </w:tc>
      </w:tr>
      <w:tr w:rsidR="00000000">
        <w:tblPrEx>
          <w:tblCellMar>
            <w:top w:w="0" w:type="dxa"/>
            <w:bottom w:w="0" w:type="dxa"/>
          </w:tblCellMar>
        </w:tblPrEx>
        <w:trPr>
          <w:cantSplit/>
        </w:trPr>
        <w:tc>
          <w:tcPr>
            <w:tcW w:w="1337" w:type="dxa"/>
          </w:tcPr>
          <w:p w:rsidR="00000000" w:rsidRDefault="00000000">
            <w:pPr>
              <w:spacing w:before="40" w:after="40"/>
              <w:rPr>
                <w:sz w:val="20"/>
                <w:szCs w:val="20"/>
              </w:rPr>
            </w:pPr>
            <w:r>
              <w:rPr>
                <w:sz w:val="20"/>
                <w:szCs w:val="20"/>
              </w:rPr>
              <w:t>Безработные</w:t>
            </w:r>
          </w:p>
        </w:tc>
        <w:tc>
          <w:tcPr>
            <w:tcW w:w="636" w:type="dxa"/>
          </w:tcPr>
          <w:p w:rsidR="00000000" w:rsidRDefault="00000000">
            <w:pPr>
              <w:tabs>
                <w:tab w:val="decimal" w:pos="510"/>
              </w:tabs>
              <w:spacing w:before="40" w:after="40"/>
              <w:rPr>
                <w:sz w:val="20"/>
                <w:szCs w:val="20"/>
              </w:rPr>
            </w:pPr>
            <w:r>
              <w:rPr>
                <w:sz w:val="20"/>
                <w:szCs w:val="20"/>
              </w:rPr>
              <w:t>22</w:t>
            </w:r>
          </w:p>
        </w:tc>
        <w:tc>
          <w:tcPr>
            <w:tcW w:w="675" w:type="dxa"/>
          </w:tcPr>
          <w:p w:rsidR="00000000" w:rsidRDefault="00000000">
            <w:pPr>
              <w:tabs>
                <w:tab w:val="decimal" w:pos="510"/>
              </w:tabs>
              <w:spacing w:before="40" w:after="40"/>
              <w:rPr>
                <w:sz w:val="20"/>
                <w:szCs w:val="20"/>
              </w:rPr>
            </w:pPr>
            <w:r>
              <w:rPr>
                <w:sz w:val="20"/>
                <w:szCs w:val="20"/>
              </w:rPr>
              <w:t>15</w:t>
            </w:r>
          </w:p>
        </w:tc>
        <w:tc>
          <w:tcPr>
            <w:tcW w:w="677" w:type="dxa"/>
          </w:tcPr>
          <w:p w:rsidR="00000000" w:rsidRDefault="00000000">
            <w:pPr>
              <w:tabs>
                <w:tab w:val="decimal" w:pos="510"/>
              </w:tabs>
              <w:spacing w:before="40" w:after="40"/>
              <w:rPr>
                <w:sz w:val="20"/>
                <w:szCs w:val="20"/>
              </w:rPr>
            </w:pPr>
            <w:r>
              <w:rPr>
                <w:sz w:val="20"/>
                <w:szCs w:val="20"/>
              </w:rPr>
              <w:t>23</w:t>
            </w:r>
          </w:p>
        </w:tc>
        <w:tc>
          <w:tcPr>
            <w:tcW w:w="675" w:type="dxa"/>
          </w:tcPr>
          <w:p w:rsidR="00000000" w:rsidRDefault="00000000">
            <w:pPr>
              <w:tabs>
                <w:tab w:val="decimal" w:pos="510"/>
              </w:tabs>
              <w:spacing w:before="40" w:after="40"/>
              <w:rPr>
                <w:sz w:val="20"/>
                <w:szCs w:val="20"/>
              </w:rPr>
            </w:pPr>
            <w:r>
              <w:rPr>
                <w:sz w:val="20"/>
                <w:szCs w:val="20"/>
              </w:rPr>
              <w:t>21</w:t>
            </w:r>
          </w:p>
        </w:tc>
        <w:tc>
          <w:tcPr>
            <w:tcW w:w="675" w:type="dxa"/>
          </w:tcPr>
          <w:p w:rsidR="00000000" w:rsidRDefault="00000000">
            <w:pPr>
              <w:tabs>
                <w:tab w:val="decimal" w:pos="510"/>
              </w:tabs>
              <w:spacing w:before="40" w:after="40"/>
              <w:rPr>
                <w:sz w:val="20"/>
                <w:szCs w:val="20"/>
              </w:rPr>
            </w:pPr>
            <w:r>
              <w:rPr>
                <w:sz w:val="20"/>
                <w:szCs w:val="20"/>
              </w:rPr>
              <w:t>14</w:t>
            </w:r>
          </w:p>
        </w:tc>
        <w:tc>
          <w:tcPr>
            <w:tcW w:w="677" w:type="dxa"/>
          </w:tcPr>
          <w:p w:rsidR="00000000" w:rsidRDefault="00000000">
            <w:pPr>
              <w:tabs>
                <w:tab w:val="decimal" w:pos="510"/>
              </w:tabs>
              <w:spacing w:before="40" w:after="40"/>
              <w:rPr>
                <w:sz w:val="20"/>
                <w:szCs w:val="20"/>
              </w:rPr>
            </w:pPr>
            <w:r>
              <w:rPr>
                <w:sz w:val="20"/>
                <w:szCs w:val="20"/>
              </w:rPr>
              <w:t>8</w:t>
            </w:r>
          </w:p>
        </w:tc>
        <w:tc>
          <w:tcPr>
            <w:tcW w:w="675" w:type="dxa"/>
          </w:tcPr>
          <w:p w:rsidR="00000000" w:rsidRDefault="00000000">
            <w:pPr>
              <w:tabs>
                <w:tab w:val="decimal" w:pos="510"/>
              </w:tabs>
              <w:spacing w:before="40" w:after="40"/>
              <w:rPr>
                <w:sz w:val="20"/>
                <w:szCs w:val="20"/>
              </w:rPr>
            </w:pPr>
            <w:r>
              <w:rPr>
                <w:sz w:val="20"/>
                <w:szCs w:val="20"/>
              </w:rPr>
              <w:t>11</w:t>
            </w:r>
          </w:p>
        </w:tc>
        <w:tc>
          <w:tcPr>
            <w:tcW w:w="675" w:type="dxa"/>
          </w:tcPr>
          <w:p w:rsidR="00000000" w:rsidRDefault="00000000">
            <w:pPr>
              <w:tabs>
                <w:tab w:val="decimal" w:pos="510"/>
              </w:tabs>
              <w:spacing w:before="40" w:after="40"/>
              <w:rPr>
                <w:sz w:val="20"/>
                <w:szCs w:val="20"/>
              </w:rPr>
            </w:pPr>
            <w:r>
              <w:rPr>
                <w:sz w:val="20"/>
                <w:szCs w:val="20"/>
              </w:rPr>
              <w:t>11</w:t>
            </w:r>
          </w:p>
        </w:tc>
        <w:tc>
          <w:tcPr>
            <w:tcW w:w="677" w:type="dxa"/>
          </w:tcPr>
          <w:p w:rsidR="00000000" w:rsidRDefault="00000000">
            <w:pPr>
              <w:tabs>
                <w:tab w:val="decimal" w:pos="510"/>
              </w:tabs>
              <w:spacing w:before="40" w:after="40"/>
              <w:rPr>
                <w:sz w:val="20"/>
                <w:szCs w:val="20"/>
              </w:rPr>
            </w:pPr>
            <w:r>
              <w:rPr>
                <w:sz w:val="20"/>
                <w:szCs w:val="20"/>
              </w:rPr>
              <w:t>17</w:t>
            </w:r>
          </w:p>
        </w:tc>
        <w:tc>
          <w:tcPr>
            <w:tcW w:w="676" w:type="dxa"/>
          </w:tcPr>
          <w:p w:rsidR="00000000" w:rsidRDefault="00000000">
            <w:pPr>
              <w:tabs>
                <w:tab w:val="decimal" w:pos="510"/>
              </w:tabs>
              <w:spacing w:before="40" w:after="40"/>
              <w:rPr>
                <w:sz w:val="20"/>
                <w:szCs w:val="20"/>
              </w:rPr>
            </w:pPr>
            <w:r>
              <w:rPr>
                <w:sz w:val="20"/>
                <w:szCs w:val="20"/>
              </w:rPr>
              <w:t>9</w:t>
            </w:r>
          </w:p>
        </w:tc>
        <w:tc>
          <w:tcPr>
            <w:tcW w:w="676" w:type="dxa"/>
          </w:tcPr>
          <w:p w:rsidR="00000000" w:rsidRDefault="00000000">
            <w:pPr>
              <w:tabs>
                <w:tab w:val="decimal" w:pos="510"/>
              </w:tabs>
              <w:spacing w:before="40" w:after="40"/>
              <w:rPr>
                <w:sz w:val="20"/>
                <w:szCs w:val="20"/>
              </w:rPr>
            </w:pPr>
            <w:r>
              <w:rPr>
                <w:sz w:val="20"/>
                <w:szCs w:val="20"/>
              </w:rPr>
              <w:t>9</w:t>
            </w:r>
          </w:p>
        </w:tc>
        <w:tc>
          <w:tcPr>
            <w:tcW w:w="680" w:type="dxa"/>
          </w:tcPr>
          <w:p w:rsidR="00000000" w:rsidRDefault="00000000">
            <w:pPr>
              <w:tabs>
                <w:tab w:val="decimal" w:pos="510"/>
              </w:tabs>
              <w:spacing w:before="40" w:after="40"/>
              <w:rPr>
                <w:sz w:val="20"/>
                <w:szCs w:val="20"/>
              </w:rPr>
            </w:pPr>
            <w:r>
              <w:rPr>
                <w:sz w:val="20"/>
                <w:szCs w:val="20"/>
              </w:rPr>
              <w:t>17</w:t>
            </w:r>
          </w:p>
        </w:tc>
      </w:tr>
      <w:tr w:rsidR="00000000">
        <w:tblPrEx>
          <w:tblCellMar>
            <w:top w:w="0" w:type="dxa"/>
            <w:bottom w:w="0" w:type="dxa"/>
          </w:tblCellMar>
        </w:tblPrEx>
        <w:trPr>
          <w:cantSplit/>
        </w:trPr>
        <w:tc>
          <w:tcPr>
            <w:tcW w:w="1337" w:type="dxa"/>
          </w:tcPr>
          <w:p w:rsidR="00000000" w:rsidRDefault="00000000">
            <w:pPr>
              <w:spacing w:before="40" w:after="40"/>
              <w:rPr>
                <w:sz w:val="20"/>
                <w:szCs w:val="20"/>
              </w:rPr>
            </w:pPr>
            <w:r>
              <w:rPr>
                <w:sz w:val="20"/>
                <w:szCs w:val="20"/>
              </w:rPr>
              <w:t>Не относящие-ся к самодея-тельному населению</w:t>
            </w:r>
          </w:p>
        </w:tc>
        <w:tc>
          <w:tcPr>
            <w:tcW w:w="636" w:type="dxa"/>
          </w:tcPr>
          <w:p w:rsidR="00000000" w:rsidRDefault="00000000">
            <w:pPr>
              <w:tabs>
                <w:tab w:val="decimal" w:pos="510"/>
              </w:tabs>
              <w:spacing w:before="40" w:after="40"/>
              <w:rPr>
                <w:sz w:val="20"/>
                <w:szCs w:val="20"/>
              </w:rPr>
            </w:pPr>
            <w:r>
              <w:rPr>
                <w:sz w:val="20"/>
                <w:szCs w:val="20"/>
              </w:rPr>
              <w:t>22</w:t>
            </w:r>
          </w:p>
        </w:tc>
        <w:tc>
          <w:tcPr>
            <w:tcW w:w="675" w:type="dxa"/>
          </w:tcPr>
          <w:p w:rsidR="00000000" w:rsidRDefault="00000000">
            <w:pPr>
              <w:tabs>
                <w:tab w:val="decimal" w:pos="510"/>
              </w:tabs>
              <w:spacing w:before="40" w:after="40"/>
              <w:rPr>
                <w:sz w:val="20"/>
                <w:szCs w:val="20"/>
              </w:rPr>
            </w:pPr>
            <w:r>
              <w:rPr>
                <w:sz w:val="20"/>
                <w:szCs w:val="20"/>
              </w:rPr>
              <w:t>28</w:t>
            </w:r>
          </w:p>
        </w:tc>
        <w:tc>
          <w:tcPr>
            <w:tcW w:w="677" w:type="dxa"/>
          </w:tcPr>
          <w:p w:rsidR="00000000" w:rsidRDefault="00000000">
            <w:pPr>
              <w:tabs>
                <w:tab w:val="decimal" w:pos="510"/>
              </w:tabs>
              <w:spacing w:before="40" w:after="40"/>
              <w:rPr>
                <w:sz w:val="20"/>
                <w:szCs w:val="20"/>
              </w:rPr>
            </w:pPr>
            <w:r>
              <w:rPr>
                <w:sz w:val="20"/>
                <w:szCs w:val="20"/>
              </w:rPr>
              <w:t>46</w:t>
            </w:r>
          </w:p>
        </w:tc>
        <w:tc>
          <w:tcPr>
            <w:tcW w:w="675" w:type="dxa"/>
          </w:tcPr>
          <w:p w:rsidR="00000000" w:rsidRDefault="00000000">
            <w:pPr>
              <w:tabs>
                <w:tab w:val="decimal" w:pos="510"/>
              </w:tabs>
              <w:spacing w:before="40" w:after="40"/>
              <w:rPr>
                <w:sz w:val="20"/>
                <w:szCs w:val="20"/>
              </w:rPr>
            </w:pPr>
            <w:r>
              <w:rPr>
                <w:sz w:val="20"/>
                <w:szCs w:val="20"/>
              </w:rPr>
              <w:t>148</w:t>
            </w:r>
          </w:p>
        </w:tc>
        <w:tc>
          <w:tcPr>
            <w:tcW w:w="675" w:type="dxa"/>
          </w:tcPr>
          <w:p w:rsidR="00000000" w:rsidRDefault="00000000">
            <w:pPr>
              <w:tabs>
                <w:tab w:val="decimal" w:pos="510"/>
              </w:tabs>
              <w:spacing w:before="40" w:after="40"/>
              <w:rPr>
                <w:sz w:val="20"/>
                <w:szCs w:val="20"/>
              </w:rPr>
            </w:pPr>
            <w:r>
              <w:rPr>
                <w:sz w:val="20"/>
                <w:szCs w:val="20"/>
              </w:rPr>
              <w:t>179</w:t>
            </w:r>
          </w:p>
        </w:tc>
        <w:tc>
          <w:tcPr>
            <w:tcW w:w="677" w:type="dxa"/>
          </w:tcPr>
          <w:p w:rsidR="00000000" w:rsidRDefault="00000000">
            <w:pPr>
              <w:tabs>
                <w:tab w:val="decimal" w:pos="510"/>
              </w:tabs>
              <w:spacing w:before="40" w:after="40"/>
              <w:rPr>
                <w:sz w:val="20"/>
                <w:szCs w:val="20"/>
              </w:rPr>
            </w:pPr>
            <w:r>
              <w:rPr>
                <w:sz w:val="20"/>
                <w:szCs w:val="20"/>
              </w:rPr>
              <w:t>317</w:t>
            </w:r>
          </w:p>
        </w:tc>
        <w:tc>
          <w:tcPr>
            <w:tcW w:w="675" w:type="dxa"/>
          </w:tcPr>
          <w:p w:rsidR="00000000" w:rsidRDefault="00000000">
            <w:pPr>
              <w:tabs>
                <w:tab w:val="decimal" w:pos="510"/>
              </w:tabs>
              <w:spacing w:before="40" w:after="40"/>
              <w:rPr>
                <w:sz w:val="20"/>
                <w:szCs w:val="20"/>
              </w:rPr>
            </w:pPr>
            <w:r>
              <w:rPr>
                <w:sz w:val="20"/>
                <w:szCs w:val="20"/>
              </w:rPr>
              <w:t>12</w:t>
            </w:r>
          </w:p>
        </w:tc>
        <w:tc>
          <w:tcPr>
            <w:tcW w:w="675" w:type="dxa"/>
          </w:tcPr>
          <w:p w:rsidR="00000000" w:rsidRDefault="00000000">
            <w:pPr>
              <w:tabs>
                <w:tab w:val="decimal" w:pos="510"/>
              </w:tabs>
              <w:spacing w:before="40" w:after="40"/>
              <w:rPr>
                <w:sz w:val="20"/>
                <w:szCs w:val="20"/>
              </w:rPr>
            </w:pPr>
            <w:r>
              <w:rPr>
                <w:sz w:val="20"/>
                <w:szCs w:val="20"/>
              </w:rPr>
              <w:t>12</w:t>
            </w:r>
          </w:p>
        </w:tc>
        <w:tc>
          <w:tcPr>
            <w:tcW w:w="677" w:type="dxa"/>
          </w:tcPr>
          <w:p w:rsidR="00000000" w:rsidRDefault="00000000">
            <w:pPr>
              <w:tabs>
                <w:tab w:val="decimal" w:pos="510"/>
              </w:tabs>
              <w:spacing w:before="40" w:after="40"/>
              <w:rPr>
                <w:sz w:val="20"/>
                <w:szCs w:val="20"/>
              </w:rPr>
            </w:pPr>
            <w:r>
              <w:rPr>
                <w:sz w:val="20"/>
                <w:szCs w:val="20"/>
              </w:rPr>
              <w:t>16</w:t>
            </w:r>
          </w:p>
        </w:tc>
        <w:tc>
          <w:tcPr>
            <w:tcW w:w="676" w:type="dxa"/>
          </w:tcPr>
          <w:p w:rsidR="00000000" w:rsidRDefault="00000000">
            <w:pPr>
              <w:tabs>
                <w:tab w:val="decimal" w:pos="510"/>
              </w:tabs>
              <w:spacing w:before="40" w:after="40"/>
              <w:rPr>
                <w:sz w:val="20"/>
                <w:szCs w:val="20"/>
              </w:rPr>
            </w:pPr>
            <w:r>
              <w:rPr>
                <w:sz w:val="20"/>
                <w:szCs w:val="20"/>
              </w:rPr>
              <w:t>91</w:t>
            </w:r>
          </w:p>
        </w:tc>
        <w:tc>
          <w:tcPr>
            <w:tcW w:w="676" w:type="dxa"/>
          </w:tcPr>
          <w:p w:rsidR="00000000" w:rsidRDefault="00000000">
            <w:pPr>
              <w:tabs>
                <w:tab w:val="decimal" w:pos="510"/>
              </w:tabs>
              <w:spacing w:before="40" w:after="40"/>
              <w:rPr>
                <w:sz w:val="20"/>
                <w:szCs w:val="20"/>
              </w:rPr>
            </w:pPr>
            <w:r>
              <w:rPr>
                <w:sz w:val="20"/>
                <w:szCs w:val="20"/>
              </w:rPr>
              <w:t>17</w:t>
            </w:r>
          </w:p>
        </w:tc>
        <w:tc>
          <w:tcPr>
            <w:tcW w:w="680" w:type="dxa"/>
          </w:tcPr>
          <w:p w:rsidR="00000000" w:rsidRDefault="00000000">
            <w:pPr>
              <w:tabs>
                <w:tab w:val="decimal" w:pos="510"/>
              </w:tabs>
              <w:spacing w:before="40" w:after="40"/>
              <w:rPr>
                <w:sz w:val="20"/>
                <w:szCs w:val="20"/>
              </w:rPr>
            </w:pPr>
            <w:r>
              <w:rPr>
                <w:sz w:val="20"/>
                <w:szCs w:val="20"/>
              </w:rPr>
              <w:t>215</w:t>
            </w:r>
          </w:p>
        </w:tc>
      </w:tr>
      <w:tr w:rsidR="00000000">
        <w:tblPrEx>
          <w:tblCellMar>
            <w:top w:w="0" w:type="dxa"/>
            <w:bottom w:w="0" w:type="dxa"/>
          </w:tblCellMar>
        </w:tblPrEx>
        <w:trPr>
          <w:cantSplit/>
        </w:trPr>
        <w:tc>
          <w:tcPr>
            <w:tcW w:w="1337" w:type="dxa"/>
          </w:tcPr>
          <w:p w:rsidR="00000000" w:rsidRDefault="00000000">
            <w:pPr>
              <w:spacing w:before="40" w:after="40"/>
              <w:rPr>
                <w:sz w:val="20"/>
                <w:szCs w:val="20"/>
              </w:rPr>
            </w:pPr>
            <w:r>
              <w:rPr>
                <w:sz w:val="20"/>
                <w:szCs w:val="20"/>
              </w:rPr>
              <w:t>Все категории</w:t>
            </w:r>
          </w:p>
        </w:tc>
        <w:tc>
          <w:tcPr>
            <w:tcW w:w="636" w:type="dxa"/>
          </w:tcPr>
          <w:p w:rsidR="00000000" w:rsidRDefault="00000000">
            <w:pPr>
              <w:tabs>
                <w:tab w:val="decimal" w:pos="510"/>
              </w:tabs>
              <w:spacing w:before="40" w:after="40"/>
              <w:rPr>
                <w:sz w:val="20"/>
                <w:szCs w:val="20"/>
              </w:rPr>
            </w:pPr>
            <w:r>
              <w:rPr>
                <w:sz w:val="20"/>
                <w:szCs w:val="20"/>
              </w:rPr>
              <w:t>1 000</w:t>
            </w:r>
          </w:p>
        </w:tc>
        <w:tc>
          <w:tcPr>
            <w:tcW w:w="675" w:type="dxa"/>
          </w:tcPr>
          <w:p w:rsidR="00000000" w:rsidRDefault="00000000">
            <w:pPr>
              <w:tabs>
                <w:tab w:val="decimal" w:pos="510"/>
              </w:tabs>
              <w:spacing w:before="40" w:after="40"/>
              <w:rPr>
                <w:sz w:val="20"/>
                <w:szCs w:val="20"/>
              </w:rPr>
            </w:pPr>
            <w:r>
              <w:rPr>
                <w:sz w:val="20"/>
                <w:szCs w:val="20"/>
              </w:rPr>
              <w:t>1 000</w:t>
            </w:r>
          </w:p>
        </w:tc>
        <w:tc>
          <w:tcPr>
            <w:tcW w:w="677" w:type="dxa"/>
          </w:tcPr>
          <w:p w:rsidR="00000000" w:rsidRDefault="00000000">
            <w:pPr>
              <w:tabs>
                <w:tab w:val="decimal" w:pos="510"/>
              </w:tabs>
              <w:spacing w:before="40" w:after="40"/>
              <w:rPr>
                <w:sz w:val="20"/>
                <w:szCs w:val="20"/>
              </w:rPr>
            </w:pPr>
            <w:r>
              <w:rPr>
                <w:sz w:val="20"/>
                <w:szCs w:val="20"/>
              </w:rPr>
              <w:t>1 000</w:t>
            </w:r>
          </w:p>
        </w:tc>
        <w:tc>
          <w:tcPr>
            <w:tcW w:w="675" w:type="dxa"/>
          </w:tcPr>
          <w:p w:rsidR="00000000" w:rsidRDefault="00000000">
            <w:pPr>
              <w:tabs>
                <w:tab w:val="decimal" w:pos="510"/>
              </w:tabs>
              <w:spacing w:before="40" w:after="40"/>
              <w:rPr>
                <w:sz w:val="20"/>
                <w:szCs w:val="20"/>
              </w:rPr>
            </w:pPr>
            <w:r>
              <w:rPr>
                <w:sz w:val="20"/>
                <w:szCs w:val="20"/>
              </w:rPr>
              <w:t>1 000</w:t>
            </w:r>
          </w:p>
        </w:tc>
        <w:tc>
          <w:tcPr>
            <w:tcW w:w="675" w:type="dxa"/>
          </w:tcPr>
          <w:p w:rsidR="00000000" w:rsidRDefault="00000000">
            <w:pPr>
              <w:tabs>
                <w:tab w:val="decimal" w:pos="510"/>
              </w:tabs>
              <w:spacing w:before="40" w:after="40"/>
              <w:rPr>
                <w:sz w:val="20"/>
                <w:szCs w:val="20"/>
              </w:rPr>
            </w:pPr>
            <w:r>
              <w:rPr>
                <w:sz w:val="20"/>
                <w:szCs w:val="20"/>
              </w:rPr>
              <w:t>1 000</w:t>
            </w:r>
          </w:p>
        </w:tc>
        <w:tc>
          <w:tcPr>
            <w:tcW w:w="677" w:type="dxa"/>
          </w:tcPr>
          <w:p w:rsidR="00000000" w:rsidRDefault="00000000">
            <w:pPr>
              <w:tabs>
                <w:tab w:val="decimal" w:pos="510"/>
              </w:tabs>
              <w:spacing w:before="40" w:after="40"/>
              <w:rPr>
                <w:sz w:val="20"/>
                <w:szCs w:val="20"/>
              </w:rPr>
            </w:pPr>
            <w:r>
              <w:rPr>
                <w:sz w:val="20"/>
                <w:szCs w:val="20"/>
              </w:rPr>
              <w:t>1 000</w:t>
            </w:r>
          </w:p>
        </w:tc>
        <w:tc>
          <w:tcPr>
            <w:tcW w:w="675" w:type="dxa"/>
          </w:tcPr>
          <w:p w:rsidR="00000000" w:rsidRDefault="00000000">
            <w:pPr>
              <w:tabs>
                <w:tab w:val="decimal" w:pos="510"/>
              </w:tabs>
              <w:spacing w:before="40" w:after="40"/>
              <w:rPr>
                <w:sz w:val="20"/>
                <w:szCs w:val="20"/>
              </w:rPr>
            </w:pPr>
            <w:r>
              <w:rPr>
                <w:sz w:val="20"/>
                <w:szCs w:val="20"/>
              </w:rPr>
              <w:t>1 000</w:t>
            </w:r>
          </w:p>
        </w:tc>
        <w:tc>
          <w:tcPr>
            <w:tcW w:w="675" w:type="dxa"/>
          </w:tcPr>
          <w:p w:rsidR="00000000" w:rsidRDefault="00000000">
            <w:pPr>
              <w:tabs>
                <w:tab w:val="decimal" w:pos="510"/>
              </w:tabs>
              <w:spacing w:before="40" w:after="40"/>
              <w:rPr>
                <w:sz w:val="20"/>
                <w:szCs w:val="20"/>
              </w:rPr>
            </w:pPr>
            <w:r>
              <w:rPr>
                <w:sz w:val="20"/>
                <w:szCs w:val="20"/>
              </w:rPr>
              <w:t>1 000</w:t>
            </w:r>
          </w:p>
        </w:tc>
        <w:tc>
          <w:tcPr>
            <w:tcW w:w="677" w:type="dxa"/>
          </w:tcPr>
          <w:p w:rsidR="00000000" w:rsidRDefault="00000000">
            <w:pPr>
              <w:tabs>
                <w:tab w:val="decimal" w:pos="510"/>
              </w:tabs>
              <w:spacing w:before="40" w:after="40"/>
              <w:rPr>
                <w:sz w:val="20"/>
                <w:szCs w:val="20"/>
              </w:rPr>
            </w:pPr>
            <w:r>
              <w:rPr>
                <w:sz w:val="20"/>
                <w:szCs w:val="20"/>
              </w:rPr>
              <w:t>1 000</w:t>
            </w:r>
          </w:p>
        </w:tc>
        <w:tc>
          <w:tcPr>
            <w:tcW w:w="676" w:type="dxa"/>
          </w:tcPr>
          <w:p w:rsidR="00000000" w:rsidRDefault="00000000">
            <w:pPr>
              <w:tabs>
                <w:tab w:val="decimal" w:pos="510"/>
              </w:tabs>
              <w:spacing w:before="40" w:after="40"/>
              <w:rPr>
                <w:sz w:val="20"/>
                <w:szCs w:val="20"/>
              </w:rPr>
            </w:pPr>
            <w:r>
              <w:rPr>
                <w:sz w:val="20"/>
                <w:szCs w:val="20"/>
              </w:rPr>
              <w:t>1 000</w:t>
            </w:r>
          </w:p>
        </w:tc>
        <w:tc>
          <w:tcPr>
            <w:tcW w:w="676" w:type="dxa"/>
          </w:tcPr>
          <w:p w:rsidR="00000000" w:rsidRDefault="00000000">
            <w:pPr>
              <w:tabs>
                <w:tab w:val="decimal" w:pos="510"/>
              </w:tabs>
              <w:spacing w:before="40" w:after="40"/>
              <w:rPr>
                <w:sz w:val="20"/>
                <w:szCs w:val="20"/>
              </w:rPr>
            </w:pPr>
            <w:r>
              <w:rPr>
                <w:sz w:val="20"/>
                <w:szCs w:val="20"/>
              </w:rPr>
              <w:t>1 000</w:t>
            </w:r>
          </w:p>
        </w:tc>
        <w:tc>
          <w:tcPr>
            <w:tcW w:w="680" w:type="dxa"/>
          </w:tcPr>
          <w:p w:rsidR="00000000" w:rsidRDefault="00000000">
            <w:pPr>
              <w:tabs>
                <w:tab w:val="decimal" w:pos="510"/>
              </w:tabs>
              <w:spacing w:before="40" w:after="40"/>
              <w:rPr>
                <w:sz w:val="20"/>
                <w:szCs w:val="20"/>
              </w:rPr>
            </w:pPr>
            <w:r>
              <w:rPr>
                <w:sz w:val="20"/>
                <w:szCs w:val="20"/>
              </w:rPr>
              <w:t>1 000</w:t>
            </w:r>
          </w:p>
        </w:tc>
      </w:tr>
    </w:tbl>
    <w:p w:rsidR="00000000" w:rsidRDefault="00000000">
      <w:pPr>
        <w:pStyle w:val="a3"/>
        <w:spacing w:before="240"/>
        <w:rPr>
          <w:lang w:val="en-US"/>
        </w:rPr>
      </w:pPr>
      <w:r>
        <w:rPr>
          <w:b/>
          <w:bCs/>
        </w:rPr>
        <w:t>Источник</w:t>
      </w:r>
      <w:r>
        <w:rPr>
          <w:b/>
          <w:bCs/>
          <w:lang w:val="en-US"/>
        </w:rPr>
        <w:t>:</w:t>
      </w:r>
      <w:r>
        <w:rPr>
          <w:lang w:val="en-US"/>
        </w:rPr>
        <w:t xml:space="preserve"> Table 8.1 of NSS Report No. 458, Part-I, p. 154.</w:t>
      </w:r>
    </w:p>
    <w:p w:rsidR="00000000" w:rsidRDefault="00000000">
      <w:pPr>
        <w:tabs>
          <w:tab w:val="left" w:pos="567"/>
          <w:tab w:val="left" w:pos="1134"/>
          <w:tab w:val="left" w:pos="1701"/>
          <w:tab w:val="left" w:pos="2268"/>
          <w:tab w:val="right" w:leader="dot" w:pos="7541"/>
          <w:tab w:val="center" w:pos="8039"/>
          <w:tab w:val="center" w:pos="9122"/>
        </w:tabs>
        <w:jc w:val="both"/>
        <w:rPr>
          <w:sz w:val="24"/>
          <w:lang w:val="en-US"/>
        </w:rPr>
      </w:pPr>
    </w:p>
    <w:p w:rsidR="00000000" w:rsidRDefault="00000000">
      <w:pPr>
        <w:pStyle w:val="112"/>
      </w:pPr>
      <w:r>
        <w:t>18.</w:t>
      </w:r>
      <w:r>
        <w:tab/>
        <w:t>Однако уровень неполной занятости варьируется в зависимости от категории трудящихся.  На таблице 6.7 показано, что доля обычно занятых, которые более или менее регулярно не работали в течение года, на 1000 занятых с учетом обычного основного статуса по всей Индии была выше в сельской местности, чем в городских районах, и выше среди женщин, чем среди мужчин.  Кроме того, среди различных категорий трудящихся самой высокой является эта доля среди лиц, не имеющих постоянной работы.</w:t>
      </w:r>
    </w:p>
    <w:p w:rsidR="00000000" w:rsidRDefault="00000000">
      <w:pPr>
        <w:tabs>
          <w:tab w:val="left" w:pos="567"/>
          <w:tab w:val="left" w:pos="1134"/>
          <w:tab w:val="left" w:pos="1701"/>
          <w:tab w:val="left" w:pos="2268"/>
          <w:tab w:val="right" w:leader="dot" w:pos="7541"/>
          <w:tab w:val="center" w:pos="8039"/>
          <w:tab w:val="center" w:pos="9122"/>
        </w:tabs>
        <w:rPr>
          <w:sz w:val="24"/>
        </w:rPr>
      </w:pPr>
    </w:p>
    <w:p w:rsidR="00000000" w:rsidRDefault="00000000">
      <w:pPr>
        <w:pStyle w:val="112"/>
        <w:jc w:val="left"/>
        <w:rPr>
          <w:b/>
          <w:bCs/>
        </w:rPr>
      </w:pPr>
      <w:r>
        <w:rPr>
          <w:b/>
          <w:bCs/>
        </w:rPr>
        <w:t xml:space="preserve">Таблица 6.7 </w:t>
      </w:r>
      <w:r>
        <w:rPr>
          <w:b/>
          <w:bCs/>
          <w:szCs w:val="22"/>
        </w:rPr>
        <w:t xml:space="preserve">– </w:t>
      </w:r>
      <w:r>
        <w:rPr>
          <w:b/>
          <w:bCs/>
        </w:rPr>
        <w:t xml:space="preserve">Число занятых, которые более или менее регулярно работали в течение года, </w:t>
      </w:r>
      <w:r>
        <w:rPr>
          <w:b/>
          <w:bCs/>
        </w:rPr>
        <w:br/>
        <w:t>на 1000 занятых с учетом обычного основного статуса</w:t>
      </w:r>
    </w:p>
    <w:p w:rsidR="00000000" w:rsidRDefault="00000000">
      <w:pPr>
        <w:tabs>
          <w:tab w:val="left" w:pos="567"/>
          <w:tab w:val="left" w:pos="1134"/>
          <w:tab w:val="left" w:pos="1701"/>
          <w:tab w:val="left" w:pos="2268"/>
          <w:tab w:val="right" w:leader="dot" w:pos="7541"/>
          <w:tab w:val="center" w:pos="8039"/>
          <w:tab w:val="center" w:pos="9122"/>
        </w:tabs>
        <w:jc w:val="both"/>
        <w:rPr>
          <w:sz w:val="24"/>
        </w:rPr>
      </w:pPr>
    </w:p>
    <w:p w:rsidR="00000000" w:rsidRDefault="00000000">
      <w:pPr>
        <w:tabs>
          <w:tab w:val="left" w:pos="567"/>
          <w:tab w:val="left" w:pos="1134"/>
          <w:tab w:val="left" w:pos="1701"/>
          <w:tab w:val="left" w:pos="2268"/>
          <w:tab w:val="right" w:leader="dot" w:pos="7541"/>
          <w:tab w:val="center" w:pos="8039"/>
          <w:tab w:val="center" w:pos="9122"/>
        </w:tabs>
        <w:jc w:val="both"/>
        <w:rPr>
          <w:sz w:val="22"/>
          <w:szCs w:val="22"/>
        </w:rPr>
      </w:pPr>
      <w:r>
        <w:rPr>
          <w:sz w:val="22"/>
          <w:szCs w:val="22"/>
        </w:rPr>
        <w:t>Вся Индия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3"/>
        <w:gridCol w:w="1878"/>
        <w:gridCol w:w="1878"/>
        <w:gridCol w:w="1669"/>
        <w:gridCol w:w="1711"/>
      </w:tblGrid>
      <w:tr w:rsidR="00000000">
        <w:tblPrEx>
          <w:tblCellMar>
            <w:top w:w="0" w:type="dxa"/>
            <w:bottom w:w="0" w:type="dxa"/>
          </w:tblCellMar>
        </w:tblPrEx>
        <w:tc>
          <w:tcPr>
            <w:tcW w:w="2244" w:type="dxa"/>
            <w:vAlign w:val="center"/>
          </w:tcPr>
          <w:p w:rsidR="00000000" w:rsidRDefault="00000000">
            <w:pPr>
              <w:spacing w:before="40" w:after="40"/>
              <w:jc w:val="center"/>
              <w:rPr>
                <w:sz w:val="20"/>
                <w:szCs w:val="20"/>
              </w:rPr>
            </w:pPr>
            <w:r>
              <w:rPr>
                <w:sz w:val="20"/>
                <w:szCs w:val="20"/>
              </w:rPr>
              <w:t>Общий обычный основной статус</w:t>
            </w:r>
          </w:p>
        </w:tc>
        <w:tc>
          <w:tcPr>
            <w:tcW w:w="3366" w:type="dxa"/>
            <w:gridSpan w:val="2"/>
            <w:vAlign w:val="center"/>
          </w:tcPr>
          <w:p w:rsidR="00000000" w:rsidRDefault="00000000">
            <w:pPr>
              <w:spacing w:before="40" w:after="40"/>
              <w:jc w:val="center"/>
              <w:rPr>
                <w:sz w:val="20"/>
                <w:szCs w:val="20"/>
              </w:rPr>
            </w:pPr>
            <w:r>
              <w:rPr>
                <w:sz w:val="20"/>
                <w:szCs w:val="20"/>
              </w:rPr>
              <w:t>Сельская местность</w:t>
            </w:r>
          </w:p>
        </w:tc>
        <w:tc>
          <w:tcPr>
            <w:tcW w:w="3030" w:type="dxa"/>
            <w:gridSpan w:val="2"/>
            <w:vAlign w:val="center"/>
          </w:tcPr>
          <w:p w:rsidR="00000000" w:rsidRDefault="00000000">
            <w:pPr>
              <w:spacing w:before="40" w:after="40"/>
              <w:jc w:val="center"/>
              <w:rPr>
                <w:sz w:val="20"/>
                <w:szCs w:val="20"/>
              </w:rPr>
            </w:pPr>
            <w:r>
              <w:rPr>
                <w:sz w:val="20"/>
                <w:szCs w:val="20"/>
              </w:rPr>
              <w:t>Городские районы</w:t>
            </w:r>
          </w:p>
        </w:tc>
      </w:tr>
      <w:tr w:rsidR="00000000">
        <w:tblPrEx>
          <w:tblCellMar>
            <w:top w:w="0" w:type="dxa"/>
            <w:bottom w:w="0" w:type="dxa"/>
          </w:tblCellMar>
        </w:tblPrEx>
        <w:tc>
          <w:tcPr>
            <w:tcW w:w="2244" w:type="dxa"/>
            <w:vAlign w:val="center"/>
          </w:tcPr>
          <w:p w:rsidR="00000000" w:rsidRDefault="00000000">
            <w:pPr>
              <w:spacing w:before="40" w:after="40"/>
              <w:jc w:val="center"/>
              <w:rPr>
                <w:sz w:val="20"/>
                <w:szCs w:val="20"/>
              </w:rPr>
            </w:pPr>
          </w:p>
        </w:tc>
        <w:tc>
          <w:tcPr>
            <w:tcW w:w="1683" w:type="dxa"/>
            <w:vAlign w:val="center"/>
          </w:tcPr>
          <w:p w:rsidR="00000000" w:rsidRDefault="00000000">
            <w:pPr>
              <w:spacing w:before="40" w:after="40"/>
              <w:jc w:val="center"/>
              <w:rPr>
                <w:sz w:val="20"/>
                <w:szCs w:val="20"/>
              </w:rPr>
            </w:pPr>
            <w:r>
              <w:rPr>
                <w:sz w:val="20"/>
                <w:szCs w:val="20"/>
              </w:rPr>
              <w:t>Мужчины</w:t>
            </w:r>
          </w:p>
        </w:tc>
        <w:tc>
          <w:tcPr>
            <w:tcW w:w="1683" w:type="dxa"/>
            <w:vAlign w:val="center"/>
          </w:tcPr>
          <w:p w:rsidR="00000000" w:rsidRDefault="00000000">
            <w:pPr>
              <w:spacing w:before="40" w:after="40"/>
              <w:jc w:val="center"/>
              <w:rPr>
                <w:sz w:val="20"/>
                <w:szCs w:val="20"/>
              </w:rPr>
            </w:pPr>
            <w:r>
              <w:rPr>
                <w:sz w:val="20"/>
                <w:szCs w:val="20"/>
              </w:rPr>
              <w:t>Женщины</w:t>
            </w:r>
          </w:p>
        </w:tc>
        <w:tc>
          <w:tcPr>
            <w:tcW w:w="1496" w:type="dxa"/>
            <w:vAlign w:val="center"/>
          </w:tcPr>
          <w:p w:rsidR="00000000" w:rsidRDefault="00000000">
            <w:pPr>
              <w:spacing w:before="40" w:after="40"/>
              <w:jc w:val="center"/>
              <w:rPr>
                <w:sz w:val="20"/>
                <w:szCs w:val="20"/>
              </w:rPr>
            </w:pPr>
            <w:r>
              <w:rPr>
                <w:sz w:val="20"/>
                <w:szCs w:val="20"/>
              </w:rPr>
              <w:t>Мужчины</w:t>
            </w:r>
          </w:p>
        </w:tc>
        <w:tc>
          <w:tcPr>
            <w:tcW w:w="1534" w:type="dxa"/>
            <w:vAlign w:val="center"/>
          </w:tcPr>
          <w:p w:rsidR="00000000" w:rsidRDefault="00000000">
            <w:pPr>
              <w:spacing w:before="40" w:after="40"/>
              <w:jc w:val="center"/>
              <w:rPr>
                <w:sz w:val="20"/>
                <w:szCs w:val="20"/>
              </w:rPr>
            </w:pPr>
            <w:r>
              <w:rPr>
                <w:sz w:val="20"/>
                <w:szCs w:val="20"/>
              </w:rPr>
              <w:t>Женщины</w:t>
            </w:r>
          </w:p>
        </w:tc>
      </w:tr>
      <w:tr w:rsidR="00000000">
        <w:tblPrEx>
          <w:tblCellMar>
            <w:top w:w="0" w:type="dxa"/>
            <w:bottom w:w="0" w:type="dxa"/>
          </w:tblCellMar>
        </w:tblPrEx>
        <w:tc>
          <w:tcPr>
            <w:tcW w:w="2244" w:type="dxa"/>
            <w:vAlign w:val="center"/>
          </w:tcPr>
          <w:p w:rsidR="00000000" w:rsidRDefault="00000000">
            <w:pPr>
              <w:spacing w:before="40" w:after="40"/>
              <w:jc w:val="center"/>
              <w:rPr>
                <w:sz w:val="20"/>
                <w:szCs w:val="20"/>
              </w:rPr>
            </w:pPr>
            <w:r>
              <w:rPr>
                <w:sz w:val="20"/>
                <w:szCs w:val="20"/>
              </w:rPr>
              <w:t>[1]</w:t>
            </w:r>
          </w:p>
        </w:tc>
        <w:tc>
          <w:tcPr>
            <w:tcW w:w="1683" w:type="dxa"/>
            <w:vAlign w:val="center"/>
          </w:tcPr>
          <w:p w:rsidR="00000000" w:rsidRDefault="00000000">
            <w:pPr>
              <w:spacing w:before="40" w:after="40"/>
              <w:jc w:val="center"/>
              <w:rPr>
                <w:sz w:val="20"/>
                <w:szCs w:val="20"/>
              </w:rPr>
            </w:pPr>
            <w:r>
              <w:rPr>
                <w:sz w:val="20"/>
                <w:szCs w:val="20"/>
              </w:rPr>
              <w:t>[2]</w:t>
            </w:r>
          </w:p>
        </w:tc>
        <w:tc>
          <w:tcPr>
            <w:tcW w:w="1683" w:type="dxa"/>
            <w:vAlign w:val="center"/>
          </w:tcPr>
          <w:p w:rsidR="00000000" w:rsidRDefault="00000000">
            <w:pPr>
              <w:spacing w:before="40" w:after="40"/>
              <w:jc w:val="center"/>
              <w:rPr>
                <w:sz w:val="20"/>
                <w:szCs w:val="20"/>
              </w:rPr>
            </w:pPr>
            <w:r>
              <w:rPr>
                <w:sz w:val="20"/>
                <w:szCs w:val="20"/>
              </w:rPr>
              <w:t>[3]</w:t>
            </w:r>
          </w:p>
        </w:tc>
        <w:tc>
          <w:tcPr>
            <w:tcW w:w="1496" w:type="dxa"/>
            <w:vAlign w:val="center"/>
          </w:tcPr>
          <w:p w:rsidR="00000000" w:rsidRDefault="00000000">
            <w:pPr>
              <w:spacing w:before="40" w:after="40"/>
              <w:jc w:val="center"/>
              <w:rPr>
                <w:sz w:val="20"/>
                <w:szCs w:val="20"/>
              </w:rPr>
            </w:pPr>
            <w:r>
              <w:rPr>
                <w:sz w:val="20"/>
                <w:szCs w:val="20"/>
              </w:rPr>
              <w:t>[4]</w:t>
            </w:r>
          </w:p>
        </w:tc>
        <w:tc>
          <w:tcPr>
            <w:tcW w:w="1534" w:type="dxa"/>
            <w:vAlign w:val="center"/>
          </w:tcPr>
          <w:p w:rsidR="00000000" w:rsidRDefault="00000000">
            <w:pPr>
              <w:spacing w:before="40" w:after="40"/>
              <w:jc w:val="center"/>
              <w:rPr>
                <w:sz w:val="20"/>
                <w:szCs w:val="20"/>
              </w:rPr>
            </w:pPr>
            <w:r>
              <w:rPr>
                <w:sz w:val="20"/>
                <w:szCs w:val="20"/>
              </w:rPr>
              <w:t>[5]</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Самозанятые в сельском хозяйстве</w:t>
            </w:r>
          </w:p>
        </w:tc>
        <w:tc>
          <w:tcPr>
            <w:tcW w:w="1683" w:type="dxa"/>
            <w:vAlign w:val="bottom"/>
          </w:tcPr>
          <w:p w:rsidR="00000000" w:rsidRDefault="00000000">
            <w:pPr>
              <w:tabs>
                <w:tab w:val="decimal" w:pos="907"/>
              </w:tabs>
              <w:spacing w:before="40" w:after="40"/>
              <w:rPr>
                <w:sz w:val="20"/>
                <w:szCs w:val="20"/>
              </w:rPr>
            </w:pPr>
            <w:r>
              <w:rPr>
                <w:sz w:val="20"/>
                <w:szCs w:val="20"/>
              </w:rPr>
              <w:t>79</w:t>
            </w:r>
          </w:p>
        </w:tc>
        <w:tc>
          <w:tcPr>
            <w:tcW w:w="1683" w:type="dxa"/>
            <w:vAlign w:val="bottom"/>
          </w:tcPr>
          <w:p w:rsidR="00000000" w:rsidRDefault="00000000">
            <w:pPr>
              <w:tabs>
                <w:tab w:val="decimal" w:pos="907"/>
              </w:tabs>
              <w:spacing w:before="40" w:after="40"/>
              <w:rPr>
                <w:sz w:val="20"/>
                <w:szCs w:val="20"/>
              </w:rPr>
            </w:pPr>
            <w:r>
              <w:rPr>
                <w:sz w:val="20"/>
                <w:szCs w:val="20"/>
              </w:rPr>
              <w:t>82</w:t>
            </w:r>
          </w:p>
        </w:tc>
        <w:tc>
          <w:tcPr>
            <w:tcW w:w="1496" w:type="dxa"/>
            <w:vAlign w:val="bottom"/>
          </w:tcPr>
          <w:p w:rsidR="00000000" w:rsidRDefault="00000000">
            <w:pPr>
              <w:tabs>
                <w:tab w:val="decimal" w:pos="907"/>
              </w:tabs>
              <w:spacing w:before="40" w:after="40"/>
              <w:rPr>
                <w:sz w:val="20"/>
                <w:szCs w:val="20"/>
              </w:rPr>
            </w:pPr>
            <w:r>
              <w:rPr>
                <w:sz w:val="20"/>
                <w:szCs w:val="20"/>
              </w:rPr>
              <w:t>66</w:t>
            </w:r>
          </w:p>
        </w:tc>
        <w:tc>
          <w:tcPr>
            <w:tcW w:w="1534" w:type="dxa"/>
            <w:vAlign w:val="bottom"/>
          </w:tcPr>
          <w:p w:rsidR="00000000" w:rsidRDefault="00000000">
            <w:pPr>
              <w:tabs>
                <w:tab w:val="decimal" w:pos="907"/>
              </w:tabs>
              <w:spacing w:before="40" w:after="40"/>
              <w:rPr>
                <w:sz w:val="20"/>
                <w:szCs w:val="20"/>
              </w:rPr>
            </w:pPr>
            <w:r>
              <w:rPr>
                <w:sz w:val="20"/>
                <w:szCs w:val="20"/>
              </w:rPr>
              <w:t>80</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В несельско-хозяйственном секторе</w:t>
            </w:r>
          </w:p>
        </w:tc>
        <w:tc>
          <w:tcPr>
            <w:tcW w:w="1683" w:type="dxa"/>
            <w:vAlign w:val="bottom"/>
          </w:tcPr>
          <w:p w:rsidR="00000000" w:rsidRDefault="00000000">
            <w:pPr>
              <w:tabs>
                <w:tab w:val="decimal" w:pos="907"/>
              </w:tabs>
              <w:spacing w:before="40" w:after="40"/>
              <w:rPr>
                <w:sz w:val="20"/>
                <w:szCs w:val="20"/>
              </w:rPr>
            </w:pPr>
            <w:r>
              <w:rPr>
                <w:sz w:val="20"/>
                <w:szCs w:val="20"/>
              </w:rPr>
              <w:t>61</w:t>
            </w:r>
          </w:p>
        </w:tc>
        <w:tc>
          <w:tcPr>
            <w:tcW w:w="1683" w:type="dxa"/>
            <w:vAlign w:val="bottom"/>
          </w:tcPr>
          <w:p w:rsidR="00000000" w:rsidRDefault="00000000">
            <w:pPr>
              <w:tabs>
                <w:tab w:val="decimal" w:pos="907"/>
              </w:tabs>
              <w:spacing w:before="40" w:after="40"/>
              <w:rPr>
                <w:sz w:val="20"/>
                <w:szCs w:val="20"/>
              </w:rPr>
            </w:pPr>
            <w:r>
              <w:rPr>
                <w:sz w:val="20"/>
                <w:szCs w:val="20"/>
              </w:rPr>
              <w:t>64</w:t>
            </w:r>
          </w:p>
        </w:tc>
        <w:tc>
          <w:tcPr>
            <w:tcW w:w="1496" w:type="dxa"/>
            <w:vAlign w:val="bottom"/>
          </w:tcPr>
          <w:p w:rsidR="00000000" w:rsidRDefault="00000000">
            <w:pPr>
              <w:tabs>
                <w:tab w:val="decimal" w:pos="907"/>
              </w:tabs>
              <w:spacing w:before="40" w:after="40"/>
              <w:rPr>
                <w:sz w:val="20"/>
                <w:szCs w:val="20"/>
              </w:rPr>
            </w:pPr>
            <w:r>
              <w:rPr>
                <w:sz w:val="20"/>
                <w:szCs w:val="20"/>
              </w:rPr>
              <w:t>52</w:t>
            </w:r>
          </w:p>
        </w:tc>
        <w:tc>
          <w:tcPr>
            <w:tcW w:w="1534" w:type="dxa"/>
            <w:vAlign w:val="bottom"/>
          </w:tcPr>
          <w:p w:rsidR="00000000" w:rsidRDefault="00000000">
            <w:pPr>
              <w:tabs>
                <w:tab w:val="decimal" w:pos="907"/>
              </w:tabs>
              <w:spacing w:before="40" w:after="40"/>
              <w:rPr>
                <w:sz w:val="20"/>
                <w:szCs w:val="20"/>
              </w:rPr>
            </w:pPr>
            <w:r>
              <w:rPr>
                <w:sz w:val="20"/>
                <w:szCs w:val="20"/>
              </w:rPr>
              <w:t>80</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Лица, имеющие регулярную заработную плату/оклады в сельском хозяйстве</w:t>
            </w:r>
          </w:p>
        </w:tc>
        <w:tc>
          <w:tcPr>
            <w:tcW w:w="1683" w:type="dxa"/>
            <w:vAlign w:val="bottom"/>
          </w:tcPr>
          <w:p w:rsidR="00000000" w:rsidRDefault="00000000">
            <w:pPr>
              <w:tabs>
                <w:tab w:val="decimal" w:pos="907"/>
              </w:tabs>
              <w:spacing w:before="40" w:after="40"/>
              <w:rPr>
                <w:sz w:val="20"/>
                <w:szCs w:val="20"/>
              </w:rPr>
            </w:pPr>
            <w:r>
              <w:rPr>
                <w:sz w:val="20"/>
                <w:szCs w:val="20"/>
              </w:rPr>
              <w:t>55</w:t>
            </w:r>
          </w:p>
        </w:tc>
        <w:tc>
          <w:tcPr>
            <w:tcW w:w="1683" w:type="dxa"/>
            <w:vAlign w:val="bottom"/>
          </w:tcPr>
          <w:p w:rsidR="00000000" w:rsidRDefault="00000000">
            <w:pPr>
              <w:tabs>
                <w:tab w:val="decimal" w:pos="907"/>
              </w:tabs>
              <w:spacing w:before="40" w:after="40"/>
              <w:rPr>
                <w:sz w:val="20"/>
                <w:szCs w:val="20"/>
              </w:rPr>
            </w:pPr>
            <w:r>
              <w:rPr>
                <w:sz w:val="20"/>
                <w:szCs w:val="20"/>
              </w:rPr>
              <w:t>48</w:t>
            </w:r>
          </w:p>
        </w:tc>
        <w:tc>
          <w:tcPr>
            <w:tcW w:w="1496" w:type="dxa"/>
            <w:vAlign w:val="bottom"/>
          </w:tcPr>
          <w:p w:rsidR="00000000" w:rsidRDefault="00000000">
            <w:pPr>
              <w:tabs>
                <w:tab w:val="decimal" w:pos="907"/>
              </w:tabs>
              <w:spacing w:before="40" w:after="40"/>
              <w:rPr>
                <w:sz w:val="20"/>
                <w:szCs w:val="20"/>
              </w:rPr>
            </w:pPr>
            <w:r>
              <w:rPr>
                <w:sz w:val="20"/>
                <w:szCs w:val="20"/>
              </w:rPr>
              <w:t>35</w:t>
            </w:r>
          </w:p>
        </w:tc>
        <w:tc>
          <w:tcPr>
            <w:tcW w:w="1534" w:type="dxa"/>
            <w:vAlign w:val="bottom"/>
          </w:tcPr>
          <w:p w:rsidR="00000000" w:rsidRDefault="00000000">
            <w:pPr>
              <w:tabs>
                <w:tab w:val="decimal" w:pos="907"/>
              </w:tabs>
              <w:spacing w:before="40" w:after="40"/>
              <w:rPr>
                <w:sz w:val="20"/>
                <w:szCs w:val="20"/>
              </w:rPr>
            </w:pPr>
            <w:r>
              <w:rPr>
                <w:sz w:val="20"/>
                <w:szCs w:val="20"/>
              </w:rPr>
              <w:t>54</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В  несельско-хозяйственном секторе</w:t>
            </w:r>
          </w:p>
        </w:tc>
        <w:tc>
          <w:tcPr>
            <w:tcW w:w="1683" w:type="dxa"/>
            <w:vAlign w:val="bottom"/>
          </w:tcPr>
          <w:p w:rsidR="00000000" w:rsidRDefault="00000000">
            <w:pPr>
              <w:tabs>
                <w:tab w:val="decimal" w:pos="907"/>
              </w:tabs>
              <w:spacing w:before="40" w:after="40"/>
              <w:rPr>
                <w:sz w:val="20"/>
                <w:szCs w:val="20"/>
              </w:rPr>
            </w:pPr>
            <w:r>
              <w:rPr>
                <w:sz w:val="20"/>
                <w:szCs w:val="20"/>
              </w:rPr>
              <w:t>31</w:t>
            </w:r>
          </w:p>
        </w:tc>
        <w:tc>
          <w:tcPr>
            <w:tcW w:w="1683" w:type="dxa"/>
            <w:vAlign w:val="bottom"/>
          </w:tcPr>
          <w:p w:rsidR="00000000" w:rsidRDefault="00000000">
            <w:pPr>
              <w:tabs>
                <w:tab w:val="decimal" w:pos="907"/>
              </w:tabs>
              <w:spacing w:before="40" w:after="40"/>
              <w:rPr>
                <w:sz w:val="20"/>
                <w:szCs w:val="20"/>
              </w:rPr>
            </w:pPr>
            <w:r>
              <w:rPr>
                <w:sz w:val="20"/>
                <w:szCs w:val="20"/>
              </w:rPr>
              <w:t>51</w:t>
            </w:r>
          </w:p>
        </w:tc>
        <w:tc>
          <w:tcPr>
            <w:tcW w:w="1496" w:type="dxa"/>
            <w:vAlign w:val="bottom"/>
          </w:tcPr>
          <w:p w:rsidR="00000000" w:rsidRDefault="00000000">
            <w:pPr>
              <w:tabs>
                <w:tab w:val="decimal" w:pos="907"/>
              </w:tabs>
              <w:spacing w:before="40" w:after="40"/>
              <w:rPr>
                <w:sz w:val="20"/>
                <w:szCs w:val="20"/>
              </w:rPr>
            </w:pPr>
            <w:r>
              <w:rPr>
                <w:sz w:val="20"/>
                <w:szCs w:val="20"/>
              </w:rPr>
              <w:t>37</w:t>
            </w:r>
          </w:p>
        </w:tc>
        <w:tc>
          <w:tcPr>
            <w:tcW w:w="1534" w:type="dxa"/>
            <w:vAlign w:val="bottom"/>
          </w:tcPr>
          <w:p w:rsidR="00000000" w:rsidRDefault="00000000">
            <w:pPr>
              <w:tabs>
                <w:tab w:val="decimal" w:pos="907"/>
              </w:tabs>
              <w:spacing w:before="40" w:after="40"/>
              <w:rPr>
                <w:sz w:val="20"/>
                <w:szCs w:val="20"/>
              </w:rPr>
            </w:pPr>
            <w:r>
              <w:rPr>
                <w:sz w:val="20"/>
                <w:szCs w:val="20"/>
              </w:rPr>
              <w:t>40</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Лица без постоянной работы, занятые на общественных работах</w:t>
            </w:r>
          </w:p>
        </w:tc>
        <w:tc>
          <w:tcPr>
            <w:tcW w:w="1683" w:type="dxa"/>
            <w:vAlign w:val="bottom"/>
          </w:tcPr>
          <w:p w:rsidR="00000000" w:rsidRDefault="00000000">
            <w:pPr>
              <w:tabs>
                <w:tab w:val="decimal" w:pos="907"/>
              </w:tabs>
              <w:spacing w:before="40" w:after="40"/>
              <w:rPr>
                <w:sz w:val="20"/>
                <w:szCs w:val="20"/>
              </w:rPr>
            </w:pPr>
            <w:r>
              <w:rPr>
                <w:sz w:val="20"/>
                <w:szCs w:val="20"/>
              </w:rPr>
              <w:t>170</w:t>
            </w:r>
          </w:p>
        </w:tc>
        <w:tc>
          <w:tcPr>
            <w:tcW w:w="1683" w:type="dxa"/>
            <w:vAlign w:val="bottom"/>
          </w:tcPr>
          <w:p w:rsidR="00000000" w:rsidRDefault="00000000">
            <w:pPr>
              <w:tabs>
                <w:tab w:val="decimal" w:pos="907"/>
              </w:tabs>
              <w:spacing w:before="40" w:after="40"/>
              <w:rPr>
                <w:sz w:val="20"/>
                <w:szCs w:val="20"/>
              </w:rPr>
            </w:pPr>
            <w:r>
              <w:rPr>
                <w:sz w:val="20"/>
                <w:szCs w:val="20"/>
              </w:rPr>
              <w:t>200</w:t>
            </w:r>
          </w:p>
        </w:tc>
        <w:tc>
          <w:tcPr>
            <w:tcW w:w="1496" w:type="dxa"/>
            <w:vAlign w:val="bottom"/>
          </w:tcPr>
          <w:p w:rsidR="00000000" w:rsidRDefault="00000000">
            <w:pPr>
              <w:tabs>
                <w:tab w:val="decimal" w:pos="907"/>
              </w:tabs>
              <w:spacing w:before="40" w:after="40"/>
              <w:rPr>
                <w:sz w:val="20"/>
                <w:szCs w:val="20"/>
              </w:rPr>
            </w:pPr>
            <w:r>
              <w:rPr>
                <w:sz w:val="20"/>
                <w:szCs w:val="20"/>
              </w:rPr>
              <w:t>152</w:t>
            </w:r>
          </w:p>
        </w:tc>
        <w:tc>
          <w:tcPr>
            <w:tcW w:w="1534" w:type="dxa"/>
            <w:vAlign w:val="bottom"/>
          </w:tcPr>
          <w:p w:rsidR="00000000" w:rsidRDefault="00000000">
            <w:pPr>
              <w:tabs>
                <w:tab w:val="decimal" w:pos="907"/>
              </w:tabs>
              <w:spacing w:before="40" w:after="40"/>
              <w:rPr>
                <w:sz w:val="20"/>
                <w:szCs w:val="20"/>
              </w:rPr>
            </w:pPr>
            <w:r>
              <w:rPr>
                <w:sz w:val="20"/>
                <w:szCs w:val="20"/>
              </w:rPr>
              <w:t>232</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Прочие</w:t>
            </w:r>
          </w:p>
        </w:tc>
        <w:tc>
          <w:tcPr>
            <w:tcW w:w="1683" w:type="dxa"/>
            <w:vAlign w:val="center"/>
          </w:tcPr>
          <w:p w:rsidR="00000000" w:rsidRDefault="00000000">
            <w:pPr>
              <w:tabs>
                <w:tab w:val="decimal" w:pos="907"/>
              </w:tabs>
              <w:spacing w:before="40" w:after="40"/>
              <w:rPr>
                <w:sz w:val="20"/>
                <w:szCs w:val="20"/>
              </w:rPr>
            </w:pPr>
            <w:r>
              <w:rPr>
                <w:sz w:val="20"/>
                <w:szCs w:val="20"/>
              </w:rPr>
              <w:t>158</w:t>
            </w:r>
          </w:p>
        </w:tc>
        <w:tc>
          <w:tcPr>
            <w:tcW w:w="1683" w:type="dxa"/>
            <w:vAlign w:val="center"/>
          </w:tcPr>
          <w:p w:rsidR="00000000" w:rsidRDefault="00000000">
            <w:pPr>
              <w:tabs>
                <w:tab w:val="decimal" w:pos="907"/>
              </w:tabs>
              <w:spacing w:before="40" w:after="40"/>
              <w:rPr>
                <w:sz w:val="20"/>
                <w:szCs w:val="20"/>
              </w:rPr>
            </w:pPr>
            <w:r>
              <w:rPr>
                <w:sz w:val="20"/>
                <w:szCs w:val="20"/>
              </w:rPr>
              <w:t>177</w:t>
            </w:r>
          </w:p>
        </w:tc>
        <w:tc>
          <w:tcPr>
            <w:tcW w:w="1496" w:type="dxa"/>
            <w:vAlign w:val="center"/>
          </w:tcPr>
          <w:p w:rsidR="00000000" w:rsidRDefault="00000000">
            <w:pPr>
              <w:tabs>
                <w:tab w:val="decimal" w:pos="907"/>
              </w:tabs>
              <w:spacing w:before="40" w:after="40"/>
              <w:rPr>
                <w:sz w:val="20"/>
                <w:szCs w:val="20"/>
              </w:rPr>
            </w:pPr>
            <w:r>
              <w:rPr>
                <w:sz w:val="20"/>
                <w:szCs w:val="20"/>
              </w:rPr>
              <w:t>164</w:t>
            </w:r>
          </w:p>
        </w:tc>
        <w:tc>
          <w:tcPr>
            <w:tcW w:w="1534" w:type="dxa"/>
            <w:vAlign w:val="center"/>
          </w:tcPr>
          <w:p w:rsidR="00000000" w:rsidRDefault="00000000">
            <w:pPr>
              <w:tabs>
                <w:tab w:val="decimal" w:pos="907"/>
              </w:tabs>
              <w:spacing w:before="40" w:after="40"/>
              <w:rPr>
                <w:sz w:val="20"/>
                <w:szCs w:val="20"/>
              </w:rPr>
            </w:pPr>
            <w:r>
              <w:rPr>
                <w:sz w:val="20"/>
                <w:szCs w:val="20"/>
              </w:rPr>
              <w:t>156</w:t>
            </w:r>
          </w:p>
        </w:tc>
      </w:tr>
      <w:tr w:rsidR="00000000">
        <w:tblPrEx>
          <w:tblCellMar>
            <w:top w:w="0" w:type="dxa"/>
            <w:bottom w:w="0" w:type="dxa"/>
          </w:tblCellMar>
        </w:tblPrEx>
        <w:tc>
          <w:tcPr>
            <w:tcW w:w="2244" w:type="dxa"/>
            <w:vAlign w:val="center"/>
          </w:tcPr>
          <w:p w:rsidR="00000000" w:rsidRDefault="00000000">
            <w:pPr>
              <w:spacing w:before="40" w:after="40"/>
              <w:rPr>
                <w:sz w:val="20"/>
                <w:szCs w:val="20"/>
              </w:rPr>
            </w:pPr>
            <w:r>
              <w:rPr>
                <w:sz w:val="20"/>
                <w:szCs w:val="20"/>
              </w:rPr>
              <w:t>Все категории</w:t>
            </w:r>
          </w:p>
        </w:tc>
        <w:tc>
          <w:tcPr>
            <w:tcW w:w="1683" w:type="dxa"/>
            <w:vAlign w:val="center"/>
          </w:tcPr>
          <w:p w:rsidR="00000000" w:rsidRDefault="00000000">
            <w:pPr>
              <w:tabs>
                <w:tab w:val="decimal" w:pos="907"/>
              </w:tabs>
              <w:spacing w:before="40" w:after="40"/>
              <w:rPr>
                <w:sz w:val="20"/>
                <w:szCs w:val="20"/>
                <w:lang w:val="en-US"/>
              </w:rPr>
            </w:pPr>
            <w:r>
              <w:rPr>
                <w:sz w:val="20"/>
                <w:szCs w:val="20"/>
                <w:lang w:val="en-US"/>
              </w:rPr>
              <w:t>105</w:t>
            </w:r>
          </w:p>
        </w:tc>
        <w:tc>
          <w:tcPr>
            <w:tcW w:w="1683" w:type="dxa"/>
            <w:vAlign w:val="center"/>
          </w:tcPr>
          <w:p w:rsidR="00000000" w:rsidRDefault="00000000">
            <w:pPr>
              <w:tabs>
                <w:tab w:val="decimal" w:pos="907"/>
              </w:tabs>
              <w:spacing w:before="40" w:after="40"/>
              <w:rPr>
                <w:sz w:val="20"/>
                <w:szCs w:val="20"/>
                <w:lang w:val="en-US"/>
              </w:rPr>
            </w:pPr>
            <w:r>
              <w:rPr>
                <w:sz w:val="20"/>
                <w:szCs w:val="20"/>
                <w:lang w:val="en-US"/>
              </w:rPr>
              <w:t>133</w:t>
            </w:r>
          </w:p>
        </w:tc>
        <w:tc>
          <w:tcPr>
            <w:tcW w:w="1496" w:type="dxa"/>
            <w:vAlign w:val="center"/>
          </w:tcPr>
          <w:p w:rsidR="00000000" w:rsidRDefault="00000000">
            <w:pPr>
              <w:tabs>
                <w:tab w:val="decimal" w:pos="907"/>
              </w:tabs>
              <w:spacing w:before="40" w:after="40"/>
              <w:rPr>
                <w:sz w:val="20"/>
                <w:szCs w:val="20"/>
                <w:lang w:val="en-US"/>
              </w:rPr>
            </w:pPr>
            <w:r>
              <w:rPr>
                <w:sz w:val="20"/>
                <w:szCs w:val="20"/>
                <w:lang w:val="en-US"/>
              </w:rPr>
              <w:t>65</w:t>
            </w:r>
          </w:p>
        </w:tc>
        <w:tc>
          <w:tcPr>
            <w:tcW w:w="1534" w:type="dxa"/>
            <w:vAlign w:val="center"/>
          </w:tcPr>
          <w:p w:rsidR="00000000" w:rsidRDefault="00000000">
            <w:pPr>
              <w:tabs>
                <w:tab w:val="decimal" w:pos="907"/>
              </w:tabs>
              <w:spacing w:before="40" w:after="40"/>
              <w:rPr>
                <w:sz w:val="20"/>
                <w:szCs w:val="20"/>
                <w:lang w:val="en-US"/>
              </w:rPr>
            </w:pPr>
            <w:r>
              <w:rPr>
                <w:sz w:val="20"/>
                <w:szCs w:val="20"/>
                <w:lang w:val="en-US"/>
              </w:rPr>
              <w:t>89</w:t>
            </w:r>
          </w:p>
        </w:tc>
      </w:tr>
    </w:tbl>
    <w:p w:rsidR="00000000" w:rsidRDefault="00000000">
      <w:pPr>
        <w:pStyle w:val="a3"/>
        <w:spacing w:before="120"/>
        <w:rPr>
          <w:lang w:val="en-US"/>
        </w:rPr>
      </w:pPr>
      <w:r>
        <w:rPr>
          <w:b/>
          <w:bCs/>
        </w:rPr>
        <w:t>Источник</w:t>
      </w:r>
      <w:r>
        <w:rPr>
          <w:b/>
          <w:bCs/>
          <w:lang w:val="en-US"/>
        </w:rPr>
        <w:t>:</w:t>
      </w:r>
      <w:r>
        <w:rPr>
          <w:lang w:val="en-US"/>
        </w:rPr>
        <w:t xml:space="preserve"> Table 8.4 of NSS Report, Part I, p. 157.</w:t>
      </w:r>
    </w:p>
    <w:p w:rsidR="00000000" w:rsidRDefault="00000000">
      <w:pPr>
        <w:tabs>
          <w:tab w:val="left" w:pos="567"/>
          <w:tab w:val="left" w:pos="1134"/>
          <w:tab w:val="left" w:pos="1701"/>
          <w:tab w:val="left" w:pos="2268"/>
          <w:tab w:val="right" w:leader="dot" w:pos="7541"/>
          <w:tab w:val="center" w:pos="8039"/>
          <w:tab w:val="center" w:pos="9122"/>
        </w:tabs>
        <w:jc w:val="both"/>
        <w:rPr>
          <w:sz w:val="24"/>
          <w:lang w:val="en-US"/>
        </w:rPr>
      </w:pPr>
    </w:p>
    <w:p w:rsidR="00000000" w:rsidRDefault="00000000">
      <w:pPr>
        <w:spacing w:beforeAutospacing="1"/>
        <w:jc w:val="both"/>
        <w:rPr>
          <w:b/>
          <w:sz w:val="24"/>
        </w:rPr>
      </w:pPr>
      <w:r>
        <w:rPr>
          <w:b/>
          <w:sz w:val="24"/>
        </w:rPr>
        <w:t xml:space="preserve">Раздел </w:t>
      </w:r>
      <w:r>
        <w:rPr>
          <w:b/>
          <w:sz w:val="24"/>
          <w:lang w:val="en-US"/>
        </w:rPr>
        <w:t>III</w:t>
      </w:r>
    </w:p>
    <w:p w:rsidR="00000000" w:rsidRDefault="00000000">
      <w:pPr>
        <w:spacing w:before="360"/>
        <w:jc w:val="both"/>
        <w:rPr>
          <w:b/>
          <w:sz w:val="22"/>
        </w:rPr>
      </w:pPr>
      <w:r>
        <w:rPr>
          <w:b/>
          <w:sz w:val="22"/>
        </w:rPr>
        <w:t>Свобода выбора работы и недопущение дискриминация в сфере занятости</w:t>
      </w:r>
    </w:p>
    <w:p w:rsidR="00000000" w:rsidRDefault="00000000">
      <w:pPr>
        <w:pStyle w:val="112"/>
        <w:rPr>
          <w:rStyle w:val="111"/>
        </w:rPr>
      </w:pPr>
      <w:r>
        <w:rPr>
          <w:rStyle w:val="111"/>
        </w:rPr>
        <w:t>19.</w:t>
      </w:r>
      <w:r>
        <w:rPr>
          <w:rStyle w:val="111"/>
        </w:rPr>
        <w:tab/>
        <w:t>Цель свободного выбора работы в Индии достигается двояким путем:  за счет положений, обеспечивающих отсутствие какого-либо принуждения к занятию трудом, который не является свободно выбранным, и за счет возможности пройти обучение и получить доступ к приемлемой работе без какой-либо дискриминации.  Отсутствие какого-либо принуждения при выборе работы гарантируется пунктом 4 статьи 16, пунктом 1 g) статьи 19, статьями 21, 23, 24 и 309–312 Конституции Индии</w:t>
      </w:r>
      <w:r>
        <w:rPr>
          <w:rStyle w:val="FootnoteReference"/>
        </w:rPr>
        <w:footnoteReference w:customMarkFollows="1" w:id="5"/>
        <w:t>4</w:t>
      </w:r>
      <w:r>
        <w:rPr>
          <w:rStyle w:val="111"/>
        </w:rPr>
        <w:t>, а также имплементируется посредством различных внутренних законов. Вместе с тем эти положения не запрещают парламенту и законодательным органам штатов регулировать условия найма и работы лиц, принятых на государственную службу и назначенных на государственные должности, соответственно, на национальном уровне и на уровне штатов.</w:t>
      </w:r>
    </w:p>
    <w:p w:rsidR="00000000" w:rsidRDefault="00000000">
      <w:pPr>
        <w:pStyle w:val="112"/>
      </w:pPr>
      <w:r>
        <w:t>20.</w:t>
      </w:r>
      <w:r>
        <w:tab/>
        <w:t xml:space="preserve">В пунктах 1 и 2 статьи 16 Конституции Индии предусматривается, что ни один гражданин не может быть подвергнут дискриминации или лишен права быть нанятым на работу или назначенным на должность в государственном учреждении или предприятии по одним лишь мотивам религиозной, расовой или кастовой принадлежности, пола, происхождения, места рождения, места жительства или по любому из этих мотивов.  </w:t>
      </w:r>
    </w:p>
    <w:p w:rsidR="00000000" w:rsidRDefault="00000000">
      <w:pPr>
        <w:pStyle w:val="112"/>
      </w:pPr>
      <w:r>
        <w:rPr>
          <w:rStyle w:val="111"/>
        </w:rPr>
        <w:t>21.</w:t>
      </w:r>
      <w:r>
        <w:rPr>
          <w:rStyle w:val="111"/>
        </w:rPr>
        <w:tab/>
        <w:t>Если говорить о реальном социальном положении, то в индийском обществе есть слои населения, являющиеся относительно более слабыми, чем другие, в экономическом, социальном и культурном отношении.  Для улучшения условий жизни этих уязвимых или отсталых слоев Конституция Индии предусматривает ряд мер либерального характера, принимаемых  в интересах меньшинств, отсталых групп населения и каст неприкасаемых.  Пункт 3 статьи 16 содержит исключение из пункта 2 этой статьи.  Он наделяет штат правом резервировать некоторые должности для своих собственных жителей.  То есть эта статья дает право парламенту регулировать в законодательном порядке степень, в которой допускалось бы отступление штата от вышеуказанного принципа.  В осуществление прав, предоставленных ему пунктом 3 статьи 16, парламент принял в 1957 году Закон о найме на работу в государственной сфере (требование в отношении места жительства).  В нем предусматривается, что никакому лицу не может быть отказано в работе на том основании, что оно не является постоянным жителем какого-либо штата.  Вместе с тем закон делает исключение для найма в штатах Химачал</w:t>
      </w:r>
      <w:r>
        <w:rPr>
          <w:rStyle w:val="111"/>
        </w:rPr>
        <w:noBreakHyphen/>
        <w:t>Прадеш, Манипур, Трипура и в районе Телангана</w:t>
      </w:r>
      <w:r>
        <w:rPr>
          <w:rStyle w:val="FootnoteReference"/>
        </w:rPr>
        <w:footnoteReference w:customMarkFollows="1" w:id="6"/>
        <w:t>5</w:t>
      </w:r>
      <w:r>
        <w:rPr>
          <w:rStyle w:val="FootnoteReference"/>
          <w:vertAlign w:val="baseline"/>
        </w:rPr>
        <w:t>.</w:t>
      </w:r>
    </w:p>
    <w:p w:rsidR="00000000" w:rsidRDefault="00000000">
      <w:pPr>
        <w:pStyle w:val="112"/>
        <w:rPr>
          <w:rStyle w:val="111"/>
        </w:rPr>
      </w:pPr>
      <w:r>
        <w:rPr>
          <w:rStyle w:val="111"/>
        </w:rPr>
        <w:t>22.</w:t>
      </w:r>
      <w:r>
        <w:rPr>
          <w:rStyle w:val="111"/>
        </w:rPr>
        <w:tab/>
        <w:t>Пункты 4 и 4-А статьи 16 Конституции Индии позволяют государству издавать постановления относительно резервирования должностей на государственной службе для граждан любой отсталой группы, а также относительно резервирования в сфере продвижения на должности лиц из непривилегированных сл</w:t>
      </w:r>
      <w:r>
        <w:t>о</w:t>
      </w:r>
      <w:r>
        <w:rPr>
          <w:rStyle w:val="111"/>
        </w:rPr>
        <w:t xml:space="preserve">ев, которые, по мнению государства, недостаточно представлены на государственной службе.  На этом основании 13 августа 1990 года правительство Индии подготовило Служебную записку (СЗ), согласно которой 27% мест в системе государственной службы резервировались для отсталых групп в соответствии с рекомендациями Комиссии Мандала.  Это распоряжение правительства Индии вызвало в обществе дискуссию относительно проводимой Индией политики резервирования должностей.  От имени Ассоциации адвокатов Верховного суда был направлен протест, оспаривающий правомерность СЗ.  Сфера охвата и действия  пункта 4 </w:t>
      </w:r>
      <w:r>
        <w:rPr>
          <w:rStyle w:val="111"/>
        </w:rPr>
        <w:br/>
        <w:t xml:space="preserve">статьи 16 рассматривалась в ходе исторического дела </w:t>
      </w:r>
      <w:r>
        <w:rPr>
          <w:i/>
          <w:iCs/>
        </w:rPr>
        <w:t>Индра Сохени против Индийского Союза</w:t>
      </w:r>
      <w:r>
        <w:rPr>
          <w:rStyle w:val="111"/>
        </w:rPr>
        <w:t xml:space="preserve"> (AIR 1993 SC 477), широко известного как дело Мандала.  Суд высказался в поддержку политики резервирования должностей, проводимой правительством Индии в интересах укрепления содержащихся в Конституции концепций  социальной справедливости.  Еще раньше в делах </w:t>
      </w:r>
      <w:r>
        <w:rPr>
          <w:i/>
          <w:iCs/>
        </w:rPr>
        <w:t>Вальсамма Пол против Университета Кочина</w:t>
      </w:r>
      <w:r>
        <w:rPr>
          <w:rStyle w:val="111"/>
        </w:rPr>
        <w:t xml:space="preserve">, AIR 1996 SC 1010;  </w:t>
      </w:r>
      <w:r>
        <w:rPr>
          <w:i/>
          <w:iCs/>
        </w:rPr>
        <w:t>Джагдиш Неги против штата Уттар-Прадеш</w:t>
      </w:r>
      <w:r>
        <w:rPr>
          <w:rStyle w:val="111"/>
        </w:rPr>
        <w:t>,</w:t>
      </w:r>
      <w:r>
        <w:rPr>
          <w:i/>
          <w:iCs/>
          <w:sz w:val="24"/>
        </w:rPr>
        <w:t xml:space="preserve"> </w:t>
      </w:r>
      <w:r>
        <w:rPr>
          <w:rStyle w:val="111"/>
        </w:rPr>
        <w:t>AIR 1997 SC 3305,  суд рассмотрел проводимую правительством политику резервирования должностей.  В ходе этих дел было найдено приемлемое и разумное решение проблемы резервирования.  Пункт 5 статьи 16 содержит третье исключение из общего правила, закрепленного в пунктах 1 и 2 статьи 16.  В нем говорится, что какой-либо закон, который предусматривает, что лица, занимающие должности, связанные с делами какого-либо религиозного учреждения или учреждения какой-либо конфессии, или любой пост в правлении такого учреждения, должны исповедовать какую-либо определенную религию или принадлежать к какой-либо определенной конфессии, не должен рассматриваться как противоречащий данной статье.</w:t>
      </w:r>
    </w:p>
    <w:p w:rsidR="00000000" w:rsidRDefault="00000000">
      <w:pPr>
        <w:pStyle w:val="112"/>
        <w:rPr>
          <w:rStyle w:val="111"/>
        </w:rPr>
      </w:pPr>
      <w:r>
        <w:rPr>
          <w:rStyle w:val="111"/>
        </w:rPr>
        <w:t>23.</w:t>
      </w:r>
      <w:r>
        <w:rPr>
          <w:rStyle w:val="111"/>
        </w:rPr>
        <w:tab/>
        <w:t xml:space="preserve">Трудящиеся-женщины из поколения в поколение подвергались на своих рабочих местах различной степени эксплуатации.  Будучи приверженным делу создания более благоприятных условий труда для трудящихся-женщин, правительство приняло ряд мер в этом направлении для реализации закрепленной в Конституции цели обеспечения равенства перед законом и равной защиты со стороны закона и недопущения дискриминации по признаку пола.  Руководящие принципы по предупреждению сексуальных домогательств в отношении трудящихся-женщин на рабочих местах были изложены Верховным судом Индии в деле </w:t>
      </w:r>
      <w:r>
        <w:rPr>
          <w:i/>
          <w:iCs/>
        </w:rPr>
        <w:t>Вишака</w:t>
      </w:r>
      <w:r>
        <w:rPr>
          <w:rStyle w:val="FootnoteReference"/>
          <w:iCs/>
        </w:rPr>
        <w:footnoteReference w:customMarkFollows="1" w:id="7"/>
        <w:t>6</w:t>
      </w:r>
      <w:r>
        <w:rPr>
          <w:rStyle w:val="111"/>
        </w:rPr>
        <w:t xml:space="preserve">. Дело </w:t>
      </w:r>
      <w:r>
        <w:rPr>
          <w:i/>
          <w:iCs/>
        </w:rPr>
        <w:t>Совета по</w:t>
      </w:r>
      <w:r>
        <w:rPr>
          <w:i/>
          <w:iCs/>
          <w:sz w:val="24"/>
        </w:rPr>
        <w:t xml:space="preserve"> </w:t>
      </w:r>
      <w:r>
        <w:rPr>
          <w:i/>
          <w:iCs/>
        </w:rPr>
        <w:t>развитию</w:t>
      </w:r>
      <w:r>
        <w:rPr>
          <w:i/>
          <w:iCs/>
          <w:sz w:val="24"/>
        </w:rPr>
        <w:t xml:space="preserve"> </w:t>
      </w:r>
      <w:r>
        <w:rPr>
          <w:i/>
          <w:iCs/>
        </w:rPr>
        <w:t>экспорта готовой одежды против А.К. Чопра</w:t>
      </w:r>
      <w:r>
        <w:rPr>
          <w:rStyle w:val="111"/>
        </w:rPr>
        <w:t>,</w:t>
      </w:r>
      <w:r>
        <w:rPr>
          <w:i/>
          <w:iCs/>
          <w:sz w:val="24"/>
        </w:rPr>
        <w:t xml:space="preserve"> </w:t>
      </w:r>
      <w:r>
        <w:rPr>
          <w:rStyle w:val="111"/>
        </w:rPr>
        <w:t xml:space="preserve">AIR 1999 SC 635, стало первым делом, в котором Верховный суд применил руководящие принципы, сформулированные им в деле </w:t>
      </w:r>
      <w:r>
        <w:rPr>
          <w:i/>
          <w:iCs/>
        </w:rPr>
        <w:t>Вишака против штата Раджастан</w:t>
      </w:r>
      <w:r>
        <w:rPr>
          <w:rStyle w:val="111"/>
        </w:rPr>
        <w:t>, оставив в силе решение об увольнении с занимаемой должности старшего сотрудника расположенного в Дели Совета по развитию экспорта готовой одежды, который был признан виновным в сексуальных домогательствах по отношению к подчиненной сотруднице на рабочем месте в связи с тем, что тем самым было нарушено ее основополагающее право, гарантированное статьей 21 Конституции</w:t>
      </w:r>
      <w:r>
        <w:rPr>
          <w:rStyle w:val="FootnoteReference"/>
        </w:rPr>
        <w:footnoteReference w:customMarkFollows="1" w:id="8"/>
        <w:t>7</w:t>
      </w:r>
      <w:r>
        <w:rPr>
          <w:rStyle w:val="111"/>
        </w:rPr>
        <w:t xml:space="preserve">. </w:t>
      </w:r>
    </w:p>
    <w:p w:rsidR="00000000" w:rsidRDefault="00000000">
      <w:pPr>
        <w:pStyle w:val="112"/>
      </w:pPr>
      <w:r>
        <w:t>24.</w:t>
      </w:r>
      <w:r>
        <w:tab/>
        <w:t>Кроме того, чтобы руководящие принципы могли применяться и в отношении наемных работников в частном секторе были внесены поправки в Основные правила (Постоянные положения), касающиеся  найма на работу в промышленности. Через добровольные организации осуществляется программа предоставления субсидий и помощи, направленная на укрепление социальной защиты работающих женщин путем улучшения их информированности и совершенствования системы профессиональной подготовки.  В целях повышения внимания к данной проблеме в Десятом пятилетнем плане на эту программу были выделены более крупные ассигнования в размере 22,5 млн. рупий.  Готовится также законопроект о предупреждении сексуальных домогательств на рабочем месте.</w:t>
      </w:r>
    </w:p>
    <w:p w:rsidR="00000000" w:rsidRDefault="00000000">
      <w:pPr>
        <w:pStyle w:val="112"/>
        <w:rPr>
          <w:rStyle w:val="111"/>
        </w:rPr>
      </w:pPr>
      <w:r>
        <w:rPr>
          <w:rStyle w:val="111"/>
        </w:rPr>
        <w:t>25.</w:t>
      </w:r>
      <w:r>
        <w:rPr>
          <w:rStyle w:val="111"/>
        </w:rPr>
        <w:tab/>
        <w:t xml:space="preserve">В статьях 23–24 Конституции Индии закреплено право на свободу от эксплуатации.  Статья 23 Конституции запрещает торговлю людьми и "бегар", а также </w:t>
      </w:r>
      <w:r>
        <w:rPr>
          <w:i/>
          <w:iCs/>
        </w:rPr>
        <w:t>другие аналогичные формы принудительного труда</w:t>
      </w:r>
      <w:r>
        <w:rPr>
          <w:rStyle w:val="111"/>
        </w:rPr>
        <w:t xml:space="preserve">.  </w:t>
      </w:r>
      <w:r>
        <w:rPr>
          <w:i/>
          <w:iCs/>
        </w:rPr>
        <w:t>Бегар</w:t>
      </w:r>
      <w:r>
        <w:rPr>
          <w:i/>
          <w:iCs/>
          <w:sz w:val="24"/>
        </w:rPr>
        <w:t xml:space="preserve"> </w:t>
      </w:r>
      <w:r>
        <w:rPr>
          <w:rStyle w:val="111"/>
        </w:rPr>
        <w:t>означает принуждение какого-либо лица к труду против его воли.  При этом не важно, получает ли вознаграждение лицо, принуждаемое к труду или предоставлению услуг  другим лицом.  Любое нарушение этого положения рассматривается как правонарушение, наказуемое в соответствии с законом.  В этой связи Индийский Союз принял  Закон 1976 года о кабальном труде (упразднение системы) и Закон 1970 года о работе по контракту (регулирование и отмена), а также измененный в 1985 году Закон 1979 года о трудящихся-мигрантах и Закон 1986 года о детском труде (запрещение и регулирование) в целях предотвращения экономической и физической эксплуатации более уязвимых групп населения.  В этой связи следует упомянуть Верховный суд Индии, который играет в этих вопросах важную роль в том смысле, что делает право на жизнь при уважении человеческого достоинства реальностью жизни для миллионов индийцев.  Кроме того, он защищает их от эксплуатации посредством судебной процедуры в защиту публичных интересов</w:t>
      </w:r>
      <w:r>
        <w:rPr>
          <w:rStyle w:val="FootnoteReference"/>
        </w:rPr>
        <w:footnoteReference w:customMarkFollows="1" w:id="9"/>
        <w:t>8</w:t>
      </w:r>
      <w:r>
        <w:rPr>
          <w:rStyle w:val="111"/>
        </w:rPr>
        <w:t>.</w:t>
      </w:r>
    </w:p>
    <w:p w:rsidR="00000000" w:rsidRDefault="00000000">
      <w:pPr>
        <w:pStyle w:val="112"/>
      </w:pPr>
      <w:r>
        <w:t>26.</w:t>
      </w:r>
      <w:r>
        <w:tab/>
        <w:t xml:space="preserve">С момента введения в действие в мае 1978 года Программы централизованной поддержки, в соответствии с которой правительства штатов до 31 марта 2003 года получали ассигнования из центрального бюджета на выплату пособий (50:50),  было выявлено 282 970 лиц, работавших на кабальных условиях; из них 262 952 человека были реабилитированы, а на цели реабилитации в упомянутый период в порядке помощи правительствам различных штатов/союзных территорий из центрального бюджета было выделено 650,76 млн. рупий. И это в дополнение к 33,2 млн. рупий, которые были предоставлены правительствам этих штатов на проведение в течение упомянутого периода окружных обследований по кабальному труду, информационно-просветительских мероприятий и аналитических исследований.  </w:t>
      </w:r>
    </w:p>
    <w:p w:rsidR="00000000" w:rsidRDefault="00000000">
      <w:pPr>
        <w:pStyle w:val="112"/>
      </w:pPr>
      <w:r>
        <w:t>27.</w:t>
      </w:r>
      <w:r>
        <w:tab/>
        <w:t>Принуждение какого-либо лица к труду против его воли или без выплаты ему зарплаты за выполненную работу законы во многих штатах признают правонарушением.  Например, в разделе 3 Закона штата Уттар-Прадеш 1947 года об отмене социальной  нетрудоспособности предусматривается, что "никто не должен отказываться предоставлять какому-либо лицу лишь на том основании, что оно принадлежит к какой-либо касте неприкасаемых, какие-либо услуги, которые это лицо уже оказывает другим гражданам Индии на условиях, на которых такие услуги оказываются в рамках обычной деятельности".  Лицо, нарушающее положения этого закона, несет ответственность и может быть подвергнуто наказанию в виде тюремного заключения и штрафа.</w:t>
      </w:r>
    </w:p>
    <w:p w:rsidR="00000000" w:rsidRDefault="00000000">
      <w:pPr>
        <w:jc w:val="both"/>
        <w:rPr>
          <w:b/>
          <w:sz w:val="24"/>
        </w:rPr>
      </w:pPr>
    </w:p>
    <w:p w:rsidR="00000000" w:rsidRDefault="00000000">
      <w:pPr>
        <w:jc w:val="both"/>
        <w:rPr>
          <w:b/>
          <w:sz w:val="22"/>
          <w:szCs w:val="22"/>
        </w:rPr>
      </w:pPr>
      <w:r>
        <w:rPr>
          <w:b/>
          <w:sz w:val="22"/>
          <w:szCs w:val="22"/>
        </w:rPr>
        <w:t>Условия выполнения служебных обязанностей</w:t>
      </w:r>
    </w:p>
    <w:p w:rsidR="00000000" w:rsidRDefault="00000000">
      <w:pPr>
        <w:tabs>
          <w:tab w:val="left" w:pos="567"/>
          <w:tab w:val="left" w:pos="1134"/>
          <w:tab w:val="left" w:pos="1701"/>
          <w:tab w:val="left" w:pos="2268"/>
          <w:tab w:val="right" w:leader="dot" w:pos="7541"/>
          <w:tab w:val="center" w:pos="8039"/>
          <w:tab w:val="center" w:pos="9122"/>
        </w:tabs>
        <w:jc w:val="both"/>
        <w:rPr>
          <w:sz w:val="24"/>
        </w:rPr>
      </w:pPr>
    </w:p>
    <w:p w:rsidR="00000000" w:rsidRDefault="00000000">
      <w:pPr>
        <w:tabs>
          <w:tab w:val="left" w:pos="567"/>
          <w:tab w:val="left" w:pos="1134"/>
          <w:tab w:val="left" w:pos="1701"/>
          <w:tab w:val="left" w:pos="2268"/>
          <w:tab w:val="right" w:leader="dot" w:pos="7541"/>
          <w:tab w:val="center" w:pos="8039"/>
          <w:tab w:val="center" w:pos="9122"/>
        </w:tabs>
        <w:jc w:val="both"/>
        <w:rPr>
          <w:rStyle w:val="111"/>
        </w:rPr>
      </w:pPr>
      <w:r>
        <w:rPr>
          <w:rStyle w:val="111"/>
        </w:rPr>
        <w:t>28.</w:t>
      </w:r>
      <w:r>
        <w:rPr>
          <w:rStyle w:val="111"/>
        </w:rPr>
        <w:tab/>
        <w:t>Правительство Индии предприняло различные шаги для предупреждения нарушений политических и экономических прав лиц, касающихся соответствующих условий труда.  В статье 309 Конституции Индии предусматривается регулирование порядка найма и условий выполнения служебных обязанностей лиц, назначаемых на должности в государственных учреждениях, занимающихся делами Индийского Союза и штатов.  Статья 310 Конституции закрепляет концепцию обычного права о благоусмотрении</w:t>
      </w:r>
      <w:r>
        <w:rPr>
          <w:rStyle w:val="FootnoteReference"/>
        </w:rPr>
        <w:footnoteReference w:customMarkFollows="1" w:id="10"/>
        <w:t>9</w:t>
      </w:r>
      <w:r>
        <w:rPr>
          <w:rStyle w:val="111"/>
        </w:rPr>
        <w:t>. Однако положения этой статьи ограничиваются статьей 311(2).  Функции постоянного сотрудника правительственных служб могут быть прекращены только в соответствии с правилами, установленными статьей 309, при условии соблюдения процедуры, предусмотренной статьей 311(2) Конституции, и основополагающих прав</w:t>
      </w:r>
      <w:r>
        <w:rPr>
          <w:rStyle w:val="FootnoteReference"/>
        </w:rPr>
        <w:footnoteReference w:customMarkFollows="1" w:id="11"/>
        <w:t>10</w:t>
      </w:r>
      <w:r>
        <w:rPr>
          <w:rStyle w:val="111"/>
        </w:rPr>
        <w:t>. Вместе с тем защитное положение статьи 311(2) о предоставлении "разумной возможности" является недействительным в случае, если данное действие предпринимается в интересах обеспечения государственной безопасности.</w:t>
      </w:r>
    </w:p>
    <w:p w:rsidR="00000000" w:rsidRDefault="00000000">
      <w:pPr>
        <w:pStyle w:val="112"/>
        <w:rPr>
          <w:rStyle w:val="111"/>
        </w:rPr>
      </w:pPr>
      <w:r>
        <w:rPr>
          <w:rStyle w:val="111"/>
        </w:rPr>
        <w:t>29.</w:t>
      </w:r>
      <w:r>
        <w:rPr>
          <w:rStyle w:val="111"/>
        </w:rPr>
        <w:tab/>
        <w:t>В разделе 9А Закона 1947 года о производственных спорах говорится, что никакой работодатель не может изменить условия выполнения служебных обязанностей какого-либо работника без предварительного уведомления его об этом за 20 дней</w:t>
      </w:r>
      <w:r>
        <w:rPr>
          <w:rStyle w:val="FootnoteReference"/>
        </w:rPr>
        <w:footnoteReference w:customMarkFollows="1" w:id="12"/>
        <w:t>11</w:t>
      </w:r>
      <w:r>
        <w:rPr>
          <w:rStyle w:val="111"/>
        </w:rPr>
        <w:t xml:space="preserve">. </w:t>
      </w:r>
    </w:p>
    <w:p w:rsidR="00000000" w:rsidRDefault="00000000">
      <w:pPr>
        <w:jc w:val="both"/>
        <w:rPr>
          <w:rStyle w:val="111"/>
        </w:rPr>
      </w:pPr>
      <w:r>
        <w:rPr>
          <w:rStyle w:val="111"/>
        </w:rPr>
        <w:t>30.</w:t>
      </w:r>
      <w:r>
        <w:rPr>
          <w:rStyle w:val="111"/>
        </w:rPr>
        <w:tab/>
        <w:t>Согласно статье 21 Конституции Индии, ни одно лицо не может быть лишено своего права на средства к существованию, иначе чем в порядке, установленном законом.  Трудовое законодательство Индии требует, чтобы, прежде чем быть нанятым, какое-либо лицо было признано пригодным к работе с медицинской точки зрения или иметь разрешение на продолжение работы.  Это делается с вполне очевидной целью обеспечения того, чтобы данное лицо было способным или оставалось способным выполнять свои обычные трудовые обязанности и чтобы оно не создавало угрозы или не причиняло ущерба здоровью других людей, а также имуществу на рабочем месте.  Однако исключение из сферы найма некоторых групп (как, например, работников, больных СПИДом и т. п.) вполне очевидно, является произвольным и необоснованным (</w:t>
      </w:r>
      <w:r>
        <w:rPr>
          <w:i/>
          <w:sz w:val="22"/>
        </w:rPr>
        <w:t>MX of Bombay Indian Inhabitant v. M/s ZY and Another</w:t>
      </w:r>
      <w:r>
        <w:rPr>
          <w:rStyle w:val="111"/>
        </w:rPr>
        <w:t>, AIR 1997 Bombay 406).  Было принято решение о том, что на одном лишь этом основании работники не перестают быть способными к выполнению обычных служебных функций и не представляют собой угрозы для других работников на рабочем месте.</w:t>
      </w:r>
    </w:p>
    <w:p w:rsidR="00000000" w:rsidRDefault="00000000">
      <w:pPr>
        <w:pStyle w:val="112"/>
      </w:pPr>
      <w:r>
        <w:t>31.</w:t>
      </w:r>
      <w:r>
        <w:tab/>
        <w:t>Части III и IV Конституции Индии гарантируют основополагающие политические и экономические свободы человека.  Эти гарантии ограничены самой Конституцией, поскольку она наделяет государство правом устанавливать в законодательном порядке разумные ограничения, которые могут потребоваться в высших интересах сообщества.  Какие-либо иные, отличные от вышеупомянутых, ограничения или условия пользования основополагающими политическими и экономическими свободами человека являются недействительными.  Кроме того, на защиту этих прав и свобод направлен целый ряд положений трудового законодательства, гарантирующих свободу ассоциации и право на ведение коллективных переговоров на всех предприятиях, независимо от их размера.</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Программы профессионально-технической подготовки</w:t>
      </w:r>
    </w:p>
    <w:p w:rsidR="00000000" w:rsidRDefault="00000000">
      <w:pPr>
        <w:jc w:val="both"/>
        <w:rPr>
          <w:sz w:val="24"/>
        </w:rPr>
      </w:pPr>
    </w:p>
    <w:p w:rsidR="00000000" w:rsidRDefault="00000000">
      <w:pPr>
        <w:pStyle w:val="112"/>
        <w:spacing w:before="0"/>
      </w:pPr>
      <w:r>
        <w:t>32.</w:t>
      </w:r>
      <w:r>
        <w:tab/>
        <w:t>Вторая мера по обеспечению свободы выбора работы, к которой прибегает правительство Индии в качестве составной части пятилетних планов и политики, касается обеспечения профессиональной подготовки и доступа к подходящей работе без дискриминации.  Во втором и третьем пятилетних планах, разработанных в целях создания прочной промышленной базы, подчеркивалась необходимость расширения центров профессиональной подготовки.  Профессионально-техническое обучение в учебных заведениях стало основным средством подготовки квалифицированных кадров.  Однако даже с учетом таких имеющихся у правительства возможностей расширения обучения во многих секторах экономики пришлось сохранить традиционные методы подготовки без отрыва от производства.</w:t>
      </w:r>
    </w:p>
    <w:p w:rsidR="00000000" w:rsidRDefault="00000000">
      <w:pPr>
        <w:pStyle w:val="112"/>
        <w:spacing w:before="0"/>
        <w:rPr>
          <w:rStyle w:val="111"/>
          <w:lang w:val="en-US"/>
        </w:rPr>
      </w:pPr>
      <w:r>
        <w:rPr>
          <w:rStyle w:val="111"/>
        </w:rPr>
        <w:t>33.</w:t>
      </w:r>
      <w:r>
        <w:rPr>
          <w:rStyle w:val="111"/>
        </w:rPr>
        <w:tab/>
        <w:t>Начиная с 1948 года задачей Генеральной дирекции обучения и занятости (ГДОЗ) является обеспечение услуг в сфере найма на работу всем категориям искателей работы, а также услуг в области профессионально-технической подготовки всем гражданам, включая лиц, ищущих новую работу</w:t>
      </w:r>
      <w:r>
        <w:rPr>
          <w:rStyle w:val="FootnoteReference"/>
        </w:rPr>
        <w:footnoteReference w:customMarkFollows="1" w:id="13"/>
        <w:t>12</w:t>
      </w:r>
      <w:r>
        <w:rPr>
          <w:rStyle w:val="111"/>
        </w:rPr>
        <w:t>. В составе Генеральной дирекции обучения и занятости и находящихся у нее в подчинении служб имеются 2766 работников, из которых 312 относятся к группе А, 312 – к группе B, 1376 – к группе C и 677 – к группе D.  Кроме того, программа профессионально-технической подготовки Индии была укреплена в результате принятия Закона 1959 года о биржах труда (Обязательное объявление вакансий) и соответствующих правил, а также Закона 1961 года об ученичестве и соответствующих правил. Помимо этого, она была подкреплена за счет создания нестатутных органов, а также органов, учрежденных в соответствии с положениями закона [Рабочая группа по вопросам Национальной службы занятости, Центральный совет по вопросам ученичества (ЦСВУ) и Национальный совет по вопросам профессионально-технической подготовки (НСПТП)].</w:t>
      </w:r>
    </w:p>
    <w:p w:rsidR="00000000" w:rsidRDefault="00000000">
      <w:pPr>
        <w:pStyle w:val="112"/>
        <w:spacing w:before="0"/>
        <w:rPr>
          <w:rStyle w:val="111"/>
          <w:lang w:val="en-US"/>
        </w:rPr>
      </w:pPr>
    </w:p>
    <w:p w:rsidR="00000000" w:rsidRDefault="00000000">
      <w:pPr>
        <w:jc w:val="both"/>
        <w:rPr>
          <w:b/>
          <w:bCs/>
          <w:sz w:val="22"/>
          <w:szCs w:val="22"/>
        </w:rPr>
      </w:pPr>
      <w:r>
        <w:rPr>
          <w:b/>
          <w:sz w:val="22"/>
          <w:szCs w:val="22"/>
        </w:rPr>
        <w:t xml:space="preserve">Инфраструктура для  </w:t>
      </w:r>
      <w:r>
        <w:rPr>
          <w:b/>
          <w:bCs/>
          <w:sz w:val="22"/>
          <w:szCs w:val="22"/>
        </w:rPr>
        <w:t>профессионально-технической подготовки</w:t>
      </w:r>
    </w:p>
    <w:p w:rsidR="00000000" w:rsidRDefault="00000000">
      <w:pPr>
        <w:spacing w:before="240" w:after="360"/>
        <w:jc w:val="both"/>
        <w:rPr>
          <w:b/>
          <w:sz w:val="22"/>
          <w:szCs w:val="22"/>
        </w:rPr>
      </w:pPr>
      <w:r>
        <w:rPr>
          <w:b/>
          <w:bCs/>
          <w:sz w:val="22"/>
          <w:szCs w:val="22"/>
        </w:rPr>
        <w:t>На уровне правительств штатов</w:t>
      </w:r>
    </w:p>
    <w:p w:rsidR="00000000" w:rsidRDefault="00000000">
      <w:pPr>
        <w:pStyle w:val="112"/>
      </w:pPr>
      <w:r>
        <w:t>34.</w:t>
      </w:r>
      <w:r>
        <w:tab/>
        <w:t xml:space="preserve">Сегодня в Индии существуют 4647 институтов производственной профессионально-технической подготовки (ИПТП).  Из них 1795 находятся в распоряжении правительства, а другие 2849 – в частном секторе, и они располагают в общей сложности потенциалом в 0,6 млн. мест (0,4 млн. мест – в правительственном секторе, и еще 0,3 млн. мест – в частной сфере). </w:t>
      </w:r>
    </w:p>
    <w:p w:rsidR="00000000" w:rsidRDefault="00000000">
      <w:pPr>
        <w:pStyle w:val="112"/>
      </w:pPr>
      <w:r>
        <w:t>35.</w:t>
      </w:r>
      <w:r>
        <w:tab/>
        <w:t xml:space="preserve">В распоряжении правительства каждого штата имеется Дирекция профессионально-технической подготовки или Дирекция по вопросам занятости и профессионально-технической подготовки, как правило, расположенная в столице штата и отвечающая за осуществление учебных программ в ИПТП, а также за осуществление правительством штата и частными учебными заведениями положений Закона об ученичестве. </w:t>
      </w:r>
    </w:p>
    <w:p w:rsidR="00000000" w:rsidRDefault="00000000">
      <w:pPr>
        <w:spacing w:before="240" w:after="360"/>
        <w:jc w:val="both"/>
        <w:rPr>
          <w:b/>
          <w:bCs/>
          <w:sz w:val="22"/>
          <w:szCs w:val="22"/>
        </w:rPr>
      </w:pPr>
      <w:r>
        <w:rPr>
          <w:b/>
          <w:bCs/>
          <w:sz w:val="22"/>
          <w:szCs w:val="22"/>
        </w:rPr>
        <w:t xml:space="preserve">На уровне центрального правительства </w:t>
      </w:r>
    </w:p>
    <w:p w:rsidR="00000000" w:rsidRDefault="00000000">
      <w:pPr>
        <w:pStyle w:val="112"/>
      </w:pPr>
      <w:r>
        <w:t>36.</w:t>
      </w:r>
      <w:r>
        <w:tab/>
        <w:t>Шесть институтов повышения квалификации в Колкате, Ченнаи, Канпуре, Хайдерабаде, Лудхиане и Мумбаи;  Центральный институт профессиональной подготовки инструкторов в Ченнаи;  два института повышения квалификации по электронике и технологической контрольно-измерительной аппаратуре в Хайдерабаде и Дехрадуне;  Центральный институт профессиональной подготовки персонала и научных исследований в Колкате;  шесть региональных дирекций начальной профессионально-технической подготовки в Мумбаи, Канпуре, Колкате, Ченнаи, Хайдерабаде и Фаридабаде;  Национальный институт профессионально-технической подготовки женщин в Ноиде (штат Уттар-Прадеш);  десять региональных институтов профессионально-технической подготовки  женщин в Мумбаи, Бангалоре, Тхируванантхапураме, Хиссаре, Колкате, Туре, Индоре, Аллахабаде, Вадодаре и Джайпуре;  два института подготовки старшего технического состава в Бангалоре и Джамшедпуре;  четыре института типовой профессионально-технической производственной подготовки в Халдвани (Уттар-Прадеш), Кхозикаде (Керала), Чоудваре (Орисса) и Джодхпуре (Раджастан);  Центральный институт профессиональной подготовки в области средств массовой информации в Ченнаи; Ведущий институт высоких технологий в Бангалоре;  Дирекция профессионально-технической подготовки в Нью-Дели.</w:t>
      </w:r>
    </w:p>
    <w:p w:rsidR="00000000" w:rsidRDefault="00000000">
      <w:pPr>
        <w:pStyle w:val="112"/>
      </w:pPr>
      <w:r>
        <w:t>37.</w:t>
      </w:r>
      <w:r>
        <w:tab/>
        <w:t>На таблице 6.8 отражено нынешнее положение в области профессионально-технической ориентации и подготовки в разбивке по полу, группам и вероисповеданию.</w:t>
      </w:r>
    </w:p>
    <w:p w:rsidR="00000000" w:rsidRDefault="00000000">
      <w:pPr>
        <w:pageBreakBefore/>
        <w:jc w:val="both"/>
        <w:rPr>
          <w:b/>
          <w:sz w:val="22"/>
          <w:szCs w:val="22"/>
        </w:rPr>
      </w:pPr>
      <w:r>
        <w:rPr>
          <w:b/>
          <w:sz w:val="22"/>
          <w:szCs w:val="22"/>
        </w:rPr>
        <w:t>Программа начальной профессионально-технической подготовки</w:t>
      </w:r>
    </w:p>
    <w:p w:rsidR="00000000" w:rsidRDefault="00000000">
      <w:pPr>
        <w:pStyle w:val="112"/>
        <w:jc w:val="left"/>
        <w:rPr>
          <w:b/>
          <w:bCs/>
        </w:rPr>
      </w:pPr>
      <w:r>
        <w:rPr>
          <w:b/>
          <w:bCs/>
        </w:rPr>
        <w:t xml:space="preserve">Таблица 6.8 – Статистические данные о профессионально-технической подготовке </w:t>
      </w:r>
      <w:r>
        <w:rPr>
          <w:b/>
          <w:bCs/>
        </w:rPr>
        <w:br/>
        <w:t>специалистов высшего, среднего и низшего звена</w:t>
      </w:r>
    </w:p>
    <w:p w:rsidR="00000000" w:rsidRDefault="00000000">
      <w:pPr>
        <w:spacing w:beforeAutospacing="1"/>
        <w:jc w:val="both"/>
        <w:rPr>
          <w:sz w:val="22"/>
          <w:szCs w:val="22"/>
        </w:rPr>
      </w:pPr>
      <w:r>
        <w:rPr>
          <w:sz w:val="22"/>
          <w:szCs w:val="22"/>
        </w:rPr>
        <w:t>Ученики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00"/>
        <w:gridCol w:w="583"/>
        <w:gridCol w:w="2615"/>
        <w:gridCol w:w="1362"/>
        <w:gridCol w:w="1680"/>
        <w:gridCol w:w="1560"/>
        <w:gridCol w:w="1239"/>
      </w:tblGrid>
      <w:tr w:rsidR="00000000">
        <w:tblPrEx>
          <w:tblCellMar>
            <w:top w:w="0" w:type="dxa"/>
            <w:bottom w:w="0" w:type="dxa"/>
          </w:tblCellMar>
        </w:tblPrEx>
        <w:tc>
          <w:tcPr>
            <w:tcW w:w="600" w:type="dxa"/>
          </w:tcPr>
          <w:p w:rsidR="00000000" w:rsidRDefault="00000000">
            <w:pPr>
              <w:spacing w:before="40" w:after="40"/>
              <w:jc w:val="center"/>
              <w:rPr>
                <w:sz w:val="20"/>
                <w:szCs w:val="20"/>
              </w:rPr>
            </w:pPr>
            <w:r>
              <w:rPr>
                <w:sz w:val="20"/>
                <w:szCs w:val="20"/>
              </w:rPr>
              <w:t>№</w:t>
            </w:r>
          </w:p>
        </w:tc>
        <w:tc>
          <w:tcPr>
            <w:tcW w:w="3198" w:type="dxa"/>
            <w:gridSpan w:val="2"/>
          </w:tcPr>
          <w:p w:rsidR="00000000" w:rsidRDefault="00000000">
            <w:pPr>
              <w:spacing w:before="40" w:after="40"/>
              <w:jc w:val="center"/>
              <w:rPr>
                <w:sz w:val="20"/>
                <w:szCs w:val="20"/>
              </w:rPr>
            </w:pPr>
          </w:p>
        </w:tc>
        <w:tc>
          <w:tcPr>
            <w:tcW w:w="1362" w:type="dxa"/>
          </w:tcPr>
          <w:p w:rsidR="00000000" w:rsidRDefault="00000000">
            <w:pPr>
              <w:spacing w:before="40" w:after="40"/>
              <w:ind w:left="-57" w:right="-57"/>
              <w:jc w:val="center"/>
              <w:rPr>
                <w:sz w:val="20"/>
                <w:szCs w:val="20"/>
              </w:rPr>
            </w:pPr>
            <w:r>
              <w:rPr>
                <w:sz w:val="20"/>
                <w:szCs w:val="20"/>
              </w:rPr>
              <w:t>Центральный сектор</w:t>
            </w:r>
          </w:p>
        </w:tc>
        <w:tc>
          <w:tcPr>
            <w:tcW w:w="1680" w:type="dxa"/>
          </w:tcPr>
          <w:p w:rsidR="00000000" w:rsidRDefault="00000000">
            <w:pPr>
              <w:spacing w:before="40" w:after="40"/>
              <w:jc w:val="center"/>
              <w:rPr>
                <w:sz w:val="20"/>
                <w:szCs w:val="20"/>
              </w:rPr>
            </w:pPr>
            <w:r>
              <w:rPr>
                <w:sz w:val="20"/>
                <w:szCs w:val="20"/>
              </w:rPr>
              <w:t>Штаты/</w:t>
            </w:r>
            <w:r>
              <w:rPr>
                <w:sz w:val="20"/>
                <w:szCs w:val="20"/>
              </w:rPr>
              <w:br/>
              <w:t>Частный сектор</w:t>
            </w:r>
          </w:p>
        </w:tc>
        <w:tc>
          <w:tcPr>
            <w:tcW w:w="1560" w:type="dxa"/>
          </w:tcPr>
          <w:p w:rsidR="00000000" w:rsidRDefault="00000000">
            <w:pPr>
              <w:spacing w:before="40" w:after="40"/>
              <w:jc w:val="center"/>
              <w:rPr>
                <w:sz w:val="20"/>
                <w:szCs w:val="20"/>
              </w:rPr>
            </w:pPr>
            <w:r>
              <w:rPr>
                <w:sz w:val="20"/>
                <w:szCs w:val="20"/>
              </w:rPr>
              <w:t>Тех.</w:t>
            </w:r>
            <w:r>
              <w:rPr>
                <w:sz w:val="20"/>
                <w:szCs w:val="20"/>
              </w:rPr>
              <w:br/>
              <w:t>специалисты</w:t>
            </w:r>
          </w:p>
        </w:tc>
        <w:tc>
          <w:tcPr>
            <w:tcW w:w="1239" w:type="dxa"/>
          </w:tcPr>
          <w:p w:rsidR="00000000" w:rsidRDefault="00000000">
            <w:pPr>
              <w:spacing w:before="40" w:after="40"/>
              <w:jc w:val="center"/>
              <w:rPr>
                <w:sz w:val="20"/>
                <w:szCs w:val="20"/>
              </w:rPr>
            </w:pPr>
            <w:r>
              <w:rPr>
                <w:sz w:val="20"/>
                <w:szCs w:val="20"/>
              </w:rPr>
              <w:t>Итого</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r>
              <w:rPr>
                <w:sz w:val="20"/>
                <w:szCs w:val="20"/>
              </w:rPr>
              <w:t>1</w:t>
            </w:r>
          </w:p>
        </w:tc>
        <w:tc>
          <w:tcPr>
            <w:tcW w:w="3198" w:type="dxa"/>
            <w:gridSpan w:val="2"/>
          </w:tcPr>
          <w:p w:rsidR="00000000" w:rsidRDefault="00000000">
            <w:pPr>
              <w:spacing w:before="40" w:after="40"/>
              <w:rPr>
                <w:sz w:val="20"/>
                <w:szCs w:val="20"/>
              </w:rPr>
            </w:pPr>
            <w:r>
              <w:rPr>
                <w:sz w:val="20"/>
                <w:szCs w:val="20"/>
              </w:rPr>
              <w:t>Число имеющихся мест</w:t>
            </w:r>
          </w:p>
        </w:tc>
        <w:tc>
          <w:tcPr>
            <w:tcW w:w="1362" w:type="dxa"/>
          </w:tcPr>
          <w:p w:rsidR="00000000" w:rsidRDefault="00000000">
            <w:pPr>
              <w:spacing w:before="40" w:after="40"/>
              <w:ind w:right="284"/>
              <w:jc w:val="right"/>
              <w:rPr>
                <w:sz w:val="20"/>
                <w:szCs w:val="20"/>
              </w:rPr>
            </w:pPr>
            <w:r>
              <w:rPr>
                <w:sz w:val="20"/>
                <w:szCs w:val="20"/>
              </w:rPr>
              <w:t>20 420</w:t>
            </w:r>
          </w:p>
        </w:tc>
        <w:tc>
          <w:tcPr>
            <w:tcW w:w="1680" w:type="dxa"/>
          </w:tcPr>
          <w:p w:rsidR="00000000" w:rsidRDefault="00000000">
            <w:pPr>
              <w:spacing w:before="40" w:after="40"/>
              <w:ind w:right="340"/>
              <w:jc w:val="right"/>
              <w:rPr>
                <w:sz w:val="20"/>
                <w:szCs w:val="20"/>
              </w:rPr>
            </w:pPr>
            <w:r>
              <w:rPr>
                <w:sz w:val="20"/>
                <w:szCs w:val="20"/>
              </w:rPr>
              <w:t>39 004</w:t>
            </w:r>
          </w:p>
        </w:tc>
        <w:tc>
          <w:tcPr>
            <w:tcW w:w="1560" w:type="dxa"/>
          </w:tcPr>
          <w:p w:rsidR="00000000" w:rsidRDefault="00000000">
            <w:pPr>
              <w:spacing w:before="40" w:after="40"/>
              <w:ind w:right="340"/>
              <w:jc w:val="right"/>
              <w:rPr>
                <w:sz w:val="20"/>
                <w:szCs w:val="20"/>
              </w:rPr>
            </w:pPr>
            <w:r>
              <w:rPr>
                <w:sz w:val="20"/>
                <w:szCs w:val="20"/>
              </w:rPr>
              <w:t>19 895</w:t>
            </w:r>
          </w:p>
        </w:tc>
        <w:tc>
          <w:tcPr>
            <w:tcW w:w="1239" w:type="dxa"/>
          </w:tcPr>
          <w:p w:rsidR="00000000" w:rsidRDefault="00000000">
            <w:pPr>
              <w:spacing w:before="40" w:after="40"/>
              <w:ind w:right="227"/>
              <w:jc w:val="right"/>
              <w:rPr>
                <w:sz w:val="20"/>
                <w:szCs w:val="20"/>
              </w:rPr>
            </w:pPr>
            <w:r>
              <w:rPr>
                <w:sz w:val="20"/>
                <w:szCs w:val="20"/>
              </w:rPr>
              <w:t>79 319</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r>
              <w:rPr>
                <w:sz w:val="20"/>
                <w:szCs w:val="20"/>
              </w:rPr>
              <w:t>2</w:t>
            </w:r>
          </w:p>
        </w:tc>
        <w:tc>
          <w:tcPr>
            <w:tcW w:w="3198" w:type="dxa"/>
            <w:gridSpan w:val="2"/>
          </w:tcPr>
          <w:p w:rsidR="00000000" w:rsidRDefault="00000000">
            <w:pPr>
              <w:spacing w:before="40" w:after="40"/>
              <w:rPr>
                <w:sz w:val="20"/>
                <w:szCs w:val="20"/>
              </w:rPr>
            </w:pPr>
            <w:r>
              <w:rPr>
                <w:sz w:val="20"/>
                <w:szCs w:val="20"/>
              </w:rPr>
              <w:t>Число заполненных мест</w:t>
            </w:r>
          </w:p>
        </w:tc>
        <w:tc>
          <w:tcPr>
            <w:tcW w:w="1362" w:type="dxa"/>
          </w:tcPr>
          <w:p w:rsidR="00000000" w:rsidRDefault="00000000">
            <w:pPr>
              <w:spacing w:before="40" w:after="40"/>
              <w:ind w:right="284"/>
              <w:jc w:val="right"/>
              <w:rPr>
                <w:sz w:val="20"/>
                <w:szCs w:val="20"/>
              </w:rPr>
            </w:pPr>
            <w:r>
              <w:rPr>
                <w:sz w:val="20"/>
                <w:szCs w:val="20"/>
              </w:rPr>
              <w:t>6 084</w:t>
            </w:r>
          </w:p>
        </w:tc>
        <w:tc>
          <w:tcPr>
            <w:tcW w:w="1680" w:type="dxa"/>
          </w:tcPr>
          <w:p w:rsidR="00000000" w:rsidRDefault="00000000">
            <w:pPr>
              <w:spacing w:before="40" w:after="40"/>
              <w:ind w:right="340"/>
              <w:jc w:val="right"/>
              <w:rPr>
                <w:sz w:val="20"/>
                <w:szCs w:val="20"/>
              </w:rPr>
            </w:pPr>
            <w:r>
              <w:rPr>
                <w:sz w:val="20"/>
                <w:szCs w:val="20"/>
              </w:rPr>
              <w:t>22 837</w:t>
            </w:r>
          </w:p>
        </w:tc>
        <w:tc>
          <w:tcPr>
            <w:tcW w:w="1560" w:type="dxa"/>
          </w:tcPr>
          <w:p w:rsidR="00000000" w:rsidRDefault="00000000">
            <w:pPr>
              <w:spacing w:before="40" w:after="40"/>
              <w:ind w:right="340"/>
              <w:jc w:val="right"/>
              <w:rPr>
                <w:sz w:val="20"/>
                <w:szCs w:val="20"/>
              </w:rPr>
            </w:pPr>
            <w:r>
              <w:rPr>
                <w:sz w:val="20"/>
                <w:szCs w:val="20"/>
              </w:rPr>
              <w:t>4 893</w:t>
            </w:r>
          </w:p>
        </w:tc>
        <w:tc>
          <w:tcPr>
            <w:tcW w:w="1239" w:type="dxa"/>
          </w:tcPr>
          <w:p w:rsidR="00000000" w:rsidRDefault="00000000">
            <w:pPr>
              <w:spacing w:before="40" w:after="40"/>
              <w:ind w:right="227"/>
              <w:jc w:val="right"/>
              <w:rPr>
                <w:sz w:val="20"/>
                <w:szCs w:val="20"/>
              </w:rPr>
            </w:pPr>
            <w:r>
              <w:rPr>
                <w:sz w:val="20"/>
                <w:szCs w:val="20"/>
              </w:rPr>
              <w:t>33 814?</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r>
              <w:rPr>
                <w:sz w:val="20"/>
                <w:szCs w:val="20"/>
              </w:rPr>
              <w:t>3</w:t>
            </w:r>
          </w:p>
        </w:tc>
        <w:tc>
          <w:tcPr>
            <w:tcW w:w="3198" w:type="dxa"/>
            <w:gridSpan w:val="2"/>
          </w:tcPr>
          <w:p w:rsidR="00000000" w:rsidRDefault="00000000">
            <w:pPr>
              <w:spacing w:before="40" w:after="40"/>
              <w:rPr>
                <w:sz w:val="20"/>
                <w:szCs w:val="20"/>
              </w:rPr>
            </w:pPr>
            <w:r>
              <w:rPr>
                <w:sz w:val="20"/>
                <w:szCs w:val="20"/>
              </w:rPr>
              <w:t>% заполнения мест</w:t>
            </w:r>
          </w:p>
        </w:tc>
        <w:tc>
          <w:tcPr>
            <w:tcW w:w="1362" w:type="dxa"/>
          </w:tcPr>
          <w:p w:rsidR="00000000" w:rsidRDefault="00000000">
            <w:pPr>
              <w:spacing w:before="40" w:after="40"/>
              <w:ind w:right="284"/>
              <w:jc w:val="right"/>
              <w:rPr>
                <w:sz w:val="20"/>
                <w:szCs w:val="20"/>
              </w:rPr>
            </w:pPr>
            <w:r>
              <w:rPr>
                <w:sz w:val="20"/>
                <w:szCs w:val="20"/>
              </w:rPr>
              <w:t>30%</w:t>
            </w:r>
          </w:p>
        </w:tc>
        <w:tc>
          <w:tcPr>
            <w:tcW w:w="1680" w:type="dxa"/>
          </w:tcPr>
          <w:p w:rsidR="00000000" w:rsidRDefault="00000000">
            <w:pPr>
              <w:spacing w:before="40" w:after="40"/>
              <w:ind w:right="340"/>
              <w:jc w:val="right"/>
              <w:rPr>
                <w:sz w:val="20"/>
                <w:szCs w:val="20"/>
              </w:rPr>
            </w:pPr>
            <w:r>
              <w:rPr>
                <w:sz w:val="20"/>
                <w:szCs w:val="20"/>
              </w:rPr>
              <w:t>59%</w:t>
            </w:r>
          </w:p>
        </w:tc>
        <w:tc>
          <w:tcPr>
            <w:tcW w:w="1560" w:type="dxa"/>
          </w:tcPr>
          <w:p w:rsidR="00000000" w:rsidRDefault="00000000">
            <w:pPr>
              <w:spacing w:before="40" w:after="40"/>
              <w:ind w:right="340"/>
              <w:jc w:val="right"/>
              <w:rPr>
                <w:sz w:val="20"/>
                <w:szCs w:val="20"/>
              </w:rPr>
            </w:pPr>
            <w:r>
              <w:rPr>
                <w:sz w:val="20"/>
                <w:szCs w:val="20"/>
              </w:rPr>
              <w:t>25%</w:t>
            </w:r>
          </w:p>
        </w:tc>
        <w:tc>
          <w:tcPr>
            <w:tcW w:w="1239" w:type="dxa"/>
          </w:tcPr>
          <w:p w:rsidR="00000000" w:rsidRDefault="00000000">
            <w:pPr>
              <w:spacing w:before="40" w:after="40"/>
              <w:ind w:right="227"/>
              <w:jc w:val="right"/>
              <w:rPr>
                <w:sz w:val="20"/>
                <w:szCs w:val="20"/>
              </w:rPr>
            </w:pPr>
            <w:r>
              <w:rPr>
                <w:sz w:val="20"/>
                <w:szCs w:val="20"/>
              </w:rPr>
              <w:t>43%?</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r>
              <w:rPr>
                <w:sz w:val="20"/>
                <w:szCs w:val="20"/>
              </w:rPr>
              <w:t>4</w:t>
            </w:r>
          </w:p>
        </w:tc>
        <w:tc>
          <w:tcPr>
            <w:tcW w:w="3198" w:type="dxa"/>
            <w:gridSpan w:val="2"/>
          </w:tcPr>
          <w:p w:rsidR="00000000" w:rsidRDefault="00000000">
            <w:pPr>
              <w:spacing w:before="40" w:after="40"/>
              <w:rPr>
                <w:sz w:val="20"/>
                <w:szCs w:val="20"/>
              </w:rPr>
            </w:pPr>
            <w:r>
              <w:rPr>
                <w:sz w:val="20"/>
                <w:szCs w:val="20"/>
              </w:rPr>
              <w:t>Меньшинства/уязвимые группы (из заполненных мест)</w:t>
            </w:r>
          </w:p>
        </w:tc>
        <w:tc>
          <w:tcPr>
            <w:tcW w:w="1362" w:type="dxa"/>
          </w:tcPr>
          <w:p w:rsidR="00000000" w:rsidRDefault="00000000">
            <w:pPr>
              <w:spacing w:before="40" w:after="40"/>
              <w:ind w:right="284"/>
              <w:jc w:val="right"/>
              <w:rPr>
                <w:sz w:val="20"/>
                <w:szCs w:val="20"/>
              </w:rPr>
            </w:pPr>
          </w:p>
        </w:tc>
        <w:tc>
          <w:tcPr>
            <w:tcW w:w="1680" w:type="dxa"/>
          </w:tcPr>
          <w:p w:rsidR="00000000" w:rsidRDefault="00000000">
            <w:pPr>
              <w:spacing w:before="40" w:after="40"/>
              <w:ind w:right="340"/>
              <w:jc w:val="right"/>
              <w:rPr>
                <w:sz w:val="20"/>
                <w:szCs w:val="20"/>
              </w:rPr>
            </w:pPr>
          </w:p>
        </w:tc>
        <w:tc>
          <w:tcPr>
            <w:tcW w:w="1560" w:type="dxa"/>
          </w:tcPr>
          <w:p w:rsidR="00000000" w:rsidRDefault="00000000">
            <w:pPr>
              <w:spacing w:before="40" w:after="40"/>
              <w:ind w:right="340"/>
              <w:jc w:val="right"/>
              <w:rPr>
                <w:sz w:val="20"/>
                <w:szCs w:val="20"/>
              </w:rPr>
            </w:pPr>
          </w:p>
        </w:tc>
        <w:tc>
          <w:tcPr>
            <w:tcW w:w="1239" w:type="dxa"/>
          </w:tcPr>
          <w:p w:rsidR="00000000" w:rsidRDefault="00000000">
            <w:pPr>
              <w:spacing w:before="40" w:after="40"/>
              <w:ind w:right="227"/>
              <w:jc w:val="right"/>
              <w:rPr>
                <w:sz w:val="20"/>
                <w:szCs w:val="20"/>
              </w:rPr>
            </w:pPr>
          </w:p>
        </w:tc>
      </w:tr>
      <w:tr w:rsidR="00000000">
        <w:tblPrEx>
          <w:tblCellMar>
            <w:top w:w="0" w:type="dxa"/>
            <w:bottom w:w="0" w:type="dxa"/>
          </w:tblCellMar>
        </w:tblPrEx>
        <w:tc>
          <w:tcPr>
            <w:tcW w:w="600" w:type="dxa"/>
          </w:tcPr>
          <w:p w:rsidR="00000000" w:rsidRDefault="00000000">
            <w:pPr>
              <w:spacing w:before="40" w:after="40"/>
              <w:jc w:val="center"/>
              <w:rPr>
                <w:sz w:val="20"/>
                <w:szCs w:val="20"/>
              </w:rPr>
            </w:pPr>
          </w:p>
        </w:tc>
        <w:tc>
          <w:tcPr>
            <w:tcW w:w="583" w:type="dxa"/>
          </w:tcPr>
          <w:p w:rsidR="00000000" w:rsidRDefault="00000000">
            <w:pPr>
              <w:spacing w:before="40" w:after="40"/>
              <w:rPr>
                <w:sz w:val="20"/>
                <w:szCs w:val="20"/>
              </w:rPr>
            </w:pPr>
            <w:r>
              <w:rPr>
                <w:sz w:val="20"/>
                <w:szCs w:val="20"/>
                <w:lang w:val="en-US"/>
              </w:rPr>
              <w:t>A</w:t>
            </w:r>
          </w:p>
        </w:tc>
        <w:tc>
          <w:tcPr>
            <w:tcW w:w="2615" w:type="dxa"/>
          </w:tcPr>
          <w:p w:rsidR="00000000" w:rsidRDefault="00000000">
            <w:pPr>
              <w:spacing w:before="40" w:after="40"/>
              <w:rPr>
                <w:sz w:val="20"/>
                <w:szCs w:val="20"/>
              </w:rPr>
            </w:pPr>
            <w:r>
              <w:rPr>
                <w:sz w:val="20"/>
                <w:szCs w:val="20"/>
              </w:rPr>
              <w:t xml:space="preserve">Касты неприкасаемых </w:t>
            </w:r>
            <w:r>
              <w:rPr>
                <w:sz w:val="20"/>
                <w:szCs w:val="20"/>
              </w:rPr>
              <w:br/>
              <w:t>(КН)</w:t>
            </w:r>
          </w:p>
        </w:tc>
        <w:tc>
          <w:tcPr>
            <w:tcW w:w="1362" w:type="dxa"/>
          </w:tcPr>
          <w:p w:rsidR="00000000" w:rsidRDefault="00000000">
            <w:pPr>
              <w:spacing w:before="40" w:after="40"/>
              <w:ind w:right="284"/>
              <w:jc w:val="right"/>
              <w:rPr>
                <w:sz w:val="20"/>
                <w:szCs w:val="20"/>
              </w:rPr>
            </w:pPr>
            <w:r>
              <w:rPr>
                <w:sz w:val="20"/>
                <w:szCs w:val="20"/>
              </w:rPr>
              <w:t>486</w:t>
            </w:r>
          </w:p>
          <w:p w:rsidR="00000000" w:rsidRDefault="00000000">
            <w:pPr>
              <w:spacing w:before="40" w:after="40"/>
              <w:ind w:right="284"/>
              <w:jc w:val="right"/>
              <w:rPr>
                <w:sz w:val="20"/>
                <w:szCs w:val="20"/>
              </w:rPr>
            </w:pPr>
            <w:r>
              <w:rPr>
                <w:sz w:val="20"/>
                <w:szCs w:val="20"/>
              </w:rPr>
              <w:t>8%</w:t>
            </w:r>
          </w:p>
        </w:tc>
        <w:tc>
          <w:tcPr>
            <w:tcW w:w="1680" w:type="dxa"/>
          </w:tcPr>
          <w:p w:rsidR="00000000" w:rsidRDefault="00000000">
            <w:pPr>
              <w:spacing w:before="40" w:after="40"/>
              <w:ind w:right="340"/>
              <w:jc w:val="right"/>
              <w:rPr>
                <w:sz w:val="20"/>
                <w:szCs w:val="20"/>
              </w:rPr>
            </w:pPr>
            <w:r>
              <w:rPr>
                <w:sz w:val="20"/>
                <w:szCs w:val="20"/>
              </w:rPr>
              <w:t>1 745</w:t>
            </w:r>
          </w:p>
          <w:p w:rsidR="00000000" w:rsidRDefault="00000000">
            <w:pPr>
              <w:spacing w:before="40" w:after="40"/>
              <w:ind w:right="340"/>
              <w:jc w:val="right"/>
              <w:rPr>
                <w:sz w:val="20"/>
                <w:szCs w:val="20"/>
              </w:rPr>
            </w:pPr>
            <w:r>
              <w:rPr>
                <w:sz w:val="20"/>
                <w:szCs w:val="20"/>
              </w:rPr>
              <w:t>8%</w:t>
            </w:r>
          </w:p>
        </w:tc>
        <w:tc>
          <w:tcPr>
            <w:tcW w:w="1560" w:type="dxa"/>
          </w:tcPr>
          <w:p w:rsidR="00000000" w:rsidRDefault="00000000">
            <w:pPr>
              <w:spacing w:before="40" w:after="40"/>
              <w:ind w:right="340"/>
              <w:jc w:val="right"/>
              <w:rPr>
                <w:sz w:val="20"/>
                <w:szCs w:val="20"/>
              </w:rPr>
            </w:pPr>
            <w:r>
              <w:rPr>
                <w:sz w:val="20"/>
                <w:szCs w:val="20"/>
              </w:rPr>
              <w:t>95</w:t>
            </w:r>
          </w:p>
          <w:p w:rsidR="00000000" w:rsidRDefault="00000000">
            <w:pPr>
              <w:spacing w:before="40" w:after="40"/>
              <w:ind w:right="340"/>
              <w:jc w:val="right"/>
              <w:rPr>
                <w:sz w:val="20"/>
                <w:szCs w:val="20"/>
              </w:rPr>
            </w:pPr>
            <w:r>
              <w:rPr>
                <w:sz w:val="20"/>
                <w:szCs w:val="20"/>
              </w:rPr>
              <w:t>2%</w:t>
            </w:r>
          </w:p>
        </w:tc>
        <w:tc>
          <w:tcPr>
            <w:tcW w:w="1239" w:type="dxa"/>
          </w:tcPr>
          <w:p w:rsidR="00000000" w:rsidRDefault="00000000">
            <w:pPr>
              <w:spacing w:before="40" w:after="40"/>
              <w:ind w:right="227"/>
              <w:jc w:val="right"/>
              <w:rPr>
                <w:sz w:val="20"/>
                <w:szCs w:val="20"/>
              </w:rPr>
            </w:pPr>
            <w:r>
              <w:rPr>
                <w:sz w:val="20"/>
                <w:szCs w:val="20"/>
              </w:rPr>
              <w:t>2 346</w:t>
            </w:r>
          </w:p>
          <w:p w:rsidR="00000000" w:rsidRDefault="00000000">
            <w:pPr>
              <w:spacing w:before="40" w:after="40"/>
              <w:ind w:right="227"/>
              <w:jc w:val="right"/>
              <w:rPr>
                <w:sz w:val="20"/>
                <w:szCs w:val="20"/>
              </w:rPr>
            </w:pPr>
            <w:r>
              <w:rPr>
                <w:sz w:val="20"/>
                <w:szCs w:val="20"/>
              </w:rPr>
              <w:t>7%</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p>
        </w:tc>
        <w:tc>
          <w:tcPr>
            <w:tcW w:w="583" w:type="dxa"/>
          </w:tcPr>
          <w:p w:rsidR="00000000" w:rsidRDefault="00000000">
            <w:pPr>
              <w:spacing w:before="40" w:after="40"/>
              <w:rPr>
                <w:sz w:val="20"/>
                <w:szCs w:val="20"/>
              </w:rPr>
            </w:pPr>
            <w:r>
              <w:rPr>
                <w:sz w:val="20"/>
                <w:szCs w:val="20"/>
                <w:lang w:val="en-US"/>
              </w:rPr>
              <w:t>B</w:t>
            </w:r>
          </w:p>
        </w:tc>
        <w:tc>
          <w:tcPr>
            <w:tcW w:w="2615" w:type="dxa"/>
          </w:tcPr>
          <w:p w:rsidR="00000000" w:rsidRDefault="00000000">
            <w:pPr>
              <w:spacing w:before="40" w:after="40"/>
              <w:rPr>
                <w:sz w:val="20"/>
                <w:szCs w:val="20"/>
              </w:rPr>
            </w:pPr>
            <w:r>
              <w:rPr>
                <w:sz w:val="20"/>
                <w:szCs w:val="20"/>
              </w:rPr>
              <w:t>Зарегестрированные племена (ЗП)</w:t>
            </w:r>
          </w:p>
        </w:tc>
        <w:tc>
          <w:tcPr>
            <w:tcW w:w="1362" w:type="dxa"/>
          </w:tcPr>
          <w:p w:rsidR="00000000" w:rsidRDefault="00000000">
            <w:pPr>
              <w:spacing w:before="40" w:after="40"/>
              <w:ind w:right="284"/>
              <w:jc w:val="right"/>
              <w:rPr>
                <w:sz w:val="20"/>
                <w:szCs w:val="20"/>
              </w:rPr>
            </w:pPr>
            <w:r>
              <w:rPr>
                <w:sz w:val="20"/>
                <w:szCs w:val="20"/>
              </w:rPr>
              <w:t>49 (1%)</w:t>
            </w:r>
          </w:p>
        </w:tc>
        <w:tc>
          <w:tcPr>
            <w:tcW w:w="1680" w:type="dxa"/>
          </w:tcPr>
          <w:p w:rsidR="00000000" w:rsidRDefault="00000000">
            <w:pPr>
              <w:spacing w:before="40" w:after="40"/>
              <w:ind w:right="340"/>
              <w:jc w:val="right"/>
              <w:rPr>
                <w:sz w:val="20"/>
                <w:szCs w:val="20"/>
              </w:rPr>
            </w:pPr>
            <w:r>
              <w:rPr>
                <w:sz w:val="20"/>
                <w:szCs w:val="20"/>
              </w:rPr>
              <w:t>264 (1%)</w:t>
            </w:r>
          </w:p>
        </w:tc>
        <w:tc>
          <w:tcPr>
            <w:tcW w:w="1560" w:type="dxa"/>
          </w:tcPr>
          <w:p w:rsidR="00000000" w:rsidRDefault="00000000">
            <w:pPr>
              <w:spacing w:before="40" w:after="40"/>
              <w:ind w:right="340"/>
              <w:jc w:val="right"/>
              <w:rPr>
                <w:sz w:val="20"/>
                <w:szCs w:val="20"/>
              </w:rPr>
            </w:pPr>
            <w:r>
              <w:rPr>
                <w:sz w:val="20"/>
                <w:szCs w:val="20"/>
              </w:rPr>
              <w:t>11 (0,37%)</w:t>
            </w:r>
          </w:p>
        </w:tc>
        <w:tc>
          <w:tcPr>
            <w:tcW w:w="1239" w:type="dxa"/>
          </w:tcPr>
          <w:p w:rsidR="00000000" w:rsidRDefault="00000000">
            <w:pPr>
              <w:spacing w:before="40" w:after="40"/>
              <w:ind w:right="227"/>
              <w:jc w:val="right"/>
              <w:rPr>
                <w:sz w:val="20"/>
                <w:szCs w:val="20"/>
              </w:rPr>
            </w:pPr>
            <w:r>
              <w:rPr>
                <w:sz w:val="20"/>
                <w:szCs w:val="20"/>
              </w:rPr>
              <w:t>324 (1%)</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p>
        </w:tc>
        <w:tc>
          <w:tcPr>
            <w:tcW w:w="583" w:type="dxa"/>
          </w:tcPr>
          <w:p w:rsidR="00000000" w:rsidRDefault="00000000">
            <w:pPr>
              <w:spacing w:before="40" w:after="40"/>
              <w:rPr>
                <w:sz w:val="20"/>
                <w:szCs w:val="20"/>
              </w:rPr>
            </w:pPr>
            <w:r>
              <w:rPr>
                <w:sz w:val="20"/>
                <w:szCs w:val="20"/>
                <w:lang w:val="en-US"/>
              </w:rPr>
              <w:t>C</w:t>
            </w:r>
          </w:p>
        </w:tc>
        <w:tc>
          <w:tcPr>
            <w:tcW w:w="2615" w:type="dxa"/>
          </w:tcPr>
          <w:p w:rsidR="00000000" w:rsidRDefault="00000000">
            <w:pPr>
              <w:spacing w:before="40" w:after="40"/>
              <w:rPr>
                <w:sz w:val="20"/>
                <w:szCs w:val="20"/>
              </w:rPr>
            </w:pPr>
            <w:r>
              <w:rPr>
                <w:sz w:val="20"/>
                <w:szCs w:val="20"/>
              </w:rPr>
              <w:t>Меньшинства</w:t>
            </w:r>
          </w:p>
        </w:tc>
        <w:tc>
          <w:tcPr>
            <w:tcW w:w="1362" w:type="dxa"/>
          </w:tcPr>
          <w:p w:rsidR="00000000" w:rsidRDefault="00000000">
            <w:pPr>
              <w:spacing w:before="40" w:after="40"/>
              <w:ind w:right="284"/>
              <w:jc w:val="right"/>
              <w:rPr>
                <w:sz w:val="20"/>
                <w:szCs w:val="20"/>
              </w:rPr>
            </w:pPr>
            <w:r>
              <w:rPr>
                <w:sz w:val="20"/>
                <w:szCs w:val="20"/>
              </w:rPr>
              <w:t xml:space="preserve">243 </w:t>
            </w:r>
          </w:p>
          <w:p w:rsidR="00000000" w:rsidRDefault="00000000">
            <w:pPr>
              <w:spacing w:before="40" w:after="40"/>
              <w:ind w:right="284"/>
              <w:jc w:val="right"/>
              <w:rPr>
                <w:sz w:val="20"/>
                <w:szCs w:val="20"/>
              </w:rPr>
            </w:pPr>
            <w:r>
              <w:rPr>
                <w:sz w:val="20"/>
                <w:szCs w:val="20"/>
              </w:rPr>
              <w:t>4%</w:t>
            </w:r>
          </w:p>
        </w:tc>
        <w:tc>
          <w:tcPr>
            <w:tcW w:w="1680" w:type="dxa"/>
          </w:tcPr>
          <w:p w:rsidR="00000000" w:rsidRDefault="00000000">
            <w:pPr>
              <w:spacing w:before="40" w:after="40"/>
              <w:ind w:right="340"/>
              <w:jc w:val="right"/>
              <w:rPr>
                <w:sz w:val="20"/>
                <w:szCs w:val="20"/>
              </w:rPr>
            </w:pPr>
            <w:r>
              <w:rPr>
                <w:sz w:val="20"/>
                <w:szCs w:val="20"/>
              </w:rPr>
              <w:t>1 085</w:t>
            </w:r>
          </w:p>
          <w:p w:rsidR="00000000" w:rsidRDefault="00000000">
            <w:pPr>
              <w:spacing w:before="40" w:after="40"/>
              <w:ind w:right="340"/>
              <w:jc w:val="right"/>
              <w:rPr>
                <w:sz w:val="20"/>
                <w:szCs w:val="20"/>
              </w:rPr>
            </w:pPr>
            <w:r>
              <w:rPr>
                <w:sz w:val="20"/>
                <w:szCs w:val="20"/>
              </w:rPr>
              <w:t>5%</w:t>
            </w:r>
          </w:p>
        </w:tc>
        <w:tc>
          <w:tcPr>
            <w:tcW w:w="1560" w:type="dxa"/>
          </w:tcPr>
          <w:p w:rsidR="00000000" w:rsidRDefault="00000000">
            <w:pPr>
              <w:spacing w:before="40" w:after="40"/>
              <w:ind w:right="340"/>
              <w:jc w:val="right"/>
              <w:rPr>
                <w:sz w:val="20"/>
                <w:szCs w:val="20"/>
              </w:rPr>
            </w:pPr>
            <w:r>
              <w:rPr>
                <w:sz w:val="20"/>
                <w:szCs w:val="20"/>
              </w:rPr>
              <w:t xml:space="preserve">146 </w:t>
            </w:r>
          </w:p>
          <w:p w:rsidR="00000000" w:rsidRDefault="00000000">
            <w:pPr>
              <w:spacing w:before="40" w:after="40"/>
              <w:ind w:right="340"/>
              <w:jc w:val="right"/>
              <w:rPr>
                <w:sz w:val="20"/>
                <w:szCs w:val="20"/>
              </w:rPr>
            </w:pPr>
            <w:r>
              <w:rPr>
                <w:sz w:val="20"/>
                <w:szCs w:val="20"/>
              </w:rPr>
              <w:t>3%</w:t>
            </w:r>
          </w:p>
        </w:tc>
        <w:tc>
          <w:tcPr>
            <w:tcW w:w="1239" w:type="dxa"/>
          </w:tcPr>
          <w:p w:rsidR="00000000" w:rsidRDefault="00000000">
            <w:pPr>
              <w:spacing w:before="40" w:after="40"/>
              <w:ind w:right="227"/>
              <w:jc w:val="right"/>
              <w:rPr>
                <w:sz w:val="20"/>
                <w:szCs w:val="20"/>
              </w:rPr>
            </w:pPr>
            <w:r>
              <w:rPr>
                <w:sz w:val="20"/>
                <w:szCs w:val="20"/>
              </w:rPr>
              <w:t>1 474</w:t>
            </w:r>
          </w:p>
          <w:p w:rsidR="00000000" w:rsidRDefault="00000000">
            <w:pPr>
              <w:spacing w:before="40" w:after="40"/>
              <w:ind w:right="227"/>
              <w:jc w:val="right"/>
              <w:rPr>
                <w:sz w:val="20"/>
                <w:szCs w:val="20"/>
              </w:rPr>
            </w:pPr>
            <w:r>
              <w:rPr>
                <w:sz w:val="20"/>
                <w:szCs w:val="20"/>
              </w:rPr>
              <w:t>4%</w:t>
            </w:r>
          </w:p>
        </w:tc>
      </w:tr>
      <w:tr w:rsidR="00000000">
        <w:tblPrEx>
          <w:tblCellMar>
            <w:top w:w="0" w:type="dxa"/>
            <w:bottom w:w="0" w:type="dxa"/>
          </w:tblCellMar>
        </w:tblPrEx>
        <w:tc>
          <w:tcPr>
            <w:tcW w:w="600" w:type="dxa"/>
          </w:tcPr>
          <w:p w:rsidR="00000000" w:rsidRDefault="00000000">
            <w:pPr>
              <w:spacing w:before="40" w:after="40"/>
              <w:jc w:val="center"/>
              <w:rPr>
                <w:sz w:val="20"/>
                <w:szCs w:val="20"/>
              </w:rPr>
            </w:pPr>
          </w:p>
        </w:tc>
        <w:tc>
          <w:tcPr>
            <w:tcW w:w="583" w:type="dxa"/>
          </w:tcPr>
          <w:p w:rsidR="00000000" w:rsidRDefault="00000000">
            <w:pPr>
              <w:spacing w:before="40" w:after="40"/>
              <w:rPr>
                <w:sz w:val="20"/>
                <w:szCs w:val="20"/>
              </w:rPr>
            </w:pPr>
            <w:r>
              <w:rPr>
                <w:sz w:val="20"/>
                <w:szCs w:val="20"/>
                <w:lang w:val="en-US"/>
              </w:rPr>
              <w:t>D</w:t>
            </w:r>
          </w:p>
        </w:tc>
        <w:tc>
          <w:tcPr>
            <w:tcW w:w="2615" w:type="dxa"/>
          </w:tcPr>
          <w:p w:rsidR="00000000" w:rsidRDefault="00000000">
            <w:pPr>
              <w:spacing w:before="40" w:after="40"/>
              <w:rPr>
                <w:sz w:val="20"/>
                <w:szCs w:val="20"/>
              </w:rPr>
            </w:pPr>
            <w:r>
              <w:rPr>
                <w:sz w:val="20"/>
                <w:szCs w:val="20"/>
              </w:rPr>
              <w:t>Лица с физическими недостатками</w:t>
            </w:r>
          </w:p>
        </w:tc>
        <w:tc>
          <w:tcPr>
            <w:tcW w:w="1362" w:type="dxa"/>
          </w:tcPr>
          <w:p w:rsidR="00000000" w:rsidRDefault="00000000">
            <w:pPr>
              <w:spacing w:before="40" w:after="40"/>
              <w:ind w:right="284"/>
              <w:jc w:val="right"/>
              <w:rPr>
                <w:sz w:val="20"/>
                <w:szCs w:val="20"/>
                <w:lang w:val="en-US"/>
              </w:rPr>
            </w:pPr>
            <w:r>
              <w:rPr>
                <w:sz w:val="20"/>
                <w:szCs w:val="20"/>
                <w:lang w:val="en-US"/>
              </w:rPr>
              <w:t>10</w:t>
            </w:r>
          </w:p>
          <w:p w:rsidR="00000000" w:rsidRDefault="00000000">
            <w:pPr>
              <w:spacing w:before="40" w:after="40"/>
              <w:ind w:right="284"/>
              <w:jc w:val="right"/>
              <w:rPr>
                <w:sz w:val="20"/>
                <w:szCs w:val="20"/>
                <w:lang w:val="en-US"/>
              </w:rPr>
            </w:pPr>
            <w:r>
              <w:rPr>
                <w:sz w:val="20"/>
                <w:szCs w:val="20"/>
                <w:lang w:val="en-US"/>
              </w:rPr>
              <w:t>0</w:t>
            </w:r>
            <w:r>
              <w:rPr>
                <w:sz w:val="20"/>
                <w:szCs w:val="20"/>
              </w:rPr>
              <w:t>,</w:t>
            </w:r>
            <w:r>
              <w:rPr>
                <w:sz w:val="20"/>
                <w:szCs w:val="20"/>
                <w:lang w:val="en-US"/>
              </w:rPr>
              <w:t>16%</w:t>
            </w:r>
          </w:p>
        </w:tc>
        <w:tc>
          <w:tcPr>
            <w:tcW w:w="1680" w:type="dxa"/>
          </w:tcPr>
          <w:p w:rsidR="00000000" w:rsidRDefault="00000000">
            <w:pPr>
              <w:spacing w:before="40" w:after="40"/>
              <w:ind w:right="340"/>
              <w:jc w:val="right"/>
              <w:rPr>
                <w:sz w:val="20"/>
                <w:szCs w:val="20"/>
                <w:lang w:val="en-US"/>
              </w:rPr>
            </w:pPr>
            <w:r>
              <w:rPr>
                <w:sz w:val="20"/>
                <w:szCs w:val="20"/>
                <w:lang w:val="en-US"/>
              </w:rPr>
              <w:t>37</w:t>
            </w:r>
          </w:p>
          <w:p w:rsidR="00000000" w:rsidRDefault="00000000">
            <w:pPr>
              <w:spacing w:before="40" w:after="40"/>
              <w:ind w:right="340"/>
              <w:jc w:val="right"/>
              <w:rPr>
                <w:sz w:val="20"/>
                <w:szCs w:val="20"/>
                <w:lang w:val="en-US"/>
              </w:rPr>
            </w:pPr>
            <w:r>
              <w:rPr>
                <w:sz w:val="20"/>
                <w:szCs w:val="20"/>
                <w:lang w:val="en-US"/>
              </w:rPr>
              <w:t>0</w:t>
            </w:r>
            <w:r>
              <w:rPr>
                <w:sz w:val="20"/>
                <w:szCs w:val="20"/>
              </w:rPr>
              <w:t>,</w:t>
            </w:r>
            <w:r>
              <w:rPr>
                <w:sz w:val="20"/>
                <w:szCs w:val="20"/>
                <w:lang w:val="en-US"/>
              </w:rPr>
              <w:t>14%</w:t>
            </w:r>
          </w:p>
        </w:tc>
        <w:tc>
          <w:tcPr>
            <w:tcW w:w="1560" w:type="dxa"/>
          </w:tcPr>
          <w:p w:rsidR="00000000" w:rsidRDefault="00000000">
            <w:pPr>
              <w:spacing w:before="40" w:after="40"/>
              <w:ind w:right="340"/>
              <w:jc w:val="right"/>
              <w:rPr>
                <w:sz w:val="20"/>
                <w:szCs w:val="20"/>
                <w:lang w:val="en-US"/>
              </w:rPr>
            </w:pPr>
            <w:r>
              <w:rPr>
                <w:sz w:val="20"/>
                <w:szCs w:val="20"/>
                <w:lang w:val="en-US"/>
              </w:rPr>
              <w:t>4</w:t>
            </w:r>
          </w:p>
          <w:p w:rsidR="00000000" w:rsidRDefault="00000000">
            <w:pPr>
              <w:spacing w:before="40" w:after="40"/>
              <w:ind w:right="340"/>
              <w:jc w:val="right"/>
              <w:rPr>
                <w:sz w:val="20"/>
                <w:szCs w:val="20"/>
                <w:lang w:val="en-US"/>
              </w:rPr>
            </w:pPr>
            <w:r>
              <w:rPr>
                <w:sz w:val="20"/>
                <w:szCs w:val="20"/>
                <w:lang w:val="en-US"/>
              </w:rPr>
              <w:t>0</w:t>
            </w:r>
            <w:r>
              <w:rPr>
                <w:sz w:val="20"/>
                <w:szCs w:val="20"/>
              </w:rPr>
              <w:t>,</w:t>
            </w:r>
            <w:r>
              <w:rPr>
                <w:sz w:val="20"/>
                <w:szCs w:val="20"/>
                <w:lang w:val="en-US"/>
              </w:rPr>
              <w:t>11%</w:t>
            </w:r>
          </w:p>
        </w:tc>
        <w:tc>
          <w:tcPr>
            <w:tcW w:w="1239" w:type="dxa"/>
          </w:tcPr>
          <w:p w:rsidR="00000000" w:rsidRDefault="00000000">
            <w:pPr>
              <w:spacing w:before="40" w:after="40"/>
              <w:ind w:right="227"/>
              <w:jc w:val="right"/>
              <w:rPr>
                <w:sz w:val="20"/>
                <w:szCs w:val="20"/>
                <w:lang w:val="en-US"/>
              </w:rPr>
            </w:pPr>
            <w:r>
              <w:rPr>
                <w:sz w:val="20"/>
                <w:szCs w:val="20"/>
                <w:lang w:val="en-US"/>
              </w:rPr>
              <w:t>51</w:t>
            </w:r>
          </w:p>
          <w:p w:rsidR="00000000" w:rsidRDefault="00000000">
            <w:pPr>
              <w:spacing w:before="40" w:after="40"/>
              <w:ind w:right="227"/>
              <w:jc w:val="right"/>
              <w:rPr>
                <w:sz w:val="20"/>
                <w:szCs w:val="20"/>
                <w:lang w:val="en-US"/>
              </w:rPr>
            </w:pPr>
            <w:r>
              <w:rPr>
                <w:sz w:val="20"/>
                <w:szCs w:val="20"/>
                <w:lang w:val="en-US"/>
              </w:rPr>
              <w:t>0</w:t>
            </w:r>
            <w:r>
              <w:rPr>
                <w:sz w:val="20"/>
                <w:szCs w:val="20"/>
              </w:rPr>
              <w:t>,</w:t>
            </w:r>
            <w:r>
              <w:rPr>
                <w:sz w:val="20"/>
                <w:szCs w:val="20"/>
                <w:lang w:val="en-US"/>
              </w:rPr>
              <w:t>14%</w:t>
            </w:r>
          </w:p>
        </w:tc>
      </w:tr>
      <w:tr w:rsidR="00000000">
        <w:tblPrEx>
          <w:tblCellMar>
            <w:top w:w="0" w:type="dxa"/>
            <w:bottom w:w="0" w:type="dxa"/>
          </w:tblCellMar>
        </w:tblPrEx>
        <w:tc>
          <w:tcPr>
            <w:tcW w:w="600" w:type="dxa"/>
          </w:tcPr>
          <w:p w:rsidR="00000000" w:rsidRDefault="00000000">
            <w:pPr>
              <w:spacing w:before="40" w:after="40"/>
              <w:jc w:val="center"/>
              <w:rPr>
                <w:sz w:val="20"/>
                <w:szCs w:val="20"/>
                <w:lang w:val="en-US"/>
              </w:rPr>
            </w:pPr>
          </w:p>
        </w:tc>
        <w:tc>
          <w:tcPr>
            <w:tcW w:w="583" w:type="dxa"/>
          </w:tcPr>
          <w:p w:rsidR="00000000" w:rsidRDefault="00000000">
            <w:pPr>
              <w:spacing w:before="40" w:after="40"/>
              <w:rPr>
                <w:sz w:val="20"/>
                <w:szCs w:val="20"/>
                <w:lang w:val="en-US"/>
              </w:rPr>
            </w:pPr>
            <w:r>
              <w:rPr>
                <w:sz w:val="20"/>
                <w:szCs w:val="20"/>
                <w:lang w:val="en-US"/>
              </w:rPr>
              <w:t>E</w:t>
            </w:r>
          </w:p>
        </w:tc>
        <w:tc>
          <w:tcPr>
            <w:tcW w:w="2615" w:type="dxa"/>
          </w:tcPr>
          <w:p w:rsidR="00000000" w:rsidRDefault="00000000">
            <w:pPr>
              <w:spacing w:before="40" w:after="40"/>
              <w:rPr>
                <w:sz w:val="20"/>
                <w:szCs w:val="20"/>
              </w:rPr>
            </w:pPr>
            <w:r>
              <w:rPr>
                <w:sz w:val="20"/>
                <w:szCs w:val="20"/>
              </w:rPr>
              <w:t>Женщины</w:t>
            </w:r>
          </w:p>
        </w:tc>
        <w:tc>
          <w:tcPr>
            <w:tcW w:w="1362" w:type="dxa"/>
          </w:tcPr>
          <w:p w:rsidR="00000000" w:rsidRDefault="00000000">
            <w:pPr>
              <w:spacing w:before="40" w:after="40"/>
              <w:ind w:right="284"/>
              <w:jc w:val="right"/>
              <w:rPr>
                <w:sz w:val="20"/>
                <w:szCs w:val="20"/>
                <w:lang w:val="en-US"/>
              </w:rPr>
            </w:pPr>
            <w:r>
              <w:rPr>
                <w:sz w:val="20"/>
                <w:szCs w:val="20"/>
                <w:lang w:val="en-US"/>
              </w:rPr>
              <w:t>739</w:t>
            </w:r>
          </w:p>
          <w:p w:rsidR="00000000" w:rsidRDefault="00000000">
            <w:pPr>
              <w:spacing w:before="40" w:after="40"/>
              <w:ind w:right="284"/>
              <w:jc w:val="right"/>
              <w:rPr>
                <w:sz w:val="20"/>
                <w:szCs w:val="20"/>
                <w:lang w:val="en-US"/>
              </w:rPr>
            </w:pPr>
            <w:r>
              <w:rPr>
                <w:sz w:val="20"/>
                <w:szCs w:val="20"/>
                <w:lang w:val="en-US"/>
              </w:rPr>
              <w:t>12%</w:t>
            </w:r>
          </w:p>
        </w:tc>
        <w:tc>
          <w:tcPr>
            <w:tcW w:w="1680" w:type="dxa"/>
          </w:tcPr>
          <w:p w:rsidR="00000000" w:rsidRDefault="00000000">
            <w:pPr>
              <w:spacing w:before="40" w:after="40"/>
              <w:ind w:right="340"/>
              <w:jc w:val="right"/>
              <w:rPr>
                <w:sz w:val="20"/>
                <w:szCs w:val="20"/>
                <w:lang w:val="en-US"/>
              </w:rPr>
            </w:pPr>
            <w:r>
              <w:rPr>
                <w:sz w:val="20"/>
                <w:szCs w:val="20"/>
                <w:lang w:val="en-US"/>
              </w:rPr>
              <w:t>3</w:t>
            </w:r>
            <w:r>
              <w:rPr>
                <w:sz w:val="20"/>
                <w:szCs w:val="20"/>
              </w:rPr>
              <w:t xml:space="preserve"> </w:t>
            </w:r>
            <w:r>
              <w:rPr>
                <w:sz w:val="20"/>
                <w:szCs w:val="20"/>
                <w:lang w:val="en-US"/>
              </w:rPr>
              <w:t>061</w:t>
            </w:r>
          </w:p>
          <w:p w:rsidR="00000000" w:rsidRDefault="00000000">
            <w:pPr>
              <w:spacing w:before="40" w:after="40"/>
              <w:ind w:right="340"/>
              <w:jc w:val="right"/>
              <w:rPr>
                <w:sz w:val="20"/>
                <w:szCs w:val="20"/>
                <w:lang w:val="en-US"/>
              </w:rPr>
            </w:pPr>
            <w:r>
              <w:rPr>
                <w:sz w:val="20"/>
                <w:szCs w:val="20"/>
                <w:lang w:val="en-US"/>
              </w:rPr>
              <w:t>13%</w:t>
            </w:r>
          </w:p>
        </w:tc>
        <w:tc>
          <w:tcPr>
            <w:tcW w:w="1560" w:type="dxa"/>
          </w:tcPr>
          <w:p w:rsidR="00000000" w:rsidRDefault="00000000">
            <w:pPr>
              <w:spacing w:before="40" w:after="40"/>
              <w:ind w:right="340"/>
              <w:jc w:val="right"/>
              <w:rPr>
                <w:sz w:val="20"/>
                <w:szCs w:val="20"/>
                <w:lang w:val="en-US"/>
              </w:rPr>
            </w:pPr>
            <w:r>
              <w:rPr>
                <w:sz w:val="20"/>
                <w:szCs w:val="20"/>
                <w:lang w:val="en-US"/>
              </w:rPr>
              <w:t>2</w:t>
            </w:r>
            <w:r>
              <w:rPr>
                <w:sz w:val="20"/>
                <w:szCs w:val="20"/>
              </w:rPr>
              <w:t xml:space="preserve"> </w:t>
            </w:r>
            <w:r>
              <w:rPr>
                <w:sz w:val="20"/>
                <w:szCs w:val="20"/>
                <w:lang w:val="en-US"/>
              </w:rPr>
              <w:t>224</w:t>
            </w:r>
          </w:p>
          <w:p w:rsidR="00000000" w:rsidRDefault="00000000">
            <w:pPr>
              <w:spacing w:before="40" w:after="40"/>
              <w:ind w:right="340"/>
              <w:jc w:val="right"/>
              <w:rPr>
                <w:sz w:val="20"/>
                <w:szCs w:val="20"/>
                <w:lang w:val="en-US"/>
              </w:rPr>
            </w:pPr>
            <w:r>
              <w:rPr>
                <w:sz w:val="20"/>
                <w:szCs w:val="20"/>
                <w:lang w:val="en-US"/>
              </w:rPr>
              <w:t>45%</w:t>
            </w:r>
          </w:p>
        </w:tc>
        <w:tc>
          <w:tcPr>
            <w:tcW w:w="1239" w:type="dxa"/>
          </w:tcPr>
          <w:p w:rsidR="00000000" w:rsidRDefault="00000000">
            <w:pPr>
              <w:spacing w:before="40" w:after="40"/>
              <w:ind w:right="227"/>
              <w:jc w:val="right"/>
              <w:rPr>
                <w:sz w:val="20"/>
                <w:szCs w:val="20"/>
                <w:lang w:val="en-US"/>
              </w:rPr>
            </w:pPr>
            <w:r>
              <w:rPr>
                <w:sz w:val="20"/>
                <w:szCs w:val="20"/>
                <w:lang w:val="en-US"/>
              </w:rPr>
              <w:t>6</w:t>
            </w:r>
            <w:r>
              <w:rPr>
                <w:sz w:val="20"/>
                <w:szCs w:val="20"/>
              </w:rPr>
              <w:t xml:space="preserve"> </w:t>
            </w:r>
            <w:r>
              <w:rPr>
                <w:sz w:val="20"/>
                <w:szCs w:val="20"/>
                <w:lang w:val="en-US"/>
              </w:rPr>
              <w:t>024</w:t>
            </w:r>
          </w:p>
          <w:p w:rsidR="00000000" w:rsidRDefault="00000000">
            <w:pPr>
              <w:spacing w:before="40" w:after="40"/>
              <w:ind w:right="227"/>
              <w:jc w:val="right"/>
              <w:rPr>
                <w:sz w:val="20"/>
                <w:szCs w:val="20"/>
                <w:lang w:val="en-US"/>
              </w:rPr>
            </w:pPr>
            <w:r>
              <w:rPr>
                <w:sz w:val="20"/>
                <w:szCs w:val="20"/>
                <w:lang w:val="en-US"/>
              </w:rPr>
              <w:t>18%</w:t>
            </w:r>
          </w:p>
        </w:tc>
      </w:tr>
    </w:tbl>
    <w:p w:rsidR="00000000" w:rsidRDefault="00000000">
      <w:pPr>
        <w:pStyle w:val="a3"/>
        <w:spacing w:before="120"/>
        <w:rPr>
          <w:lang w:val="en-US"/>
        </w:rPr>
      </w:pPr>
      <w:r>
        <w:rPr>
          <w:b/>
          <w:bCs/>
        </w:rPr>
        <w:t>Источник</w:t>
      </w:r>
      <w:r>
        <w:rPr>
          <w:b/>
          <w:bCs/>
          <w:lang w:val="en-US"/>
        </w:rPr>
        <w:t>:</w:t>
      </w:r>
      <w:r>
        <w:rPr>
          <w:lang w:val="en-US"/>
        </w:rPr>
        <w:t xml:space="preserve"> Table 7.14 of Annual Report of Ministry of Labour, p. 254.</w:t>
      </w:r>
    </w:p>
    <w:p w:rsidR="00000000" w:rsidRDefault="00000000">
      <w:pPr>
        <w:rPr>
          <w:lang w:val="en-US"/>
        </w:rPr>
      </w:pPr>
    </w:p>
    <w:p w:rsidR="00000000" w:rsidRDefault="00000000">
      <w:pPr>
        <w:pStyle w:val="112"/>
      </w:pPr>
      <w:r>
        <w:t>38.</w:t>
      </w:r>
      <w:r>
        <w:tab/>
        <w:t xml:space="preserve">В связи с либерализацией и глобализацией в индийских планах и программах все больше учитывается потребность в высококачественной квалифицированной рабочей силе.  С каждым пятилетним планом дальнейшее значительное развитие получает деятельность Службы занятости и Службы по вопросам профессионально-технической подготовки на уровне центра и в штатах.  В этой области планируется принятие/осуществление следующих инициативных мер/программ: </w:t>
      </w:r>
    </w:p>
    <w:p w:rsidR="00000000" w:rsidRDefault="00000000">
      <w:pPr>
        <w:pStyle w:val="112"/>
        <w:spacing w:after="240"/>
        <w:ind w:left="1134" w:hanging="1134"/>
      </w:pPr>
      <w:r>
        <w:tab/>
      </w:r>
      <w:r>
        <w:rPr>
          <w:lang w:val="en-US"/>
        </w:rPr>
        <w:t>i</w:t>
      </w:r>
      <w:r>
        <w:t>)</w:t>
      </w:r>
      <w:r>
        <w:tab/>
        <w:t>Проверка и подтверждение квалификации.  Предлагается разработать механизм для проверки уровня квалификации и выдачи признаваемого во всем мире удостоверения от имени Национального совета по вопросам профессионально-технической подготовки.</w:t>
      </w:r>
    </w:p>
    <w:p w:rsidR="00000000" w:rsidRDefault="00000000">
      <w:pPr>
        <w:pStyle w:val="112"/>
        <w:spacing w:before="0" w:after="240"/>
        <w:ind w:left="1134" w:hanging="1134"/>
      </w:pPr>
      <w:r>
        <w:tab/>
        <w:t>ii)</w:t>
      </w:r>
      <w:r>
        <w:tab/>
        <w:t>Установление тесных связей с ведущими организациями/НПО по подготовке инструкторов и специалистов в узкоспециализированных областях.  При содействии МОТ были установлены тесные связи между национальными институтами профессионально-технического образования женщин, десятью региональными институтами профессионально-технической подготовки женщин и ведущими организациями/НПО по подготовке инструкторов и специалистов в узкоспециализированных областях.</w:t>
      </w:r>
    </w:p>
    <w:p w:rsidR="00000000" w:rsidRDefault="00000000">
      <w:pPr>
        <w:pStyle w:val="112"/>
        <w:spacing w:before="0" w:after="240"/>
        <w:ind w:left="1134" w:hanging="1134"/>
      </w:pPr>
      <w:r>
        <w:tab/>
        <w:t>iii)</w:t>
      </w:r>
      <w:r>
        <w:tab/>
        <w:t>Проект Всемирного банка.  Успешно завершен первый этап проекта, осуществляемого при содействии Всемирного банка.  Предлагается приступить к осуществлению второго этапа проекта, посвященного профессионально-технической подготовке.  Соответствующее проектное предложение внесено на рассмотрение Комиссии по планированию на предмет получения помощи от Всемирного банка.</w:t>
      </w:r>
    </w:p>
    <w:p w:rsidR="00000000" w:rsidRDefault="00000000">
      <w:pPr>
        <w:pStyle w:val="112"/>
        <w:spacing w:before="0" w:after="240"/>
        <w:ind w:left="1134" w:hanging="1134"/>
      </w:pPr>
      <w:r>
        <w:tab/>
        <w:t>iv)</w:t>
      </w:r>
      <w:r>
        <w:tab/>
        <w:t>Создание управляющих институтских комитетов. При государственных институтах производственной профессионально-технической подготовки (ИПТП) создаются Управляющие институтские комитеты (УИК) в составе представителей отраслей промышленности и производственных ассоциаций, технических экспертов, соответствующих должностных лиц центрального правительства и правительств штатов.  В 189 ИПТП уже созданы пользующиеся частичной автономией УИК, что принесло обнадеживающие результаты.</w:t>
      </w:r>
    </w:p>
    <w:p w:rsidR="00000000" w:rsidRDefault="00000000">
      <w:pPr>
        <w:pStyle w:val="112"/>
        <w:spacing w:before="0" w:after="240"/>
        <w:ind w:left="1134" w:hanging="1134"/>
      </w:pPr>
      <w:r>
        <w:tab/>
        <w:t>v)</w:t>
      </w:r>
      <w:r>
        <w:tab/>
        <w:t>Ознакомление с новыми профессиями в рамках программы профессиональной подготовки ремесленников (ПППР) и программы начального профессионально-технического образования (НПТО) с целью привести профессионально-техническую подготовку в соответствие с требованиями рынка.  В течение 2002–2003 годов в рамках ПППР были выявлены 30 профессий, а в рамках НПТО – три новые профессии в области ИКТ, где потребовалось внести коррективы в учебные программы.</w:t>
      </w:r>
    </w:p>
    <w:p w:rsidR="00000000" w:rsidRDefault="00000000">
      <w:pPr>
        <w:pStyle w:val="112"/>
        <w:spacing w:before="0"/>
        <w:ind w:left="1134" w:hanging="1134"/>
      </w:pPr>
      <w:r>
        <w:tab/>
        <w:t>vi)</w:t>
      </w:r>
      <w:r>
        <w:tab/>
        <w:t xml:space="preserve"> ГДОЗ и </w:t>
      </w:r>
      <w:r>
        <w:rPr>
          <w:caps/>
        </w:rPr>
        <w:t>м</w:t>
      </w:r>
      <w:r>
        <w:t>инистерство связи и информационных технологий (МИТ) на партнерских началах ввели курс ознакомления с новой профессией – "Информационные технологии и обслуживание электронных систем" – в 100 ИПТП в целях удовлетворения спроса на специалистов в секторе ИТ.</w:t>
      </w:r>
    </w:p>
    <w:p w:rsidR="00000000" w:rsidRDefault="00000000">
      <w:pPr>
        <w:pStyle w:val="112"/>
        <w:rPr>
          <w:rStyle w:val="111"/>
        </w:rPr>
      </w:pPr>
      <w:r>
        <w:rPr>
          <w:rStyle w:val="111"/>
        </w:rPr>
        <w:t>39.</w:t>
      </w:r>
      <w:r>
        <w:rPr>
          <w:rStyle w:val="111"/>
        </w:rPr>
        <w:tab/>
        <w:t>Аналитическая группа второй Национальной комиссии по вопросам труда проанализировала действующие в Индии программы профессионально-технической подготовки в сравнении с аналогичными системами профессиональной подготовки других стран.  С тем чтобы достичь целей, поставленных в рамках нового подхода, Аналитическая группа рекомендовала внедрить модульную систему профессионально-технической подготовки в обрабатывающей промышленности и в секторе услуг.  Такой подход позволит удовлетворить различные потребности в области профессионально-технической подготовки и требования, предъявляемые предприятиями.  Аналитическая  группа рекомендовала также создать основанную на накоплении знаний систему профессионально-технической подготовки без отрыва от производства, охватывающую все отрасли экономики.  Для обеспечения большей продуктивности и эффективности этой инфраструктуры было рекомендовано выдавать общенациональное удостоверение о приобретении различных профессий/присвоении квалификации.  В этой связи вторая Национальная комиссия по вопросам труда рекомендовала правительству создать независимый регулирующий орган, в функции которого входило бы установление нормативов для профессий, требующих особой компетенции, нормативов по осуществлению программ и нормативов по аккредитации учреждений, осуществляющих учебные программы по развитию профессиональных навыков.  В настоящее время эти рекомендации рассматриваются правительством Индии.</w:t>
      </w:r>
    </w:p>
    <w:p w:rsidR="00000000" w:rsidRDefault="00000000">
      <w:pPr>
        <w:jc w:val="both"/>
        <w:rPr>
          <w:b/>
          <w:bCs/>
          <w:sz w:val="24"/>
        </w:rPr>
      </w:pPr>
    </w:p>
    <w:p w:rsidR="00000000" w:rsidRDefault="00000000">
      <w:pPr>
        <w:spacing w:before="120"/>
        <w:jc w:val="both"/>
        <w:rPr>
          <w:b/>
          <w:bCs/>
          <w:sz w:val="22"/>
          <w:szCs w:val="22"/>
        </w:rPr>
      </w:pPr>
      <w:r>
        <w:rPr>
          <w:b/>
          <w:bCs/>
          <w:sz w:val="22"/>
          <w:szCs w:val="22"/>
        </w:rPr>
        <w:t xml:space="preserve">Раздел </w:t>
      </w:r>
      <w:r>
        <w:rPr>
          <w:b/>
          <w:bCs/>
          <w:sz w:val="22"/>
          <w:szCs w:val="22"/>
          <w:lang w:val="en-US"/>
        </w:rPr>
        <w:t>IV</w:t>
      </w:r>
    </w:p>
    <w:p w:rsidR="00000000" w:rsidRDefault="00000000">
      <w:pPr>
        <w:jc w:val="both"/>
        <w:rPr>
          <w:b/>
          <w:bCs/>
          <w:sz w:val="22"/>
          <w:szCs w:val="22"/>
        </w:rPr>
      </w:pPr>
    </w:p>
    <w:p w:rsidR="00000000" w:rsidRDefault="00000000">
      <w:pPr>
        <w:jc w:val="both"/>
        <w:rPr>
          <w:b/>
          <w:bCs/>
          <w:sz w:val="22"/>
          <w:szCs w:val="22"/>
        </w:rPr>
      </w:pPr>
      <w:r>
        <w:rPr>
          <w:b/>
          <w:bCs/>
          <w:sz w:val="22"/>
          <w:szCs w:val="22"/>
        </w:rPr>
        <w:t>Политика и меры, осуществляемые в целях обеспечения занятости</w:t>
      </w:r>
    </w:p>
    <w:p w:rsidR="00000000" w:rsidRDefault="00000000">
      <w:pPr>
        <w:jc w:val="both"/>
        <w:rPr>
          <w:b/>
          <w:bCs/>
          <w:sz w:val="22"/>
          <w:szCs w:val="22"/>
        </w:rPr>
      </w:pPr>
    </w:p>
    <w:p w:rsidR="00000000" w:rsidRDefault="00000000">
      <w:pPr>
        <w:pStyle w:val="112"/>
      </w:pPr>
      <w:r>
        <w:t>40.</w:t>
      </w:r>
      <w:r>
        <w:tab/>
        <w:t xml:space="preserve">В рамках  восьмого пятилетнего плана (1992–1997 годы) планировалось увеличить численность рабочей силы на 35 млн. человек, а в рамках девятого плана (1999–2002 годы) – еще на 36 млн. человек.  С учетом 17 млн. безработных, остававшихся на начало восьмого плана, общее число лиц, ищущих работу, оценивалось в 54 млн. чел.  в 1992–1997 годах и в 94 млн. чел. в 1999–2002 годах.  Увеличение занятости рассматривалось прежде всего как результат экономического роста и обеспечивающего рост изменения структуры производства. </w:t>
      </w:r>
    </w:p>
    <w:p w:rsidR="00000000" w:rsidRDefault="00000000">
      <w:pPr>
        <w:pStyle w:val="112"/>
      </w:pPr>
      <w:r>
        <w:t>41.</w:t>
      </w:r>
      <w:r>
        <w:tab/>
        <w:t>Темпы увеличения занятости, предусматривавшиеся девятым пятилетним планом, составляли 2,44%.  Было предусмотрено также сокращение уровня безработицы в среднем в 1,87%, фигурировавших в восьмом плане, до среднего показателя безработицы (обычный статус) на уровне 1,66% в девятом плане.  В целях устойчивого увеличения  производительной занятости и искоренения нищеты приоритетное внимание в девятом плане уделялось развитию сельского хозяйства и сельских районов.  Производительная занятость является важным аспектом государственной политики, преследующей цели достижения экономического роста на основе принципа справедливости.</w:t>
      </w:r>
    </w:p>
    <w:p w:rsidR="00000000" w:rsidRDefault="00000000">
      <w:pPr>
        <w:pStyle w:val="112"/>
      </w:pPr>
      <w:r>
        <w:t>42.</w:t>
      </w:r>
      <w:r>
        <w:tab/>
        <w:t xml:space="preserve">В соответствии с восьмым пятилетним планом (1992–1997 годы) плановые затраты </w:t>
      </w:r>
      <w:r>
        <w:rPr>
          <w:caps/>
        </w:rPr>
        <w:t>м</w:t>
      </w:r>
      <w:r>
        <w:t xml:space="preserve">инистерства труда были утверждены в объеме 4574 млн. рупий, а ожидаемые расходы  составили  3344 млн. рупий. В девятом пятилетнем плане (1997–2002 годы) объем плановых затрат </w:t>
      </w:r>
      <w:r>
        <w:rPr>
          <w:caps/>
        </w:rPr>
        <w:t>м</w:t>
      </w:r>
      <w:r>
        <w:t>инистерства труда был установлен на уровне 7921,2 млн. рупий, а фактические расходы составили 5165,6 млн. рупий.  В десятом пятилетнем плане (2002–2007 годы) объем затрат министерства предусмотрен на существенно более высоком уровне – 15 000 млн. рупий, т. е. почти на 90% выше, чем в девятом плане.</w:t>
      </w:r>
    </w:p>
    <w:p w:rsidR="00000000" w:rsidRDefault="00000000">
      <w:pPr>
        <w:pStyle w:val="112"/>
      </w:pPr>
      <w:r>
        <w:t>43.</w:t>
      </w:r>
      <w:r>
        <w:tab/>
        <w:t>Стратегия правительства Индии в области борьбы с нищетой охватывает широкий спектр программ по сокращению масштабов нищеты и созданию рабочих мест.   Многие из этих программ, действующих уже несколько лет, были подкреплены рядом дополнительных мер по увеличению занятости, созданию производственных активов, повышению технической квалификации и развитию предпринимательства, а также по увеличению доходов бедных слоев населения.  В рамках этих программ лицам, живущим за чертой бедности, предоставляются как оплачиваемая работа, так и возможности самозанятости.  В настоящее время различные программы по сокращению масштабов нищеты и созданию рабочих мест сведены в две широкие категории:  программы по развитию самозанятости и программы по созданию возможностей получения оплачиваемой работы.  В целях повышения эффективности проектов были приняты меры по оптимизации схем финансирования и организации этих программ.</w:t>
      </w:r>
    </w:p>
    <w:p w:rsidR="00000000" w:rsidRDefault="00000000">
      <w:pPr>
        <w:pStyle w:val="112"/>
      </w:pPr>
      <w:r>
        <w:t>44.</w:t>
      </w:r>
      <w:r>
        <w:tab/>
        <w:t>За последние годы произошло значительное увеличение занятости в стране.  Вместе с тем результатом более высоких темпов прироста населения и рабочей силы явился рост от плана к плану уровня безработицы.  Один за другим разрабатывались планы, стратегии, меры политики и программы, в которых в качестве конкретной задачи особое внимание уделялось созданию рабочих мест.  Центральным правительством совместно с правительствами штатов были разработаны меры политики, нормативы и процедуры для Национальной службы занятости.  Содействие этому консультативному процессу оказывает Рабочая группа Национальной службы занятости с участием представителей центрального правительства и правительств штатов.  Последнее заседание Рабочей группы состоялось в Нью-Дели 24 июня 2002 года.  Группа вынесла ряд рекомендаций о том, как повысить активность Службы занятости и приспособить систему информации о рынке труда к требованиям меняющихся условий на рынке.</w:t>
      </w:r>
    </w:p>
    <w:p w:rsidR="00000000" w:rsidRDefault="00000000">
      <w:pPr>
        <w:pStyle w:val="112"/>
        <w:rPr>
          <w:rStyle w:val="111"/>
        </w:rPr>
      </w:pPr>
      <w:r>
        <w:rPr>
          <w:rStyle w:val="111"/>
        </w:rPr>
        <w:t>45.</w:t>
      </w:r>
      <w:r>
        <w:rPr>
          <w:rStyle w:val="111"/>
        </w:rPr>
        <w:tab/>
        <w:t>Национальная служба занятости охватывает все штаты и союзные территории, за исключением Сиккима, и действует в соответствии с положениями Закона 1959 года о биржах труда (обязательное объявление вакансий)</w:t>
      </w:r>
      <w:r>
        <w:rPr>
          <w:rStyle w:val="FootnoteReference"/>
        </w:rPr>
        <w:footnoteReference w:customMarkFollows="1" w:id="14"/>
        <w:t>13</w:t>
      </w:r>
      <w:r>
        <w:rPr>
          <w:rStyle w:val="111"/>
        </w:rPr>
        <w:t>. Действие этого Закона распространяется на все предприятия государственного сектора и предприятия частного сектора, занимающиеся несельскохозяйственной деятельностью и насчитывающие 25 или больше работников.  Повседневное управление биржами труда осуществляется правительствами штатов/союзных территорий.  По состоянию на 31 августа 2002 года в стране насчитывалось 939 бирж труда.  Основными направлениями деятельности бирж труда являются регистрация и устройство на работу лиц, ищущих работу, консультирование по вопросам развития карьеры, профессиональная ориентация и сбор информации о рынке труда.</w:t>
      </w:r>
    </w:p>
    <w:p w:rsidR="00000000" w:rsidRDefault="00000000">
      <w:pPr>
        <w:spacing w:after="240"/>
        <w:jc w:val="both"/>
        <w:rPr>
          <w:sz w:val="24"/>
        </w:rPr>
      </w:pPr>
    </w:p>
    <w:p w:rsidR="00000000" w:rsidRDefault="00000000">
      <w:pPr>
        <w:keepNext/>
        <w:jc w:val="both"/>
        <w:rPr>
          <w:b/>
          <w:bCs/>
          <w:sz w:val="22"/>
          <w:szCs w:val="22"/>
        </w:rPr>
      </w:pPr>
      <w:r>
        <w:rPr>
          <w:b/>
          <w:bCs/>
          <w:sz w:val="22"/>
          <w:szCs w:val="22"/>
        </w:rPr>
        <w:t>Специальные программы/планы сокращения масштабов нищеты</w:t>
      </w:r>
    </w:p>
    <w:p w:rsidR="00000000" w:rsidRDefault="00000000">
      <w:pPr>
        <w:keepNext/>
        <w:jc w:val="both"/>
        <w:rPr>
          <w:b/>
          <w:bCs/>
          <w:sz w:val="24"/>
        </w:rPr>
      </w:pPr>
    </w:p>
    <w:p w:rsidR="00000000" w:rsidRDefault="00000000">
      <w:pPr>
        <w:pStyle w:val="112"/>
        <w:keepNext/>
        <w:spacing w:before="0"/>
        <w:rPr>
          <w:lang w:val="en-US"/>
        </w:rPr>
      </w:pPr>
      <w:r>
        <w:t>46.</w:t>
      </w:r>
      <w:r>
        <w:tab/>
        <w:t>Правительство выработало стратегию сокращения масштабов нищеты, состоящую из трех следующих элементов:</w:t>
      </w:r>
    </w:p>
    <w:p w:rsidR="00000000" w:rsidRDefault="00000000">
      <w:pPr>
        <w:pStyle w:val="112"/>
        <w:keepNext/>
        <w:spacing w:before="0"/>
        <w:rPr>
          <w:lang w:val="en-US"/>
        </w:rPr>
      </w:pPr>
    </w:p>
    <w:p w:rsidR="00000000" w:rsidRDefault="00000000">
      <w:pPr>
        <w:pStyle w:val="112"/>
        <w:spacing w:before="0" w:after="240"/>
        <w:ind w:left="1134" w:hanging="1134"/>
      </w:pPr>
      <w:r>
        <w:tab/>
      </w:r>
      <w:r>
        <w:rPr>
          <w:lang w:val="en-US"/>
        </w:rPr>
        <w:t>i</w:t>
      </w:r>
      <w:r>
        <w:t>)</w:t>
      </w:r>
      <w:r>
        <w:tab/>
        <w:t>ускорение темпов экономического роста с упором на секторы, обеспечивающие повышенную занятость;</w:t>
      </w:r>
    </w:p>
    <w:p w:rsidR="00000000" w:rsidRDefault="00000000">
      <w:pPr>
        <w:pStyle w:val="112"/>
        <w:spacing w:before="0" w:after="240"/>
        <w:ind w:left="1134" w:hanging="1134"/>
      </w:pPr>
      <w:r>
        <w:tab/>
      </w:r>
      <w:r>
        <w:rPr>
          <w:lang w:val="en-US"/>
        </w:rPr>
        <w:t>ii</w:t>
      </w:r>
      <w:r>
        <w:t>)</w:t>
      </w:r>
      <w:r>
        <w:tab/>
        <w:t>развитие человеческого и социального потенциала путем обеспечения минимума основных услуг;</w:t>
      </w:r>
    </w:p>
    <w:p w:rsidR="00000000" w:rsidRDefault="00000000">
      <w:pPr>
        <w:pStyle w:val="112"/>
        <w:spacing w:before="0" w:after="240"/>
        <w:ind w:left="1134" w:hanging="1134"/>
      </w:pPr>
      <w:r>
        <w:tab/>
      </w:r>
      <w:r>
        <w:rPr>
          <w:lang w:val="en-US"/>
        </w:rPr>
        <w:t>iii</w:t>
      </w:r>
      <w:r>
        <w:t>)</w:t>
      </w:r>
      <w:r>
        <w:tab/>
        <w:t>осуществление целевых программ по борьбе с нищетой.</w:t>
      </w:r>
    </w:p>
    <w:p w:rsidR="00000000" w:rsidRDefault="00000000">
      <w:pPr>
        <w:pStyle w:val="112"/>
        <w:spacing w:before="0"/>
        <w:ind w:left="1134" w:hanging="1134"/>
      </w:pPr>
      <w:r>
        <w:tab/>
      </w:r>
      <w:r>
        <w:tab/>
        <w:t>Детали этих планов/программ, разработанных и осуществляемых союзным правительством с целью искоренения нищеты в стране, являются следующими:</w:t>
      </w:r>
    </w:p>
    <w:p w:rsidR="00000000" w:rsidRDefault="00000000">
      <w:pPr>
        <w:pStyle w:val="112"/>
      </w:pPr>
      <w:r>
        <w:tab/>
        <w:t>а)</w:t>
      </w:r>
      <w:r>
        <w:tab/>
        <w:t>В сельской местности Министерством развития сельских районов осуществляются следующие программы в порядке помощи семьям, живущим за чертой бедности:</w:t>
      </w:r>
    </w:p>
    <w:p w:rsidR="00000000" w:rsidRDefault="00000000">
      <w:pPr>
        <w:pStyle w:val="112"/>
      </w:pPr>
      <w:r>
        <w:tab/>
      </w:r>
      <w:r>
        <w:rPr>
          <w:lang w:val="en-US"/>
        </w:rPr>
        <w:t>i</w:t>
      </w:r>
      <w:r>
        <w:t>)</w:t>
      </w:r>
      <w:r>
        <w:tab/>
        <w:t>Сампурна Грамин Розгар Йоджана (</w:t>
      </w:r>
      <w:r>
        <w:rPr>
          <w:lang w:val="en-US"/>
        </w:rPr>
        <w:t>SGRY</w:t>
      </w:r>
      <w:r>
        <w:t>),</w:t>
      </w:r>
    </w:p>
    <w:p w:rsidR="00000000" w:rsidRDefault="00000000">
      <w:pPr>
        <w:pStyle w:val="112"/>
      </w:pPr>
      <w:r>
        <w:tab/>
      </w:r>
      <w:r>
        <w:rPr>
          <w:lang w:val="en-US"/>
        </w:rPr>
        <w:t>ii</w:t>
      </w:r>
      <w:r>
        <w:t>)</w:t>
      </w:r>
      <w:r>
        <w:tab/>
        <w:t>Сваранджаяти Грам Сварозар Йоджана (</w:t>
      </w:r>
      <w:r>
        <w:rPr>
          <w:lang w:val="en-US"/>
        </w:rPr>
        <w:t>SGSY</w:t>
      </w:r>
      <w:r>
        <w:t>),</w:t>
      </w:r>
    </w:p>
    <w:p w:rsidR="00000000" w:rsidRDefault="00000000">
      <w:pPr>
        <w:pStyle w:val="112"/>
      </w:pPr>
      <w:r>
        <w:tab/>
      </w:r>
      <w:r>
        <w:rPr>
          <w:lang w:val="en-US"/>
        </w:rPr>
        <w:t>iii</w:t>
      </w:r>
      <w:r>
        <w:t>)</w:t>
      </w:r>
      <w:r>
        <w:tab/>
        <w:t>Индира Авас Йоджана (</w:t>
      </w:r>
      <w:r>
        <w:rPr>
          <w:lang w:val="en-US"/>
        </w:rPr>
        <w:t>IAY</w:t>
      </w:r>
      <w:r>
        <w:t>),</w:t>
      </w:r>
    </w:p>
    <w:p w:rsidR="00000000" w:rsidRDefault="00000000">
      <w:pPr>
        <w:pStyle w:val="112"/>
      </w:pPr>
      <w:r>
        <w:tab/>
      </w:r>
      <w:r>
        <w:rPr>
          <w:lang w:val="en-US"/>
        </w:rPr>
        <w:t>iv</w:t>
      </w:r>
      <w:r>
        <w:t>)</w:t>
      </w:r>
      <w:r>
        <w:tab/>
        <w:t>Национальная программа "Продовольствие за работу" (НППР) и</w:t>
      </w:r>
    </w:p>
    <w:p w:rsidR="00000000" w:rsidRDefault="00000000">
      <w:pPr>
        <w:pStyle w:val="112"/>
      </w:pPr>
      <w:r>
        <w:tab/>
      </w:r>
      <w:r>
        <w:rPr>
          <w:lang w:val="en-US"/>
        </w:rPr>
        <w:t>v</w:t>
      </w:r>
      <w:r>
        <w:t>)</w:t>
      </w:r>
      <w:r>
        <w:tab/>
        <w:t>Закон о гарантиях занятости сельского населения.</w:t>
      </w:r>
    </w:p>
    <w:p w:rsidR="00000000" w:rsidRDefault="00000000">
      <w:pPr>
        <w:pStyle w:val="112"/>
      </w:pPr>
      <w:r>
        <w:tab/>
      </w:r>
      <w:r>
        <w:rPr>
          <w:lang w:val="en-US"/>
        </w:rPr>
        <w:t>b</w:t>
      </w:r>
      <w:r>
        <w:t>)</w:t>
      </w:r>
      <w:r>
        <w:tab/>
        <w:t>В городских зонах в целях улучшения условий жизни городской бедноты и сокращения масштабов нищеты Министерство обеспечения занятости и ликвидации нищеты в городских зонах осуществляет с 1 декабря 1997 года в масштабах всей Индии ориентированную на расширение занятости программу ликвидации нищеты в городах под названием Сварна Джайанти Шахари Росгар Йоджана (</w:t>
      </w:r>
      <w:r>
        <w:rPr>
          <w:lang w:val="en-US"/>
        </w:rPr>
        <w:t>SJSRY</w:t>
      </w:r>
      <w:r>
        <w:t>).  Эта программа направлена на предоставление оплачиваемой работы городским безработным или малоимущим лицам из числа неполно занятых путем создания микропредприятий, а также использования их труда на строительстве объектов полезного общественного назначения.  Существует и другая программа под названием "Валмики Амбедкар Авас Йоджана" (</w:t>
      </w:r>
      <w:r>
        <w:rPr>
          <w:lang w:val="en-US"/>
        </w:rPr>
        <w:t>VAMBAY</w:t>
      </w:r>
      <w:r>
        <w:t>), осуществление которой началось в 2001–2002 годах в целях устранения давно образовавшихся пробелов в программах, предназначенных для обитателей трущоб, а именно в обеспечении жильем или улучшении существующего жилья людей, живущих за чертой бедности в городских трущобах.  Национальная программа по усовершенствованию состояния трущоб (НПУТ) предполагает предоставление жилья и улучшение среды обитания жителей городских трущоб.</w:t>
      </w:r>
    </w:p>
    <w:p w:rsidR="00000000" w:rsidRDefault="00000000">
      <w:pPr>
        <w:pStyle w:val="112"/>
      </w:pPr>
      <w:r>
        <w:t>47.</w:t>
      </w:r>
      <w:r>
        <w:tab/>
        <w:t>Наряду с этим государственная система снабжения в Индии стала более целенаправленно ориентироваться на самые бедные слои населения.  В рамках программы "Антиодайя Анна Йоджана" самым бедным семьям поставляется 35 кг продовольственного зерна по крайне низким (субсидируемым) расценкам – 2 рупии за килограмм пшеницы и 3 рупии за килограмм риса.  В последнее время эта программа расширилась и в 2005 году охватывала уже не 20, а 25 млн. семей, живущих за чертой бедности.  Правительствам штатов рекомендовано при определении контингента бенефициаров уделять приоритетное внимание семьям самых бедных и неразвитых слоев населения, а также/или районам, где в большей степени ощущается дефицит продуктов питания.</w:t>
      </w:r>
    </w:p>
    <w:p w:rsidR="00000000" w:rsidRDefault="00000000">
      <w:pPr>
        <w:jc w:val="both"/>
        <w:rPr>
          <w:sz w:val="24"/>
        </w:rPr>
      </w:pPr>
    </w:p>
    <w:p w:rsidR="00000000" w:rsidRDefault="00000000">
      <w:pPr>
        <w:keepNext/>
        <w:spacing w:before="120"/>
        <w:jc w:val="both"/>
        <w:rPr>
          <w:b/>
          <w:bCs/>
          <w:sz w:val="22"/>
          <w:szCs w:val="22"/>
        </w:rPr>
      </w:pPr>
      <w:r>
        <w:rPr>
          <w:b/>
          <w:bCs/>
          <w:sz w:val="22"/>
          <w:szCs w:val="22"/>
        </w:rPr>
        <w:t>Программы/планы сокращения масштабов нищеты в сельских районах</w:t>
      </w:r>
    </w:p>
    <w:p w:rsidR="00000000" w:rsidRDefault="00000000">
      <w:pPr>
        <w:keepNext/>
        <w:jc w:val="both"/>
        <w:rPr>
          <w:b/>
          <w:bCs/>
          <w:sz w:val="24"/>
        </w:rPr>
      </w:pPr>
    </w:p>
    <w:p w:rsidR="00000000" w:rsidRDefault="00000000">
      <w:pPr>
        <w:pStyle w:val="112"/>
        <w:keepNext/>
        <w:spacing w:before="120"/>
      </w:pPr>
      <w:r>
        <w:rPr>
          <w:lang w:val="en-US"/>
        </w:rPr>
        <w:t>i</w:t>
      </w:r>
      <w:r>
        <w:t>)</w:t>
      </w:r>
      <w:r>
        <w:tab/>
        <w:t>Сварнджайанти Грам Аварозгар Йоджана (</w:t>
      </w:r>
      <w:r>
        <w:rPr>
          <w:lang w:val="en-US"/>
        </w:rPr>
        <w:t>SGSY</w:t>
      </w:r>
      <w:r>
        <w:t>)</w:t>
      </w:r>
    </w:p>
    <w:p w:rsidR="00000000" w:rsidRDefault="00000000">
      <w:pPr>
        <w:pStyle w:val="112"/>
        <w:keepNext/>
      </w:pPr>
      <w:r>
        <w:t>48.</w:t>
      </w:r>
      <w:r>
        <w:tab/>
        <w:t>Сварнджайанти Грам Аварозгар Йоджана (</w:t>
      </w:r>
      <w:r>
        <w:rPr>
          <w:lang w:val="en-US"/>
        </w:rPr>
        <w:t>SGSY</w:t>
      </w:r>
      <w:r>
        <w:t>) является комплексной программой обеспечения самозанятости бедного сельского населения, осуществление которой началось 1 апреля 1999</w:t>
      </w:r>
      <w:r>
        <w:rPr>
          <w:lang w:val="en-US"/>
        </w:rPr>
        <w:t> </w:t>
      </w:r>
      <w:r>
        <w:t xml:space="preserve">года после преобразования прежней Комплексной программы развития сельских районов (КПРС) и сопутствующих программ.  Цель </w:t>
      </w:r>
      <w:r>
        <w:rPr>
          <w:lang w:val="en-US"/>
        </w:rPr>
        <w:t>SGSY</w:t>
      </w:r>
      <w:r>
        <w:t xml:space="preserve"> состоит в повышении уровня жизни бедных семей (</w:t>
      </w:r>
      <w:r>
        <w:rPr>
          <w:lang w:val="en-US"/>
        </w:rPr>
        <w:t>Swarozgaris</w:t>
      </w:r>
      <w:r>
        <w:t>) над чертой бедности путем организации их в группы самопомощи (ГСП), их обучения, оказания помощи в наращивании потенциала и предоставления приносящих доход активов в форме банковских кредитов и государственных субсидий.  Другими важными компонентами этой программы являются:  развитие инфраструктуры, установление рыночных связей и оказание технологической поддержки.  Программа содержит в себе гарантии для более уязвимых групп в виде 50-процентных льгот, резервируемых для каст неприкасаемых и зарегистрированных племен (КН/ЗП). Кроме того, 50% групп, формируемых в каждой из упомянутых категорий, должно быть предназначено исключительно для женщин, которые составляют не менее 40% бедных семей, получающих помощь (</w:t>
      </w:r>
      <w:r>
        <w:rPr>
          <w:lang w:val="en-US"/>
        </w:rPr>
        <w:t>Swarozgaris</w:t>
      </w:r>
      <w:r>
        <w:t>).</w:t>
      </w:r>
    </w:p>
    <w:p w:rsidR="00000000" w:rsidRDefault="00000000">
      <w:pPr>
        <w:pStyle w:val="BodyText2"/>
        <w:spacing w:before="360" w:after="0" w:line="240" w:lineRule="auto"/>
        <w:jc w:val="both"/>
        <w:rPr>
          <w:sz w:val="22"/>
          <w:szCs w:val="22"/>
          <w:lang w:val="ru-RU"/>
        </w:rPr>
      </w:pPr>
      <w:r>
        <w:rPr>
          <w:sz w:val="22"/>
          <w:szCs w:val="22"/>
        </w:rPr>
        <w:t>ii</w:t>
      </w:r>
      <w:r>
        <w:rPr>
          <w:sz w:val="22"/>
          <w:szCs w:val="22"/>
          <w:lang w:val="ru-RU"/>
        </w:rPr>
        <w:t>)</w:t>
      </w:r>
      <w:r>
        <w:rPr>
          <w:sz w:val="22"/>
          <w:szCs w:val="22"/>
          <w:lang w:val="ru-RU"/>
        </w:rPr>
        <w:tab/>
        <w:t>Закон о гарантиях занятости сельского населения (ЗГЗСН)</w:t>
      </w:r>
    </w:p>
    <w:p w:rsidR="00000000" w:rsidRDefault="00000000">
      <w:pPr>
        <w:pStyle w:val="112"/>
      </w:pPr>
      <w:r>
        <w:t>49.</w:t>
      </w:r>
      <w:r>
        <w:tab/>
        <w:t>В сентябре 2005 года правительство приняло Закон о гарантиях занятости сельского населения (ЗГЗСН).  Согласно этому Закону,  любому домохозяйству в сельской местности, взрослые члены которого готовы заниматься неквалифицированным ручным трудом, в течение финансового года гарантируется 100 дней занятости.  Поначалу Закон будет применяться в районах, обозначенных центральным правительством, а через пять лет охватит всю страну.  Осуществление первого этапа этой программы началось 2 февраля 2006 года в 200 округах по всей стране, в 150 из которых уже действует Национальная программа "Продовольствие за работу" (НППР), и в 50 других округах.</w:t>
      </w:r>
    </w:p>
    <w:p w:rsidR="00000000" w:rsidRDefault="00000000">
      <w:pPr>
        <w:pStyle w:val="112"/>
      </w:pPr>
      <w:r>
        <w:t>50.</w:t>
      </w:r>
      <w:r>
        <w:tab/>
        <w:t>Закон о гарантиях занятости сельского населения направлен на укрепление жизнеобеспечения жителей сельских районов путем распространения оплачиваемого труда в виде работ, производимых в целях развития базовой инфраструктуры в данном районе.  Круг предлагаемых на выбор работ нацелен на искоренение таких причин хронической нищеты, как засуха, обезлесение, эрозия почв.  Законом предусмотрено сотрудничество на условиях партнерства между центральным правительством и правительствами штатов, панчаятами (деревенскими советами) и местными общинами.  Панчаяты на каждом уровне являются "главными органами планирования, осуществления и контроля за соблюдением Закона".  Грам панчаят отвечает за планирование, регистрацию, выдачу трудовых удостоверений бенефициарам, распределение работ и наблюдение за их ходом.  Подробные положения, касающиеся планирования, мониторинга и оценки, транспарентности, подотчетности, общественного контроля и согласования с программами по другим социальным секторам, включены в оперативные руководящие указания по претворению в жизнь этого Закона.</w:t>
      </w:r>
    </w:p>
    <w:p w:rsidR="00000000" w:rsidRDefault="00000000">
      <w:pPr>
        <w:pStyle w:val="BodyText2"/>
        <w:spacing w:before="360" w:after="0" w:line="240" w:lineRule="auto"/>
        <w:jc w:val="both"/>
        <w:rPr>
          <w:sz w:val="22"/>
          <w:szCs w:val="22"/>
          <w:lang w:val="ru-RU"/>
        </w:rPr>
      </w:pPr>
      <w:r>
        <w:rPr>
          <w:sz w:val="22"/>
          <w:szCs w:val="22"/>
        </w:rPr>
        <w:t>iii</w:t>
      </w:r>
      <w:r>
        <w:rPr>
          <w:sz w:val="22"/>
          <w:szCs w:val="22"/>
          <w:lang w:val="ru-RU"/>
        </w:rPr>
        <w:t>)</w:t>
      </w:r>
      <w:r>
        <w:rPr>
          <w:sz w:val="22"/>
          <w:szCs w:val="22"/>
          <w:lang w:val="ru-RU"/>
        </w:rPr>
        <w:tab/>
        <w:t>Сампурна Грамин Розгар Йоджана (</w:t>
      </w:r>
      <w:r>
        <w:rPr>
          <w:sz w:val="22"/>
          <w:szCs w:val="22"/>
        </w:rPr>
        <w:t>SGRY</w:t>
      </w:r>
      <w:r>
        <w:rPr>
          <w:sz w:val="22"/>
          <w:szCs w:val="22"/>
          <w:lang w:val="ru-RU"/>
        </w:rPr>
        <w:t>)</w:t>
      </w:r>
    </w:p>
    <w:p w:rsidR="00000000" w:rsidRDefault="00000000">
      <w:pPr>
        <w:pStyle w:val="112"/>
      </w:pPr>
      <w:r>
        <w:t>51.</w:t>
      </w:r>
      <w:r>
        <w:tab/>
        <w:t>Сампурна Грамин Розгар Йоджана (SGRY) является программой предоставления оплачиваемой работы, осуществление которой началось в сентябре 2001 года.  1 апреля 2002 года в эту программу были включены слитые воедино программа Джавахар Грам Самридхи Йоджана (</w:t>
      </w:r>
      <w:r>
        <w:rPr>
          <w:lang w:val="en-US"/>
        </w:rPr>
        <w:t>JGSY</w:t>
      </w:r>
      <w:r>
        <w:t xml:space="preserve">) и Программа гарантированной занятости (ПГЗ).  Основной целью этой программы является расширение сферы оплачиваемого труда во всех сельских районах, укрепление посредством этого продовольственной безопасности и улучшение питания.  Второй по значению целью является создание устойчивых социальных и экономических активов на уровне общины и развитие инфраструктуры в сельских районах.  Отдельным пунктом этой программы является поставка продовольственного зерна для оказания помощи штатам, пострадавшим от стихийных бедствий.  </w:t>
      </w:r>
      <w:r>
        <w:br/>
        <w:t>30% рабочих мест в рамках этой программы выделяется для женщин.  Эта программа осуществляется через систему учреждений Панчаяти Радж (</w:t>
      </w:r>
      <w:r>
        <w:rPr>
          <w:lang w:val="en-US"/>
        </w:rPr>
        <w:t>PRI</w:t>
      </w:r>
      <w:r>
        <w:t>).</w:t>
      </w:r>
    </w:p>
    <w:p w:rsidR="00000000" w:rsidRDefault="00000000">
      <w:pPr>
        <w:pStyle w:val="112"/>
      </w:pPr>
      <w:r>
        <w:t>52.</w:t>
      </w:r>
      <w:r>
        <w:tab/>
        <w:t>Каждый местный орган власти готовит годовой план действий, охватывающий работы, которые необходимо провести в соответствии с программой.  Приоритетное внимание при этом уделяется завершению неоконченных и проведению трудоемких работ.  Первостепенное значение придается сохранению почвы и влажности почвы, малым ирригационным проектам, освежению источников питьевой воды, повышению уровня грунтовых вод, традиционным системам сбора поверхностного стока вод, опреснению воды в поселковых резервуарах и водоемах, строительству связующих дорог в сельской местности, проведению дренажа почв, лесонасаждениям, школам и оборудованию школьных блоков питания, созданию медицинских пунктов, общинных центров и помещений для панчаятов, устройству рынков (haat) и т. п.  Вместе с тем эти работы должны носить такой характер, чтобы их можно было выполнить в течение одного или двух лет.  Максимум до 15% выделяемых средств может быть израсходовано на поддержание основных фондов, созданных в ходе осуществления этой программы.</w:t>
      </w:r>
    </w:p>
    <w:p w:rsidR="00000000" w:rsidRDefault="00000000">
      <w:pPr>
        <w:pStyle w:val="112"/>
        <w:spacing w:before="360"/>
      </w:pPr>
      <w:r>
        <w:rPr>
          <w:lang w:val="en-US"/>
        </w:rPr>
        <w:t>iv</w:t>
      </w:r>
      <w:r>
        <w:t>)</w:t>
      </w:r>
      <w:r>
        <w:tab/>
        <w:t>Национальная программа "Продовольствие за работу" (НППР)</w:t>
      </w:r>
    </w:p>
    <w:p w:rsidR="00000000" w:rsidRDefault="00000000">
      <w:pPr>
        <w:pStyle w:val="112"/>
      </w:pPr>
      <w:r>
        <w:t>53.</w:t>
      </w:r>
      <w:r>
        <w:tab/>
        <w:t>Осуществление Национальной программы "Продовольствие за работу" было начато в ноябре 2004 года в 150 наиболее отсталых округах страны в целях обеспечения этих округов дополнительными ресурсами для дальнейшей активизации создания дополнительных рабочих мест и укрепления продовольственной безопасности посредством наращивания экономического, социального и общинного потенциала для удовлетворения существующих в этих округах нужд.</w:t>
      </w:r>
    </w:p>
    <w:p w:rsidR="00000000" w:rsidRDefault="00000000">
      <w:pPr>
        <w:pStyle w:val="112"/>
        <w:spacing w:before="360"/>
      </w:pPr>
      <w:r>
        <w:rPr>
          <w:lang w:val="en-US"/>
        </w:rPr>
        <w:t>v</w:t>
      </w:r>
      <w:r>
        <w:t>)</w:t>
      </w:r>
      <w:r>
        <w:tab/>
        <w:t>Индира Авас Йоджана (</w:t>
      </w:r>
      <w:r>
        <w:rPr>
          <w:lang w:val="en-US"/>
        </w:rPr>
        <w:t>IAY</w:t>
      </w:r>
      <w:r>
        <w:t>)</w:t>
      </w:r>
    </w:p>
    <w:p w:rsidR="00000000" w:rsidRDefault="00000000">
      <w:pPr>
        <w:pStyle w:val="112"/>
      </w:pPr>
      <w:r>
        <w:t>54.</w:t>
      </w:r>
      <w:r>
        <w:tab/>
        <w:t>Начиная с 1999–2000 годов была введена в действие сложная многоплановая система жилищного строительства.  Индира Авас Йоджхана (</w:t>
      </w:r>
      <w:r>
        <w:rPr>
          <w:lang w:val="en-US"/>
        </w:rPr>
        <w:t>IAY</w:t>
      </w:r>
      <w:r>
        <w:t>) представляет собой крупную программу строительства бесплатного жилья для бедных.  Дополнительным компонентом этой программы является превращение непригодных для жилья глинобитных домиков (типа kutcha) в более прочные небольшие дома с черепичной крышей (типа pucca).  1 апреля 2004 года был пересмотрен максимальный уровень государственной помощи в строительстве, который в настоящее время составляет 25 000 рупий на единицу жилья для равнинных районов и 27 500 рупий для гористых/труднодоступных районов.</w:t>
      </w:r>
    </w:p>
    <w:p w:rsidR="00000000" w:rsidRDefault="00000000">
      <w:pPr>
        <w:jc w:val="both"/>
        <w:rPr>
          <w:b/>
          <w:bCs/>
          <w:sz w:val="24"/>
        </w:rPr>
      </w:pPr>
    </w:p>
    <w:p w:rsidR="00000000" w:rsidRDefault="00000000">
      <w:pPr>
        <w:spacing w:before="240"/>
        <w:jc w:val="both"/>
        <w:rPr>
          <w:b/>
          <w:bCs/>
          <w:sz w:val="22"/>
          <w:szCs w:val="22"/>
        </w:rPr>
      </w:pPr>
      <w:r>
        <w:rPr>
          <w:b/>
          <w:bCs/>
          <w:sz w:val="22"/>
          <w:szCs w:val="22"/>
        </w:rPr>
        <w:t>Программы/планы борьбы с нищетой в городских зонах</w:t>
      </w:r>
    </w:p>
    <w:p w:rsidR="00000000" w:rsidRDefault="00000000">
      <w:pPr>
        <w:jc w:val="both"/>
        <w:rPr>
          <w:sz w:val="24"/>
        </w:rPr>
      </w:pPr>
    </w:p>
    <w:p w:rsidR="00000000" w:rsidRDefault="00000000">
      <w:pPr>
        <w:pStyle w:val="112"/>
      </w:pPr>
      <w:r>
        <w:t>Детали этих планов/программ излагаются ниже:</w:t>
      </w:r>
    </w:p>
    <w:p w:rsidR="00000000" w:rsidRDefault="00000000">
      <w:pPr>
        <w:pStyle w:val="112"/>
      </w:pPr>
      <w:r>
        <w:t>55.</w:t>
      </w:r>
      <w:r>
        <w:tab/>
      </w:r>
      <w:r>
        <w:rPr>
          <w:lang w:val="en-US"/>
        </w:rPr>
        <w:t>SJSRY</w:t>
      </w:r>
      <w:r>
        <w:t xml:space="preserve"> – Сварна Джаянти Шахари Роджгар Йоджана (</w:t>
      </w:r>
      <w:r>
        <w:rPr>
          <w:lang w:val="en-US"/>
        </w:rPr>
        <w:t>SJSRY</w:t>
      </w:r>
      <w:r>
        <w:t>) финансируется центром и штатами в соотношении 75% к 25%.  Эта ориентированная на спрос программа осуществляется с 1997–1998 годов и является единственной программой повышения уровня оплачиваемой занятости в городах путем создания самодеятельных предприятий или предоставления других возможностей для получения оплачиваемой работы.</w:t>
      </w:r>
    </w:p>
    <w:p w:rsidR="00000000" w:rsidRDefault="00000000">
      <w:pPr>
        <w:pStyle w:val="112"/>
      </w:pPr>
      <w:r>
        <w:t>56.</w:t>
      </w:r>
      <w:r>
        <w:tab/>
      </w:r>
      <w:r>
        <w:rPr>
          <w:lang w:val="en-US"/>
        </w:rPr>
        <w:t>VAMBAY</w:t>
      </w:r>
      <w:r>
        <w:t xml:space="preserve"> – Вальмики Амбедкар Авас Йоджана (</w:t>
      </w:r>
      <w:r>
        <w:rPr>
          <w:lang w:val="en-US"/>
        </w:rPr>
        <w:t>VAMBAY</w:t>
      </w:r>
      <w:r>
        <w:t>) была введена в действие в 2001–2002 годах в целях восполнения давно возникших пробелов в осуществлении программ, предназначенных для обитателей трущоб, а именно в обеспечении жильем или улучшении существующего жилья людей, живущих за чертой бедности в городских трущобах.  В рамках этой программы правительство Индии предоставляет 50% субсидий по линии централизованного бюджета, а штаты могут по своему усмотрению выбирать способы покрытия остальных 50% из таких других источников, как, например, их собственный бюджет, ресурсы местных органов, займы  других учреждений, взносы бенефициаров или НПО и т. п.  В рамках этой программы 20% общего объема ассигнований выделяется на обеспечение средств санитарии и устройства общинных туалетов для городской бедноты и обитателей трущоб.</w:t>
      </w:r>
    </w:p>
    <w:p w:rsidR="00000000" w:rsidRDefault="00000000">
      <w:pPr>
        <w:pStyle w:val="112"/>
      </w:pPr>
      <w:r>
        <w:t>57.</w:t>
      </w:r>
      <w:r>
        <w:tab/>
        <w:t>НПУТ – Национальная программа улучшения состояния трущоб направлена на обеспечение жильем и улучшение среды обитания жителей городских трущоб.  С начала осуществления этой программы за период 1996–1997 годов по 2004–2005 годы (по состоянию на 30 июня 2005 года) предоставляемыми в рамках этой программы льготами воспользовались 41,3 млн. человек, проживающих в 68 129 трущобных кварталах в 2573 городах.</w:t>
      </w:r>
    </w:p>
    <w:p w:rsidR="00000000" w:rsidRDefault="00000000">
      <w:pPr>
        <w:jc w:val="both"/>
        <w:rPr>
          <w:b/>
          <w:bCs/>
          <w:sz w:val="24"/>
        </w:rPr>
      </w:pPr>
    </w:p>
    <w:p w:rsidR="00000000" w:rsidRDefault="00000000">
      <w:pPr>
        <w:jc w:val="both"/>
        <w:rPr>
          <w:rStyle w:val="111"/>
          <w:szCs w:val="22"/>
        </w:rPr>
      </w:pPr>
      <w:r>
        <w:rPr>
          <w:b/>
          <w:bCs/>
          <w:sz w:val="22"/>
          <w:szCs w:val="22"/>
        </w:rPr>
        <w:t>Помощь в трудоустройстве, оказываемая особым категориям населения</w:t>
      </w:r>
    </w:p>
    <w:p w:rsidR="00000000" w:rsidRDefault="00000000">
      <w:pPr>
        <w:jc w:val="both"/>
        <w:rPr>
          <w:sz w:val="24"/>
        </w:rPr>
      </w:pPr>
    </w:p>
    <w:p w:rsidR="00000000" w:rsidRDefault="00000000">
      <w:pPr>
        <w:pStyle w:val="112"/>
        <w:spacing w:before="0"/>
      </w:pPr>
      <w:r>
        <w:t>58.</w:t>
      </w:r>
      <w:r>
        <w:tab/>
        <w:t>Служба занятости продолжала прилагать большие усилия для удовлетворения особых потребностей таких уязвимых групп населения, как женщины, касты неприкасаемых/</w:t>
      </w:r>
      <w:r>
        <w:br/>
        <w:t>зарегистрированные племена, инвалиды и ищущие работу бывшие военнослужащие.  По линии Службы занятости этим категориям населения предлагались следующие формы помощи и льготы:</w:t>
      </w:r>
    </w:p>
    <w:p w:rsidR="00000000" w:rsidRDefault="00000000">
      <w:pPr>
        <w:jc w:val="both"/>
        <w:rPr>
          <w:b/>
          <w:bCs/>
          <w:sz w:val="24"/>
        </w:rPr>
      </w:pPr>
    </w:p>
    <w:p w:rsidR="00000000" w:rsidRDefault="00000000">
      <w:pPr>
        <w:jc w:val="both"/>
        <w:rPr>
          <w:rStyle w:val="111"/>
          <w:szCs w:val="22"/>
        </w:rPr>
      </w:pPr>
      <w:r>
        <w:rPr>
          <w:b/>
          <w:bCs/>
          <w:sz w:val="22"/>
          <w:szCs w:val="22"/>
        </w:rPr>
        <w:t>Женщины</w:t>
      </w:r>
    </w:p>
    <w:p w:rsidR="00000000" w:rsidRDefault="00000000">
      <w:pPr>
        <w:jc w:val="both"/>
        <w:rPr>
          <w:sz w:val="24"/>
        </w:rPr>
      </w:pPr>
    </w:p>
    <w:p w:rsidR="00000000" w:rsidRDefault="00000000">
      <w:pPr>
        <w:pStyle w:val="112"/>
        <w:spacing w:before="0"/>
      </w:pPr>
      <w:r>
        <w:t>59.</w:t>
      </w:r>
      <w:r>
        <w:tab/>
        <w:t>Действующий регистр свидетельствует об увеличении на 41% числа женщин, ищущих работу за период с 1992 по 2002 год (Annual Report of Ministry of Labour, p.229).   На этом направлении Индия предприняла ряд крупных инициатив, в частности:  на биржах труда ведется отдельный учет женщин, ищущих работу;  администрациям правительств штатов/союзных территорий рекомендовано назначать на работу женщин на таких биржах труда, где штатным расписанием предусмотрены две или больше должностей сотрудников;  штатам/союзным территориям рекомендовано также рассмотреть вопрос о включении, по крайней мере, одной женщины в состав консультативных комитетов, действующих при их биржах труда, с тем чтобы обеспечить более широкие возможности для женщин, ищущих работу.</w:t>
      </w:r>
    </w:p>
    <w:p w:rsidR="00000000" w:rsidRDefault="00000000">
      <w:pPr>
        <w:jc w:val="both"/>
        <w:rPr>
          <w:b/>
          <w:bCs/>
          <w:sz w:val="24"/>
        </w:rPr>
      </w:pPr>
    </w:p>
    <w:p w:rsidR="00000000" w:rsidRDefault="00000000">
      <w:pPr>
        <w:jc w:val="both"/>
        <w:rPr>
          <w:rStyle w:val="111"/>
          <w:szCs w:val="22"/>
        </w:rPr>
      </w:pPr>
      <w:r>
        <w:rPr>
          <w:b/>
          <w:bCs/>
          <w:sz w:val="22"/>
          <w:szCs w:val="22"/>
        </w:rPr>
        <w:t>Касты неприкасаемых/зарегистрированные племена</w:t>
      </w:r>
    </w:p>
    <w:p w:rsidR="00000000" w:rsidRDefault="00000000">
      <w:pPr>
        <w:jc w:val="both"/>
        <w:rPr>
          <w:sz w:val="24"/>
        </w:rPr>
      </w:pPr>
    </w:p>
    <w:p w:rsidR="00000000" w:rsidRDefault="00000000">
      <w:pPr>
        <w:pStyle w:val="112"/>
        <w:spacing w:before="0"/>
      </w:pPr>
      <w:r>
        <w:t>60.</w:t>
      </w:r>
      <w:r>
        <w:tab/>
        <w:t>За последние годы биржами труда был принят ряд специальных мер по защите интересов лиц, ищущих работу, из общин КН/ЗП. Они включают в себя  ведение отдельных регистрационных карточек;  требование, чтобы в объявлениях о вакансиях в учреждениях государственного сектора всегда указывались детали, касающиеся резервирования мест для этих категорий населения;  предоставление возможностей получения профессиональной ориентации, а также консультаций и профессиональной подготовки перед наймом на работу;  выдвижение подходящих кандидатов на нерезервируемые вакантные места;  привлечение ассоциаций КН и ЗП к сотрудничеству в деле выявления подходящих кандидатов;  создание 22 консультационно-информационных центров для КН/ЗП – по одному в Дели, Джабалпуре, Канпуре, Ченнаи, Хайдерабаде, Тхируванантхапураме, Колкате, Джайпуре, Ранчи, Сурате, Айзвале, Бангалоре, Имфале, Хиссаре, Нагпуре, Бхубанешваре, Гувахати, Манди, Кохиме, Джоваи, Джамму и Джаландхаре.  Эти центры:  предоставляют услуги по консультированию и профориентации лиц из числа КН/ЗП, ищущих работу, предоставляют информацию о требованиях, связанных с работой, и видах проверок/собеседований, которым могут подвергнуться кандидаты при встрече с работодателями,  принимают соответствующие последующие меры в контакте с работодателями по отслеживанию результатов рассмотрения заявлений на резервируемые вакантные места, наряду с предоставлением информации о работе/профориентации, консультированием и организацией программ подготовки лиц, ищущих работу, оказывают услуги по поиску работы, время от времени предлагают программы профессиональной подготовки перед наймом на работу для кандидатов из числа КН/ЗП в целях расширения их возможностей получить работу на основе конкурсных экзаменов, проводимых Комиссией по набору кадров, советами по найму персонала банковских служб и т. п.</w:t>
      </w:r>
    </w:p>
    <w:p w:rsidR="00000000" w:rsidRDefault="00000000">
      <w:pPr>
        <w:jc w:val="both"/>
        <w:rPr>
          <w:b/>
          <w:bCs/>
          <w:sz w:val="24"/>
        </w:rPr>
      </w:pPr>
    </w:p>
    <w:p w:rsidR="00000000" w:rsidRDefault="00000000">
      <w:pPr>
        <w:jc w:val="both"/>
        <w:rPr>
          <w:rStyle w:val="111"/>
          <w:szCs w:val="22"/>
        </w:rPr>
      </w:pPr>
      <w:r>
        <w:rPr>
          <w:b/>
          <w:bCs/>
          <w:sz w:val="22"/>
          <w:szCs w:val="22"/>
        </w:rPr>
        <w:t>Инвалиды</w:t>
      </w:r>
    </w:p>
    <w:p w:rsidR="00000000" w:rsidRDefault="00000000">
      <w:pPr>
        <w:jc w:val="both"/>
        <w:rPr>
          <w:sz w:val="24"/>
        </w:rPr>
      </w:pPr>
    </w:p>
    <w:p w:rsidR="00000000" w:rsidRDefault="00000000">
      <w:pPr>
        <w:pStyle w:val="112"/>
        <w:spacing w:before="0"/>
      </w:pPr>
      <w:r>
        <w:t>61.</w:t>
      </w:r>
      <w:r>
        <w:tab/>
        <w:t xml:space="preserve">Служба занятости продолжала прилагать заметные усилия для удовлетворения особых потребностей инвалидов, ищущих работу.  Число таких лиц в действующем регистре устойчиво увеличивалось, а число инвалидов, получивших работу в течение 2000 года, составило 3,3 тыс. человек.  Хотя обязанность по устройству на работу лиц с физическими недостатками лежит в целом на биржах труда, действующих под началом Национальной службы занятости, созданы </w:t>
      </w:r>
      <w:r>
        <w:br/>
        <w:t xml:space="preserve">42 специальные биржи труда для устройства инвалидов на работу на избирательной основе.  </w:t>
      </w:r>
      <w:r>
        <w:br/>
        <w:t>В соответствии с рекомендацией Рабочей группы Службы занятости и Целевой группы по реорганизации специальных бирж труда Министерством социальной справедливости и расширения полномочий при обычных биржах труда было создано 41 финансируемое по линии центрального правительства специальное бюро с сотрудником, непосредственно занимающимся трудоустройством лиц с физическими недостатками.  В дополнение к этому правительства штатов также открыли специальные бюро/пункты приема для инвалидов, ищущих работу.</w:t>
      </w:r>
    </w:p>
    <w:p w:rsidR="00000000" w:rsidRDefault="00000000">
      <w:pPr>
        <w:pStyle w:val="112"/>
      </w:pPr>
      <w:r>
        <w:t>62.</w:t>
      </w:r>
      <w:r>
        <w:tab/>
        <w:t xml:space="preserve">Министерство труда в полной мере учитывает и продолжает осуществлять положения Закона 1995 года об инвалидах (обеспечение равных возможностей, защита прав и полное участие).  Генеральная дирекция обучения и занятости (ГДОЗ) регулярно оказывает поддержку, и координируют свои действия с Министерством социальной справедливости и расширения полномочий, которое является ключевым ведомством, отвечающим за благосостояние инвалидов.  В различных штатах страны действуют 70 центров профессиональной реабилитации (ЦПР) инвалидов.  </w:t>
      </w:r>
    </w:p>
    <w:p w:rsidR="00000000" w:rsidRDefault="00000000">
      <w:pPr>
        <w:pStyle w:val="112"/>
      </w:pPr>
      <w:r>
        <w:t>63.</w:t>
      </w:r>
      <w:r>
        <w:tab/>
        <w:t xml:space="preserve">Через сеть передвижных пунктов и вспомогательных сельских реабилитационных центров (ВСРЦ), сгруппированных в 11 блоков при пяти ЦПР (в Ченнаи, Канпуре, Колкате, Лудхиане и Мумбаи), системой реабилитационных услуг охватываются также инвалиды, проживающие в сельской местности.  Внесено предложение создать как минимум один ЦПР в каждом штате/союзной территории.  </w:t>
      </w:r>
    </w:p>
    <w:p w:rsidR="00000000" w:rsidRDefault="00000000">
      <w:pPr>
        <w:pStyle w:val="112"/>
        <w:spacing w:after="240"/>
      </w:pPr>
      <w:r>
        <w:t>64.</w:t>
      </w:r>
      <w:r>
        <w:tab/>
        <w:t>В целях предоставления услуг по трудоустройству бывшим военнослужащим/пограничникам-инвалидам, получившим тяжелые увечья в ходе военных действий, на вакантные места, резервируемые для них или для особых приоритетных категорий населения, в ГДОЗ в июле 1972 года было создано Бюро по делам бывших военнослужащих.  Начиная с февраля 1991 года сфера этих специальных услуг включает в себя также предоставление льгот бывшим военнослужащим, получившим инвалидность в мирное время.</w:t>
      </w:r>
    </w:p>
    <w:p w:rsidR="00000000" w:rsidRDefault="00000000">
      <w:pPr>
        <w:spacing w:before="240" w:after="240"/>
        <w:jc w:val="both"/>
        <w:rPr>
          <w:b/>
          <w:bCs/>
          <w:sz w:val="22"/>
          <w:szCs w:val="22"/>
        </w:rPr>
      </w:pPr>
      <w:r>
        <w:rPr>
          <w:b/>
          <w:bCs/>
          <w:sz w:val="22"/>
          <w:szCs w:val="22"/>
        </w:rPr>
        <w:t xml:space="preserve">Раздел </w:t>
      </w:r>
      <w:r>
        <w:rPr>
          <w:b/>
          <w:bCs/>
          <w:sz w:val="22"/>
          <w:szCs w:val="22"/>
          <w:lang w:val="en-US"/>
        </w:rPr>
        <w:t>V</w:t>
      </w:r>
    </w:p>
    <w:p w:rsidR="00000000" w:rsidRDefault="00000000">
      <w:pPr>
        <w:spacing w:before="240" w:after="240"/>
        <w:jc w:val="both"/>
        <w:rPr>
          <w:b/>
          <w:bCs/>
          <w:sz w:val="22"/>
          <w:szCs w:val="22"/>
        </w:rPr>
      </w:pPr>
      <w:r>
        <w:rPr>
          <w:b/>
          <w:bCs/>
          <w:sz w:val="22"/>
          <w:szCs w:val="22"/>
        </w:rPr>
        <w:t>Производительность труда</w:t>
      </w:r>
    </w:p>
    <w:p w:rsidR="00000000" w:rsidRDefault="00000000">
      <w:pPr>
        <w:pStyle w:val="112"/>
        <w:spacing w:after="240"/>
      </w:pPr>
      <w:r>
        <w:t>65.</w:t>
      </w:r>
      <w:r>
        <w:tab/>
        <w:t>Начиная с 1990-х годов Индия осуществила различные реформы в экономике в целях повышения производительности труда и готовности давать ответ на глобальные вызовы.</w:t>
      </w:r>
    </w:p>
    <w:p w:rsidR="00000000" w:rsidRDefault="00000000">
      <w:pPr>
        <w:pStyle w:val="112"/>
      </w:pPr>
      <w:r>
        <w:t>66.</w:t>
      </w:r>
      <w:r>
        <w:tab/>
        <w:t xml:space="preserve">В процессе решения задачи повышения производительности труда особое внимание  уделялось увеличению числа таких объектов инфраструктуры, как электростанции, дороги, порты, средства транспорта и коммуникации.  Другими областями, в которых Индия предприняла различные меры по обеспечению как можно более высокой производительности труда, являлись организованный и неорганизованный секторы обрабатывающей промышленности.  Наряду с пересмотром ставок заработной платы, выплатой пособий трудящимся, осуществлением программ, увязывающих размер зарплаты с производительностью труда, характерными чертами действующей </w:t>
      </w:r>
      <w:r>
        <w:br/>
      </w:r>
      <w:r>
        <w:br/>
        <w:t>системы являются:  участие наемных работников в решении этих вопросов, увязка части заработной платы с показателями результативности труда на уровне отдельных работников, группы и всего предприятия, улучшение культуры труда, дифференциация оплаты труда и повышение квалификации.  Эти увязки зависят также, в частности, от сокращения затрат на оплату труда, гибкости ставок заработной платы или мотивации работников и т. п.</w:t>
      </w:r>
    </w:p>
    <w:p w:rsidR="00000000" w:rsidRDefault="00000000">
      <w:pPr>
        <w:pStyle w:val="112"/>
      </w:pPr>
      <w:r>
        <w:t>67.</w:t>
      </w:r>
      <w:r>
        <w:tab/>
        <w:t>В Индии создан Национальный совет по вопросам производительности труда, являющийся автономным органом, финансируемым правительством Индии.  Его цель заключается в распространении знаний и опыта в области повышения производительности труда, формировании сознательного отношения к задаче повышения производительности труда, улучшении показателей результативности работы и повышении конкурентоспособности экономики, а также в улучшении условий и качества жизни трудящихся.  Совет осуществляет программы профессиональной подготовки в области управленческих услуг, производственного обучения и развития людских ресурсов, а также предоставляет консультативные услуги, как в формальном, так и в неформальном секторе.  Он учредил Национальную премию производительности труда для отдельных промышленных коллективов с целью выделить предприятия, отличившиеся своими показателями в области производительности труда, и побудить другие предприятия следовать этому примеру.  Кроме того, Министерство труда осуществляет программу под названием "Премия премьер-министра", предназначенную для лиц, работающих в системе департаментов государственных предприятий центрального правительства и правительства штатов.  Движение за повышение производительности труда привело к созданию 50 местных советов по вопросам производительности труда, которые возглавляют это движение на местном уровне.</w:t>
      </w:r>
    </w:p>
    <w:p w:rsidR="00000000" w:rsidRDefault="00000000">
      <w:pPr>
        <w:jc w:val="both"/>
        <w:rPr>
          <w:b/>
          <w:bCs/>
          <w:sz w:val="24"/>
        </w:rPr>
      </w:pPr>
    </w:p>
    <w:p w:rsidR="00000000" w:rsidRDefault="00000000">
      <w:pPr>
        <w:spacing w:before="120"/>
        <w:jc w:val="both"/>
        <w:rPr>
          <w:b/>
          <w:bCs/>
          <w:sz w:val="22"/>
          <w:szCs w:val="22"/>
        </w:rPr>
      </w:pPr>
      <w:r>
        <w:rPr>
          <w:b/>
          <w:bCs/>
          <w:sz w:val="22"/>
          <w:szCs w:val="22"/>
        </w:rPr>
        <w:t>Либерализация и производительность труда</w:t>
      </w:r>
    </w:p>
    <w:p w:rsidR="00000000" w:rsidRDefault="00000000">
      <w:pPr>
        <w:jc w:val="both"/>
        <w:rPr>
          <w:sz w:val="24"/>
        </w:rPr>
      </w:pPr>
    </w:p>
    <w:p w:rsidR="00000000" w:rsidRDefault="00000000">
      <w:pPr>
        <w:jc w:val="both"/>
        <w:rPr>
          <w:rStyle w:val="111"/>
        </w:rPr>
      </w:pPr>
      <w:r>
        <w:rPr>
          <w:rStyle w:val="111"/>
        </w:rPr>
        <w:t>68.</w:t>
      </w:r>
      <w:r>
        <w:rPr>
          <w:rStyle w:val="111"/>
        </w:rPr>
        <w:tab/>
        <w:t>Начиная с 1990-х годов правительство Индии осуществило три блока реформ в экономике в целях повышения производительности труда, а именно:  первый – отменило сложную систему промышленного контроля, выдачи промышленных лицензий и разрешений;  второй – провело либерализацию режимов внешней торговли и валютных операций; и третий – осуществило ряд мер по созданию благоприятных условий для привлечения потоков прямых иностранных инвестиций (ПИИ).  Эти потоки возымеют дополнительный технологический эффект и будут способствовать повышению производительности труда в индийских фирмах</w:t>
      </w:r>
      <w:r>
        <w:rPr>
          <w:rStyle w:val="FootnoteReference"/>
        </w:rPr>
        <w:footnoteReference w:customMarkFollows="1" w:id="15"/>
        <w:t>14</w:t>
      </w:r>
      <w:r>
        <w:rPr>
          <w:rStyle w:val="111"/>
        </w:rPr>
        <w:t>.</w:t>
      </w:r>
    </w:p>
    <w:p w:rsidR="00000000" w:rsidRDefault="00000000">
      <w:pPr>
        <w:pStyle w:val="112"/>
      </w:pPr>
      <w:r>
        <w:t>69.</w:t>
      </w:r>
      <w:r>
        <w:tab/>
        <w:t>Правительство Индии предприняло попытку создать сложный институциональный механизм, через который трудовые ресурсы и капитал обанкротившихся фирм быстро перенаправляются в продуктивные сферы.  Были утверждены эффективные процедуры по обеспечению соблюдения прав кредиторов, позволяющие быстро изъять блокированные активы для использования их в продуктивных целях.  В 2002 году был принят Закон о секьюритизации и восстановлении финансовых активов и обеспечении взимания процентов по фондовым бумагам, с тем чтобы позволить банкам и финансовым учреждениям обращать взыскание на залоговое обеспечение при взимании задолженности по обеспеченным кредитам, не прибегая к затяжной и громоздкой судебной процедуре.  В целях прояснения взаимосвязи между заемным и акционерным капиталом в компаниях с ограниченной ответственностью в 2002 году был принят Закон о компаниях.  Он предусматривает новую форму организации производителей сырья, а именно производственную компанию, которая производит и поставляет на рынок продукцию современным и профессиональным способом наравне с другими компаниями.  Вторая поправка к Закону о компаниях 2002 года предусматривает создание Национального трибунала по вопросам акционерных обществ (НТАО) – единого органа вместо трех упраздненных, а именно:  Совета по акционерным обществам (САО), Совета по вопросам промышленного и финансового восстановления (СПФВ) и Высокого суда (ликвидация компаний).</w:t>
      </w:r>
    </w:p>
    <w:p w:rsidR="00000000" w:rsidRDefault="00000000">
      <w:pPr>
        <w:pStyle w:val="112"/>
      </w:pPr>
      <w:r>
        <w:t>70.</w:t>
      </w:r>
      <w:r>
        <w:tab/>
        <w:t xml:space="preserve">13 января 2003 года вступил в силу Закон о конкуренции 2002 года, цель которого заключается в поощрении конкуренции путем запрещения антиконкурентной практики и  злоупотреблений господствующим положением на рынке, а также регулирования деятельности компаний, превосходящих определенные размеры.  </w:t>
      </w:r>
    </w:p>
    <w:p w:rsidR="00000000" w:rsidRDefault="00000000">
      <w:pPr>
        <w:pStyle w:val="112"/>
      </w:pPr>
      <w:r>
        <w:t>71.</w:t>
      </w:r>
      <w:r>
        <w:tab/>
        <w:t>В 1990-е годы значительно выросла степень общественного согласия по вопросу о преимуществах приватизации.  Процесс приватизации в Индии начался в 1991–1992 годах с продажи миноритарных пакетов акций некоторых предприятий.  Начиная с 1999–2000 годов основное внимание было перенесено на стратегические продажи, в частности акций таких компаний, как "Хиндустан зинк лтд.", "Марути Удьог лтд.", Индийская нефтехимическая корпорация (ИНХК), "Модерн фуд индастриз (Индия) лтд.", Индийская корпорация по развитию туризма (10 гостиниц), Корпорация отелей Индии (одна гостиница).  В 2002–2003 годах были заключены сделки на сумму в 33 420 млн. рупий.</w:t>
      </w:r>
    </w:p>
    <w:p w:rsidR="00000000" w:rsidRDefault="00000000">
      <w:pPr>
        <w:pStyle w:val="112"/>
      </w:pPr>
      <w:r>
        <w:t>72.</w:t>
      </w:r>
      <w:r>
        <w:tab/>
        <w:t>Одной из серьезных причин для беспокойства, часто упоминаемых в связи с приватизацией, является то, что при передаче управления в частные руки могут пострадать интересы трудящихся.  В этой связи правительство Индии постановило включать в соглашения между акционерами, заключаемые в рамках стратегических продаж, требование о том, чтобы сокращение штатов не производилось как минимум в течение первого года после приватизации и чтобы и после этого сокращение осуществлялось только в соответствии с Планом добровольного ухода на пенсию (ПДП), действующим в соответствии с руководящими указаниями Департамента государственных предприятий (ДГП), или с Планом добровольного увольнения, который действовал в данной компании до приватизации, в зависимости от того, который из них является  более благоприятным для работника.  9 декабря 2002 года правительство Индии огласило свою новую политику в области изъятия своих инвестиций, которая специально направлена на модернизацию и укрепление сектора предприятий государственного сектора, создание новых мощностей, расширение занятости, погашение государственной задолженности, обеспечение того, чтобы изъятие капиталовложений не вело к отчуждению национальных активов и чтобы в процессе их изъятия эти активы оставались на своем месте.  Эта политика направлена также на обеспечение того, чтобы в результате изъятия капиталовложений не возникало частных монополий, на создание Фондов выручки от продажи активов, установление руководящих принципов ухода государства из  компаний, разрабатывающих природные ресурсы, подготовку документа об условиях и способах учреждения Компании по управлению активами для того, чтобы управлять, пользоваться и распоряжаться остаточными авуарами  правительства в тех компаниях, где его основная доля в капитале была передана какому-либо стратегическому партнеру.  Правительство принимает следующие конкретные решения:  изъять путем продажи акций частным лицам свой капитал из компании "Бхарат петролеум корпорейшн лимитед" (БПКЛ), изъять путем продажи акций стратегическому партнеру свой капитал из  компании "Хиндустан петролеум корпорейшн лимитед" (ХПКЛ) и в обоих случаях выделить конкретную долю акций для продажи служащим этих двух компаний по льготной цене.</w:t>
      </w:r>
    </w:p>
    <w:p w:rsidR="00000000" w:rsidRDefault="00000000">
      <w:pPr>
        <w:pStyle w:val="112"/>
        <w:rPr>
          <w:rStyle w:val="111"/>
        </w:rPr>
      </w:pPr>
      <w:r>
        <w:rPr>
          <w:rStyle w:val="111"/>
        </w:rPr>
        <w:t>73.</w:t>
      </w:r>
      <w:r>
        <w:rPr>
          <w:rStyle w:val="111"/>
        </w:rPr>
        <w:tab/>
        <w:t>Вместе с тем до июля 1995 года Национальный резервный фонд (НРФ)</w:t>
      </w:r>
      <w:r>
        <w:rPr>
          <w:rStyle w:val="FootnoteReference"/>
        </w:rPr>
        <w:footnoteReference w:customMarkFollows="1" w:id="16"/>
        <w:t xml:space="preserve">15 </w:t>
      </w:r>
      <w:r>
        <w:rPr>
          <w:rStyle w:val="111"/>
        </w:rPr>
        <w:t>разрешил сократить только 78 000 работников из почти 2 млн. лиц, признанных избыточными на государственных предприятиях.  В этой связи различные профсоюзы выражали свою обеспокоенность.  С учетом этого правительство Индии отложило осуществление реформ в банковской сфере, в секторе страхования и в тяжелой обрабатывающей промышленности.</w:t>
      </w:r>
    </w:p>
    <w:p w:rsidR="00000000" w:rsidRDefault="00000000">
      <w:pPr>
        <w:pStyle w:val="112"/>
        <w:rPr>
          <w:rStyle w:val="111"/>
        </w:rPr>
      </w:pPr>
      <w:r>
        <w:rPr>
          <w:rStyle w:val="111"/>
        </w:rPr>
        <w:t>74.</w:t>
      </w:r>
      <w:r>
        <w:rPr>
          <w:rStyle w:val="111"/>
        </w:rPr>
        <w:tab/>
        <w:t>Несмотря на спад производства на глобальном и национальном уровнях, темпы роста малых предприятий в Индии были более высокими, чем в целом по промышленности по численности, объему производства, занятости и экспорту.  Линия на защиту малых предприятий проводилась в Индии еще с момента провозглашения независимости</w:t>
      </w:r>
      <w:r>
        <w:rPr>
          <w:rStyle w:val="FootnoteReference"/>
        </w:rPr>
        <w:footnoteReference w:customMarkFollows="1" w:id="17"/>
        <w:t>16</w:t>
      </w:r>
      <w:r>
        <w:rPr>
          <w:rStyle w:val="111"/>
        </w:rPr>
        <w:t>. Однако в последние годы происходило общее сокращение ассортимента новой продукции, производимой этими предприятиями.</w:t>
      </w:r>
    </w:p>
    <w:p w:rsidR="00000000" w:rsidRDefault="00000000">
      <w:pPr>
        <w:jc w:val="both"/>
        <w:rPr>
          <w:b/>
          <w:bCs/>
          <w:sz w:val="24"/>
        </w:rPr>
      </w:pPr>
    </w:p>
    <w:p w:rsidR="00000000" w:rsidRDefault="00000000">
      <w:pPr>
        <w:spacing w:before="120"/>
        <w:jc w:val="both"/>
        <w:rPr>
          <w:rStyle w:val="111"/>
          <w:szCs w:val="22"/>
        </w:rPr>
      </w:pPr>
      <w:r>
        <w:rPr>
          <w:b/>
          <w:bCs/>
          <w:sz w:val="22"/>
          <w:szCs w:val="22"/>
        </w:rPr>
        <w:t>Заработная плата и производительность труда</w:t>
      </w:r>
    </w:p>
    <w:p w:rsidR="00000000" w:rsidRDefault="00000000">
      <w:pPr>
        <w:jc w:val="both"/>
        <w:rPr>
          <w:sz w:val="24"/>
        </w:rPr>
      </w:pPr>
    </w:p>
    <w:p w:rsidR="00000000" w:rsidRDefault="00000000">
      <w:pPr>
        <w:pStyle w:val="112"/>
        <w:spacing w:before="0"/>
      </w:pPr>
      <w:r>
        <w:t xml:space="preserve">75. </w:t>
      </w:r>
      <w:r>
        <w:tab/>
        <w:t>Наряду с пересмотром ставок заработной платы, выплатой пособий трудящимся, осуществлением программ, увязывающих размер зарплаты с производительностью труда, характерными чертами действующей системы являются:  участие наемных работников в решении этих вопросов, увязка части заработной платы с показателями результативности труда на уровне отдельных работников, группы и всего предприятия, улучшение культуры труда, дифференциация оплаты труда и повышение квалификации.  Эти увязки зависят также, в частности, от сокращения затрат на оплату труда, гибкости ставок заработной платы или мотивации работников и т. п. Индия считает, что соглашения, касающиеся производительности, могут сгладить недостатки в сфере производительности труда. Те работодатели, которые стремятся наладить сотрудничество с работниками и добиться их ответственного отношения к своим обязанностям и которые способствуют повышению квалификации своих работников и формированию у них сознательного отношения к труду, могут обеспечить повышение производительности труда за счет лучшего использования других ресурсов.  Уникальным примером коллективного соглашения о проведении систематической оценки рабочей нагрузки является договоренность об увязке уровня зарплат с производительностью труда, достигнутая между Ассоциацией производителей текстильной продукции Южной Индии, ведущим предприятием страны по производству велосипедов "Ти-Ай сайклз", заводом "Белур", принадлежащим компании ИНДАЛ, текстильной компанией "Мадура коутс", Корпорацией по переработке нефти и природного газа (ОНГК), компанией по производству нефтеоборудования "Кирлоскар ойл энджинз лтд.", текстильной компанией "Бомбей миллз", компанией "Баджадж ауто" и другими компаниями.  Кроме того, между Союзом и компаниями действуют договоренности об обеспечении непрерывного повышения производительности труда и качества продукции во всех сферах деятельности каждой компании.  В качестве элемента стабильности на случай непредвиденных обстоятельств в соглашения о зарплате стали включаться положения о коллективных переговорах с учетом трудовых показателей отдельных работников, групп или всего предприятия.</w:t>
      </w:r>
    </w:p>
    <w:p w:rsidR="00000000" w:rsidRDefault="00000000">
      <w:pPr>
        <w:pStyle w:val="112"/>
      </w:pPr>
      <w:r>
        <w:t>76.</w:t>
      </w:r>
      <w:r>
        <w:tab/>
        <w:t>Общее толкование производительности труда в последние годы включает в себя следующие элементы: необходимость  сокращать все виды отходов, работать со смекалкой, а не просто выполнять тяжелую работу, добиваться позитивного участия и ответственного отношения к труду со стороны работников и профсоюзов, обеспечивать непрерывный процесс изменений в области технологии, материалов, видов продукции, методов и т. п.</w:t>
      </w:r>
    </w:p>
    <w:p w:rsidR="00000000" w:rsidRDefault="00000000">
      <w:pPr>
        <w:jc w:val="both"/>
        <w:rPr>
          <w:b/>
          <w:bCs/>
          <w:sz w:val="24"/>
        </w:rPr>
      </w:pPr>
    </w:p>
    <w:p w:rsidR="00000000" w:rsidRDefault="00000000">
      <w:pPr>
        <w:jc w:val="both"/>
        <w:rPr>
          <w:b/>
          <w:bCs/>
          <w:sz w:val="24"/>
          <w:szCs w:val="22"/>
        </w:rPr>
      </w:pPr>
      <w:r>
        <w:rPr>
          <w:b/>
          <w:bCs/>
          <w:sz w:val="24"/>
          <w:szCs w:val="22"/>
        </w:rPr>
        <w:t>Раздел VI</w:t>
      </w:r>
    </w:p>
    <w:p w:rsidR="00000000" w:rsidRDefault="00000000">
      <w:pPr>
        <w:jc w:val="both"/>
        <w:rPr>
          <w:b/>
          <w:bCs/>
          <w:sz w:val="22"/>
          <w:szCs w:val="22"/>
        </w:rPr>
      </w:pPr>
    </w:p>
    <w:p w:rsidR="00000000" w:rsidRDefault="00000000">
      <w:pPr>
        <w:jc w:val="both"/>
        <w:rPr>
          <w:rStyle w:val="111"/>
          <w:szCs w:val="22"/>
        </w:rPr>
      </w:pPr>
      <w:r>
        <w:rPr>
          <w:b/>
          <w:bCs/>
          <w:sz w:val="22"/>
          <w:szCs w:val="22"/>
        </w:rPr>
        <w:t>Проблемы, с которыми сталкивается Индия, и достижения</w:t>
      </w:r>
    </w:p>
    <w:p w:rsidR="00000000" w:rsidRDefault="00000000">
      <w:pPr>
        <w:jc w:val="both"/>
        <w:rPr>
          <w:sz w:val="22"/>
          <w:szCs w:val="22"/>
        </w:rPr>
      </w:pPr>
    </w:p>
    <w:p w:rsidR="00000000" w:rsidRDefault="00000000">
      <w:pPr>
        <w:pStyle w:val="112"/>
        <w:spacing w:before="0" w:line="252" w:lineRule="exact"/>
      </w:pPr>
      <w:r>
        <w:t>77.</w:t>
      </w:r>
      <w:r>
        <w:tab/>
        <w:t>В своей политике правительство Индии исходит из того, что занятость является ключевым фактором сокращения масштабов и ликвидации нищеты.  Стремясь к обеспечению более полной и более продуктивной занятости, страна выявила три раздельные, но взаимосвязанные проблемы.  Во-первых, рабочая сила (экономически активное население) составляет незначительную долю в совокупной численности  населения.  Во-вторых, существенную долю в рабочей силе составляют безработные или не полностью занятые лица.  В-третьих, производительность труда работающих, как правило, низкая.  Эти три аспекта проблемы занятости учитывались при разработке политики и пятилетних планов.</w:t>
      </w:r>
    </w:p>
    <w:p w:rsidR="00000000" w:rsidRDefault="00000000">
      <w:pPr>
        <w:pStyle w:val="112"/>
        <w:spacing w:before="200" w:line="252" w:lineRule="exact"/>
      </w:pPr>
      <w:r>
        <w:t>78.</w:t>
      </w:r>
      <w:r>
        <w:tab/>
        <w:t>Эта политика и планы разрабатываются с учетом более широкого контекста макроэкономической и финансовой политики, а также состояния институциональной среды.</w:t>
      </w:r>
    </w:p>
    <w:p w:rsidR="00000000" w:rsidRDefault="00000000">
      <w:pPr>
        <w:pStyle w:val="112"/>
        <w:spacing w:before="200" w:line="252" w:lineRule="exact"/>
      </w:pPr>
      <w:r>
        <w:t>79.</w:t>
      </w:r>
      <w:r>
        <w:tab/>
        <w:t>Низкие показатели экономической активности населения Индии обусловлены двумя основными факторами:  i)  возрастным составом населения и  ii)  слабым отражением статистических данных об экономической активности женщин.  Что касается возрастного состава населения, то в период 1999–2000 годов произошло его улучшение по сравнению с периодом 1993–1994 годов.  Показатель экономической активности в течение 1999–2000 годов снизился в более молодых возрастных группах, а также среди лиц в возрасте 50 лет и старше.  В возрастной группе от 25 до 49 лет он оставался более или менее неизменным.  Вместе с тем за этот период уровень экономической активности женщин в сельской местности снизился почти во всех возрастных группах.  Национальное выборочное обследование за 1987–1988 годы показало, что уровень экономической активности в возрастной группе женщин  от 15 до 59 лет составлял лишь 18,71%.  С тех пор в составе женского населения произошли существенные изменения.  По данным пятьдесят пятого цикла НВО показатель экономической активности женщин составлял 30% в сельской местности и 15% – в городских районах.</w:t>
      </w:r>
    </w:p>
    <w:p w:rsidR="00000000" w:rsidRDefault="00000000">
      <w:pPr>
        <w:pStyle w:val="112"/>
        <w:spacing w:before="200" w:line="252" w:lineRule="exact"/>
      </w:pPr>
      <w:r>
        <w:t>80.</w:t>
      </w:r>
      <w:r>
        <w:tab/>
        <w:t xml:space="preserve">Десятым пятилетним планом предусматривается создание 50 млн. рабочих мест.  Из них почти 30 млн. рабочих мест будут созданы в результате обычного экономического роста, а остальные 20 млн. – за счет осуществления специальных программ расширения занятости с особым упором на сельское хозяйство, ирригацию, агролесоводство, малые и средние предприятия, информационно-коммуникационные технологии, туризм и другие сферы услуг.  Результаты, достигнутые в ходе осуществления десятого плана в этой области, будут известны после завершения НВО 2004–2005 годов за пятилетний период.  По данным же обследований, проведенных ОНВО в 1993–1994 годах и 1999–2000 годах, расчетный уровень занятости в стране с учетом обычного статуса повысился с примерно 374 млн. до 397 млн. человек.  </w:t>
      </w:r>
    </w:p>
    <w:p w:rsidR="00000000" w:rsidRDefault="00000000">
      <w:pPr>
        <w:pStyle w:val="112"/>
        <w:spacing w:before="200" w:line="252" w:lineRule="exact"/>
      </w:pPr>
      <w:r>
        <w:t>81.</w:t>
      </w:r>
      <w:r>
        <w:tab/>
        <w:t>Третьим выбранным критерием оценки является производительность труда.  По сравнению с 1986 годом, взятым за основу, показатели производительности труда в Индии выросли со 103,92 в 1987 году до 130,53 в 1995 году.  Согласно исследованию, проведенному Азиатской организацией по повышению производительности труда, озаглавленному "Производительность труда в Азиатско-Тихоокеанском регионе:  данные и анализ" (Япония, 2000 год), показатели роста производительности труда в Индии составили 6,38% в 1995 году, 6,87% в 1996 году, 3,82% в 1997 году, 5,61% в 1998 году, 5,09% в 1999 году и 3,02% в 2000 году.</w:t>
      </w:r>
    </w:p>
    <w:p w:rsidR="00000000" w:rsidRDefault="00000000">
      <w:pPr>
        <w:pStyle w:val="112"/>
        <w:spacing w:before="200" w:line="252" w:lineRule="exact"/>
      </w:pPr>
      <w:r>
        <w:t>82.</w:t>
      </w:r>
      <w:r>
        <w:tab/>
        <w:t>По данным исследования, недавно проведенного Национальным советом по вопросам повышения производительности труда, показатель ежегодного прироста производительности труда в Индии составляет около 3%.</w:t>
      </w:r>
    </w:p>
    <w:p w:rsidR="00000000" w:rsidRDefault="00000000">
      <w:pPr>
        <w:pStyle w:val="112"/>
        <w:spacing w:before="0" w:line="252" w:lineRule="exact"/>
        <w:rPr>
          <w:lang w:val="en-US"/>
        </w:rPr>
      </w:pPr>
      <w:r>
        <w:t>83.</w:t>
      </w:r>
      <w:r>
        <w:tab/>
        <w:t xml:space="preserve">Учитывая, что темпы прироста населения имеют тенденцию к снижению (менее 2%), а индекс развития человеческого потенциала в стране равен 0,63 (115-е место в 2001 году), позитивная тенденция к увеличению производительности труда в Индии впечатляет.  </w:t>
      </w:r>
    </w:p>
    <w:p w:rsidR="00000000" w:rsidRDefault="00000000">
      <w:pPr>
        <w:pStyle w:val="112"/>
        <w:spacing w:before="0" w:line="252" w:lineRule="exact"/>
        <w:rPr>
          <w:lang w:val="en-US"/>
        </w:rPr>
      </w:pPr>
    </w:p>
    <w:p w:rsidR="00000000" w:rsidRDefault="00000000">
      <w:pPr>
        <w:rPr>
          <w:b/>
          <w:bCs/>
          <w:sz w:val="22"/>
          <w:szCs w:val="22"/>
        </w:rPr>
      </w:pPr>
      <w:r>
        <w:rPr>
          <w:b/>
          <w:bCs/>
          <w:sz w:val="22"/>
          <w:szCs w:val="22"/>
        </w:rPr>
        <w:t xml:space="preserve">Раздел </w:t>
      </w:r>
      <w:r>
        <w:rPr>
          <w:b/>
          <w:bCs/>
          <w:sz w:val="22"/>
          <w:szCs w:val="22"/>
          <w:lang w:val="en-US"/>
        </w:rPr>
        <w:t>VII</w:t>
      </w:r>
    </w:p>
    <w:p w:rsidR="00000000" w:rsidRDefault="00000000">
      <w:pPr>
        <w:rPr>
          <w:b/>
          <w:bCs/>
          <w:sz w:val="22"/>
          <w:szCs w:val="22"/>
        </w:rPr>
      </w:pPr>
    </w:p>
    <w:p w:rsidR="00000000" w:rsidRDefault="00000000">
      <w:pPr>
        <w:rPr>
          <w:b/>
          <w:bCs/>
          <w:sz w:val="22"/>
          <w:szCs w:val="22"/>
        </w:rPr>
      </w:pPr>
      <w:r>
        <w:rPr>
          <w:b/>
          <w:bCs/>
          <w:sz w:val="22"/>
          <w:szCs w:val="22"/>
        </w:rPr>
        <w:t>Международная помощь</w:t>
      </w:r>
    </w:p>
    <w:p w:rsidR="00000000" w:rsidRDefault="00000000">
      <w:pPr>
        <w:jc w:val="both"/>
        <w:rPr>
          <w:sz w:val="24"/>
        </w:rPr>
      </w:pPr>
    </w:p>
    <w:p w:rsidR="00000000" w:rsidRDefault="00000000">
      <w:pPr>
        <w:pStyle w:val="112"/>
        <w:spacing w:before="0"/>
      </w:pPr>
      <w:r>
        <w:t>84.</w:t>
      </w:r>
      <w:r>
        <w:tab/>
        <w:t xml:space="preserve">Индия является одним из членов – основателей МОТ и с момента создания этой организации играет ведущую роль в ее деятельности.  Входя в число 10 стран мира, имеющих наибольший промышленный вес, Индия занимает постоянное место в Правительственной группе Административного совета, являющейся исполнительным крылом этой организации.  Финансирование МОТ осуществляется в основном за счет взносов государствам-членов.  Размер взноса Индии в бюджет МОТ в 2002 году составил 1 293 212 швейцарских франков (0,339% бюджета МОТ).  В рамках программы стимулирования своевременной уплаты взносов в бюджет МОТ в 2001 году Индии был предоставлен кредит в размере 8973 швейцарских франка.  </w:t>
      </w:r>
    </w:p>
    <w:p w:rsidR="00000000" w:rsidRDefault="00000000">
      <w:pPr>
        <w:pStyle w:val="112"/>
      </w:pPr>
      <w:r>
        <w:t>85.</w:t>
      </w:r>
      <w:r>
        <w:tab/>
        <w:t>С самого начала существования Международной организации труда (МОТ) Индия активно поддерживает эту организацию и участвует в работе Международных конференций труда и в ее программах технического сотрудничества.  В период 1999–2002 годов Индия приняла участие в 59 национальных и 62 международных встречах по линии МОТ.  В рамках глобальной стратегии, принятой на вооружение МОТ на рубеже  нового тысячелетия, ее консультативные услуги и оперативная деятельность в Индии сосредоточены вокруг четырех стратегических целей:  содействие укреплению и претворению в жизнь основополагающих принципов и прав в сфере труда;  создание более широких возможностей женщинам и мужчинам для обеспечения достойной работы и дохода;  расширение сферы охвата и повышение эффективности системы социальной защиты для всех;  укрепление сотрудничества между правительством, предпринимателями и трудящимися и общественный диалог.</w:t>
      </w:r>
    </w:p>
    <w:p w:rsidR="00000000" w:rsidRDefault="00000000">
      <w:pPr>
        <w:pStyle w:val="112"/>
      </w:pPr>
      <w:r>
        <w:t>86.</w:t>
      </w:r>
      <w:r>
        <w:tab/>
        <w:t xml:space="preserve">Техническое сотрудничество МОТ в Индии охватывает различные сферы трудовой деятельности, такие как занятость, техника безопасности и гигиена труда, улучшение условий труда, укрепление материальной базы профессиональной подготовки, управление, развитие системы консультативных услуг, программы создания малых предприятий для женщин и бедных слоев городского населения, программы социальной защиты семьи, профессионально-техническая подготовка, в том числе в области высоких технологий, воспитательно-просветительская работа с трудящимися и т. п.  В настоящее время на различных стадиях осуществления находятся в общей сложности 14 проектов в этих и смежных областях.  </w:t>
      </w:r>
    </w:p>
    <w:p w:rsidR="00000000" w:rsidRDefault="00000000">
      <w:pPr>
        <w:pStyle w:val="112"/>
      </w:pPr>
      <w:r>
        <w:t>87.</w:t>
      </w:r>
      <w:r>
        <w:tab/>
        <w:t xml:space="preserve">МОТ воспользовалась возможностями для профессиональной подготовки, имеющимися в ряде учреждений Индии, в том числе в Центральном институте труда (Мумбаи), региональных институтах труда (Колката, Канпур и Ченнаи), институтах профессионально-технической подготовки, находящихся в ведении Генеральной дирекции обучения и занятости, индийских институтах управления и технологических институтах.  Индия предоставляет также технический персонал для программ МОТ.  Нескольким индийским экспертам были предложены контракты по проведению исследований в различных областях. </w:t>
      </w:r>
    </w:p>
    <w:p w:rsidR="00000000" w:rsidRDefault="00000000">
      <w:pPr>
        <w:jc w:val="both"/>
        <w:rPr>
          <w:sz w:val="24"/>
        </w:rPr>
      </w:pPr>
      <w:r>
        <w:rPr>
          <w:sz w:val="24"/>
        </w:rPr>
        <w:t xml:space="preserve"> </w:t>
      </w:r>
    </w:p>
    <w:p w:rsidR="00000000" w:rsidRDefault="00000000">
      <w:pPr>
        <w:spacing w:before="120"/>
        <w:jc w:val="center"/>
        <w:rPr>
          <w:b/>
          <w:bCs/>
          <w:sz w:val="24"/>
          <w:szCs w:val="22"/>
        </w:rPr>
      </w:pPr>
      <w:r>
        <w:rPr>
          <w:b/>
          <w:bCs/>
          <w:sz w:val="24"/>
          <w:szCs w:val="22"/>
        </w:rPr>
        <w:t>Статья 7</w:t>
      </w:r>
    </w:p>
    <w:p w:rsidR="00000000" w:rsidRDefault="00000000">
      <w:pPr>
        <w:jc w:val="center"/>
        <w:rPr>
          <w:b/>
          <w:bCs/>
          <w:sz w:val="22"/>
          <w:szCs w:val="22"/>
        </w:rPr>
      </w:pPr>
    </w:p>
    <w:p w:rsidR="00000000" w:rsidRDefault="00000000">
      <w:pPr>
        <w:jc w:val="center"/>
        <w:rPr>
          <w:b/>
          <w:bCs/>
          <w:sz w:val="22"/>
          <w:szCs w:val="22"/>
        </w:rPr>
      </w:pPr>
      <w:r>
        <w:rPr>
          <w:b/>
          <w:bCs/>
          <w:sz w:val="22"/>
          <w:szCs w:val="22"/>
        </w:rPr>
        <w:t>Право на справедливые и благоприятные условия труда</w:t>
      </w:r>
    </w:p>
    <w:p w:rsidR="00000000" w:rsidRDefault="00000000">
      <w:pPr>
        <w:jc w:val="center"/>
        <w:rPr>
          <w:sz w:val="22"/>
          <w:szCs w:val="22"/>
        </w:rPr>
      </w:pPr>
    </w:p>
    <w:p w:rsidR="00000000" w:rsidRDefault="00000000">
      <w:pPr>
        <w:pStyle w:val="112"/>
        <w:spacing w:before="0"/>
      </w:pPr>
      <w:r>
        <w:t>88.</w:t>
      </w:r>
      <w:r>
        <w:tab/>
        <w:t xml:space="preserve">Эта статья затрагивает и охватывает права на  а)  вознаграждение, которое обеспечивает всем трудящимся как минимум справедливую зарплату и равное вознаграждение за труд равной ценности без каких-либо различий;  </w:t>
      </w:r>
      <w:r>
        <w:rPr>
          <w:lang w:val="en-US"/>
        </w:rPr>
        <w:t>b</w:t>
      </w:r>
      <w:r>
        <w:t xml:space="preserve">)  достойное существование для них самих и их семей;  с)  "разумное ограничение продолжительности рабочего дня";  </w:t>
      </w:r>
      <w:r>
        <w:rPr>
          <w:lang w:val="en-US"/>
        </w:rPr>
        <w:t>d</w:t>
      </w:r>
      <w:r>
        <w:t xml:space="preserve">)  отдых и досуг без уточнения подробностей;  е)  "периодический оплачиваемый отпуск" для всех без уточнения продолжительности такого отпуска;  </w:t>
      </w:r>
      <w:r>
        <w:rPr>
          <w:lang w:val="en-US"/>
        </w:rPr>
        <w:t>f</w:t>
      </w:r>
      <w:r>
        <w:t>)  справедливые и благоприятные, в частности "безопасные и здоровые, условия труда" для всех.</w:t>
      </w:r>
    </w:p>
    <w:p w:rsidR="00000000" w:rsidRDefault="00000000">
      <w:pPr>
        <w:pStyle w:val="112"/>
      </w:pPr>
      <w:r>
        <w:t>89.</w:t>
      </w:r>
      <w:r>
        <w:tab/>
        <w:t>Индия является государством, проявляющим заботу о благополучии и обеспечении социальной и экономической справедливости для своих граждан, в частности для работающего населения.  Права, закрепленные в статье 7 МПЭСКП, признаны в Конституции Индии (части </w:t>
      </w:r>
      <w:r>
        <w:rPr>
          <w:lang w:val="en-US"/>
        </w:rPr>
        <w:t>III</w:t>
      </w:r>
      <w:r>
        <w:t xml:space="preserve"> и </w:t>
      </w:r>
      <w:r>
        <w:rPr>
          <w:lang w:val="en-US"/>
        </w:rPr>
        <w:t>IV</w:t>
      </w:r>
      <w:r>
        <w:t>) и осуществляются на практике посредством национальных законов.</w:t>
      </w:r>
    </w:p>
    <w:p w:rsidR="00000000" w:rsidRDefault="00000000">
      <w:pPr>
        <w:jc w:val="both"/>
        <w:rPr>
          <w:b/>
          <w:bCs/>
          <w:sz w:val="24"/>
        </w:rPr>
      </w:pPr>
    </w:p>
    <w:p w:rsidR="00000000" w:rsidRDefault="00000000">
      <w:pPr>
        <w:jc w:val="both"/>
        <w:rPr>
          <w:b/>
          <w:bCs/>
          <w:sz w:val="22"/>
          <w:szCs w:val="22"/>
        </w:rPr>
      </w:pPr>
      <w:r>
        <w:rPr>
          <w:b/>
          <w:bCs/>
          <w:sz w:val="22"/>
          <w:szCs w:val="22"/>
        </w:rPr>
        <w:t xml:space="preserve">Раздел </w:t>
      </w:r>
      <w:r>
        <w:rPr>
          <w:b/>
          <w:bCs/>
          <w:sz w:val="22"/>
          <w:szCs w:val="22"/>
          <w:lang w:val="en-US"/>
        </w:rPr>
        <w:t>I</w:t>
      </w:r>
    </w:p>
    <w:p w:rsidR="00000000" w:rsidRDefault="00000000">
      <w:pPr>
        <w:jc w:val="both"/>
        <w:rPr>
          <w:sz w:val="24"/>
        </w:rPr>
      </w:pPr>
    </w:p>
    <w:p w:rsidR="00000000" w:rsidRDefault="00000000">
      <w:pPr>
        <w:pStyle w:val="112"/>
        <w:spacing w:before="0"/>
      </w:pPr>
      <w:r>
        <w:t>90.</w:t>
      </w:r>
      <w:r>
        <w:tab/>
        <w:t>а)</w:t>
      </w:r>
      <w:r>
        <w:tab/>
        <w:t>Индии еще предстоит ратифицировать Конвенцию МОТ 1970 года об установлении минимальной заработной платы (№ 131), которая касается механизма установления минимальной заработной платы и связанных с этим проблем, особенно в отношении развивающихся стран.  Вместе с тем 10 января 1955 года Индия ратифицировала Конвенцию 1928 года о процедуре установления минимальной заработной платы (№ 26), требующую от ратифицировавших ее государств создания или поддержания механизма, посредством которого можно было бы устанавливать минимальную заработную плату для трудящихся, занятых в некоторых отраслях (под ними понимаются обрабатывающая промышленность и торговля) или в отдельных частях отрасли (в частности, это касается надомных видов работ), в которой не существует никаких соглашений об эффективном регулировании зарплат путем заключения коллективного договора и ставки заработной платы являются исключительно низкими.  Комитет экспертов МОТ по применению конвенций и рекомендаций (</w:t>
      </w:r>
      <w:r>
        <w:rPr>
          <w:lang w:val="en-US"/>
        </w:rPr>
        <w:t>CEACR</w:t>
      </w:r>
      <w:r>
        <w:t xml:space="preserve">) в 2003 году принял к сведению доклад правительства Индии об осуществлении Конвенции № 26.  В 2000 году </w:t>
      </w:r>
      <w:r>
        <w:rPr>
          <w:lang w:val="en-US"/>
        </w:rPr>
        <w:t>CEACR</w:t>
      </w:r>
      <w:r>
        <w:t xml:space="preserve"> напоминал о замечании, высказанном Союзом работников наемного труда округа Махабубнагар в связи с невыплатой минимальной зарплаты трудящимся-мигрантам в этом округе.  Независимо от этой критики Индия в целом довольно широко перенесла обязательства, предусмотренные Конвенцией № 131, в свое внутреннее законодательство.  Этот вопрос подробно рассматривается в разделе </w:t>
      </w:r>
      <w:r>
        <w:rPr>
          <w:lang w:val="en-US"/>
        </w:rPr>
        <w:t>II</w:t>
      </w:r>
      <w:r>
        <w:t xml:space="preserve"> по данной статье.</w:t>
      </w:r>
    </w:p>
    <w:p w:rsidR="00000000" w:rsidRDefault="00000000">
      <w:pPr>
        <w:pStyle w:val="112"/>
      </w:pPr>
      <w:r>
        <w:tab/>
      </w:r>
      <w:r>
        <w:rPr>
          <w:lang w:val="en-US"/>
        </w:rPr>
        <w:t>b</w:t>
      </w:r>
      <w:r>
        <w:t>)</w:t>
      </w:r>
      <w:r>
        <w:tab/>
        <w:t xml:space="preserve">Конвенция МОТ 1951 года о равном вознаграждении (№ 100), касающаяся соблюдения в отношении работающих мужчин и женщин принципа равного вознаграждения за труд равной ценности, была ратифицирована Индией 25 сентября 1958 года.  </w:t>
      </w:r>
      <w:r>
        <w:rPr>
          <w:lang w:val="en-US"/>
        </w:rPr>
        <w:t>CEACR</w:t>
      </w:r>
      <w:r>
        <w:t xml:space="preserve"> в 2004 году принял к сведению доклад правительства Индии об осуществлении Конвенции № 100, и признал этот доклад удовлетворительным.</w:t>
      </w:r>
    </w:p>
    <w:p w:rsidR="00000000" w:rsidRDefault="00000000">
      <w:pPr>
        <w:pStyle w:val="112"/>
      </w:pPr>
      <w:r>
        <w:tab/>
        <w:t>с)</w:t>
      </w:r>
      <w:r>
        <w:tab/>
        <w:t xml:space="preserve">Конвенция МОТ 1921 года о еженедельном отдыхе в промышленности (№ 14), касающаяся молодых людей в возрасте до 18 лет, работающих на промышленных предприятиях в ночное время, была ратифицирована Индией 11 мая 1923 года.  Ей еще предстоит представить доклад об осуществлении Конвенции № 14.  Здесь важно подчеркнуть, что Индия ратифицировала 14 июля 1921 года Конвенцию МОТ 1919 года о рабочем времени в промышленности (№ 1), касающуюся продолжительности рабочего дня лиц, работающих на каком-либо государственном или частном промышленном предприятии.  </w:t>
      </w:r>
      <w:r>
        <w:rPr>
          <w:lang w:val="en-US"/>
        </w:rPr>
        <w:t>CEACR</w:t>
      </w:r>
      <w:r>
        <w:t xml:space="preserve"> в 1998 и 1999 годах принял к сведению доклад, представленный Индией об осуществлении этой Конвенции.  Индия ратифицировала также Конвенцию МОТ 1919 года о труде женщин в ночное время (№ 4), касающуюся работы женщин на промышленных предприятиях в ночное время, Конвенцию 1919 года о ночном труде подростков в промышленности (№ 6), касающуюся работы в ночное время на промышленных предприятиях молодых людей в возрасте до 18 лет, Конвенцию (пересмотренную) 1932 года о труде женщин в ночное время (№ 41), касающуюся отдыха и предоставления компенсации за период отдыха лицам, работающим на каком-либо промышленном предприятии в государственном или частном секторе, Конвенцию (пересмотренную) 1948 года о ночном труде женщин (№ 89), касающуюся работы в ночное время, и Конвенцию (пересмотренную) 1948 года о ночном труде подростков в промышленности (№ 90), касающуюся частичного пересмотра Конвенции 1919 года о ночном труде подростков в промышленности (№ 6), соответственно, 14.07.1921, 14.07.1921, 22.11.1964, 27.02.1950 и 27.02.1950.  Кроме того, 21 ноября 2003 года Индия ратифицировала Протокол 1999</w:t>
      </w:r>
      <w:r>
        <w:rPr>
          <w:lang w:val="en-US"/>
        </w:rPr>
        <w:t> </w:t>
      </w:r>
      <w:r>
        <w:t>года к Конвенции (пересмотренной) 1948 года о ночном труде женщин.  В целом Индия выполняет обязательства по Конвенции № 14 и внесла ряд соответствующих положений в свое национальное законодательство.  Этот вопрос подробно рассматривается в Разделе </w:t>
      </w:r>
      <w:r>
        <w:rPr>
          <w:lang w:val="en-US"/>
        </w:rPr>
        <w:t>VI</w:t>
      </w:r>
      <w:r>
        <w:t xml:space="preserve"> по статье 7.</w:t>
      </w:r>
    </w:p>
    <w:p w:rsidR="00000000" w:rsidRDefault="00000000">
      <w:pPr>
        <w:pStyle w:val="112"/>
      </w:pPr>
      <w:r>
        <w:tab/>
      </w:r>
      <w:r>
        <w:rPr>
          <w:lang w:val="en-US"/>
        </w:rPr>
        <w:t>d</w:t>
      </w:r>
      <w:r>
        <w:t>)</w:t>
      </w:r>
      <w:r>
        <w:tab/>
        <w:t>Индии еще предстоит ратифицировать Конвенцию МОТ 1957 года о еженедельном отдыхе в торговле и учреждениях (№ 106), касающуюся еженедельного отдыха в торговле и учреждениях.  Однако в той или иной степени Индия приложила усилия для переноса обязательств, предусмотренных этой Конвенцией, в свое национальное законодательство.  Этот вопрос подробно рассматривается в Разделе </w:t>
      </w:r>
      <w:r>
        <w:rPr>
          <w:lang w:val="en-US"/>
        </w:rPr>
        <w:t>VI</w:t>
      </w:r>
      <w:r>
        <w:t xml:space="preserve"> по данной статье.</w:t>
      </w:r>
    </w:p>
    <w:p w:rsidR="00000000" w:rsidRDefault="00000000">
      <w:pPr>
        <w:pStyle w:val="112"/>
        <w:spacing w:before="220"/>
      </w:pPr>
      <w:r>
        <w:tab/>
        <w:t>е)</w:t>
      </w:r>
      <w:r>
        <w:tab/>
        <w:t xml:space="preserve">Индии еще предстоит ратифицировать Конвенцию (пересмотренную) 1970 года об оплачиваемых отпусках (№ 132), касающуюся оплачиваемых отпусков.  Вместе с тем Индия, как правило, выполняет обязательства, предусмотренные этой Конвенцией.  Этот вопрос подробно рассматривается в Разделе </w:t>
      </w:r>
      <w:r>
        <w:rPr>
          <w:lang w:val="en-US"/>
        </w:rPr>
        <w:t>VI</w:t>
      </w:r>
      <w:r>
        <w:t xml:space="preserve"> по данной статье.</w:t>
      </w:r>
    </w:p>
    <w:p w:rsidR="00000000" w:rsidRDefault="00000000">
      <w:pPr>
        <w:pStyle w:val="112"/>
        <w:spacing w:before="220"/>
      </w:pPr>
      <w:r>
        <w:tab/>
      </w:r>
      <w:r>
        <w:rPr>
          <w:lang w:val="en-US"/>
        </w:rPr>
        <w:t>f</w:t>
      </w:r>
      <w:r>
        <w:t>)</w:t>
      </w:r>
      <w:r>
        <w:tab/>
        <w:t xml:space="preserve">Конвенция МОТ 1947 года об инспекции труда (№ 81), касающаяся организации инспекции труда в промышленности и торговле, была ратифицирована Индией 7 апреля 1949 года.  В 1999, 2001 и 2002 годах </w:t>
      </w:r>
      <w:r>
        <w:rPr>
          <w:lang w:val="en-US"/>
        </w:rPr>
        <w:t>CEACR</w:t>
      </w:r>
      <w:r>
        <w:t xml:space="preserve"> принял к сведению соответствующие доклады правительства Индии.  Индия ратифицировала также Конвенцию 1926 года об инспекции эмигрантов (№ 21) 14 января 1928 года.</w:t>
      </w:r>
    </w:p>
    <w:p w:rsidR="00000000" w:rsidRDefault="00000000">
      <w:pPr>
        <w:pStyle w:val="112"/>
        <w:spacing w:before="220"/>
      </w:pPr>
      <w:r>
        <w:tab/>
      </w:r>
      <w:r>
        <w:rPr>
          <w:lang w:val="en-US"/>
        </w:rPr>
        <w:t>g</w:t>
      </w:r>
      <w:r>
        <w:t>)</w:t>
      </w:r>
      <w:r>
        <w:tab/>
        <w:t xml:space="preserve">Индии еще предстоит ратифицировать Конвенцию МОТ 1969 года об инспекции труда в сельском хозяйстве (№ 129), касающуюся организации инспекции труда по аналогии с Конвенцией 1947 года об инспекции труда.  Вместе с тем меры, предусмотренные этой Конвенцией, уже были включены в различные национальные законы Индии.  Этот вопрос подробно рассматривается в Разделе </w:t>
      </w:r>
      <w:r>
        <w:rPr>
          <w:lang w:val="en-US"/>
        </w:rPr>
        <w:t>IV</w:t>
      </w:r>
      <w:r>
        <w:t xml:space="preserve"> по данной статье.</w:t>
      </w:r>
    </w:p>
    <w:p w:rsidR="00000000" w:rsidRDefault="00000000">
      <w:pPr>
        <w:pStyle w:val="112"/>
        <w:spacing w:before="220"/>
      </w:pPr>
      <w:r>
        <w:tab/>
      </w:r>
      <w:r>
        <w:rPr>
          <w:lang w:val="en-US"/>
        </w:rPr>
        <w:t>h</w:t>
      </w:r>
      <w:r>
        <w:t>)</w:t>
      </w:r>
      <w:r>
        <w:tab/>
        <w:t xml:space="preserve">Конвенция МОТ 1981 года о безопасности и гигиене труда (№ 155) требует от ратифицировавших ее государств принятия мер по обеспечению безопасности и гигиены труда, а также соответствующих условий труда.  Эту Конвенцию Индии еще предстоит ратифицировать.  Вместе с тем меры, предусмотренные этой Конвенцией, уже были включены в различные законы Индии.  Стоит отметить, что Индия ратифицировала некоторые важные Конвенции МОТ, как, например, Конвенцию 1971 года о бензоле (№ 136) и Конвенцию 1960 года о защите от радиации (№ 115), касающуюся обеспечения гигиены и безопасности труда в промышленности.  Конвенция 1971 года о бензоле (№ 136), которая распространяется на все виды деятельности, предполагающие подверженность работников воздействию ароматического бензола, была ратифицирована Индией 11 июня 1991 года. Конвенция о защите от радиации (№ 115), которая распространяется на все виды деятельности, предполагающие подверженность работников ионизирующей радиации в процессе труда, и делает акцент на необходимости принятия профилактических мер как медицинского, так и технического характера, была ратифицирована Индией 17 ноября 1975 года.  Дополнительная информация по этому вопросу содержится в настоящем докладе в Разделе </w:t>
      </w:r>
      <w:r>
        <w:rPr>
          <w:lang w:val="en-US"/>
        </w:rPr>
        <w:t>IV</w:t>
      </w:r>
      <w:r>
        <w:t xml:space="preserve"> по данной статье.</w:t>
      </w:r>
    </w:p>
    <w:p w:rsidR="00000000" w:rsidRDefault="00000000">
      <w:pPr>
        <w:jc w:val="both"/>
        <w:rPr>
          <w:b/>
          <w:bCs/>
          <w:sz w:val="24"/>
        </w:rPr>
      </w:pPr>
    </w:p>
    <w:p w:rsidR="00000000" w:rsidRDefault="00000000">
      <w:pPr>
        <w:keepNext/>
        <w:jc w:val="both"/>
        <w:rPr>
          <w:b/>
          <w:bCs/>
          <w:sz w:val="22"/>
          <w:szCs w:val="22"/>
        </w:rPr>
      </w:pPr>
      <w:r>
        <w:rPr>
          <w:b/>
          <w:bCs/>
          <w:sz w:val="22"/>
          <w:szCs w:val="22"/>
        </w:rPr>
        <w:t>Раздел II</w:t>
      </w:r>
    </w:p>
    <w:p w:rsidR="00000000" w:rsidRDefault="00000000">
      <w:pPr>
        <w:keepNext/>
        <w:jc w:val="both"/>
        <w:rPr>
          <w:sz w:val="24"/>
        </w:rPr>
      </w:pPr>
    </w:p>
    <w:p w:rsidR="00000000" w:rsidRDefault="00000000">
      <w:pPr>
        <w:pStyle w:val="112"/>
        <w:keepNext/>
        <w:spacing w:before="0"/>
        <w:rPr>
          <w:lang w:val="en-US"/>
        </w:rPr>
      </w:pPr>
      <w:r>
        <w:t>91.</w:t>
      </w:r>
      <w:r>
        <w:tab/>
        <w:t>В условиях Индии политика в области зарплаты приобрела дополнительное значение, потому что лишь небольшой процент (менее 10%) трудящихся работает в организованном секторе, тогда как остальные заняты или нанимаются на работу в неорганизованном секторе.  Обеспечение разумного минимального уровня заработной платы трудящимся в неорганизованном секторе является вопросом огромной национальной важности.  Система минимальной заработной платы была установлена благодаря постоянным усилиям, прилагаемым правительством Индии в этом направлении.  Одним из самых ранних решений, принятых правительством свободной Индии, было создание комитета по определению размера справедливой заработной платы и подготовка указаний о том, как обеспечить справедливую заработную плату каждому работающему гражданину страны.  С тех самых пор Индия неоднократно предпринимала попытки определить такие понятия, как справедливая заработная плата, минимальная заработная плата, установленный законом минимум заработной платы, а также прожиточный минимум.  Значительный прогресс, достигнутый Индией в этой области, отражен в докладах, представленных ею комитетам, конференциям, комиссиям, а также в решениях Верховного суда.</w:t>
      </w:r>
    </w:p>
    <w:p w:rsidR="00000000" w:rsidRDefault="00000000">
      <w:pPr>
        <w:pStyle w:val="112"/>
        <w:keepNext/>
        <w:spacing w:before="0"/>
        <w:rPr>
          <w:lang w:val="en-US"/>
        </w:rPr>
      </w:pPr>
    </w:p>
    <w:p w:rsidR="00000000" w:rsidRDefault="00000000">
      <w:pPr>
        <w:jc w:val="both"/>
        <w:rPr>
          <w:b/>
          <w:bCs/>
          <w:sz w:val="22"/>
          <w:szCs w:val="22"/>
        </w:rPr>
      </w:pPr>
      <w:r>
        <w:rPr>
          <w:b/>
          <w:bCs/>
          <w:sz w:val="22"/>
          <w:szCs w:val="22"/>
        </w:rPr>
        <w:t>Основные методы, используемые для установления уровня заработной платы</w:t>
      </w:r>
    </w:p>
    <w:p w:rsidR="00000000" w:rsidRDefault="00000000">
      <w:pPr>
        <w:jc w:val="both"/>
        <w:rPr>
          <w:sz w:val="24"/>
        </w:rPr>
      </w:pPr>
    </w:p>
    <w:p w:rsidR="00000000" w:rsidRDefault="00000000">
      <w:pPr>
        <w:pStyle w:val="112"/>
        <w:spacing w:before="0"/>
      </w:pPr>
      <w:r>
        <w:t>92.</w:t>
      </w:r>
      <w:r>
        <w:tab/>
        <w:t>Раздел 5 Закона 1948 года о минимальной заработной плате предусматривает два метода для установления/пересмотра определенного законом уровня минимальной заработной платы.  Существуют метод принятия решений Комитетом и метод уведомления.</w:t>
      </w:r>
    </w:p>
    <w:p w:rsidR="00000000" w:rsidRDefault="00000000">
      <w:pPr>
        <w:pStyle w:val="112"/>
        <w:spacing w:before="180"/>
        <w:ind w:left="1134" w:hanging="1134"/>
      </w:pPr>
      <w:r>
        <w:tab/>
        <w:t>a)</w:t>
      </w:r>
      <w:r>
        <w:tab/>
        <w:t>Метод принятия решений Комитетом:  В соответствии с ним правительствами штатов создаются комитеты и подкомитеты для изучения вопроса и подготовки рекомендаций, касающихся установления и пересмотра уровня минимальной заработной платы в зависимости от обстоятельств.</w:t>
      </w:r>
    </w:p>
    <w:p w:rsidR="00000000" w:rsidRDefault="00000000">
      <w:pPr>
        <w:pStyle w:val="112"/>
        <w:spacing w:before="180"/>
        <w:ind w:left="1134" w:hanging="1134"/>
      </w:pPr>
      <w:r>
        <w:tab/>
        <w:t>b)</w:t>
      </w:r>
      <w:r>
        <w:tab/>
        <w:t>Метод уведомления:  В соответствии с этим методом правительство публикует свои предложения в "Правительственном вестнике" для уведомления лиц, которых это может касаться, и устанавливает точную дату (не ранее, чем через два месяца с момента уведомления) для вступления предложений в силу.</w:t>
      </w:r>
    </w:p>
    <w:p w:rsidR="00000000" w:rsidRDefault="00000000">
      <w:pPr>
        <w:jc w:val="both"/>
        <w:rPr>
          <w:b/>
          <w:bCs/>
          <w:sz w:val="24"/>
        </w:rPr>
      </w:pPr>
    </w:p>
    <w:p w:rsidR="00000000" w:rsidRDefault="00000000">
      <w:pPr>
        <w:spacing w:before="120"/>
        <w:jc w:val="both"/>
        <w:rPr>
          <w:b/>
          <w:bCs/>
          <w:sz w:val="22"/>
          <w:szCs w:val="22"/>
        </w:rPr>
      </w:pPr>
      <w:r>
        <w:rPr>
          <w:b/>
          <w:bCs/>
          <w:sz w:val="22"/>
          <w:szCs w:val="22"/>
        </w:rPr>
        <w:t>Минимальная заработная плата</w:t>
      </w:r>
    </w:p>
    <w:p w:rsidR="00000000" w:rsidRDefault="00000000">
      <w:pPr>
        <w:jc w:val="both"/>
        <w:rPr>
          <w:sz w:val="24"/>
        </w:rPr>
      </w:pPr>
    </w:p>
    <w:p w:rsidR="00000000" w:rsidRDefault="00000000">
      <w:pPr>
        <w:pStyle w:val="112"/>
        <w:spacing w:before="0"/>
      </w:pPr>
      <w:r>
        <w:t>93.</w:t>
      </w:r>
      <w:r>
        <w:tab/>
        <w:t>Обязанность государства обеспечивать выплату минимальной заработной платы закреплена в статье 43 Конституции Индии.  В целях претворения в жизнь принципа минимальной заработной платы были приняты соответствующие законы.  Закон 1948 года о минимальной заработной плате предусматривает порядок установления, анализа, пересмотра и обеспечения выплаты  минимальной заработной платы как для центрального правительства, так и для правительств штатов в отношении штатных должностей в системе центрального правительства, число которых составляет 1232.  Выплата минимальной зарплаты, действующая в системе центрального правительства, обеспечивается через Центральный механизм производственных отношений (ЦМПО) (таблица 7.1).</w:t>
      </w:r>
    </w:p>
    <w:p w:rsidR="00000000" w:rsidRDefault="00000000">
      <w:pPr>
        <w:jc w:val="both"/>
        <w:rPr>
          <w:sz w:val="24"/>
        </w:rPr>
      </w:pPr>
    </w:p>
    <w:p w:rsidR="00000000" w:rsidRDefault="00000000">
      <w:pPr>
        <w:keepNext/>
        <w:keepLines/>
        <w:jc w:val="both"/>
        <w:rPr>
          <w:b/>
          <w:bCs/>
          <w:sz w:val="22"/>
          <w:szCs w:val="22"/>
        </w:rPr>
      </w:pPr>
      <w:r>
        <w:rPr>
          <w:b/>
          <w:bCs/>
          <w:sz w:val="22"/>
          <w:szCs w:val="22"/>
        </w:rPr>
        <w:t>Таблица 7.1</w:t>
      </w:r>
    </w:p>
    <w:p w:rsidR="00000000" w:rsidRDefault="00000000">
      <w:pPr>
        <w:keepNext/>
        <w:keepLines/>
        <w:jc w:val="both"/>
        <w:rPr>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423"/>
        <w:gridCol w:w="422"/>
        <w:gridCol w:w="2231"/>
        <w:gridCol w:w="1535"/>
        <w:gridCol w:w="1257"/>
        <w:gridCol w:w="1257"/>
        <w:gridCol w:w="1396"/>
        <w:gridCol w:w="1118"/>
      </w:tblGrid>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p>
          <w:p w:rsidR="00000000" w:rsidRDefault="00000000">
            <w:pPr>
              <w:keepNext/>
              <w:keepLines/>
              <w:spacing w:before="40" w:after="40"/>
              <w:jc w:val="center"/>
              <w:rPr>
                <w:sz w:val="20"/>
                <w:szCs w:val="20"/>
              </w:rPr>
            </w:pPr>
          </w:p>
        </w:tc>
        <w:tc>
          <w:tcPr>
            <w:tcW w:w="425" w:type="dxa"/>
          </w:tcPr>
          <w:p w:rsidR="00000000" w:rsidRDefault="00000000">
            <w:pPr>
              <w:keepNext/>
              <w:keepLines/>
              <w:spacing w:before="40" w:after="40"/>
              <w:jc w:val="center"/>
              <w:rPr>
                <w:sz w:val="20"/>
                <w:szCs w:val="20"/>
              </w:rPr>
            </w:pPr>
          </w:p>
        </w:tc>
        <w:tc>
          <w:tcPr>
            <w:tcW w:w="2268" w:type="dxa"/>
            <w:vAlign w:val="center"/>
          </w:tcPr>
          <w:p w:rsidR="00000000" w:rsidRDefault="00000000">
            <w:pPr>
              <w:keepNext/>
              <w:keepLines/>
              <w:spacing w:before="40" w:after="40"/>
              <w:jc w:val="center"/>
              <w:rPr>
                <w:sz w:val="20"/>
                <w:szCs w:val="20"/>
              </w:rPr>
            </w:pPr>
            <w:r>
              <w:rPr>
                <w:sz w:val="20"/>
                <w:szCs w:val="20"/>
              </w:rPr>
              <w:t>Название закона</w:t>
            </w:r>
          </w:p>
        </w:tc>
        <w:tc>
          <w:tcPr>
            <w:tcW w:w="1559" w:type="dxa"/>
            <w:vAlign w:val="center"/>
          </w:tcPr>
          <w:p w:rsidR="00000000" w:rsidRDefault="00000000">
            <w:pPr>
              <w:keepNext/>
              <w:keepLines/>
              <w:spacing w:before="40" w:after="40"/>
              <w:jc w:val="center"/>
              <w:rPr>
                <w:sz w:val="20"/>
                <w:szCs w:val="20"/>
              </w:rPr>
            </w:pPr>
            <w:r>
              <w:rPr>
                <w:sz w:val="20"/>
                <w:szCs w:val="20"/>
              </w:rPr>
              <w:t>Число проведенных инспекций</w:t>
            </w:r>
          </w:p>
        </w:tc>
        <w:tc>
          <w:tcPr>
            <w:tcW w:w="1276" w:type="dxa"/>
            <w:vAlign w:val="center"/>
          </w:tcPr>
          <w:p w:rsidR="00000000" w:rsidRDefault="00000000">
            <w:pPr>
              <w:keepNext/>
              <w:keepLines/>
              <w:spacing w:before="40" w:after="40"/>
              <w:jc w:val="center"/>
              <w:rPr>
                <w:sz w:val="20"/>
                <w:szCs w:val="20"/>
              </w:rPr>
            </w:pPr>
            <w:r>
              <w:rPr>
                <w:sz w:val="20"/>
                <w:szCs w:val="20"/>
              </w:rPr>
              <w:t>Исправ-</w:t>
            </w:r>
            <w:r>
              <w:rPr>
                <w:sz w:val="20"/>
                <w:szCs w:val="20"/>
              </w:rPr>
              <w:br/>
              <w:t>ленные нарушения</w:t>
            </w:r>
          </w:p>
        </w:tc>
        <w:tc>
          <w:tcPr>
            <w:tcW w:w="1276" w:type="dxa"/>
            <w:vAlign w:val="center"/>
          </w:tcPr>
          <w:p w:rsidR="00000000" w:rsidRDefault="00000000">
            <w:pPr>
              <w:keepNext/>
              <w:keepLines/>
              <w:spacing w:before="40" w:after="40"/>
              <w:jc w:val="center"/>
              <w:rPr>
                <w:sz w:val="20"/>
                <w:szCs w:val="20"/>
              </w:rPr>
            </w:pPr>
            <w:r>
              <w:rPr>
                <w:sz w:val="20"/>
                <w:szCs w:val="20"/>
              </w:rPr>
              <w:t>Возбуж-</w:t>
            </w:r>
            <w:r>
              <w:rPr>
                <w:sz w:val="20"/>
                <w:szCs w:val="20"/>
              </w:rPr>
              <w:br/>
              <w:t>денные судебные преследо-вания</w:t>
            </w:r>
          </w:p>
        </w:tc>
        <w:tc>
          <w:tcPr>
            <w:tcW w:w="1417" w:type="dxa"/>
            <w:vAlign w:val="center"/>
          </w:tcPr>
          <w:p w:rsidR="00000000" w:rsidRDefault="00000000">
            <w:pPr>
              <w:keepNext/>
              <w:keepLines/>
              <w:spacing w:before="40" w:after="40"/>
              <w:jc w:val="center"/>
              <w:rPr>
                <w:sz w:val="20"/>
                <w:szCs w:val="20"/>
              </w:rPr>
            </w:pPr>
            <w:r>
              <w:rPr>
                <w:sz w:val="20"/>
                <w:szCs w:val="20"/>
              </w:rPr>
              <w:t>Вынесенные приговоры</w:t>
            </w:r>
          </w:p>
        </w:tc>
        <w:tc>
          <w:tcPr>
            <w:tcW w:w="1134" w:type="dxa"/>
            <w:vAlign w:val="center"/>
          </w:tcPr>
          <w:p w:rsidR="00000000" w:rsidRDefault="00000000">
            <w:pPr>
              <w:keepNext/>
              <w:keepLines/>
              <w:spacing w:before="40" w:after="40"/>
              <w:jc w:val="center"/>
              <w:rPr>
                <w:sz w:val="20"/>
                <w:szCs w:val="20"/>
              </w:rPr>
            </w:pPr>
            <w:r>
              <w:rPr>
                <w:sz w:val="20"/>
                <w:szCs w:val="20"/>
              </w:rPr>
              <w:t>Поступив-</w:t>
            </w:r>
            <w:r>
              <w:rPr>
                <w:sz w:val="20"/>
                <w:szCs w:val="20"/>
              </w:rPr>
              <w:br/>
              <w:t>шие жалобы</w:t>
            </w:r>
          </w:p>
        </w:tc>
      </w:tr>
      <w:tr w:rsidR="00000000">
        <w:tblPrEx>
          <w:tblCellMar>
            <w:top w:w="0" w:type="dxa"/>
            <w:bottom w:w="0" w:type="dxa"/>
          </w:tblCellMar>
        </w:tblPrEx>
        <w:trPr>
          <w:jc w:val="center"/>
        </w:trPr>
        <w:tc>
          <w:tcPr>
            <w:tcW w:w="426" w:type="dxa"/>
            <w:vAlign w:val="center"/>
          </w:tcPr>
          <w:p w:rsidR="00000000" w:rsidRDefault="00000000">
            <w:pPr>
              <w:keepNext/>
              <w:keepLines/>
              <w:spacing w:before="40" w:after="40"/>
              <w:jc w:val="center"/>
              <w:rPr>
                <w:sz w:val="20"/>
                <w:szCs w:val="20"/>
              </w:rPr>
            </w:pPr>
            <w:r>
              <w:rPr>
                <w:sz w:val="20"/>
                <w:szCs w:val="20"/>
              </w:rPr>
              <w:t>1</w:t>
            </w:r>
          </w:p>
        </w:tc>
        <w:tc>
          <w:tcPr>
            <w:tcW w:w="425" w:type="dxa"/>
            <w:vAlign w:val="center"/>
          </w:tcPr>
          <w:p w:rsidR="00000000" w:rsidRDefault="00000000">
            <w:pPr>
              <w:keepNext/>
              <w:keepLines/>
              <w:spacing w:before="40" w:after="40"/>
              <w:jc w:val="center"/>
              <w:rPr>
                <w:sz w:val="20"/>
                <w:szCs w:val="20"/>
              </w:rPr>
            </w:pPr>
          </w:p>
        </w:tc>
        <w:tc>
          <w:tcPr>
            <w:tcW w:w="2268" w:type="dxa"/>
            <w:vAlign w:val="center"/>
          </w:tcPr>
          <w:p w:rsidR="00000000" w:rsidRDefault="00000000">
            <w:pPr>
              <w:keepNext/>
              <w:keepLines/>
              <w:spacing w:before="40" w:after="40"/>
              <w:jc w:val="center"/>
              <w:rPr>
                <w:sz w:val="20"/>
                <w:szCs w:val="20"/>
              </w:rPr>
            </w:pPr>
            <w:r>
              <w:rPr>
                <w:sz w:val="20"/>
                <w:szCs w:val="20"/>
              </w:rPr>
              <w:t>2</w:t>
            </w:r>
          </w:p>
        </w:tc>
        <w:tc>
          <w:tcPr>
            <w:tcW w:w="1559" w:type="dxa"/>
            <w:vAlign w:val="center"/>
          </w:tcPr>
          <w:p w:rsidR="00000000" w:rsidRDefault="00000000">
            <w:pPr>
              <w:keepNext/>
              <w:keepLines/>
              <w:spacing w:before="40" w:after="40"/>
              <w:jc w:val="center"/>
              <w:rPr>
                <w:sz w:val="20"/>
                <w:szCs w:val="20"/>
              </w:rPr>
            </w:pPr>
            <w:r>
              <w:rPr>
                <w:sz w:val="20"/>
                <w:szCs w:val="20"/>
              </w:rPr>
              <w:t>3</w:t>
            </w:r>
          </w:p>
        </w:tc>
        <w:tc>
          <w:tcPr>
            <w:tcW w:w="1276" w:type="dxa"/>
            <w:vAlign w:val="center"/>
          </w:tcPr>
          <w:p w:rsidR="00000000" w:rsidRDefault="00000000">
            <w:pPr>
              <w:keepNext/>
              <w:keepLines/>
              <w:spacing w:before="40" w:after="40"/>
              <w:jc w:val="center"/>
              <w:rPr>
                <w:sz w:val="20"/>
                <w:szCs w:val="20"/>
              </w:rPr>
            </w:pPr>
            <w:r>
              <w:rPr>
                <w:sz w:val="20"/>
                <w:szCs w:val="20"/>
              </w:rPr>
              <w:t>4</w:t>
            </w:r>
          </w:p>
        </w:tc>
        <w:tc>
          <w:tcPr>
            <w:tcW w:w="1276" w:type="dxa"/>
            <w:vAlign w:val="center"/>
          </w:tcPr>
          <w:p w:rsidR="00000000" w:rsidRDefault="00000000">
            <w:pPr>
              <w:keepNext/>
              <w:keepLines/>
              <w:spacing w:before="40" w:after="40"/>
              <w:jc w:val="center"/>
              <w:rPr>
                <w:sz w:val="20"/>
                <w:szCs w:val="20"/>
              </w:rPr>
            </w:pPr>
            <w:r>
              <w:rPr>
                <w:sz w:val="20"/>
                <w:szCs w:val="20"/>
              </w:rPr>
              <w:t>5</w:t>
            </w:r>
          </w:p>
        </w:tc>
        <w:tc>
          <w:tcPr>
            <w:tcW w:w="1417" w:type="dxa"/>
            <w:vAlign w:val="center"/>
          </w:tcPr>
          <w:p w:rsidR="00000000" w:rsidRDefault="00000000">
            <w:pPr>
              <w:keepNext/>
              <w:keepLines/>
              <w:spacing w:before="40" w:after="40"/>
              <w:jc w:val="center"/>
              <w:rPr>
                <w:sz w:val="20"/>
                <w:szCs w:val="20"/>
              </w:rPr>
            </w:pPr>
            <w:r>
              <w:rPr>
                <w:sz w:val="20"/>
                <w:szCs w:val="20"/>
              </w:rPr>
              <w:t>6</w:t>
            </w:r>
          </w:p>
        </w:tc>
        <w:tc>
          <w:tcPr>
            <w:tcW w:w="1134" w:type="dxa"/>
            <w:vAlign w:val="center"/>
          </w:tcPr>
          <w:p w:rsidR="00000000" w:rsidRDefault="00000000">
            <w:pPr>
              <w:keepNext/>
              <w:keepLines/>
              <w:spacing w:before="40" w:after="40"/>
              <w:jc w:val="center"/>
              <w:rPr>
                <w:sz w:val="20"/>
                <w:szCs w:val="20"/>
              </w:rPr>
            </w:pPr>
            <w:r>
              <w:rPr>
                <w:sz w:val="20"/>
                <w:szCs w:val="20"/>
              </w:rPr>
              <w:t>7</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r>
              <w:rPr>
                <w:sz w:val="20"/>
                <w:szCs w:val="20"/>
              </w:rPr>
              <w:t>1</w:t>
            </w:r>
          </w:p>
        </w:tc>
        <w:tc>
          <w:tcPr>
            <w:tcW w:w="425" w:type="dxa"/>
          </w:tcPr>
          <w:p w:rsidR="00000000" w:rsidRDefault="00000000">
            <w:pPr>
              <w:keepNext/>
              <w:keepLines/>
              <w:spacing w:before="40" w:after="40"/>
              <w:jc w:val="both"/>
              <w:rPr>
                <w:sz w:val="20"/>
                <w:szCs w:val="20"/>
              </w:rPr>
            </w:pPr>
          </w:p>
        </w:tc>
        <w:tc>
          <w:tcPr>
            <w:tcW w:w="2268" w:type="dxa"/>
            <w:vAlign w:val="center"/>
          </w:tcPr>
          <w:p w:rsidR="00000000" w:rsidRDefault="00000000">
            <w:pPr>
              <w:keepNext/>
              <w:keepLines/>
              <w:spacing w:before="40" w:after="40"/>
              <w:rPr>
                <w:sz w:val="20"/>
                <w:szCs w:val="20"/>
              </w:rPr>
            </w:pPr>
            <w:r>
              <w:rPr>
                <w:sz w:val="20"/>
                <w:szCs w:val="20"/>
              </w:rPr>
              <w:t xml:space="preserve">Закон 1936 года </w:t>
            </w:r>
            <w:r>
              <w:rPr>
                <w:sz w:val="20"/>
                <w:szCs w:val="20"/>
              </w:rPr>
              <w:br/>
              <w:t xml:space="preserve">о выплате зарплат </w:t>
            </w:r>
          </w:p>
        </w:tc>
        <w:tc>
          <w:tcPr>
            <w:tcW w:w="1559" w:type="dxa"/>
            <w:vAlign w:val="center"/>
          </w:tcPr>
          <w:p w:rsidR="00000000" w:rsidRDefault="00000000">
            <w:pPr>
              <w:keepNext/>
              <w:keepLines/>
              <w:spacing w:before="40" w:after="40"/>
              <w:rPr>
                <w:sz w:val="20"/>
                <w:szCs w:val="20"/>
              </w:rPr>
            </w:pPr>
          </w:p>
        </w:tc>
        <w:tc>
          <w:tcPr>
            <w:tcW w:w="1276" w:type="dxa"/>
            <w:vAlign w:val="center"/>
          </w:tcPr>
          <w:p w:rsidR="00000000" w:rsidRDefault="00000000">
            <w:pPr>
              <w:keepNext/>
              <w:keepLines/>
              <w:spacing w:before="40" w:after="40"/>
              <w:rPr>
                <w:sz w:val="20"/>
                <w:szCs w:val="20"/>
              </w:rPr>
            </w:pPr>
          </w:p>
        </w:tc>
        <w:tc>
          <w:tcPr>
            <w:tcW w:w="1276" w:type="dxa"/>
            <w:vAlign w:val="center"/>
          </w:tcPr>
          <w:p w:rsidR="00000000" w:rsidRDefault="00000000">
            <w:pPr>
              <w:keepNext/>
              <w:keepLines/>
              <w:spacing w:before="40" w:after="40"/>
              <w:rPr>
                <w:sz w:val="20"/>
                <w:szCs w:val="20"/>
              </w:rPr>
            </w:pPr>
          </w:p>
        </w:tc>
        <w:tc>
          <w:tcPr>
            <w:tcW w:w="1417" w:type="dxa"/>
            <w:vAlign w:val="center"/>
          </w:tcPr>
          <w:p w:rsidR="00000000" w:rsidRDefault="00000000">
            <w:pPr>
              <w:keepNext/>
              <w:keepLines/>
              <w:spacing w:before="40" w:after="40"/>
              <w:rPr>
                <w:sz w:val="20"/>
                <w:szCs w:val="20"/>
              </w:rPr>
            </w:pPr>
          </w:p>
        </w:tc>
        <w:tc>
          <w:tcPr>
            <w:tcW w:w="1134" w:type="dxa"/>
            <w:vAlign w:val="center"/>
          </w:tcPr>
          <w:p w:rsidR="00000000" w:rsidRDefault="00000000">
            <w:pPr>
              <w:keepNext/>
              <w:keepLines/>
              <w:spacing w:before="40" w:after="40"/>
              <w:rPr>
                <w:sz w:val="20"/>
                <w:szCs w:val="20"/>
              </w:rPr>
            </w:pP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p>
        </w:tc>
        <w:tc>
          <w:tcPr>
            <w:tcW w:w="425" w:type="dxa"/>
          </w:tcPr>
          <w:p w:rsidR="00000000" w:rsidRDefault="00000000">
            <w:pPr>
              <w:keepNext/>
              <w:keepLines/>
              <w:spacing w:before="40" w:after="40"/>
              <w:jc w:val="both"/>
              <w:rPr>
                <w:sz w:val="20"/>
                <w:szCs w:val="20"/>
              </w:rPr>
            </w:pPr>
            <w:r>
              <w:rPr>
                <w:sz w:val="20"/>
                <w:szCs w:val="20"/>
                <w:lang w:val="en-US"/>
              </w:rPr>
              <w:t>I</w:t>
            </w:r>
          </w:p>
        </w:tc>
        <w:tc>
          <w:tcPr>
            <w:tcW w:w="2268" w:type="dxa"/>
            <w:vAlign w:val="center"/>
          </w:tcPr>
          <w:p w:rsidR="00000000" w:rsidRDefault="00000000">
            <w:pPr>
              <w:keepNext/>
              <w:keepLines/>
              <w:spacing w:before="40" w:after="40"/>
              <w:rPr>
                <w:sz w:val="20"/>
                <w:szCs w:val="20"/>
              </w:rPr>
            </w:pPr>
            <w:r>
              <w:rPr>
                <w:sz w:val="20"/>
                <w:szCs w:val="20"/>
              </w:rPr>
              <w:t>Горнодобывающая промышленность</w:t>
            </w:r>
          </w:p>
        </w:tc>
        <w:tc>
          <w:tcPr>
            <w:tcW w:w="1559" w:type="dxa"/>
            <w:vAlign w:val="center"/>
          </w:tcPr>
          <w:p w:rsidR="00000000" w:rsidRDefault="00000000">
            <w:pPr>
              <w:keepNext/>
              <w:keepLines/>
              <w:tabs>
                <w:tab w:val="decimal" w:pos="907"/>
              </w:tabs>
              <w:spacing w:before="40" w:after="40"/>
              <w:rPr>
                <w:sz w:val="20"/>
                <w:szCs w:val="20"/>
              </w:rPr>
            </w:pPr>
            <w:r>
              <w:rPr>
                <w:sz w:val="20"/>
                <w:szCs w:val="20"/>
              </w:rPr>
              <w:t>4 197</w:t>
            </w:r>
          </w:p>
        </w:tc>
        <w:tc>
          <w:tcPr>
            <w:tcW w:w="1276" w:type="dxa"/>
            <w:vAlign w:val="center"/>
          </w:tcPr>
          <w:p w:rsidR="00000000" w:rsidRDefault="00000000">
            <w:pPr>
              <w:keepNext/>
              <w:keepLines/>
              <w:tabs>
                <w:tab w:val="decimal" w:pos="794"/>
              </w:tabs>
              <w:spacing w:before="40" w:after="40"/>
              <w:rPr>
                <w:sz w:val="20"/>
                <w:szCs w:val="20"/>
              </w:rPr>
            </w:pPr>
            <w:r>
              <w:rPr>
                <w:sz w:val="20"/>
                <w:szCs w:val="20"/>
              </w:rPr>
              <w:t>57 385</w:t>
            </w:r>
          </w:p>
        </w:tc>
        <w:tc>
          <w:tcPr>
            <w:tcW w:w="1276" w:type="dxa"/>
            <w:vAlign w:val="center"/>
          </w:tcPr>
          <w:p w:rsidR="00000000" w:rsidRDefault="00000000">
            <w:pPr>
              <w:keepNext/>
              <w:keepLines/>
              <w:tabs>
                <w:tab w:val="decimal" w:pos="794"/>
              </w:tabs>
              <w:spacing w:before="40" w:after="40"/>
              <w:rPr>
                <w:sz w:val="20"/>
                <w:szCs w:val="20"/>
              </w:rPr>
            </w:pPr>
            <w:r>
              <w:rPr>
                <w:sz w:val="20"/>
                <w:szCs w:val="20"/>
              </w:rPr>
              <w:t>1 290</w:t>
            </w:r>
          </w:p>
        </w:tc>
        <w:tc>
          <w:tcPr>
            <w:tcW w:w="1417" w:type="dxa"/>
            <w:vAlign w:val="center"/>
          </w:tcPr>
          <w:p w:rsidR="00000000" w:rsidRDefault="00000000">
            <w:pPr>
              <w:keepNext/>
              <w:keepLines/>
              <w:tabs>
                <w:tab w:val="decimal" w:pos="794"/>
              </w:tabs>
              <w:spacing w:before="40" w:after="40"/>
              <w:rPr>
                <w:sz w:val="20"/>
                <w:szCs w:val="20"/>
              </w:rPr>
            </w:pPr>
            <w:r>
              <w:rPr>
                <w:sz w:val="20"/>
                <w:szCs w:val="20"/>
              </w:rPr>
              <w:t>1 225</w:t>
            </w:r>
          </w:p>
        </w:tc>
        <w:tc>
          <w:tcPr>
            <w:tcW w:w="1134" w:type="dxa"/>
            <w:vAlign w:val="center"/>
          </w:tcPr>
          <w:p w:rsidR="00000000" w:rsidRDefault="00000000">
            <w:pPr>
              <w:keepNext/>
              <w:keepLines/>
              <w:tabs>
                <w:tab w:val="decimal" w:pos="624"/>
              </w:tabs>
              <w:spacing w:before="40" w:after="40"/>
              <w:rPr>
                <w:sz w:val="20"/>
                <w:szCs w:val="20"/>
              </w:rPr>
            </w:pPr>
            <w:r>
              <w:rPr>
                <w:sz w:val="20"/>
                <w:szCs w:val="20"/>
              </w:rPr>
              <w:t>5</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p>
        </w:tc>
        <w:tc>
          <w:tcPr>
            <w:tcW w:w="425" w:type="dxa"/>
          </w:tcPr>
          <w:p w:rsidR="00000000" w:rsidRDefault="00000000">
            <w:pPr>
              <w:keepNext/>
              <w:keepLines/>
              <w:spacing w:before="40" w:after="40"/>
              <w:jc w:val="both"/>
              <w:rPr>
                <w:sz w:val="20"/>
                <w:szCs w:val="20"/>
              </w:rPr>
            </w:pPr>
            <w:r>
              <w:rPr>
                <w:sz w:val="20"/>
                <w:szCs w:val="20"/>
                <w:lang w:val="en-US"/>
              </w:rPr>
              <w:t>Ii</w:t>
            </w:r>
          </w:p>
        </w:tc>
        <w:tc>
          <w:tcPr>
            <w:tcW w:w="2268" w:type="dxa"/>
            <w:vAlign w:val="center"/>
          </w:tcPr>
          <w:p w:rsidR="00000000" w:rsidRDefault="00000000">
            <w:pPr>
              <w:keepNext/>
              <w:keepLines/>
              <w:spacing w:before="40" w:after="40"/>
              <w:rPr>
                <w:sz w:val="20"/>
                <w:szCs w:val="20"/>
              </w:rPr>
            </w:pPr>
            <w:r>
              <w:rPr>
                <w:sz w:val="20"/>
                <w:szCs w:val="20"/>
              </w:rPr>
              <w:t>Железнодорожный транспорт</w:t>
            </w:r>
          </w:p>
        </w:tc>
        <w:tc>
          <w:tcPr>
            <w:tcW w:w="1559" w:type="dxa"/>
            <w:vAlign w:val="center"/>
          </w:tcPr>
          <w:p w:rsidR="00000000" w:rsidRDefault="00000000">
            <w:pPr>
              <w:keepNext/>
              <w:keepLines/>
              <w:tabs>
                <w:tab w:val="decimal" w:pos="907"/>
              </w:tabs>
              <w:spacing w:before="40" w:after="40"/>
              <w:rPr>
                <w:sz w:val="20"/>
                <w:szCs w:val="20"/>
              </w:rPr>
            </w:pPr>
            <w:r>
              <w:rPr>
                <w:sz w:val="20"/>
                <w:szCs w:val="20"/>
              </w:rPr>
              <w:t>1 182</w:t>
            </w:r>
          </w:p>
        </w:tc>
        <w:tc>
          <w:tcPr>
            <w:tcW w:w="1276" w:type="dxa"/>
            <w:vAlign w:val="center"/>
          </w:tcPr>
          <w:p w:rsidR="00000000" w:rsidRDefault="00000000">
            <w:pPr>
              <w:keepNext/>
              <w:keepLines/>
              <w:tabs>
                <w:tab w:val="decimal" w:pos="794"/>
              </w:tabs>
              <w:spacing w:before="40" w:after="40"/>
              <w:rPr>
                <w:sz w:val="20"/>
                <w:szCs w:val="20"/>
              </w:rPr>
            </w:pPr>
            <w:r>
              <w:rPr>
                <w:sz w:val="20"/>
                <w:szCs w:val="20"/>
              </w:rPr>
              <w:t>7 800</w:t>
            </w:r>
          </w:p>
        </w:tc>
        <w:tc>
          <w:tcPr>
            <w:tcW w:w="1276" w:type="dxa"/>
            <w:vAlign w:val="center"/>
          </w:tcPr>
          <w:p w:rsidR="00000000" w:rsidRDefault="00000000">
            <w:pPr>
              <w:keepNext/>
              <w:keepLines/>
              <w:tabs>
                <w:tab w:val="decimal" w:pos="794"/>
              </w:tabs>
              <w:spacing w:before="40" w:after="40"/>
              <w:rPr>
                <w:sz w:val="20"/>
                <w:szCs w:val="20"/>
              </w:rPr>
            </w:pPr>
            <w:r>
              <w:rPr>
                <w:sz w:val="20"/>
                <w:szCs w:val="20"/>
              </w:rPr>
              <w:t>--</w:t>
            </w:r>
          </w:p>
        </w:tc>
        <w:tc>
          <w:tcPr>
            <w:tcW w:w="1417" w:type="dxa"/>
            <w:vAlign w:val="center"/>
          </w:tcPr>
          <w:p w:rsidR="00000000" w:rsidRDefault="00000000">
            <w:pPr>
              <w:keepNext/>
              <w:keepLines/>
              <w:tabs>
                <w:tab w:val="decimal" w:pos="794"/>
              </w:tabs>
              <w:spacing w:before="40" w:after="40"/>
              <w:rPr>
                <w:sz w:val="20"/>
                <w:szCs w:val="20"/>
              </w:rPr>
            </w:pPr>
            <w:r>
              <w:rPr>
                <w:sz w:val="20"/>
                <w:szCs w:val="20"/>
              </w:rPr>
              <w:t>--</w:t>
            </w:r>
          </w:p>
        </w:tc>
        <w:tc>
          <w:tcPr>
            <w:tcW w:w="1134" w:type="dxa"/>
            <w:vAlign w:val="center"/>
          </w:tcPr>
          <w:p w:rsidR="00000000" w:rsidRDefault="00000000">
            <w:pPr>
              <w:keepNext/>
              <w:keepLines/>
              <w:tabs>
                <w:tab w:val="decimal" w:pos="624"/>
              </w:tabs>
              <w:spacing w:before="40" w:after="40"/>
              <w:rPr>
                <w:sz w:val="20"/>
                <w:szCs w:val="20"/>
              </w:rPr>
            </w:pPr>
            <w:r>
              <w:rPr>
                <w:sz w:val="20"/>
                <w:szCs w:val="20"/>
              </w:rPr>
              <w:t>1</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p>
        </w:tc>
        <w:tc>
          <w:tcPr>
            <w:tcW w:w="425" w:type="dxa"/>
          </w:tcPr>
          <w:p w:rsidR="00000000" w:rsidRDefault="00000000">
            <w:pPr>
              <w:keepNext/>
              <w:keepLines/>
              <w:spacing w:before="40" w:after="40"/>
              <w:jc w:val="both"/>
              <w:rPr>
                <w:sz w:val="20"/>
                <w:szCs w:val="20"/>
              </w:rPr>
            </w:pPr>
            <w:r>
              <w:rPr>
                <w:sz w:val="20"/>
                <w:szCs w:val="20"/>
                <w:lang w:val="en-US"/>
              </w:rPr>
              <w:t>Iii</w:t>
            </w:r>
          </w:p>
        </w:tc>
        <w:tc>
          <w:tcPr>
            <w:tcW w:w="2268" w:type="dxa"/>
            <w:vAlign w:val="center"/>
          </w:tcPr>
          <w:p w:rsidR="00000000" w:rsidRDefault="00000000">
            <w:pPr>
              <w:keepNext/>
              <w:keepLines/>
              <w:spacing w:before="40" w:after="40"/>
              <w:rPr>
                <w:sz w:val="20"/>
                <w:szCs w:val="20"/>
              </w:rPr>
            </w:pPr>
            <w:r>
              <w:rPr>
                <w:sz w:val="20"/>
                <w:szCs w:val="20"/>
              </w:rPr>
              <w:t>Воздушный транспорт</w:t>
            </w:r>
          </w:p>
        </w:tc>
        <w:tc>
          <w:tcPr>
            <w:tcW w:w="1559" w:type="dxa"/>
            <w:vAlign w:val="center"/>
          </w:tcPr>
          <w:p w:rsidR="00000000" w:rsidRDefault="00000000">
            <w:pPr>
              <w:keepNext/>
              <w:keepLines/>
              <w:tabs>
                <w:tab w:val="decimal" w:pos="907"/>
              </w:tabs>
              <w:spacing w:before="40" w:after="40"/>
              <w:rPr>
                <w:sz w:val="20"/>
                <w:szCs w:val="20"/>
              </w:rPr>
            </w:pPr>
            <w:r>
              <w:rPr>
                <w:sz w:val="20"/>
                <w:szCs w:val="20"/>
              </w:rPr>
              <w:t>47</w:t>
            </w:r>
          </w:p>
        </w:tc>
        <w:tc>
          <w:tcPr>
            <w:tcW w:w="1276" w:type="dxa"/>
            <w:vAlign w:val="center"/>
          </w:tcPr>
          <w:p w:rsidR="00000000" w:rsidRDefault="00000000">
            <w:pPr>
              <w:keepNext/>
              <w:keepLines/>
              <w:tabs>
                <w:tab w:val="decimal" w:pos="794"/>
              </w:tabs>
              <w:spacing w:before="40" w:after="40"/>
              <w:rPr>
                <w:sz w:val="20"/>
                <w:szCs w:val="20"/>
              </w:rPr>
            </w:pPr>
            <w:r>
              <w:rPr>
                <w:sz w:val="20"/>
                <w:szCs w:val="20"/>
              </w:rPr>
              <w:t>638</w:t>
            </w:r>
          </w:p>
        </w:tc>
        <w:tc>
          <w:tcPr>
            <w:tcW w:w="1276" w:type="dxa"/>
            <w:vAlign w:val="center"/>
          </w:tcPr>
          <w:p w:rsidR="00000000" w:rsidRDefault="00000000">
            <w:pPr>
              <w:keepNext/>
              <w:keepLines/>
              <w:tabs>
                <w:tab w:val="decimal" w:pos="794"/>
              </w:tabs>
              <w:spacing w:before="40" w:after="40"/>
              <w:rPr>
                <w:sz w:val="20"/>
                <w:szCs w:val="20"/>
              </w:rPr>
            </w:pPr>
            <w:r>
              <w:rPr>
                <w:sz w:val="20"/>
                <w:szCs w:val="20"/>
              </w:rPr>
              <w:t>31</w:t>
            </w:r>
          </w:p>
        </w:tc>
        <w:tc>
          <w:tcPr>
            <w:tcW w:w="1417" w:type="dxa"/>
            <w:vAlign w:val="center"/>
          </w:tcPr>
          <w:p w:rsidR="00000000" w:rsidRDefault="00000000">
            <w:pPr>
              <w:keepNext/>
              <w:keepLines/>
              <w:tabs>
                <w:tab w:val="decimal" w:pos="794"/>
              </w:tabs>
              <w:spacing w:before="40" w:after="40"/>
              <w:rPr>
                <w:sz w:val="20"/>
                <w:szCs w:val="20"/>
              </w:rPr>
            </w:pPr>
            <w:r>
              <w:rPr>
                <w:sz w:val="20"/>
                <w:szCs w:val="20"/>
              </w:rPr>
              <w:t>3</w:t>
            </w:r>
          </w:p>
        </w:tc>
        <w:tc>
          <w:tcPr>
            <w:tcW w:w="1134" w:type="dxa"/>
            <w:vAlign w:val="center"/>
          </w:tcPr>
          <w:p w:rsidR="00000000" w:rsidRDefault="00000000">
            <w:pPr>
              <w:keepNext/>
              <w:keepLines/>
              <w:tabs>
                <w:tab w:val="decimal" w:pos="624"/>
              </w:tabs>
              <w:spacing w:before="40" w:after="40"/>
              <w:rPr>
                <w:sz w:val="20"/>
                <w:szCs w:val="20"/>
              </w:rPr>
            </w:pPr>
            <w:r>
              <w:rPr>
                <w:sz w:val="20"/>
                <w:szCs w:val="20"/>
              </w:rPr>
              <w:t>--</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r>
              <w:rPr>
                <w:sz w:val="20"/>
                <w:szCs w:val="20"/>
              </w:rPr>
              <w:t>2</w:t>
            </w:r>
          </w:p>
        </w:tc>
        <w:tc>
          <w:tcPr>
            <w:tcW w:w="425" w:type="dxa"/>
          </w:tcPr>
          <w:p w:rsidR="00000000" w:rsidRDefault="00000000">
            <w:pPr>
              <w:keepNext/>
              <w:keepLines/>
              <w:spacing w:before="40" w:after="40"/>
              <w:jc w:val="both"/>
              <w:rPr>
                <w:sz w:val="20"/>
                <w:szCs w:val="20"/>
              </w:rPr>
            </w:pPr>
          </w:p>
        </w:tc>
        <w:tc>
          <w:tcPr>
            <w:tcW w:w="2268" w:type="dxa"/>
            <w:vAlign w:val="center"/>
          </w:tcPr>
          <w:p w:rsidR="00000000" w:rsidRDefault="00000000">
            <w:pPr>
              <w:keepNext/>
              <w:keepLines/>
              <w:spacing w:before="40" w:after="40"/>
              <w:rPr>
                <w:sz w:val="20"/>
                <w:szCs w:val="20"/>
              </w:rPr>
            </w:pPr>
            <w:r>
              <w:rPr>
                <w:sz w:val="20"/>
                <w:szCs w:val="20"/>
              </w:rPr>
              <w:t xml:space="preserve">Закон 1948 года </w:t>
            </w:r>
            <w:r>
              <w:rPr>
                <w:sz w:val="20"/>
                <w:szCs w:val="20"/>
              </w:rPr>
              <w:br/>
              <w:t xml:space="preserve">о минимальной заработной плате </w:t>
            </w:r>
          </w:p>
        </w:tc>
        <w:tc>
          <w:tcPr>
            <w:tcW w:w="1559" w:type="dxa"/>
            <w:vAlign w:val="center"/>
          </w:tcPr>
          <w:p w:rsidR="00000000" w:rsidRDefault="00000000">
            <w:pPr>
              <w:keepNext/>
              <w:keepLines/>
              <w:tabs>
                <w:tab w:val="decimal" w:pos="907"/>
              </w:tabs>
              <w:spacing w:before="40" w:after="40"/>
              <w:rPr>
                <w:sz w:val="20"/>
                <w:szCs w:val="20"/>
              </w:rPr>
            </w:pPr>
            <w:r>
              <w:rPr>
                <w:sz w:val="20"/>
                <w:szCs w:val="20"/>
              </w:rPr>
              <w:t>15 212</w:t>
            </w:r>
          </w:p>
        </w:tc>
        <w:tc>
          <w:tcPr>
            <w:tcW w:w="1276" w:type="dxa"/>
            <w:vAlign w:val="center"/>
          </w:tcPr>
          <w:p w:rsidR="00000000" w:rsidRDefault="00000000">
            <w:pPr>
              <w:keepNext/>
              <w:keepLines/>
              <w:tabs>
                <w:tab w:val="decimal" w:pos="794"/>
              </w:tabs>
              <w:spacing w:before="40" w:after="40"/>
              <w:rPr>
                <w:sz w:val="20"/>
                <w:szCs w:val="20"/>
              </w:rPr>
            </w:pPr>
            <w:r>
              <w:rPr>
                <w:sz w:val="20"/>
                <w:szCs w:val="20"/>
              </w:rPr>
              <w:t>186 549</w:t>
            </w:r>
          </w:p>
        </w:tc>
        <w:tc>
          <w:tcPr>
            <w:tcW w:w="1276" w:type="dxa"/>
            <w:vAlign w:val="center"/>
          </w:tcPr>
          <w:p w:rsidR="00000000" w:rsidRDefault="00000000">
            <w:pPr>
              <w:keepNext/>
              <w:keepLines/>
              <w:tabs>
                <w:tab w:val="decimal" w:pos="794"/>
              </w:tabs>
              <w:spacing w:before="40" w:after="40"/>
              <w:rPr>
                <w:sz w:val="20"/>
                <w:szCs w:val="20"/>
              </w:rPr>
            </w:pPr>
            <w:r>
              <w:rPr>
                <w:sz w:val="20"/>
                <w:szCs w:val="20"/>
              </w:rPr>
              <w:t>5 260</w:t>
            </w:r>
          </w:p>
        </w:tc>
        <w:tc>
          <w:tcPr>
            <w:tcW w:w="1417" w:type="dxa"/>
            <w:vAlign w:val="center"/>
          </w:tcPr>
          <w:p w:rsidR="00000000" w:rsidRDefault="00000000">
            <w:pPr>
              <w:keepNext/>
              <w:keepLines/>
              <w:tabs>
                <w:tab w:val="decimal" w:pos="794"/>
              </w:tabs>
              <w:spacing w:before="40" w:after="40"/>
              <w:rPr>
                <w:sz w:val="20"/>
                <w:szCs w:val="20"/>
              </w:rPr>
            </w:pPr>
            <w:r>
              <w:rPr>
                <w:sz w:val="20"/>
                <w:szCs w:val="20"/>
              </w:rPr>
              <w:t>3 094</w:t>
            </w:r>
          </w:p>
        </w:tc>
        <w:tc>
          <w:tcPr>
            <w:tcW w:w="1134" w:type="dxa"/>
            <w:vAlign w:val="center"/>
          </w:tcPr>
          <w:p w:rsidR="00000000" w:rsidRDefault="00000000">
            <w:pPr>
              <w:keepNext/>
              <w:keepLines/>
              <w:tabs>
                <w:tab w:val="decimal" w:pos="624"/>
              </w:tabs>
              <w:spacing w:before="40" w:after="40"/>
              <w:rPr>
                <w:sz w:val="20"/>
                <w:szCs w:val="20"/>
              </w:rPr>
            </w:pPr>
            <w:r>
              <w:rPr>
                <w:sz w:val="20"/>
                <w:szCs w:val="20"/>
              </w:rPr>
              <w:t>3 956</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r>
              <w:rPr>
                <w:sz w:val="20"/>
                <w:szCs w:val="20"/>
              </w:rPr>
              <w:t>3</w:t>
            </w:r>
          </w:p>
        </w:tc>
        <w:tc>
          <w:tcPr>
            <w:tcW w:w="425" w:type="dxa"/>
          </w:tcPr>
          <w:p w:rsidR="00000000" w:rsidRDefault="00000000">
            <w:pPr>
              <w:keepNext/>
              <w:keepLines/>
              <w:spacing w:before="40" w:after="40"/>
              <w:jc w:val="both"/>
              <w:rPr>
                <w:sz w:val="20"/>
                <w:szCs w:val="20"/>
              </w:rPr>
            </w:pPr>
          </w:p>
        </w:tc>
        <w:tc>
          <w:tcPr>
            <w:tcW w:w="2268" w:type="dxa"/>
            <w:vAlign w:val="center"/>
          </w:tcPr>
          <w:p w:rsidR="00000000" w:rsidRDefault="00000000">
            <w:pPr>
              <w:keepNext/>
              <w:keepLines/>
              <w:spacing w:before="40" w:after="40"/>
              <w:rPr>
                <w:sz w:val="20"/>
                <w:szCs w:val="20"/>
              </w:rPr>
            </w:pPr>
            <w:r>
              <w:rPr>
                <w:sz w:val="20"/>
                <w:szCs w:val="20"/>
              </w:rPr>
              <w:t xml:space="preserve">Закон 1976 года </w:t>
            </w:r>
            <w:r>
              <w:rPr>
                <w:sz w:val="20"/>
                <w:szCs w:val="20"/>
              </w:rPr>
              <w:br/>
              <w:t xml:space="preserve">о равном вознаграждении </w:t>
            </w:r>
          </w:p>
        </w:tc>
        <w:tc>
          <w:tcPr>
            <w:tcW w:w="1559" w:type="dxa"/>
            <w:vAlign w:val="center"/>
          </w:tcPr>
          <w:p w:rsidR="00000000" w:rsidRDefault="00000000">
            <w:pPr>
              <w:keepNext/>
              <w:keepLines/>
              <w:tabs>
                <w:tab w:val="decimal" w:pos="907"/>
              </w:tabs>
              <w:spacing w:before="40" w:after="40"/>
              <w:rPr>
                <w:sz w:val="20"/>
                <w:szCs w:val="20"/>
              </w:rPr>
            </w:pPr>
            <w:r>
              <w:rPr>
                <w:sz w:val="20"/>
                <w:szCs w:val="20"/>
              </w:rPr>
              <w:t>4 606</w:t>
            </w:r>
          </w:p>
        </w:tc>
        <w:tc>
          <w:tcPr>
            <w:tcW w:w="1276" w:type="dxa"/>
            <w:vAlign w:val="center"/>
          </w:tcPr>
          <w:p w:rsidR="00000000" w:rsidRDefault="00000000">
            <w:pPr>
              <w:keepNext/>
              <w:keepLines/>
              <w:tabs>
                <w:tab w:val="decimal" w:pos="794"/>
              </w:tabs>
              <w:spacing w:before="40" w:after="40"/>
              <w:rPr>
                <w:sz w:val="20"/>
                <w:szCs w:val="20"/>
              </w:rPr>
            </w:pPr>
            <w:r>
              <w:rPr>
                <w:sz w:val="20"/>
                <w:szCs w:val="20"/>
              </w:rPr>
              <w:t>3 858</w:t>
            </w:r>
          </w:p>
        </w:tc>
        <w:tc>
          <w:tcPr>
            <w:tcW w:w="1276" w:type="dxa"/>
            <w:vAlign w:val="center"/>
          </w:tcPr>
          <w:p w:rsidR="00000000" w:rsidRDefault="00000000">
            <w:pPr>
              <w:keepNext/>
              <w:keepLines/>
              <w:tabs>
                <w:tab w:val="decimal" w:pos="794"/>
              </w:tabs>
              <w:spacing w:before="40" w:after="40"/>
              <w:rPr>
                <w:sz w:val="20"/>
                <w:szCs w:val="20"/>
              </w:rPr>
            </w:pPr>
            <w:r>
              <w:rPr>
                <w:sz w:val="20"/>
                <w:szCs w:val="20"/>
              </w:rPr>
              <w:t>972</w:t>
            </w:r>
          </w:p>
        </w:tc>
        <w:tc>
          <w:tcPr>
            <w:tcW w:w="1417" w:type="dxa"/>
            <w:vAlign w:val="center"/>
          </w:tcPr>
          <w:p w:rsidR="00000000" w:rsidRDefault="00000000">
            <w:pPr>
              <w:keepNext/>
              <w:keepLines/>
              <w:tabs>
                <w:tab w:val="decimal" w:pos="794"/>
              </w:tabs>
              <w:spacing w:before="40" w:after="40"/>
              <w:rPr>
                <w:sz w:val="20"/>
                <w:szCs w:val="20"/>
              </w:rPr>
            </w:pPr>
            <w:r>
              <w:rPr>
                <w:sz w:val="20"/>
                <w:szCs w:val="20"/>
              </w:rPr>
              <w:t>494</w:t>
            </w:r>
          </w:p>
        </w:tc>
        <w:tc>
          <w:tcPr>
            <w:tcW w:w="1134" w:type="dxa"/>
            <w:vAlign w:val="center"/>
          </w:tcPr>
          <w:p w:rsidR="00000000" w:rsidRDefault="00000000">
            <w:pPr>
              <w:keepNext/>
              <w:keepLines/>
              <w:tabs>
                <w:tab w:val="decimal" w:pos="624"/>
              </w:tabs>
              <w:spacing w:before="40" w:after="40"/>
              <w:rPr>
                <w:sz w:val="20"/>
                <w:szCs w:val="20"/>
              </w:rPr>
            </w:pPr>
            <w:r>
              <w:rPr>
                <w:sz w:val="20"/>
                <w:szCs w:val="20"/>
              </w:rPr>
              <w:t>32</w:t>
            </w:r>
          </w:p>
        </w:tc>
      </w:tr>
      <w:tr w:rsidR="00000000">
        <w:tblPrEx>
          <w:tblCellMar>
            <w:top w:w="0" w:type="dxa"/>
            <w:bottom w:w="0" w:type="dxa"/>
          </w:tblCellMar>
        </w:tblPrEx>
        <w:trPr>
          <w:jc w:val="center"/>
        </w:trPr>
        <w:tc>
          <w:tcPr>
            <w:tcW w:w="426" w:type="dxa"/>
          </w:tcPr>
          <w:p w:rsidR="00000000" w:rsidRDefault="00000000">
            <w:pPr>
              <w:keepNext/>
              <w:keepLines/>
              <w:spacing w:before="40" w:after="40"/>
              <w:jc w:val="center"/>
              <w:rPr>
                <w:sz w:val="20"/>
                <w:szCs w:val="20"/>
              </w:rPr>
            </w:pPr>
            <w:r>
              <w:rPr>
                <w:sz w:val="20"/>
                <w:szCs w:val="20"/>
              </w:rPr>
              <w:t>4</w:t>
            </w:r>
          </w:p>
        </w:tc>
        <w:tc>
          <w:tcPr>
            <w:tcW w:w="425" w:type="dxa"/>
          </w:tcPr>
          <w:p w:rsidR="00000000" w:rsidRDefault="00000000">
            <w:pPr>
              <w:keepNext/>
              <w:keepLines/>
              <w:spacing w:before="40" w:after="40"/>
              <w:jc w:val="both"/>
              <w:rPr>
                <w:sz w:val="20"/>
                <w:szCs w:val="20"/>
              </w:rPr>
            </w:pPr>
          </w:p>
        </w:tc>
        <w:tc>
          <w:tcPr>
            <w:tcW w:w="2268" w:type="dxa"/>
            <w:vAlign w:val="center"/>
          </w:tcPr>
          <w:p w:rsidR="00000000" w:rsidRDefault="00000000">
            <w:pPr>
              <w:keepNext/>
              <w:keepLines/>
              <w:spacing w:before="40" w:after="40"/>
              <w:rPr>
                <w:sz w:val="20"/>
                <w:szCs w:val="20"/>
              </w:rPr>
            </w:pPr>
            <w:r>
              <w:rPr>
                <w:sz w:val="20"/>
                <w:szCs w:val="20"/>
              </w:rPr>
              <w:t xml:space="preserve">Закон 1986 года </w:t>
            </w:r>
            <w:r>
              <w:rPr>
                <w:sz w:val="20"/>
                <w:szCs w:val="20"/>
              </w:rPr>
              <w:br/>
              <w:t xml:space="preserve">о детском труде (запрещение и регулирование) </w:t>
            </w:r>
          </w:p>
        </w:tc>
        <w:tc>
          <w:tcPr>
            <w:tcW w:w="1559" w:type="dxa"/>
            <w:vAlign w:val="center"/>
          </w:tcPr>
          <w:p w:rsidR="00000000" w:rsidRDefault="00000000">
            <w:pPr>
              <w:keepNext/>
              <w:keepLines/>
              <w:tabs>
                <w:tab w:val="decimal" w:pos="907"/>
              </w:tabs>
              <w:spacing w:before="40" w:after="40"/>
              <w:rPr>
                <w:sz w:val="20"/>
                <w:szCs w:val="20"/>
              </w:rPr>
            </w:pPr>
            <w:r>
              <w:rPr>
                <w:sz w:val="20"/>
                <w:szCs w:val="20"/>
              </w:rPr>
              <w:t>2 429</w:t>
            </w:r>
          </w:p>
        </w:tc>
        <w:tc>
          <w:tcPr>
            <w:tcW w:w="1276" w:type="dxa"/>
            <w:vAlign w:val="center"/>
          </w:tcPr>
          <w:p w:rsidR="00000000" w:rsidRDefault="00000000">
            <w:pPr>
              <w:keepNext/>
              <w:keepLines/>
              <w:tabs>
                <w:tab w:val="decimal" w:pos="794"/>
              </w:tabs>
              <w:spacing w:before="40" w:after="40"/>
              <w:rPr>
                <w:sz w:val="20"/>
                <w:szCs w:val="20"/>
              </w:rPr>
            </w:pPr>
            <w:r>
              <w:rPr>
                <w:sz w:val="20"/>
                <w:szCs w:val="20"/>
              </w:rPr>
              <w:t>1 612</w:t>
            </w:r>
          </w:p>
        </w:tc>
        <w:tc>
          <w:tcPr>
            <w:tcW w:w="1276" w:type="dxa"/>
            <w:vAlign w:val="center"/>
          </w:tcPr>
          <w:p w:rsidR="00000000" w:rsidRDefault="00000000">
            <w:pPr>
              <w:keepNext/>
              <w:keepLines/>
              <w:tabs>
                <w:tab w:val="decimal" w:pos="794"/>
              </w:tabs>
              <w:spacing w:before="40" w:after="40"/>
              <w:rPr>
                <w:sz w:val="20"/>
                <w:szCs w:val="20"/>
              </w:rPr>
            </w:pPr>
            <w:r>
              <w:rPr>
                <w:sz w:val="20"/>
                <w:szCs w:val="20"/>
              </w:rPr>
              <w:t>32</w:t>
            </w:r>
          </w:p>
        </w:tc>
        <w:tc>
          <w:tcPr>
            <w:tcW w:w="1417" w:type="dxa"/>
            <w:vAlign w:val="center"/>
          </w:tcPr>
          <w:p w:rsidR="00000000" w:rsidRDefault="00000000">
            <w:pPr>
              <w:keepNext/>
              <w:keepLines/>
              <w:tabs>
                <w:tab w:val="decimal" w:pos="794"/>
              </w:tabs>
              <w:spacing w:before="40" w:after="40"/>
              <w:rPr>
                <w:sz w:val="20"/>
                <w:szCs w:val="20"/>
              </w:rPr>
            </w:pPr>
            <w:r>
              <w:rPr>
                <w:sz w:val="20"/>
                <w:szCs w:val="20"/>
              </w:rPr>
              <w:t>9</w:t>
            </w:r>
          </w:p>
        </w:tc>
        <w:tc>
          <w:tcPr>
            <w:tcW w:w="1134" w:type="dxa"/>
            <w:vAlign w:val="center"/>
          </w:tcPr>
          <w:p w:rsidR="00000000" w:rsidRDefault="00000000">
            <w:pPr>
              <w:keepNext/>
              <w:keepLines/>
              <w:tabs>
                <w:tab w:val="decimal" w:pos="624"/>
              </w:tabs>
              <w:spacing w:before="40" w:after="40"/>
              <w:rPr>
                <w:sz w:val="20"/>
                <w:szCs w:val="20"/>
              </w:rPr>
            </w:pPr>
            <w:r>
              <w:rPr>
                <w:sz w:val="20"/>
                <w:szCs w:val="20"/>
              </w:rPr>
              <w:t>--</w:t>
            </w:r>
          </w:p>
        </w:tc>
      </w:tr>
    </w:tbl>
    <w:p w:rsidR="00000000" w:rsidRDefault="00000000">
      <w:pPr>
        <w:pStyle w:val="112"/>
      </w:pPr>
      <w:r>
        <w:t>94.</w:t>
      </w:r>
      <w:r>
        <w:tab/>
        <w:t>В соответствии с Разделом 19 этого Закона соответствующее правительство уполномочено назначать инспектора по обеспечению его выполнения.  Вместе с тем анализ имеющейся информации показал, что в большинстве штатов/союзных территорий рассматривается вопрос о создании механизма, предназначенного исключительно для обеспечения выполнения этого Закона, но в обязанности сотрудников инспекций, назначаемых в соответствии с другими законами о труде, такими как Закон о фабриках, Закон о магазинах и торговых учреждениях и т. п., также входит обеспечение соблюдения этого Закона.  В некоторых штатах сотрудники Департамента труда, Департамента сельского хозяйства и т. д. также были объявлены инспекторами по должности.  Однако правительства не всех штатов и союзных территорий назначили штатных инспекторов для обеспечения соблюдения этого Закона.</w:t>
      </w:r>
    </w:p>
    <w:p w:rsidR="00000000" w:rsidRDefault="00000000">
      <w:pPr>
        <w:pStyle w:val="112"/>
        <w:spacing w:before="220"/>
      </w:pPr>
      <w:r>
        <w:t>95.</w:t>
      </w:r>
      <w:r>
        <w:tab/>
        <w:t>Закон 1936 года о выплате зарплат был принят в целях обеспечения того, чтобы зарплата, причитающаяся работающим лицам, охватываемым этим Законом, выплачивалась работодателями в установленные сроки и чтобы из нее не производилось никаких вычетов, не предусмотренных законом.  В настоящее время этот Закон применяется только к тем лицам, чья зарплата ниже 1600 рупий в месяц.  16 мая 2002 года в Совет штатов (Раджья Сабха) был внесен на рассмотрение законопроект, озаглавленный "О выплате зарплат (поправка) 2002 года", предусматривающий повышение порога зарплаты до 6500 рупий, а также устранение некоторых других двусмысленностей и недостатков.  Рекомендации Постоянного комитета рассматриваются в настоящее время правительством.</w:t>
      </w:r>
    </w:p>
    <w:p w:rsidR="00000000" w:rsidRDefault="00000000">
      <w:pPr>
        <w:pStyle w:val="112"/>
        <w:spacing w:before="220"/>
      </w:pPr>
      <w:r>
        <w:t>96.</w:t>
      </w:r>
      <w:r>
        <w:tab/>
        <w:t>Закон 1965 года о выплате премий предусматривает порядок выплаты премий наемным работникам, как они определены в данном Законе.  Согласно этому Закону под "наемным работником" понимается любое лицо (кроме ученика), работающее на каком-либо предприятии за зарплату или жалование в размере, не превышающем 3500 рупий в месяц, и выполняющее какую-либо квалифицированную или неквалифицированную, ручную, руководящую, управленческую, административную, техническую или канцелярскую работу за оговоренную плату или денежное вознаграждение.  Вместе с тем в соответствии с Разделом 12 данного Закона размер премий, причитающихся наемным работникам, чья зарплата или жалование превышает 2500 рупий в месяц, должен рассчитываться так, как если бы их зарплата или жалование составляли 2500 рупий в месяц.  Вышеупомянутые потолки зарплаты действуют с 1 апреля 1993 года и в последний раз пересматривались 9 июля 1995 года.</w:t>
      </w:r>
    </w:p>
    <w:p w:rsidR="00000000" w:rsidRDefault="00000000">
      <w:pPr>
        <w:pStyle w:val="112"/>
        <w:spacing w:before="220"/>
      </w:pPr>
      <w:r>
        <w:t>97.</w:t>
      </w:r>
      <w:r>
        <w:tab/>
        <w:t>Политика Индии в области зарплаты направлена также на постепенное повышение уровня зарплат в реальном выражении.  Вследствие роста цен происходит эрозия уровня зарплат в реальном выражении, и поэтому в целях ее предотвращения выплачивается надбавка на покрытие дороговизны, увязываемая с индексом потребительских цен.  Для защиты зарплат от эрозии, вызываемой ростом стоимости жизни, законом предусмотрен пересмотр установленных минимальных размеров зарплаты в разумные промежутки времени, не превышающие пяти лет.  В этой связи тридцать первая сессия Конференции министров труда, состоявшаяся в июле 1980 года, рекомендовала периодически пересматривать размер минимальной зарплаты не менее одного раза в два года или при повышении на 50 пунктов индекса потребительских цен.  Эта рекомендация была подтверждена на тридцать шестой сессии Конференции министров труда, состоявшейся в мае 1987 года.  В настоящее время индекс потребительских цен для рабочих промышленности 70 центров по всей Индии и для шести дополнительных центров (за базу = 100  взят 1982 год) рассчитывается на основе уровня дохода семьи рабочих с учетом результатов обследований расходов, проведенных в 1981–1982 годах.  Помимо организованного сектора, надбавка на покрытие дороговизны выплачивается также работникам неорганизованного сектора как часть минимальной зарплаты.  Размер этой надбавки пересматривается каждые шесть месяцев в зависимости от изменения индекса.  Таким образом предотвращается эрозия покупательной способности трудящихся неорганизованного сектора.  Минимальная зарплата включает в себя также специальную надбавку – скользящую надбавку на покрытие дороговизны (СНД), привязанную к индексу потребительских цен и пересматриваемую в апреле и октябре каждого года. В соответствии с законом размер зарплат пересматривается не реже одного раза в пять лет. Последний раз размер минимальных зарплат пересматривался для лиц, работающих в сфере центрального правительства на различных горнодобывающих и строительных предприятиях или занимающихся техническим обслуживанием, ремонтом дорог и транспортных путей или осуществляющих строительные работы, включая прокладку подземных кабелей электрической, беспроводной, радио-, телевизионной, телефонной, телеграфной и международной связи, а также другие аналогичные подземные работы по прокладке кабеля, линий электросвязи, линий водоснабжения, канализационных систем в соответствии с постановлениями штатов № 113 (Е) от 3 января 2002 года и № 113 (Е) от 28 января 2002 года, соответственно.</w:t>
      </w:r>
    </w:p>
    <w:p w:rsidR="00000000" w:rsidRDefault="00000000">
      <w:pPr>
        <w:pStyle w:val="112"/>
        <w:spacing w:before="260"/>
      </w:pPr>
      <w:r>
        <w:t>98.</w:t>
      </w:r>
      <w:r>
        <w:tab/>
        <w:t xml:space="preserve">Подробная информация по пункту 15 </w:t>
      </w:r>
      <w:r>
        <w:rPr>
          <w:lang w:val="en-US"/>
        </w:rPr>
        <w:t>b</w:t>
      </w:r>
      <w:r>
        <w:t>) Компиляции Руководящих принципов в отношении формы и содержания докладов, представляемых государствами – участниками международных договоров по правам человека (HRI/GEN/2/Rev.1), содержится в первоначальном докладе Индии об осуществлении МПЭСКП за 1986 год (E/1984/6/Add.13).  В настоящем же докладе приводится дополнительная информация о последних событиях, а также информация, представляемая в соответствии с требованиями вышеупомянутых Руководящих принципов.</w:t>
      </w:r>
    </w:p>
    <w:p w:rsidR="00000000" w:rsidRDefault="00000000">
      <w:pPr>
        <w:pStyle w:val="112"/>
        <w:spacing w:before="260"/>
      </w:pPr>
      <w:r>
        <w:t>99.</w:t>
      </w:r>
      <w:r>
        <w:tab/>
        <w:t xml:space="preserve">При разработке индийских законов и мер политики, касающихся установления размеров заработной платы, учитывались потребности трудящихся и их семей, а также экономические факторы.  Различные комитеты и комиссии обсуждали вопрос о необходимости введения понятия национального минимального размера зарплаты, ниже которого ни одному работодателю не будет разрешено нанимать какого-либо работника в стране.  Первая Национальная комиссия по вопросам труда пришла к выводу о том, что введение национального минимума заработной платы как единообразного минимального денежного вознаграждения по всей стране не является ни осуществимой, ни желательной мерой.  В случае установления этого минимума на более или менее оптимистическом уровне возникает опасность, что появятся сферы, которые не смогут предложить минимальную заработную плату.  Комиссия отметила также трудности с введением  национального минимума заработной платы, связанные с существенными различиями в моделях потребления жителей различных регионов, широким разнообразием используемых ими видов продукции, межрегиональными различиями цен и т. д.  С учетом этого Комиссия предложила, чтобы в различных однородных регионах в каждом штате был обозначен региональный минимальный размер зарплаты.  Вместе с тем в 1978 году Комитет Бхутлингема – Рабочая группа по вопросам зарплат, доходов и цен – не согласился с рекомендациями первой Национальной комиссии по вопросам труда и заявил, что минимальным уровнем зарплаты в реальном выражении может быть только не зависящий от конкретной отрасли, региона или штата абсолютный национальный минимум, ниже которого не будет разрешаться нанимать работников.  Эта Группа отметила также, что при определении такого национального минимального размера заработной платы во внимание должны быть приняты несколько следующих соображений:  а)  национальный доход на душу населения, скорректированный с учетом доли рабочей силы в общей численности населения;  </w:t>
      </w:r>
      <w:r>
        <w:rPr>
          <w:lang w:val="en-US"/>
        </w:rPr>
        <w:t>b</w:t>
      </w:r>
      <w:r>
        <w:t>)  средний уровень национального дохода на потребительскую единицу;  и с)  объем потребительских расходов на душу населения в сельской местности.  Она рекомендовала поставить задачу выйти на национальный минимальный уровень заработной платы в размере 150 рупий в месяц в ценах 1978 года в течение семи лет, причем плата за восемь часов неквалифицированной работы должна составлять не менее 4 рупий в день и не менее 100 рупий в месяц и должна пересматриваться каждые два года, с тем чтобы достичь эту цель.  В отношении сельскохозяйственного сектора Группа сочла, что желательный минимальный уровень дохода домашних хозяйств в сельской местности представляется более значимой концепцией в силу нерегулярного и сезонного характера труда, а также нестабильности и разнообразия источников дохода в сельской местности.</w:t>
      </w:r>
    </w:p>
    <w:p w:rsidR="00000000" w:rsidRDefault="00000000">
      <w:pPr>
        <w:pStyle w:val="112"/>
        <w:spacing w:before="0" w:after="240"/>
      </w:pPr>
      <w:r>
        <w:t>100.</w:t>
      </w:r>
      <w:r>
        <w:tab/>
        <w:t xml:space="preserve"> В 1991 году Национальная комиссия по вопросам труда в сельской местности, созданная под председательством д-ра К.Х. Ханумантха Рао, высказала настоятельную рекомендацию об установлении национального минимального размера заработной платы для сельских тружеников и утвердила следующие принципы для установления минимальной зарплаты:</w:t>
      </w:r>
    </w:p>
    <w:p w:rsidR="00000000" w:rsidRDefault="00000000">
      <w:pPr>
        <w:pStyle w:val="112"/>
        <w:spacing w:before="0" w:after="240"/>
        <w:ind w:left="1134" w:hanging="1134"/>
      </w:pPr>
      <w:r>
        <w:tab/>
        <w:t>а)</w:t>
      </w:r>
      <w:r>
        <w:tab/>
        <w:t>учет стоимости жизни в смысле минимального прожиточного уровня для работника и трех взрослых членов его семьи, и</w:t>
      </w:r>
    </w:p>
    <w:p w:rsidR="00000000" w:rsidRDefault="00000000">
      <w:pPr>
        <w:pStyle w:val="112"/>
        <w:spacing w:before="0" w:after="240"/>
      </w:pPr>
      <w:r>
        <w:tab/>
      </w:r>
      <w:r>
        <w:rPr>
          <w:lang w:val="en-US"/>
        </w:rPr>
        <w:t>b</w:t>
      </w:r>
      <w:r>
        <w:t>)</w:t>
      </w:r>
      <w:r>
        <w:tab/>
        <w:t>минимальный размер заработной платы должен быть одинаковым для всех видов работы.</w:t>
      </w:r>
    </w:p>
    <w:p w:rsidR="00000000" w:rsidRDefault="00000000">
      <w:pPr>
        <w:pStyle w:val="112"/>
      </w:pPr>
      <w:r>
        <w:t>101.</w:t>
      </w:r>
      <w:r>
        <w:tab/>
        <w:t>Таким образом, вопрос о национальном минимальном размере заработной платы в прошлом рассматривался на различных уровнях.  Вместе с тем правительства штатов/союзных территорий не единодушны в вопросе о необходимости установления национального минимального размера заработной платы, поскольку социально-экономические условия в каждом штате, в каждом регионе, а также в каждой отрасли промышленности отличаются друг от друга в силу различных географических, топографических и агроклиматических факторов.  Учитывая отсутствие единообразия в минимальных уровнях заработной платы, центральное правительство взяло на вооружение концепцию национального минимального нижнего предела заработной платы и установило его в размере 35 рупий в день на 1996 год с учетом рекомендации Национальной комиссии по вопросам труда, высказанной в 1991 году, и последующего роста уровня цен.  В 1998 году центральное правительство повысило нижний предел национальной минимальной заработной платы до 40 рупий в день на 1998 год и затем до 45 рупий по состоянию на 1 декабря 1999</w:t>
      </w:r>
      <w:r>
        <w:rPr>
          <w:lang w:val="en-US"/>
        </w:rPr>
        <w:t> </w:t>
      </w:r>
      <w:r>
        <w:t>года с учетом повышения индекса потребительских цен.  Затем национальный нижний предел минимальной заработной платы был опять повышен до 50 рупий в день по состоянию на 1 сентября 2002 года, поскольку индекс потребительских цен увеличился с 438 в ноябре 1999</w:t>
      </w:r>
      <w:r>
        <w:rPr>
          <w:lang w:val="en-US"/>
        </w:rPr>
        <w:t> </w:t>
      </w:r>
      <w:r>
        <w:t xml:space="preserve">года до 484 в августе 2002 года.  Министр труда обратился с просьбой к правительствам всех штатов/союзных территорий обеспечить установление минимального размера заработной платы для всех штатных должностей на уровне не ниже 50 рупий в день.  Пока что это является своего рода национальным минимальным уровнем заработной платы.  И, следовательно, может случиться, что до тех пор, пока не будет разработана концепция национальной минимальной заработной платы, этот нижний предел минимальной заработной платы будет рассматриваться как действующий национальный минимальный размер заработной платы.  Недавно вторая Национальная комиссия по вопросам труда (2002 год) также рекомендовала установить национальный минимальный размер заработной платы. </w:t>
      </w:r>
    </w:p>
    <w:p w:rsidR="00000000" w:rsidRDefault="00000000">
      <w:pPr>
        <w:pStyle w:val="112"/>
        <w:spacing w:before="260"/>
        <w:rPr>
          <w:rStyle w:val="111"/>
        </w:rPr>
      </w:pPr>
      <w:r>
        <w:rPr>
          <w:rStyle w:val="111"/>
        </w:rPr>
        <w:t>102.</w:t>
      </w:r>
      <w:r>
        <w:rPr>
          <w:rStyle w:val="111"/>
        </w:rPr>
        <w:tab/>
        <w:t>При определении размеров зарплаты Верховный суд Индии также руководствовался существующими на этот счет концепциями, добросовестно пытаясь их прояснить, и подчеркивал необходимость  постепенного повышения уровня зарплаты.  Принципы определения размеров зарплаты, рекомендованные Комитетом по вопросам справедливой оплаты труда, время от времени оказывали существенное влияние на решения, принимаемые Судом.  Во многих спорах по вопросам заработной платы Верховный суд принимал решения, закреплявшие единообразные принципы установления уровня зарплаты, и эти принципы стали составными элементами политики Индии в области заработной платы.  К настоящему времени в ряде решений трибуналов и судов</w:t>
      </w:r>
      <w:r>
        <w:rPr>
          <w:rStyle w:val="FootnoteReference"/>
        </w:rPr>
        <w:footnoteReference w:customMarkFollows="1" w:id="18"/>
        <w:t>17</w:t>
      </w:r>
      <w:r>
        <w:rPr>
          <w:rStyle w:val="111"/>
        </w:rPr>
        <w:t xml:space="preserve"> признано, что базисом для установления размеров зарплаты является отрасль промышленности вкупе с регионом.  При определении размеров заработной платы и надбавки на покрытие дороговизны во внимание принимаются различные факторы, а именно:  i)  масштабы данной производственной деятельности;  ii)  размер получаемой прибыли;  iii)  численность рабочей силы;  iv)  профиль деятельности;  v)  статус компании;  vi)  характер ее структуры заработной платы.  Некоторые из этих судебных решений заслуживают особого упоминания.</w:t>
      </w:r>
    </w:p>
    <w:p w:rsidR="00000000" w:rsidRDefault="00000000">
      <w:pPr>
        <w:pStyle w:val="112"/>
        <w:spacing w:before="260"/>
        <w:rPr>
          <w:rStyle w:val="111"/>
        </w:rPr>
      </w:pPr>
      <w:r>
        <w:rPr>
          <w:rStyle w:val="111"/>
        </w:rPr>
        <w:t>103.</w:t>
      </w:r>
      <w:r>
        <w:rPr>
          <w:rStyle w:val="111"/>
        </w:rPr>
        <w:tab/>
        <w:t xml:space="preserve">В деле </w:t>
      </w:r>
      <w:r>
        <w:rPr>
          <w:i/>
        </w:rPr>
        <w:t>Crown Aluminum Works v. their Workmen 1958 I LLJ 1</w:t>
      </w:r>
      <w:r>
        <w:rPr>
          <w:rStyle w:val="111"/>
        </w:rPr>
        <w:t>, конкретно касающемся вопроса о платежеспособности, Верховный суд заявил, что "существует, однако, один принцип, не допускающий никаких исключений.  Никакое промышленное предприятие не имеет права на существование, если оно не в состоянии выплачивать своим работникам хотя бы скромную минимальную заработную плату.  Вполне вероятно, что в слаборазвитых странах, где широко распространена безработица, неорганизованную рабочую силу можно нанять за нищенскую заработную плату…  Если же какой-либо работодатель не может обеспечивать работу своего предприятия без урезания зарплаты своих работников ниже уровня даже скудного прожиточного минимума или минимальной заработной платы, то он не должен иметь право на управление своим предприятием в этих условиях".</w:t>
      </w:r>
    </w:p>
    <w:p w:rsidR="00000000" w:rsidRDefault="00000000">
      <w:pPr>
        <w:pStyle w:val="112"/>
        <w:rPr>
          <w:rStyle w:val="111"/>
        </w:rPr>
      </w:pPr>
      <w:r>
        <w:rPr>
          <w:rStyle w:val="111"/>
        </w:rPr>
        <w:t>104.</w:t>
      </w:r>
      <w:r>
        <w:rPr>
          <w:rStyle w:val="111"/>
        </w:rPr>
        <w:tab/>
        <w:t xml:space="preserve">В деле </w:t>
      </w:r>
      <w:r>
        <w:rPr>
          <w:i/>
        </w:rPr>
        <w:t xml:space="preserve">M/S Unichem Laboratories Ltd. v. their Workmen, 1972 I LLJ 576, 590 </w:t>
      </w:r>
      <w:r>
        <w:rPr>
          <w:rStyle w:val="111"/>
          <w:i/>
          <w:iCs/>
        </w:rPr>
        <w:t>и</w:t>
      </w:r>
      <w:r>
        <w:rPr>
          <w:i/>
        </w:rPr>
        <w:t xml:space="preserve"> 591</w:t>
      </w:r>
      <w:r>
        <w:rPr>
          <w:iCs/>
        </w:rPr>
        <w:t>,</w:t>
      </w:r>
      <w:r>
        <w:rPr>
          <w:rStyle w:val="111"/>
        </w:rPr>
        <w:t xml:space="preserve"> Верховный суд отметил следующее:  "При установлении размеров зарплаты и надбавки на покрытие дороговизны существует четкое юридическое положение о том, что это должно делаться на базе отрасли промышленности вкупе с регионом с должным учетом финансовых возможностей данного предприятия…  При пересмотре структуры заработной платы и выплате надбавки на покрытие дороговизны в судебных решениях по производственным спорам должно всегда учитываться дополнительное бремя, ложащееся на работодателя, и устанавливаться, что этот работодатель сможет разумным образом вынести такое бремя…".  Как отмечалось в деле </w:t>
      </w:r>
      <w:r>
        <w:rPr>
          <w:i/>
        </w:rPr>
        <w:t>Greaves Cotton and Co. and others v. Their Workmen, (1964) 5 SCR 362</w:t>
      </w:r>
      <w:r>
        <w:rPr>
          <w:rStyle w:val="111"/>
        </w:rPr>
        <w:t>, одним из принципов, которого необходимо придерживаться при установлении размеров зарплат и надбавки, является то, что трибунал должен учитывать шкалу зарплат и надбавок, преобладающую на аналогичных предприятиях в той же самой отрасли промышленности в данном регионе…".</w:t>
      </w:r>
    </w:p>
    <w:p w:rsidR="00000000" w:rsidRDefault="00000000">
      <w:pPr>
        <w:pStyle w:val="112"/>
        <w:rPr>
          <w:rStyle w:val="111"/>
        </w:rPr>
      </w:pPr>
      <w:r>
        <w:rPr>
          <w:rStyle w:val="111"/>
        </w:rPr>
        <w:t>105.</w:t>
      </w:r>
      <w:r>
        <w:rPr>
          <w:rStyle w:val="111"/>
        </w:rPr>
        <w:tab/>
        <w:t xml:space="preserve">По вопросу о составных частях минимальной заработной платы в деле </w:t>
      </w:r>
      <w:r>
        <w:rPr>
          <w:i/>
        </w:rPr>
        <w:t>Unichoyi v. State of Kerala, 1961 – I LLJ 631</w:t>
      </w:r>
      <w:r>
        <w:rPr>
          <w:iCs/>
        </w:rPr>
        <w:t>,</w:t>
      </w:r>
      <w:r>
        <w:rPr>
          <w:rStyle w:val="111"/>
        </w:rPr>
        <w:t xml:space="preserve"> Верховный суд разъяснил, какие компоненты должны составлять минимальную заработную плату, и заявил:  "Следовательно, рассматривать вопрос о том, какими именно являются составные части минимальной заработной платы, необходимо в контексте данного Закона. Как показали данные, полученные Комитетом по вопросам справедливой заработной платы, некоторые свидетели были склонны полагать, что минимальная заработная плата – это плата, достаточная для покрытия элементарных физических потребностей какого-либо трудящегося и его семьи, в то время как подавляющее большинство свидетелей согласилось с тем, что минимальная заработная плата должна также обеспечивать некоторые другие существенные потребности, как, например, минимальное образование, медицинские услуги и другие виды социально-бытовых услуг.  С другой стороны, поскольку способность работодателя выплачивать заработную плату рассматривается как не относящийся к делу фактор, правилом должно быть то, что в составные части минимальной заработной платы не должно вноситься никаких коррективов ниже самого низкого размера справедливой заработной платы.  Содержание этой концепции должно обеспечивать наемному работнику не только средства к существованию его самого и его семьи, но и служить также сохранению его дееспособности как трудящегося".</w:t>
      </w:r>
    </w:p>
    <w:p w:rsidR="00000000" w:rsidRDefault="00000000">
      <w:pPr>
        <w:pStyle w:val="112"/>
        <w:rPr>
          <w:rStyle w:val="111"/>
        </w:rPr>
      </w:pPr>
      <w:r>
        <w:rPr>
          <w:rStyle w:val="111"/>
        </w:rPr>
        <w:t>106.</w:t>
      </w:r>
      <w:r>
        <w:rPr>
          <w:rStyle w:val="111"/>
        </w:rPr>
        <w:tab/>
        <w:t xml:space="preserve">По вопросу о принципе "отрасль промышленности вкупе с регионом" в деле </w:t>
      </w:r>
      <w:r>
        <w:rPr>
          <w:i/>
        </w:rPr>
        <w:t>French Motor Car Company Ltd. v. their Workmen, 1962 II LLJ 744</w:t>
      </w:r>
      <w:r>
        <w:rPr>
          <w:rStyle w:val="111"/>
        </w:rPr>
        <w:t>, суд постановил, что "в настоящее время широко принято, чтобы  принцип "отрасль вкупе с регионом" применялся в судах по производственным спорам и при рассмотрении вопросов, подобных структуре заработной платы, надбавке на покрытие дороговизны или аналогичным условиям труда.  При применении этого принципа суды по производственным спорам должны сравнивать шкалу зарплат, преобладающую на аналогичных предприятиях в данном регионе, и в целом эти предприятия должны находиться в той же сфере бизнеса, что и предприятие, в отношении которого спор рассматривается в суде".</w:t>
      </w:r>
    </w:p>
    <w:p w:rsidR="00000000" w:rsidRDefault="00000000">
      <w:pPr>
        <w:pStyle w:val="112"/>
      </w:pPr>
      <w:r>
        <w:t>107.</w:t>
      </w:r>
      <w:r>
        <w:tab/>
        <w:t>Подкомитет "D" Постоянного комитета министров труда рекомендовал в 1981 году, чтобы уровень минимальной заработной платы не был ниже черты бедности.  В докладе Комитета госсекретарей (1981 год) также было рекомендовано устанавливать минимальную заработную плату в таком размере, чтобы она позволяла поддерживать потребление на уровне выше черты бедности трех взрослых членов семьи (потребительских единиц), а потребительская корзина обеспечивала бы в день на душу населения 2400 калорий в сельской местности и 2100 калорий в городских зонах, а также приобретение одежды, жилья, топлива, свет, образование и т. п.  Концепция трех потребительских единиц получила поддержку и в докладе Национальной комиссии по вопросам труда в сельской местности (1991 год).</w:t>
      </w:r>
    </w:p>
    <w:p w:rsidR="00000000" w:rsidRDefault="00000000">
      <w:pPr>
        <w:pStyle w:val="112"/>
      </w:pPr>
      <w:r>
        <w:t>108.</w:t>
      </w:r>
      <w:r>
        <w:tab/>
        <w:t>Комиссии центрального правительства по вопросам зарплаты применяют иные подходы при определении размеров минимальной заработной платы для государственных служащих, а именно:  i)  подход, основанный на учете потребностей;  ii)  подход с учетом платежеспособности;  iii)  подход с учетом количества родственников;  iv)  подход с учетом оценки результатов работы;  v)  подход с учетом производительности труда;  vi)  подход с учетом прожиточного минимума.</w:t>
      </w:r>
    </w:p>
    <w:p w:rsidR="00000000" w:rsidRDefault="00000000">
      <w:pPr>
        <w:pStyle w:val="112"/>
        <w:spacing w:before="220"/>
      </w:pPr>
      <w:r>
        <w:t>109.</w:t>
      </w:r>
      <w:r>
        <w:tab/>
        <w:t>Пятая Комиссия по вопросам зарплаты, сравнив положение работников в государственном и частном секторах различных штатов, использовала видоизмененную версию критерия постоянного относительного дохода и установила сумму в 2440 рупий в качестве самого низкого размера оклада, выплачиваемого самому низкооплачиваемому сотруднику системы учреждений центрального правительства.  Это означало более чем трехкратное увеличение базовой зарплаты с 750 рупий до 2400 рупий.  По оценке Комиссии, это потребует дополнительных затрат, превышающих сумму в 2941 млн. рупий ежегодно,  для этой категории работников.</w:t>
      </w:r>
    </w:p>
    <w:p w:rsidR="00000000" w:rsidRDefault="00000000">
      <w:pPr>
        <w:pStyle w:val="112"/>
        <w:spacing w:before="220"/>
      </w:pPr>
      <w:r>
        <w:t>110.</w:t>
      </w:r>
      <w:r>
        <w:tab/>
        <w:t>Вторая Комиссия по вопросам труда отметила, что в ряде штатов был проанализирован и пересмотрен размер минимальной заработной платы на штатных должностях, входящих в их ведение.  Сравнение полученных данных выявило тревожные тенденции.  В Сиккиме еще предстоит расширить сферу применения и обеспечить выполнение Закона о минимальной заработной плате.  Только 19 штатов/союзных территорий обеспечили выплату скользящей надбавки на покрытие дороговизны (СНД) как части минимальной заработной платы для небольшого количества или всех штатных сотрудников.  Размеры заработной платы варьируются от штата к штату.  Комиссия выразила обеспокоенность в связи с большим неравенством в размере зарплат, позволяющим заключить, что различные правительства используют разные критерии при установлении уровня минимальной заработной платы.</w:t>
      </w:r>
    </w:p>
    <w:p w:rsidR="00000000" w:rsidRDefault="00000000">
      <w:pPr>
        <w:pStyle w:val="112"/>
        <w:spacing w:before="220"/>
        <w:rPr>
          <w:rStyle w:val="111"/>
        </w:rPr>
      </w:pPr>
      <w:r>
        <w:rPr>
          <w:rStyle w:val="111"/>
        </w:rPr>
        <w:t>111.</w:t>
      </w:r>
      <w:r>
        <w:rPr>
          <w:rStyle w:val="111"/>
        </w:rPr>
        <w:tab/>
        <w:t>Характер и природа неформального, или неорганизованного, сектора претерпевают радикальные изменения.  Происходит движение от постоянной к случайной, контрактной, временной работе, от производства в масштабах предприятия к надомному производству, от преобладания мужчин к преобладанию женщин в сфере интенсивного труда, от регулируемых к нерегулируемым формам труда.  Индия подписала Конвенцию МОТ 1928 года о процедуре установления минимальной заработной платы (№ 26) еще в 1955 году.  Она согласилась взять на себя обязательство о выплате минимальной заработной платы своим трудящимся.  Вторая Комиссия по вопросам труда в своем докладе сделала большой акцент на вопросе о минимальной заработной плате в неорганизованном секторе.  Она рекомендовала также, чтобы правительства штатов конкретно определили размер минимальной заработной платы для всех неквалифицированных работников и чтобы эти зарплаты были одинаковыми для всех отраслей.  Существует размер минимальной заработной платы, установленный с учетом потребностей, и он должен быть таким же для всех работников независимо от того, где они трудятся.  Эта зарплата должна выплачиваться независимо от платежеспособности работодателя</w:t>
      </w:r>
      <w:r>
        <w:rPr>
          <w:rStyle w:val="FootnoteReference"/>
        </w:rPr>
        <w:footnoteReference w:customMarkFollows="1" w:id="19"/>
        <w:t>18</w:t>
      </w:r>
      <w:r>
        <w:rPr>
          <w:rStyle w:val="111"/>
        </w:rPr>
        <w:t>.</w:t>
      </w:r>
    </w:p>
    <w:p w:rsidR="00000000" w:rsidRDefault="00000000">
      <w:pPr>
        <w:pStyle w:val="112"/>
        <w:spacing w:before="220"/>
      </w:pPr>
      <w:r>
        <w:t>112.</w:t>
      </w:r>
      <w:r>
        <w:tab/>
        <w:t xml:space="preserve">В настоящее время правительство Индии рассматривает предложение о принятии всеобъемлющего нормативно-правового акта по вопросам социального обеспечения трудящихся неорганизованного сектора.  Однако из-за отсутствия консенсуса между правительствами штатов по различным положениям законопроекта рассмотрение этого вопроса не продвигается вперед.  </w:t>
      </w:r>
    </w:p>
    <w:p w:rsidR="00000000" w:rsidRDefault="00000000">
      <w:pPr>
        <w:jc w:val="both"/>
        <w:rPr>
          <w:b/>
          <w:bCs/>
          <w:sz w:val="24"/>
        </w:rPr>
      </w:pPr>
    </w:p>
    <w:p w:rsidR="00000000" w:rsidRDefault="00000000">
      <w:pPr>
        <w:jc w:val="both"/>
        <w:rPr>
          <w:b/>
          <w:bCs/>
          <w:sz w:val="22"/>
          <w:szCs w:val="22"/>
        </w:rPr>
      </w:pPr>
      <w:r>
        <w:rPr>
          <w:b/>
          <w:bCs/>
          <w:sz w:val="22"/>
          <w:szCs w:val="22"/>
        </w:rPr>
        <w:t xml:space="preserve">Раздел </w:t>
      </w:r>
      <w:r>
        <w:rPr>
          <w:b/>
          <w:bCs/>
          <w:sz w:val="22"/>
          <w:szCs w:val="22"/>
          <w:lang w:val="en-US"/>
        </w:rPr>
        <w:t>III</w:t>
      </w:r>
    </w:p>
    <w:p w:rsidR="00000000" w:rsidRDefault="00000000">
      <w:pPr>
        <w:jc w:val="both"/>
        <w:rPr>
          <w:b/>
          <w:bCs/>
          <w:sz w:val="22"/>
          <w:szCs w:val="22"/>
        </w:rPr>
      </w:pPr>
    </w:p>
    <w:p w:rsidR="00000000" w:rsidRDefault="00000000">
      <w:pPr>
        <w:jc w:val="both"/>
        <w:rPr>
          <w:b/>
          <w:bCs/>
          <w:sz w:val="22"/>
          <w:szCs w:val="22"/>
        </w:rPr>
      </w:pPr>
      <w:r>
        <w:rPr>
          <w:b/>
          <w:bCs/>
          <w:sz w:val="22"/>
          <w:szCs w:val="22"/>
        </w:rPr>
        <w:t>Равная плата за равный труд</w:t>
      </w:r>
    </w:p>
    <w:p w:rsidR="00000000" w:rsidRDefault="00000000">
      <w:pPr>
        <w:jc w:val="both"/>
        <w:rPr>
          <w:sz w:val="22"/>
          <w:szCs w:val="22"/>
        </w:rPr>
      </w:pPr>
    </w:p>
    <w:p w:rsidR="00000000" w:rsidRDefault="00000000">
      <w:pPr>
        <w:pStyle w:val="112"/>
        <w:spacing w:before="0"/>
      </w:pPr>
      <w:r>
        <w:t>113.</w:t>
      </w:r>
      <w:r>
        <w:tab/>
        <w:t>Трудящиеся получают равную плату за равный труд.  Конвенция МОТ 1951 года о равном вознаграждении для мужчин и женщин (№ 100) была ратифицирована правительством Индии в 1958 году.  В целях претворения в жизнь положений Конституции и обеспечения выполнения Конвенции МОТ № 100 в 1976 году был принят Закон о равном вознаграждении.  В связи с этим законом штаты/союзные территории назначили компетентные органы, а также учредили консультативные комитеты по обеспечению его выполнения.  Положение с осуществлением Закона о равном вознаграждении регулярно контролируется министерством и Центральным консультативным комитетом.  В порядке наблюдения за осуществлением этого закона правительства штатов должны ежегодно представлять свои отчеты специальному отделу министерства.  В большинстве случаев эти отчеты не  воодушевляют.</w:t>
      </w:r>
    </w:p>
    <w:p w:rsidR="00000000" w:rsidRDefault="00000000">
      <w:pPr>
        <w:pStyle w:val="112"/>
      </w:pPr>
      <w:r>
        <w:t>114.</w:t>
      </w:r>
      <w:r>
        <w:tab/>
        <w:t xml:space="preserve">С учетом фактического положения в стране сразу во всех секторах экономики Индии невозможно проводить одинаковую и всеобъемлющую политику в области зарплаты.  Размеры заработной платы в организованном секторе определяются путем переговоров и в рамках соглашений между работодателями и наемными работниками.  В неорганизованном секторе рабочая сила подвержена риску эксплуатации из-за неграмотности и отсутствия эффективных полномочий для ведения переговоров.  Вторая Комиссия по вопросам труда в своем докладе отметила, что на рынке труда наблюдается растущее неравенство, и в том числе разрыв в уровнях зарплаты среди различных групп и различных секторов экономики.  Существуют также большие различия в уровне зарплат между отраслями и внутри отраслей.  В разных секторах экономики работник может получать различную зарплату, хотя он, возможно, выполняет ту же самую работу.  Даже внутри одной и той же отрасли различные предприятия могут выплачивать разную зарплату работникам, которые обладают одинаковой квалификацией.  Во-первых, эти различия бывают связаны с родом занятий:  фирмы, которые выплачивают профессиональным специалистам премию в размере, превышающем средний рыночный уровень, также выплачивают менее квалифицированным работникам премию в размере, превышающем средний рыночный уровень по их категории занятий.  Во-вторых, эти различия имеют стойкую тенденцию к сохранению во времени;  предприятия, которые выплачивают премию в данный период, стремятся выплачивать ее и позже.  Этот момент подробно анализировался в вышеупомянутом разделе при рассмотрении вопросов, касающихся установления минимального уровня заработной платы по всей стране.  Правительство Индии продемонстрировало  обеспокоенность в связи с этими проблемами.  </w:t>
      </w:r>
    </w:p>
    <w:p w:rsidR="00000000" w:rsidRDefault="00000000">
      <w:pPr>
        <w:pStyle w:val="112"/>
        <w:rPr>
          <w:rStyle w:val="111"/>
        </w:rPr>
      </w:pPr>
      <w:r>
        <w:rPr>
          <w:rStyle w:val="111"/>
        </w:rPr>
        <w:t>115.</w:t>
      </w:r>
      <w:r>
        <w:rPr>
          <w:rStyle w:val="111"/>
        </w:rPr>
        <w:tab/>
        <w:t>Статья 39 d) Конституции Индии предусматривает, что мужчины и женщины должны получать равную плату за равный труд.  Хотя равная плата за равный труд напрямую не объявлена основополагающим правом, она определенно входит в число конституционных целей, закрепленных в 14, 16 и 39 d) статьях Конституции, и осуществление этого права может обеспечиваться в судебном порядке в случаях неравных шкал зарплаты, основанных на несовершенной классификации.  Этот принцип соблюдался в целом ряде дел и фактически стал основополагающим правом (</w:t>
      </w:r>
      <w:r>
        <w:rPr>
          <w:i/>
        </w:rPr>
        <w:t>D. S. Nakara v. Union of India</w:t>
      </w:r>
      <w:r>
        <w:rPr>
          <w:rStyle w:val="111"/>
        </w:rPr>
        <w:t xml:space="preserve">, AIR 1983 SC 130; </w:t>
      </w:r>
      <w:r>
        <w:rPr>
          <w:i/>
        </w:rPr>
        <w:t>P. K. Ram Chandra Iyer v. Union of India</w:t>
      </w:r>
      <w:r>
        <w:rPr>
          <w:rStyle w:val="111"/>
        </w:rPr>
        <w:t xml:space="preserve">, AIR 1984 SC 541;  </w:t>
      </w:r>
      <w:r>
        <w:rPr>
          <w:i/>
        </w:rPr>
        <w:t>Randhir Singh v. Union of India</w:t>
      </w:r>
      <w:r>
        <w:rPr>
          <w:rStyle w:val="111"/>
        </w:rPr>
        <w:t xml:space="preserve">, AIR 1982 SC 879;  </w:t>
      </w:r>
      <w:r>
        <w:rPr>
          <w:i/>
        </w:rPr>
        <w:t>State of Haryana v. Rajpal Sharma</w:t>
      </w:r>
      <w:r>
        <w:rPr>
          <w:rStyle w:val="111"/>
        </w:rPr>
        <w:t xml:space="preserve">, AIR 1997 SC 449; </w:t>
      </w:r>
      <w:r>
        <w:rPr>
          <w:i/>
        </w:rPr>
        <w:t>State of H. P. v. P. D. Attri</w:t>
      </w:r>
      <w:r>
        <w:rPr>
          <w:rStyle w:val="111"/>
        </w:rPr>
        <w:t>, 1999 3 SCC 217).  Индия приняла нормативно-правовые акты в целях укрепления права на равную плату за равный труд (Закон 1975 года о равной плате за равный труд, Закон 1976 года о равном вознаграждении, Закон 1995 года о равных возможностях, защите прав и полном участии).  Закон 1976 года о равном вознаграждении запрещает дискриминацию между мужчинами и женщинами в плане служебных требований или размеров зарплаты, если выполняемая ими работа идентична, за исключением случаев, когда использование женщин на некоторых видах работ запрещено или ограничено законом.</w:t>
      </w:r>
    </w:p>
    <w:p w:rsidR="00000000" w:rsidRDefault="00000000">
      <w:pPr>
        <w:pStyle w:val="112"/>
      </w:pPr>
      <w:r>
        <w:t>116.</w:t>
      </w:r>
      <w:r>
        <w:tab/>
        <w:t>Время от времени с целью улучшения положения работающих женщин правительствам штатов/союзных территорий рекомендуют позаботиться о более строгом обеспечении выполнения этого закона.  Закон 1976 года о равном вознаграждении признает за следующими организациями социального обеспечения право обращения  в суд с жалобой на работодателей в связи с нарушениями положений этого закона:  Центр исследований по вопросам улучшения положения женщин, Нью-Дели;  Ассоциация самозанятых женщин, Ахмедабад;  Форум трудящихся женщин Индии, Ченнаи;  Институт социальных исследований, Нью-Дели.</w:t>
      </w:r>
    </w:p>
    <w:p w:rsidR="00000000" w:rsidRDefault="00000000">
      <w:pPr>
        <w:pStyle w:val="112"/>
      </w:pPr>
      <w:r>
        <w:t>117.</w:t>
      </w:r>
      <w:r>
        <w:tab/>
        <w:t>В 1987 году под председательством г</w:t>
      </w:r>
      <w:r>
        <w:noBreakHyphen/>
        <w:t>жи Элы Бхатт была учреждена Национальная комиссия по делам самостоятельно занятых женщин и женщин, работающих в неформальном секторе.  В своем докладе эта Комиссия рекомендовала установить разумный размер зарплаты для трудящихся женщин на уровне 500 рупий.</w:t>
      </w:r>
    </w:p>
    <w:p w:rsidR="00000000" w:rsidRDefault="00000000">
      <w:pPr>
        <w:spacing w:before="240"/>
        <w:jc w:val="both"/>
        <w:rPr>
          <w:b/>
          <w:bCs/>
          <w:sz w:val="22"/>
          <w:szCs w:val="22"/>
        </w:rPr>
      </w:pPr>
      <w:r>
        <w:rPr>
          <w:b/>
          <w:bCs/>
          <w:sz w:val="22"/>
          <w:szCs w:val="22"/>
        </w:rPr>
        <w:t xml:space="preserve">Раздел </w:t>
      </w:r>
      <w:r>
        <w:rPr>
          <w:b/>
          <w:bCs/>
          <w:sz w:val="22"/>
          <w:szCs w:val="22"/>
          <w:lang w:val="en-US"/>
        </w:rPr>
        <w:t>IV</w:t>
      </w:r>
    </w:p>
    <w:p w:rsidR="00000000" w:rsidRDefault="00000000">
      <w:pPr>
        <w:jc w:val="both"/>
        <w:rPr>
          <w:b/>
          <w:bCs/>
          <w:sz w:val="22"/>
          <w:szCs w:val="22"/>
        </w:rPr>
      </w:pPr>
    </w:p>
    <w:p w:rsidR="00000000" w:rsidRDefault="00000000">
      <w:pPr>
        <w:jc w:val="both"/>
        <w:rPr>
          <w:b/>
          <w:bCs/>
          <w:sz w:val="22"/>
          <w:szCs w:val="22"/>
        </w:rPr>
      </w:pPr>
      <w:r>
        <w:rPr>
          <w:b/>
          <w:bCs/>
          <w:sz w:val="22"/>
          <w:szCs w:val="22"/>
        </w:rPr>
        <w:t>Условия обеспечения гигиены и охраны труда</w:t>
      </w:r>
    </w:p>
    <w:p w:rsidR="00000000" w:rsidRDefault="00000000">
      <w:pPr>
        <w:jc w:val="both"/>
        <w:rPr>
          <w:sz w:val="22"/>
          <w:szCs w:val="22"/>
        </w:rPr>
      </w:pPr>
    </w:p>
    <w:p w:rsidR="00000000" w:rsidRDefault="00000000">
      <w:pPr>
        <w:pStyle w:val="112"/>
        <w:spacing w:before="0"/>
      </w:pPr>
      <w:r>
        <w:t>118.</w:t>
      </w:r>
      <w:r>
        <w:tab/>
        <w:t xml:space="preserve">Правительство Индии рассматривает задачу обеспечения гигиены и охраны труда как наиболее важный аспект управления предприятиями.  Конституция Индии содержит конкретные положения по этим вопросам.  Согласно статье 24 Конституции, ни один ребенок в возрасте до 14 лет не может быть принят на работу на завод или шахту, а также не может быть занят на любой другой опасной работе.  В пунктах е) и </w:t>
      </w:r>
      <w:r>
        <w:rPr>
          <w:lang w:val="en-US"/>
        </w:rPr>
        <w:t>f</w:t>
      </w:r>
      <w:r>
        <w:t>) статьи 39 предусматривается, что государство должно, в частности, проводить политику, направленную на обеспечение того, чтобы:</w:t>
      </w:r>
    </w:p>
    <w:p w:rsidR="00000000" w:rsidRDefault="00000000">
      <w:pPr>
        <w:pStyle w:val="112"/>
        <w:spacing w:before="180"/>
      </w:pPr>
      <w:r>
        <w:tab/>
        <w:t>е)</w:t>
      </w:r>
      <w:r>
        <w:tab/>
        <w:t>здоровье и силы работников, мужчин и женщин, а также малолетних детей не подвергались злоупотреблениям и чтобы граждане не были вынуждены из-за экономической необходимости обращаться к занятиям, не соответствующим их возрасту или силам;</w:t>
      </w:r>
    </w:p>
    <w:p w:rsidR="00000000" w:rsidRDefault="00000000">
      <w:pPr>
        <w:pStyle w:val="112"/>
        <w:spacing w:before="180"/>
      </w:pPr>
      <w:r>
        <w:tab/>
      </w:r>
      <w:r>
        <w:rPr>
          <w:lang w:val="en-US"/>
        </w:rPr>
        <w:t>f</w:t>
      </w:r>
      <w:r>
        <w:t>)</w:t>
      </w:r>
      <w:r>
        <w:tab/>
        <w:t>дети получали возможности и условия развиваться в необходимых для здоровья условиях и в условиях свободы и достоинства, а детство и юность пользовались защитой от эксплуатации и моральной и материальной заброшенности.</w:t>
      </w:r>
    </w:p>
    <w:p w:rsidR="00000000" w:rsidRDefault="00000000">
      <w:pPr>
        <w:pStyle w:val="112"/>
      </w:pPr>
      <w:r>
        <w:t>119.</w:t>
      </w:r>
      <w:r>
        <w:tab/>
        <w:t>Статья 42 уполномочивает государство принимать меры для обеспечения справедливых и гуманных условий работы и оказания помощи матерям.</w:t>
      </w:r>
    </w:p>
    <w:p w:rsidR="00000000" w:rsidRDefault="00000000">
      <w:pPr>
        <w:pStyle w:val="112"/>
      </w:pPr>
      <w:r>
        <w:t>120.</w:t>
      </w:r>
      <w:r>
        <w:tab/>
        <w:t>Время от времени в Индии принимались различные законы по соответствующим вопросам, связанным с обеспечением безопасности и гигиены труда работников, в том числе:  Закон 1948 года о фабриках и сопутствующие правила;  Закон 1952  года о горнодобывающих предприятиях;  Положения 1957  года об угольных шахтах;  Положение 1961 года о предприятиях  по добыче железной руды;  Положение 1933 года об индийских нефтяных скважинах;  Правила деятельности горнодобывающих предприятий 1955 года;  Закон 1910 года об электроэнергетической системе Индии;  Правила деятельности электроэнергетической системы Индии 1956 года;  Правила работы детских садов при горнодобывающих предприятиях 1966 года;  Правила проведения горноспасательных работ 1959 года;  Правила организации работы душевых на угольных шахтах 1959 года;  Закон 1938 года о найме на работу детей и Закон 1937 года о нерегулируемых фабриках в центральных провинциях (</w:t>
      </w:r>
      <w:r>
        <w:rPr>
          <w:lang w:val="en-US"/>
        </w:rPr>
        <w:t>XXI</w:t>
      </w:r>
      <w:r>
        <w:t>).</w:t>
      </w:r>
    </w:p>
    <w:p w:rsidR="00000000" w:rsidRDefault="00000000">
      <w:pPr>
        <w:pStyle w:val="112"/>
        <w:rPr>
          <w:rStyle w:val="111"/>
        </w:rPr>
      </w:pPr>
      <w:r>
        <w:rPr>
          <w:rStyle w:val="111"/>
        </w:rPr>
        <w:t>121.</w:t>
      </w:r>
      <w:r>
        <w:rPr>
          <w:rStyle w:val="111"/>
        </w:rPr>
        <w:tab/>
        <w:t>В разделах 11–20 Закона 1948 года о фабриках рассматриваются такие вопросы гигиены труда, как поддержание чистоты на рабочем месте.  Этими положениями устанавливаются определенные стандарты чистоты, которые должны соблюдаться на каждой фабрике</w:t>
      </w:r>
      <w:r>
        <w:rPr>
          <w:rStyle w:val="FootnoteReference"/>
        </w:rPr>
        <w:footnoteReference w:customMarkFollows="1" w:id="20"/>
        <w:t>19</w:t>
      </w:r>
      <w:r>
        <w:rPr>
          <w:rStyle w:val="111"/>
        </w:rPr>
        <w:t>. Раздел 91 А Закона уполномочивает Главного инспектора, или руководителя Генеральной дирекции по консультированию фабрик и институтов труда, или Генерального директора медицинской службы при правительстве Индии, или сотрудника, который может быть уполномочен на это от их имени, проводить проверки состояния систем охраны труда и производственной гигиены, которые должен обеспечивать владелец или управляющий данной фабрики.</w:t>
      </w:r>
    </w:p>
    <w:p w:rsidR="00000000" w:rsidRDefault="00000000">
      <w:pPr>
        <w:pStyle w:val="112"/>
        <w:rPr>
          <w:rStyle w:val="111"/>
        </w:rPr>
      </w:pPr>
      <w:r>
        <w:rPr>
          <w:rStyle w:val="111"/>
        </w:rPr>
        <w:t>122.</w:t>
      </w:r>
      <w:r>
        <w:rPr>
          <w:rStyle w:val="111"/>
        </w:rPr>
        <w:tab/>
        <w:t>Целью Закона о фабриках является охват всех промышленных предприятий с числом работников от десяти и выше, без каких-либо различий между сезонными и несезонными предприятиями, положениями, касающимися гигиены и охраны труда на всех рабочих местах, независимо от числа работников.  Решениями Верховного суда по ряду дел эти положения Закона были воплощены в жизнь (</w:t>
      </w:r>
      <w:r>
        <w:rPr>
          <w:i/>
          <w:lang w:val="en-US"/>
        </w:rPr>
        <w:t>J</w:t>
      </w:r>
      <w:r>
        <w:rPr>
          <w:i/>
        </w:rPr>
        <w:t xml:space="preserve">. </w:t>
      </w:r>
      <w:r>
        <w:rPr>
          <w:i/>
          <w:lang w:val="en-US"/>
        </w:rPr>
        <w:t>B</w:t>
      </w:r>
      <w:r>
        <w:rPr>
          <w:i/>
        </w:rPr>
        <w:t xml:space="preserve">. </w:t>
      </w:r>
      <w:r>
        <w:rPr>
          <w:i/>
          <w:lang w:val="en-US"/>
        </w:rPr>
        <w:t>Mangharam</w:t>
      </w:r>
      <w:r>
        <w:rPr>
          <w:i/>
        </w:rPr>
        <w:t xml:space="preserve"> &amp; </w:t>
      </w:r>
      <w:r>
        <w:rPr>
          <w:i/>
          <w:lang w:val="en-US"/>
        </w:rPr>
        <w:t>Co</w:t>
      </w:r>
      <w:r>
        <w:rPr>
          <w:i/>
        </w:rPr>
        <w:t xml:space="preserve">. </w:t>
      </w:r>
      <w:r>
        <w:rPr>
          <w:i/>
          <w:lang w:val="en-US"/>
        </w:rPr>
        <w:t>AIR 1969 MP 110; Mitchell v. North British Rubber Co. Ltd. 1945 SC 1; Consumer Education and Research Centre v. Union of India, (1995) 2 Lab L J 768</w:t>
      </w:r>
      <w:r>
        <w:rPr>
          <w:i/>
        </w:rPr>
        <w:br/>
      </w:r>
      <w:r>
        <w:rPr>
          <w:i/>
          <w:lang w:val="en-US"/>
        </w:rPr>
        <w:t>(SC)</w:t>
      </w:r>
      <w:r>
        <w:rPr>
          <w:rStyle w:val="111"/>
        </w:rPr>
        <w:t xml:space="preserve"> etc.).</w:t>
      </w:r>
    </w:p>
    <w:p w:rsidR="00000000" w:rsidRDefault="00000000">
      <w:pPr>
        <w:pStyle w:val="112"/>
      </w:pPr>
      <w:r>
        <w:t>123.</w:t>
      </w:r>
      <w:r>
        <w:tab/>
        <w:t xml:space="preserve">Генеральная дирекция по консультированию фабрик и институтов труда (ГДКФИТ), Мумбаи, является учреждением, находящимся в ведении </w:t>
      </w:r>
      <w:r>
        <w:rPr>
          <w:caps/>
        </w:rPr>
        <w:t>м</w:t>
      </w:r>
      <w:r>
        <w:t>инистерства труда в качестве его технического звена в вопросах, связанных с обеспечением охраны и гигиены труда, а также благосостояния трудящихся на заводах, в портах и доках.  Она оказывает содействие центральному правительству в разработке и анализе политики и нормативно-правовых актов по вопросам охраны и гигиены труда на заводах и в портах и помогает ему осуществлять и обеспечивать соблюдение положений Закона о фабриках с помощью фабричных инспекторов в каждом штате. В Индии существуют центральные и региональные институты труда, которые занимаются проведением исследований и обследований, организацией учебных программ, семинаров, практикумов и выступлений по вопросам профессиональной подготовки и т. п.  В дополнение к этим мерам проводятся обследования по вопросам соблюдения норм безопасности, гигиены и условий труда на предприятиях по производству пестицидов, безопасности труда и обеспечения надлежащих условий охраны окружающей среды на камнедробительных предприятиях, а также в соляной промышленности, с тем чтобы выяснить состояние условий и соблюдение норм безопасности труда.  Кроме того, в настоящее время осуществляются следующие исследования/обследования:  аудиторская проверка состояния безопасности в крупных портах, эргономическое исследование условий труда на табачных фабриках Биди, состояние гигиены труда работников, получающих скользящую надбавку на покрытие дороговизны, состояние гигиены труда и окружающей среды на предприятиях по производству грифельных карандашей, национальное исследование по вопросам условий труда на сталепрокатном комбинате в Джодхпуре и т. д.</w:t>
      </w:r>
    </w:p>
    <w:p w:rsidR="00000000" w:rsidRDefault="00000000">
      <w:pPr>
        <w:pStyle w:val="112"/>
      </w:pPr>
      <w:r>
        <w:t>124.</w:t>
      </w:r>
      <w:r>
        <w:tab/>
        <w:t>В десятый пятилетний план включены новые плановые задачи:  усиление мер по повышению уровня безопасности и гигиены труда на особо опасных химических производствах, создание Национального совета по вопросам охраны и гигиены труда, повышение квалификации сотрудников ГДКФИТ и создание справочных файлов в Интернете по вопросам улучшения охраны и гигиены труда, повышение квалификации сотрудников правоприменительных органов и разработка стратегий и руководящих принципов по вопросам исполнения решений, разработка концепции и проведение общенациональной информационно-пропагандистской кампании в семи избранных подразделениях неорганизованного сектора.</w:t>
      </w:r>
    </w:p>
    <w:p w:rsidR="00000000" w:rsidRDefault="00000000">
      <w:pPr>
        <w:pStyle w:val="112"/>
      </w:pPr>
      <w:r>
        <w:t>125.</w:t>
      </w:r>
      <w:r>
        <w:tab/>
        <w:t xml:space="preserve">Широкая механизация ведет к повышению риска для здоровья и безопасности труда шахтеров.  В соответствии с Конституцией Индии вопросы безопасности, благосостояния и здоровья трудящихся горнодобывающих предприятий находятся в ведении центрального правительства (пункт 55 Союзного листа).  Эти задачи регулируются Законом 1952 года о горнодобывающих предприятиях, а также принятыми в соответствии с ним правилами и положениями.  Этими проблемами занимается Генеральная дирекция по вопросам безопасности труда на горнодобывающих предприятиях (ГДТГТ) в союзном </w:t>
      </w:r>
      <w:r>
        <w:rPr>
          <w:caps/>
        </w:rPr>
        <w:t>м</w:t>
      </w:r>
      <w:r>
        <w:t>инистерстве труда.  Помимо вопросов обеспечения выполнения Закона о горнодобывающих предприятиях и вытекающих из него подзаконных актов, ГДТГТ занимается также обеспечением выполнения других смежных нормативно-правовых актов,  в том числе следующих:  Положения 1957 года об угольных шахтах;  Положения 1961 года о предприятиях по добыче железной руды;  Положения 1984 года о нефтяных скважинах;  Правила деятельности горнодобывающих предприятий 1955 года;  Правила профессиональной подготовки работников для горнодобывающих предприятий 1956 года;  Правила проведения горноспасательных работ 1985 года;  Правила работы детских садов при горнодобывающих предприятиях 1966 года;  Правила организации работы душевых при шахтах 1959 года;  Закон 1948 года о фабриках;  Правила изготовления, хранения и импорта опасных химических веществ 1989 года, принятые в соответствии с Законом 1986 года об охране окружающей среды;  Закон 1885 года о приобретении земельной собственности (шахт);  Закон 1974 года об угольных шахтах (сохранение и развитие).</w:t>
      </w:r>
    </w:p>
    <w:p w:rsidR="00000000" w:rsidRDefault="00000000">
      <w:pPr>
        <w:pStyle w:val="112"/>
      </w:pPr>
      <w:r>
        <w:t>126.</w:t>
      </w:r>
      <w:r>
        <w:tab/>
        <w:t xml:space="preserve">В Индии существуют некоторые законы для регламентации условий труда работников неорганизованного сектора.  Бóльшую часть трудящихся в этом секторе составляют надомные работники.  В 1976 году правительство приняло Закон о работниках табачных предприятий Биди (условия труда) и Закон о Фонде социального обеспечения работников предприятий Биди, для того чтобы регламентировать условия труда этих работников.  Кроме того, </w:t>
      </w:r>
      <w:r>
        <w:rPr>
          <w:caps/>
        </w:rPr>
        <w:t>м</w:t>
      </w:r>
      <w:r>
        <w:t>инистерство текстильной промышленности через бюро Уполномоченного по вопросам развития ручного ткацкого производства и кустарного промысла осуществляет планы и программы, охватывающие различные аспекты труда, включая охрану здоровья.  В целях обеспечения законодательной защиты этой категории работников в настоящее время в рамках консультаций с другими заинтересованными министерствами/ведомствами, правительствами штатов и т. п. изучается вопрос о возможности разработки национальной политики в отношении надомных работников.</w:t>
      </w:r>
    </w:p>
    <w:p w:rsidR="00000000" w:rsidRDefault="00000000">
      <w:pPr>
        <w:pStyle w:val="112"/>
      </w:pPr>
      <w:r>
        <w:t>127.</w:t>
      </w:r>
      <w:r>
        <w:tab/>
        <w:t>Другую крупную группу работников неорганизованного сектора составляют строительные рабочие, на которых было распространено действие положений различных законов, а именно:  Закона 1996 года о строительных рабочих (Положение о найме и условиях труда);  Закона 1996 года о социальном обеспечении строительных рабочих;  и Основных правил 1998 года, касающихся труда строительных рабочих (РЕКС).  Правительство следит за осуществлением положений этих законов, которые пока что воплощены в жизнь только в штате Керала.  Правительство Дели учредило Совет штата и вплотную подошло к осуществлению этих законов.  Штат Тамилнад принял свой собственный Закон, согласующийся с союзным законом.  Правительства большинства штатов находятся в процессе создания комитетов экспертов для выработки правил, создания советов и фондов социального обеспечения с целью претворения в жизнь буквы и духа этих законов.</w:t>
      </w:r>
    </w:p>
    <w:p w:rsidR="00000000" w:rsidRDefault="00000000">
      <w:pPr>
        <w:jc w:val="both"/>
        <w:rPr>
          <w:b/>
          <w:bCs/>
          <w:sz w:val="24"/>
        </w:rPr>
      </w:pPr>
    </w:p>
    <w:p w:rsidR="00000000" w:rsidRDefault="00000000">
      <w:pPr>
        <w:jc w:val="both"/>
        <w:rPr>
          <w:b/>
          <w:bCs/>
          <w:sz w:val="22"/>
          <w:szCs w:val="22"/>
        </w:rPr>
      </w:pPr>
      <w:r>
        <w:rPr>
          <w:b/>
          <w:bCs/>
          <w:sz w:val="22"/>
          <w:szCs w:val="22"/>
        </w:rPr>
        <w:t xml:space="preserve">Раздел </w:t>
      </w:r>
      <w:r>
        <w:rPr>
          <w:b/>
          <w:bCs/>
          <w:sz w:val="22"/>
          <w:szCs w:val="22"/>
          <w:lang w:val="en-US"/>
        </w:rPr>
        <w:t>V</w:t>
      </w:r>
    </w:p>
    <w:p w:rsidR="00000000" w:rsidRDefault="00000000">
      <w:pPr>
        <w:jc w:val="both"/>
        <w:rPr>
          <w:b/>
          <w:bCs/>
          <w:sz w:val="22"/>
          <w:szCs w:val="22"/>
        </w:rPr>
      </w:pPr>
    </w:p>
    <w:p w:rsidR="00000000" w:rsidRDefault="00000000">
      <w:pPr>
        <w:jc w:val="both"/>
        <w:rPr>
          <w:b/>
          <w:bCs/>
          <w:sz w:val="22"/>
          <w:szCs w:val="22"/>
        </w:rPr>
      </w:pPr>
      <w:r>
        <w:rPr>
          <w:b/>
          <w:bCs/>
          <w:sz w:val="22"/>
          <w:szCs w:val="22"/>
        </w:rPr>
        <w:t>Равные возможности для продвижения по службе</w:t>
      </w:r>
    </w:p>
    <w:p w:rsidR="00000000" w:rsidRDefault="00000000">
      <w:pPr>
        <w:jc w:val="both"/>
        <w:rPr>
          <w:sz w:val="22"/>
          <w:szCs w:val="22"/>
        </w:rPr>
      </w:pPr>
    </w:p>
    <w:p w:rsidR="00000000" w:rsidRDefault="00000000">
      <w:pPr>
        <w:pStyle w:val="112"/>
        <w:spacing w:before="0"/>
        <w:rPr>
          <w:i/>
          <w:spacing w:val="-2"/>
        </w:rPr>
      </w:pPr>
      <w:r>
        <w:t>128.</w:t>
      </w:r>
      <w:r>
        <w:tab/>
        <w:t xml:space="preserve">Каждый гражданин Индии имеет право на равные возможности для продвижения по службе.  Это право обеспечивается Конституцией и соответствующими законами Индии.  Особое внимание уделяется более уязвимым слоям общества.  Статья 16 4) дает государству право принимать специальные положения по резервированию должностей для представителей каких-либо отсталых слоев населения, которые, по мнению государства, недостаточно представлены в системе государственной службы.  Сфера действия статьи 16 4) в ряде случаев рассматривалась Верховным судом в связи с продвижением по службе представителей некоторых отсталых слоев населения. </w:t>
      </w:r>
      <w:r>
        <w:br/>
      </w:r>
      <w:r>
        <w:rPr>
          <w:rStyle w:val="111"/>
        </w:rPr>
        <w:t xml:space="preserve">В деле </w:t>
      </w:r>
      <w:r>
        <w:rPr>
          <w:i/>
          <w:iCs/>
        </w:rPr>
        <w:t>Индра Сохней против Индийского Союза</w:t>
      </w:r>
      <w:r>
        <w:rPr>
          <w:rStyle w:val="111"/>
        </w:rPr>
        <w:t>,</w:t>
      </w:r>
      <w:r>
        <w:rPr>
          <w:i/>
          <w:iCs/>
        </w:rPr>
        <w:t xml:space="preserve"> </w:t>
      </w:r>
      <w:r>
        <w:rPr>
          <w:i/>
          <w:iCs/>
          <w:lang w:val="en-US"/>
        </w:rPr>
        <w:t>AIR</w:t>
      </w:r>
      <w:r>
        <w:rPr>
          <w:i/>
          <w:iCs/>
        </w:rPr>
        <w:t xml:space="preserve"> 1993  </w:t>
      </w:r>
      <w:r>
        <w:rPr>
          <w:i/>
          <w:iCs/>
          <w:lang w:val="en-US"/>
        </w:rPr>
        <w:t>SC</w:t>
      </w:r>
      <w:r>
        <w:rPr>
          <w:i/>
          <w:iCs/>
        </w:rPr>
        <w:t xml:space="preserve"> 477</w:t>
      </w:r>
      <w:r>
        <w:rPr>
          <w:sz w:val="24"/>
        </w:rPr>
        <w:t>,</w:t>
      </w:r>
      <w:r>
        <w:rPr>
          <w:rStyle w:val="111"/>
        </w:rPr>
        <w:t xml:space="preserve"> большинство членов суда высказалось за то, чтобы резервирование должностей, предусмотренное статьей 16 4), не касалось вопросов повышения по службе.  Резервирование ограничивается только первоначальными назначениями.  Вместе с тем это не должно отражаться на продвижении по службе, уже имевшем место.  Подобное резервирование может действовать в течение пяти лет;  в пределах этого срока власти могут пересматривать, изменять или вновь принимать правила, касающиеся резервирования должностей.  В этой связи по данному вопросу Суд отменил прежние решения по следующим делам:  </w:t>
      </w:r>
      <w:r>
        <w:rPr>
          <w:i/>
        </w:rPr>
        <w:t xml:space="preserve">General Manager, Southern Rly. v. Rangachari, AIR 1962 SC 179;  State of Punjab v. Hira Lal, (1970) 3 SCC 567;  Akhil Bharatiya Shoshit Karamchari Sangh v. Union of India, (1981) </w:t>
      </w:r>
      <w:r>
        <w:rPr>
          <w:i/>
          <w:spacing w:val="-2"/>
        </w:rPr>
        <w:t>1 SCC 246;  and Comptroller and Auditor General of India v. K. S. Jagannathan, (1986) 2 SCC 679.</w:t>
      </w:r>
    </w:p>
    <w:p w:rsidR="00000000" w:rsidRDefault="00000000">
      <w:pPr>
        <w:pStyle w:val="112"/>
      </w:pPr>
      <w:r>
        <w:t>129.</w:t>
      </w:r>
      <w:r>
        <w:tab/>
        <w:t xml:space="preserve">С целью наполнения реальным содержанием концепции социальной справедливости правительство в 1995 году приняло 77-ю поправку к Конституции и добавила новый пункт (4-А) в статью 16 Конституции, который наделяет государство правом принимать любые положения о резервировании мест для повышения в должности на государственной службе представителей касты неприкасаемых и зарегистрированных племен, если оно считает, что таковые недостаточно представлены в системе государственной службы.  Это было сделано с тем, чтобы свести на нет последствия решения Верховного суда по делу  Комиссии Мандала (Индра Сохней против Индийского Союза), в котором суд постановил, что резервирование мест для продвижения по службе не допускается.  Новый пункт Конституции означает, что резервирование мест для продвижения по службе в правительственных учреждениях будет продолжаться в интересах представителей касты неприкасаемых и зарегистрированных племен даже после окончания работы Комиссии Мандала.  </w:t>
      </w:r>
    </w:p>
    <w:p w:rsidR="00000000" w:rsidRDefault="00000000">
      <w:pPr>
        <w:pStyle w:val="112"/>
        <w:rPr>
          <w:rStyle w:val="111"/>
        </w:rPr>
      </w:pPr>
      <w:r>
        <w:rPr>
          <w:rStyle w:val="111"/>
        </w:rPr>
        <w:t>130.</w:t>
      </w:r>
      <w:r>
        <w:rPr>
          <w:rStyle w:val="111"/>
        </w:rPr>
        <w:tab/>
        <w:t xml:space="preserve">В одном из важных решений о резервировании мест для продвижения по службе Верховный суд постановил, что после того как будут заполнены резервируемые должности, любая освобождающаяся штатная должность должна заполняться представителями той же самой группы лиц, чей уход на пенсию или отставка открыли вакансию.  Правительство самопроизвольно установило законодательные санкции в этой связи, внеся поправку в Конституцию в 2000 году.  Законом 2000 года о внесении поправки (81-й) в Конституцию было включено новое положение в статью 16 (4-В), которое позволяет переносить на последующие годы вакансии, открывающиеся на резервируемых местах.  Переносимые таким образом вакансии не входят в число 50-процентного ограничения </w:t>
      </w:r>
      <w:r>
        <w:rPr>
          <w:i/>
          <w:iCs/>
        </w:rPr>
        <w:t>(</w:t>
      </w:r>
      <w:r>
        <w:rPr>
          <w:i/>
        </w:rPr>
        <w:t>S. R. Murthy v. Karnataka, AIR 2000 SC 450; Ajit Singh II v. State of Punjab, (2000) 1 SCC 430)</w:t>
      </w:r>
      <w:r>
        <w:rPr>
          <w:rStyle w:val="111"/>
        </w:rPr>
        <w:t xml:space="preserve">.  В деле </w:t>
      </w:r>
      <w:r>
        <w:rPr>
          <w:rStyle w:val="111"/>
          <w:i/>
          <w:iCs/>
        </w:rPr>
        <w:t>Джаттиндер Пал Сингх против штата Пенджаб</w:t>
      </w:r>
      <w:r>
        <w:rPr>
          <w:rStyle w:val="111"/>
        </w:rPr>
        <w:t>, AIR 2000 SC 609, Суд постановил, что правила старшинства (выслуги лет и непрерывности стажа) взаимосвязаны с правилом повышения по службе, основанным на принципе равных возможностей.</w:t>
      </w:r>
    </w:p>
    <w:p w:rsidR="00000000" w:rsidRDefault="00000000">
      <w:pPr>
        <w:pStyle w:val="112"/>
      </w:pPr>
      <w:r>
        <w:t>131.</w:t>
      </w:r>
      <w:r>
        <w:tab/>
        <w:t xml:space="preserve">Конституционным законом 2001 года (85-я поправка) слова в клаузуле 4-А "в сфере продвижения на должности… какого-либо класса" были заменены словами "в сфере продвижения, с последующим зачетом стажа, на должности… какого-либо класса".  Эта поправка направлена на расширение преимуществ от резервирования должностей в интересах представителей КН/ЗП в сфере продвижения с последующим зачетом стажа.  </w:t>
      </w:r>
    </w:p>
    <w:p w:rsidR="00000000" w:rsidRDefault="00000000">
      <w:pPr>
        <w:pStyle w:val="112"/>
        <w:rPr>
          <w:rStyle w:val="111"/>
        </w:rPr>
      </w:pPr>
      <w:r>
        <w:rPr>
          <w:rStyle w:val="111"/>
        </w:rPr>
        <w:t>132.</w:t>
      </w:r>
      <w:r>
        <w:rPr>
          <w:rStyle w:val="111"/>
        </w:rPr>
        <w:tab/>
        <w:t>В отношении вопроса о продвижении на более высокие должности либо на основе учета стажа и профессиональных заслуг, либо на конкурсной основе Верховный суд в ряде своих решений постановил, что в силу статьи 16 каждый гражданский служащий, который может согласно соответствующим нормам выдвигать свою кандидатуру на рассмотрение, обладает основополагающими правами, но не в плане собственно продвижения, а в плане справедливого и объективного рассмотрения его кандидатуры</w:t>
      </w:r>
      <w:r>
        <w:rPr>
          <w:rStyle w:val="FootnoteReference"/>
        </w:rPr>
        <w:footnoteReference w:customMarkFollows="1" w:id="21"/>
        <w:t>20</w:t>
      </w:r>
      <w:r>
        <w:rPr>
          <w:rStyle w:val="111"/>
        </w:rPr>
        <w:t>. Поскольку требования при заполнении более высоких должностей варьируются в зависимости от обстоятельств, не во всех случаях можно использовать одни и те же методы продвижения.  Некоторые должности могут объявляться вакантными для замещения на конкурсной основе, а подбор кандидатов может проводиться на основе учета профессиональных заслуг и квалификационного соответствия вне зависимости от стажа.  В случае должностей, объявленных вакантными для замещения на конкурсной основе, продвижение осуществляется таким же образом, как и первоначальное назначение с возможной организацией различных тестов и собеседований.  Продвижение зависит от учета многочисленных факторов компетентным органом.  В вопросах продвижения на конкурсной основе также применяется принцип естественной справедливости.</w:t>
      </w:r>
    </w:p>
    <w:p w:rsidR="00000000" w:rsidRDefault="00000000">
      <w:pPr>
        <w:jc w:val="both"/>
        <w:rPr>
          <w:b/>
          <w:bCs/>
          <w:sz w:val="24"/>
        </w:rPr>
      </w:pPr>
    </w:p>
    <w:p w:rsidR="00000000" w:rsidRDefault="00000000">
      <w:pPr>
        <w:rPr>
          <w:b/>
          <w:bCs/>
          <w:sz w:val="22"/>
          <w:szCs w:val="22"/>
        </w:rPr>
      </w:pPr>
      <w:r>
        <w:rPr>
          <w:b/>
          <w:bCs/>
          <w:sz w:val="22"/>
          <w:szCs w:val="22"/>
        </w:rPr>
        <w:t xml:space="preserve">Раздел VI </w:t>
      </w:r>
    </w:p>
    <w:p w:rsidR="00000000" w:rsidRDefault="00000000">
      <w:pPr>
        <w:rPr>
          <w:b/>
          <w:bCs/>
          <w:sz w:val="22"/>
          <w:szCs w:val="22"/>
        </w:rPr>
      </w:pPr>
    </w:p>
    <w:p w:rsidR="00000000" w:rsidRDefault="00000000">
      <w:pPr>
        <w:rPr>
          <w:b/>
          <w:bCs/>
          <w:sz w:val="22"/>
          <w:szCs w:val="22"/>
        </w:rPr>
      </w:pPr>
      <w:r>
        <w:rPr>
          <w:b/>
          <w:bCs/>
          <w:sz w:val="22"/>
          <w:szCs w:val="22"/>
        </w:rPr>
        <w:t>Отдых, досуг, разумное ограничение рабочего времени, периодические оплачиваемые отпуска и оплата труда за дни государственных праздников</w:t>
      </w:r>
    </w:p>
    <w:p w:rsidR="00000000" w:rsidRDefault="00000000">
      <w:pPr>
        <w:jc w:val="both"/>
        <w:rPr>
          <w:sz w:val="24"/>
        </w:rPr>
      </w:pPr>
    </w:p>
    <w:p w:rsidR="00000000" w:rsidRDefault="00000000">
      <w:pPr>
        <w:pStyle w:val="112"/>
        <w:spacing w:before="0"/>
        <w:rPr>
          <w:rStyle w:val="111"/>
        </w:rPr>
      </w:pPr>
      <w:r>
        <w:rPr>
          <w:rStyle w:val="111"/>
        </w:rPr>
        <w:t>133.</w:t>
      </w:r>
      <w:r>
        <w:rPr>
          <w:rStyle w:val="111"/>
        </w:rPr>
        <w:tab/>
        <w:t>Право на отдых, досуг и разумное ограничение рабочего времени гарантировано трудовым законодательством Индии.  Это право обеспечивается фиксированной системой продолжительности рабочего дня, предоставляемыми выходными, оплачиваемым отпуском и т. д.  В разделах 51–66 Закона о фабриках 1948 года исчерпывающим образом регламентируется продолжительность рабочего времени взрослых работников</w:t>
      </w:r>
      <w:r>
        <w:rPr>
          <w:rStyle w:val="FootnoteReference"/>
        </w:rPr>
        <w:footnoteReference w:customMarkFollows="1" w:id="22"/>
        <w:t>21</w:t>
      </w:r>
      <w:r>
        <w:rPr>
          <w:rStyle w:val="111"/>
        </w:rPr>
        <w:t>. Раздел 13 (1) (а) Закона 1948 года о минимальной заработной плате наделяет соответствующие правительственные структуры правом устанавливать продолжительность рабочего времени.  Центральное правительство в соответствии с (Общенациональными) Положениями о минимальных размерах оплаты труда 1950 года постановило, что продолжительность обычного рабочего дня для взрослых работников и работников-детей составляет, соответственно, 9 и 4,5 часа.  Продолжительность рабочего дня взрослого работника, работающего по скользящему графику, не должна превышать 12 часов с учетом перерыва на отдых, если таковой предусмотрен.  В случае занятости в сельском хозяйстве в упомянутые выше положения вносятся корректировки, уведомления о которых периодически направляются центральным правительством. В нормах, установленных правительствами штатов и союзных территорий (СТ), также содержатся аналогичные положения в отношении продолжительности рабочего времени.</w:t>
      </w:r>
    </w:p>
    <w:p w:rsidR="00000000" w:rsidRDefault="00000000">
      <w:pPr>
        <w:pStyle w:val="112"/>
        <w:spacing w:before="280"/>
      </w:pPr>
      <w:r>
        <w:t>134.</w:t>
      </w:r>
      <w:r>
        <w:tab/>
        <w:t>К числу других законов, регулирующих продолжительность рабочего времени, относятся Закон о фабриках 1948 года, Закон о рабочих индийских доков (нормы занятости) 1948 года, Закон о шахтах 1952 года, Закон о работниках плантаций 1951 года, Закон о магазинах и торговых предприятиях 1948 года, Закон о работниках, занятых в сфере моторизованного транспорта, 1961 года, Закон о контрактных работниках (регулирование и отмена) 1970 года и Закон о работниках предприятий табачной промышленности (условия труда)  1966 года.</w:t>
      </w:r>
    </w:p>
    <w:p w:rsidR="00000000" w:rsidRDefault="00000000">
      <w:pPr>
        <w:pStyle w:val="112"/>
        <w:spacing w:before="280"/>
      </w:pPr>
      <w:r>
        <w:t>135.</w:t>
      </w:r>
      <w:r>
        <w:tab/>
        <w:t>Работники, занятые в сфере сельского хозяйства, были уравнены в правах с работниками, занятыми в других областях, на основе поправки к норме 23, внесенной центральным правительством в 1979 году.  В нормах, установленных центральным правительством и правительствами всех штатов, было предусмотрено положение об оплачиваемом еженедельном периоде отдыха.</w:t>
      </w:r>
    </w:p>
    <w:p w:rsidR="00000000" w:rsidRDefault="00000000">
      <w:pPr>
        <w:pStyle w:val="112"/>
      </w:pPr>
      <w:r>
        <w:t>136.</w:t>
      </w:r>
      <w:r>
        <w:tab/>
        <w:t>Министерство труда подчеркивало, что не следует увязывать культуру труда с продолжительностью рабочего времени и предоставлением выходных дней.  Серьезную обеспокоенность вызывает то, что во многих общенациональных законах и некоторых законах штатов по-прежнему предписан девятичасовой рабочий день.  Однако общепризнанной нормой является восьмичасовой рабочий день.  Правительство Индии стремится обеспечить единообразие положений, регулирующих продолжительность рабочего дня и рабочей недели и предоставление выходных дней.  Первая Национальная комиссия по вопросам труда также предложила сократить продолжительность рабочей недели с 48 часов до 40 часов.</w:t>
      </w:r>
    </w:p>
    <w:p w:rsidR="00000000" w:rsidRDefault="00000000">
      <w:pPr>
        <w:jc w:val="both"/>
        <w:rPr>
          <w:b/>
          <w:bCs/>
          <w:sz w:val="24"/>
        </w:rPr>
      </w:pPr>
    </w:p>
    <w:p w:rsidR="00000000" w:rsidRDefault="00000000">
      <w:pPr>
        <w:jc w:val="both"/>
        <w:rPr>
          <w:b/>
          <w:bCs/>
          <w:sz w:val="22"/>
          <w:szCs w:val="22"/>
        </w:rPr>
      </w:pPr>
      <w:r>
        <w:rPr>
          <w:b/>
          <w:bCs/>
          <w:sz w:val="22"/>
          <w:szCs w:val="22"/>
        </w:rPr>
        <w:t xml:space="preserve">Раздел </w:t>
      </w:r>
      <w:r>
        <w:rPr>
          <w:b/>
          <w:bCs/>
          <w:sz w:val="22"/>
          <w:szCs w:val="22"/>
          <w:lang w:val="en-US"/>
        </w:rPr>
        <w:t>VII</w:t>
      </w:r>
    </w:p>
    <w:p w:rsidR="00000000" w:rsidRDefault="00000000">
      <w:pPr>
        <w:jc w:val="both"/>
        <w:rPr>
          <w:b/>
          <w:bCs/>
          <w:sz w:val="22"/>
          <w:szCs w:val="22"/>
        </w:rPr>
      </w:pPr>
    </w:p>
    <w:p w:rsidR="00000000" w:rsidRDefault="00000000">
      <w:pPr>
        <w:jc w:val="both"/>
        <w:rPr>
          <w:b/>
          <w:bCs/>
          <w:sz w:val="22"/>
          <w:szCs w:val="22"/>
        </w:rPr>
      </w:pPr>
      <w:r>
        <w:rPr>
          <w:b/>
          <w:bCs/>
          <w:sz w:val="22"/>
          <w:szCs w:val="22"/>
        </w:rPr>
        <w:t>Международная помощь</w:t>
      </w:r>
    </w:p>
    <w:p w:rsidR="00000000" w:rsidRDefault="00000000">
      <w:pPr>
        <w:jc w:val="both"/>
        <w:rPr>
          <w:sz w:val="24"/>
        </w:rPr>
      </w:pPr>
    </w:p>
    <w:p w:rsidR="00000000" w:rsidRDefault="00000000">
      <w:pPr>
        <w:pStyle w:val="112"/>
        <w:spacing w:before="0"/>
      </w:pPr>
      <w:r>
        <w:t>137.</w:t>
      </w:r>
      <w:r>
        <w:tab/>
        <w:t xml:space="preserve">Если говорить о таком аспекте, как гигиена и охрана труда, то Национальный совет по безопасности труда (НСБТ), успешно организовавший </w:t>
      </w:r>
      <w:r>
        <w:rPr>
          <w:lang w:val="en-US"/>
        </w:rPr>
        <w:t>XII</w:t>
      </w:r>
      <w:r>
        <w:t xml:space="preserve"> Всемирный конгресс в Индии, продолжает и далее содействовать успешному проведению будущих всемирных конгрессов.  Поскольку Индия является членом – основателем Азиатско-Тихоокеанской организации по безопасности и гигиене труда (АТОБГТ), НСБТ вносит свой активный вклад в развитие сотрудничества по вопросам безопасности и гигиены труда и просвещения между ее странами-членами.  Продолжается сотрудничество между НСБТ и ЮНЕП.  Начиная с июля 1999</w:t>
      </w:r>
      <w:r>
        <w:rPr>
          <w:lang w:val="en-US"/>
        </w:rPr>
        <w:t> </w:t>
      </w:r>
      <w:r>
        <w:t xml:space="preserve">года продолжает активно развиваться сотрудничество НСБТ с Японской промышленной ассоциацией по вопросам безопасности и гигиены труда (ЯПАБГТ).  Индия приняла участие в </w:t>
      </w:r>
      <w:r>
        <w:rPr>
          <w:lang w:val="en-US"/>
        </w:rPr>
        <w:t>XVI</w:t>
      </w:r>
      <w:r>
        <w:t xml:space="preserve"> Всемирном конгрессе по вопросам ГБТ, состоявшемся 25–31 мая 2003 года в Вене, и в 18</w:t>
      </w:r>
      <w:r>
        <w:noBreakHyphen/>
        <w:t>м ежегодном совещании и Конференции АТОБГТ, организованном 8–10 октября 2003 года в Ханое.  Индия играет роль координатора деятельности по укреплению сотрудничества с ЯПАБГТ, Япония.  При содействии международных учреждений и органов различных стран Индия провела обследования по вопросам осведомленности о правилах техники безопасности, проверки соблюдения норм безопасности и назначения ответственных за оценку рисков на производстве.</w:t>
      </w:r>
    </w:p>
    <w:p w:rsidR="00000000" w:rsidRDefault="00000000">
      <w:pPr>
        <w:jc w:val="both"/>
        <w:rPr>
          <w:b/>
          <w:bCs/>
          <w:sz w:val="24"/>
        </w:rPr>
      </w:pPr>
    </w:p>
    <w:p w:rsidR="00000000" w:rsidRDefault="00000000">
      <w:pPr>
        <w:jc w:val="both"/>
        <w:rPr>
          <w:b/>
          <w:bCs/>
          <w:sz w:val="24"/>
        </w:rPr>
      </w:pPr>
    </w:p>
    <w:p w:rsidR="00000000" w:rsidRDefault="00000000">
      <w:pPr>
        <w:keepNext/>
        <w:jc w:val="center"/>
        <w:rPr>
          <w:b/>
          <w:bCs/>
          <w:sz w:val="24"/>
          <w:szCs w:val="22"/>
        </w:rPr>
      </w:pPr>
      <w:r>
        <w:rPr>
          <w:b/>
          <w:bCs/>
          <w:sz w:val="24"/>
          <w:szCs w:val="22"/>
        </w:rPr>
        <w:t>Статья 8</w:t>
      </w:r>
    </w:p>
    <w:p w:rsidR="00000000" w:rsidRDefault="00000000">
      <w:pPr>
        <w:keepNext/>
        <w:jc w:val="center"/>
        <w:rPr>
          <w:b/>
          <w:bCs/>
          <w:sz w:val="22"/>
          <w:szCs w:val="22"/>
        </w:rPr>
      </w:pPr>
    </w:p>
    <w:p w:rsidR="00000000" w:rsidRDefault="00000000">
      <w:pPr>
        <w:keepNext/>
        <w:jc w:val="center"/>
        <w:rPr>
          <w:b/>
          <w:bCs/>
          <w:sz w:val="22"/>
          <w:szCs w:val="22"/>
        </w:rPr>
      </w:pPr>
      <w:r>
        <w:rPr>
          <w:b/>
          <w:bCs/>
          <w:sz w:val="22"/>
          <w:szCs w:val="22"/>
        </w:rPr>
        <w:t>Права профсоюзов</w:t>
      </w:r>
    </w:p>
    <w:p w:rsidR="00000000" w:rsidRDefault="00000000">
      <w:pPr>
        <w:keepNext/>
        <w:jc w:val="both"/>
        <w:rPr>
          <w:sz w:val="24"/>
        </w:rPr>
      </w:pPr>
    </w:p>
    <w:p w:rsidR="00000000" w:rsidRDefault="00000000">
      <w:pPr>
        <w:pStyle w:val="112"/>
        <w:spacing w:before="0"/>
      </w:pPr>
      <w:r>
        <w:t>138.</w:t>
      </w:r>
      <w:r>
        <w:tab/>
        <w:t>Право на создание объединений, которое включают в себя право на создание профессиональных союзов для законных целей, гарантировано в качестве основополагающего права  Конституцией Индии.  Это право является неограниченным, за исключением некоторых видов работы по найму, когда работодателем является правительство, а объединение, сформированное наемными работниками, не может претендовать на право регистрации, получение определенных иммунитетов для использования производственного конфликта в целях заключения коллективного договора, прежде всего в тех областях, где работники по найму обеспечивают выполнение функций, относящихся к суверенным функциям государства. Здесь важно подчеркнуть, что в отличие от законодательства Соединенного Королевства в Конституции Индии реализация доктрины благоусмотрения в случае гражданских служащих обусловлена соблюдением конституционных гарантий, таких как право быть заслушанным и т. д.  Кроме того, условия службы в случае гражданских служащих регулируются статутными нормами.  Как и в других странах, в Индии применяется и признается заключение коллективного договора в качестве метода урегулирования производственных споров работниками по найму, занятыми в промышленности, для удовлетворения их претензий.  Правительство Индии признает законность проведения забастовок при условии соблюдения установленных норм, но при этом оно указывает на необходимость соблюдения положений уголовного права и норм противопожарной безопасности при урегулировании ситуаций, чреватых возникновением угроз спокойствию, здоровью и жизни людей или имуществу.</w:t>
      </w:r>
    </w:p>
    <w:p w:rsidR="00000000" w:rsidRDefault="00000000">
      <w:pPr>
        <w:jc w:val="both"/>
        <w:rPr>
          <w:b/>
          <w:bCs/>
          <w:sz w:val="24"/>
        </w:rPr>
      </w:pPr>
    </w:p>
    <w:p w:rsidR="00000000" w:rsidRDefault="00000000">
      <w:pPr>
        <w:keepNext/>
        <w:jc w:val="both"/>
        <w:rPr>
          <w:b/>
          <w:bCs/>
          <w:sz w:val="22"/>
          <w:szCs w:val="22"/>
        </w:rPr>
      </w:pPr>
      <w:r>
        <w:rPr>
          <w:b/>
          <w:bCs/>
          <w:sz w:val="22"/>
          <w:szCs w:val="22"/>
        </w:rPr>
        <w:t xml:space="preserve">Раздел  </w:t>
      </w:r>
      <w:r>
        <w:rPr>
          <w:b/>
          <w:bCs/>
          <w:sz w:val="22"/>
          <w:szCs w:val="22"/>
          <w:lang w:val="en-US"/>
        </w:rPr>
        <w:t>I</w:t>
      </w:r>
    </w:p>
    <w:p w:rsidR="00000000" w:rsidRDefault="00000000">
      <w:pPr>
        <w:pStyle w:val="112"/>
      </w:pPr>
      <w:r>
        <w:t>139.</w:t>
      </w:r>
      <w:r>
        <w:tab/>
        <w:t>В отношении вопроса о международных договорах о праве на создание ассоциации и эффективное признание права на коллективные переговоры, являющемся одним из прав, которому посвящен настоящий доклад, правительство Индии занимает позицию, изложенную ниже.</w:t>
      </w:r>
    </w:p>
    <w:p w:rsidR="00000000" w:rsidRDefault="00000000">
      <w:pPr>
        <w:pStyle w:val="112"/>
      </w:pPr>
      <w:r>
        <w:t>140.</w:t>
      </w:r>
      <w:r>
        <w:tab/>
        <w:t>Индия присоединилась к Международному пакту о гражданских и политических правах 10 апреля 1979 года.  До настоящего времени Индия представила КПЧ три периодических доклада.  Позиция Индии, изложенная в общем и целом в этих трех докладах (первоначальном, втором и третьем периодических докладах Индии об осуществлении МПГПП, представленных, соответственно, 4 июля 1983 года, 12 июля 1989 года и 17 июля 1996 года), свидетельствует о соблюдении ею обязательства по статье 22 этого Пакта.  Четвертый периодический доклад Индии, который должен был быть представлен 31 декабря 2001 года, в настоящее время находится на стадии подготовки и будет представлен вместе с настоящим докладом.</w:t>
      </w:r>
    </w:p>
    <w:p w:rsidR="00000000" w:rsidRDefault="00000000">
      <w:pPr>
        <w:pStyle w:val="112"/>
      </w:pPr>
      <w:r>
        <w:t>141.</w:t>
      </w:r>
      <w:r>
        <w:tab/>
        <w:t>Индии еще лишь предстоит ратифицировать Конвенцию 1948 года о свободе ассоциации и защите права на организацию (№ 87) и Конвенцию 1949 года о праве на организацию и на ведение коллективных переговоров (№ 98).  В статье 19 (1) (с) Конституции Индии признается свобода ассоциации и подтверждается эффективное признание права на ведение коллективных переговоров.  Весьма подробная информация содержится в докладе Индии, посвященном Глобальному докладу МОТ, а также в документе о механизме реализации Декларации МОТ.  В Глобальном докладе, представленном в соответствии с механизмом реализации Декларации МОТ об основополагающих принципах и правах в сфере труда:  объединение в организации в целях социальной справедливости, МКТ, девяносто вторая сессия, 2004 год, рассмотрены сообщения правительств различных государств, включая Индию, о свободе ассоциаций и эффективном признании права на коллективные переговоры.  В 2004 году Комитет экспертов МОТ по вопросу о применении конвенций и рекомендаций (КЭПКР) отметил, что, хотя Индия не ратифицировала конвенции № 87 и 98, правительство Индии неизменно представляет доклады, посвященные этим принципам, когда это требуется МОТ (в рамках механизма реализации Декларации МОТ для подготовки ежегодного обзора 2004 года в разбивке по категориям принципов и прав).  Стоит отметить, что в Индии практически одна треть рабочей силы занята в сельском хозяйстве.  Учитывая значительную долю населения, занятого в сельском хозяйстве, Индия ратифицировала 11 мая 1923 года Конвенцию 1921 года о праве на организацию и объединение трудящихся в сельском хозяйстве (№ 11), в которой подчеркивается, что работники, занятые в сельском хозяйстве, должны обладать тем же правом "на организацию и объединение", что и работники промышленности.  Кроме того, 18 августа 1977 года Индия ратифицировала также Конвенцию 1975 года об организациях сельских трудящихся  (№ 141), в которой признается важность вовлечения организаций сельских трудящихся в проведение земельной реформы.</w:t>
      </w:r>
    </w:p>
    <w:p w:rsidR="00000000" w:rsidRDefault="00000000">
      <w:pPr>
        <w:pStyle w:val="112"/>
        <w:spacing w:after="240"/>
      </w:pPr>
      <w:r>
        <w:t>142.</w:t>
      </w:r>
      <w:r>
        <w:tab/>
        <w:t>Конвенция № 98 не только регулирует положение "государственных служащих, занятых в сфере государственного управления", но и предусматривает, что она "никоим образом не будет истолковываться как наносящая ущерб их правам или положению".  В 1978 году МОТ приняла Конвенцию о трудовых отношениях на государственной службе (№ 151).  Эта Конвенция гарантирует право на организацию "всем лицам, нанятым органами государственной власти, если только к ним не применяются более благоприятные положения других международных трудовых конвенций". Индии еще лишь предстоит ратифицировать эту конвенцию.  В Глобальном докладе, представленном в соответствии с механизмом реализации Декларации МОТ об основополагающих принципах и правах в сфере труда:  объединение в организации в целях социальной справедливости, МКТ, девяносто вторая сессия, 2004 год, Доклад </w:t>
      </w:r>
      <w:r>
        <w:rPr>
          <w:lang w:val="en-US"/>
        </w:rPr>
        <w:t>I</w:t>
      </w:r>
      <w:r>
        <w:t> (В), отмечается ссылка Индии на особое положение государственных служащих, в силу которого она в настоящее время не имеет возможности рассмотреть вопрос о ратификации.  Индия указала, что в ее Конституции действительно признается право на свободу ассоциации и ведение коллективных переговоров, но в силу имеющихся в настоящее время проблем экономического, политического и культурного характера она не имеет возможности обеспечить его применение в качестве правовой нормы.  Обобщенные сведения и новая информация приведены в нижеследующих дополнительных замечаниях.</w:t>
      </w:r>
    </w:p>
    <w:p w:rsidR="00000000" w:rsidRDefault="00000000">
      <w:pPr>
        <w:spacing w:before="240" w:after="240"/>
        <w:jc w:val="both"/>
        <w:rPr>
          <w:b/>
          <w:bCs/>
          <w:sz w:val="22"/>
          <w:szCs w:val="22"/>
        </w:rPr>
      </w:pPr>
      <w:r>
        <w:rPr>
          <w:b/>
          <w:bCs/>
          <w:sz w:val="22"/>
          <w:szCs w:val="22"/>
        </w:rPr>
        <w:t xml:space="preserve">Раздел  </w:t>
      </w:r>
      <w:r>
        <w:rPr>
          <w:b/>
          <w:bCs/>
          <w:sz w:val="22"/>
          <w:szCs w:val="22"/>
          <w:lang w:val="en-US"/>
        </w:rPr>
        <w:t>II</w:t>
      </w:r>
    </w:p>
    <w:p w:rsidR="00000000" w:rsidRDefault="00000000">
      <w:pPr>
        <w:spacing w:before="240" w:after="240"/>
        <w:jc w:val="both"/>
        <w:rPr>
          <w:b/>
          <w:bCs/>
          <w:sz w:val="22"/>
          <w:szCs w:val="22"/>
        </w:rPr>
      </w:pPr>
      <w:r>
        <w:rPr>
          <w:b/>
          <w:bCs/>
          <w:sz w:val="22"/>
          <w:szCs w:val="22"/>
        </w:rPr>
        <w:t xml:space="preserve">Право на создание ассоциаций и коллективные переговоры </w:t>
      </w:r>
    </w:p>
    <w:p w:rsidR="00000000" w:rsidRDefault="00000000">
      <w:pPr>
        <w:pStyle w:val="112"/>
        <w:spacing w:after="240"/>
      </w:pPr>
      <w:r>
        <w:t>143.</w:t>
      </w:r>
      <w:r>
        <w:tab/>
        <w:t>Индия признает наличие связей между принципом свободы ассоциации и эффективного признания права на ведение коллективных переговоров и правами человека и демократией в целом;  его взаимосвязь с трудовыми конфликтами;  его социально-экономические последствия;  и его роль в контексте сокращения масштабов нищеты.  Из года в год Индия активизирует свои усилия по поддержанию демократии, недопущению дискриминации, обеспечению свободы создания независимых объединений и проведению свободных и честных выборов.  С годами в Индии получила также свое развитие система заключения коллективных договоров в качестве метода урегулирования трудовых конфликтов.</w:t>
      </w:r>
    </w:p>
    <w:p w:rsidR="00000000" w:rsidRDefault="00000000">
      <w:pPr>
        <w:pStyle w:val="112"/>
      </w:pPr>
      <w:r>
        <w:t>144.</w:t>
      </w:r>
      <w:r>
        <w:tab/>
        <w:t>Информация о правах профсоюзов была представлена Индией Комитету в 1986 году (</w:t>
      </w:r>
      <w:r>
        <w:rPr>
          <w:lang w:val="en-US"/>
        </w:rPr>
        <w:t>E</w:t>
      </w:r>
      <w:r>
        <w:t>/1984/6/</w:t>
      </w:r>
      <w:r>
        <w:rPr>
          <w:lang w:val="en-US"/>
        </w:rPr>
        <w:t>Add</w:t>
      </w:r>
      <w:r>
        <w:t>.13, пункты 36–38).  При подготовке этого доклада в соответствии с пересмотренными общими руководящими принципами Комитета (документ </w:t>
      </w:r>
      <w:r>
        <w:rPr>
          <w:lang w:val="en-US"/>
        </w:rPr>
        <w:t>HRI</w:t>
      </w:r>
      <w:r>
        <w:t>/</w:t>
      </w:r>
      <w:r>
        <w:rPr>
          <w:lang w:val="en-US"/>
        </w:rPr>
        <w:t>GEN </w:t>
      </w:r>
      <w:r>
        <w:t xml:space="preserve">12/2 от 14 апреля 2000 года) внимание было уделено вопросам, поднятым на различных форумах рядом профессиональных союзов.  К этим вопросам относятся:  нератификация конвенций № 87, 98 и 151 МОТ, разграничение, проводимое правительством Индии между государственными служащими и другими работниками, трудящимися-мигрантами и работниками, занятыми в ЗЭП/ОЭЗ, направление предварительного уведомления о забастовке государственными служащими и некоторыми категориями работников предприятий негосударственного сектора, толкование понятия "основные службы", обязательное или автоматическое признание профсоюзов, сфера охвата коллективного договора, репрессии в отношении работников со стороны руководства предприятий, предоставление права на присоединение к профессиональным союзам многих категорий работников в государственном секторе, таких как пожарные, работники правоохранительных органов, персонал тюрем, работники </w:t>
      </w:r>
      <w:r>
        <w:br/>
      </w:r>
      <w:r>
        <w:br/>
        <w:t>судебной системы и личный состав сил национальной обороны и т. д.  Профессиональные союзы выражали также обеспокоенность в связи с предложениями о внесении поправок в Закон о трудовых спорах 1947 года и Закон о контрактных работниках (регулирование и отмена) 1970 года.  Помимо этого, Всеиндийский конгресс профессиональных союзов (ВИКПС) выступил с утверждениями относительно того, что принцип свободы ассоциации и эффективного признания права на ведение коллективных переговоров признается лишь частично.  Правительство Индии последовательно уделяло должное внимание мнениям профессиональных союзов и принимало их к сведению при разработке законов и политики, касающихся прав профессиональных союзов.  В настоящем докладе основное внимание уделено ключевым изменениям в плане законодательства, политики и мер, принимаемых различными органами правительства Индии для обеспечения и поощрения свободы ассоциации и заключения коллективных договоров.</w:t>
      </w:r>
    </w:p>
    <w:p w:rsidR="00000000" w:rsidRDefault="00000000">
      <w:pPr>
        <w:pStyle w:val="112"/>
      </w:pPr>
      <w:r>
        <w:t>145.</w:t>
      </w:r>
      <w:r>
        <w:tab/>
        <w:t>Права и функции профессиональных союзов регулируются Конституцией Индии и различными национальными законами.  К числу конкретных законодательных актов, в которых подчеркивается принцип свободы ассоциации и эффективного признания права на ведение коллективных переговоров, относятся Закон о профсоюзах 1926 года, часть </w:t>
      </w:r>
      <w:r>
        <w:rPr>
          <w:lang w:val="en-US"/>
        </w:rPr>
        <w:t>III</w:t>
      </w:r>
      <w:r>
        <w:t xml:space="preserve"> Дисциплинарного кодекса и Закон о трудовых спорах 1947 года. </w:t>
      </w:r>
    </w:p>
    <w:p w:rsidR="00000000" w:rsidRDefault="00000000">
      <w:pPr>
        <w:pStyle w:val="112"/>
      </w:pPr>
      <w:r>
        <w:t>146.</w:t>
      </w:r>
      <w:r>
        <w:tab/>
        <w:t>Основой для практической деятельности профсоюзов служит право на создание объединений, гарантированное в качестве основополагающего права статьей 19(1)(с) Конституции.  Однако статья 19(4) Конституции предоставляет государству право налагать разумные ограничения в интересах обеспечения суверенитета и целостности Индии или в интересах публичного порядка или морали.</w:t>
      </w:r>
    </w:p>
    <w:p w:rsidR="00000000" w:rsidRDefault="00000000">
      <w:pPr>
        <w:pStyle w:val="112"/>
        <w:rPr>
          <w:rStyle w:val="111"/>
        </w:rPr>
      </w:pPr>
      <w:r>
        <w:rPr>
          <w:rStyle w:val="111"/>
        </w:rPr>
        <w:t>147.</w:t>
      </w:r>
      <w:r>
        <w:rPr>
          <w:rStyle w:val="111"/>
        </w:rPr>
        <w:tab/>
        <w:t>Право на создание объединений включает в себя право на создание профессиональных союзов в законных целях (</w:t>
      </w:r>
      <w:r>
        <w:rPr>
          <w:i/>
          <w:iCs/>
        </w:rPr>
        <w:t xml:space="preserve">Кулкарни против штата Бомбей, </w:t>
      </w:r>
      <w:r>
        <w:rPr>
          <w:i/>
          <w:iCs/>
          <w:lang w:val="en-US"/>
        </w:rPr>
        <w:t>AIR </w:t>
      </w:r>
      <w:r>
        <w:rPr>
          <w:i/>
          <w:iCs/>
        </w:rPr>
        <w:t xml:space="preserve">1931 </w:t>
      </w:r>
      <w:r>
        <w:rPr>
          <w:i/>
          <w:iCs/>
          <w:lang w:val="en-US"/>
        </w:rPr>
        <w:t>Bom</w:t>
      </w:r>
      <w:r>
        <w:rPr>
          <w:i/>
          <w:iCs/>
        </w:rPr>
        <w:t xml:space="preserve"> 105, и Б.Р. Сингх против Индийского Союза, 1989 4 </w:t>
      </w:r>
      <w:r>
        <w:rPr>
          <w:i/>
          <w:iCs/>
          <w:lang w:val="en-US"/>
        </w:rPr>
        <w:t>SCC</w:t>
      </w:r>
      <w:r>
        <w:rPr>
          <w:i/>
          <w:iCs/>
        </w:rPr>
        <w:t xml:space="preserve"> 719</w:t>
      </w:r>
      <w:r>
        <w:rPr>
          <w:rStyle w:val="111"/>
        </w:rPr>
        <w:t>).  В соответствии с установленными государством нормами поведения государственные служащие могут создавать ассоциации социального обеспечения и присоединяться к ним, а такие ассоциации  признаваться государством.  Это право применяется без ограничений, за исключением отдельных видов занятости, применительно к которым работодателем является государство, а объединение, созданное наемными работниками, не может быть зарегистрировано в качестве профсоюза, действующего в сфере суверенных функций государства.  Подобное отрицание одного из основных прав в областях, которые относятся исключительно к сфере правовых или суверенных функций, обосновывается необходимостью обеспечения государственных интересов.  Наличие такого дифференцированного режима было сочтено исключительно важным в контексте, характеризующемся высокой степенью политизации профсоюзов в стране и их солидаризацией с той или иной политической партией, которые в свою очередь нередко формируются исходя из соображений, обусловленных принадлежностью к той или иной группе общества.  В подобных обстоятельствах Индия считает, что политический нейтралитет государственных служащих является абсолютно необходимым условием для функционирования правительства, в состав которого входят представители различных партий и конфессий.  Однако на практике сотрудникам правительственных органов нередко предоставлялась возможность использовать свои объединения в качестве профсоюзов в том плане, что они могли обсуждать с руководством размеры их заработной платы и условия службы, объявлять забастовки, проводить демонстрации и вести переговоры с правительством.</w:t>
      </w:r>
    </w:p>
    <w:p w:rsidR="00000000" w:rsidRDefault="00000000">
      <w:pPr>
        <w:pStyle w:val="112"/>
      </w:pPr>
      <w:r>
        <w:t>148.</w:t>
      </w:r>
      <w:r>
        <w:tab/>
        <w:t>Гражданские служащие в основных государственных ведомствах центрального правительства и правительств штатов также полностью охвачены рамками деятельности их объединений, хотя те не могут быть зарегистрированы в качестве профессиональных союзов и пользоваться в этом качестве статусом, дающим им право на заключение коллективных договоров.  Тем не менее правительство ведет с ними подобные переговоры, и Совместный консультативный механизм (СКМ), созданный по образцу британского Совета Уитли, поддерживается в хорошем рабочем состоянии.  Национальный совет заключает соглашения, затрагивающие более 2,5 млн. служащих учреждений центрального правительства.  Эти тенденции все более отчетливо проявляются и в контексте деятельности правительств штатов.  К примеру,  ряд имеющихся на уровне штатов советов по вопросам электроснабжения, представляющих собой органы, предусмотренные законодательством, сталкивался с проблемой затяжных забастовок.  Забастовки объявлялись также учителями и персоналом больниц, включая врачей.  В ряде штатов профсоюзам приходилось вести весьма напряженную борьбу за предоставление им основных прав на ведение переговоров.</w:t>
      </w:r>
    </w:p>
    <w:p w:rsidR="00000000" w:rsidRDefault="00000000">
      <w:pPr>
        <w:pStyle w:val="112"/>
      </w:pPr>
      <w:r>
        <w:t>149.</w:t>
      </w:r>
      <w:r>
        <w:tab/>
        <w:t>Таким образом, хотя в теории правительство по-прежнему настаивает на соблюдении норм поведения государственными служащими и отказывается иметь дело с объединениями государственных служащих, на практике оно ведет с ними диалог и достигает определенных договоренностей.</w:t>
      </w:r>
    </w:p>
    <w:p w:rsidR="00000000" w:rsidRDefault="00000000">
      <w:pPr>
        <w:pStyle w:val="112"/>
      </w:pPr>
      <w:r>
        <w:t>150.</w:t>
      </w:r>
      <w:r>
        <w:tab/>
        <w:t>Объединения сотрудников центральных государственных служб признаются в Положениях о центральных государственных службах (признание объединений сотрудников служб) 1993 года.  Аналогичным образом, объединения сотрудников государственной службы штатов признаются правительствами соответствующих штатов.  В Индии механизмами, имеющимися в распоряжении гражданских служащих для урегулирования их претензий, являются Совместный консультативный механизм и суды по делам гражданской службы, созданные центральным правительством и правительствами штатов с привлечением сотрудников судебных и административных органов по образцу французских и немецких судов по делам гражданской службы.  Эти суды служат форумом для дружеского урегулирования споров и рассмотрения претензий.  Действующий в рамках СКМ Арбитражный совет, созданный в июле 1968 года, имеет в своем составе группу членов, представляющих персонал и официальных должностных лиц.  В период 1999–2000 годов (по 31 декабря) в Совет было представлено 241 дело,  из которых 238 были разрешены.  Здесь стоит отметить, что рабочие и служащие государственных служб, работающие на предприятиях государственного сектора, подпадают под действие Закона о профсоюзах 1926 года и их объединения могут быть зарегистрированы в соответствии с этим законом и, таким образом, могут обладать правом на иммунитеты.</w:t>
      </w:r>
    </w:p>
    <w:p w:rsidR="00000000" w:rsidRDefault="00000000">
      <w:pPr>
        <w:pStyle w:val="112"/>
      </w:pPr>
      <w:r>
        <w:t>151.</w:t>
      </w:r>
      <w:r>
        <w:tab/>
        <w:t xml:space="preserve">В качестве иллюстрации следует отметить прочные позиции профессиональных союзов среди таких государственных предприятий, управляемых соответствующими ведомствами, как Индийские железные дороги, почта и телеграф, оборонные предприятия и т. д.  Они являются крупными работодателями. Одни только Индийские железные дороги обеспечивают работой примерно 1,7 млн. человек.  Железнодорожное, почтово-телеграфное и другие ведомства разработали свои соответствующие системы ведения переговоров с признанными профсоюзами.  </w:t>
      </w:r>
    </w:p>
    <w:p w:rsidR="00000000" w:rsidRDefault="00000000">
      <w:pPr>
        <w:pStyle w:val="112"/>
        <w:rPr>
          <w:rStyle w:val="111"/>
        </w:rPr>
      </w:pPr>
      <w:r>
        <w:rPr>
          <w:rStyle w:val="111"/>
        </w:rPr>
        <w:t>152.</w:t>
      </w:r>
      <w:r>
        <w:rPr>
          <w:rStyle w:val="111"/>
        </w:rPr>
        <w:tab/>
        <w:t>В статье 8 (2) МПЭСКП говорится, что она не препятствует введению государством ограничений в отношении права на создание профессиональных союзов и присоединение к профессиональным союзам и осуществления этого права, гарантируемого данной статьей.  Законодательство Индии находится в полном соответствии со статьей 8 (2) и обеспечивает работникам по найму, за исключением отдельных категорий работников, полную свободу в плане создания профессиональных союзов и ведения переговоров для отстаивания своих интересов.  Упомянутые выше ограничения предусмотрены в статье 33 в отношении нескольких категорий.  Статья 33 наделяет парламент правом налагать ограничения в отношении определенных категорий.  К числу таких категорий, определенных в статье 33, в частности, относятся:  а)  лица, состоящие на службе в вооруженных силах;  или b)  лица, состоящие на службе в силах, которым поручено поддержание общественного порядка</w:t>
      </w:r>
      <w:r>
        <w:rPr>
          <w:rStyle w:val="FootnoteReference"/>
        </w:rPr>
        <w:footnoteReference w:customMarkFollows="1" w:id="23"/>
        <w:t>22</w:t>
      </w:r>
      <w:r>
        <w:rPr>
          <w:rStyle w:val="111"/>
        </w:rPr>
        <w:t>.</w:t>
      </w:r>
    </w:p>
    <w:p w:rsidR="00000000" w:rsidRDefault="00000000">
      <w:pPr>
        <w:pStyle w:val="112"/>
        <w:rPr>
          <w:rStyle w:val="111"/>
        </w:rPr>
      </w:pPr>
      <w:r>
        <w:rPr>
          <w:rStyle w:val="111"/>
        </w:rPr>
        <w:t>153.</w:t>
      </w:r>
      <w:r>
        <w:rPr>
          <w:rStyle w:val="111"/>
        </w:rPr>
        <w:tab/>
        <w:t>За исключением работников, занятых в тех областях государственной деятельности, в которых речь идет о выполнении функций исключительно суверенного характера, союзы работников как в государственном, публичном, так и в частном секторах могут, опираясь на предусмотренные законом гарантии, вступать в трудовые споры. Права профсоюзов в Индии прописаны в различных законах, а также в добровольных кодексах, таких как Добровольный дисциплинарный кодекс</w:t>
      </w:r>
      <w:r>
        <w:rPr>
          <w:rStyle w:val="FootnoteReference"/>
        </w:rPr>
        <w:footnoteReference w:customMarkFollows="1" w:id="24"/>
        <w:t>23</w:t>
      </w:r>
      <w:r>
        <w:rPr>
          <w:rStyle w:val="111"/>
        </w:rPr>
        <w:t xml:space="preserve">. Цель принятия Закона о профсоюзах 1926 года заключалась в том, чтобы предусмотреть регистрацию союзов и тем самым предоставить им статус добросовестных профессиональных объединений, обеспечить гарантиями права членов и урегулировать ряд других вопросов.  Обязательного характера регистрации союзов в нем придано не было;  однако зарегистрированные союзы в некоторых случаях пользуются защитой применительно как к гражданской, так и к уголовной ответственности. </w:t>
      </w:r>
    </w:p>
    <w:p w:rsidR="00000000" w:rsidRDefault="00000000">
      <w:pPr>
        <w:pStyle w:val="112"/>
      </w:pPr>
      <w:r>
        <w:t>154.</w:t>
      </w:r>
      <w:r>
        <w:tab/>
        <w:t xml:space="preserve">В 1947 году был принят Закон о поправках к Закону о профсоюзах 1926 года, в котором предусматривались признание союзов и обязательность переговоров по трудовым вопросам, определялись права признанных профсоюзов и объявлялись незаконными недобросовестные методы, перечень которых был приведен в этом законе, однако обнародовать этот закон и обеспечить его применение на практике не удалось.  В отсутствие общего консенсуса по упомянутым законодательным положениям был создан наделенный значительными полномочиями трехсторонний орган в составе представителей лиц наемного труда и правительства, который проводит совещания один раз в год.  На пятнадцатой сессии Индийской конференции труда в 1957 году был принят Дисциплинарный кодекс, в котором предусматривается добровольное признание профессиональных союзов работодателями (Часть </w:t>
      </w:r>
      <w:r>
        <w:rPr>
          <w:lang w:val="en-US"/>
        </w:rPr>
        <w:t>III</w:t>
      </w:r>
      <w:r>
        <w:t xml:space="preserve"> (</w:t>
      </w:r>
      <w:r>
        <w:rPr>
          <w:lang w:val="en-US"/>
        </w:rPr>
        <w:t>vii</w:t>
      </w:r>
      <w:r>
        <w:t xml:space="preserve">) Дисциплинарного кодекса).  В соответствии с Дисциплинарным кодексом признание зарегистрированных профессиональных союзов является обязательным в силу связанных с этим моральных соображений.  Возможно, здесь уместно отметить, что трудовые отношения представляют собой один из существенных вопросов, включенных в Перечень вопросов, отнесенных к совместной компетенции Союза и штатов, и поэтому соответствующие законы могут приниматься как на уровне отдельных штатов, так и на общенациональном уровне.  В контексте осуществления законодательной власти правительства нескольких штатов приняли законы в этой области, которые применяются на ограничительной основе в рамках их соответствующих сфер компетенции.  </w:t>
      </w:r>
    </w:p>
    <w:p w:rsidR="00000000" w:rsidRDefault="00000000">
      <w:pPr>
        <w:pStyle w:val="112"/>
      </w:pPr>
      <w:r>
        <w:t>155.</w:t>
      </w:r>
      <w:r>
        <w:tab/>
        <w:t>Если говорить о законодательстве на уровне штатов, то в штате Мадхья-Прадеш в 1946 году был принят Закон о трудовых отношениях в Бомбее (ТОБ), и его положения послужили основой для внесения поправок в Закон о профессиональных союзах; в частности, в нем был предусмотрен перечень "утвержденных профсоюзов",  ведение которого поручалось Регистратору.  Любой представительный союз или, в его отсутствие, любой зарегистрированный союз может обращаться с ходатайством о предоставлении ему статуса утвержденного союза.  В Законе о ТОБ 1946 года предусмотрено ведение реестра утвержденных союзов и представительных союзов для обеспечения законного признания в "ограниченном районе".  Данный закон применяется в штатах Махараштра и Гуджарат, и аналогичные принципы нашли свое отражение в законодательстве штата Мадхья-Прадеш.  "Квалифицированным" союзом может быть признан только зарегистрированный союз с членским составов не менее 25% от числа работающих в любой из отраслей в ограниченном районе.  Если ни один из союзов не может быть признан в качестве представительного или квалифицированного, то имеется возможность отнесения их к третьей категории, в которую входят первичные союзы с членским составом не менее 15% от числа работников, занятых на предприятии.  Каждая категория пользуется определенными преимуществами, предусмотренными законом, хотя правом на заключение коллективных договоров обладает лишь первая категория союзов.  Этот закон применяется лишь к тем отраслям, которые не подпадают под действие Закона о трудовых спорах.  Этим и объясняется ограниченность сферы его применения и то, что осуществление этого закона не получило широкого резонанса.  Аналогичным образом, в штате Раджастан – в контексте Закона о трудовых спорах (Раджастанская поправка) 1958 года – и в штате Бихар в 1959 году Центральный (постоянный) консультативный совет по вопросам труда провел резолюцию о признании профессиональных союзов, в которую позднее, в 1968 году, были внесены поправки.</w:t>
      </w:r>
    </w:p>
    <w:p w:rsidR="00000000" w:rsidRDefault="00000000">
      <w:pPr>
        <w:pStyle w:val="112"/>
      </w:pPr>
      <w:r>
        <w:t>156.</w:t>
      </w:r>
      <w:r>
        <w:tab/>
        <w:t>В 1972 году правительство штата Махараштра приняло важный закон – Закон штата Махараштра о признании союзов и предотвращении недобросовестной трудовой практики (Закон штата Махараштра 1972 года).  Ввести этот закон в действие удалось лишь в 1975 году.  В нем закреплено признание профессионального союза в качестве единственного представителя работающих по найму, отстаивающего их интересы, в рамках определенной отрасли и предусмотрены средства правовой защиты профсоюзов.  После признания статус профсоюза в качестве единственного представителя работающих по найму, отстаивающего их интересы, не может оспариваться в течение двух лет.  Союзы, не получившие такого статуса, имеют право передавать претензии своих членов и выступать от их лица при проведении ведомственных расследований.  Данный закон применяется ко всем отраслям, не подпадающим под действие Закона о трудовых отношениях в Бомбее.  Таким образом, благодаря этим двум законам был обеспечен охват всех размещенных в штате предприятий с числом наемных работников от 50 или более человек.  Решение о признании выносится Судом по трудовым вопросам, учрежденным в соответствии с рассматриваемым законом.</w:t>
      </w:r>
    </w:p>
    <w:p w:rsidR="00000000" w:rsidRDefault="00000000">
      <w:pPr>
        <w:pStyle w:val="112"/>
      </w:pPr>
      <w:r>
        <w:t>157.</w:t>
      </w:r>
      <w:r>
        <w:tab/>
        <w:t>Поскольку Закон штата Махараштра 1972 года не допускает признания более одного профсоюза применительно к какому-то конкретному предприятию, он тем самым закрепляет принцип "одна отрасль – один профсоюз".  Кроме того, повышенное внимание в этом законе уделяется надлежащему поведению профсоюза в качестве предварительного условия его признания.  Профсоюз, добивающийся признания, не должен объявлять незаконную забастовку или оказывать помощь в проведении такой забастовки в течение шести месяцев, предшествующих дате подачи им соответствующего ходатайства в Суд по трудовым вопросам, а после вынесения решения о его признании он обязан воздерживаться от использования недобросовестной практики, включая оказание поддержки в проведении незаконной забастовки.  В этом законе предусмотрено, что ведение переговоров по трудовым вопросам является обязанностью признанного профсоюза.  Отказ от проведения таких переговоров квалифицируется в качестве недобросовестной практики.  Таким образом, благодаря Закону штата Махараштра 1972 года свое воплощение на практике нашел ряд тех идей, которые были инкорпорированы в Закон о профсоюзах (поправка) 1947 года, но которым не удалось придать силу действующих норм по причинам, указанным выше.</w:t>
      </w:r>
    </w:p>
    <w:p w:rsidR="00000000" w:rsidRDefault="00000000">
      <w:pPr>
        <w:pStyle w:val="112"/>
      </w:pPr>
      <w:r>
        <w:t>158.</w:t>
      </w:r>
      <w:r>
        <w:tab/>
        <w:t xml:space="preserve">В этом законе был также реализован ряд идей, которые входят составной частью в Дисциплинарный кодекс 1958 года.  В нем перечислен ряд недобросовестных методов  трудовой практики со стороны работодателей, которые признаются незаконными.  К ним относятся:  а) вмешательство в осуществление наемными работниками их права на организацию или создание профессионального союза, присоединение к нему или оказание содействия его деятельности, введение ограничений на осуществление ими этого права или удержание их от осуществления такого права, </w:t>
      </w:r>
      <w:r>
        <w:rPr>
          <w:lang w:val="en-US"/>
        </w:rPr>
        <w:t>b</w:t>
      </w:r>
      <w:r>
        <w:t xml:space="preserve">) проявление чрезмерного интереса к деятельности профсоюза, с) объявление незаконного локаута, </w:t>
      </w:r>
      <w:r>
        <w:rPr>
          <w:lang w:val="en-US"/>
        </w:rPr>
        <w:t>f</w:t>
      </w:r>
      <w:r>
        <w:t>)  репрессии в отношении  работников и их увольнение не на добросовестной основе, а с целью наглядно продемонстрировать "права" работодателей – а также ряд других, таких как потворствование применению физической силы или насилия и отказ от выполнения арбитражного/судебного решения, условий урегулирования спора или соглашения.</w:t>
      </w:r>
    </w:p>
    <w:p w:rsidR="00000000" w:rsidRDefault="00000000">
      <w:pPr>
        <w:pStyle w:val="112"/>
      </w:pPr>
      <w:r>
        <w:t>159.</w:t>
      </w:r>
      <w:r>
        <w:tab/>
        <w:t>Ряд положений Закона о трудовых отношениях в Бомбее и Закона штата Махараштра 1972 года был включен во всеобъемлющий законопроект о трудовых отношениях 1978 года, который был представлен правительством Джанаты, но не был принят из-за роспуска палаты.</w:t>
      </w:r>
    </w:p>
    <w:p w:rsidR="00000000" w:rsidRDefault="00000000">
      <w:pPr>
        <w:pStyle w:val="112"/>
      </w:pPr>
      <w:r>
        <w:t>160.</w:t>
      </w:r>
      <w:r>
        <w:tab/>
        <w:t>Те различные инициативы, которые предпринимаются правительством Индии, могут быть расценены в качестве примеров успешной деятельности в отношении свободы ассоциации.  Например, в мае 2002 года было созвано совещание Постоянного комитета по вопросам труда (ПКТ), на которое были приглашены все центральные организации профессиональных союзов (ЦОПС).  Комитет является высшим трехсторонним органом, который проводит дискуссии на транспарентной основе и опосредованным образом содействует реализации установок правительства на поощрение свободы ассоциации  среди профсоюзов и работников.  Помимо этого, ЦОПС как организациям с самым большим членским составом была дана возможность представлять трудящихся и отстаивать их интересы в ходе работы второй Национальной комиссии по вопросам труда (2002 год).</w:t>
      </w:r>
    </w:p>
    <w:p w:rsidR="00000000" w:rsidRDefault="00000000">
      <w:pPr>
        <w:pStyle w:val="112"/>
        <w:rPr>
          <w:rStyle w:val="111"/>
        </w:rPr>
      </w:pPr>
      <w:r>
        <w:rPr>
          <w:rStyle w:val="111"/>
        </w:rPr>
        <w:t>161.</w:t>
      </w:r>
      <w:r>
        <w:rPr>
          <w:rStyle w:val="111"/>
        </w:rPr>
        <w:tab/>
        <w:t>Правительство Индии не только не противодействует заключению коллективных договоров, но, напротив, стремится содействовать их достижению при условии соблюдения ограничений, касающихся принятия консенсусных решений по ряду вопросов на общенациональном уровне, таким как законодательная основа признания профсоюзов и методология определения единственного представителя лиц наемного труда на основе принятия законодательных решений.  Действительно, приняв Дисциплинарный кодекс, оно даже содействовало развитию этой идеи, и в любом случае правительство предпочитает не вмешиваться, если стороны способны достичь договоренности, не прибегая к открытому конфликту. Основным законом, направленным на регулирование коллективных взаимоотношений между работодателями и работниками, является Закон о трудовых спорах 1947 года, который не только предусматривает возможность использования под эгидой государства механизма примирения в качестве вспомогательного средства, содействующего заключению коллективного договора и урегулированию отношений между сторонами, но и наделяет правовой силой коллективный договор, достигнутый между сторонами, и предусматривает обязательность выполнения его положений</w:t>
      </w:r>
      <w:r>
        <w:rPr>
          <w:rStyle w:val="FootnoteReference"/>
        </w:rPr>
        <w:footnoteReference w:customMarkFollows="1" w:id="25"/>
        <w:t>24</w:t>
      </w:r>
      <w:r>
        <w:rPr>
          <w:rStyle w:val="111"/>
        </w:rPr>
        <w:t>.</w:t>
      </w:r>
    </w:p>
    <w:p w:rsidR="00000000" w:rsidRDefault="00000000">
      <w:pPr>
        <w:pStyle w:val="112"/>
      </w:pPr>
      <w:r>
        <w:t>162.</w:t>
      </w:r>
      <w:r>
        <w:tab/>
        <w:t>Правило 81-А, содержащееся в этом законе, предусматривает обязательность решения споров и приведение в исполнение вынесенных решений.  В этом правиле было определено неизменное направление развития системы трудовых отношений, а решающая роль была отведена правительственному механизму регулирования трудовых отношений (МТО), предусмотренному Законом о трудовых спорах 1947 года.</w:t>
      </w:r>
    </w:p>
    <w:p w:rsidR="00000000" w:rsidRDefault="00000000">
      <w:pPr>
        <w:pStyle w:val="112"/>
      </w:pPr>
      <w:r>
        <w:t>163.</w:t>
      </w:r>
      <w:r>
        <w:tab/>
        <w:t>Несмотря на правовые ограничения и слабость инфраструктуры, коллективные договоры по-прежнему широко признаются и все активнее используются на практике как на уровне предприятий, так и на уровне отраслей. Соглашения на уровне предприятий имеют более широкое распространение, но в ведущих промышленных центрах заключение коллективных договоров практикуется, в частности, в таких отраслях, как хлопчатобумажная текстильная промышленность, производство синтетических материалов, производство шелковых тканей, джутовая текстильная промышленность, плантационное сельское хозяйство, добыча угля, переработка и распределение нефти, сталелитейная отрасль, производство алюминия и порты и доки.  В некоторых отраслях были подписаны общеиндийские соглашения, хотя чаще встречаются модели привязки к конкретному региону и отрасли.  Порты и доки, Корпорация страхования жизни и национализированные банки подписали общеиндийские соглашения, заложив надежные традиции урегулирования трудовых отношений путем переговоров.  В соглашениях, заключаемых на уровне предприятий, сохраняется формальная связь с Дисциплинарным кодексом.  Основные положения соглашений, достигнутых при посредничестве МТО с участием 100 и более работников, регулярно публикуются в "Индиан лэйбор джорнал".  Они касаются вопросов местного значения на уровне отдельных предприятий, таких как денежные премии, специальные надбавки, отпуска и выходные дни, условия труда, униформа и спецодежда, возраст выхода на пенсию и т. д.  По сообщениям Федерации работодателей Индии, после внесения поправок в Закон о трудовых спорах в 1956 году доля споров, разрешаемых путем заключения коллективных соглашений, возросла.</w:t>
      </w:r>
    </w:p>
    <w:p w:rsidR="00000000" w:rsidRDefault="00000000">
      <w:pPr>
        <w:pStyle w:val="112"/>
      </w:pPr>
      <w:r>
        <w:t>164.</w:t>
      </w:r>
      <w:r>
        <w:tab/>
        <w:t xml:space="preserve">В государственном секторе практика заключения коллективных договоров имеет широкое распространение как на уровне отраслей, так и на уровне отдельных предприятий.  Значительную стимулирующую роль сыграл успех, достигнутый в проведении совместных переговоров с участием всех крупных профсоюзов, включая профсоюзы меньшинств, в ряде отраслей, в частности в сталелитейной промышленности.  Ключевые договоренности по существенным вопросам были достигнуты в отношении введения систем выплаты премий в зависимости от производительности труда работникам Индийских железных дорог, почты и телеграфа, воздушного транспорта и т. д.  Аналогичные соглашения были подписаны в отрасли гостиничного хозяйства и ряде отраслей частного сектора.  </w:t>
      </w:r>
    </w:p>
    <w:p w:rsidR="00000000" w:rsidRDefault="00000000">
      <w:pPr>
        <w:pStyle w:val="112"/>
      </w:pPr>
      <w:r>
        <w:t>165.</w:t>
      </w:r>
      <w:r>
        <w:tab/>
        <w:t>Если говорить о ЗЭП/ОЭЗ, то положение здесь с правовой точки зрения таково, что какие-либо ограничения на деятельность профессиональных союзов работников отсутствуют и они могут осуществлять свои права точно так же, как это делают другие работники и их профессиональные союзы в любом другом месте страны.</w:t>
      </w:r>
    </w:p>
    <w:p w:rsidR="00000000" w:rsidRDefault="00000000">
      <w:pPr>
        <w:jc w:val="both"/>
        <w:rPr>
          <w:b/>
          <w:bCs/>
          <w:sz w:val="24"/>
        </w:rPr>
      </w:pPr>
    </w:p>
    <w:p w:rsidR="00000000" w:rsidRDefault="00000000">
      <w:pPr>
        <w:keepNext/>
        <w:spacing w:before="120"/>
        <w:jc w:val="both"/>
        <w:rPr>
          <w:b/>
          <w:bCs/>
          <w:sz w:val="22"/>
          <w:szCs w:val="22"/>
        </w:rPr>
      </w:pPr>
      <w:r>
        <w:rPr>
          <w:b/>
          <w:bCs/>
          <w:sz w:val="22"/>
          <w:szCs w:val="22"/>
        </w:rPr>
        <w:t>Структура профессиональных союзов и членский состав</w:t>
      </w:r>
    </w:p>
    <w:p w:rsidR="00000000" w:rsidRDefault="00000000">
      <w:pPr>
        <w:pStyle w:val="112"/>
        <w:keepNext/>
        <w:spacing w:after="240"/>
      </w:pPr>
      <w:r>
        <w:t>166.</w:t>
      </w:r>
      <w:r>
        <w:tab/>
        <w:t>Как представляется, основной отличительной чертой профсоюзного движения в Индии является размытость и сложность его структуры, а также то, что оно не соответствует какому-то одному известному типу.  Наличие общеотраслевых, а также общесекторальных отличий наблюдается достаточно часто.  Профессиональные союзы представляют собой демократичные организации, отчитывающиеся перед своими членами за проводимую политику и принимаемые решения.  Профсоюзам разрешается присоединяться к международным организациям профессиональных союзов.  Обычно они имеют следующую структуру:</w:t>
      </w:r>
    </w:p>
    <w:p w:rsidR="00000000" w:rsidRDefault="00000000">
      <w:pPr>
        <w:numPr>
          <w:ilvl w:val="0"/>
          <w:numId w:val="2"/>
        </w:numPr>
        <w:tabs>
          <w:tab w:val="clear" w:pos="927"/>
          <w:tab w:val="left" w:pos="567"/>
          <w:tab w:val="left" w:pos="1134"/>
          <w:tab w:val="left" w:pos="1701"/>
          <w:tab w:val="left" w:pos="2268"/>
          <w:tab w:val="left" w:pos="6237"/>
        </w:tabs>
        <w:spacing w:after="240"/>
        <w:ind w:left="1701" w:hanging="567"/>
        <w:jc w:val="both"/>
        <w:rPr>
          <w:sz w:val="22"/>
          <w:szCs w:val="22"/>
        </w:rPr>
      </w:pPr>
      <w:r>
        <w:rPr>
          <w:sz w:val="22"/>
          <w:szCs w:val="22"/>
        </w:rPr>
        <w:t>члены – лица, которые платят взносы за членство в профсоюзе;</w:t>
      </w:r>
    </w:p>
    <w:p w:rsidR="00000000" w:rsidRDefault="00000000">
      <w:pPr>
        <w:numPr>
          <w:ilvl w:val="0"/>
          <w:numId w:val="2"/>
        </w:numPr>
        <w:tabs>
          <w:tab w:val="clear" w:pos="927"/>
          <w:tab w:val="left" w:pos="567"/>
          <w:tab w:val="left" w:pos="1134"/>
          <w:tab w:val="left" w:pos="1701"/>
          <w:tab w:val="left" w:pos="2268"/>
          <w:tab w:val="left" w:pos="6237"/>
        </w:tabs>
        <w:spacing w:after="240"/>
        <w:ind w:left="1701" w:hanging="567"/>
        <w:jc w:val="both"/>
        <w:rPr>
          <w:sz w:val="22"/>
          <w:szCs w:val="22"/>
        </w:rPr>
      </w:pPr>
      <w:r>
        <w:rPr>
          <w:sz w:val="22"/>
          <w:szCs w:val="22"/>
        </w:rPr>
        <w:t>местные отделения – отделения профсоюза, оказывающие поддержку его членам в различных организациях на местном уровне.  Местное отделение профсоюза, как правило, возглавляет секретарь отделения, избираемый местными членами;</w:t>
      </w:r>
    </w:p>
    <w:p w:rsidR="00000000" w:rsidRDefault="00000000">
      <w:pPr>
        <w:numPr>
          <w:ilvl w:val="0"/>
          <w:numId w:val="2"/>
        </w:numPr>
        <w:tabs>
          <w:tab w:val="clear" w:pos="927"/>
          <w:tab w:val="left" w:pos="567"/>
          <w:tab w:val="left" w:pos="1134"/>
          <w:tab w:val="left" w:pos="1701"/>
          <w:tab w:val="left" w:pos="2268"/>
          <w:tab w:val="left" w:pos="6237"/>
        </w:tabs>
        <w:spacing w:after="240"/>
        <w:ind w:left="1701" w:hanging="567"/>
        <w:jc w:val="both"/>
        <w:rPr>
          <w:sz w:val="22"/>
          <w:szCs w:val="22"/>
        </w:rPr>
      </w:pPr>
      <w:r>
        <w:rPr>
          <w:sz w:val="22"/>
          <w:szCs w:val="22"/>
        </w:rPr>
        <w:t>окружные и/или региональные отделения – эти отделения, как правило, укомплектованы освобожденными профсоюзными работниками.  Сотрудники этих отделений оказывают консультативную помощь и поддержку членам профсоюза на местном уровне и получают за это заработную плату;</w:t>
      </w:r>
    </w:p>
    <w:p w:rsidR="00000000" w:rsidRDefault="00000000">
      <w:pPr>
        <w:numPr>
          <w:ilvl w:val="0"/>
          <w:numId w:val="2"/>
        </w:numPr>
        <w:tabs>
          <w:tab w:val="clear" w:pos="927"/>
          <w:tab w:val="left" w:pos="567"/>
          <w:tab w:val="left" w:pos="1134"/>
          <w:tab w:val="left" w:pos="1701"/>
          <w:tab w:val="left" w:pos="2268"/>
          <w:tab w:val="left" w:pos="6237"/>
        </w:tabs>
        <w:spacing w:before="240" w:after="240"/>
        <w:ind w:left="1701" w:hanging="567"/>
        <w:jc w:val="both"/>
        <w:rPr>
          <w:sz w:val="22"/>
          <w:szCs w:val="22"/>
        </w:rPr>
      </w:pPr>
      <w:r>
        <w:rPr>
          <w:sz w:val="22"/>
          <w:szCs w:val="22"/>
        </w:rPr>
        <w:t>Национальное бюро – штаб-квартира профсоюза, оказывающая поддержку членам профсоюза и проводящая переговоры или кампании в целях улучшения условий их труда.  Во главе профсоюзной организации, как правило, стоят председатель, заместитель председателя и генеральный секретарь и национальный исполнительный совет/центральный исполнительный комитет, избираемые членами профсоюза.</w:t>
      </w:r>
    </w:p>
    <w:p w:rsidR="00000000" w:rsidRDefault="00000000">
      <w:pPr>
        <w:spacing w:before="240" w:after="240"/>
        <w:jc w:val="both"/>
        <w:rPr>
          <w:b/>
          <w:bCs/>
          <w:sz w:val="22"/>
          <w:szCs w:val="22"/>
        </w:rPr>
      </w:pPr>
      <w:r>
        <w:rPr>
          <w:b/>
          <w:bCs/>
          <w:sz w:val="22"/>
          <w:szCs w:val="22"/>
        </w:rPr>
        <w:t xml:space="preserve">Раздел  </w:t>
      </w:r>
      <w:r>
        <w:rPr>
          <w:b/>
          <w:bCs/>
          <w:sz w:val="22"/>
          <w:szCs w:val="22"/>
          <w:lang w:val="en-US"/>
        </w:rPr>
        <w:t>III</w:t>
      </w:r>
    </w:p>
    <w:p w:rsidR="00000000" w:rsidRDefault="00000000">
      <w:pPr>
        <w:spacing w:before="240" w:after="240"/>
        <w:jc w:val="both"/>
        <w:rPr>
          <w:b/>
          <w:bCs/>
          <w:sz w:val="22"/>
          <w:szCs w:val="22"/>
        </w:rPr>
      </w:pPr>
      <w:r>
        <w:rPr>
          <w:b/>
          <w:bCs/>
          <w:sz w:val="22"/>
          <w:szCs w:val="22"/>
        </w:rPr>
        <w:t>Право на забастовку</w:t>
      </w:r>
    </w:p>
    <w:p w:rsidR="00000000" w:rsidRDefault="00000000">
      <w:pPr>
        <w:spacing w:before="240" w:after="240"/>
        <w:jc w:val="both"/>
        <w:rPr>
          <w:rStyle w:val="111"/>
        </w:rPr>
      </w:pPr>
      <w:r>
        <w:rPr>
          <w:rStyle w:val="111"/>
        </w:rPr>
        <w:t>167.</w:t>
      </w:r>
      <w:r>
        <w:rPr>
          <w:rStyle w:val="111"/>
        </w:rPr>
        <w:tab/>
        <w:t xml:space="preserve">С принятием Закона о профсоюзах 1926 года профессиональные союзы стали легитимными органами, обладающими правом на заключение коллективных трудовых договоров вместо индивидуальных договоров.  В целях оказания содействия заключению коллективных договоров в этом законе предусмотрено предоставление в определенных обстоятельствах иммунитетов зарегистрированным профессиональным союзам, их членам и освобожденным профсоюзным работникам от несения гражданской и уголовной ответственности по общему праву.  Цель наделения их этими иммунитетами заключается в том, чтобы придать законность праву на забастовку в случае его реализации в соответствии с правомерной деятельностью профсоюзов и без применения силы или угрозы ее применения.  После вступления в силу Конституции Индии 26 июня 1950 года, в которой гарантированы различные основные права, включая право на создание ассоциаций, служащие, являвшиеся стороной в деле </w:t>
      </w:r>
      <w:r>
        <w:rPr>
          <w:i/>
          <w:iCs/>
          <w:sz w:val="22"/>
        </w:rPr>
        <w:t>Всеиндийская ассоциация банковских служащих против Национального суда по трудовым спорам</w:t>
      </w:r>
      <w:r>
        <w:rPr>
          <w:rStyle w:val="111"/>
        </w:rPr>
        <w:t xml:space="preserve">, </w:t>
      </w:r>
      <w:r>
        <w:rPr>
          <w:i/>
          <w:sz w:val="22"/>
          <w:lang w:val="en-US"/>
        </w:rPr>
        <w:t>AIR </w:t>
      </w:r>
      <w:r>
        <w:rPr>
          <w:i/>
          <w:sz w:val="22"/>
        </w:rPr>
        <w:t xml:space="preserve">1962 </w:t>
      </w:r>
      <w:r>
        <w:rPr>
          <w:i/>
          <w:sz w:val="22"/>
          <w:lang w:val="en-US"/>
        </w:rPr>
        <w:t>SC</w:t>
      </w:r>
      <w:r>
        <w:rPr>
          <w:i/>
          <w:sz w:val="22"/>
        </w:rPr>
        <w:t xml:space="preserve"> 171</w:t>
      </w:r>
      <w:r>
        <w:rPr>
          <w:iCs/>
          <w:sz w:val="22"/>
        </w:rPr>
        <w:t>,</w:t>
      </w:r>
      <w:r>
        <w:rPr>
          <w:rStyle w:val="111"/>
        </w:rPr>
        <w:t xml:space="preserve"> и в деле </w:t>
      </w:r>
      <w:r>
        <w:rPr>
          <w:i/>
          <w:sz w:val="22"/>
        </w:rPr>
        <w:t xml:space="preserve">Камешвар Прасад  против штата Бихар, </w:t>
      </w:r>
      <w:r>
        <w:rPr>
          <w:i/>
          <w:sz w:val="22"/>
          <w:lang w:val="en-US"/>
        </w:rPr>
        <w:t>AIR</w:t>
      </w:r>
      <w:r>
        <w:rPr>
          <w:i/>
          <w:sz w:val="22"/>
        </w:rPr>
        <w:t xml:space="preserve"> 1962 </w:t>
      </w:r>
      <w:r>
        <w:rPr>
          <w:i/>
          <w:sz w:val="22"/>
          <w:lang w:val="en-US"/>
        </w:rPr>
        <w:t>SC</w:t>
      </w:r>
      <w:r>
        <w:rPr>
          <w:i/>
          <w:sz w:val="22"/>
        </w:rPr>
        <w:t xml:space="preserve"> 1166</w:t>
      </w:r>
      <w:r>
        <w:rPr>
          <w:rStyle w:val="111"/>
        </w:rPr>
        <w:t xml:space="preserve">, добивались того, чтобы право на создание ассоциаций толковалось как включающее в себя право на забастовку и право на заключение коллективного договора.  Суд не согласился с таким толкованием и вынес решение, согласно которому признание в рамках этого права прав на забастовку и заключение коллективного договора было бы равноценно привнесению в статью 19 (1)(с) некоего элемента, который не предусматривался в свое время составителями Конституции.  Однако право на забастовку по-прежнему рассматривается в качестве законного права, которое может быть использовано для содействия достижению целей профессиональных союзов.  Закон о трудовых спорах 1947 года, в котором предусмотрена возможность использования процедур примирения и разрешения трудовых споров под эгидой государства в тех случаях, когда урегулирование спора на двусторонней основе представляется невозможным, налагает ограничение на реализацию права на забастовку и локаут, с тем чтобы обеспечить применение процедуры примирения в спокойной обстановке, причем несоблюдение этого ограничения на положения о забастовке/локауте ведет к признанию незаконности забастовки/локаута и влечет за собой соответствующее наказание. При этом суды акцентировали внимание на том, что, хотя забастовка и является законным средством борьбы в арсенале профсоюзов, использоваться она должна лишь после исчерпания всех средств, предусмотренных законом, во избежание неудобств, причиняемых общине и обществу частыми забастовками/локаутами.  В недавнем решении по делу </w:t>
      </w:r>
      <w:r>
        <w:rPr>
          <w:i/>
          <w:iCs/>
          <w:sz w:val="22"/>
        </w:rPr>
        <w:t xml:space="preserve">Ранграджан против штата Тамилнад, </w:t>
      </w:r>
      <w:r>
        <w:rPr>
          <w:i/>
          <w:iCs/>
          <w:sz w:val="22"/>
          <w:lang w:val="en-US"/>
        </w:rPr>
        <w:t>AIR</w:t>
      </w:r>
      <w:r>
        <w:rPr>
          <w:i/>
          <w:iCs/>
          <w:sz w:val="22"/>
        </w:rPr>
        <w:t xml:space="preserve"> 2003 </w:t>
      </w:r>
      <w:r>
        <w:rPr>
          <w:i/>
          <w:iCs/>
          <w:sz w:val="22"/>
          <w:lang w:val="en-US"/>
        </w:rPr>
        <w:t>SC</w:t>
      </w:r>
      <w:r>
        <w:rPr>
          <w:i/>
          <w:iCs/>
          <w:sz w:val="22"/>
        </w:rPr>
        <w:t xml:space="preserve"> 3032</w:t>
      </w:r>
      <w:r>
        <w:rPr>
          <w:rStyle w:val="111"/>
        </w:rPr>
        <w:t>, Верховный суд постановил, что государственные служащие не имеют права на забастовку.  Государственные служащие и их организации добиваются пересмотра этого решения.</w:t>
      </w:r>
    </w:p>
    <w:p w:rsidR="00000000" w:rsidRDefault="00000000">
      <w:pPr>
        <w:pStyle w:val="112"/>
      </w:pPr>
      <w:r>
        <w:t>168.</w:t>
      </w:r>
      <w:r>
        <w:tab/>
        <w:t>Цель законодательства о производственных отношениях в Индии всецело заключалась в том, чтобы определение, данное забастовкам и локаутам, было направлено на их предотвращение или запрещение и на перевод трудовых споров, могущих привести к перебоям в работе, в русло примирительной процедуры и разрешения споров в судебном порядке.  Можно сказать, что закон определяет необоснованную забастовку в том смысле, что в нем указаны условия, при которых забастовка может быть объявлена незаконной.  Забастовки и локауты, хотя и признаются неизбежными в процессе достижения коллективного договора, не считаются допустимыми до тех пор, пока не будут исчерпаны все средства мирного урегулирования споров, и даже при удовлетворении этого требования они должны проводиться сугубо мирным образом, в рамках закона и предпочтительно в течение непродолжительного периода времени.  При подобной постановке вопроса суды более высокой инстанции столкнулись с задачей определения обоснованной забастовки.  Позиция с правовой точки зрения такова, что забастовка является законной, если не нарушено ни одно из положений закона.  При этом любая законная забастовка не может быть сочтена допустимой, если только она не используется для удовлетворения справедливых и разумных требований трудящихся.</w:t>
      </w:r>
    </w:p>
    <w:p w:rsidR="00000000" w:rsidRDefault="00000000">
      <w:pPr>
        <w:pStyle w:val="112"/>
        <w:rPr>
          <w:rStyle w:val="111"/>
        </w:rPr>
      </w:pPr>
      <w:r>
        <w:rPr>
          <w:rStyle w:val="111"/>
        </w:rPr>
        <w:t>169.</w:t>
      </w:r>
      <w:r>
        <w:rPr>
          <w:rStyle w:val="111"/>
        </w:rPr>
        <w:tab/>
        <w:t>В Индии весьма сложно представить себе забастовку, которая оставалась бы законной от начала и до конца.  Законная и обоснованная забастовка, объявленная с целью улучшения условий труда работников, может стать необоснованной, если действия работников приобретут неконтролируемый и насильственный характер, и в этом случае она объявляется правительством незаконной в соответствии с различными положениями Закона о трудовых спорах 1947 года</w:t>
      </w:r>
      <w:r>
        <w:rPr>
          <w:rStyle w:val="FootnoteReference"/>
        </w:rPr>
        <w:footnoteReference w:customMarkFollows="1" w:id="26"/>
        <w:t>25</w:t>
      </w:r>
      <w:r>
        <w:rPr>
          <w:rStyle w:val="111"/>
        </w:rPr>
        <w:t>.</w:t>
      </w:r>
    </w:p>
    <w:p w:rsidR="00000000" w:rsidRDefault="00000000">
      <w:pPr>
        <w:pStyle w:val="112"/>
      </w:pPr>
      <w:r>
        <w:t>170.</w:t>
      </w:r>
      <w:r>
        <w:tab/>
        <w:t>Для решения проблемы незаконных забастовок в основных службах центральное правительство приняло в 1968 году Закон об обеспечении функционирования основных служб, позволяющий ему переводить на определенный период любую отрасль или службу в категорию "основных служб" и запрещать проведение забастовок в них.  В перечень основных служб, содержащийся в этом законе, помимо таких однозначно входящих в него коммунальных служб, как почта, телеграф и телефон, железнодорожное сообщение, наземный, воздушный и водный транспорт, аэропорты, порты и доки, включен также ряд других государственных служб, таких как монетный двор или эмиссионные учреждения, оборонные предприятия и любые другие службы, в отношении которых "парламент уполномочен принимать законы" и которые могут быть объявлены таковыми центральным правительством.  Определение термина "забастовка" было расширено за счет включения в него следующих элементов:  i)  отказ от сверхурочной работы и  ii)  "любое иное поведение, способное привести или приводящее к прекращению или существенному замедлению работы в любой основной службе".  Таким образом, были охвачены и запрещены практически любые формы протеста или неповиновения.  За участие в забастовках были предусмотрены суровые меры наказания.</w:t>
      </w:r>
    </w:p>
    <w:p w:rsidR="00000000" w:rsidRDefault="00000000">
      <w:pPr>
        <w:pStyle w:val="112"/>
      </w:pPr>
      <w:r>
        <w:t>171.</w:t>
      </w:r>
      <w:r>
        <w:tab/>
        <w:t xml:space="preserve">Для обеспечения защиты государственного сектора и оборонных предприятий правительство Индии приняло также закон постоянного действия, имеющий следующее название "Федеральный закон о создании сил безопасности в промышленности 1968 года".  Основная цель создания этих сил заключается в обеспечении защиты и охраны промышленных предприятий от саботажа и сбоев в функционировании, а также в оказании помощи руководству предприятий в поддержании дисциплины среди работников.  С этой целью при поступлении соответствующей просьбы силы безопасности передаются в распоряжение руководителя предприятия.  Помимо этих исключительных полномочий правительство может получить еще более широкие полномочия, объявив чрезвычайное положение.  </w:t>
      </w:r>
    </w:p>
    <w:p w:rsidR="00000000" w:rsidRDefault="00000000">
      <w:pPr>
        <w:pStyle w:val="112"/>
        <w:rPr>
          <w:rStyle w:val="111"/>
        </w:rPr>
      </w:pPr>
      <w:r>
        <w:rPr>
          <w:rStyle w:val="111"/>
        </w:rPr>
        <w:t>172.</w:t>
      </w:r>
      <w:r>
        <w:rPr>
          <w:rStyle w:val="111"/>
        </w:rPr>
        <w:tab/>
        <w:t>Такой вид забастовки как "герао" был определен Высоким судом Калькутты в деле "</w:t>
      </w:r>
      <w:r>
        <w:rPr>
          <w:i/>
          <w:iCs/>
        </w:rPr>
        <w:t>Джей инжиниринг уоркс лтд." против штата Западная Бенгалия</w:t>
      </w:r>
      <w:r>
        <w:rPr>
          <w:rStyle w:val="111"/>
        </w:rPr>
        <w:t>, Высокий суд Калькутты, 29 сентября 1967 года, как "физическое блокирование объекта путем либо его оцепления, либо насильственного занятия, которое является уголовным правонарушением и при котором профсоюзы не могут ссылаться на свои правовые иммунитеты".</w:t>
      </w:r>
    </w:p>
    <w:p w:rsidR="00000000" w:rsidRDefault="00000000">
      <w:pPr>
        <w:pStyle w:val="112"/>
      </w:pPr>
      <w:r>
        <w:t>173.</w:t>
      </w:r>
      <w:r>
        <w:tab/>
        <w:t>О легитимности таких видов забастовки, как "харталы" и "бандхи", ничего не говорится ни в Конституции, ни в каком-либо другом законе.  Конституция Индии гарантирует свободу ассоциации, слова и собраний, но это не включает в себя право на забастовку, демонстрацию, пикетирование и вмешательство в реализацию любым гражданином своих свобод или в проведение любой законной деятельности.  Мирные собрания и демонстрации, если только они не запрещены властями, относятся к числу основных прав и могут проводиться на законных основаниях, но лишь в том случае, если они не запрещены и не объявлены незаконными.  Полный запрет на проведение собраний и демонстраций, разумеется, Конституцией не допускается.  Полный запрет на реализацию этих свобод может быть введен только при объявлении общенационального чрезвычайного положения, когда приостанавливается действие основных прав (Закон об обороне Индии и нормы, вытекающие из него).</w:t>
      </w:r>
    </w:p>
    <w:p w:rsidR="00000000" w:rsidRDefault="00000000">
      <w:pPr>
        <w:rPr>
          <w:b/>
          <w:bCs/>
          <w:sz w:val="24"/>
        </w:rPr>
      </w:pPr>
    </w:p>
    <w:p w:rsidR="00000000" w:rsidRDefault="00000000">
      <w:pPr>
        <w:keepNext/>
        <w:spacing w:before="120"/>
        <w:jc w:val="center"/>
        <w:rPr>
          <w:b/>
          <w:bCs/>
          <w:sz w:val="24"/>
          <w:szCs w:val="22"/>
        </w:rPr>
      </w:pPr>
      <w:r>
        <w:rPr>
          <w:b/>
          <w:bCs/>
          <w:sz w:val="24"/>
          <w:szCs w:val="22"/>
        </w:rPr>
        <w:t>Статья 9</w:t>
      </w:r>
    </w:p>
    <w:p w:rsidR="00000000" w:rsidRDefault="00000000">
      <w:pPr>
        <w:keepNext/>
        <w:jc w:val="center"/>
        <w:rPr>
          <w:b/>
          <w:bCs/>
          <w:sz w:val="22"/>
          <w:szCs w:val="22"/>
        </w:rPr>
      </w:pPr>
    </w:p>
    <w:p w:rsidR="00000000" w:rsidRDefault="00000000">
      <w:pPr>
        <w:keepNext/>
        <w:jc w:val="center"/>
        <w:rPr>
          <w:b/>
          <w:bCs/>
          <w:sz w:val="22"/>
          <w:szCs w:val="22"/>
        </w:rPr>
      </w:pPr>
      <w:r>
        <w:rPr>
          <w:b/>
          <w:bCs/>
          <w:sz w:val="22"/>
          <w:szCs w:val="22"/>
        </w:rPr>
        <w:t>Право на социальное обеспечение</w:t>
      </w:r>
    </w:p>
    <w:p w:rsidR="00000000" w:rsidRDefault="00000000">
      <w:pPr>
        <w:keepNext/>
        <w:jc w:val="both"/>
        <w:rPr>
          <w:sz w:val="24"/>
        </w:rPr>
      </w:pPr>
    </w:p>
    <w:p w:rsidR="00000000" w:rsidRDefault="00000000">
      <w:pPr>
        <w:keepNext/>
        <w:jc w:val="both"/>
        <w:rPr>
          <w:rStyle w:val="111"/>
        </w:rPr>
      </w:pPr>
      <w:r>
        <w:rPr>
          <w:rStyle w:val="111"/>
        </w:rPr>
        <w:t>174.</w:t>
      </w:r>
      <w:r>
        <w:rPr>
          <w:rStyle w:val="111"/>
        </w:rPr>
        <w:tab/>
        <w:t>Право каждого человека на социальное обеспечение признано в Конституции Индии</w:t>
      </w:r>
      <w:r>
        <w:rPr>
          <w:rStyle w:val="FootnoteReference"/>
        </w:rPr>
        <w:footnoteReference w:customMarkFollows="1" w:id="27"/>
        <w:t>26</w:t>
      </w:r>
      <w:r>
        <w:rPr>
          <w:rStyle w:val="111"/>
        </w:rPr>
        <w:t xml:space="preserve"> и в национальных законах.  Принимаемые правительством Индии планы и меры политики направлены на обеспечение достижения и сохранения каждым человеком достойного уровня жизни.  По своему характеру меры, принимаемые правительством Индии, являются статутными, государственными и частными</w:t>
      </w:r>
      <w:r>
        <w:rPr>
          <w:rStyle w:val="FootnoteReference"/>
        </w:rPr>
        <w:footnoteReference w:customMarkFollows="1" w:id="28"/>
        <w:t>27</w:t>
      </w:r>
      <w:r>
        <w:rPr>
          <w:rStyle w:val="111"/>
        </w:rPr>
        <w:t>.</w:t>
      </w:r>
    </w:p>
    <w:p w:rsidR="00000000" w:rsidRDefault="00000000">
      <w:pPr>
        <w:keepNext/>
        <w:spacing w:before="240"/>
        <w:jc w:val="both"/>
        <w:rPr>
          <w:b/>
          <w:bCs/>
          <w:sz w:val="24"/>
        </w:rPr>
      </w:pPr>
      <w:r>
        <w:rPr>
          <w:b/>
          <w:bCs/>
          <w:sz w:val="24"/>
        </w:rPr>
        <w:t xml:space="preserve">Раздел </w:t>
      </w:r>
      <w:r>
        <w:rPr>
          <w:b/>
          <w:bCs/>
          <w:sz w:val="24"/>
          <w:lang w:val="en-US"/>
        </w:rPr>
        <w:t>I</w:t>
      </w:r>
    </w:p>
    <w:p w:rsidR="00000000" w:rsidRDefault="00000000">
      <w:pPr>
        <w:pStyle w:val="112"/>
        <w:rPr>
          <w:rStyle w:val="111"/>
        </w:rPr>
      </w:pPr>
      <w:r>
        <w:rPr>
          <w:rStyle w:val="111"/>
        </w:rPr>
        <w:t>175.</w:t>
      </w:r>
      <w:r>
        <w:rPr>
          <w:rStyle w:val="111"/>
        </w:rPr>
        <w:tab/>
        <w:t xml:space="preserve">Индия ратифицировала четыре из принятых МОТ конвенций, касающихся вопросов социального обеспечения.  К ним относятся:  </w:t>
      </w:r>
      <w:r>
        <w:rPr>
          <w:i/>
        </w:rPr>
        <w:t>Конвенция 1925</w:t>
      </w:r>
      <w:r>
        <w:rPr>
          <w:i/>
          <w:lang w:val="en-US"/>
        </w:rPr>
        <w:t> </w:t>
      </w:r>
      <w:r>
        <w:rPr>
          <w:i/>
        </w:rPr>
        <w:t>года о возмещении трудящимся (при профессиональных заболеваниях) (Конвенция № 18)</w:t>
      </w:r>
      <w:r>
        <w:rPr>
          <w:rStyle w:val="111"/>
        </w:rPr>
        <w:t>,</w:t>
      </w:r>
      <w:r>
        <w:rPr>
          <w:i/>
          <w:sz w:val="24"/>
        </w:rPr>
        <w:t xml:space="preserve"> </w:t>
      </w:r>
      <w:r>
        <w:rPr>
          <w:rStyle w:val="111"/>
        </w:rPr>
        <w:t>которая предусматривает выплату возмещения трудящимся при профессиональных заболеваниях;</w:t>
      </w:r>
      <w:r>
        <w:rPr>
          <w:i/>
          <w:sz w:val="24"/>
        </w:rPr>
        <w:t xml:space="preserve">  </w:t>
      </w:r>
      <w:r>
        <w:rPr>
          <w:i/>
        </w:rPr>
        <w:t>Конвенция 1925 года о равноправии в области возмещения (при несчастных случаях) (Конвенция № 19)</w:t>
      </w:r>
      <w:r>
        <w:rPr>
          <w:rStyle w:val="111"/>
        </w:rPr>
        <w:t xml:space="preserve">, </w:t>
      </w:r>
      <w:r>
        <w:rPr>
          <w:i/>
          <w:sz w:val="24"/>
        </w:rPr>
        <w:t xml:space="preserve"> </w:t>
      </w:r>
      <w:r>
        <w:rPr>
          <w:rStyle w:val="111"/>
        </w:rPr>
        <w:t xml:space="preserve">которая предусматривает равноправие граждан страны и иностранцев в области возмещения, предоставляемого трудящимся в случае увечья/смерти в результате несчастных случаев, </w:t>
      </w:r>
      <w:r>
        <w:rPr>
          <w:i/>
        </w:rPr>
        <w:t>Конвенция 1934 года о возмещении работникам (в случае профессиональных заболеваний) (пересмотренная) (Конвенция № 42)</w:t>
      </w:r>
      <w:r>
        <w:rPr>
          <w:rStyle w:val="111"/>
        </w:rPr>
        <w:t xml:space="preserve">, в которой частично пересмотрены положения Конвенции о выплате возмещения трудящимся в случае профессиональных заболеваний, и </w:t>
      </w:r>
      <w:r>
        <w:rPr>
          <w:i/>
        </w:rPr>
        <w:t>Конвенция 1962 года о равноправии (в области социального обеспечения) (Конвенция № 118)</w:t>
      </w:r>
      <w:r>
        <w:rPr>
          <w:rStyle w:val="111"/>
        </w:rPr>
        <w:t>.  В 2002 году КЭПКР принял к сведению представленный Индией доклад об осуществлении Конвенции № 118.</w:t>
      </w:r>
    </w:p>
    <w:p w:rsidR="00000000" w:rsidRDefault="00000000">
      <w:pPr>
        <w:pStyle w:val="112"/>
        <w:rPr>
          <w:rStyle w:val="111"/>
        </w:rPr>
      </w:pPr>
      <w:r>
        <w:rPr>
          <w:rStyle w:val="111"/>
        </w:rPr>
        <w:t>176.</w:t>
      </w:r>
      <w:r>
        <w:rPr>
          <w:rStyle w:val="111"/>
        </w:rPr>
        <w:tab/>
        <w:t xml:space="preserve">Индии еще предстоит ратифицировать Конвенцию МОТ 1952 года о социальном обеспечении (минимальные нормы) </w:t>
      </w:r>
      <w:r>
        <w:rPr>
          <w:i/>
          <w:sz w:val="24"/>
        </w:rPr>
        <w:t>(</w:t>
      </w:r>
      <w:r>
        <w:rPr>
          <w:i/>
        </w:rPr>
        <w:t>Конвенция №</w:t>
      </w:r>
      <w:r>
        <w:rPr>
          <w:i/>
          <w:lang w:val="en-US"/>
        </w:rPr>
        <w:t> </w:t>
      </w:r>
      <w:r>
        <w:rPr>
          <w:i/>
        </w:rPr>
        <w:t>102</w:t>
      </w:r>
      <w:r>
        <w:rPr>
          <w:i/>
          <w:sz w:val="24"/>
        </w:rPr>
        <w:t>)</w:t>
      </w:r>
      <w:r>
        <w:rPr>
          <w:rStyle w:val="111"/>
        </w:rPr>
        <w:t>, в которой рассматриваются минимальные нормы социального обеспечения.  Индии еще лишь предстоит ратифицировать конвенции МОТ № 121 (о пособиях в случаях промышленных аварий и производственного травматизма), № 128</w:t>
      </w:r>
      <w:r>
        <w:rPr>
          <w:i/>
          <w:sz w:val="24"/>
        </w:rPr>
        <w:t xml:space="preserve"> </w:t>
      </w:r>
      <w:r>
        <w:rPr>
          <w:rStyle w:val="111"/>
        </w:rPr>
        <w:t xml:space="preserve">(о пересмотре конвенций № 35, 36, 37 и 38), № 130 (о пересмотре конвенций № 24 и 25), и № 168 (в которой подчеркивается важность трудовой деятельности и продуктивной занятости в любом обществе и подтверждаются существующие международные нормы в области содействия занятости и защиты от безработицы).  Вместе с тем, хотя Индия еще не ратифицировала все конвенции МОТ, принятые ею законы согласуются с конвенциями и рекомендациями этой организации.  Был достигнут значительный прогресс в расширении сферы охвата действующих законов, а также нормативных положений, не входящих в рамки законодательства, на основе использования специальных механизмов.  Исследовательская группа по вопросам социального обеспечения, учрежденная второй Национальной комиссией по вопросам  труда (2002 год), пришла к тому выводу, что ратифицировать все конвенции сразу же, возможно, и не удастся, но что желательно запланировать их конечную ратификацию на основе поэтапного совершенствования законов и практики, причем начать следует с Конвенции о минимальных нормах, которая могла бы быть ратифицирована в пределах разумного срока.  В своем заключительном докладе Комиссия поддержала это мнение Исследовательской группы.  </w:t>
      </w:r>
    </w:p>
    <w:p w:rsidR="00000000" w:rsidRDefault="00000000">
      <w:pPr>
        <w:pStyle w:val="112"/>
      </w:pPr>
      <w:r>
        <w:t>177.</w:t>
      </w:r>
      <w:r>
        <w:tab/>
        <w:t>Социальное обеспечение в той или иной форме существует в индийском обществе уже достаточно давно.  Подробная информация по этому вопросу была включена в последний доклад (</w:t>
      </w:r>
      <w:r>
        <w:rPr>
          <w:lang w:val="en-US"/>
        </w:rPr>
        <w:t>E</w:t>
      </w:r>
      <w:r>
        <w:t>/1984/6/</w:t>
      </w:r>
      <w:r>
        <w:rPr>
          <w:lang w:val="en-US"/>
        </w:rPr>
        <w:t>Add</w:t>
      </w:r>
      <w:r>
        <w:t>.13, пункты 39–50), представленный Индией в 1986 году Комитету по экономическим, социальным и культурным правам.  В настоящем докладе содержится дополнительная информация о праве на социальное обеспечение.</w:t>
      </w:r>
    </w:p>
    <w:p w:rsidR="00000000" w:rsidRDefault="00000000">
      <w:pPr>
        <w:pStyle w:val="112"/>
      </w:pPr>
      <w:r>
        <w:t>178.</w:t>
      </w:r>
      <w:r>
        <w:tab/>
        <w:t xml:space="preserve">Индустриализация, либерализация экономики и динамичные социальные перемены привели к возникновению нового направления в деятельности механизмов социального обеспечения.  Система социального обеспечения с бюджетным финансированием, аналогичная той, которая существует в развитых странах, вряд ли может быть создана в Индии в настоящее время.  Для мобилизации средств на цели социального обеспечения используется ряд таких моделей, как Фонд плановых отчислений из федерального бюджета, Фонд внеплановых отчислений из федерального бюджета, фонды внеплановых отчислений из бюджетов штатов, фонды плановых отчислений из бюджетов штатов, системы страхования (работодателей и лиц наемного труда), функционирующие при поддержке правительств штатов, фонды материальной помощи, формируемые за счет местных налогов на товары, программы страхования рабочих, финансируемые за счет членских взносов, самофинансирующиеся системы пенсионного обеспечения.  </w:t>
      </w:r>
    </w:p>
    <w:p w:rsidR="00000000" w:rsidRDefault="00000000">
      <w:pPr>
        <w:pStyle w:val="112"/>
      </w:pPr>
      <w:r>
        <w:t>179.</w:t>
      </w:r>
      <w:r>
        <w:tab/>
        <w:t xml:space="preserve">До девятого пятилетнего плана вопросы социального обеспечения в этих директивных документах вообще не затрагивались.  Ежегодный приток средств для определенного числа отобранных программ социального страхования составляет порядка 280 000 млн. рупий.  Согласно докладу </w:t>
      </w:r>
      <w:r>
        <w:rPr>
          <w:lang w:val="en-US"/>
        </w:rPr>
        <w:t>World</w:t>
      </w:r>
      <w:r>
        <w:t xml:space="preserve"> </w:t>
      </w:r>
      <w:r>
        <w:rPr>
          <w:lang w:val="en-US"/>
        </w:rPr>
        <w:t>Labour</w:t>
      </w:r>
      <w:r>
        <w:t xml:space="preserve"> </w:t>
      </w:r>
      <w:r>
        <w:rPr>
          <w:lang w:val="en-US"/>
        </w:rPr>
        <w:t>Report</w:t>
      </w:r>
      <w:r>
        <w:t>, 2000 ("Доклад о положении в области труда в мире, 2000</w:t>
      </w:r>
      <w:r>
        <w:rPr>
          <w:lang w:val="en-US"/>
        </w:rPr>
        <w:t> </w:t>
      </w:r>
      <w:r>
        <w:t xml:space="preserve">год"), государственные расходы на социальное обеспечение в Индии составляют 1,8% ВВП.  Согласно данным Экономической аналитической службы, из совокупного объема расходов правительств всех штатов за 2001–2002 годы в размере 4 013 950 млн. рупий, на цели социального обеспечения было выделено 58 850 млн. рупий, или 1,466%.  За тот же финансовый период из бюджета центрального правительства в объеме 3 644 360 млн. рупий для систем социального вспомоществования было выделено не более13 820 млн. рупий.  </w:t>
      </w:r>
    </w:p>
    <w:p w:rsidR="00000000" w:rsidRDefault="00000000">
      <w:pPr>
        <w:pStyle w:val="112"/>
        <w:rPr>
          <w:rStyle w:val="111"/>
        </w:rPr>
      </w:pPr>
      <w:r>
        <w:rPr>
          <w:rStyle w:val="111"/>
        </w:rPr>
        <w:t>180.</w:t>
      </w:r>
      <w:r>
        <w:rPr>
          <w:rStyle w:val="111"/>
        </w:rPr>
        <w:tab/>
        <w:t>В десятом пятилетнем плане была подчеркнута необходимость создания законодательного и административного механизма для обеспечения значительного охвата неорганизованного сектора услугами социального обеспечения.  В плане была предусмотрена стратегия, направленная на стимулирование и поощрение правительств штатов к разработке и осуществлению планов и программ, ориентированных на охват отдельных профессиональных групп в неорганизованном секторе, но таким образом, чтобы это не создавало какого-либо дополнительного бремени для бюджета</w:t>
      </w:r>
      <w:r>
        <w:rPr>
          <w:rStyle w:val="FootnoteReference"/>
        </w:rPr>
        <w:footnoteReference w:customMarkFollows="1" w:id="29"/>
        <w:t>28</w:t>
      </w:r>
      <w:r>
        <w:rPr>
          <w:rStyle w:val="111"/>
        </w:rPr>
        <w:t xml:space="preserve">. </w:t>
      </w:r>
    </w:p>
    <w:p w:rsidR="00000000" w:rsidRDefault="00000000">
      <w:pPr>
        <w:pStyle w:val="112"/>
      </w:pPr>
      <w:r>
        <w:t>181.</w:t>
      </w:r>
      <w:r>
        <w:tab/>
        <w:t xml:space="preserve">Применяемые в настоящее время меры социального обеспечения могут быть разбиты на две категории:  меры, используемые в организованном секторе, и меры, используемые в неорганизованном секторе.  Существуют два типа предусмотренных законодательством систем социального обеспечения:  i)  с внесением взносов и  ii)  без внесения взносов.  </w:t>
      </w:r>
    </w:p>
    <w:p w:rsidR="00000000" w:rsidRDefault="00000000">
      <w:pPr>
        <w:pStyle w:val="112"/>
        <w:rPr>
          <w:iCs/>
        </w:rPr>
      </w:pPr>
      <w:r>
        <w:t>182.</w:t>
      </w:r>
      <w:r>
        <w:tab/>
        <w:t>К организованному сектору относятся главным образом те предприятия, которые подпадают под действие Закона о фабриках 1948 года, законов штатов о магазинах и коммерческих предприятиях, Закона о порядке приема на работу в промышленности 1946 года и т. д.  В</w:t>
      </w:r>
      <w:r>
        <w:rPr>
          <w:lang w:val="en-US"/>
        </w:rPr>
        <w:t> </w:t>
      </w:r>
      <w:r>
        <w:t xml:space="preserve">этом секторе уже имеется структура, благодаря которой пособия по социальному обеспечению предоставляются работникам, подпадающим под действие этих законов.  Для предусмотренного в официальном порядке охвата услугами социального обеспечения используются механизмы Организации резервных фондов персонала (ОРФП) и Корпорации государственного страхования персонала (КГСП).  К числу основных законов по вопросам социального обеспечения, принятых в Индии, относятся Закон о государственном страховании персонала </w:t>
      </w:r>
      <w:r>
        <w:rPr>
          <w:iCs/>
        </w:rPr>
        <w:t>1949</w:t>
      </w:r>
      <w:r>
        <w:rPr>
          <w:iCs/>
          <w:lang w:val="en-US"/>
        </w:rPr>
        <w:t> </w:t>
      </w:r>
      <w:r>
        <w:rPr>
          <w:iCs/>
        </w:rPr>
        <w:t xml:space="preserve">года (Закон о ГСП);  Закон о резервных фондах персонала и прочих положениях 1952 года (Закон о РФП и ПП);  Закон о возмещении трудящимся 1923 года (Закон о ВТ);  Закон о пособии по материнству 1961 года (Закон о ПМ);  и Закон о выплате выходного пособия 1972 года (Закон о ВП).  </w:t>
      </w:r>
    </w:p>
    <w:p w:rsidR="00000000" w:rsidRDefault="00000000">
      <w:pPr>
        <w:pStyle w:val="112"/>
      </w:pPr>
      <w:r>
        <w:t>183.</w:t>
      </w:r>
      <w:r>
        <w:tab/>
        <w:t>Самым старым законом в области социального обеспечения в стране является Закон о возмещении трудящимся 1923 года.  Информация об основных положениях и сфере применения этого закона была приведена в последнем докладе (Е/1984/6/</w:t>
      </w:r>
      <w:r>
        <w:rPr>
          <w:lang w:val="en-US"/>
        </w:rPr>
        <w:t>Add</w:t>
      </w:r>
      <w:r>
        <w:t xml:space="preserve">.13, пункт 41), представленном Индией Комитету по экономическим, социальным и культурным правам.  В настоящем докладе содержится дополнительная информация о характере и объеме пособий и методах финансирования </w:t>
      </w:r>
      <w:r>
        <w:rPr>
          <w:spacing w:val="-4"/>
        </w:rPr>
        <w:t>систем социального обеспечения.  Минимальные ставки возмещения за полную и безвозвратную утрату</w:t>
      </w:r>
      <w:r>
        <w:t xml:space="preserve"> трудоспособности и потерю жизни были установлены в размере, соответственно, 90 тыс. рупий </w:t>
      </w:r>
      <w:r>
        <w:br/>
        <w:t>и 80 тыс. рупий.  Что касается максимального объема возмещения в обоих этих случаях, то он может достигать 0,5 млн. рупий в зависимости от возраста и размера заработной платы работника.</w:t>
      </w:r>
    </w:p>
    <w:p w:rsidR="00000000" w:rsidRDefault="00000000">
      <w:pPr>
        <w:pStyle w:val="112"/>
      </w:pPr>
      <w:r>
        <w:t>184.</w:t>
      </w:r>
      <w:r>
        <w:tab/>
        <w:t>Следующий крупный шаг был сделан примерно четверть века спустя, когда в 1948 году был принят Закон о государственном страховании персонала (ГСП).  Хотя никакая конвенция как таковая этим законом не ратифицировалась, в нем были учтены положения ряда конвенций, касающихся страхования по болезни в промышленности.  Все те схемы, которые были разработаны после учреждения Королевской комиссии по вопросам труда (1931 год), впоследствии были рассмотрены экспертами МОТ, и в них были внесены изменения, а затем, в 1948 году, и был принят упомянутый выше закон.  Информация о сфере применения и основных положениях этого закона была включена в последний доклад (Е/1984/6/</w:t>
      </w:r>
      <w:r>
        <w:rPr>
          <w:lang w:val="en-US"/>
        </w:rPr>
        <w:t>Add</w:t>
      </w:r>
      <w:r>
        <w:t>.13, пункт 42), представленный Индией Комитету по экономическим, социальным и культурным правам.  В настоящем докладе содержится дополнительная подробная информация, касающаяся характера и объема пособий и методов финансирования систем социального обеспечения.</w:t>
      </w:r>
    </w:p>
    <w:p w:rsidR="00000000" w:rsidRDefault="00000000">
      <w:pPr>
        <w:pStyle w:val="112"/>
      </w:pPr>
      <w:r>
        <w:t>185.</w:t>
      </w:r>
      <w:r>
        <w:tab/>
        <w:t xml:space="preserve">В рамках системы ГСП предусмотрено два типа социальной помощи, а именно:  а)  медицинское обслуживание и  </w:t>
      </w:r>
      <w:r>
        <w:rPr>
          <w:lang w:val="en-US"/>
        </w:rPr>
        <w:t>b</w:t>
      </w:r>
      <w:r>
        <w:t>)  выплата денежных пособий.</w:t>
      </w:r>
    </w:p>
    <w:p w:rsidR="00000000" w:rsidRDefault="00000000">
      <w:pPr>
        <w:pStyle w:val="112"/>
      </w:pPr>
      <w:r>
        <w:tab/>
      </w:r>
      <w:r>
        <w:rPr>
          <w:lang w:val="en-US"/>
        </w:rPr>
        <w:t>a</w:t>
      </w:r>
      <w:r>
        <w:t>)</w:t>
      </w:r>
      <w:r>
        <w:tab/>
        <w:t>Медицинское обслуживание:  медицинское обслуживание, предоставляемое застрахованным лицам и членам их семей, обеспечивается за счет широкой сети поликлиник.  Медицинские пункты и больницы ГСП, как правило, находятся в непосредственной близости от жилых районов.  В целях улучшения медицинского обслуживания в рамках системы ГСП КГСП установила верхние пределы расходов для медицинских учреждений в расчете на одну условную застрахованную семью в год в размере 500 рупий, из которых 165 рупий выделяются на медикаменты и перевязочные материалы.</w:t>
      </w:r>
    </w:p>
    <w:p w:rsidR="00000000" w:rsidRDefault="00000000">
      <w:pPr>
        <w:pStyle w:val="112"/>
        <w:rPr>
          <w:rStyle w:val="111"/>
          <w:i/>
        </w:rPr>
      </w:pPr>
      <w:r>
        <w:rPr>
          <w:rStyle w:val="111"/>
        </w:rPr>
        <w:tab/>
        <w:t>b)</w:t>
      </w:r>
      <w:r>
        <w:rPr>
          <w:rStyle w:val="111"/>
        </w:rPr>
        <w:tab/>
        <w:t xml:space="preserve">Денежные пособия:  система ГСП предусматривает выплату </w:t>
      </w:r>
      <w:r>
        <w:rPr>
          <w:i/>
        </w:rPr>
        <w:t>пособий по болезни и материнству, пособия на лечение после выхода на пенсию, пособия для иждивенцев, пособия на похороны, пособия на реабилитацию, стандартного пособия и пособия в связи с производственной травмой.</w:t>
      </w:r>
    </w:p>
    <w:p w:rsidR="00000000" w:rsidRDefault="00000000">
      <w:pPr>
        <w:pStyle w:val="112"/>
      </w:pPr>
      <w:r>
        <w:tab/>
      </w:r>
      <w:r>
        <w:rPr>
          <w:lang w:val="en-US"/>
        </w:rPr>
        <w:t>i</w:t>
      </w:r>
      <w:r>
        <w:t>)</w:t>
      </w:r>
      <w:r>
        <w:tab/>
        <w:t>Пособие по болезни:  пособие по болезни представляет собой средства, периодически выплачиваемые застрахованному лицу в течение периода болезни, подтвержденной медицинской справкой.  Максимальная продолжительность выплаты пособия по болезни составляет 91 день в течение двух последовательных периодов действия пособия.  Размеры пособия примерно соответствуют 50% дневной заработной платы застрахованного лица.  После получения пособия по болезни в течение 91 дня застрахованное лицо имеет право на получение продленного пособия по болезни на дополнительный период до 309 дней и максимум до двух лет в определенных случаях, если оно болеет туберкулезом, проказой, психическим заболеванием, онкологическим заболеванием или другим конкретно указанным заболеванием с длительным сроком протекания, причем размеры такого пособия на 140% превышают размеры обычного пособия по болезни.</w:t>
      </w:r>
    </w:p>
    <w:p w:rsidR="00000000" w:rsidRDefault="00000000">
      <w:pPr>
        <w:pStyle w:val="112"/>
      </w:pPr>
      <w:r>
        <w:tab/>
        <w:t>Увеличенное пособие по болезни, которое в два раза больше обычного пособия по болезни и составляет практически полный дневной заработок, также предоставляется застрахованным лицам при проведении операции по стерилизации в рамках планирования семьи на период в семь дней в случае вазектомии и 14 дней в случае сальпингэктомии при возможном продлении этого срока в случае послеоперационных осложнений и т. д.  Это пособие не выплачивается в течение двух дней, предшествующих операции, и является дополнительным к пособию по болезни, предоставляемому не более 91 дня в год.</w:t>
      </w:r>
    </w:p>
    <w:p w:rsidR="00000000" w:rsidRDefault="00000000">
      <w:pPr>
        <w:pStyle w:val="112"/>
      </w:pPr>
      <w:r>
        <w:tab/>
      </w:r>
      <w:r>
        <w:rPr>
          <w:lang w:val="en-US"/>
        </w:rPr>
        <w:t>ii</w:t>
      </w:r>
      <w:r>
        <w:t>)</w:t>
      </w:r>
      <w:r>
        <w:tab/>
        <w:t>Пособие по материнству: пособие по материнству выплачивается женщинам, охваченным системой страхования, в случае выплаты ими соответствующих взносов в размере не менее 80-дневного заработка в течение непосредственно предшествующих двух последовательных периодов внесения взносов, т. е. в течение одного года.  Пособие выплачивается по двойной дневной ставке стандартного пособия, т. е. практически на уровне полной заработной платы в течение периода 12 недель, который может быть продлен на 4 недели на основании медицинского заключения.  Кроме того, было предусмотрено положение о предоставлении медицинской надбавки в размере 250 рупий на каждые роды застрахованным женщинам, которые в случае родов не пользуются услугами медицинских учреждений, относящихся к системе ГСП.</w:t>
      </w:r>
    </w:p>
    <w:p w:rsidR="00000000" w:rsidRDefault="00000000">
      <w:pPr>
        <w:pStyle w:val="112"/>
      </w:pPr>
      <w:r>
        <w:tab/>
        <w:t>В случае смерти застрахованной женщины, родившей живого ребенка, во время родов или в течение шестинедельного периода после родов, в отношении которых она имела право на получение пособия по материнству, пособие по материнству выплачивается за весь этот период, а в случае, если в течение этого периода умирает и новорожденный, – за период до даты смерти новорожденного.  По оценкам, в 1997–98 году число женщин, работавших по найму, составляло 1 252 850 человек, а пособий по материнству за тот же год было выплачено на общую сумму в 121,7 млн. рупий.</w:t>
      </w:r>
    </w:p>
    <w:p w:rsidR="00000000" w:rsidRDefault="00000000">
      <w:pPr>
        <w:pStyle w:val="112"/>
      </w:pPr>
      <w:r>
        <w:tab/>
      </w:r>
      <w:r>
        <w:rPr>
          <w:lang w:val="en-US"/>
        </w:rPr>
        <w:t>iii</w:t>
      </w:r>
      <w:r>
        <w:t>)</w:t>
      </w:r>
      <w:r>
        <w:tab/>
        <w:t>Пособие по нетрудоспособности:  в случае временной утраты трудоспособности по причине производственной травмы пособие по нетрудоспособности предоставляется застрахованному лицу за весь период, в течение которого застрахованное лицо не имело возможности заниматься приносящей доход деятельностью, на основании справки, выданной медицинским работником/практикующим врачом, признаваемым страховой компанией.  Это пособие не обусловлено внесением каких-либо взносов и выплачивается по ставке, эквивалентной примерно 70% среднего дневного заработка застрахованного лица.  Вместе с тем пособие не предоставляется в том случае, если период нетрудоспособности не превышает трех дней, исключая день, в который произошел несчастный случай.  В 1997–98 году на пособия по временной нетрудоспособности было израсходовано 257,6 млн. рупий, а в 1996–97 году – 196,3 млн. рупий.</w:t>
      </w:r>
    </w:p>
    <w:p w:rsidR="00000000" w:rsidRDefault="00000000">
      <w:pPr>
        <w:pStyle w:val="112"/>
      </w:pPr>
      <w:r>
        <w:tab/>
        <w:t>В том случае, если нетрудоспособность, возникшая в результате производственной травмы, приводит к необратимой частичной или полной утрате способности осуществлять приносящую доход деятельность, застрахованное лицо имеет право на получение пожизненных периодических денежных пособий, исчисляемых в виде процентной доли от ставки пособия на полную нетрудоспособность в зависимости от степени утраты им способности осуществлять приносящую доход деятельность, для установления которой может быть привлечен должным образом укомплектованный медицинский совет.  Замена периодических платежей единовременной выплатой допускается в том случае, когда утрата трудоспособности окончательно признана постоянной и дневная ставка пособия не превышает 1,50 рупий в день, а общая сумма единовременной выплаты пособия в связи с постоянной нетрудоспособностью не превышает 10 тыс. рупий на момент окончательного признания постоянной потери трудоспособности застрахованным лицом.  Фактическая сумма выплат пособий в связи с постоянной потерей трудоспособности в 1997–98 году составила 339,79 млн. рупий (включая единовременные выплаты в размере 28,3 млн. рупий) против 295,2 млн. рупий (включая единовременные выплаты в размере 34,7 млн. рупий) годом ранее.</w:t>
      </w:r>
    </w:p>
    <w:p w:rsidR="00000000" w:rsidRDefault="00000000">
      <w:pPr>
        <w:pStyle w:val="112"/>
      </w:pPr>
      <w:r>
        <w:tab/>
      </w:r>
      <w:r>
        <w:rPr>
          <w:lang w:val="en-US"/>
        </w:rPr>
        <w:t>iv</w:t>
      </w:r>
      <w:r>
        <w:t>)</w:t>
      </w:r>
      <w:r>
        <w:tab/>
        <w:t>Пособие на лечение после выхода на пенсию:  работники, которые были застрахованы в течение как минимум 5 лет и прекратили трудовую деятельность в связи с достижением пенсионного возраста, или работники, прекратившие трудовую деятельность по причине постоянной утраты трудоспособности в результате производственной травмы, имеют право на получение пособия на лечение.  Лица, желающие получать такое пособие, заблаговременно вносят ежемесячные взносы в размере 10 рупий в течение одного года.  Супруги этих лиц также имеют право на получение данного пособия.</w:t>
      </w:r>
    </w:p>
    <w:p w:rsidR="00000000" w:rsidRDefault="00000000">
      <w:pPr>
        <w:pStyle w:val="112"/>
      </w:pPr>
      <w:r>
        <w:tab/>
      </w:r>
      <w:r>
        <w:rPr>
          <w:lang w:val="en-US"/>
        </w:rPr>
        <w:t>v</w:t>
      </w:r>
      <w:r>
        <w:t>)</w:t>
      </w:r>
      <w:r>
        <w:tab/>
        <w:t>Пособия для иждивенцев:  иждивенцам застрахованного лица, погибшего в результате несчастного случая на производстве, выплачиваются периодические пенсии.  Вдова получает в течение всего срока жизни или до вступления в новый брак пособие в размере трех пятых от ставки пособия по нетрудоспособности, а каждый ребенок – в размере двух пятых от этой ставки до достижения 18-летнего возраста, а в случае инвалидности пособие выплачивается в течение всего срока инвалидности.  Если погибшее застрахованное лицо не имело ни жены, ни детей, это пособие выплачивается другим категориям иждивенцев.  В 1997–98 году на пособия для иждивенцев было израсходовано 187,7 млн. рупий.</w:t>
      </w:r>
    </w:p>
    <w:p w:rsidR="00000000" w:rsidRDefault="00000000">
      <w:pPr>
        <w:pStyle w:val="112"/>
      </w:pPr>
      <w:r>
        <w:tab/>
      </w:r>
      <w:r>
        <w:rPr>
          <w:lang w:val="en-US"/>
        </w:rPr>
        <w:t>vi</w:t>
      </w:r>
      <w:r>
        <w:t>)</w:t>
      </w:r>
      <w:r>
        <w:tab/>
        <w:t>Пособие на похороны:  пособие на похороны предоставляется в виде единоразовой выплаты в размере не более 1500 рупий для покрытия расходов на похороны умершего застрахованного лица.  Эти деньги предоставляются старейшему из остающихся членов семьи или лицу, которое непосредственно оплачивает расходы, связанные с похоронами.  В 1997–98 году по этой статье было израсходовано 15 млн. рупий, а в предшествовавшем году – 8,9 млн. рупий.</w:t>
      </w:r>
    </w:p>
    <w:p w:rsidR="00000000" w:rsidRDefault="00000000">
      <w:pPr>
        <w:pStyle w:val="112"/>
      </w:pPr>
      <w:r>
        <w:tab/>
      </w:r>
      <w:r>
        <w:rPr>
          <w:lang w:val="en-US"/>
        </w:rPr>
        <w:t>vii</w:t>
      </w:r>
      <w:r>
        <w:t>)</w:t>
      </w:r>
      <w:r>
        <w:tab/>
        <w:t>Пособие на реабилитацию:  пособие на реабилитацию предоставляется застрахованному лицу за каждый день, проведенный им в Центре протезирования конечностей в связи с установкой, ремонтом или заменой протеза, по ставке, соответствующей ставке пособия по болезни.  Предоставление этого пособия не обусловлено внесением каких-либо взносов.</w:t>
      </w:r>
    </w:p>
    <w:p w:rsidR="00000000" w:rsidRDefault="00000000">
      <w:pPr>
        <w:pStyle w:val="112"/>
      </w:pPr>
      <w:r>
        <w:tab/>
      </w:r>
      <w:r>
        <w:rPr>
          <w:lang w:val="en-US"/>
        </w:rPr>
        <w:t>viii</w:t>
      </w:r>
      <w:r>
        <w:t>)</w:t>
      </w:r>
      <w:r>
        <w:tab/>
        <w:t>Стандартное пособие:  все застрахованные лица с дневным заработком в 48 рупий и более имеют право на получение стандартного пособия в размере 28 рупий в день.</w:t>
      </w:r>
    </w:p>
    <w:p w:rsidR="00000000" w:rsidRDefault="00000000">
      <w:pPr>
        <w:pStyle w:val="112"/>
      </w:pPr>
      <w:r>
        <w:t>186.</w:t>
      </w:r>
      <w:r>
        <w:tab/>
        <w:t>В течение 1997–98 года эта схема была внедрена в 29 новых областях, благодаря чему услугами социального страхования были дополнительно охвачены 30 500 работников наемного труда.  Сам факт охвата дополнительных работников в новых областях свидетельствует об усилиях, направленных на вовлечение в сферу действия ГСП даже самых небольших промышленных объектов.</w:t>
      </w:r>
    </w:p>
    <w:p w:rsidR="00000000" w:rsidRDefault="00000000">
      <w:pPr>
        <w:jc w:val="both"/>
        <w:rPr>
          <w:b/>
          <w:bCs/>
          <w:sz w:val="24"/>
        </w:rPr>
      </w:pPr>
    </w:p>
    <w:p w:rsidR="00000000" w:rsidRDefault="00000000">
      <w:pPr>
        <w:spacing w:before="120"/>
        <w:jc w:val="both"/>
        <w:rPr>
          <w:rStyle w:val="111"/>
          <w:szCs w:val="22"/>
        </w:rPr>
      </w:pPr>
      <w:r>
        <w:rPr>
          <w:b/>
          <w:bCs/>
          <w:sz w:val="22"/>
          <w:szCs w:val="22"/>
        </w:rPr>
        <w:t>Закон о резервных фондах персонала и прочих положениях 1952 года</w:t>
      </w:r>
    </w:p>
    <w:p w:rsidR="00000000" w:rsidRDefault="00000000">
      <w:pPr>
        <w:pStyle w:val="112"/>
      </w:pPr>
      <w:r>
        <w:t>187.</w:t>
      </w:r>
      <w:r>
        <w:tab/>
        <w:t>В Индии нет общей системы пенсионного обеспечения.  В организованном секторе система пенсионных пособий имеет форму резервных фондов, пенсионных планов, связанных с резервными фондами, и системы выходных пособий.  Если государственный сектор гарантирует социальное обеспечение своим работникам по достижении ими пенсионного возраста путем предоставления пенсий, то положение работников негосударственных секторов в Индии регулируется Законом о резервных фондах персонала и прочих положениях 1952 года.  Организация резервных фондов персонала, которая в соответствии с этим законом уполномочена обеспечивать охват работников организованного сектора, осуществляет свою деятельность через механизмы трех типов – резервные фонды персонала (РФП), программы пенсионного обеспечения персонала и программы накопительного пенсионного страхования персонала (ПНПСП).</w:t>
      </w:r>
    </w:p>
    <w:p w:rsidR="00000000" w:rsidRDefault="00000000">
      <w:pPr>
        <w:pStyle w:val="112"/>
      </w:pPr>
      <w:r>
        <w:t>188.</w:t>
      </w:r>
      <w:r>
        <w:tab/>
        <w:t xml:space="preserve">Открытие резервных фондов и управление их деятельностью регулируется Законом о резервных фондах персонала и прочих положениях 1952 года.  Первоначально под действие этого закона подпадали предприятия лишь шести крупных отраслей, в которых предприятия просуществовали не менее трех лет, а число работников составляло 50 человек и более.  К концу марта 1998 года этот закон распространялся уже на 177 отраслей/классов предприятий, а в стране насчитывалось 0,3 млн. предприятий, на которых трудились 21,2 млн. работников, охваченных программами РФП.  В 1998–99 году участниками РФП стали 21 751 новое предприятие и </w:t>
      </w:r>
      <w:r>
        <w:br/>
        <w:t xml:space="preserve">2 278 186 работников.  </w:t>
      </w:r>
    </w:p>
    <w:p w:rsidR="00000000" w:rsidRDefault="00000000">
      <w:pPr>
        <w:pStyle w:val="112"/>
      </w:pPr>
      <w:r>
        <w:t>189.</w:t>
      </w:r>
      <w:r>
        <w:tab/>
        <w:t xml:space="preserve">Действие данного закона распространяется на все штаты Индии, за исключением штатов Джамму и Кашмир и Сикким.  Он применяется ко всем фабрикам и другим предприятиям любой зарегистрированной отрасли, на которых работают по найму 20 и более человек.  При этом под его действие в течение первых пяти лет функционирования не подпадали новообразованные предприятия с числом нанятых работников менее 50 человек.  В настоящее время это положение было заменено общим положением о трехлетнем периоде становления, которое было введено в силу 1 августа 1988 года Законом о резервных фондах персонала (поправка) 1988 года.  Закон не применяется к i)  предприятиям, зарегистрированным в соответствии с Законом о кооперативных обществах </w:t>
      </w:r>
      <w:r>
        <w:br/>
        <w:t>1912 года (или в соответствии с любым другим законом, касающимся кооперативных обществ), если на этих предприятиях заняты менее 50 человек и в производстве не используется электроэнергия;  ii)  чайным плантациям и чайным фабрикам в штате Ассам, в котором правительством штата предусмотрена отдельная программа для таких предприятий.  Верхний предел заработной платы, ограничивающий участие в программе РФП, был повышен с 3500 рупий до 5000 рупий в месяц начиная с 1 октября 1994 года.</w:t>
      </w:r>
    </w:p>
    <w:p w:rsidR="00000000" w:rsidRDefault="00000000">
      <w:pPr>
        <w:pStyle w:val="112"/>
      </w:pPr>
      <w:r>
        <w:t>190.</w:t>
      </w:r>
      <w:r>
        <w:tab/>
        <w:t xml:space="preserve">Система резервных фондов, созданная в соответствии с этим законом, первоначально применялась – с 1 ноября 1952 года – лишь к шести включенным в специальный перечень отраслям:  i)  цементной промышленности, ii)  табачной промышленности, iii)  черной металлургии, </w:t>
      </w:r>
      <w:r>
        <w:rPr>
          <w:lang w:val="en-US"/>
        </w:rPr>
        <w:t>iv</w:t>
      </w:r>
      <w:r>
        <w:t xml:space="preserve">)  электротехническому, механическому или общему машиностроению, </w:t>
      </w:r>
      <w:r>
        <w:rPr>
          <w:lang w:val="en-US"/>
        </w:rPr>
        <w:t>v</w:t>
      </w:r>
      <w:r>
        <w:t xml:space="preserve">)  целлюлозно-бумажной промышленности и </w:t>
      </w:r>
      <w:r>
        <w:rPr>
          <w:lang w:val="en-US"/>
        </w:rPr>
        <w:t>vi</w:t>
      </w:r>
      <w:r>
        <w:t>)  текстильной промышленности (хлопчатобумажной, шерстяной, шелковой и джутовой).  Однако с расширением сферы применения данного закона его действие постепенно стало распространяться на все новые и новые отрасли.  Как следствие, в конце марта 1998 года общее число отраслей/классов предприятий, на которые распространялось действие Закона о резервных фондах персонала 1952 года, достигло 177.  Иными словами, к этому времени положения этого закона распространялись уже на 296 256 неосвобожденных и 2948 освобожденных предприятий, а число участников фондов возросло до 21,2 млн. человек (16,8 млн. человек, занятых на неосвобожденных предприятиях, и 4,4 млн. – на освобожденных предприятиях).</w:t>
      </w:r>
    </w:p>
    <w:p w:rsidR="00000000" w:rsidRDefault="00000000">
      <w:pPr>
        <w:pStyle w:val="112"/>
      </w:pPr>
      <w:r>
        <w:t>191.</w:t>
      </w:r>
      <w:r>
        <w:tab/>
        <w:t>Согласно положению, вступившему в силу 22 февраля 1997 года, обычная ставка взноса, подлежащего уплате работодателями и работниками, установлена данным законом на уровне 10% от размеров заработной платы работников.  Кроме того, закон предоставляет центральному правительству право увеличивать, если оно сочтет это целесообразным, ставку взноса до 12% от заработной платы в отношении любой отрасли или класса предприятий.  До настоящего времени центральное правительство повысило ставку взноса до 12% в случае 172 категорий предприятий.  Процентная ставка устанавливается центральным правительством по согласованию с Центральным попечительским советом, учрежденным в соответствии с данным законом.  Ставка процента, по которой зачисляются накопительные взносы членов в резервный фонд (в случае неосвобожденных предприятий), оставалась в 1997–98 году на уровне 12%  годовых.</w:t>
      </w:r>
    </w:p>
    <w:p w:rsidR="00000000" w:rsidRDefault="00000000">
      <w:pPr>
        <w:jc w:val="both"/>
        <w:rPr>
          <w:b/>
          <w:bCs/>
          <w:sz w:val="24"/>
        </w:rPr>
      </w:pPr>
    </w:p>
    <w:p w:rsidR="00000000" w:rsidRDefault="00000000">
      <w:pPr>
        <w:spacing w:before="120"/>
        <w:jc w:val="both"/>
        <w:rPr>
          <w:b/>
          <w:bCs/>
          <w:sz w:val="22"/>
          <w:szCs w:val="22"/>
        </w:rPr>
      </w:pPr>
      <w:r>
        <w:rPr>
          <w:b/>
          <w:bCs/>
          <w:sz w:val="22"/>
          <w:szCs w:val="22"/>
        </w:rPr>
        <w:t>Авансирование средств из установленного законом резервного фонда</w:t>
      </w:r>
    </w:p>
    <w:p w:rsidR="00000000" w:rsidRDefault="00000000">
      <w:pPr>
        <w:pStyle w:val="112"/>
      </w:pPr>
      <w:r>
        <w:t>192.</w:t>
      </w:r>
      <w:r>
        <w:tab/>
        <w:t>Система резервных фондов персонала, созданная в 1952 году, предусматривает возможность оказания финансовой помощи участникам системы путем предоставления им разрешения на изъятие части накоплений в случае болезни, инвалидности и аналогичных ситуаций и выделения средств, позволяющих им выполнить свои финансовые обязанности, связанные со вступлением в брак сестры/брата, дочери/сына, с  получением детьми высшего образования или строительством жилья для семьи.</w:t>
      </w:r>
    </w:p>
    <w:p w:rsidR="00000000" w:rsidRDefault="00000000">
      <w:pPr>
        <w:pStyle w:val="112"/>
      </w:pPr>
      <w:r>
        <w:t>193.</w:t>
      </w:r>
      <w:r>
        <w:tab/>
        <w:t>В целях обеспечения оперативного, четко оговоренного по срокам и бесперебойного обслуживания участников фондов в пункт 72 Положения о системе РФП была внесена поправка, устанавливающая обязательный 30-дневный срок удовлетворения заявок.  Отныне подаваемые в РФ заявки, полностью соответствующие установленным требованиям, должны удовлетворяться в течение 30 дней.  В случае заявок, не соответствующих установленным требованиям, причины, по которым они не были удовлетворены, сообщаются заявителю в течение 30 дней.  Если уполномоченный фонда не обеспечивает удовлетворение поданной заявки, полностью соответствующей всем установленным требованиям, в течение 30 дней, он несет персональную ответственность за превышение установленного срока, и в этом случае ему может быть начислен штраф в размере 12% годовых от размера пособия, удерживаемый из его заработной платы.</w:t>
      </w:r>
    </w:p>
    <w:p w:rsidR="00000000" w:rsidRDefault="00000000">
      <w:pPr>
        <w:pStyle w:val="112"/>
        <w:rPr>
          <w:szCs w:val="22"/>
        </w:rPr>
      </w:pPr>
      <w:r>
        <w:rPr>
          <w:szCs w:val="22"/>
        </w:rPr>
        <w:t>194.</w:t>
      </w:r>
      <w:r>
        <w:rPr>
          <w:szCs w:val="22"/>
        </w:rPr>
        <w:tab/>
        <w:t xml:space="preserve">Правительство повысило минимальную ставку взноса в РФП с 8,33% до 10% и максимальную ставку с 10% до 12% от месячной зарплаты.  В прошлом сфера действия Закона о РФП и ПП </w:t>
      </w:r>
      <w:r>
        <w:rPr>
          <w:szCs w:val="22"/>
        </w:rPr>
        <w:br/>
        <w:t>1952 года не распространялась на вновь созданные фабрики/предприятия в течение первоначального трехгодичного периода их функционирования.  В настоящее время они подпадают под действие этого закона с даты их образования.  Соответствующее постановление было издано 22 сентября 1997 года.</w:t>
      </w:r>
    </w:p>
    <w:p w:rsidR="00000000" w:rsidRDefault="00000000">
      <w:pPr>
        <w:jc w:val="both"/>
        <w:rPr>
          <w:b/>
          <w:sz w:val="22"/>
          <w:szCs w:val="22"/>
        </w:rPr>
      </w:pPr>
    </w:p>
    <w:p w:rsidR="00000000" w:rsidRDefault="00000000">
      <w:pPr>
        <w:jc w:val="both"/>
        <w:rPr>
          <w:b/>
          <w:sz w:val="22"/>
          <w:szCs w:val="22"/>
        </w:rPr>
      </w:pPr>
      <w:r>
        <w:rPr>
          <w:b/>
          <w:sz w:val="22"/>
          <w:szCs w:val="22"/>
        </w:rPr>
        <w:t>План пенсионного обеспечения семей персонала 1971 года</w:t>
      </w:r>
    </w:p>
    <w:p w:rsidR="00000000" w:rsidRDefault="00000000">
      <w:pPr>
        <w:pStyle w:val="112"/>
        <w:rPr>
          <w:rStyle w:val="111"/>
        </w:rPr>
      </w:pPr>
      <w:r>
        <w:rPr>
          <w:rStyle w:val="111"/>
        </w:rPr>
        <w:t>195.</w:t>
      </w:r>
      <w:r>
        <w:rPr>
          <w:rStyle w:val="111"/>
        </w:rPr>
        <w:tab/>
        <w:t>В 1971 году в Закон о резервных фондах персонала, принятый в 1952 году, были внесены поправки в целях формирования Плана пенсионного обеспечения семей персонала, который начал действовать 1 марта 1971 года. План предусматривает оказание существенной и долгосрочной поддержки семьям работающих участников плана, которые преждевременно умерли при исполнении служебных обязанностей. Он имеет тот же охват, что и резервные фонды (РФ), а участие в нем является обязательным для тех, кто вступил в РФ после введения плана в действие. Состоявшим в фонде до этого была предоставлена возможность присоединиться к плану, и к концу 1976 года более 3,21 миллиона держателей счетов фонда сделали свой выбор в пользу присоединения.  Финансовое покрытие плана обеспечивается соответствующим фондом, который формируется из трех источников поступлений. Во-первых, в него перечисляется взнос самого работающего с его счета в РФ в размере 1,16 процента от зарплаты. Такой же взнос одновременно делается из доли работодателя. Центральное правительство также выделяет денежный взнос в размере   1,16 процента от зарплаты работающего, что может рассматриваться как чистый доход для участников плана в целом. Их общее число на 31 марта 1995 года составило 15,7 млн. человек. Пенсия членам семей выплачивается только после уплаты взносов в течение как минимум двух лет.</w:t>
      </w:r>
    </w:p>
    <w:p w:rsidR="00000000" w:rsidRDefault="00000000">
      <w:pPr>
        <w:pStyle w:val="112"/>
      </w:pPr>
      <w:r>
        <w:t>196.</w:t>
      </w:r>
      <w:r>
        <w:tab/>
        <w:t>Пособия в рамках этого плана включают в себя пенсии членам семьи, пособия по страхованию жизни и пособия по выходу на пенсию и досрочному прекращению трудовой деятельности.</w:t>
      </w:r>
    </w:p>
    <w:p w:rsidR="00000000" w:rsidRDefault="00000000">
      <w:pPr>
        <w:pStyle w:val="112"/>
      </w:pPr>
      <w:r>
        <w:tab/>
      </w:r>
      <w:r>
        <w:rPr>
          <w:lang w:val="en-US"/>
        </w:rPr>
        <w:t>i</w:t>
      </w:r>
      <w:r>
        <w:t>)</w:t>
      </w:r>
      <w:r>
        <w:tab/>
        <w:t xml:space="preserve">Пенсии членам семьи. Если участник Плана пенсионного обеспечения семей после безупречной службы умирает, не достигнув возраста 60 лет, пенсия выплачивается одному из оставшихся членов семьи в размерах, определяемых правительством, при условии что умерший член семьи делал взносы в Фонд пенсионного обеспечения семьи в течение как минимум трех месяцев. </w:t>
      </w:r>
      <w:r>
        <w:br/>
        <w:t>С 1 апреля 1992 года действуют вновь пересмотренные правительством более льготные нормативы Плана пенсионного обеспечения семей 1971 года в части размеров пенсионных выплат. С этого момента пенсионеры получают дополнительные надбавки в размере 15 или 10 процентов в зависимости от даты смерти работавшего члена семьи, но не менее 50 рупий. Если последний платил взносы в Фонд пенсионного обеспечения семей:</w:t>
      </w:r>
    </w:p>
    <w:p w:rsidR="00000000" w:rsidRDefault="00000000">
      <w:pPr>
        <w:pStyle w:val="112"/>
      </w:pPr>
      <w:r>
        <w:t>–</w:t>
      </w:r>
      <w:r>
        <w:tab/>
        <w:t>не менее 7 лет до смерти, то надбавка выплачивается получателю пенсии в течение семи последующих лет, считая со дня смерти участника плана;</w:t>
      </w:r>
    </w:p>
    <w:p w:rsidR="00000000" w:rsidRDefault="00000000">
      <w:pPr>
        <w:pStyle w:val="112"/>
      </w:pPr>
      <w:r>
        <w:t>–</w:t>
      </w:r>
      <w:r>
        <w:tab/>
        <w:t>до той даты, когда участнику исполнилось бы 60 лет, если бы он не умер, надбавка начисляется в размере 20 процентов от его зарплаты по актуарной оценке.</w:t>
      </w:r>
    </w:p>
    <w:p w:rsidR="00000000" w:rsidRDefault="00000000">
      <w:pPr>
        <w:pStyle w:val="112"/>
      </w:pPr>
      <w:r>
        <w:tab/>
      </w:r>
      <w:r>
        <w:rPr>
          <w:lang w:val="en-US"/>
        </w:rPr>
        <w:t>ii</w:t>
      </w:r>
      <w:r>
        <w:t>)</w:t>
      </w:r>
      <w:r>
        <w:tab/>
        <w:t>Пособие по страхованию жизни. Если работающий участник Фонда пенсионного обеспечения семей, который платил взносы не менее трех месяцев умирает, его/ее семья получает единовременное страховое пособие в размере 5000 рупий. Эта норма действует с 1 апреля 1998 года, а ранее она составляла 2000 рупий.</w:t>
      </w:r>
    </w:p>
    <w:p w:rsidR="00000000" w:rsidRDefault="00000000">
      <w:pPr>
        <w:pStyle w:val="112"/>
      </w:pPr>
      <w:r>
        <w:tab/>
      </w:r>
      <w:r>
        <w:rPr>
          <w:lang w:val="en-US"/>
        </w:rPr>
        <w:t>iii</w:t>
      </w:r>
      <w:r>
        <w:t>)</w:t>
      </w:r>
      <w:r>
        <w:tab/>
        <w:t xml:space="preserve">Пособия по выходу на пенсию/досрочному прекращению трудовой деятельности. Этот вид пособий выплачивается участнику либо по достижении возраста 60 лет, либо в случае прекращения его участия в Фонде пенсионного обеспечения семей до достижения этого возраста по иным причинам, кроме смерти. Это правило действует, если участник перечислял взносы в Фонд пенсионного обеспечения семей не менее одного года. Размер пособия, который раньше зависел от уплаченных или подлежавших уплате взносов за полные годы и имел минимальный размер </w:t>
      </w:r>
      <w:r>
        <w:br/>
        <w:t>110 рупий при одном уплаченном годовом взносе и максимальный размер 9000 рупий при уплате взносов в течение 40 лет, был пересмотрен и увеличен до максимального размера 42 280 рупий. При этом пособие начисляется в зависимости от последней зарплаты, полученной работником, и количества уплаченных или подлежащих уплате взносов за полные годы.</w:t>
      </w:r>
    </w:p>
    <w:p w:rsidR="00000000" w:rsidRDefault="00000000">
      <w:pPr>
        <w:jc w:val="both"/>
        <w:rPr>
          <w:sz w:val="24"/>
        </w:rPr>
      </w:pPr>
    </w:p>
    <w:p w:rsidR="00000000" w:rsidRDefault="00000000">
      <w:pPr>
        <w:jc w:val="both"/>
        <w:rPr>
          <w:b/>
          <w:sz w:val="22"/>
          <w:szCs w:val="22"/>
        </w:rPr>
      </w:pPr>
      <w:r>
        <w:rPr>
          <w:b/>
          <w:sz w:val="22"/>
          <w:szCs w:val="22"/>
        </w:rPr>
        <w:t>План пенсионного обеспечения персонала 1995 года</w:t>
      </w:r>
    </w:p>
    <w:p w:rsidR="00000000" w:rsidRDefault="00000000">
      <w:pPr>
        <w:pStyle w:val="112"/>
      </w:pPr>
      <w:r>
        <w:t>197.</w:t>
      </w:r>
      <w:r>
        <w:tab/>
        <w:t>План пенсионного обеспечения персонала является обязательным для всех участников Плана пенсионного обеспечения семей 1971 года. Он обязателен также для тех, кто присоединился к Резервному фонду после 16 ноября 1995 года, то есть даты введения пенсионного плана для персонала в действие. Те участники РФ, которые не участвовали в Плане пенсионного обеспечения семей, тоже могут присоединиться к плану. План пенсионного обеспечения персонала действует с 16 ноября 1995 года, но желающие работники, включая участников Плана добровольного выхода на пенсию, могут присоединиться к нему, начиная уже с 1 апреля 1993 года. С введением в 1995 году нового пенсионного плана первоначальный План пенсионного обеспечения семей 1971 года прекратил свое действие, а все активы и пассивы первоначального Фонда пенсионного обеспечения семей перешли к фонду покрытия этого нового Пенсионного плана для персонала. Все пособия и льготы по старому плану сохранены и действуют в рамках нового пенсионного плана 1995 года. Этот план предусматривает выплаты ежемесячных пенсий в следующих обстоятельствах:</w:t>
      </w:r>
    </w:p>
    <w:p w:rsidR="00000000" w:rsidRDefault="00000000">
      <w:pPr>
        <w:jc w:val="both"/>
        <w:rPr>
          <w:sz w:val="24"/>
        </w:rPr>
      </w:pPr>
    </w:p>
    <w:p w:rsidR="00000000" w:rsidRDefault="00000000">
      <w:pPr>
        <w:pStyle w:val="112"/>
        <w:spacing w:before="0"/>
      </w:pPr>
      <w:r>
        <w:tab/>
        <w:t xml:space="preserve">а) </w:t>
      </w:r>
      <w:r>
        <w:tab/>
        <w:t>увольнение по собственному желанию по достижении 58 лет</w:t>
      </w:r>
    </w:p>
    <w:p w:rsidR="00000000" w:rsidRDefault="00000000">
      <w:pPr>
        <w:pStyle w:val="112"/>
        <w:spacing w:before="0"/>
        <w:rPr>
          <w:lang w:val="en-US"/>
        </w:rPr>
      </w:pPr>
    </w:p>
    <w:p w:rsidR="00000000" w:rsidRDefault="00000000">
      <w:pPr>
        <w:pStyle w:val="112"/>
        <w:spacing w:before="0"/>
      </w:pPr>
      <w:r>
        <w:tab/>
      </w:r>
      <w:r>
        <w:rPr>
          <w:lang w:val="en-US"/>
        </w:rPr>
        <w:t>b</w:t>
      </w:r>
      <w:r>
        <w:t xml:space="preserve">) </w:t>
      </w:r>
      <w:r>
        <w:tab/>
        <w:t>выход на пенсию</w:t>
      </w:r>
    </w:p>
    <w:p w:rsidR="00000000" w:rsidRDefault="00000000">
      <w:pPr>
        <w:pStyle w:val="112"/>
        <w:spacing w:before="0"/>
        <w:rPr>
          <w:lang w:val="en-US"/>
        </w:rPr>
      </w:pPr>
    </w:p>
    <w:p w:rsidR="00000000" w:rsidRDefault="00000000">
      <w:pPr>
        <w:pStyle w:val="112"/>
        <w:spacing w:before="0"/>
      </w:pPr>
      <w:r>
        <w:tab/>
      </w:r>
      <w:r>
        <w:rPr>
          <w:lang w:val="en-US"/>
        </w:rPr>
        <w:t>c</w:t>
      </w:r>
      <w:r>
        <w:t>)</w:t>
      </w:r>
      <w:r>
        <w:tab/>
        <w:t>необратимая полная нетрудоспособность</w:t>
      </w:r>
    </w:p>
    <w:p w:rsidR="00000000" w:rsidRDefault="00000000">
      <w:pPr>
        <w:pStyle w:val="112"/>
        <w:spacing w:before="0"/>
        <w:rPr>
          <w:lang w:val="en-US"/>
        </w:rPr>
      </w:pPr>
    </w:p>
    <w:p w:rsidR="00000000" w:rsidRDefault="00000000">
      <w:pPr>
        <w:pStyle w:val="112"/>
        <w:spacing w:before="0"/>
      </w:pPr>
      <w:r>
        <w:tab/>
      </w:r>
      <w:r>
        <w:rPr>
          <w:lang w:val="en-US"/>
        </w:rPr>
        <w:t>d</w:t>
      </w:r>
      <w:r>
        <w:t>)</w:t>
      </w:r>
      <w:r>
        <w:tab/>
        <w:t>смерть при исполнении служебных обязанностей</w:t>
      </w:r>
    </w:p>
    <w:p w:rsidR="00000000" w:rsidRDefault="00000000">
      <w:pPr>
        <w:pStyle w:val="112"/>
        <w:spacing w:before="0"/>
        <w:ind w:left="1134" w:hanging="1134"/>
        <w:rPr>
          <w:lang w:val="en-US"/>
        </w:rPr>
      </w:pPr>
    </w:p>
    <w:p w:rsidR="00000000" w:rsidRDefault="00000000">
      <w:pPr>
        <w:pStyle w:val="112"/>
        <w:spacing w:before="0"/>
        <w:ind w:left="1134" w:hanging="1134"/>
      </w:pPr>
      <w:r>
        <w:tab/>
      </w:r>
      <w:r>
        <w:rPr>
          <w:lang w:val="en-US"/>
        </w:rPr>
        <w:t>e</w:t>
      </w:r>
      <w:r>
        <w:t>)</w:t>
      </w:r>
      <w:r>
        <w:tab/>
        <w:t>смерть после выхода на пенсию/увольнения по достижении 58 лет/полной утраты трудоспособности</w:t>
      </w:r>
    </w:p>
    <w:p w:rsidR="00000000" w:rsidRDefault="00000000">
      <w:pPr>
        <w:pStyle w:val="112"/>
        <w:spacing w:before="0"/>
        <w:rPr>
          <w:lang w:val="en-US"/>
        </w:rPr>
      </w:pPr>
    </w:p>
    <w:p w:rsidR="00000000" w:rsidRDefault="00000000">
      <w:pPr>
        <w:pStyle w:val="112"/>
        <w:spacing w:before="0"/>
      </w:pPr>
      <w:r>
        <w:tab/>
      </w:r>
      <w:r>
        <w:rPr>
          <w:lang w:val="en-US"/>
        </w:rPr>
        <w:t>f</w:t>
      </w:r>
      <w:r>
        <w:t>)</w:t>
      </w:r>
      <w:r>
        <w:tab/>
        <w:t>пособия на содержание детей</w:t>
      </w:r>
    </w:p>
    <w:p w:rsidR="00000000" w:rsidRDefault="00000000">
      <w:pPr>
        <w:pStyle w:val="112"/>
        <w:spacing w:before="0"/>
        <w:rPr>
          <w:lang w:val="en-US"/>
        </w:rPr>
      </w:pPr>
    </w:p>
    <w:p w:rsidR="00000000" w:rsidRDefault="00000000">
      <w:pPr>
        <w:pStyle w:val="112"/>
        <w:spacing w:before="0"/>
      </w:pPr>
      <w:r>
        <w:tab/>
      </w:r>
      <w:r>
        <w:rPr>
          <w:lang w:val="en-US"/>
        </w:rPr>
        <w:t>g</w:t>
      </w:r>
      <w:r>
        <w:t>)</w:t>
      </w:r>
      <w:r>
        <w:tab/>
        <w:t>сиротские пособия.</w:t>
      </w:r>
    </w:p>
    <w:p w:rsidR="00000000" w:rsidRDefault="00000000">
      <w:pPr>
        <w:pStyle w:val="112"/>
      </w:pPr>
      <w:r>
        <w:t>Формула расчета ежемесячной пенсии участника пенсионного фонда:</w:t>
      </w:r>
    </w:p>
    <w:p w:rsidR="00000000" w:rsidRDefault="00000000">
      <w:pPr>
        <w:pStyle w:val="112"/>
      </w:pPr>
      <w:r>
        <w:t>пенсия участника = зачитываемый для пенсии оклад х (зачитываемый стаж+2)/70.</w:t>
      </w:r>
    </w:p>
    <w:p w:rsidR="00000000" w:rsidRDefault="00000000">
      <w:pPr>
        <w:jc w:val="both"/>
        <w:rPr>
          <w:sz w:val="24"/>
        </w:rPr>
      </w:pPr>
    </w:p>
    <w:p w:rsidR="00000000" w:rsidRDefault="00000000">
      <w:pPr>
        <w:spacing w:before="80"/>
        <w:jc w:val="both"/>
        <w:rPr>
          <w:b/>
          <w:sz w:val="22"/>
          <w:szCs w:val="22"/>
        </w:rPr>
      </w:pPr>
      <w:r>
        <w:rPr>
          <w:b/>
          <w:sz w:val="22"/>
          <w:szCs w:val="22"/>
        </w:rPr>
        <w:t>План накопительного социального страхования персонала 1976 года</w:t>
      </w:r>
    </w:p>
    <w:p w:rsidR="00000000" w:rsidRDefault="00000000">
      <w:pPr>
        <w:pStyle w:val="112"/>
      </w:pPr>
      <w:r>
        <w:t>198.</w:t>
      </w:r>
      <w:r>
        <w:tab/>
        <w:t>План, действующий с 1 августа 1976 года, предусматривает, что в случае смерти работника, который состоит в резервном фонде предприятия, охваченного Законом 1952 года о резервных фондах персонала и прочих положениях, лицо, имеющее право на получение накоплений покойного в резервном фонде, получает дополнительную выплату в размере среднего остатка на счете последнего в резервном фонде за последние 12 месяцев до его смерти, если этот остаток не превышает 25 000 рупий. В случае, если средний остаток на счете больше 25 000 рупий, выплата по плану составит 25 000 рупий плюс 25% от суммы по избытку, начиная с 35 000 рупий. Работники освобождаются от уплаты взносов в этот фонд социального страхования.</w:t>
      </w:r>
    </w:p>
    <w:p w:rsidR="00000000" w:rsidRDefault="00000000">
      <w:pPr>
        <w:jc w:val="both"/>
        <w:rPr>
          <w:sz w:val="22"/>
          <w:szCs w:val="22"/>
        </w:rPr>
      </w:pPr>
    </w:p>
    <w:p w:rsidR="00000000" w:rsidRDefault="00000000">
      <w:pPr>
        <w:spacing w:before="80"/>
        <w:jc w:val="both"/>
        <w:rPr>
          <w:b/>
          <w:sz w:val="22"/>
          <w:szCs w:val="22"/>
        </w:rPr>
      </w:pPr>
      <w:r>
        <w:rPr>
          <w:b/>
          <w:sz w:val="22"/>
          <w:szCs w:val="22"/>
        </w:rPr>
        <w:t xml:space="preserve">Закон о пособиях по беременности и родам 1961 года </w:t>
      </w:r>
    </w:p>
    <w:p w:rsidR="00000000" w:rsidRDefault="00000000">
      <w:pPr>
        <w:pStyle w:val="112"/>
      </w:pPr>
      <w:r>
        <w:t>199.</w:t>
      </w:r>
      <w:r>
        <w:tab/>
        <w:t>Пособия по беременности и родам предусмотрены как федеральным законодательством, так и законодательством штатов, но работники могут получать это пособие на основании только одного из них. Федеральное законодательство, т. е. Закон о пособиях по беременности и родам 1961 года, распространяется на всю страну и все предприятия, за исключением тех, которые подпадают под действие Закона о государственном страховании персонала. Этот закон устанавливает права на получение пособия, период выплаты пособия и его размеры. Последние поправки были в него внесены в виде Закона о пособиях по беременности и родам (поправки) 1988 года, который, в частности, распространил действие его положений на предприятия и учреждения с 10 и более работающими, уменьшил предварительный период фактической работы, дающий право на получение пособия, со 160 до 80 рабочих дней, увеличил сумму предусмотренных по нему выплат на медицинские расходы с 25 до 250 рупий и установил размер пособия на уровне среднесуточной зарплаты за три календарных месяца, или минимальной зарплаты, определенной/пересмотренной в соответствии с Законом о минимальной заработной плате 1948 года, или 10 рупий/день, в зависимости от того, какой из этих уровней выше, а само пособие выплачивается за период совокупного фактического отсутствия на работе до 12 недель, из которых не более 6 недель могут быть предоставлены до родов, а другие 6 после них.</w:t>
      </w:r>
    </w:p>
    <w:p w:rsidR="00000000" w:rsidRDefault="00000000">
      <w:pPr>
        <w:pStyle w:val="112"/>
      </w:pPr>
      <w:r>
        <w:t>200.</w:t>
      </w:r>
      <w:r>
        <w:tab/>
        <w:t>Существует много других видов предприятий и учреждений, в том числе ряд таких, на которых занято все больше женщин, но на которые не распространяется действие Закона о пособиях по беременности и родам. Вторая Национальная комиссия по вопросам труда рекомендовала, чтобы эти категории предприятий были включены в сферу ее действия в приоритетном порядке на основе Национальной отраслевой классификации. Среди них можно назвать, в частности, авиационные предприятия, предприятия строительной индустрии, транспорта и связи, торговли, сферы услуг и др.</w:t>
      </w:r>
    </w:p>
    <w:p w:rsidR="00000000" w:rsidRDefault="00000000">
      <w:pPr>
        <w:jc w:val="both"/>
        <w:rPr>
          <w:sz w:val="24"/>
        </w:rPr>
      </w:pPr>
    </w:p>
    <w:p w:rsidR="00000000" w:rsidRDefault="00000000">
      <w:pPr>
        <w:keepNext/>
        <w:jc w:val="both"/>
        <w:rPr>
          <w:b/>
          <w:sz w:val="22"/>
          <w:szCs w:val="22"/>
        </w:rPr>
      </w:pPr>
      <w:r>
        <w:rPr>
          <w:b/>
          <w:sz w:val="22"/>
          <w:szCs w:val="22"/>
        </w:rPr>
        <w:t>Закон о выходном пособии 1972 года</w:t>
      </w:r>
    </w:p>
    <w:p w:rsidR="00000000" w:rsidRDefault="00000000">
      <w:pPr>
        <w:pStyle w:val="112"/>
        <w:keepNext/>
      </w:pPr>
      <w:r>
        <w:t>201.</w:t>
      </w:r>
      <w:r>
        <w:tab/>
        <w:t>Выходное пособие является формой пособия по выходу на пенсию. Однако в Индии оно полагается по истечении пяти лет службы и может также принимать форму пособия по ее прекращению. Закон о выходном пособии 1972 года был принят для обеспечения плана выплат выходного пособия рабочим и служащим на всех заводах, шахтах, нефтепромыслах, плантациях и железных дорогах, а также всех торговых предприятиях и учреждениях, где занято 10 и более человек. Другие предприятия с числом работающих более 10 человек также могут быть включены в сферу действия закона. Выходное пособие выплачивается работодателем каждому работнику по прекращении постоянного срока службы не менее пяти лет, по достижении определенного возраста при выходе на пенсию, в случае увольнения по собственному желанию, смерти или утраты трудоспособности. В случае смерти или утраты трудоспособности возможны отклонения от этого правила. Так, в случае смерти выходное пособие выплачивается доверенному лицу или наследнику умершего.</w:t>
      </w:r>
    </w:p>
    <w:p w:rsidR="00000000" w:rsidRDefault="00000000">
      <w:pPr>
        <w:jc w:val="both"/>
        <w:rPr>
          <w:sz w:val="24"/>
        </w:rPr>
      </w:pPr>
    </w:p>
    <w:p w:rsidR="00000000" w:rsidRDefault="00000000">
      <w:pPr>
        <w:jc w:val="both"/>
        <w:rPr>
          <w:b/>
          <w:sz w:val="22"/>
          <w:szCs w:val="22"/>
        </w:rPr>
      </w:pPr>
      <w:r>
        <w:rPr>
          <w:b/>
          <w:sz w:val="22"/>
          <w:szCs w:val="22"/>
        </w:rPr>
        <w:t>Неорганизованный сектор</w:t>
      </w:r>
    </w:p>
    <w:p w:rsidR="00000000" w:rsidRDefault="00000000">
      <w:pPr>
        <w:pStyle w:val="112"/>
      </w:pPr>
      <w:r>
        <w:t>202.</w:t>
      </w:r>
      <w:r>
        <w:tab/>
        <w:t>По данным Организации по проведению национальных выборочных исследований, в 1999–2000 годах в стране совокупная занятость в организованном и неорганизованном секторах составила порядка 397 млн. человек: около 28 млн. в организованном и 369 млн. (почти 93%) – в неорганизованном секторе. В Индии неорганизованный сектор характеризуется отсутствием действия трудового законодательства, сезонными и временными формами занятости, высокой текучестью кадров, большим разбросом размеров оплаты труда, разнообразием родов деятельности, нестабильностью занятости, отсутствием организационной поддержки, незначительными возможностями заключения трудовых соглашений и т. д. Все это делает данный сектор уязвимым в плане социально-экономических трудностей. Характер деятельности в неорганизованном секторе меняется от региона к региону, а также от сельской к городской местности, включая отдаленные сельские районы, а также порой самые неблагополучные городские образования. Что касается Закона о пособиях по беременности и родам, то жалобы на его нарушения в этом секторе касаются предвзятого отношения к работающим женщинам, незнания женщинами своих прав и т. д. Индийское правительство планирует принять отдельное законодательство о предоставлении пособий по беременности и родам женщинам, работающим в неорганизованном секторе. Существующие механизмы социального обеспечения в неорганизованном секторе могут быть в основном сведены в следующие группы:</w:t>
      </w:r>
    </w:p>
    <w:p w:rsidR="00000000" w:rsidRDefault="00000000">
      <w:pPr>
        <w:pStyle w:val="112"/>
      </w:pPr>
      <w:r>
        <w:tab/>
        <w:t>1)</w:t>
      </w:r>
      <w:r>
        <w:tab/>
        <w:t>программы социального вспомоществования с централизованным финансированием;</w:t>
      </w:r>
    </w:p>
    <w:p w:rsidR="00000000" w:rsidRDefault="00000000">
      <w:pPr>
        <w:pStyle w:val="112"/>
        <w:spacing w:before="0"/>
        <w:rPr>
          <w:lang w:val="en-US"/>
        </w:rPr>
      </w:pPr>
    </w:p>
    <w:p w:rsidR="00000000" w:rsidRDefault="00000000">
      <w:pPr>
        <w:pStyle w:val="112"/>
        <w:spacing w:before="0"/>
      </w:pPr>
      <w:r>
        <w:tab/>
        <w:t>2)</w:t>
      </w:r>
      <w:r>
        <w:tab/>
        <w:t>планы социального страхования; и</w:t>
      </w:r>
    </w:p>
    <w:p w:rsidR="00000000" w:rsidRDefault="00000000">
      <w:pPr>
        <w:pStyle w:val="112"/>
        <w:spacing w:before="0"/>
        <w:ind w:left="1134" w:hanging="1134"/>
        <w:rPr>
          <w:lang w:val="en-US"/>
        </w:rPr>
      </w:pPr>
    </w:p>
    <w:p w:rsidR="00000000" w:rsidRDefault="00000000">
      <w:pPr>
        <w:pStyle w:val="112"/>
        <w:spacing w:before="0"/>
        <w:ind w:left="1134" w:hanging="1134"/>
      </w:pPr>
      <w:r>
        <w:tab/>
        <w:t>3)</w:t>
      </w:r>
      <w:r>
        <w:tab/>
        <w:t>социальная поддержка через фонды социальной помощи центрального правительства и правительств штатов, а также общественные программы НПО, подобные группам самопомощи.</w:t>
      </w:r>
    </w:p>
    <w:p w:rsidR="00000000" w:rsidRDefault="00000000">
      <w:pPr>
        <w:pStyle w:val="112"/>
        <w:rPr>
          <w:rStyle w:val="111"/>
        </w:rPr>
      </w:pPr>
      <w:r>
        <w:tab/>
        <w:t>1)</w:t>
      </w:r>
      <w:r>
        <w:tab/>
        <w:t xml:space="preserve">Социальное вспомоществование с централизованным финансированием: </w:t>
      </w:r>
      <w:r>
        <w:rPr>
          <w:rStyle w:val="111"/>
        </w:rPr>
        <w:t xml:space="preserve">Программы социальной поддержки, финансируемые из централизованных фондов, включают в себя планы для сельской и городской местности в рамках </w:t>
      </w:r>
      <w:r>
        <w:rPr>
          <w:i/>
        </w:rPr>
        <w:t>Национальной программы социальной помощи</w:t>
      </w:r>
      <w:r>
        <w:rPr>
          <w:rStyle w:val="111"/>
        </w:rPr>
        <w:t xml:space="preserve"> </w:t>
      </w:r>
      <w:r>
        <w:rPr>
          <w:i/>
        </w:rPr>
        <w:t>(НПСП)</w:t>
      </w:r>
      <w:r>
        <w:rPr>
          <w:rStyle w:val="111"/>
        </w:rPr>
        <w:t xml:space="preserve">, состоящей из трех компонентов, а именно: </w:t>
      </w:r>
      <w:r>
        <w:rPr>
          <w:i/>
        </w:rPr>
        <w:t>Национального плана пенсионного обеспечения по старости (НППС)</w:t>
      </w:r>
      <w:r>
        <w:rPr>
          <w:rStyle w:val="111"/>
        </w:rPr>
        <w:t xml:space="preserve">, </w:t>
      </w:r>
      <w:r>
        <w:rPr>
          <w:i/>
        </w:rPr>
        <w:t>Национального плана выплаты семейных пособий (НПВСП)</w:t>
      </w:r>
      <w:r>
        <w:rPr>
          <w:rStyle w:val="111"/>
        </w:rPr>
        <w:t xml:space="preserve"> и </w:t>
      </w:r>
      <w:r>
        <w:rPr>
          <w:i/>
        </w:rPr>
        <w:t>Национального плана пособий по беременности и родам (НППБР)</w:t>
      </w:r>
      <w:r>
        <w:rPr>
          <w:rStyle w:val="111"/>
        </w:rPr>
        <w:t xml:space="preserve">. По плану НППС малоимущие лица старше 65 лет получают пенсию в размере 75 рупий в месяц. По плану НПВСП единовременное пособие, выплачиваемое семье при естественной смерти кормильца, составляет 5000 рупий, а при несчастном случае, повлекшем за собой смерть основного кормильца – 10 000 рупий. По плану НППБР беременная женщина в домохозяйстве, живущем за чертой бедности, получает единовременную помощь в размере 500 рупий на двух первых выживших при родах детей, если она достигла возраста 19 лет. Действуют также важные социальные программы </w:t>
      </w:r>
      <w:r>
        <w:rPr>
          <w:i/>
        </w:rPr>
        <w:t>Сампурна Грамин Роджгар Йоджана, Сварна Джаянти Грам Свароджгар Йоджана, Сварна Джаянти Шахри Роджгар Йоджана</w:t>
      </w:r>
      <w:r>
        <w:rPr>
          <w:rStyle w:val="111"/>
        </w:rPr>
        <w:t>.  Эти программы осуществляются через Министерство по делам развития сельских районов и Министерство по делам занятости городского населения и борьбы с нищетой. Кроме того, Министерство текстильной промышленности осуществляет некоторые программы социального обеспечения работников, занятых в секторе ручного и машинного ткацкого производства.</w:t>
      </w:r>
    </w:p>
    <w:p w:rsidR="00000000" w:rsidRDefault="00000000">
      <w:pPr>
        <w:pStyle w:val="112"/>
        <w:rPr>
          <w:rStyle w:val="111"/>
        </w:rPr>
      </w:pPr>
      <w:r>
        <w:tab/>
        <w:t>2)</w:t>
      </w:r>
      <w:r>
        <w:tab/>
        <w:t xml:space="preserve">Планы социального страхования: </w:t>
      </w:r>
      <w:r>
        <w:rPr>
          <w:rStyle w:val="111"/>
        </w:rPr>
        <w:t xml:space="preserve">Планы социального страхования для неорганизованного сектора осуществляются через Национальную корпорацию страхования жизни в соответствии с рядом схем коллективного страхования для научно-технического персонала, работников магазинов и торговых предприятий и т. д. Недавно начала действовать наиболее широкая и комплексная программа </w:t>
      </w:r>
      <w:r>
        <w:rPr>
          <w:i/>
        </w:rPr>
        <w:t>Джанашри Бима</w:t>
      </w:r>
      <w:r>
        <w:rPr>
          <w:rStyle w:val="111"/>
        </w:rPr>
        <w:t xml:space="preserve"> </w:t>
      </w:r>
      <w:r>
        <w:rPr>
          <w:i/>
        </w:rPr>
        <w:t>Йоджана</w:t>
      </w:r>
      <w:r>
        <w:rPr>
          <w:rStyle w:val="111"/>
        </w:rPr>
        <w:t>, в рамках которой выплачиваются следующие пособия:</w:t>
      </w:r>
    </w:p>
    <w:p w:rsidR="00000000" w:rsidRDefault="00000000">
      <w:pPr>
        <w:numPr>
          <w:ilvl w:val="0"/>
          <w:numId w:val="3"/>
        </w:numPr>
        <w:tabs>
          <w:tab w:val="left" w:pos="960"/>
        </w:tabs>
        <w:spacing w:before="180"/>
        <w:ind w:left="958" w:hanging="238"/>
        <w:jc w:val="both"/>
        <w:rPr>
          <w:sz w:val="22"/>
          <w:szCs w:val="22"/>
        </w:rPr>
      </w:pPr>
      <w:r>
        <w:rPr>
          <w:sz w:val="22"/>
          <w:szCs w:val="22"/>
        </w:rPr>
        <w:t>20 000 рупий в случае смерти</w:t>
      </w:r>
    </w:p>
    <w:p w:rsidR="00000000" w:rsidRDefault="00000000">
      <w:pPr>
        <w:numPr>
          <w:ilvl w:val="0"/>
          <w:numId w:val="3"/>
        </w:numPr>
        <w:tabs>
          <w:tab w:val="left" w:pos="960"/>
        </w:tabs>
        <w:spacing w:before="60"/>
        <w:ind w:left="958" w:hanging="238"/>
        <w:jc w:val="both"/>
        <w:rPr>
          <w:sz w:val="22"/>
          <w:szCs w:val="22"/>
        </w:rPr>
      </w:pPr>
      <w:r>
        <w:rPr>
          <w:sz w:val="22"/>
          <w:szCs w:val="22"/>
        </w:rPr>
        <w:t>50 000 рупий в случае смерти в результате несчастного случая</w:t>
      </w:r>
    </w:p>
    <w:p w:rsidR="00000000" w:rsidRDefault="00000000">
      <w:pPr>
        <w:numPr>
          <w:ilvl w:val="0"/>
          <w:numId w:val="3"/>
        </w:numPr>
        <w:tabs>
          <w:tab w:val="left" w:pos="960"/>
        </w:tabs>
        <w:spacing w:before="60"/>
        <w:ind w:left="958" w:hanging="238"/>
        <w:jc w:val="both"/>
        <w:rPr>
          <w:sz w:val="22"/>
          <w:szCs w:val="22"/>
        </w:rPr>
      </w:pPr>
      <w:r>
        <w:rPr>
          <w:sz w:val="22"/>
          <w:szCs w:val="22"/>
        </w:rPr>
        <w:t>50 000 рупий при несчастном случае, приведшем к полной потере трудоспособности</w:t>
      </w:r>
    </w:p>
    <w:p w:rsidR="00000000" w:rsidRDefault="00000000">
      <w:pPr>
        <w:numPr>
          <w:ilvl w:val="0"/>
          <w:numId w:val="3"/>
        </w:numPr>
        <w:tabs>
          <w:tab w:val="left" w:pos="960"/>
        </w:tabs>
        <w:spacing w:before="60"/>
        <w:ind w:left="958" w:hanging="238"/>
        <w:jc w:val="both"/>
        <w:rPr>
          <w:sz w:val="22"/>
          <w:szCs w:val="22"/>
        </w:rPr>
      </w:pPr>
      <w:r>
        <w:rPr>
          <w:sz w:val="22"/>
          <w:szCs w:val="22"/>
        </w:rPr>
        <w:t>25 000 рупий в случае частичной потери трудоспособности</w:t>
      </w:r>
    </w:p>
    <w:p w:rsidR="00000000" w:rsidRDefault="00000000">
      <w:pPr>
        <w:numPr>
          <w:ilvl w:val="0"/>
          <w:numId w:val="3"/>
        </w:numPr>
        <w:tabs>
          <w:tab w:val="left" w:pos="960"/>
        </w:tabs>
        <w:spacing w:before="60"/>
        <w:ind w:left="958" w:hanging="238"/>
        <w:jc w:val="both"/>
        <w:rPr>
          <w:sz w:val="22"/>
          <w:szCs w:val="22"/>
        </w:rPr>
      </w:pPr>
      <w:r>
        <w:rPr>
          <w:sz w:val="22"/>
          <w:szCs w:val="22"/>
        </w:rPr>
        <w:t>Страховой взнос для получения указанных пособий составляет для участника программы 200 рупий, причем 50 процентов, т. е. 100 рупий, оплачивает Фонд социального обеспечения.</w:t>
      </w:r>
    </w:p>
    <w:p w:rsidR="00000000" w:rsidRDefault="00000000">
      <w:pPr>
        <w:pStyle w:val="112"/>
        <w:rPr>
          <w:rStyle w:val="111"/>
        </w:rPr>
      </w:pPr>
      <w:r>
        <w:rPr>
          <w:rStyle w:val="111"/>
        </w:rPr>
        <w:tab/>
        <w:t>Участвовать в</w:t>
      </w:r>
      <w:r>
        <w:t xml:space="preserve"> программе </w:t>
      </w:r>
      <w:r>
        <w:rPr>
          <w:i/>
          <w:iCs/>
        </w:rPr>
        <w:t>Джанашри Бима Йоджана</w:t>
      </w:r>
      <w:r>
        <w:t xml:space="preserve"> могут лица в возрасте от 18 до 60 лет, живущие ниже или чу</w:t>
      </w:r>
      <w:r>
        <w:rPr>
          <w:rStyle w:val="111"/>
        </w:rPr>
        <w:t>ть выше черты бедности. Программа предназначена для групп численностью 25 человек и более.</w:t>
      </w:r>
    </w:p>
    <w:p w:rsidR="00000000" w:rsidRDefault="00000000">
      <w:pPr>
        <w:pStyle w:val="112"/>
        <w:rPr>
          <w:rStyle w:val="111"/>
        </w:rPr>
      </w:pPr>
      <w:r>
        <w:rPr>
          <w:rStyle w:val="111"/>
        </w:rPr>
        <w:tab/>
        <w:t xml:space="preserve">Стремясь предоставить какую-то социальную защиту занятым в неорганизованном секторе, правительство в 2001 году ввело в действие программу </w:t>
      </w:r>
      <w:r>
        <w:rPr>
          <w:rStyle w:val="111"/>
          <w:i/>
          <w:iCs/>
        </w:rPr>
        <w:t xml:space="preserve">Криши </w:t>
      </w:r>
      <w:r>
        <w:rPr>
          <w:i/>
        </w:rPr>
        <w:t>Шрамик Самаджик Суракша Йоджана</w:t>
      </w:r>
      <w:r>
        <w:rPr>
          <w:rStyle w:val="111"/>
        </w:rPr>
        <w:t>, осуществляющую с 1 июля 2001 года через Индийскую корпорацию страхования жизни в 50 отдельных районах страны в целях охвата 1 млн. сельскохозяйственных работников в каждом районе в течение первого трехгодичного этапа программы. Программа предусматривает страхование жизни и страхование от несчастных случаев, финансовую поддержку, выплату пенсий и пособий по достижении определенного возраста. По данным на 31 марта 2003 года, программа охватывала около 0,2 млн. сельскохозяйственных работников.</w:t>
      </w:r>
    </w:p>
    <w:p w:rsidR="00000000" w:rsidRDefault="00000000">
      <w:pPr>
        <w:pStyle w:val="112"/>
      </w:pPr>
      <w:r>
        <w:tab/>
        <w:t>3)</w:t>
      </w:r>
      <w:r>
        <w:tab/>
        <w:t xml:space="preserve">Фонды социальной помощи: В настоящее время центральное правительство через </w:t>
      </w:r>
      <w:r>
        <w:rPr>
          <w:caps/>
        </w:rPr>
        <w:t>м</w:t>
      </w:r>
      <w:r>
        <w:t>инистерство труда поддерживает пять фондов социальной помощи для работников, занятых в горнорудной промышленности на добыче известняка и доломитов, железной, хромовой и марганцевой руды, слюды, а также для работников кинопромышленности. Эти фонды используются для оказания различных видов социальной помощи в таких областях, как здравоохранение, обеспечение жильем, обучение детей, снабжение питьевой водой и др. Покрытие этих фондов составляет около 4 млн. рупий. Помимо центрального правительства фонды социальной помощи для различных категорий работников учредили также правительства ряда штатов.</w:t>
      </w:r>
    </w:p>
    <w:p w:rsidR="00000000" w:rsidRDefault="00000000">
      <w:pPr>
        <w:jc w:val="both"/>
        <w:rPr>
          <w:sz w:val="24"/>
        </w:rPr>
      </w:pPr>
    </w:p>
    <w:p w:rsidR="00000000" w:rsidRDefault="00000000">
      <w:pPr>
        <w:jc w:val="both"/>
        <w:rPr>
          <w:b/>
          <w:sz w:val="22"/>
          <w:szCs w:val="22"/>
        </w:rPr>
      </w:pPr>
      <w:r>
        <w:rPr>
          <w:b/>
          <w:sz w:val="22"/>
          <w:szCs w:val="22"/>
        </w:rPr>
        <w:t>Пособие по безработице</w:t>
      </w:r>
    </w:p>
    <w:p w:rsidR="00000000" w:rsidRDefault="00000000">
      <w:pPr>
        <w:pStyle w:val="112"/>
      </w:pPr>
      <w:r>
        <w:t>203.</w:t>
      </w:r>
      <w:r>
        <w:tab/>
        <w:t>Несмотря на усилия, предпринимавшиеся в рамках целого ряда пятилетних планов в целях уменьшения остроты проблемы безработицы, ее уровень оставался более или менее стабильным при устойчивом росте неполной занятости. Темпы экономического роста никогда не были достаточно высокими, чтобы обеспечить полное трудоустройство растущей рабочей силы. Разрабатываемые планы указывают на практическое отсутствие шансов на то, что в ближайшие два десятилетия может быть достигнуто снижение уровня безработицы. В свете этого не представляется возможным обеспечить пособиями по безработице в разумных пределах всех, кто может претендовать на такие пособия. Тем не менее в ряде штатов правительства начали осуществлять программы ограниченного действия по оказанию финансовой поддержки некоторым категориям безработных.</w:t>
      </w:r>
    </w:p>
    <w:p w:rsidR="00000000" w:rsidRDefault="00000000">
      <w:pPr>
        <w:pStyle w:val="112"/>
      </w:pPr>
      <w:r>
        <w:t>204.</w:t>
      </w:r>
      <w:r>
        <w:tab/>
        <w:t xml:space="preserve">Однако на уровне центрального правительства общей программы помощи безработным пока нет. Вместо этого правительство предпочитает проводить политику создания рабочих мест с оплатой на уровне прожиточного минимума, что позволяет оказывать помощь и поддержку пораженным засухой и традиционно отсталым районам на экономически оправданной основе и предпринимать тем самым шаги по борьбе с безработицей. Тем не менее пособия по безработице относятся к сфере действия производственного законодательства, а их получение является законным правом трудящихся в случае увольнения, сокращения штатов или потери работы в результате перемещения или закрытия предприятия. Положение о выплатах по увольнению и сокращению штатов было впервые введено в 1953 году поправкой к Закону 1947 года о трудовых спорах. В главах </w:t>
      </w:r>
      <w:r>
        <w:rPr>
          <w:lang w:val="en-US"/>
        </w:rPr>
        <w:t>V</w:t>
      </w:r>
      <w:r>
        <w:t>-</w:t>
      </w:r>
      <w:r>
        <w:rPr>
          <w:lang w:val="en-US"/>
        </w:rPr>
        <w:t>A</w:t>
      </w:r>
      <w:r>
        <w:t xml:space="preserve"> и </w:t>
      </w:r>
      <w:r>
        <w:rPr>
          <w:lang w:val="en-US"/>
        </w:rPr>
        <w:t>V</w:t>
      </w:r>
      <w:r>
        <w:t>-</w:t>
      </w:r>
      <w:r>
        <w:rPr>
          <w:lang w:val="en-US"/>
        </w:rPr>
        <w:t>B</w:t>
      </w:r>
      <w:r>
        <w:t xml:space="preserve"> этого закона содержатся детальные положения, касающиеся выплат компенсаций и связанных с этим вопросов в случаях увольнения, сокращения штатов и закрытия предприятий.</w:t>
      </w:r>
    </w:p>
    <w:p w:rsidR="00000000" w:rsidRDefault="00000000">
      <w:pPr>
        <w:jc w:val="both"/>
        <w:rPr>
          <w:sz w:val="24"/>
        </w:rPr>
      </w:pPr>
    </w:p>
    <w:p w:rsidR="00000000" w:rsidRDefault="00000000">
      <w:pPr>
        <w:jc w:val="both"/>
        <w:rPr>
          <w:b/>
          <w:sz w:val="22"/>
          <w:szCs w:val="22"/>
        </w:rPr>
      </w:pPr>
      <w:r>
        <w:rPr>
          <w:b/>
          <w:sz w:val="22"/>
          <w:szCs w:val="22"/>
        </w:rPr>
        <w:t>Международная помощь</w:t>
      </w:r>
    </w:p>
    <w:p w:rsidR="00000000" w:rsidRDefault="00000000">
      <w:pPr>
        <w:pStyle w:val="112"/>
        <w:rPr>
          <w:lang w:val="en-US"/>
        </w:rPr>
      </w:pPr>
      <w:r>
        <w:t>205.</w:t>
      </w:r>
      <w:r>
        <w:tab/>
        <w:t>Правительство Индии и Организация резервных фондов персонала являются ассоциированными членами Международной ассоциации социального обеспечения (МАСО) в Женеве, а Корпорация государственного страхования персонала – ее аффилированным членом.   На протяжении 2001 года Индия приняла участие в следующих крупных мероприятиях МАСО:</w:t>
      </w:r>
    </w:p>
    <w:p w:rsidR="00000000" w:rsidRDefault="00000000">
      <w:pPr>
        <w:pStyle w:val="112"/>
        <w:spacing w:before="0"/>
        <w:rPr>
          <w:lang w:val="en-US"/>
        </w:rPr>
      </w:pP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Конференция МАСО по стратегическим вопросам и совещание Рабочей группы, с 16 по </w:t>
      </w:r>
      <w:r>
        <w:rPr>
          <w:sz w:val="22"/>
          <w:szCs w:val="22"/>
        </w:rPr>
        <w:br/>
        <w:t>19 января 2001 года в Париже;</w:t>
      </w:r>
    </w:p>
    <w:p w:rsidR="00000000" w:rsidRDefault="00000000">
      <w:pPr>
        <w:numPr>
          <w:ilvl w:val="0"/>
          <w:numId w:val="4"/>
        </w:numPr>
        <w:tabs>
          <w:tab w:val="left" w:pos="960"/>
        </w:tabs>
        <w:spacing w:before="60" w:after="120"/>
        <w:ind w:left="958" w:hanging="278"/>
        <w:jc w:val="both"/>
        <w:rPr>
          <w:sz w:val="22"/>
          <w:szCs w:val="22"/>
        </w:rPr>
      </w:pPr>
      <w:r>
        <w:rPr>
          <w:sz w:val="22"/>
          <w:szCs w:val="22"/>
        </w:rPr>
        <w:t>Учебный семинар МАСО по вопросам организационных изменений в Азиатско-Тихоокеанском регионе, с 7 по 11 мая 2001 года в Канберре, Австралия;</w:t>
      </w:r>
    </w:p>
    <w:p w:rsidR="00000000" w:rsidRDefault="00000000">
      <w:pPr>
        <w:numPr>
          <w:ilvl w:val="0"/>
          <w:numId w:val="4"/>
        </w:numPr>
        <w:tabs>
          <w:tab w:val="left" w:pos="960"/>
        </w:tabs>
        <w:spacing w:before="60" w:after="120"/>
        <w:ind w:left="958" w:hanging="278"/>
        <w:jc w:val="both"/>
        <w:rPr>
          <w:sz w:val="22"/>
          <w:szCs w:val="22"/>
        </w:rPr>
      </w:pPr>
      <w:r>
        <w:rPr>
          <w:sz w:val="22"/>
          <w:szCs w:val="22"/>
        </w:rPr>
        <w:t>27-я Генеральная ассамблея МАСО, с 9 по 15 сентября 2001 года в Стокгольме;</w:t>
      </w:r>
    </w:p>
    <w:p w:rsidR="00000000" w:rsidRDefault="00000000">
      <w:pPr>
        <w:numPr>
          <w:ilvl w:val="0"/>
          <w:numId w:val="4"/>
        </w:numPr>
        <w:tabs>
          <w:tab w:val="left" w:pos="960"/>
        </w:tabs>
        <w:spacing w:before="60" w:after="120"/>
        <w:ind w:left="958" w:hanging="278"/>
        <w:jc w:val="both"/>
        <w:rPr>
          <w:sz w:val="22"/>
          <w:szCs w:val="22"/>
        </w:rPr>
      </w:pPr>
      <w:r>
        <w:rPr>
          <w:sz w:val="22"/>
          <w:szCs w:val="22"/>
        </w:rPr>
        <w:t>Семинар МАСО для актуариев и статистиков, 21–22 ноября 2001 года в Монтевидео, Уругвай;</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18-й Региональный учебный курс МАСО для Азиатско-Тихоокеанского региона, с 21 по </w:t>
      </w:r>
      <w:r>
        <w:rPr>
          <w:sz w:val="22"/>
          <w:szCs w:val="22"/>
        </w:rPr>
        <w:br/>
        <w:t>31 января 2002 года в Малайзии;</w:t>
      </w:r>
    </w:p>
    <w:p w:rsidR="00000000" w:rsidRDefault="00000000">
      <w:pPr>
        <w:numPr>
          <w:ilvl w:val="0"/>
          <w:numId w:val="4"/>
        </w:numPr>
        <w:tabs>
          <w:tab w:val="left" w:pos="960"/>
        </w:tabs>
        <w:spacing w:before="60" w:after="120"/>
        <w:ind w:left="958" w:hanging="278"/>
        <w:jc w:val="both"/>
        <w:rPr>
          <w:sz w:val="22"/>
          <w:szCs w:val="22"/>
        </w:rPr>
      </w:pPr>
      <w:r>
        <w:rPr>
          <w:sz w:val="22"/>
          <w:szCs w:val="22"/>
        </w:rPr>
        <w:t>79-е заседание Бюро МАСО, 6–7 апреля 2000 года в Женеве;</w:t>
      </w:r>
    </w:p>
    <w:p w:rsidR="00000000" w:rsidRDefault="00000000">
      <w:pPr>
        <w:numPr>
          <w:ilvl w:val="0"/>
          <w:numId w:val="4"/>
        </w:numPr>
        <w:tabs>
          <w:tab w:val="left" w:pos="960"/>
        </w:tabs>
        <w:spacing w:before="60" w:after="120"/>
        <w:ind w:left="958" w:hanging="278"/>
        <w:jc w:val="both"/>
        <w:rPr>
          <w:sz w:val="22"/>
          <w:szCs w:val="22"/>
        </w:rPr>
      </w:pPr>
      <w:r>
        <w:rPr>
          <w:sz w:val="22"/>
          <w:szCs w:val="22"/>
        </w:rPr>
        <w:t>Межрегиональный учебный семинар по проведению актуарных оценок,  с 25 мая по 2 июня 2000 года в Аккре, Гана;</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Международная конференция по информационным технологиям, с 31 мая по 2 июня </w:t>
      </w:r>
      <w:r>
        <w:rPr>
          <w:sz w:val="22"/>
          <w:szCs w:val="22"/>
        </w:rPr>
        <w:br/>
        <w:t>2000 года в Польше;</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Рабочее совещание по финансированию социального обеспечения, с 5 по 16 июня </w:t>
      </w:r>
      <w:r>
        <w:rPr>
          <w:sz w:val="22"/>
          <w:szCs w:val="22"/>
        </w:rPr>
        <w:br/>
        <w:t>2000 года в Турине, Италия;</w:t>
      </w:r>
    </w:p>
    <w:p w:rsidR="00000000" w:rsidRDefault="00000000">
      <w:pPr>
        <w:numPr>
          <w:ilvl w:val="0"/>
          <w:numId w:val="4"/>
        </w:numPr>
        <w:tabs>
          <w:tab w:val="left" w:pos="960"/>
        </w:tabs>
        <w:spacing w:before="60" w:after="120"/>
        <w:ind w:left="958" w:hanging="278"/>
        <w:jc w:val="both"/>
        <w:rPr>
          <w:sz w:val="22"/>
          <w:szCs w:val="22"/>
        </w:rPr>
      </w:pPr>
      <w:r>
        <w:rPr>
          <w:sz w:val="22"/>
          <w:szCs w:val="22"/>
        </w:rPr>
        <w:t>Региональный учебный курс МАСО, с 25 сентября по 4 октября 2000 года в Бахрейне;</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12-я Региональная конференция МАСО для Азиатско-Тихоокеанского региона, </w:t>
      </w:r>
      <w:r>
        <w:rPr>
          <w:sz w:val="22"/>
          <w:szCs w:val="22"/>
        </w:rPr>
        <w:br/>
        <w:t>20–23 ноября 2000 года в Бангкоке, Таиланд;</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Церемония учреждения Национального фонда социального обеспечения в Танзании, </w:t>
      </w:r>
      <w:r>
        <w:rPr>
          <w:sz w:val="22"/>
          <w:szCs w:val="22"/>
        </w:rPr>
        <w:br/>
        <w:t>23 января 1999 года;</w:t>
      </w:r>
    </w:p>
    <w:p w:rsidR="00000000" w:rsidRDefault="00000000">
      <w:pPr>
        <w:numPr>
          <w:ilvl w:val="0"/>
          <w:numId w:val="4"/>
        </w:numPr>
        <w:tabs>
          <w:tab w:val="left" w:pos="960"/>
        </w:tabs>
        <w:spacing w:before="60" w:after="120"/>
        <w:ind w:left="958" w:hanging="278"/>
        <w:jc w:val="both"/>
        <w:rPr>
          <w:sz w:val="22"/>
          <w:szCs w:val="22"/>
        </w:rPr>
      </w:pPr>
      <w:r>
        <w:rPr>
          <w:sz w:val="22"/>
          <w:szCs w:val="22"/>
        </w:rPr>
        <w:t>Первое совещание Консультативной группы при президенте МАСО, 4–5 февраля 1999 года в Женеве;</w:t>
      </w:r>
    </w:p>
    <w:p w:rsidR="00000000" w:rsidRDefault="00000000">
      <w:pPr>
        <w:numPr>
          <w:ilvl w:val="0"/>
          <w:numId w:val="4"/>
        </w:numPr>
        <w:tabs>
          <w:tab w:val="left" w:pos="960"/>
        </w:tabs>
        <w:spacing w:before="60" w:after="120"/>
        <w:ind w:left="958" w:hanging="278"/>
        <w:jc w:val="both"/>
        <w:rPr>
          <w:sz w:val="22"/>
          <w:szCs w:val="22"/>
        </w:rPr>
      </w:pPr>
      <w:r>
        <w:rPr>
          <w:sz w:val="22"/>
          <w:szCs w:val="22"/>
        </w:rPr>
        <w:t>Второе совещание Консультативной группы при президенте МАСО и 78-е заседание Бюро МАСО, с 5 по 7 мая 1999 года в Женеве;</w:t>
      </w:r>
    </w:p>
    <w:p w:rsidR="00000000" w:rsidRDefault="00000000">
      <w:pPr>
        <w:numPr>
          <w:ilvl w:val="0"/>
          <w:numId w:val="4"/>
        </w:numPr>
        <w:tabs>
          <w:tab w:val="left" w:pos="960"/>
        </w:tabs>
        <w:spacing w:before="60" w:after="120"/>
        <w:ind w:left="958" w:hanging="278"/>
        <w:jc w:val="both"/>
        <w:rPr>
          <w:sz w:val="22"/>
          <w:szCs w:val="22"/>
        </w:rPr>
      </w:pPr>
      <w:r>
        <w:rPr>
          <w:sz w:val="22"/>
          <w:szCs w:val="22"/>
        </w:rPr>
        <w:t>Встреча в рамках исследовательского проекта по социальному обеспечению в Азиатско-Тихоокеанском регионе, с 9 по 13 августа 1999 года в Милане, Филиппины;</w:t>
      </w:r>
    </w:p>
    <w:p w:rsidR="00000000" w:rsidRDefault="00000000">
      <w:pPr>
        <w:numPr>
          <w:ilvl w:val="0"/>
          <w:numId w:val="4"/>
        </w:numPr>
        <w:tabs>
          <w:tab w:val="left" w:pos="960"/>
        </w:tabs>
        <w:spacing w:before="60" w:after="120"/>
        <w:ind w:left="958" w:hanging="278"/>
        <w:jc w:val="both"/>
        <w:rPr>
          <w:sz w:val="22"/>
          <w:szCs w:val="22"/>
        </w:rPr>
      </w:pPr>
      <w:r>
        <w:rPr>
          <w:sz w:val="22"/>
          <w:szCs w:val="22"/>
        </w:rPr>
        <w:t>Рабочая встреча по пенсионным программам, с 6 по 24 сентября 1999 года в Италии;</w:t>
      </w:r>
    </w:p>
    <w:p w:rsidR="00000000" w:rsidRDefault="00000000">
      <w:pPr>
        <w:numPr>
          <w:ilvl w:val="0"/>
          <w:numId w:val="4"/>
        </w:numPr>
        <w:tabs>
          <w:tab w:val="left" w:pos="960"/>
        </w:tabs>
        <w:spacing w:before="60" w:after="120"/>
        <w:ind w:left="958" w:hanging="278"/>
        <w:jc w:val="both"/>
        <w:rPr>
          <w:sz w:val="22"/>
          <w:szCs w:val="22"/>
        </w:rPr>
      </w:pPr>
      <w:r>
        <w:rPr>
          <w:sz w:val="22"/>
          <w:szCs w:val="22"/>
        </w:rPr>
        <w:t>9-я Конференция по информационным технологиям в области электронных средств социального обеспечения, с 27 по 30 сентября 1999 года в Монреале, Канада;</w:t>
      </w:r>
    </w:p>
    <w:p w:rsidR="00000000" w:rsidRDefault="00000000">
      <w:pPr>
        <w:numPr>
          <w:ilvl w:val="0"/>
          <w:numId w:val="4"/>
        </w:numPr>
        <w:tabs>
          <w:tab w:val="left" w:pos="960"/>
        </w:tabs>
        <w:spacing w:before="60" w:after="120"/>
        <w:ind w:left="958" w:hanging="278"/>
        <w:jc w:val="both"/>
        <w:rPr>
          <w:sz w:val="22"/>
          <w:szCs w:val="22"/>
        </w:rPr>
      </w:pPr>
      <w:r>
        <w:rPr>
          <w:sz w:val="22"/>
          <w:szCs w:val="22"/>
        </w:rPr>
        <w:t>Конференция МАСО по демографическим тенденциям, 14–15 октября 1999 года в Словакии;</w:t>
      </w:r>
    </w:p>
    <w:p w:rsidR="00000000" w:rsidRDefault="00000000">
      <w:pPr>
        <w:numPr>
          <w:ilvl w:val="0"/>
          <w:numId w:val="4"/>
        </w:numPr>
        <w:tabs>
          <w:tab w:val="left" w:pos="960"/>
        </w:tabs>
        <w:spacing w:before="60" w:after="120"/>
        <w:ind w:left="958" w:hanging="278"/>
        <w:jc w:val="both"/>
        <w:rPr>
          <w:sz w:val="22"/>
          <w:szCs w:val="22"/>
        </w:rPr>
      </w:pPr>
      <w:r>
        <w:rPr>
          <w:sz w:val="22"/>
          <w:szCs w:val="22"/>
        </w:rPr>
        <w:t>Совещание руководителей органов социального обеспечения, с 16 по 19 ноября 1999 года в Малайзии;</w:t>
      </w:r>
    </w:p>
    <w:p w:rsidR="00000000" w:rsidRDefault="00000000">
      <w:pPr>
        <w:numPr>
          <w:ilvl w:val="0"/>
          <w:numId w:val="4"/>
        </w:numPr>
        <w:tabs>
          <w:tab w:val="left" w:pos="960"/>
        </w:tabs>
        <w:spacing w:before="60" w:after="120"/>
        <w:ind w:left="958" w:hanging="278"/>
        <w:jc w:val="both"/>
        <w:rPr>
          <w:sz w:val="22"/>
          <w:szCs w:val="22"/>
        </w:rPr>
      </w:pPr>
      <w:r>
        <w:rPr>
          <w:sz w:val="22"/>
          <w:szCs w:val="22"/>
        </w:rPr>
        <w:t>Симпозиум по вопросам реализации Инициативы МАСО-2000/Повышение степени надежности социального обеспечения, 9–10 декабря 1999 года в Риме, Италия;</w:t>
      </w:r>
    </w:p>
    <w:p w:rsidR="00000000" w:rsidRDefault="00000000">
      <w:pPr>
        <w:numPr>
          <w:ilvl w:val="0"/>
          <w:numId w:val="4"/>
        </w:numPr>
        <w:tabs>
          <w:tab w:val="left" w:pos="960"/>
        </w:tabs>
        <w:spacing w:before="60" w:after="120"/>
        <w:ind w:left="958" w:hanging="278"/>
        <w:jc w:val="both"/>
        <w:rPr>
          <w:sz w:val="22"/>
          <w:szCs w:val="22"/>
        </w:rPr>
      </w:pPr>
      <w:r>
        <w:rPr>
          <w:sz w:val="22"/>
          <w:szCs w:val="22"/>
        </w:rPr>
        <w:t>71-е заседание Бюро МАСО, 8–9 мая 1996 года в Женеве, Швейцария;</w:t>
      </w:r>
    </w:p>
    <w:p w:rsidR="00000000" w:rsidRDefault="00000000">
      <w:pPr>
        <w:numPr>
          <w:ilvl w:val="0"/>
          <w:numId w:val="4"/>
        </w:numPr>
        <w:tabs>
          <w:tab w:val="left" w:pos="960"/>
        </w:tabs>
        <w:spacing w:before="60" w:after="120"/>
        <w:ind w:left="958" w:hanging="278"/>
        <w:jc w:val="both"/>
        <w:rPr>
          <w:sz w:val="22"/>
          <w:szCs w:val="22"/>
        </w:rPr>
      </w:pPr>
      <w:r>
        <w:rPr>
          <w:sz w:val="22"/>
          <w:szCs w:val="22"/>
        </w:rPr>
        <w:t xml:space="preserve">Первый Межрегиональный учебный курс МАСО по подготовке инструкторов, с 4 по </w:t>
      </w:r>
      <w:r>
        <w:rPr>
          <w:sz w:val="22"/>
          <w:szCs w:val="22"/>
        </w:rPr>
        <w:br/>
        <w:t>13 сентября 1996 года в Дар-эс-Саламе, Танзания;</w:t>
      </w:r>
    </w:p>
    <w:p w:rsidR="00000000" w:rsidRDefault="00000000">
      <w:pPr>
        <w:numPr>
          <w:ilvl w:val="0"/>
          <w:numId w:val="4"/>
        </w:numPr>
        <w:tabs>
          <w:tab w:val="left" w:pos="960"/>
        </w:tabs>
        <w:spacing w:before="60" w:after="120"/>
        <w:ind w:left="958" w:hanging="278"/>
        <w:jc w:val="both"/>
        <w:rPr>
          <w:sz w:val="22"/>
          <w:szCs w:val="22"/>
        </w:rPr>
      </w:pPr>
      <w:r>
        <w:rPr>
          <w:sz w:val="22"/>
          <w:szCs w:val="22"/>
        </w:rPr>
        <w:t>Межрегиональный учебный семинар МАСО по вопросам статистики социального обеспечения применительно к проведению актуарных оценок, с 8 по 18 октября 1996 года в Найроби;</w:t>
      </w:r>
    </w:p>
    <w:p w:rsidR="00000000" w:rsidRDefault="00000000">
      <w:pPr>
        <w:numPr>
          <w:ilvl w:val="0"/>
          <w:numId w:val="4"/>
        </w:numPr>
        <w:tabs>
          <w:tab w:val="left" w:pos="960"/>
        </w:tabs>
        <w:spacing w:before="60" w:after="120"/>
        <w:ind w:left="958" w:hanging="278"/>
        <w:jc w:val="both"/>
        <w:rPr>
          <w:sz w:val="22"/>
          <w:szCs w:val="22"/>
        </w:rPr>
      </w:pPr>
      <w:r>
        <w:rPr>
          <w:sz w:val="22"/>
          <w:szCs w:val="22"/>
        </w:rPr>
        <w:t>Восьмая Конференция Международной ассоциации социального обеспечения по обработке данных, с 22 по 24 октября 1996 года в Берлине;</w:t>
      </w:r>
    </w:p>
    <w:p w:rsidR="00000000" w:rsidRDefault="00000000">
      <w:pPr>
        <w:numPr>
          <w:ilvl w:val="0"/>
          <w:numId w:val="4"/>
        </w:numPr>
        <w:tabs>
          <w:tab w:val="left" w:pos="960"/>
        </w:tabs>
        <w:spacing w:before="60" w:after="60"/>
        <w:ind w:left="960" w:hanging="280"/>
        <w:jc w:val="both"/>
        <w:rPr>
          <w:sz w:val="22"/>
          <w:szCs w:val="22"/>
        </w:rPr>
      </w:pPr>
      <w:r>
        <w:rPr>
          <w:sz w:val="22"/>
          <w:szCs w:val="22"/>
        </w:rPr>
        <w:t>Совещание руководителей органов социального обеспечения, с 3 по 5 ноября 1996 года в Эр-Риаде.</w:t>
      </w:r>
    </w:p>
    <w:p w:rsidR="00000000" w:rsidRDefault="00000000">
      <w:pPr>
        <w:spacing w:before="360"/>
        <w:jc w:val="center"/>
        <w:rPr>
          <w:b/>
          <w:sz w:val="24"/>
          <w:szCs w:val="22"/>
        </w:rPr>
      </w:pPr>
      <w:r>
        <w:rPr>
          <w:b/>
          <w:sz w:val="24"/>
          <w:szCs w:val="22"/>
        </w:rPr>
        <w:t>Статья 10</w:t>
      </w:r>
    </w:p>
    <w:p w:rsidR="00000000" w:rsidRDefault="00000000">
      <w:pPr>
        <w:jc w:val="center"/>
        <w:rPr>
          <w:b/>
          <w:sz w:val="22"/>
          <w:szCs w:val="22"/>
        </w:rPr>
      </w:pPr>
    </w:p>
    <w:p w:rsidR="00000000" w:rsidRDefault="00000000">
      <w:pPr>
        <w:jc w:val="center"/>
        <w:rPr>
          <w:b/>
          <w:sz w:val="22"/>
          <w:szCs w:val="22"/>
        </w:rPr>
      </w:pPr>
      <w:r>
        <w:rPr>
          <w:b/>
          <w:sz w:val="22"/>
          <w:szCs w:val="22"/>
        </w:rPr>
        <w:t>Охрана семьи</w:t>
      </w:r>
    </w:p>
    <w:p w:rsidR="00000000" w:rsidRDefault="00000000">
      <w:pPr>
        <w:jc w:val="center"/>
        <w:rPr>
          <w:sz w:val="22"/>
          <w:szCs w:val="22"/>
        </w:rPr>
      </w:pPr>
    </w:p>
    <w:p w:rsidR="00000000" w:rsidRDefault="00000000">
      <w:pPr>
        <w:spacing w:before="240"/>
        <w:rPr>
          <w:b/>
          <w:sz w:val="22"/>
          <w:szCs w:val="22"/>
        </w:rPr>
      </w:pPr>
      <w:r>
        <w:rPr>
          <w:b/>
          <w:sz w:val="22"/>
          <w:szCs w:val="22"/>
        </w:rPr>
        <w:t>Положение семьи в Индии</w:t>
      </w:r>
    </w:p>
    <w:p w:rsidR="00000000" w:rsidRDefault="00000000">
      <w:pPr>
        <w:pStyle w:val="112"/>
      </w:pPr>
      <w:r>
        <w:t>206.</w:t>
      </w:r>
      <w:r>
        <w:tab/>
        <w:t xml:space="preserve">Семья является базовой ячейкой общества, в которой люди объединены кровными, супружескими и приемными связями или же сошлись по обоюдному согласию, как это нередко бывает в наши дни. В основном в стране превалируют семьи двух типов: расширенные, или совместные семьи, и первичные, или базовые, семьи. </w:t>
      </w:r>
    </w:p>
    <w:p w:rsidR="00000000" w:rsidRDefault="00000000">
      <w:pPr>
        <w:pStyle w:val="112"/>
      </w:pPr>
      <w:r>
        <w:t>207.</w:t>
      </w:r>
      <w:r>
        <w:tab/>
        <w:t>Расширенный тип семьи преобладает в большинстве районов Индии, особенно в сельской местности. В состав такой семьи входят старший мужчина (обычно глава семьи), его жена, сыновья, невестки, незамужние дочери, внуки и некоторые другие находящиеся на иждивении родственники. Она представляет собой отдельное домохозяйство и обязательно живет под одной крышей. В ней установлена четкая иерархия и разделение труда. Женщины работают по дому, занимаются детьми, ухаживают за пожилыми и больными членами семьи. Эта семья характеризуется взаимной заботой, эмоциональной привязанностью, поддержкой и чувством защищенности ее членов. Старшие члены семьи играют важную роль в сглаживании семейных разногласий, если те возникают.</w:t>
      </w:r>
    </w:p>
    <w:p w:rsidR="00000000" w:rsidRDefault="00000000">
      <w:pPr>
        <w:pStyle w:val="112"/>
      </w:pPr>
      <w:r>
        <w:t>208.</w:t>
      </w:r>
      <w:r>
        <w:tab/>
        <w:t>Первичная, или базовая, семья обычно состоит из мужа и жены, а также холостых и незамужних детей. Этот тип семьи становится сегодня нормой для городских районов. В большинстве есть также неполные семьи с одним родителем, бездетные супружеские пары и в меньшем количестве пары, живущие вместе по взаимному согласию.</w:t>
      </w:r>
    </w:p>
    <w:p w:rsidR="00000000" w:rsidRDefault="00000000">
      <w:pPr>
        <w:pStyle w:val="112"/>
      </w:pPr>
      <w:r>
        <w:t>209.</w:t>
      </w:r>
      <w:r>
        <w:tab/>
        <w:t>Права и обязанности в межличностных отношениях членов семьи в Индии традиционно определялись религиозными общественными устоями, особенно в вопросах брака и развода, усыновления/удочерения детей, опеки и содержания детей, обеспечения жен и наследования имущества. В этих вопросах общественные устои отдавали преимущество мужчине, в том числе в вопросах принятия решений. Это неравенство, свойственное патриархальному обществу, было постоянным источником эксплуатации и насилия в отношении более слабых членов семьи, особенно женщин и детей.</w:t>
      </w:r>
    </w:p>
    <w:p w:rsidR="00000000" w:rsidRDefault="00000000">
      <w:pPr>
        <w:pStyle w:val="112"/>
      </w:pPr>
      <w:r>
        <w:t>210.</w:t>
      </w:r>
      <w:r>
        <w:tab/>
        <w:t>С углублением индустриализации и, следовательно, урбанизации появлялось все больше семей первичного, или базового, типа, особенно в городской местности. По мере того как все больше женщин вливалось в общую массу рабочей силы, действие старых принципов иерархии и разделения труда ослабевало, и начинались изменения в распределении ролей и обязанностей внутри семьи, особенно в деле ухода за детьми. Это заметно отразилось на отношениях между супругами и между детьми и родителями, в первую очередь в городских районах.</w:t>
      </w:r>
    </w:p>
    <w:p w:rsidR="00000000" w:rsidRDefault="00000000">
      <w:pPr>
        <w:pStyle w:val="112"/>
      </w:pPr>
      <w:r>
        <w:t>211.</w:t>
      </w:r>
      <w:r>
        <w:tab/>
        <w:t>На государственном уровне предпринимаются усилия, направленные на сохранение семьи при минимальном вмешательстве в ее частную жизнь. Продолжается также постепенное претворение в жизнь положений, предусмотренных статьями 14, 15(3), 21, 39 (е) и (</w:t>
      </w:r>
      <w:r>
        <w:rPr>
          <w:lang w:val="en-US"/>
        </w:rPr>
        <w:t>f</w:t>
      </w:r>
      <w:r>
        <w:t>), 41, 42 и 44 Конституции Индии. Помимо этого, правительство принимает меры для секуляризации отношений в семье и сохранению этого общественного института, священного для жителей страны.</w:t>
      </w:r>
    </w:p>
    <w:p w:rsidR="00000000" w:rsidRDefault="00000000">
      <w:pPr>
        <w:jc w:val="both"/>
        <w:rPr>
          <w:sz w:val="24"/>
        </w:rPr>
      </w:pPr>
    </w:p>
    <w:p w:rsidR="00000000" w:rsidRDefault="00000000">
      <w:pPr>
        <w:jc w:val="both"/>
        <w:rPr>
          <w:b/>
          <w:sz w:val="22"/>
          <w:szCs w:val="22"/>
        </w:rPr>
      </w:pPr>
      <w:r>
        <w:rPr>
          <w:b/>
          <w:sz w:val="22"/>
          <w:szCs w:val="22"/>
        </w:rPr>
        <w:t>Брачные отношения</w:t>
      </w:r>
    </w:p>
    <w:p w:rsidR="00000000" w:rsidRDefault="00000000">
      <w:pPr>
        <w:pStyle w:val="112"/>
        <w:rPr>
          <w:rStyle w:val="111"/>
        </w:rPr>
      </w:pPr>
      <w:r>
        <w:rPr>
          <w:rStyle w:val="111"/>
        </w:rPr>
        <w:t>212.</w:t>
      </w:r>
      <w:r>
        <w:rPr>
          <w:rStyle w:val="111"/>
        </w:rPr>
        <w:tab/>
        <w:t>Право вступить в брак и создавать семью признаются в рамках соответствующего общинного права. По индийскому законодательству, любое положение, ограничивающее право на брак, не имеет силы. В решении по показательному делу Верховный суд Индии объявил дискриминационным и неконституционным правило служебного распорядка, по которому женщина, состоящая на военной службе, должна получить разрешение на вступление в брак у вышестоящего начальства</w:t>
      </w:r>
      <w:r>
        <w:rPr>
          <w:rStyle w:val="FootnoteReference"/>
        </w:rPr>
        <w:footnoteReference w:customMarkFollows="1" w:id="30"/>
        <w:t>29</w:t>
      </w:r>
      <w:r>
        <w:rPr>
          <w:rStyle w:val="111"/>
        </w:rPr>
        <w:t>. Верховный суд отменил также правило, которое допускало увольнение со службы стюардесс в случае вступления в брак и наступления первой беременности, как неприемлемое и противоречащее понятию гражданского общества и оскорбляющее достоинство индийских женщин</w:t>
      </w:r>
      <w:r>
        <w:rPr>
          <w:rStyle w:val="FootnoteReference"/>
        </w:rPr>
        <w:footnoteReference w:customMarkFollows="1" w:id="31"/>
        <w:t>30</w:t>
      </w:r>
      <w:r>
        <w:rPr>
          <w:rStyle w:val="111"/>
        </w:rPr>
        <w:t>.</w:t>
      </w:r>
    </w:p>
    <w:p w:rsidR="00000000" w:rsidRDefault="00000000">
      <w:pPr>
        <w:pStyle w:val="112"/>
        <w:rPr>
          <w:rStyle w:val="111"/>
        </w:rPr>
      </w:pPr>
      <w:r>
        <w:rPr>
          <w:rStyle w:val="111"/>
        </w:rPr>
        <w:t>213.</w:t>
      </w:r>
      <w:r>
        <w:rPr>
          <w:rStyle w:val="111"/>
        </w:rPr>
        <w:tab/>
        <w:t xml:space="preserve">Браки, как правило, устраиваются семьей и совершаются в соответствии с установками религиозного и общинного права. Законы для разных общин, </w:t>
      </w:r>
      <w:r>
        <w:rPr>
          <w:i/>
          <w:sz w:val="24"/>
        </w:rPr>
        <w:t>кроме мусульманской и некоторых других конфессий, для которых действуют положения их собственного религиозного и обычного права</w:t>
      </w:r>
      <w:r>
        <w:rPr>
          <w:rStyle w:val="111"/>
        </w:rPr>
        <w:t>, были кодифицированы с внесением значительных поправок в целях обеспечения равенства женщин и устранения всех юридических ограничений их прав</w:t>
      </w:r>
      <w:r>
        <w:rPr>
          <w:rStyle w:val="FootnoteReference"/>
        </w:rPr>
        <w:footnoteReference w:customMarkFollows="1" w:id="32"/>
        <w:t>31</w:t>
      </w:r>
      <w:r>
        <w:rPr>
          <w:rStyle w:val="111"/>
        </w:rPr>
        <w:t>. Браки между кровными родственниками по прямой восходящей и нисходящей линии и отчасти между близкими родственниками по мужской и женской линии запрещены и объявлены недействительными. Помимо браков, заключаемых в соответствии с принципами общинного права, специальным Законом о браке 1954 года были признаны действительными гражданские браки между совершеннолетними мужчинами и женщинами независимо от их религиозной принадлежности.</w:t>
      </w:r>
    </w:p>
    <w:p w:rsidR="00000000" w:rsidRDefault="00000000">
      <w:pPr>
        <w:pStyle w:val="112"/>
      </w:pPr>
      <w:r>
        <w:t>214.</w:t>
      </w:r>
      <w:r>
        <w:tab/>
        <w:t xml:space="preserve">Браки должны оформляться по согласию сторон. При отсутствии такового или в случае получения согласия обманным путем брак может быть признан недействительным по желанию стороны, не давшей своего согласия или обманутой при его получении. В соответствии с Законом 1929 года о запрещении детских браков минимальный возраст для вступления в брак составляет </w:t>
      </w:r>
      <w:r>
        <w:br/>
        <w:t>18 лет для девушек и 21 год для юношей. Любой брак в нарушении этого положения считается недействительным или незаконным, а лица, оформившие брак между детьми, привлекаются к ответственности. Несмотря на это, в некоторых частях страны браки между детьми имеют место.</w:t>
      </w:r>
    </w:p>
    <w:p w:rsidR="00000000" w:rsidRDefault="00000000">
      <w:pPr>
        <w:pStyle w:val="112"/>
        <w:rPr>
          <w:rStyle w:val="111"/>
        </w:rPr>
      </w:pPr>
      <w:r>
        <w:rPr>
          <w:rStyle w:val="111"/>
        </w:rPr>
        <w:t>215.</w:t>
      </w:r>
      <w:r>
        <w:rPr>
          <w:rStyle w:val="111"/>
        </w:rPr>
        <w:tab/>
        <w:t>Устранение практики заключения браков между детьми с помощью одного лишь законодательства представляется затруднительным, поскольку это явление вызвано глубоко укоренившимися социально-экономическими факторами и свойственным для патриархального общества отношением к детям женского пола. В целях улучшения положения женщин в целом правительство предприняло ряд шагов по предотвращению браков между детьми, таких, например, как проведение широкой кампании в средствах массовой информации, направленной на борьбу с этими браками, и осуществляет различные программы по расширению прав и возможностей девушек и женщин через образование и самозанятость, особенно в семьях, живущих ниже черты бедности</w:t>
      </w:r>
      <w:r>
        <w:rPr>
          <w:rStyle w:val="FootnoteReference"/>
        </w:rPr>
        <w:footnoteReference w:customMarkFollows="1" w:id="33"/>
        <w:t>32</w:t>
      </w:r>
      <w:r>
        <w:rPr>
          <w:rStyle w:val="111"/>
        </w:rPr>
        <w:t>. В результате этого, по данным переписи 2001 года, средний возраст вступления в брак для девушек вырос с 17,9 лет в 1991 году до 19,3 лет в 2001 году. В 2002–2003 и 2003–2004 годах Национальная комиссия по делам женщин (НКЖ) ввела в действие программу Бал Вивах Виродх Абхиян. Национальная комиссия по правам человека (НКПЧ) на своем уровне также предпринимает шаги по решению этой проблемы.</w:t>
      </w:r>
    </w:p>
    <w:p w:rsidR="00000000" w:rsidRDefault="00000000">
      <w:pPr>
        <w:pStyle w:val="112"/>
        <w:rPr>
          <w:rStyle w:val="111"/>
        </w:rPr>
      </w:pPr>
      <w:r>
        <w:rPr>
          <w:rStyle w:val="111"/>
        </w:rPr>
        <w:t>216.</w:t>
      </w:r>
      <w:r>
        <w:rPr>
          <w:rStyle w:val="111"/>
        </w:rPr>
        <w:tab/>
        <w:t>Изучив проблему браков между детьми, Национальная комиссия по делам женщин</w:t>
      </w:r>
      <w:r>
        <w:rPr>
          <w:rStyle w:val="FootnoteReference"/>
        </w:rPr>
        <w:footnoteReference w:customMarkFollows="1" w:id="34"/>
        <w:t>33</w:t>
      </w:r>
      <w:r>
        <w:rPr>
          <w:rStyle w:val="111"/>
        </w:rPr>
        <w:t xml:space="preserve"> недавно предложила ужесточить наказания за нарушение Закона 1929 года и объявить браки между детьми недействительными. Она рекомендовала также проводить обязательную регистрацию всех браков, заключаемых в рамках общинного права, в целях выявления и предупреждения практики браков между детьми. В настоящее время правительством рассматриваются поправки к Закону о запрещении детских браков, подготовленные на основе предложений НКЖ и НКПЧ. Предложенный проект с соответствующими поправками предусматривает отмену прежнего закона и содержит несколько новых положений, которые предусматривают признание недействительными браков между детьми, строгое наказание для нарушителей закона, запретительные полномочия суда по этому вопросу, создание контрольно-профилактических органов в определенных районах и т. д. Правительство занимается изучением этих положений. В настоящее время регистрация браков является обязательной по Закону 1872 года о христианских браках, Закону 1936 года о браке и разводе между парсами, Специальному закону о браке 1954 года. Однако по Закону 1955 года об индуистских браках такая регистрация может делаться по усмотрению.</w:t>
      </w:r>
    </w:p>
    <w:p w:rsidR="00000000" w:rsidRDefault="00000000">
      <w:pPr>
        <w:pStyle w:val="112"/>
      </w:pPr>
      <w:r>
        <w:t>217.</w:t>
      </w:r>
      <w:r>
        <w:tab/>
        <w:t>Штаты Гоа, Андра-Прадеш, Махараштра, Карнатака и Химачал-Прадеш имеют законы об обязательной регистрации браков. НКЖ подготовила проект закона об обязательной регистрации браков, который рассматривается в правительстве. Парламентский комитет по расширению прав и возможностей женщин в своем 5-м докладе, представленном парламенту 3 декабря 2001 года, рекомендовал правительству ввести обязательную регистрацию браков для предотвращения двоеженства. Правительство в рамках провозглашенной в 2001 году национальной политики по расширению прав и возможностей женщин взяло на себя обязательство к 2010 году сделать регистрацию браков обязательной, чтобы исключить возможность браков между детьми. Эта политика нацелена на стимулирование изменений в общинном праве, в частности в законах, относящихся к браку, разводу, содержанию и опеке, с тем чтобы ликвидировать дискриминацию в отношении женщин. Эта работа будет проводиться по инициативе и с участием всех заинтересованных сторон, включая руководство общин и религиозных лидеров. Правительство действует в русле положений этой политики и следит за тем, чтобы они выполнялись в соответствии с его принципами невмешательства в частные дела общин без их просьбы и согласия.</w:t>
      </w:r>
    </w:p>
    <w:p w:rsidR="00000000" w:rsidRDefault="00000000">
      <w:pPr>
        <w:pStyle w:val="112"/>
      </w:pPr>
      <w:r>
        <w:t>218.</w:t>
      </w:r>
      <w:r>
        <w:tab/>
        <w:t>В соответствии с общинным правом мусульман брак может быть оформлен по достижении сторонами половой зрелости, обычно в возрасте 15 лет. Мусульманин-мужчина может также иметь четырех жен. При этом отсутствует положение о регистрации мусульманских браков. Правительство проводит политику невмешательства в дела этой общины, если она сама не обращается с просьбой о введении изменений.</w:t>
      </w:r>
    </w:p>
    <w:p w:rsidR="00000000" w:rsidRDefault="00000000">
      <w:pPr>
        <w:jc w:val="both"/>
        <w:rPr>
          <w:sz w:val="24"/>
        </w:rPr>
      </w:pPr>
    </w:p>
    <w:p w:rsidR="00000000" w:rsidRDefault="00000000">
      <w:pPr>
        <w:jc w:val="both"/>
        <w:rPr>
          <w:b/>
          <w:sz w:val="22"/>
          <w:szCs w:val="22"/>
        </w:rPr>
      </w:pPr>
      <w:r>
        <w:rPr>
          <w:b/>
          <w:sz w:val="22"/>
          <w:szCs w:val="22"/>
        </w:rPr>
        <w:t>Вопросы, связанные с брачными отношениями</w:t>
      </w:r>
    </w:p>
    <w:p w:rsidR="00000000" w:rsidRDefault="00000000">
      <w:pPr>
        <w:pStyle w:val="112"/>
      </w:pPr>
      <w:r>
        <w:t>219.</w:t>
      </w:r>
      <w:r>
        <w:tab/>
        <w:t>Индия подписала Конвенцию о ликвидации всех форм дискриминации в отношении женщин и ратифицировала ее в 1993 году. Страна привержена делу постепенного и последовательного улучшения положения женщины в семье и обществе и вводит в действие соответствующие законодательные акты с последующими поправками для удовлетворения требований времени.</w:t>
      </w:r>
    </w:p>
    <w:p w:rsidR="00000000" w:rsidRDefault="00000000">
      <w:pPr>
        <w:pStyle w:val="112"/>
      </w:pPr>
      <w:r>
        <w:t>220.</w:t>
      </w:r>
      <w:r>
        <w:tab/>
        <w:t>Концепция моногамии была введена в положения об институтах брака на всей территории страны (кроме мусульман) путем кодификации различных уложений общинного права. Двоеженство является нарушением закона по Индийскому уголовному кодексу. Также были введены понятия подверженного судом раздельного проживания супругов, развода и развода по обоюдному согласию. По кодифицированным положениям индуистского права, женщина может также подавать на развод по некоторым особым причинам, которые не могут приводиться мужчинами в качестве основания для инициирования развода с их стороны. Недавно в Закон об индуистских браках были внесены поправки, позволяющие женщине подавать иск о расторжении брака по месту ее проживания, а не по последнему месту совместного проживания. В Закон о христианских браках также были внесены поправки, имеющие целью уравнять мужа и жену в вопросах, касающихся оснований для развода, и ускорить его процедуру (поправки к Закону о браке 2001 года).</w:t>
      </w:r>
    </w:p>
    <w:p w:rsidR="00000000" w:rsidRDefault="00000000">
      <w:pPr>
        <w:pStyle w:val="112"/>
        <w:rPr>
          <w:rStyle w:val="111"/>
        </w:rPr>
      </w:pPr>
      <w:r>
        <w:rPr>
          <w:rStyle w:val="111"/>
        </w:rPr>
        <w:t>221.</w:t>
      </w:r>
      <w:r>
        <w:rPr>
          <w:rStyle w:val="111"/>
        </w:rPr>
        <w:tab/>
        <w:t>Закон обязывает также одного из супругов оказывать поддержку другому, если тот нуждается в средствах, в течение процедуры развода, а также на постоянной основе после расторжения брака. Заявление о необходимости постоянной поддержки может быть подано во время развода или после него</w:t>
      </w:r>
      <w:r>
        <w:rPr>
          <w:rStyle w:val="FootnoteReference"/>
        </w:rPr>
        <w:footnoteReference w:customMarkFollows="1" w:id="35"/>
        <w:t>34</w:t>
      </w:r>
      <w:r>
        <w:rPr>
          <w:rStyle w:val="111"/>
        </w:rPr>
        <w:t>. Даже не получив развода, жена-индуска может требовать от мужа выплаты содержания, если они живут раздельно по причинам, перечисленным в Индусском законе 1956 года об усыновлении/удочерении и содержании. Уголовно-процессуальный кодекс</w:t>
      </w:r>
      <w:r>
        <w:rPr>
          <w:rStyle w:val="FootnoteReference"/>
        </w:rPr>
        <w:footnoteReference w:customMarkFollows="1" w:id="36"/>
        <w:t>35</w:t>
      </w:r>
      <w:r>
        <w:t xml:space="preserve"> </w:t>
      </w:r>
      <w:r>
        <w:rPr>
          <w:rStyle w:val="111"/>
        </w:rPr>
        <w:t>также предусматривает упрощенную процедуру назначения содержания нуждающемуся супругу. В 2001 году в Кодекс были внесены поправки, дающие суду возможность принимать решения о назначении временного содержания и устраняющие верхний предел его размеров. Кодекс позволяет суду принимать решение по каждому делу в зависимости от имеющихся средств и источников существования супругов.</w:t>
      </w:r>
    </w:p>
    <w:p w:rsidR="00000000" w:rsidRDefault="00000000">
      <w:pPr>
        <w:pStyle w:val="112"/>
        <w:rPr>
          <w:rStyle w:val="111"/>
        </w:rPr>
      </w:pPr>
      <w:r>
        <w:rPr>
          <w:rStyle w:val="111"/>
        </w:rPr>
        <w:t>222.</w:t>
      </w:r>
      <w:r>
        <w:rPr>
          <w:rStyle w:val="111"/>
        </w:rPr>
        <w:tab/>
        <w:t xml:space="preserve">При наличии детей семья обычно несет ответственность за заботу о них и за их образование. В случаях, связанных с назначением опекуна, передача ребенка на содержание и с вопросами собственности несовершеннолетних, государство действует как </w:t>
      </w:r>
      <w:r>
        <w:rPr>
          <w:i/>
          <w:sz w:val="24"/>
          <w:lang w:val="en-US"/>
        </w:rPr>
        <w:t>parents</w:t>
      </w:r>
      <w:r>
        <w:rPr>
          <w:i/>
          <w:sz w:val="24"/>
        </w:rPr>
        <w:t xml:space="preserve"> </w:t>
      </w:r>
      <w:r>
        <w:rPr>
          <w:i/>
          <w:sz w:val="24"/>
          <w:lang w:val="en-US"/>
        </w:rPr>
        <w:t>patriae</w:t>
      </w:r>
      <w:r>
        <w:rPr>
          <w:rStyle w:val="111"/>
        </w:rPr>
        <w:t xml:space="preserve"> ("по-отечески"), наилучшим образом соблюдая интересы ребенка. Закон ограничивает полномочия естественного или назначенного судом опекуна распоряжаться недвижимой собственностью несовершеннолетних.</w:t>
      </w:r>
    </w:p>
    <w:p w:rsidR="00000000" w:rsidRDefault="00000000">
      <w:pPr>
        <w:pStyle w:val="112"/>
        <w:rPr>
          <w:rStyle w:val="111"/>
        </w:rPr>
      </w:pPr>
      <w:r>
        <w:rPr>
          <w:rStyle w:val="111"/>
        </w:rPr>
        <w:t>223.</w:t>
      </w:r>
      <w:r>
        <w:rPr>
          <w:rStyle w:val="111"/>
        </w:rPr>
        <w:tab/>
        <w:t>Позиции матерей-индусок в качестве естественных опекунов укрепились: принято правило, по которому матерям отдается предпочтение при передаче на содержание и воспитание несовершеннолетних детей, не достигших возраста пяти лет</w:t>
      </w:r>
      <w:r>
        <w:rPr>
          <w:rStyle w:val="FootnoteReference"/>
        </w:rPr>
        <w:footnoteReference w:customMarkFollows="1" w:id="37"/>
        <w:t>36</w:t>
      </w:r>
      <w:r>
        <w:rPr>
          <w:rStyle w:val="111"/>
        </w:rPr>
        <w:t>. Верховный суд Индии дал толкование в их пользу положения об опеке и постановил, что мать может оставаться естественным опекуном несовершеннолетнего ребенка в течение всей жизни отца, если тот по любым причинам не проявляет заботы о состоянии собственности ребенка или о самом ребенке</w:t>
      </w:r>
      <w:r>
        <w:rPr>
          <w:rStyle w:val="FootnoteReference"/>
        </w:rPr>
        <w:footnoteReference w:customMarkFollows="1" w:id="38"/>
        <w:t>37</w:t>
      </w:r>
      <w:r>
        <w:rPr>
          <w:rStyle w:val="111"/>
        </w:rPr>
        <w:t>.</w:t>
      </w:r>
    </w:p>
    <w:p w:rsidR="00000000" w:rsidRDefault="00000000">
      <w:pPr>
        <w:pStyle w:val="112"/>
      </w:pPr>
      <w:r>
        <w:t>224.</w:t>
      </w:r>
      <w:r>
        <w:tab/>
        <w:t>По Индусскому закону 1956 года об усыновлении/удочерении и содержании женатый мужчина-индус может иметь приемных детей только с согласия своей жены, а женщина-индуска также получила возможность усыновить или удочерить ребенка, чего она не могла делать в рамках традиционного индуистского права. В 2003 году был принят Христианский закон об усыновлении/</w:t>
      </w:r>
      <w:r>
        <w:br/>
        <w:t>удочерении, который дал возможность индийцам-христианам иметь приемных детей. Другие общины могут это делать согласно закону 1890 года об опеке и попечительстве.</w:t>
      </w:r>
    </w:p>
    <w:p w:rsidR="00000000" w:rsidRDefault="00000000">
      <w:pPr>
        <w:pStyle w:val="112"/>
      </w:pPr>
      <w:r>
        <w:t>225.</w:t>
      </w:r>
      <w:r>
        <w:tab/>
        <w:t>По мусульманским законам положение женщины не столь благоприятно, как по индуистским, которые постепенно приобрели в значительной мере светский характер. По мусульманскому праву муж имеет право развестись с женой, если только при заключении брака не был подписан контракт, дающий его жене право на развод. Жена в этом случае имеет право на трехмесячное содержание, считая с даты развода, или на срок до родов, если она была беременна на момент развода (Иддат).</w:t>
      </w:r>
    </w:p>
    <w:p w:rsidR="00000000" w:rsidRDefault="00000000">
      <w:pPr>
        <w:pStyle w:val="112"/>
        <w:rPr>
          <w:rStyle w:val="111"/>
        </w:rPr>
      </w:pPr>
      <w:r>
        <w:rPr>
          <w:rStyle w:val="111"/>
        </w:rPr>
        <w:t>226.</w:t>
      </w:r>
      <w:r>
        <w:rPr>
          <w:rStyle w:val="111"/>
        </w:rPr>
        <w:tab/>
        <w:t>Несмотря на первоначальные неудачи, суды с успехом прилагали усилия, чтобы в рамках Уголовно-процессуального кодекса расширить права мусульманских женщин на получение содержания. В показательном случае</w:t>
      </w:r>
      <w:r>
        <w:rPr>
          <w:rStyle w:val="FootnoteReference"/>
        </w:rPr>
        <w:footnoteReference w:customMarkFollows="1" w:id="39"/>
        <w:t>38</w:t>
      </w:r>
      <w:r>
        <w:t xml:space="preserve"> </w:t>
      </w:r>
      <w:r>
        <w:rPr>
          <w:rStyle w:val="111"/>
        </w:rPr>
        <w:t>Верховный суд рассмотрел дело одной разведенной мусульманской женщины и постановил, что муж-мусульманин обязан обеспечивать разведенную жену даже по истечении периода Иддат. По другому делу</w:t>
      </w:r>
      <w:r>
        <w:rPr>
          <w:rStyle w:val="FootnoteReference"/>
        </w:rPr>
        <w:footnoteReference w:customMarkFollows="1" w:id="40"/>
        <w:t>39</w:t>
      </w:r>
      <w:r>
        <w:rPr>
          <w:rStyle w:val="111"/>
        </w:rPr>
        <w:t xml:space="preserve"> Верховный суд постановил, что, согласно статье 125 Уголовно-процессуального кодекса, закон обязывает отца обеспечивать содержание детей независимо от его конфессиональной принадлежности. В качестве другого положительного примера можно привести недавнее обращение Всеиндийского совета мусульманского общинного права (орган мусульманской интеллигенции) с призывом к отказу от существующей практики </w:t>
      </w:r>
      <w:r>
        <w:rPr>
          <w:i/>
          <w:sz w:val="24"/>
        </w:rPr>
        <w:t>тройного талака</w:t>
      </w:r>
      <w:r>
        <w:rPr>
          <w:rStyle w:val="111"/>
        </w:rPr>
        <w:t xml:space="preserve"> (развода) и к дальнейшей секуляризации мусульманского общинного права.</w:t>
      </w:r>
    </w:p>
    <w:p w:rsidR="00000000" w:rsidRDefault="00000000">
      <w:pPr>
        <w:pStyle w:val="112"/>
      </w:pPr>
      <w:r>
        <w:t>227.</w:t>
      </w:r>
      <w:r>
        <w:tab/>
        <w:t>Путем внесения серии поправок был придан светский характер положениям общинного права большинства общин, за исключением мусульманского общинного права, относительно брака и развода. Хотя это заметно способствовало улучшению положения женщин и детей, пока еще остается разрыв между юридическими положениями и реальной ситуацией; эта проблема решается путем расширения прав и возможностей более уязвимых слоев общества.</w:t>
      </w:r>
    </w:p>
    <w:p w:rsidR="00000000" w:rsidRDefault="00000000">
      <w:pPr>
        <w:pStyle w:val="112"/>
      </w:pPr>
      <w:r>
        <w:t>228.</w:t>
      </w:r>
      <w:r>
        <w:tab/>
        <w:t>Закон о брачном праве (поправка) 2001 года дополнил Закон об индуистских браках, Закон о браке и разводе парсов и Уголовно-процессуальный кодекс, введя в них положения об ускоренном рассмотрении ходатайств о назначении содержания, отменил в Уголовно-процессуальном кодексе положение о максимальной сумме содержания в 500 рупий (около 12 долл./месяц), которую могла испрашивать женщина, и предоставил суду первой инстанции широкие полномочия для определения содержания в надлежащих размерах. Были также внесены поправки в Индийский закон о разводе, согласно которым был отменен ряд дискриминационных по отношению к женщинам положений, связанных с процедурой развода, были обеспечены единообразные условия для мужчин и женщин при подаче на развод и упразднено положение о необходимости обращаться в Высокий суд за подтверждением постановления суда по семейным делам, которое применялось только в отношении христиан. В 2002 году были внесены поправки в Индийский закон о наследовании, обеспечившие вдовам-христианкам получение доли в наследуемом имуществе. Законом о браке (поправка) 2003 года были внесены изменения в Закон об индуистских браках в Специальный закон о браке, давшие женщинам право подавать иск по месту жительства и тем самым позволяющие перейти к общим нормам отправления правосудия по месту возникновения исковых причин.</w:t>
      </w:r>
    </w:p>
    <w:p w:rsidR="00000000" w:rsidRDefault="00000000">
      <w:pPr>
        <w:jc w:val="both"/>
        <w:rPr>
          <w:sz w:val="24"/>
        </w:rPr>
      </w:pPr>
    </w:p>
    <w:p w:rsidR="00000000" w:rsidRDefault="00000000">
      <w:pPr>
        <w:keepNext/>
        <w:spacing w:before="240"/>
        <w:jc w:val="both"/>
        <w:rPr>
          <w:b/>
          <w:sz w:val="22"/>
          <w:szCs w:val="22"/>
        </w:rPr>
      </w:pPr>
      <w:r>
        <w:rPr>
          <w:b/>
          <w:sz w:val="22"/>
          <w:szCs w:val="22"/>
        </w:rPr>
        <w:t>Охрана семьи</w:t>
      </w:r>
    </w:p>
    <w:p w:rsidR="00000000" w:rsidRDefault="00000000">
      <w:pPr>
        <w:keepNext/>
        <w:jc w:val="both"/>
        <w:rPr>
          <w:sz w:val="24"/>
        </w:rPr>
      </w:pPr>
    </w:p>
    <w:p w:rsidR="00000000" w:rsidRDefault="00000000">
      <w:pPr>
        <w:pStyle w:val="112"/>
        <w:keepNext/>
        <w:spacing w:before="0"/>
      </w:pPr>
      <w:r>
        <w:t>229.</w:t>
      </w:r>
      <w:r>
        <w:tab/>
        <w:t>Меры по сохранению и защите семьи в основном сосредоточены на городских районах, где стрессовые нагрузки в семейной жизни более высоки, чем в сельской местности, для которой ко всему прочему характерен смягчающий стрессы эффект семьи расширенного типа.</w:t>
      </w:r>
    </w:p>
    <w:p w:rsidR="00000000" w:rsidRDefault="00000000">
      <w:pPr>
        <w:pStyle w:val="112"/>
      </w:pPr>
      <w:r>
        <w:t>230.</w:t>
      </w:r>
      <w:r>
        <w:tab/>
        <w:t xml:space="preserve">Для оказания помощи в урегулировании семейных споров по обоюдному согласию Центральный совет социального обеспечения (ЦССО) при </w:t>
      </w:r>
      <w:r>
        <w:rPr>
          <w:caps/>
        </w:rPr>
        <w:t>м</w:t>
      </w:r>
      <w:r>
        <w:t>инистерстве по делам развития женщин и детей создал сеть консультационных семейных центров. В тех же целях в 85 городах и поселках городского типа по всей стране, в первую очередь в городах с населением более миллиона человек, были сформированы соответствующие суды согласно Закону о судах по семейным делам 1984 года. Они были созданы, во-первых, для того чтобы заполнить пустоту, образовавшуюся вследствие исчезновения семьи расширенного типа, а, во-вторых, – в качестве судебной инстанции. Эти суды предоставляют возможность разрешения семейных споров без вмешательства и помощи адвокатов и помогают сохранять личное достоинство членов семей без вмешательства в частную жизнь за счет того, что, не прибегая к состязательной судебной процедуре, рассматривает дела в закрытом заседании. Суды по семейным делам оказывают также помощь через посредство советников по вопросам брака путем предоставления медицинского обслуживания и услуг по уходу за детьми. Компетенция такого суда распространяется на разные вопросы, включая разводы, назначение содержания, опеку над детьми и имущественные споры между супругами. Сейчас правительство рассматривает возможность создания судов по семейным делам в каждом районе стране независимо от его населения.</w:t>
      </w:r>
    </w:p>
    <w:p w:rsidR="00000000" w:rsidRDefault="00000000">
      <w:pPr>
        <w:pStyle w:val="112"/>
      </w:pPr>
      <w:r>
        <w:t>231.</w:t>
      </w:r>
      <w:r>
        <w:tab/>
        <w:t>Консультационные семейные центры (КСЦ). Эти центры, подведомственные Центральному совету социального обеспечения, оказывают профилактические и реабилитационные услуги женщинам и членам семей, пострадавшим от жестокого обращения и неурядиц в семье, а также в результате семейных споров и социальных проблем. КСЦ, созданные при отдельных полицейских участках в 19 штатах и работающие под административным контролем Советов штатов, обеспечивают быстрое вмешательство и помощь женщинам, попавшим в кризисную ситуацию. КСЦ стремятся урегулировать возникшие в семье споры внесудебными методами. Некоторые центры действуют в женских тюрьмах и при полицейских участках. КСЦ, действующие в центрах по вопросам развития женщин в различных колледжах Дели и известные как центры добрачных консультаций, уделяют особое внимание консультированию молодых женщин в добрачный период и предоставлению помощи по другим вопросам кризисных психосоциальных ситуаций.</w:t>
      </w:r>
    </w:p>
    <w:p w:rsidR="00000000" w:rsidRDefault="00000000">
      <w:pPr>
        <w:pStyle w:val="112"/>
        <w:rPr>
          <w:rStyle w:val="111"/>
        </w:rPr>
      </w:pPr>
      <w:r>
        <w:rPr>
          <w:rStyle w:val="111"/>
        </w:rPr>
        <w:t>232.</w:t>
      </w:r>
      <w:r>
        <w:rPr>
          <w:rStyle w:val="111"/>
        </w:rPr>
        <w:tab/>
        <w:t>Стремясь защитить институт семьи, правительство признало существование проблемы насилия/притеснения в семье, как правило, в отношении женщин и детей. Насилие в семье само по себе противоречит мифу о семье как приюте спокойствия. Для решения этих проблем в семье принимался ряд мер. Законом 1961 года о запрещении приданого было установлено, что предоставление и получение приданого и домогательство его получения являются наказуемыми деяниями. В Индийский уголовный кодекс было введено правонарушение, связанное с причинением "смерти из-за истребования приданого"</w:t>
      </w:r>
      <w:r>
        <w:rPr>
          <w:rStyle w:val="FootnoteReference"/>
        </w:rPr>
        <w:footnoteReference w:customMarkFollows="1" w:id="41"/>
        <w:t>40</w:t>
      </w:r>
      <w:r>
        <w:rPr>
          <w:rStyle w:val="111"/>
        </w:rPr>
        <w:t>. Предоставление и получение приданого является символом престижа и положения в патриархальном обществе, и не исключена опасность того, что девушка не сможет выйти замуж, если за ней не дают приданого. О многих таких случаях жертвы не сообщают в правоохранительные органы. С ростом образовательного уровня и расширением прав женщин появились реальные шансы покончить с этой чудовищной практикой. Было несколько случаев, когда девушки, получившие образование, открыто выступали против нее в средствах массовой информации и отказывались предлагать приданое. Проводятся кампании по повышению информированности в этих вопросах, которые организует правительство с помощью средств массовой информации и НПО.</w:t>
      </w:r>
    </w:p>
    <w:p w:rsidR="00000000" w:rsidRDefault="00000000">
      <w:pPr>
        <w:pStyle w:val="112"/>
        <w:rPr>
          <w:rStyle w:val="111"/>
        </w:rPr>
      </w:pPr>
      <w:r>
        <w:rPr>
          <w:rStyle w:val="111"/>
        </w:rPr>
        <w:t>233.</w:t>
      </w:r>
      <w:r>
        <w:rPr>
          <w:rStyle w:val="111"/>
        </w:rPr>
        <w:tab/>
        <w:t>Наказуемыми, согласно Индийскому уголовному кодексу, стали правонарушения, связанные  "с жестокостью в отношении женщины со стороны мужа или его родственников"</w:t>
      </w:r>
      <w:r>
        <w:rPr>
          <w:rStyle w:val="FootnoteReference"/>
        </w:rPr>
        <w:footnoteReference w:customMarkFollows="1" w:id="42"/>
        <w:t>41</w:t>
      </w:r>
      <w:r>
        <w:rPr>
          <w:rStyle w:val="111"/>
        </w:rPr>
        <w:t>. Законодательство, защищающее женщину от насилия в семье, вступило в силу с вводом в действие в 2005 году Закона о защите женщин от насилия в семье. По этому закону термин "насилие в семье" толкуется достаточно широко и распространяется на все возможные формы злоупотреблений физического, сексуального, вербального, эмоционального и экономического свойства, которые могут причинить вред, нанести травму, опасную для здоровья, угрожать безопасности или жизни, повлечь за собой членовредительство, отрицательно воздействовать на психическое или физическое состояние потерпевшего лица. Кроме того, определение потерпевшего лица имеет не менее широкое толкование и относится не только к жене, но и к женщине, являющейся сексуальным партнером мужчины, независимо от того, состоит она в законном браке или нет. Дочь, мать, сестра, ребенок (того и другого пола), вдовая родственница – по сути любая женщина, живущая в домохозяйстве и связанная какими-либо узами родства с ответчиком, также защищена этим законом. Закон определяет ответчика как "любое взрослое лицо мужского пола", которое находится или находилось во внутрисемейных отношениях с потерпевшим лицом.</w:t>
      </w:r>
    </w:p>
    <w:p w:rsidR="00000000" w:rsidRDefault="00000000">
      <w:pPr>
        <w:pStyle w:val="112"/>
        <w:rPr>
          <w:rStyle w:val="FootnoteReference"/>
          <w:vertAlign w:val="baseline"/>
        </w:rPr>
      </w:pPr>
      <w:r>
        <w:rPr>
          <w:rStyle w:val="111"/>
        </w:rPr>
        <w:t>234.</w:t>
      </w:r>
      <w:r>
        <w:rPr>
          <w:rStyle w:val="111"/>
        </w:rPr>
        <w:tab/>
        <w:t>С 1969 года действует программа "Дом краткосрочного пребывания" (ДКП) для женщин и девушек</w:t>
      </w:r>
      <w:r>
        <w:rPr>
          <w:rStyle w:val="FootnoteReference"/>
        </w:rPr>
        <w:footnoteReference w:customMarkFollows="1" w:id="43"/>
        <w:t>42</w:t>
      </w:r>
      <w:r>
        <w:t>,</w:t>
      </w:r>
      <w:r>
        <w:rPr>
          <w:rStyle w:val="FootnoteReference"/>
          <w:b/>
        </w:rPr>
        <w:t xml:space="preserve"> </w:t>
      </w:r>
      <w:r>
        <w:rPr>
          <w:rStyle w:val="FootnoteReference"/>
          <w:vertAlign w:val="baseline"/>
        </w:rPr>
        <w:t>преследующая цель предоставить временное убежище, консультационные или психотерапевтические услуги женщинам и девушкам, являющимся жертвами неврозов, эмоциональных расстройств и социального остракизма, к</w:t>
      </w:r>
      <w:r>
        <w:t>о</w:t>
      </w:r>
      <w:r>
        <w:rPr>
          <w:rStyle w:val="FootnoteReference"/>
          <w:vertAlign w:val="baseline"/>
        </w:rPr>
        <w:t>торые сбежали или были выгнаны из дома вследствие семейных проблем, плохого обращения физического или морального свойства, подверглись сексуальной агрессии или были насильно вовлечены в проституцию.</w:t>
      </w:r>
    </w:p>
    <w:p w:rsidR="00000000" w:rsidRDefault="00000000">
      <w:pPr>
        <w:pStyle w:val="112"/>
      </w:pPr>
      <w:r>
        <w:rPr>
          <w:rStyle w:val="FootnoteReference"/>
          <w:vertAlign w:val="baseline"/>
        </w:rPr>
        <w:t>235.</w:t>
      </w:r>
      <w:r>
        <w:rPr>
          <w:rStyle w:val="FootnoteReference"/>
          <w:vertAlign w:val="baseline"/>
        </w:rPr>
        <w:tab/>
        <w:t>В</w:t>
      </w:r>
      <w:r>
        <w:t xml:space="preserve"> 2001–2002 годах </w:t>
      </w:r>
      <w:r>
        <w:rPr>
          <w:caps/>
        </w:rPr>
        <w:t>м</w:t>
      </w:r>
      <w:r>
        <w:t>инистерство по делам развития женщин и детей начало осуществление программы Свадхар, направленной на защиту интересов женщин, оказавшихся в затруднительной ситуации, как, например, нуждающихся вдов, брошенных своими семьями в заведениях типа Вриндаван, женщин, освободившихся из тюремного заключения и оставшихся без поддержки семьи, женщин, выживших в природных катастрофах, потерявших при этом жилье и оставшихся без какой-либо социальной и материальной поддержки, женщин и девушек – жертв торговли людьми, вызволенных или сбежавших из домов терпимости и других заведений, жертв сексуальных преступлений, от которых отказались их семьи или которые не хотят туда возвращаться по различным причинам, жертв террористического насилия, оставшихся без поддержки семьи и средств к существованию, женщин с нарушенной психикой,  не получающих помощи от семьи или родственников и т. д. Программа предлагает таким женщинам комплексные меры помощи, включающие в себя предоставление убежища, питания, одежды, медицинского обслуживания и консультаций, средства социальной и экономической реабилитации посредством обучения, повышения уровня информированности о своих правах и профессиональной квалификации, развития личности через поведенческий тренинг, создание прямой линии психологической помощи и другие возможности.</w:t>
      </w:r>
    </w:p>
    <w:p w:rsidR="00000000" w:rsidRDefault="00000000">
      <w:pPr>
        <w:pStyle w:val="112"/>
      </w:pPr>
      <w:r>
        <w:t>236.</w:t>
      </w:r>
      <w:r>
        <w:tab/>
        <w:t>На государственной службе в рамках проводимой политики и руководящих положений на этот счет существует практика предоставления работы одному из членов семьи ("назначение по семейным обстоятельствам"), если работник из этой семьи скончался при исполнении служебных обязанностей. Это делается с целью дать возможность семье скончавшегося работника преодолеть неожиданный кризис в связи со смертью кормильца, оставившего семью в стесненных обстоятельствах. В неформальном секторе департамент развития сельских районов осуществляет Национальный план выплат семейных пособий как часть Национальной программы социальной помощи. По этому плану семья, живущая за чертой бедности, имеет право на централизованную помощь в размере 10 000 рупий в случае потери основного кормильца домохозяйства. Если вдова принимается на работу на основании упомянутых семейных обстоятельств, она может продолжать работу даже после повторного вступления в брак.</w:t>
      </w:r>
    </w:p>
    <w:p w:rsidR="00000000" w:rsidRDefault="00000000">
      <w:pPr>
        <w:pStyle w:val="112"/>
        <w:rPr>
          <w:rStyle w:val="111"/>
        </w:rPr>
      </w:pPr>
      <w:r>
        <w:rPr>
          <w:rStyle w:val="111"/>
        </w:rPr>
        <w:t>237.</w:t>
      </w:r>
      <w:r>
        <w:rPr>
          <w:rStyle w:val="111"/>
        </w:rPr>
        <w:tab/>
        <w:t>На государственной службе установлены также правила, ограничивающие перевод по службе одного из супругов в другое место во избежание семейных потрясений. Эта практика направлена на обеспечение условий для получения образования детьми и их благополучия. Правительство проводит именно такую политику и считает желательным, чтобы во всех остальных случаях органы по вопросам кадрового обеспечения максимально благожелательно рассматривали такие вопросы. В этой связи Высокий суд Аллахабада</w:t>
      </w:r>
      <w:r>
        <w:rPr>
          <w:rStyle w:val="FootnoteReference"/>
        </w:rPr>
        <w:footnoteReference w:customMarkFollows="1" w:id="44"/>
        <w:t>43</w:t>
      </w:r>
      <w:r>
        <w:rPr>
          <w:rStyle w:val="111"/>
        </w:rPr>
        <w:t xml:space="preserve"> отметил, что даже если упомянутые руководящие принципы не являются обязательными для исполнения и не имеют силы закона, семья не должна испытывать неудобств от перевода по службе мужа или жены в другое место по прихоти начальства. Это может быть сделано только в исключительных случаях и должно опротестовываться.</w:t>
      </w:r>
    </w:p>
    <w:p w:rsidR="00000000" w:rsidRDefault="00000000">
      <w:pPr>
        <w:jc w:val="both"/>
        <w:rPr>
          <w:sz w:val="24"/>
        </w:rPr>
      </w:pPr>
    </w:p>
    <w:p w:rsidR="00000000" w:rsidRDefault="00000000">
      <w:pPr>
        <w:jc w:val="both"/>
        <w:rPr>
          <w:b/>
          <w:sz w:val="22"/>
          <w:szCs w:val="22"/>
        </w:rPr>
      </w:pPr>
      <w:r>
        <w:rPr>
          <w:b/>
          <w:sz w:val="22"/>
          <w:szCs w:val="22"/>
        </w:rPr>
        <w:t>Охрана материнства</w:t>
      </w:r>
    </w:p>
    <w:p w:rsidR="00000000" w:rsidRDefault="00000000">
      <w:pPr>
        <w:pStyle w:val="112"/>
      </w:pPr>
      <w:r>
        <w:t>238.</w:t>
      </w:r>
      <w:r>
        <w:tab/>
        <w:t>Закон 1961 года о пособиях по беременности и родам и Закон 1948 года о государственном страховании персонала являются важными законодательными актами, предусматривающими до- и послеродовые оплачиваемые отпуска и пособия по социальному обеспечению для матерей, работающих в организованном секторе.</w:t>
      </w:r>
    </w:p>
    <w:p w:rsidR="00000000" w:rsidRDefault="00000000">
      <w:pPr>
        <w:pStyle w:val="112"/>
      </w:pPr>
      <w:r>
        <w:t>239.</w:t>
      </w:r>
      <w:r>
        <w:tab/>
        <w:t>Закон о государственном страховании персонала применяется только к предприятиям внесезонного цикла (где используется энергия и занято не менее 10 и где не используется энергия и занято не менее 20 человек) и относится к персоналу с месячной зарплатой до 6500 рупий. Закон дает право на оплачиваемый отпуск в течение 12 недель до/после родов и на денежное пособие в случае назначения больничного режима, выкидыша, болезни во время беременности, медицинского прерывания беременности и преждевременных родов.</w:t>
      </w:r>
    </w:p>
    <w:p w:rsidR="00000000" w:rsidRDefault="00000000">
      <w:pPr>
        <w:pStyle w:val="112"/>
      </w:pPr>
      <w:r>
        <w:t>240.</w:t>
      </w:r>
      <w:r>
        <w:tab/>
        <w:t>Закон о пособиях по беременности и родам распространяется на всех работающих женщин, которые не охвачены Законом о государственном страховании персонала, независимо от числа занятых на предприятии, при условии что женщина имеет непрерывный стаж работы 80 дней. Женщина защищена законом от увольнения в период беременности и освобождается от каких-либо тяжелых работ. По возвращении на работу после родов матери положено два 15-минутных перерыва на кормление ребенка.</w:t>
      </w:r>
    </w:p>
    <w:p w:rsidR="00000000" w:rsidRDefault="00000000">
      <w:pPr>
        <w:pStyle w:val="112"/>
        <w:spacing w:after="240"/>
      </w:pPr>
      <w:r>
        <w:t>241.</w:t>
      </w:r>
      <w:r>
        <w:tab/>
        <w:t xml:space="preserve">Согласно Закону о пособиях по беременности и родам 1961 года женщинам, проработавшим 80 дней, предоставляется полностью оплачиваемый отпуск по беременности и родам продолжительностью в 135 дней, а их увольнение или отстранение от должности в период этого отпуска запрещается. Сфера действия Закона, распространявшегося на фабрики, шахты и плантации, была расширена с целью охватить магазины и заведения, где число наемных работников превышает 10 человек. Женщины, состоящие на государственной службе, включая стажеров, имеют право на оплачиваемый отпуск по беременности и родам в течение не более чем 135 дней. В этот период отпуск оплачивается в размере, эквивалентном зарплате непосредственно перед уходом в отпуск. </w:t>
      </w:r>
      <w:r>
        <w:br/>
        <w:t>В 1998 году в центральных правительственных учреждениях была введена система предоставления отцам 15-дневных отпусков по уходу за ребенком, что явилось важным начинанием в деле разработки эффективного национального законодательства в сфере семейных обязанностей. Существует возможность предоставления отпуска по беременности и родам также в случае прерывания беременности, включая медицинский аборт (независимо от числа выживших детей), в течение всего срока нахождения женщины на государственной службе при условии, что:</w:t>
      </w:r>
    </w:p>
    <w:p w:rsidR="00000000" w:rsidRDefault="00000000">
      <w:pPr>
        <w:pStyle w:val="112"/>
        <w:spacing w:before="0" w:after="240"/>
      </w:pPr>
      <w:r>
        <w:t>–</w:t>
      </w:r>
      <w:r>
        <w:tab/>
        <w:t>срок отпуска не превышает 45 дней;</w:t>
      </w:r>
    </w:p>
    <w:p w:rsidR="00000000" w:rsidRDefault="00000000">
      <w:pPr>
        <w:pStyle w:val="112"/>
        <w:spacing w:before="0"/>
      </w:pPr>
      <w:r>
        <w:t>–</w:t>
      </w:r>
      <w:r>
        <w:tab/>
        <w:t>заявление на отпуск подтверждается медицинской справкой в соответствии с установленными правилами. Аборты, подпадающие под действие Закона о медицинском прерывании беременности 1971 года, дают право на получение оплачиваемого отпуска по беременности в течение 45 дней согласно Регламенту центральных гражданских служб (отпуска) 1972 года.</w:t>
      </w:r>
    </w:p>
    <w:p w:rsidR="00000000" w:rsidRDefault="00000000">
      <w:pPr>
        <w:pStyle w:val="112"/>
        <w:spacing w:before="220"/>
      </w:pPr>
      <w:r>
        <w:t>242.</w:t>
      </w:r>
      <w:r>
        <w:tab/>
        <w:t>Отпуск по беременности и родам может сочетаться с любым другим видом отпусков. Любой положенный на законных основаниях отпуск (включая перенесенный отпуск длительностью не более 60 дней и внесрочный отпуск) может быть предоставлен без медицинской справки как продление отпуска по беременности и родам на срок не более года. Последующее продление послеродового отпуска также возможно при наличии медицинского свидетельства о болезни состоящей на государственной службе женщины или болезни ее новорожденного ребенка, состояние которого требует личного ухода матери, причем последняя обязательно должна находиться при ребенке.</w:t>
      </w:r>
    </w:p>
    <w:p w:rsidR="00000000" w:rsidRDefault="00000000">
      <w:pPr>
        <w:pStyle w:val="112"/>
        <w:spacing w:before="220"/>
      </w:pPr>
      <w:r>
        <w:t>243.</w:t>
      </w:r>
      <w:r>
        <w:tab/>
        <w:t>Отпуск по беременности и родам предоставляется также незамужним госслужащим женского пола. При усыновлении/удочерении ребенка женщины, состоящие на госслужбе, имеют право на положенный им на законных основаниях отпуск (включая внесрочный или перенесенный отпуск длительностью не более 60 дней) без медицинского свидетельства на период до года или до достижения ребенком одного года, в зависимости от того, какой срок истекает раньше. Однако эта льгота не действует, если женщина, усыновившая/удочерившая ребенка, уже имеет к этому моменту двоих выживших детей.</w:t>
      </w:r>
    </w:p>
    <w:p w:rsidR="00000000" w:rsidRDefault="00000000">
      <w:pPr>
        <w:pStyle w:val="112"/>
        <w:spacing w:before="220"/>
        <w:rPr>
          <w:rStyle w:val="111"/>
        </w:rPr>
      </w:pPr>
      <w:r>
        <w:rPr>
          <w:rStyle w:val="111"/>
        </w:rPr>
        <w:t>244.</w:t>
      </w:r>
      <w:r>
        <w:rPr>
          <w:rStyle w:val="111"/>
        </w:rPr>
        <w:tab/>
        <w:t>Верховный суд</w:t>
      </w:r>
      <w:r>
        <w:rPr>
          <w:rStyle w:val="FootnoteReference"/>
        </w:rPr>
        <w:footnoteReference w:customMarkFollows="1" w:id="45"/>
        <w:t>44</w:t>
      </w:r>
      <w:r>
        <w:rPr>
          <w:rStyle w:val="111"/>
        </w:rPr>
        <w:t xml:space="preserve"> сыграл активную роль в расширении действия выплат в рамках Закона о пособиях по беременности и родам на список профессий Муниципальной корпорации работающих женщин Дели-V. Суд в своем толковательном заключении включил статью 11 Конвенции о ликвидации всех форм дискриминации в отношении женщин в типовой контракт между Корпорацией и работающими женщинами и постановил, что женщины имеют право на все льготы и пособия, установленные вышеупомянутым законом.</w:t>
      </w:r>
    </w:p>
    <w:p w:rsidR="00000000" w:rsidRDefault="00000000">
      <w:pPr>
        <w:pStyle w:val="112"/>
        <w:spacing w:before="220"/>
      </w:pPr>
      <w:r>
        <w:t>245.</w:t>
      </w:r>
      <w:r>
        <w:tab/>
        <w:t>В целях поддержки женщин, занятых в неорганизованном секторе, и женщин из малообеспеченных слоев департамент по делам семьи осуществляет Национальный план выплаты пособий по беременности и родам.</w:t>
      </w:r>
    </w:p>
    <w:p w:rsidR="00000000" w:rsidRDefault="00000000">
      <w:pPr>
        <w:pStyle w:val="112"/>
        <w:spacing w:before="220"/>
      </w:pPr>
      <w:r>
        <w:t>246.</w:t>
      </w:r>
      <w:r>
        <w:tab/>
        <w:t>Джанани Суракша Йоджана. Национальный план выплаты пособий по беременности и родам (НППБР) финансируется центральным правительством и оказывает 100-процентную централизованную поддержку штатам/союзным территориям, которые распределяют финансовую помощь при беременности в размере 500 рупий в случае первых двух родов с выжившими детьми между женщинами в возрасте 19 лет и старше из семей, находящихся за чертой бедности.</w:t>
      </w:r>
    </w:p>
    <w:p w:rsidR="00000000" w:rsidRDefault="00000000">
      <w:pPr>
        <w:pStyle w:val="112"/>
        <w:spacing w:before="220" w:after="120"/>
      </w:pPr>
      <w:r>
        <w:t>247.</w:t>
      </w:r>
      <w:r>
        <w:tab/>
        <w:t>Исходя из опыта осуществления Национального плана выплаты пособий по беременности и родам был сделан вывод о том, что этот план не оказывает желательного влияния на снижение коэффициентов материнской смертности (КМС)/детской смертности (КДС). Поэтому департамент по делам семьи предлагает новый план под названием "Джанани Суракша Йоджана" с целью внести изменения в план НППБР и двуединой задачей – снизить КМС/КДС, сконцентрировав усилия на приеме родов в специализированных медицинских учреждениях и на методах внутриутробной защиты и развития плода. План имеет следующие основные характеристики:</w:t>
      </w:r>
    </w:p>
    <w:p w:rsidR="00000000" w:rsidRDefault="00000000">
      <w:pPr>
        <w:numPr>
          <w:ilvl w:val="0"/>
          <w:numId w:val="5"/>
        </w:numPr>
        <w:tabs>
          <w:tab w:val="left" w:pos="960"/>
        </w:tabs>
        <w:spacing w:before="60" w:after="120"/>
        <w:ind w:left="960" w:hanging="240"/>
        <w:jc w:val="both"/>
        <w:rPr>
          <w:sz w:val="22"/>
          <w:szCs w:val="22"/>
        </w:rPr>
      </w:pPr>
      <w:r>
        <w:rPr>
          <w:sz w:val="22"/>
          <w:szCs w:val="22"/>
        </w:rPr>
        <w:t>финансирование плана будет продолжено на 100-процентной основе из централизованных источников;</w:t>
      </w:r>
    </w:p>
    <w:p w:rsidR="00000000" w:rsidRDefault="00000000">
      <w:pPr>
        <w:numPr>
          <w:ilvl w:val="0"/>
          <w:numId w:val="5"/>
        </w:numPr>
        <w:tabs>
          <w:tab w:val="left" w:pos="960"/>
        </w:tabs>
        <w:spacing w:before="60" w:after="120"/>
        <w:ind w:left="960" w:hanging="240"/>
        <w:jc w:val="both"/>
        <w:rPr>
          <w:sz w:val="22"/>
          <w:szCs w:val="22"/>
        </w:rPr>
      </w:pPr>
      <w:r>
        <w:rPr>
          <w:sz w:val="22"/>
          <w:szCs w:val="22"/>
        </w:rPr>
        <w:t>пособие будет выплачиваться как в сельской, так и в городской местности всем женщинам в возрасте 19 лет и более из семей, живущих за чертой бедности;</w:t>
      </w:r>
    </w:p>
    <w:p w:rsidR="00000000" w:rsidRDefault="00000000">
      <w:pPr>
        <w:numPr>
          <w:ilvl w:val="0"/>
          <w:numId w:val="5"/>
        </w:numPr>
        <w:tabs>
          <w:tab w:val="left" w:pos="960"/>
        </w:tabs>
        <w:spacing w:before="60" w:after="120"/>
        <w:ind w:left="960" w:hanging="240"/>
        <w:jc w:val="both"/>
        <w:rPr>
          <w:sz w:val="22"/>
          <w:szCs w:val="22"/>
        </w:rPr>
      </w:pPr>
      <w:r>
        <w:rPr>
          <w:sz w:val="22"/>
          <w:szCs w:val="22"/>
        </w:rPr>
        <w:t>осуществление плана в городских районах возлагается на муниципальные органы здравоохранения, а в сельских – на главных районных врачей;</w:t>
      </w:r>
    </w:p>
    <w:p w:rsidR="00000000" w:rsidRDefault="00000000">
      <w:pPr>
        <w:numPr>
          <w:ilvl w:val="0"/>
          <w:numId w:val="5"/>
        </w:numPr>
        <w:tabs>
          <w:tab w:val="left" w:pos="960"/>
        </w:tabs>
        <w:spacing w:before="60" w:after="120"/>
        <w:ind w:left="960" w:hanging="240"/>
        <w:jc w:val="both"/>
        <w:rPr>
          <w:sz w:val="22"/>
          <w:szCs w:val="22"/>
        </w:rPr>
      </w:pPr>
      <w:r>
        <w:rPr>
          <w:sz w:val="22"/>
          <w:szCs w:val="22"/>
        </w:rPr>
        <w:t>помощь матерям будет оказываться по дифференцированной системе. Беременные женщины, которые соглашаются на последующую стерилизацию, получают финансовое пособие даже при рождении третьего ребенка;</w:t>
      </w:r>
    </w:p>
    <w:p w:rsidR="00000000" w:rsidRDefault="00000000">
      <w:pPr>
        <w:numPr>
          <w:ilvl w:val="0"/>
          <w:numId w:val="5"/>
        </w:numPr>
        <w:tabs>
          <w:tab w:val="left" w:pos="960"/>
        </w:tabs>
        <w:spacing w:before="60" w:after="120"/>
        <w:ind w:left="960" w:hanging="240"/>
        <w:jc w:val="both"/>
        <w:rPr>
          <w:sz w:val="22"/>
          <w:szCs w:val="22"/>
        </w:rPr>
      </w:pPr>
      <w:r>
        <w:rPr>
          <w:sz w:val="22"/>
          <w:szCs w:val="22"/>
        </w:rPr>
        <w:t>вводится требование относительно трех предродовых контрольных консультаций и приема родов в медицинских учреждениях;</w:t>
      </w:r>
    </w:p>
    <w:p w:rsidR="00000000" w:rsidRDefault="00000000">
      <w:pPr>
        <w:numPr>
          <w:ilvl w:val="0"/>
          <w:numId w:val="5"/>
        </w:numPr>
        <w:tabs>
          <w:tab w:val="left" w:pos="960"/>
        </w:tabs>
        <w:spacing w:before="60" w:after="120"/>
        <w:ind w:left="960" w:hanging="240"/>
        <w:jc w:val="both"/>
        <w:rPr>
          <w:sz w:val="22"/>
          <w:szCs w:val="22"/>
        </w:rPr>
      </w:pPr>
      <w:r>
        <w:rPr>
          <w:sz w:val="22"/>
          <w:szCs w:val="22"/>
        </w:rPr>
        <w:t>выдается транспортное пособие в размере 150 рупий на доставку беременной женщины в больницу/медицинский центр;</w:t>
      </w:r>
    </w:p>
    <w:p w:rsidR="00000000" w:rsidRDefault="00000000">
      <w:pPr>
        <w:numPr>
          <w:ilvl w:val="0"/>
          <w:numId w:val="5"/>
        </w:numPr>
        <w:tabs>
          <w:tab w:val="left" w:pos="960"/>
        </w:tabs>
        <w:spacing w:before="60" w:after="60"/>
        <w:ind w:left="960" w:hanging="240"/>
        <w:jc w:val="both"/>
        <w:rPr>
          <w:sz w:val="22"/>
          <w:szCs w:val="22"/>
        </w:rPr>
      </w:pPr>
      <w:r>
        <w:rPr>
          <w:sz w:val="22"/>
          <w:szCs w:val="22"/>
        </w:rPr>
        <w:t>даисам (акушеркам) устанавливаются дифференцированные поощрительные выплаты за уход за роженицами.</w:t>
      </w:r>
    </w:p>
    <w:p w:rsidR="00000000" w:rsidRDefault="00000000">
      <w:pPr>
        <w:pStyle w:val="112"/>
      </w:pPr>
      <w:r>
        <w:t>248.</w:t>
      </w:r>
      <w:r>
        <w:tab/>
        <w:t>План будет осуществляться через правительства штатов и районные территориальные администрации, которые создают комитеты по его осуществлению и контролю за выполнением на уровне штатов, районов и муниципалитетов.</w:t>
      </w:r>
    </w:p>
    <w:p w:rsidR="00000000" w:rsidRDefault="00000000">
      <w:pPr>
        <w:pStyle w:val="112"/>
      </w:pPr>
      <w:r>
        <w:t>249.</w:t>
      </w:r>
      <w:r>
        <w:tab/>
        <w:t>До конца 2000 года около 0,6 миллиона женщин получили пособия в рамках этого плана. По плану полагаются только денежные пособия без каких-либо отпусков, поскольку правительство не контролирует неорганизованный сектор. В 2003 году правительство внесло новый проект закона о работниках неорганизованного сектора в целях повышения безопасности их труда, уровня социального обеспечения, здоровья и благосостояния; этот законопроект в настоящее время находится на рассмотрении в парламенте.</w:t>
      </w:r>
    </w:p>
    <w:p w:rsidR="00000000" w:rsidRDefault="00000000">
      <w:pPr>
        <w:pStyle w:val="112"/>
      </w:pPr>
      <w:r>
        <w:t>250.</w:t>
      </w:r>
      <w:r>
        <w:tab/>
        <w:t>Программа охраны материнского здоровья, являющаяся составной частью Программы охраны репродуктивного здоровья и здоровья детей (ПРЗД), направлена на улучшение состояния здоровья матерей и снижение коэффициента материнской смертности до уровня менее 100 к 2010 году. Соответствующие учреждения предоставляют услуги по охране материнского здоровья малообеспеченным женщинам бесплатно. Главные виды услуг включают в себя следующее.</w:t>
      </w:r>
    </w:p>
    <w:p w:rsidR="00000000" w:rsidRDefault="00000000">
      <w:pPr>
        <w:jc w:val="both"/>
        <w:rPr>
          <w:sz w:val="24"/>
        </w:rPr>
      </w:pPr>
    </w:p>
    <w:p w:rsidR="00000000" w:rsidRDefault="00000000">
      <w:pPr>
        <w:jc w:val="both"/>
        <w:rPr>
          <w:b/>
          <w:sz w:val="22"/>
          <w:szCs w:val="22"/>
        </w:rPr>
      </w:pPr>
      <w:r>
        <w:rPr>
          <w:b/>
          <w:sz w:val="22"/>
          <w:szCs w:val="22"/>
        </w:rPr>
        <w:t>Основные родовспомогательные услуги</w:t>
      </w:r>
    </w:p>
    <w:p w:rsidR="00000000" w:rsidRDefault="00000000">
      <w:pPr>
        <w:pStyle w:val="112"/>
      </w:pPr>
      <w:r>
        <w:t>251.</w:t>
      </w:r>
      <w:r>
        <w:tab/>
        <w:t xml:space="preserve"> Основные родовспомогательные услуги предназначены для того, чтобы обеспечить охват базовым акушерским обслуживанием всех беременных женщин. Программа ПРЗД предусматривает минимум три дородовых обследования, в ходе которых у беременных женщин измеряется вес и давление, производятся абдоминальное обследование, им делаются прививки от столбняка, даются в профилактических целях препараты железа и фолиевой кислоты, а также обеспечивается противоанемическая компенсация.</w:t>
      </w:r>
    </w:p>
    <w:p w:rsidR="00000000" w:rsidRDefault="00000000">
      <w:pPr>
        <w:pStyle w:val="112"/>
        <w:spacing w:after="120"/>
      </w:pPr>
      <w:r>
        <w:t>252.</w:t>
      </w:r>
      <w:r>
        <w:tab/>
        <w:t>С учетом уже выявленных недостатков в осуществлении программы и в целях улучшения предоставления услуг все районы категории С в 17 штатах получают помощь для развертывания дополнительных пренатальных женских консультаций (ПЖК) в 30 процентах населенных пунктов этих районов. Кроме того, Дели получил разрешение на открытие 140 ПЖК в районах трущоб. На контрактной основе были укомплектованы кадрами медсестер 25 процентов пунктов первичной медицинской помощи/общинных медицинских пунктов (ПМП/ОМП) в районах категории С и 50 процентов ПМП в районах категории В.</w:t>
      </w:r>
    </w:p>
    <w:p w:rsidR="00000000" w:rsidRDefault="00000000">
      <w:pPr>
        <w:spacing w:before="240" w:after="300"/>
        <w:jc w:val="both"/>
        <w:rPr>
          <w:b/>
          <w:sz w:val="22"/>
          <w:szCs w:val="22"/>
        </w:rPr>
      </w:pPr>
      <w:r>
        <w:rPr>
          <w:b/>
          <w:sz w:val="22"/>
          <w:szCs w:val="22"/>
        </w:rPr>
        <w:t>Неотложные родовспомогательные услуги</w:t>
      </w:r>
    </w:p>
    <w:p w:rsidR="00000000" w:rsidRDefault="00000000">
      <w:pPr>
        <w:pStyle w:val="112"/>
      </w:pPr>
      <w:r>
        <w:t>253.</w:t>
      </w:r>
      <w:r>
        <w:tab/>
        <w:t>Осложнения, связанные с беременностью, не всегда предсказуемы. Поэтому оказание неотложных родовспомогательных услуг имеет важное значение для предупреждения материнской смертности и заболеваемости. В рамках программы ПРЗД предпринимаются усилия по повышению эффективности этих услуг и организации пунктов первой родовой помощи (ПРП).</w:t>
      </w:r>
    </w:p>
    <w:p w:rsidR="00000000" w:rsidRDefault="00000000">
      <w:pPr>
        <w:pStyle w:val="112"/>
      </w:pPr>
      <w:r>
        <w:t>254.</w:t>
      </w:r>
      <w:r>
        <w:tab/>
        <w:t>В рамках программы ПРЗД возможности ПРП также расширяются за счет снабжения их лекарственными наборами неотложной акушерской помощи и укомплектования квалифицированными кадрами на договорной и штатной основе. Районные больницы, ОМП и ПРП в случае необходимости срочного хирургического вмешательства имеют право прибегать к услугам частных анестезиологов с разовой оплатой 1000 рупий.</w:t>
      </w:r>
    </w:p>
    <w:p w:rsidR="00000000" w:rsidRDefault="00000000">
      <w:pPr>
        <w:jc w:val="both"/>
        <w:rPr>
          <w:sz w:val="24"/>
        </w:rPr>
      </w:pPr>
    </w:p>
    <w:p w:rsidR="00000000" w:rsidRDefault="00000000">
      <w:pPr>
        <w:spacing w:before="120" w:after="300"/>
        <w:jc w:val="both"/>
        <w:rPr>
          <w:b/>
          <w:sz w:val="22"/>
          <w:szCs w:val="22"/>
        </w:rPr>
      </w:pPr>
      <w:r>
        <w:rPr>
          <w:b/>
          <w:sz w:val="22"/>
          <w:szCs w:val="22"/>
        </w:rPr>
        <w:t>Роды в клинических условиях</w:t>
      </w:r>
    </w:p>
    <w:p w:rsidR="00000000" w:rsidRDefault="00000000">
      <w:pPr>
        <w:pStyle w:val="112"/>
      </w:pPr>
      <w:r>
        <w:t>255.</w:t>
      </w:r>
      <w:r>
        <w:tab/>
        <w:t>В целях увеличения числа родов, принимаемых в родильных домах, программа ПРЗД предусматривает выплату дополнительных гонораров персоналу для обеспечения круглосуточных акушерских услуг в пунктах ПМП/ОМП. Это означает присутствие на месте как минимум врача, медсестры и нянечки вне рамок обычного рабочего дня.</w:t>
      </w:r>
    </w:p>
    <w:p w:rsidR="00000000" w:rsidRDefault="00000000">
      <w:pPr>
        <w:jc w:val="both"/>
        <w:rPr>
          <w:sz w:val="22"/>
          <w:szCs w:val="22"/>
        </w:rPr>
      </w:pPr>
    </w:p>
    <w:p w:rsidR="00000000" w:rsidRDefault="00000000">
      <w:pPr>
        <w:spacing w:before="120" w:after="300"/>
        <w:jc w:val="both"/>
        <w:rPr>
          <w:b/>
          <w:sz w:val="22"/>
          <w:szCs w:val="22"/>
        </w:rPr>
      </w:pPr>
      <w:r>
        <w:rPr>
          <w:b/>
          <w:sz w:val="22"/>
          <w:szCs w:val="22"/>
        </w:rPr>
        <w:t>Специализированный транспорт</w:t>
      </w:r>
    </w:p>
    <w:p w:rsidR="00000000" w:rsidRDefault="00000000">
      <w:pPr>
        <w:pStyle w:val="112"/>
      </w:pPr>
      <w:r>
        <w:t>256.</w:t>
      </w:r>
      <w:r>
        <w:tab/>
        <w:t>Время является важным фактором при оказании неотложных акушерских услуг. Зачастую возникают трудности с доставкой в родильные отделения рожающих на дому женщин, у которых возникают какие-то осложнения. Программой ПРЗД было предусмотрено выделение средств на транспорт материально нуждающимся женщинам-роженицам в 250 районных центрах некоторых штатов путем передачи местной администрации фондов единовременных выплат через окружные отделения по делам семьи. Начиная с 2000–2001 годов действие программы было распространено на все штаты и союзные территории.</w:t>
      </w:r>
    </w:p>
    <w:p w:rsidR="00000000" w:rsidRDefault="00000000">
      <w:pPr>
        <w:pStyle w:val="112"/>
      </w:pPr>
      <w:r>
        <w:t>257.</w:t>
      </w:r>
      <w:r>
        <w:tab/>
        <w:t>В свете положений международных конвенций центральное правительство проводит среди своего персонала политику предоставления отцам отпусков по уходу за детьми, с тем чтобы забота о детях в семье ложилась на плечи не одной лишь матери, но и другого родителя.</w:t>
      </w:r>
    </w:p>
    <w:p w:rsidR="00000000" w:rsidRDefault="00000000">
      <w:pPr>
        <w:jc w:val="both"/>
        <w:rPr>
          <w:sz w:val="24"/>
        </w:rPr>
      </w:pPr>
    </w:p>
    <w:p w:rsidR="00000000" w:rsidRDefault="00000000">
      <w:pPr>
        <w:spacing w:before="120" w:after="300"/>
        <w:jc w:val="both"/>
        <w:rPr>
          <w:b/>
          <w:sz w:val="22"/>
          <w:szCs w:val="22"/>
        </w:rPr>
      </w:pPr>
      <w:r>
        <w:rPr>
          <w:b/>
          <w:sz w:val="22"/>
          <w:szCs w:val="22"/>
        </w:rPr>
        <w:t>Забота о детях</w:t>
      </w:r>
    </w:p>
    <w:p w:rsidR="00000000" w:rsidRDefault="00000000">
      <w:pPr>
        <w:pStyle w:val="112"/>
      </w:pPr>
      <w:r>
        <w:t>258.</w:t>
      </w:r>
      <w:r>
        <w:tab/>
        <w:t>Индия – страна с самым большим в мире детским населением: около 40 процентов ее жителей младше 18 лет. По переписи 2001 года, число детей в возрасте до 6 лет составляло 157,8 млн., или 15,42 процента всего населения страны. Индия добилась существенного прогресса в ряде областей, связанных с детьми. Доля грамотного населения выросла с 52,21 процента в 1991 году (перепись) до 65,38 процента в 2001 году (перепись), а среди женщин с 39,29 процента в 1991 году (перепись) до 54,16 процента в 2001 году (перепись). Согласно национальным обследованиям здоровья семьи (НОЗС), доступ к безопасной питьевой воде расширился с 68,2 процента в 1992–1993 годах (НОЗС-</w:t>
      </w:r>
      <w:r>
        <w:rPr>
          <w:lang w:val="en-US"/>
        </w:rPr>
        <w:t>I</w:t>
      </w:r>
      <w:r>
        <w:t>) до 77,9 процента в 1998–1999 годах (НОЗС-</w:t>
      </w:r>
      <w:r>
        <w:rPr>
          <w:lang w:val="en-US"/>
        </w:rPr>
        <w:t>II</w:t>
      </w:r>
      <w:r>
        <w:t>) и почти до 90 процентов в 2003 году. Хотя коэффициент детской смертности уменьшился с 80 на 1000 живорождений в 1990 году (обследование 1990 года) до 60 на 1000 живорождений в 2002 году (обследование 2003 года), он остается на тревожном уровне. Аналогичным образом, остается недопустимо высоким уровень материнской смертности, несмотря на его снижение с 43,7 процента на 1 млн. живорождений в 1992–1993 годах (НОЗС-</w:t>
      </w:r>
      <w:r>
        <w:rPr>
          <w:lang w:val="en-US"/>
        </w:rPr>
        <w:t>I</w:t>
      </w:r>
      <w:r>
        <w:t>) до 40,7 процента в 1998 году (обследование 1998 года). Хотя стабильный прогресс по всем детским показателям очевиден, необходимо скоординировать все усилия этого процесса и создать для детей надлежащие условия для более полного раскрытия их потенциала.</w:t>
      </w:r>
    </w:p>
    <w:p w:rsidR="00000000" w:rsidRDefault="00000000">
      <w:pPr>
        <w:pStyle w:val="112"/>
      </w:pPr>
      <w:r>
        <w:t>259.</w:t>
      </w:r>
      <w:r>
        <w:tab/>
        <w:t>В различных отраслях экономики Индии действует много положений, которые предусматривают создание детских яслей по месту работы при наличии определенного числа работающих женщин. Это число неодинаково для разных отраслей. По Закону о горнорудных предприятиях, ясли должны создаваться даже при наличии одной работающей женщины, а по Закону о фабриках это число составляет 30 работающих женщин. Вторая Национальная комиссия по вопросам труда и занятости 2002 года в своем докладе рекомендовала, чтобы в трудовое законодательство было включено положение о создании детских яслей при численности рабочей силы 20 человек и более, независимо от пола работающих, для того чтобы мать или отец на время работы могли оставлять ребенка в яслях.</w:t>
      </w:r>
    </w:p>
    <w:p w:rsidR="00000000" w:rsidRDefault="00000000">
      <w:pPr>
        <w:pStyle w:val="112"/>
      </w:pPr>
      <w:r>
        <w:t>260.</w:t>
      </w:r>
      <w:r>
        <w:tab/>
        <w:t>Правительство Индии приняло новый план создания детских яслей, известный как национальный план Раджива Ганди по обеспечению работающих матерей детскими яслями, введенный в действие с 1 января 2006 года. Новый план предусматривает создание 700 детских яслей к концу 2005–06 финансового года. По этому плану ясли будут переданы в ведение центральной Комиссии по оказанию социальной помощи и еще двух общенациональных организаций: Индийского совета по делам детей и Бхартайя Адим Джати Севак Сангх – на основе соотношения уже подведомственных им действующих яслей (80:11:9).</w:t>
      </w:r>
    </w:p>
    <w:p w:rsidR="00000000" w:rsidRDefault="00000000">
      <w:pPr>
        <w:pStyle w:val="112"/>
      </w:pPr>
      <w:r>
        <w:t>261.</w:t>
      </w:r>
      <w:r>
        <w:tab/>
        <w:t>Для создания одних детских яслей выделяется 10 000 рупий на единовременные расходы и 42 384 рупий в год на текущие расходы, которые включают в себя ежемесячное вознаграждение в 2000 рупий двум сотрудникам яслей, дополнительное детское питание на 25 детей из расчета 2,08 рупий в день на ребенка в течение 26 дней, а также расходы на неотложную медицинскую помощь и непредвиденные расходы в размере 315 рупий. План предусматривает также ежемесячную плату за пользование яслями, получаемую создавшими их организациями и составляющую 20 рупий на ребенка и 60 рупий на семью, живущую в условиях, близких к черте бедности.</w:t>
      </w:r>
    </w:p>
    <w:p w:rsidR="00000000" w:rsidRDefault="00000000">
      <w:pPr>
        <w:pStyle w:val="112"/>
      </w:pPr>
      <w:r>
        <w:t>262.</w:t>
      </w:r>
      <w:r>
        <w:tab/>
        <w:t xml:space="preserve">Вновь принятый план предусматривает также создание к концу десятого </w:t>
      </w:r>
      <w:r>
        <w:rPr>
          <w:caps/>
        </w:rPr>
        <w:t>п</w:t>
      </w:r>
      <w:r>
        <w:t>ятилетнего плана 14 719 яслей в дополнение к действующим 14 800. Критерий совокупного месячного дохода семьи для приема детей в ясли также повысился с 1800 до 12 000 рупий.</w:t>
      </w:r>
    </w:p>
    <w:p w:rsidR="00000000" w:rsidRDefault="00000000">
      <w:pPr>
        <w:pStyle w:val="112"/>
      </w:pPr>
      <w:r>
        <w:t>263.</w:t>
      </w:r>
      <w:r>
        <w:tab/>
        <w:t>Одной из недавних инициатив правительства в интересах детей стало принятие Национальной хартии по защите прав детей. Она была опубликована в "Официальных ведомостях Индии" 9 февраля 2004 года для широкого ознакомления с ней общественности. Этот документ был распространен среди министерств и ведомств, занимающихся вопросами, касающимися детей, правительств штатов и администраций союзных территорий для исполнения положений хартии под их прямым контролем. Хартия является писаным документом, выражением намерений правительства в области проводимой им политики в отношении детей.</w:t>
      </w:r>
    </w:p>
    <w:p w:rsidR="00000000" w:rsidRDefault="00000000">
      <w:pPr>
        <w:pStyle w:val="112"/>
      </w:pPr>
      <w:r>
        <w:t>264.</w:t>
      </w:r>
      <w:r>
        <w:tab/>
        <w:t>Национальная хартия по защите прав детей 2003 года преследует нижеизложенные цели:</w:t>
      </w:r>
    </w:p>
    <w:p w:rsidR="00000000" w:rsidRDefault="00000000">
      <w:pPr>
        <w:numPr>
          <w:ilvl w:val="0"/>
          <w:numId w:val="12"/>
        </w:numPr>
        <w:tabs>
          <w:tab w:val="left" w:pos="1134"/>
        </w:tabs>
        <w:spacing w:before="240" w:after="120"/>
        <w:jc w:val="both"/>
        <w:rPr>
          <w:sz w:val="22"/>
          <w:szCs w:val="22"/>
        </w:rPr>
      </w:pPr>
      <w:r>
        <w:rPr>
          <w:sz w:val="22"/>
          <w:szCs w:val="22"/>
        </w:rPr>
        <w:t>подтвердить приверженность правительства делу защиты и обеспечения прав детей. В нее включаются касающиеся детей вопросы приоритетной важности, и на ее основе разрабатываются соответствующие программы;</w:t>
      </w:r>
    </w:p>
    <w:p w:rsidR="00000000" w:rsidRDefault="00000000">
      <w:pPr>
        <w:numPr>
          <w:ilvl w:val="0"/>
          <w:numId w:val="12"/>
        </w:numPr>
        <w:tabs>
          <w:tab w:val="left" w:pos="1134"/>
        </w:tabs>
        <w:spacing w:before="60" w:after="120"/>
        <w:jc w:val="both"/>
        <w:rPr>
          <w:sz w:val="22"/>
          <w:szCs w:val="22"/>
        </w:rPr>
      </w:pPr>
      <w:r>
        <w:rPr>
          <w:sz w:val="22"/>
          <w:szCs w:val="22"/>
        </w:rPr>
        <w:t>обеспечить неотъемлемое право каждого ребенка на здоровое и счастливое детство;</w:t>
      </w:r>
    </w:p>
    <w:p w:rsidR="00000000" w:rsidRDefault="00000000">
      <w:pPr>
        <w:numPr>
          <w:ilvl w:val="0"/>
          <w:numId w:val="12"/>
        </w:numPr>
        <w:tabs>
          <w:tab w:val="left" w:pos="1134"/>
        </w:tabs>
        <w:spacing w:before="60" w:after="120"/>
        <w:jc w:val="both"/>
        <w:rPr>
          <w:sz w:val="22"/>
          <w:szCs w:val="22"/>
        </w:rPr>
      </w:pPr>
      <w:r>
        <w:rPr>
          <w:sz w:val="22"/>
          <w:szCs w:val="22"/>
        </w:rPr>
        <w:t>направить усилия на искоренение причин, мешающих здоровому росту и развитию детей;</w:t>
      </w:r>
    </w:p>
    <w:p w:rsidR="00000000" w:rsidRDefault="00000000">
      <w:pPr>
        <w:numPr>
          <w:ilvl w:val="0"/>
          <w:numId w:val="12"/>
        </w:numPr>
        <w:tabs>
          <w:tab w:val="left" w:pos="1134"/>
        </w:tabs>
        <w:spacing w:before="60" w:after="120"/>
        <w:jc w:val="both"/>
        <w:rPr>
          <w:sz w:val="22"/>
          <w:szCs w:val="22"/>
        </w:rPr>
      </w:pPr>
      <w:r>
        <w:rPr>
          <w:sz w:val="22"/>
          <w:szCs w:val="22"/>
        </w:rPr>
        <w:t>наладить партнерские связи с общинами в целях борьбы с нарушениями прав детей во имя укрепления семьи, общества и нации;</w:t>
      </w:r>
    </w:p>
    <w:p w:rsidR="00000000" w:rsidRDefault="00000000">
      <w:pPr>
        <w:numPr>
          <w:ilvl w:val="0"/>
          <w:numId w:val="12"/>
        </w:numPr>
        <w:tabs>
          <w:tab w:val="left" w:pos="1134"/>
        </w:tabs>
        <w:spacing w:before="60" w:after="60"/>
        <w:jc w:val="both"/>
        <w:rPr>
          <w:sz w:val="22"/>
          <w:szCs w:val="22"/>
        </w:rPr>
      </w:pPr>
      <w:r>
        <w:rPr>
          <w:sz w:val="22"/>
          <w:szCs w:val="22"/>
        </w:rPr>
        <w:t>возложить на штаты и общины совместную ответственность за защиту прав детей и обеспечение их благополучия.</w:t>
      </w:r>
    </w:p>
    <w:p w:rsidR="00000000" w:rsidRDefault="00000000">
      <w:pPr>
        <w:pStyle w:val="112"/>
      </w:pPr>
      <w:r>
        <w:t>265.</w:t>
      </w:r>
      <w:r>
        <w:tab/>
        <w:t>Национальная хартия подчеркивает приверженность правительства Индии делу обеспечения выживания детей, их здоровья и питания, надлежащего уровня жизни, детских игр и досуга, ухода за ними в раннем возрасте, образования, защиты детей женского пола, расширения возможностей подростков, равенства детей, их права на жизнь и свободу, на свое имя и национальную принадлежность, свободы слова, свободы ассоциаций и мирных собраний, права на семью и их права на защиту от экономической эксплуатации и всех форм злоупотреблений и насилия. Этот документ предусматривает также защиту детей, оказавшихся в трудных обстоятельствах, детей-инвалидов, детей из маргинальных и обездоленных общин, а также детей, ставших жертвами злоупотреблений и насилия. При этом в нем устанавливается ответственность обоих родителей за воспитание детей, а также предусматриваются щадящие процедуры в отношении малолетних правонарушителей в плане заботливого отношения к ним и защиты их прав.</w:t>
      </w:r>
    </w:p>
    <w:p w:rsidR="00000000" w:rsidRDefault="00000000">
      <w:pPr>
        <w:jc w:val="both"/>
        <w:rPr>
          <w:sz w:val="24"/>
        </w:rPr>
      </w:pPr>
    </w:p>
    <w:p w:rsidR="00000000" w:rsidRDefault="00000000">
      <w:pPr>
        <w:spacing w:before="120"/>
        <w:jc w:val="both"/>
        <w:rPr>
          <w:b/>
          <w:sz w:val="22"/>
          <w:szCs w:val="22"/>
        </w:rPr>
      </w:pPr>
      <w:r>
        <w:rPr>
          <w:b/>
          <w:sz w:val="22"/>
          <w:szCs w:val="22"/>
        </w:rPr>
        <w:t>Планы и программы в интересах детей</w:t>
      </w:r>
    </w:p>
    <w:p w:rsidR="00000000" w:rsidRDefault="00000000">
      <w:pPr>
        <w:pStyle w:val="112"/>
      </w:pPr>
      <w:r>
        <w:t>266.</w:t>
      </w:r>
      <w:r>
        <w:tab/>
        <w:t>Ряд министерств и ведомств правительства Индии осуществляют различные планы и программы в интересах детей. Список правительственных планов и программ для детей приводится в приложении. Ниже приводится детальное описание некоторых планов и программ.</w:t>
      </w:r>
    </w:p>
    <w:p w:rsidR="00000000" w:rsidRDefault="00000000">
      <w:pPr>
        <w:jc w:val="both"/>
        <w:rPr>
          <w:sz w:val="24"/>
        </w:rPr>
      </w:pPr>
    </w:p>
    <w:p w:rsidR="00000000" w:rsidRDefault="00000000">
      <w:pPr>
        <w:spacing w:before="120"/>
        <w:jc w:val="both"/>
        <w:rPr>
          <w:b/>
          <w:sz w:val="22"/>
          <w:szCs w:val="22"/>
        </w:rPr>
      </w:pPr>
      <w:r>
        <w:rPr>
          <w:b/>
          <w:sz w:val="22"/>
          <w:szCs w:val="22"/>
        </w:rPr>
        <w:t>Комплексный план оказания услуг в сфере детского развития</w:t>
      </w:r>
    </w:p>
    <w:p w:rsidR="00000000" w:rsidRDefault="00000000">
      <w:pPr>
        <w:pStyle w:val="112"/>
      </w:pPr>
      <w:r>
        <w:t>267.</w:t>
      </w:r>
      <w:r>
        <w:tab/>
        <w:t xml:space="preserve">Данная программа осуществляется с 1975 года департаментом по делам развития женщин и детей </w:t>
      </w:r>
      <w:r>
        <w:rPr>
          <w:caps/>
        </w:rPr>
        <w:t>м</w:t>
      </w:r>
      <w:r>
        <w:t>инистерства развития людских ресурсов. Она направлена на улучшение состояния здоровья и питания уязвимых групп населения, включая дошкольников, беременных женщин и кормящих матерей, путем предоставления набора услуг, таких как дополнительное питание, дошкольное воспитание, вакцинация, медосмотры, специализированное медобслуживание, курсы правильного питания и здорового образа жизни. Кроме того, она предусматривает оказание эффективных взаимодополняющих межсекторных услуг в центрах анганвади.</w:t>
      </w:r>
    </w:p>
    <w:p w:rsidR="00000000" w:rsidRDefault="00000000">
      <w:pPr>
        <w:jc w:val="both"/>
        <w:rPr>
          <w:sz w:val="24"/>
        </w:rPr>
      </w:pPr>
    </w:p>
    <w:p w:rsidR="00000000" w:rsidRDefault="00000000">
      <w:pPr>
        <w:spacing w:before="120"/>
        <w:jc w:val="both"/>
        <w:rPr>
          <w:b/>
          <w:sz w:val="22"/>
          <w:szCs w:val="22"/>
        </w:rPr>
      </w:pPr>
      <w:r>
        <w:rPr>
          <w:b/>
          <w:sz w:val="22"/>
          <w:szCs w:val="22"/>
        </w:rPr>
        <w:t>Программа Балика Самридхи Йоджана</w:t>
      </w:r>
    </w:p>
    <w:p w:rsidR="00000000" w:rsidRDefault="00000000">
      <w:pPr>
        <w:pStyle w:val="112"/>
      </w:pPr>
      <w:r>
        <w:t>268.</w:t>
      </w:r>
      <w:r>
        <w:tab/>
        <w:t xml:space="preserve">Программа осуществляется с 1997 года департаментом по делам развития женщин и детей </w:t>
      </w:r>
      <w:r>
        <w:rPr>
          <w:caps/>
        </w:rPr>
        <w:t>м</w:t>
      </w:r>
      <w:r>
        <w:t>инистерства развития людских ресурсов. Она предназначена как для городской, так и для сельской местности во всех административных районах страны и преследует цель изменить негативное отношение семьи и общины к рождающимся девочкам и их матерям. Программа предусматривает выплату гранта в размере 500 рупий при рождении девочки и школьную стипендию для нее в размере 300–1000 рупий вплоть до 10 класса, которая хранится в банке или на почтовом счете и выдается девочке по достижении 18 лет, если она еще не вышла замуж. Программа призвана поощрять поступление девочек в школу и продолжение их обучения без отсева, повышение возраста вступления девушек в брак и оказание им помощи в поисках источника заработка. Национальная плановая комиссия внесла предложение передать эти программы в ведение правительств штатов.</w:t>
      </w:r>
    </w:p>
    <w:p w:rsidR="00000000" w:rsidRDefault="00000000">
      <w:pPr>
        <w:pStyle w:val="112"/>
      </w:pPr>
      <w:r>
        <w:t>269.</w:t>
      </w:r>
      <w:r>
        <w:tab/>
        <w:t>Ясли. Около 14 800 яслей, организованных в рамках программы создания на добровольных началах ясельных учреждений, предназначенных для детей работающих и больных женщин, действуют под эгидой департамента по делам развития женщин и детей, а также Национального ясельного фонда с годовым покрытием около 250 млн. рупий, предназначенного для малообеспеченных семей. В этих яслях оказываются дневные услуги по уходу за детьми в возрасте до пяти лет, включая дополнительное питание, прививки и дошкольное воспитание.</w:t>
      </w:r>
    </w:p>
    <w:p w:rsidR="00000000" w:rsidRDefault="00000000">
      <w:pPr>
        <w:pStyle w:val="112"/>
      </w:pPr>
      <w:r>
        <w:t>270.</w:t>
      </w:r>
      <w:r>
        <w:tab/>
        <w:t>Детское питание. Различные правительственные учреждения как прямым, так и косвенным образом предпринимают усилия, с тем чтобы снизить остроту проблемы неполноценного питания детей. Так, например, действуют Комплексный план оказания услуг в сфере детского развития и образовательные программы по вопросам пищевых продуктов и рационального питания, осуществляемые Министерством по делам развития женщин и детей, различные программы департамента снабжения и общественного распределения продовольствия, направленные на обеспечение продовольственной безопасности слоев населения, живущих за чертой бедности. Попытки обеспечения продовольствием беднейших слоев предпринимаются в рамках целевой Системы общественного распределения (СОР), введенной в 1997 году, программы Антиодая Анна Йоджана, действующей с 2000 года, и некоторых проектов зерновых банков. Последняя из упомянутых программ направлена на помощь наиболее малообеспеченным семьям из группы ниже черты бедности, для которой существует система СОР. Эта программа была вновь расширена в июне 2003 года за счет добавления еще 5 млн. семей, живущих за чертой бедности. В рамках программы в течение 2002–2004 годов было закуплено 3,82 млн. тонн продовольственного зерна, а распределение составило 4,56 млн. тонн. Касающаяся вопросов питания часть плана Грамодайя Йоджана – программы премьер-министра, и Программа обеспечения питанием девушек-подростков, действующая в 51 районе страны, осуществляются при дополнительной централизованной поддержке Плановой комиссии и прямым или косвенным образом способствуют улучшению питания детей. На основании циркуляра от 31 июля 2003 года под председательством премьер-министра была учреждена Национальная миссия по вопросам питания в целях предоставления соответствующим ведомствам правительства принципиальных указаний для решения проблемы неполноценного питания на адресной основе.</w:t>
      </w:r>
    </w:p>
    <w:p w:rsidR="00000000" w:rsidRDefault="00000000">
      <w:pPr>
        <w:pStyle w:val="112"/>
        <w:rPr>
          <w:rStyle w:val="111"/>
        </w:rPr>
      </w:pPr>
      <w:r>
        <w:rPr>
          <w:rStyle w:val="111"/>
        </w:rPr>
        <w:t>271.</w:t>
      </w:r>
      <w:r>
        <w:rPr>
          <w:rStyle w:val="111"/>
        </w:rPr>
        <w:tab/>
        <w:t xml:space="preserve">Снабжение питьевой водой является задачей государственной важности. С учетом масштабов проблемы и для ускорения ее решения в неблагополучных в этом плане сельских населенных пунктах центральное правительство ввело в действие в 1972–1973 годах Ускоренную программу снабжения питьевой водой в сельской местности (УПВС), но она была прервана на некоторое время и вновь введена в действие в 1977–1978 годах. Программа обрела новый статус после того, как в 1986 году была создана Техническая миссия по снабжению питьевой водой и управлению водными ресурсами, именуемая также Национальной миссией по вопросам питьевой воды (НМПВ) и являющаяся одной из пяти общественных миссий. В 1991 году она была переименована  в </w:t>
      </w:r>
      <w:r>
        <w:rPr>
          <w:i/>
        </w:rPr>
        <w:t>Национальную миссию Раджива Ганди по вопросам питьевой воды</w:t>
      </w:r>
      <w:r>
        <w:rPr>
          <w:rStyle w:val="111"/>
        </w:rPr>
        <w:t xml:space="preserve">. Однако в 1998–1999 годах действие УПВС снова было прервано, так как цели программы не могли быть реализованы. Тогда была принята стратегия </w:t>
      </w:r>
      <w:r>
        <w:rPr>
          <w:i/>
        </w:rPr>
        <w:t>Программы питьевого водоснабжения в сельской местности</w:t>
      </w:r>
      <w:r>
        <w:rPr>
          <w:rStyle w:val="111"/>
        </w:rPr>
        <w:t>, которая исходит из того, что за снабжение удовлетворяющей требованиям безопасности питьевой водой отвечает правительство. Увеличение расходов правительства на эти цели, перенос акцента в технологических решениях на установку ручных насосов на колодцах и артезианских сважинах – все это привело к впечатляющему улучшению водоснабжения в сельской местности в целом. Целями программы являются обеспечение питьевой водой всех сельских населенных пунктов, в первую очередь тех, которые пока не имеют к ней доступа, решение задачи стабильного функционирования систем и источников и поддержание качества воды.</w:t>
      </w:r>
    </w:p>
    <w:p w:rsidR="00000000" w:rsidRDefault="00000000">
      <w:pPr>
        <w:pStyle w:val="112"/>
      </w:pPr>
      <w:r>
        <w:t>272.</w:t>
      </w:r>
      <w:r>
        <w:tab/>
        <w:t>25 декабря 2002 года на всей территории страны премьер-министром была введена программа Сваджалдхара, благодаря которой заинтересованные группы – деревенские, микрорайонные и районные панчаяты – могут осуществлять свои планы водоснабжения при поддержке правительства Индии с покрытием до 90 процентов капитальных затрат при условии, что минимум 10 процентов капитальных расходов и всю ответственность за управление и обслуживание несет сама община.</w:t>
      </w:r>
    </w:p>
    <w:p w:rsidR="00000000" w:rsidRDefault="00000000">
      <w:pPr>
        <w:pStyle w:val="112"/>
        <w:rPr>
          <w:rStyle w:val="111"/>
        </w:rPr>
      </w:pPr>
      <w:r>
        <w:rPr>
          <w:rStyle w:val="111"/>
        </w:rPr>
        <w:t>273.</w:t>
      </w:r>
      <w:r>
        <w:rPr>
          <w:rStyle w:val="111"/>
        </w:rPr>
        <w:tab/>
      </w:r>
      <w:r>
        <w:rPr>
          <w:i/>
        </w:rPr>
        <w:t>Централизованная программа улучшения санитарных условий в сельских районах</w:t>
      </w:r>
      <w:r>
        <w:rPr>
          <w:rStyle w:val="111"/>
        </w:rPr>
        <w:t>, инициированная в 1986 году, была преобразована во Всеобщую кампанию за улучшение санитарных условий, проводимую в интересах населения под руководством общинных властей. В ней делается упор на информационных, образовательных и коммуникационных аспектах в целях повышения спроса на санитарно-технические удобства. Школьные уроки санитарии и гигиены являются важной составной частью кампании и направлены на привитие новых санитарно-гигиенических норм поведения с раннего возраста. Во всех школах должны быть оборудованы туалеты, причем согласно образовательной программе для девочек, для них туалеты должны быть отдельными. Должное внимание уделяется также потребностям женщин. В одном из районов страны разрабатывается санитарно-технический проект ВКС, основанный на проведении обследования состояния существующих санитарно-технических объектов в районе. Проект плана реализации проекта ВКС, рассчитанный на четыре года, будет направлен через правительство штата на утверждение правительства Индии. Основные физические параметры проекта включают в себя создание индивидуальных семейных и школьных туалетов, коммунальных санитарно-технических комплексов, туалетов для центров Балвадисл Анганвади, сельских центров по изготовлению и продаже санитарно-технического оборудования.</w:t>
      </w:r>
    </w:p>
    <w:p w:rsidR="00000000" w:rsidRDefault="00000000">
      <w:pPr>
        <w:jc w:val="both"/>
        <w:rPr>
          <w:sz w:val="24"/>
        </w:rPr>
      </w:pPr>
    </w:p>
    <w:p w:rsidR="00000000" w:rsidRDefault="00000000">
      <w:pPr>
        <w:keepNext/>
        <w:jc w:val="both"/>
        <w:rPr>
          <w:b/>
          <w:sz w:val="22"/>
          <w:szCs w:val="22"/>
        </w:rPr>
      </w:pPr>
      <w:r>
        <w:rPr>
          <w:b/>
          <w:sz w:val="22"/>
          <w:szCs w:val="22"/>
        </w:rPr>
        <w:t>Программа охраны репродуктивного здоровья и здоровья детей</w:t>
      </w:r>
    </w:p>
    <w:p w:rsidR="00000000" w:rsidRDefault="00000000">
      <w:pPr>
        <w:pStyle w:val="112"/>
        <w:keepNext/>
        <w:spacing w:after="240"/>
        <w:rPr>
          <w:lang w:val="en-US"/>
        </w:rPr>
      </w:pPr>
      <w:r>
        <w:t>274.</w:t>
      </w:r>
      <w:r>
        <w:tab/>
        <w:t xml:space="preserve">Эта программа, начатая в 1997 году, осуществляется </w:t>
      </w:r>
      <w:r>
        <w:rPr>
          <w:caps/>
        </w:rPr>
        <w:t>м</w:t>
      </w:r>
      <w:r>
        <w:t>инистерством здравоохранения и по делам благосостояния семьи и предусматривает эффективные меры по охране здоровья матери и ребенка, обеспечению питательными микроэлементами уязвимых групп населения, услуги по охране репродуктивного здоровья подростков и т. д. Ниже перечисляются некоторые важные составляющие программы:</w:t>
      </w:r>
    </w:p>
    <w:p w:rsidR="00000000" w:rsidRDefault="00000000">
      <w:pPr>
        <w:numPr>
          <w:ilvl w:val="0"/>
          <w:numId w:val="6"/>
        </w:numPr>
        <w:spacing w:after="240"/>
        <w:ind w:left="709" w:hanging="709"/>
        <w:jc w:val="both"/>
        <w:rPr>
          <w:sz w:val="22"/>
          <w:szCs w:val="22"/>
        </w:rPr>
      </w:pPr>
      <w:r>
        <w:rPr>
          <w:sz w:val="22"/>
          <w:szCs w:val="22"/>
        </w:rPr>
        <w:t>ДТП-вакцинация детей, противостолбнячная и противополиомиелитная иммунизация женщин</w:t>
      </w:r>
    </w:p>
    <w:p w:rsidR="00000000" w:rsidRDefault="00000000">
      <w:pPr>
        <w:numPr>
          <w:ilvl w:val="0"/>
          <w:numId w:val="6"/>
        </w:numPr>
        <w:spacing w:after="240"/>
        <w:ind w:left="709" w:hanging="709"/>
        <w:jc w:val="both"/>
        <w:rPr>
          <w:sz w:val="22"/>
          <w:szCs w:val="22"/>
        </w:rPr>
      </w:pPr>
      <w:r>
        <w:rPr>
          <w:sz w:val="22"/>
          <w:szCs w:val="22"/>
        </w:rPr>
        <w:t>Введение препаратов, содержащих витамин А</w:t>
      </w:r>
    </w:p>
    <w:p w:rsidR="00000000" w:rsidRDefault="00000000">
      <w:pPr>
        <w:numPr>
          <w:ilvl w:val="0"/>
          <w:numId w:val="6"/>
        </w:numPr>
        <w:spacing w:after="240"/>
        <w:ind w:left="709" w:hanging="709"/>
        <w:jc w:val="both"/>
        <w:rPr>
          <w:sz w:val="22"/>
          <w:szCs w:val="22"/>
        </w:rPr>
      </w:pPr>
      <w:r>
        <w:rPr>
          <w:sz w:val="22"/>
          <w:szCs w:val="22"/>
        </w:rPr>
        <w:t>Снабжение беременных женщин препаратами с содержанием железа и фолиевой кислоты</w:t>
      </w:r>
    </w:p>
    <w:p w:rsidR="00000000" w:rsidRDefault="00000000">
      <w:pPr>
        <w:numPr>
          <w:ilvl w:val="0"/>
          <w:numId w:val="6"/>
        </w:numPr>
        <w:spacing w:after="240"/>
        <w:ind w:left="709" w:hanging="709"/>
        <w:jc w:val="both"/>
        <w:rPr>
          <w:sz w:val="22"/>
          <w:szCs w:val="22"/>
        </w:rPr>
      </w:pPr>
      <w:r>
        <w:rPr>
          <w:sz w:val="22"/>
          <w:szCs w:val="22"/>
        </w:rPr>
        <w:t>Предупреждение смертности от пневмонии</w:t>
      </w:r>
    </w:p>
    <w:p w:rsidR="00000000" w:rsidRDefault="00000000">
      <w:pPr>
        <w:numPr>
          <w:ilvl w:val="0"/>
          <w:numId w:val="6"/>
        </w:numPr>
        <w:spacing w:after="240"/>
        <w:ind w:left="709" w:hanging="709"/>
        <w:jc w:val="both"/>
        <w:rPr>
          <w:sz w:val="22"/>
          <w:szCs w:val="22"/>
        </w:rPr>
      </w:pPr>
      <w:r>
        <w:rPr>
          <w:sz w:val="22"/>
          <w:szCs w:val="22"/>
        </w:rPr>
        <w:t>Предупреждение смертности от диареи</w:t>
      </w:r>
    </w:p>
    <w:p w:rsidR="00000000" w:rsidRDefault="00000000">
      <w:pPr>
        <w:numPr>
          <w:ilvl w:val="0"/>
          <w:numId w:val="6"/>
        </w:numPr>
        <w:spacing w:after="240"/>
        <w:ind w:left="709" w:hanging="709"/>
        <w:jc w:val="both"/>
        <w:rPr>
          <w:sz w:val="22"/>
          <w:szCs w:val="22"/>
        </w:rPr>
      </w:pPr>
      <w:r>
        <w:rPr>
          <w:sz w:val="22"/>
          <w:szCs w:val="22"/>
        </w:rPr>
        <w:t>Популяризация грудного вскармливания и соответствующего дополнительного питания</w:t>
      </w:r>
    </w:p>
    <w:p w:rsidR="00000000" w:rsidRDefault="00000000">
      <w:pPr>
        <w:numPr>
          <w:ilvl w:val="0"/>
          <w:numId w:val="6"/>
        </w:numPr>
        <w:ind w:left="709" w:hanging="709"/>
        <w:jc w:val="both"/>
        <w:rPr>
          <w:sz w:val="22"/>
          <w:szCs w:val="22"/>
        </w:rPr>
      </w:pPr>
      <w:r>
        <w:rPr>
          <w:sz w:val="22"/>
          <w:szCs w:val="22"/>
        </w:rPr>
        <w:t>Комплексная программа борьбы с младенческими и детскими заболеваниями (КПМДЗ)</w:t>
      </w:r>
    </w:p>
    <w:p w:rsidR="00000000" w:rsidRDefault="00000000">
      <w:pPr>
        <w:pStyle w:val="112"/>
        <w:spacing w:before="200"/>
      </w:pPr>
      <w:r>
        <w:t>275.</w:t>
      </w:r>
      <w:r>
        <w:tab/>
        <w:t>Стратегия КПМДЗ предусматривает ряд мер, направленных на профилактику и лечение самых распространенных детских заболеваний, чреватых смертельным исходом: острых респираторных инфекций, диареи, кори, малярии и истощения. При этом упор делается на профилактических, санитарно-просветительских и лечебных аспектах, т. е. обеспечивается целостное видение задач программы посредством повышения уровня квалификации медицинского персонала, укрепления здравоохранительной системы и привлечения общин к участию в программе. В настоящее время при поддержке ЮНИСЕФ в рамках кустовой Инициативы для групп приграничных районов в пяти из них идет пилотная реализация программы. Правительство Индии одобрило стратегию КПМДЗ и включило ее в рамочную основу второй фазы Программы охраны репродуктивного здоровья и здоровья детей (РЗД). На начальном этапе она будет осуществляться как минимум в 125 районах страны.</w:t>
      </w:r>
    </w:p>
    <w:p w:rsidR="00000000" w:rsidRDefault="00000000">
      <w:pPr>
        <w:pStyle w:val="112"/>
      </w:pPr>
      <w:r>
        <w:t>276.</w:t>
      </w:r>
      <w:r>
        <w:tab/>
        <w:t xml:space="preserve">Упомянутая программа объединяет в себе все меры по обеспечению благополучия семьи и здоровья детей и женщин с целью предоставить тем, для кого она предназначена, услуги в области РЗД, исходя из их необходимости, интересов пользователя, требований спроса и качества. Стратегия программы РЗД сдвигает акценты в политике с демографических целей на обеспечение здоровья женщин и детей. В 1995–1996 годах </w:t>
      </w:r>
      <w:r>
        <w:rPr>
          <w:caps/>
        </w:rPr>
        <w:t>м</w:t>
      </w:r>
      <w:r>
        <w:t>инистерство здравоохранения  и по делам благосостояния семьи начало осуществлять Программу регулярной иммунизации от полиомиелита всех детей до пяти лет. Эта массовая программа охватывает 16 млн. детей в рамках каждого цикла проведения Национального дня иммунизации. Другие программы предусматривают иммунизацию от гепатита В, ДПТ и других обычных инфекций.</w:t>
      </w:r>
    </w:p>
    <w:p w:rsidR="00000000" w:rsidRDefault="00000000">
      <w:pPr>
        <w:pStyle w:val="112"/>
      </w:pPr>
      <w:r>
        <w:t>277.</w:t>
      </w:r>
      <w:r>
        <w:tab/>
        <w:t>Среди других важных программ охраны детского здоровья можно назвать программы, направленные на: проведение всеобщей иммунизации, предупреждение смертности при острых респираторных инфекциях и при диарее, предоставление основных услуг по уходу за новорожденными для поддержания младенческого здоровья, профилактику и лечение нехватки микроэлементов железа и витамина А, предупреждение анемии, осуществление стратегических принципов кустовой инициативы приграничных районов и комплексных мер ПМДЗ.</w:t>
      </w:r>
    </w:p>
    <w:p w:rsidR="00000000" w:rsidRDefault="00000000">
      <w:pPr>
        <w:jc w:val="both"/>
        <w:rPr>
          <w:sz w:val="24"/>
        </w:rPr>
      </w:pPr>
    </w:p>
    <w:p w:rsidR="00000000" w:rsidRDefault="00000000">
      <w:pPr>
        <w:keepNext/>
        <w:jc w:val="both"/>
        <w:rPr>
          <w:b/>
          <w:sz w:val="22"/>
          <w:szCs w:val="22"/>
        </w:rPr>
      </w:pPr>
      <w:r>
        <w:rPr>
          <w:b/>
          <w:sz w:val="22"/>
          <w:szCs w:val="22"/>
        </w:rPr>
        <w:t>Новые инициативы</w:t>
      </w:r>
    </w:p>
    <w:p w:rsidR="00000000" w:rsidRDefault="00000000">
      <w:pPr>
        <w:pStyle w:val="112"/>
        <w:keepNext/>
      </w:pPr>
      <w:r>
        <w:t>278.</w:t>
      </w:r>
      <w:r>
        <w:tab/>
        <w:t>Правительство выдвинуло несколько инициатив, направленных на улучшение условий жизни и благосостояния детей. Две наиболее важные из них указываются ниже.</w:t>
      </w:r>
    </w:p>
    <w:p w:rsidR="00000000" w:rsidRDefault="00000000">
      <w:pPr>
        <w:keepNext/>
        <w:spacing w:before="240"/>
        <w:jc w:val="both"/>
        <w:rPr>
          <w:b/>
          <w:sz w:val="22"/>
          <w:szCs w:val="22"/>
        </w:rPr>
      </w:pPr>
      <w:r>
        <w:rPr>
          <w:b/>
          <w:sz w:val="22"/>
          <w:szCs w:val="22"/>
        </w:rPr>
        <w:t>Национальная комиссия по защите прав детей</w:t>
      </w:r>
    </w:p>
    <w:p w:rsidR="00000000" w:rsidRDefault="00000000">
      <w:pPr>
        <w:pStyle w:val="112"/>
      </w:pPr>
      <w:r>
        <w:t>279.</w:t>
      </w:r>
      <w:r>
        <w:tab/>
        <w:t>20 января 2006 года правительство приняло постановление о создании Комиссии по защите прав детей, которое предусматривает образование Национальной комиссии и Государственной комиссии в целях защиты прав детей, закрепленных КПР, и разработки соответствующих норм.</w:t>
      </w:r>
    </w:p>
    <w:p w:rsidR="00000000" w:rsidRDefault="00000000">
      <w:pPr>
        <w:keepNext/>
        <w:spacing w:before="240"/>
        <w:jc w:val="both"/>
        <w:rPr>
          <w:b/>
          <w:sz w:val="22"/>
          <w:szCs w:val="22"/>
        </w:rPr>
      </w:pPr>
      <w:r>
        <w:rPr>
          <w:b/>
          <w:sz w:val="22"/>
          <w:szCs w:val="22"/>
        </w:rPr>
        <w:t>Национальный план действий в области защиты прав детей 2005 года</w:t>
      </w:r>
    </w:p>
    <w:p w:rsidR="00000000" w:rsidRDefault="00000000">
      <w:pPr>
        <w:pStyle w:val="112"/>
      </w:pPr>
      <w:r>
        <w:t>280.</w:t>
      </w:r>
      <w:r>
        <w:tab/>
        <w:t xml:space="preserve">В августе 2005 года </w:t>
      </w:r>
      <w:r>
        <w:rPr>
          <w:caps/>
        </w:rPr>
        <w:t>м</w:t>
      </w:r>
      <w:r>
        <w:t xml:space="preserve">инистерство по делам развития женщин и детей подготовило Национальный план действий в области защиты прав детей. Он был подготовлен после согласования задач в этой области, поставленных специальной сессией Генеральной Ассамблеи Организации Объединенных Наций, состоявшейся в 2002 году, контрольных задач десятого </w:t>
      </w:r>
      <w:r>
        <w:rPr>
          <w:caps/>
        </w:rPr>
        <w:t>п</w:t>
      </w:r>
      <w:r>
        <w:t>ятилетнего плана и касающихся детей планов работы министерств/ведомств. План действий изучается и обсуждается соответствующими министерствами и ведомствами, правительствами штатов/союзных территорий, неправительственными организациями и экспертами. Проект Национального плана действий включает в себя цели, задачи, стратегии и действия, направленные на улучшение питания детей, снижение детской и материнской смертности, повышение доли учащихся и уменьшение отсева из учебных заведений, обеспечение всеобщего характера начального образования, расширение охвата программами иммунизации и т. д. В ближайшем будущем этот документ, по всей вероятности, будет представлен в окончательном виде.</w:t>
      </w:r>
    </w:p>
    <w:p w:rsidR="00000000" w:rsidRDefault="00000000">
      <w:pPr>
        <w:pStyle w:val="112"/>
      </w:pPr>
      <w:r>
        <w:t>281.</w:t>
      </w:r>
      <w:r>
        <w:tab/>
        <w:t>В соответствии с программами развития женщин и детей в сельских районах (РЖДС) и развития женщин и детей в городских районах (РЖДГ)  женщины получают помощь в организации ухода за детьми в дополнение к оказанию им содействия в трудоустройстве.  Кроме того, услуги по уходу за детьми работающих женщин оказываются и в рамках программы открытия общежитий для работающих женщин.  По состоянию на март 2005 года 881 общежитию было разрешено разместить у себя 62 308 женщин и выделить 8226 находящимся на их иждивении детям места в 316 центрах по уходу за детьми, которые организованы при этих общежитиях.</w:t>
      </w:r>
    </w:p>
    <w:p w:rsidR="00000000" w:rsidRDefault="00000000">
      <w:pPr>
        <w:pStyle w:val="112"/>
      </w:pPr>
      <w:r>
        <w:t>282.</w:t>
      </w:r>
      <w:r>
        <w:tab/>
        <w:t>В рамках Комплексного плана оказания услуг в сфере детского развития (КПДР), принятого в 1975 году в качестве единой общегосударственной программы, применяется целостный подход к развитию детей в возрасте до шести лет с заострением внимания на детях в возрасте до трех лет в дополнение к наблюдению за беременными женщинами и кормящими матерями на основе комплекса из следующих шести услуг: медосмотра, иммунизации, направления к специалистам, дополнительного питания, неформального дошкольного воспитания и просвещения по вопросам охраны здоровья и питания. Эта программа, включая программу для крупных городов, была утверждена в 6118 микрорайонах, при этом по состоянию на 30 сентября 2005 года она осуществлялась в 5635 из них.  Эта программа охватывает 40,75 млн. детей и 9,15 млн. беременных женщин и кормящих матерей через 744 887 действующих детских центров.  КПДР осуществлялся также  при содействии Всемирного банка.</w:t>
      </w:r>
    </w:p>
    <w:p w:rsidR="00000000" w:rsidRDefault="00000000">
      <w:pPr>
        <w:jc w:val="both"/>
        <w:rPr>
          <w:b/>
          <w:bCs/>
          <w:sz w:val="24"/>
        </w:rPr>
      </w:pPr>
    </w:p>
    <w:p w:rsidR="00000000" w:rsidRDefault="00000000">
      <w:pPr>
        <w:jc w:val="both"/>
        <w:rPr>
          <w:b/>
          <w:bCs/>
          <w:sz w:val="22"/>
          <w:szCs w:val="22"/>
        </w:rPr>
      </w:pPr>
      <w:r>
        <w:rPr>
          <w:b/>
          <w:bCs/>
          <w:sz w:val="22"/>
          <w:szCs w:val="22"/>
        </w:rPr>
        <w:t>Защита и развитие детей</w:t>
      </w:r>
    </w:p>
    <w:p w:rsidR="00000000" w:rsidRDefault="00000000">
      <w:pPr>
        <w:pStyle w:val="112"/>
        <w:spacing w:after="240"/>
      </w:pPr>
      <w:r>
        <w:t>283.</w:t>
      </w:r>
      <w:r>
        <w:tab/>
        <w:t>Вопросам обеспечения благополучия и развития детей в Индии всегда уделялось самое пристальное внимание.  В Конституции Индии детям посвящены несколько положений, часть из которых указывается ниже.</w:t>
      </w:r>
    </w:p>
    <w:p w:rsidR="00000000" w:rsidRDefault="00000000">
      <w:pPr>
        <w:tabs>
          <w:tab w:val="left" w:pos="680"/>
          <w:tab w:val="left" w:pos="1134"/>
        </w:tabs>
        <w:spacing w:after="240"/>
        <w:ind w:left="1134" w:hanging="1134"/>
        <w:jc w:val="both"/>
        <w:rPr>
          <w:sz w:val="22"/>
          <w:szCs w:val="22"/>
        </w:rPr>
      </w:pPr>
      <w:r>
        <w:rPr>
          <w:sz w:val="24"/>
        </w:rPr>
        <w:tab/>
      </w:r>
      <w:r>
        <w:rPr>
          <w:sz w:val="24"/>
        </w:rPr>
        <w:sym w:font="Symbol" w:char="F0B7"/>
      </w:r>
      <w:r>
        <w:rPr>
          <w:sz w:val="24"/>
        </w:rPr>
        <w:tab/>
      </w:r>
      <w:r>
        <w:rPr>
          <w:sz w:val="22"/>
          <w:szCs w:val="22"/>
        </w:rPr>
        <w:t>В статье 14 говорится, что государство не отказывает ни одному лицу в равенстве перед законом или в равной защите со стороны закона на территории Индии.</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пункте 3 статьи 15 говорится: "Ничто в настоящей статье не препятствует государству издавать особые постановления, касающиеся женщин и детей".</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статье 21 говорится, что ни одно лицо не может быть лишено жизни или свободы иначе, чем в порядке, установленном законом.</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 xml:space="preserve">Статья 23 запрещает торговлю людьми и принудительный труд.  </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статье 24 говорится, что ни один ребенок в возрасте до 14 лет не может быть принят на работу на фабрику или  шахту, а также не может быть занят на любой другой опасной работе.</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статьях 25–28 закреплены свобода совести и свобода исповедания религии, отправления религиозных обрядов и религиозной пропаганды.  В соответствии с этим все лица имеют равное право на свободу совести и право свободно исповедовать религию, отправлять религиозные обряды и вести религиозную пропаганду.</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пункте е) статьи 39 говорится, что государство обязано обеспечивать, чтобы здоровье и силы работников, мужчин и женщин, а также малолетних детей не подвергались злоупотреблениям и чтобы граждане не были вынуждены в силу экономической необходимости обращаться к занятиям, не соответствующим их возрасту или силам.</w:t>
      </w:r>
    </w:p>
    <w:p w:rsidR="00000000" w:rsidRDefault="00000000">
      <w:pPr>
        <w:tabs>
          <w:tab w:val="left" w:pos="680"/>
          <w:tab w:val="left" w:pos="1134"/>
        </w:tabs>
        <w:spacing w:after="240"/>
        <w:ind w:left="1134" w:hanging="1134"/>
        <w:jc w:val="both"/>
        <w:rPr>
          <w:sz w:val="22"/>
          <w:szCs w:val="22"/>
        </w:rPr>
      </w:pPr>
      <w:r>
        <w:rPr>
          <w:sz w:val="22"/>
          <w:szCs w:val="22"/>
        </w:rPr>
        <w:tab/>
      </w:r>
      <w:r>
        <w:rPr>
          <w:sz w:val="22"/>
          <w:szCs w:val="22"/>
        </w:rPr>
        <w:sym w:font="Symbol" w:char="F0B7"/>
      </w:r>
      <w:r>
        <w:rPr>
          <w:sz w:val="22"/>
          <w:szCs w:val="22"/>
        </w:rPr>
        <w:tab/>
        <w:t>В пункте f) статьи 39 говорится, что государство обязано обеспечивать, чтобы дети получали возможности и шансы развиваться в необходимых для здоровья условиях и в условиях свободы и достоинства и детство и юность пользовались защитой от эксплуатации и моральной и материальной изоляции.</w:t>
      </w:r>
    </w:p>
    <w:p w:rsidR="00000000" w:rsidRDefault="00000000">
      <w:pPr>
        <w:tabs>
          <w:tab w:val="left" w:pos="680"/>
          <w:tab w:val="left" w:pos="1134"/>
        </w:tabs>
        <w:ind w:left="1134" w:hanging="1134"/>
        <w:jc w:val="both"/>
        <w:rPr>
          <w:sz w:val="22"/>
          <w:szCs w:val="22"/>
        </w:rPr>
      </w:pPr>
      <w:r>
        <w:rPr>
          <w:sz w:val="22"/>
          <w:szCs w:val="22"/>
        </w:rPr>
        <w:tab/>
      </w:r>
      <w:r>
        <w:rPr>
          <w:sz w:val="22"/>
          <w:szCs w:val="22"/>
        </w:rPr>
        <w:sym w:font="Symbol" w:char="F0B7"/>
      </w:r>
      <w:r>
        <w:rPr>
          <w:sz w:val="22"/>
          <w:szCs w:val="22"/>
        </w:rPr>
        <w:tab/>
        <w:t>В статье 45 говорится, что государство стремится обеспечить уход за детьми в раннем возрасте и воспитание всех детей до достижения ими шестилетнего возраста.</w:t>
      </w:r>
    </w:p>
    <w:p w:rsidR="00000000" w:rsidRDefault="00000000">
      <w:pPr>
        <w:pStyle w:val="112"/>
        <w:spacing w:after="240"/>
        <w:rPr>
          <w:lang w:val="en-US"/>
        </w:rPr>
      </w:pPr>
      <w:r>
        <w:t>284.</w:t>
      </w:r>
      <w:r>
        <w:tab/>
        <w:t>Кроме того, принято несколько законодательных актов, касающихся детей.  К их числу относятся следующие:</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1929 года, ограничивающий вступление детей в брак.</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1986 года о детском труде (запрет и регулирование).</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2000 года о ювенальной юстиции (защита детей и уход за ними).</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1992 года о заменителях грудного молока, средствах искусственного вскармливания младенцев и детском питании (регулирование производства, поставок и распределения).</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2002 года о внесении поправок в Закон о методах дородовой диагностики (регулирование и предотвращение злоупотреблений).</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1995 года об инвалидах (равные возможности, защита прав и участие в полном объеме).</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1956 года о предотвращении аморальной торговли людьми.</w:t>
      </w:r>
    </w:p>
    <w:p w:rsidR="00000000" w:rsidRDefault="00000000">
      <w:pPr>
        <w:tabs>
          <w:tab w:val="left" w:pos="680"/>
          <w:tab w:val="left" w:pos="1134"/>
        </w:tabs>
        <w:spacing w:after="180"/>
        <w:ind w:left="1134" w:hanging="1134"/>
        <w:jc w:val="both"/>
        <w:rPr>
          <w:sz w:val="22"/>
          <w:szCs w:val="22"/>
        </w:rPr>
      </w:pPr>
      <w:r>
        <w:rPr>
          <w:sz w:val="22"/>
          <w:szCs w:val="22"/>
        </w:rPr>
        <w:tab/>
      </w:r>
      <w:r>
        <w:rPr>
          <w:sz w:val="22"/>
          <w:szCs w:val="22"/>
        </w:rPr>
        <w:sym w:font="Symbol" w:char="F0B7"/>
      </w:r>
      <w:r>
        <w:rPr>
          <w:sz w:val="22"/>
          <w:szCs w:val="22"/>
        </w:rPr>
        <w:tab/>
        <w:t>Закон 1890 года об опекунах и подопечных.</w:t>
      </w:r>
    </w:p>
    <w:p w:rsidR="00000000" w:rsidRDefault="00000000">
      <w:pPr>
        <w:tabs>
          <w:tab w:val="left" w:pos="680"/>
          <w:tab w:val="left" w:pos="1134"/>
        </w:tabs>
        <w:ind w:left="1134" w:hanging="1134"/>
        <w:jc w:val="both"/>
        <w:rPr>
          <w:sz w:val="22"/>
          <w:szCs w:val="22"/>
        </w:rPr>
      </w:pPr>
      <w:r>
        <w:rPr>
          <w:sz w:val="22"/>
          <w:szCs w:val="22"/>
        </w:rPr>
        <w:tab/>
      </w:r>
      <w:r>
        <w:rPr>
          <w:sz w:val="22"/>
          <w:szCs w:val="22"/>
        </w:rPr>
        <w:sym w:font="Symbol" w:char="F0B7"/>
      </w:r>
      <w:r>
        <w:rPr>
          <w:sz w:val="22"/>
          <w:szCs w:val="22"/>
        </w:rPr>
        <w:tab/>
        <w:t>Закон 1956 года о молодежи (вредные публикации).</w:t>
      </w:r>
    </w:p>
    <w:p w:rsidR="00000000" w:rsidRDefault="00000000">
      <w:pPr>
        <w:pStyle w:val="112"/>
      </w:pPr>
      <w:r>
        <w:t>285.</w:t>
      </w:r>
      <w:r>
        <w:tab/>
        <w:t xml:space="preserve">Индия ратифицировала Конвенцию о правах ребенка 2 декабря 1992 года, а в 2004 году уже представила свой второй периодический доклад.  Индия признает свое обязательство обеспечивать, чтобы государственные ведомства, судебные органы, учреждения-исполнители, средства массовой информации, общественность и сами дети были больше информированы о вопросах, касающихся детей.  Принимаются меры по переводу КПР на несколько языков и по ее включению в учебную программу школ.  </w:t>
      </w:r>
    </w:p>
    <w:p w:rsidR="00000000" w:rsidRDefault="00000000">
      <w:pPr>
        <w:pStyle w:val="112"/>
      </w:pPr>
      <w:r>
        <w:t>286.</w:t>
      </w:r>
      <w:r>
        <w:tab/>
        <w:t xml:space="preserve">В 1990 году была проведена Всемирная встреча на высшем уровне в интересах детей, на которой была принята Декларация об обеспечении выживания, защиты и развития детей и был одобрен План действий по ее осуществлению.  На Всемирной встрече были определены цели в отношении детей, которые государства-члены должны были достичь к 2000 году.  На этой основе в 1992 году был подготовлен Национальный план действий в интересах детей.  В нем были определены цели страны в отношении выживания, здоровья, питания, образования и защиты детей.  Одновременно с этим в целях подтверждения приверженности защите интересов девочек по инициативе СААРК в 1992 году был также подготовлен Национальный план действий в интересах девочек.  </w:t>
      </w:r>
    </w:p>
    <w:p w:rsidR="00000000" w:rsidRDefault="00000000">
      <w:pPr>
        <w:pStyle w:val="112"/>
      </w:pPr>
      <w:r>
        <w:t>287.</w:t>
      </w:r>
      <w:r>
        <w:tab/>
        <w:t>На проведенной в мае 2002 года специальной сессии Генеральной Ассамблеи Организации Объединенных Наций, посвященный детям, по итогам длившихся примерно полтора года переговоров на основе консенсуса в отношении детей на текущее десятилетие были определены новые количественные и качественные цели, касающиеся вопросов выживания, здоровья и питания, ухода за детьми в раннем возрасте и образования и защиты детей.  Индия внесла весьма существенный вклад в составление и окончательную доработку итогового документа специальной сессии Генеральной Ассамблеи Организации Объединенных Наций.  Индийская делегация сыграла также важную роль,  оказав содействие в достижении консенсуса по итоговому документу.</w:t>
      </w:r>
    </w:p>
    <w:p w:rsidR="00000000" w:rsidRDefault="00000000">
      <w:pPr>
        <w:pStyle w:val="112"/>
        <w:spacing w:before="200"/>
      </w:pPr>
      <w:r>
        <w:t>288.</w:t>
      </w:r>
      <w:r>
        <w:tab/>
        <w:t>Текущее десятилетие провозглашено Десятилетием прав ребенка СААРК.  На состоявшейся в мае 2002 года сессии СААРК была принята Конвенция СААРК о региональных механизмах содействия обеспечению благополучия детей в Южной Азии.  Индия подписала и ратифицировала эту Конвенцию.  В 2003 году Индия подписала также Социальную хартию СААРК, охватывающую широкий круг целей, которые должны быть достигнуты в регионе в области искоренения нищеты, стабилизации населения, расширения прав и возможностей женщин, мобилизации молодежи, развития людских ресурсов, охраны здоровья, а также питания и защиты детей.</w:t>
      </w:r>
    </w:p>
    <w:p w:rsidR="00000000" w:rsidRDefault="00000000">
      <w:pPr>
        <w:pStyle w:val="112"/>
        <w:spacing w:before="200"/>
      </w:pPr>
      <w:r>
        <w:t>289.</w:t>
      </w:r>
      <w:r>
        <w:tab/>
        <w:t>По велению времени конституционные положения и законодательные акты страны, касающиеся детей, регулярно пересматриваются, и в случае необходимости в них вносятся поправки и дополнения.  Например, для включения положения о бесплатном обязательном образовании детей в возрасте от 6 до 14 лет была добавлена статья 21 А Конституции.  Чтобы включить соответствующие положения, согласующиеся с положениями Конвенции о правах ребенка, ранее действовавший Закон 1986 года о ювенальной юстиции был заменен Законом 2000 года о ювенальной юстиции (защита детей и уход за ними).</w:t>
      </w:r>
    </w:p>
    <w:p w:rsidR="00000000" w:rsidRDefault="00000000">
      <w:pPr>
        <w:pStyle w:val="112"/>
        <w:spacing w:before="200"/>
      </w:pPr>
      <w:r>
        <w:t>290.</w:t>
      </w:r>
      <w:r>
        <w:tab/>
        <w:t>Министерство социальной справедливости и расширения прав и возможностей осуществляет под эгидой Бюро социальной защиты программу под названием "Национальная инициатива по защите ребенка" в целях повышения уровня информированности о правах ребенка среди различных слоев общества.</w:t>
      </w:r>
    </w:p>
    <w:p w:rsidR="00000000" w:rsidRDefault="00000000">
      <w:pPr>
        <w:pStyle w:val="112"/>
        <w:spacing w:before="200" w:after="120"/>
      </w:pPr>
      <w:r>
        <w:t>291.</w:t>
      </w:r>
      <w:r>
        <w:tab/>
        <w:t>Как уже отмечалось ранее, при обычных обстоятельствах дети в Индии достигают совершеннолетия в 18 лет, а в тех случаях, когда суд назначает ребенку опекуна, – в 21 год.  Минимальный возраст наступления дееспособности в различных законодательных актах определен для разных целей следующим образом:</w:t>
      </w:r>
    </w:p>
    <w:p w:rsidR="00000000" w:rsidRDefault="00000000">
      <w:pPr>
        <w:pStyle w:val="112"/>
        <w:spacing w:before="200" w:after="120"/>
      </w:pPr>
      <w:r>
        <w:br w:type="page"/>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81"/>
        <w:gridCol w:w="2434"/>
        <w:gridCol w:w="113"/>
        <w:gridCol w:w="2411"/>
      </w:tblGrid>
      <w:tr w:rsidR="00000000">
        <w:tblPrEx>
          <w:tblCellMar>
            <w:top w:w="0" w:type="dxa"/>
            <w:bottom w:w="0" w:type="dxa"/>
          </w:tblCellMar>
        </w:tblPrEx>
        <w:trPr>
          <w:cantSplit/>
          <w:jc w:val="center"/>
        </w:trPr>
        <w:tc>
          <w:tcPr>
            <w:tcW w:w="9639" w:type="dxa"/>
            <w:gridSpan w:val="4"/>
          </w:tcPr>
          <w:p w:rsidR="00000000" w:rsidRDefault="00000000">
            <w:pPr>
              <w:pStyle w:val="BodyText2"/>
              <w:spacing w:before="20" w:after="20" w:line="240" w:lineRule="auto"/>
              <w:jc w:val="center"/>
              <w:rPr>
                <w:sz w:val="18"/>
                <w:szCs w:val="20"/>
                <w:lang w:val="ru-RU"/>
              </w:rPr>
            </w:pPr>
            <w:r>
              <w:rPr>
                <w:sz w:val="18"/>
                <w:szCs w:val="20"/>
                <w:lang w:val="ru-RU"/>
              </w:rPr>
              <w:t>Минимальный возраст наступления дееспособности в соответствии с национальным законодательством</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rPr>
                <w:sz w:val="18"/>
                <w:szCs w:val="20"/>
                <w:lang w:val="ru-RU"/>
              </w:rPr>
            </w:pPr>
          </w:p>
        </w:tc>
        <w:tc>
          <w:tcPr>
            <w:tcW w:w="4958" w:type="dxa"/>
            <w:gridSpan w:val="3"/>
          </w:tcPr>
          <w:p w:rsidR="00000000" w:rsidRDefault="00000000">
            <w:pPr>
              <w:pStyle w:val="BodyText2"/>
              <w:spacing w:before="20" w:after="20" w:line="240" w:lineRule="auto"/>
              <w:jc w:val="center"/>
              <w:rPr>
                <w:sz w:val="18"/>
                <w:szCs w:val="20"/>
                <w:lang w:val="ru-RU"/>
              </w:rPr>
            </w:pPr>
            <w:r>
              <w:rPr>
                <w:sz w:val="18"/>
                <w:szCs w:val="20"/>
                <w:lang w:val="ru-RU"/>
              </w:rPr>
              <w:t>Возраст (в годах)</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rPr>
                <w:sz w:val="18"/>
                <w:szCs w:val="20"/>
                <w:lang w:val="ru-RU"/>
              </w:rPr>
            </w:pPr>
          </w:p>
        </w:tc>
        <w:tc>
          <w:tcPr>
            <w:tcW w:w="2434" w:type="dxa"/>
          </w:tcPr>
          <w:p w:rsidR="00000000" w:rsidRDefault="00000000">
            <w:pPr>
              <w:pStyle w:val="BodyText2"/>
              <w:spacing w:before="20" w:after="20" w:line="240" w:lineRule="auto"/>
              <w:jc w:val="center"/>
              <w:rPr>
                <w:sz w:val="18"/>
                <w:szCs w:val="20"/>
                <w:lang w:val="ru-RU"/>
              </w:rPr>
            </w:pPr>
            <w:r>
              <w:rPr>
                <w:sz w:val="18"/>
                <w:szCs w:val="20"/>
                <w:lang w:val="ru-RU"/>
              </w:rPr>
              <w:t>Мальчики</w:t>
            </w:r>
          </w:p>
        </w:tc>
        <w:tc>
          <w:tcPr>
            <w:tcW w:w="2524" w:type="dxa"/>
            <w:gridSpan w:val="2"/>
          </w:tcPr>
          <w:p w:rsidR="00000000" w:rsidRDefault="00000000">
            <w:pPr>
              <w:pStyle w:val="BodyText2"/>
              <w:spacing w:before="20" w:after="20" w:line="240" w:lineRule="auto"/>
              <w:jc w:val="center"/>
              <w:rPr>
                <w:sz w:val="18"/>
                <w:szCs w:val="20"/>
                <w:lang w:val="ru-RU"/>
              </w:rPr>
            </w:pPr>
            <w:r>
              <w:rPr>
                <w:sz w:val="18"/>
                <w:szCs w:val="20"/>
                <w:lang w:val="ru-RU"/>
              </w:rPr>
              <w:t>Девочки</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Завершение обязательного образования*</w:t>
            </w:r>
          </w:p>
        </w:tc>
        <w:tc>
          <w:tcPr>
            <w:tcW w:w="2434" w:type="dxa"/>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524" w:type="dxa"/>
            <w:gridSpan w:val="2"/>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Вступление в брак*</w:t>
            </w:r>
          </w:p>
        </w:tc>
        <w:tc>
          <w:tcPr>
            <w:tcW w:w="2434" w:type="dxa"/>
          </w:tcPr>
          <w:p w:rsidR="00000000" w:rsidRDefault="00000000">
            <w:pPr>
              <w:pStyle w:val="BodyText2"/>
              <w:spacing w:before="20" w:after="20" w:line="240" w:lineRule="auto"/>
              <w:jc w:val="center"/>
              <w:rPr>
                <w:sz w:val="18"/>
                <w:szCs w:val="20"/>
                <w:lang w:val="ru-RU"/>
              </w:rPr>
            </w:pPr>
            <w:r>
              <w:rPr>
                <w:sz w:val="18"/>
                <w:szCs w:val="20"/>
                <w:lang w:val="ru-RU"/>
              </w:rPr>
              <w:t>21</w:t>
            </w:r>
          </w:p>
        </w:tc>
        <w:tc>
          <w:tcPr>
            <w:tcW w:w="2524" w:type="dxa"/>
            <w:gridSpan w:val="2"/>
          </w:tcPr>
          <w:p w:rsidR="00000000" w:rsidRDefault="00000000">
            <w:pPr>
              <w:pStyle w:val="BodyText2"/>
              <w:spacing w:before="20" w:after="20" w:line="240" w:lineRule="auto"/>
              <w:jc w:val="center"/>
              <w:rPr>
                <w:sz w:val="18"/>
                <w:szCs w:val="20"/>
                <w:lang w:val="ru-RU"/>
              </w:rPr>
            </w:pPr>
            <w:r>
              <w:rPr>
                <w:sz w:val="18"/>
                <w:szCs w:val="20"/>
                <w:lang w:val="ru-RU"/>
              </w:rPr>
              <w:t>18</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Половое совершеннолетие**</w:t>
            </w:r>
          </w:p>
        </w:tc>
        <w:tc>
          <w:tcPr>
            <w:tcW w:w="2434" w:type="dxa"/>
          </w:tcPr>
          <w:p w:rsidR="00000000" w:rsidRDefault="00000000">
            <w:pPr>
              <w:pStyle w:val="BodyText2"/>
              <w:spacing w:before="20" w:after="20" w:line="240" w:lineRule="auto"/>
              <w:jc w:val="center"/>
              <w:rPr>
                <w:sz w:val="18"/>
                <w:szCs w:val="20"/>
                <w:lang w:val="ru-RU"/>
              </w:rPr>
            </w:pPr>
            <w:r>
              <w:rPr>
                <w:sz w:val="18"/>
                <w:szCs w:val="20"/>
                <w:lang w:val="ru-RU"/>
              </w:rPr>
              <w:t>Не установлен</w:t>
            </w:r>
          </w:p>
        </w:tc>
        <w:tc>
          <w:tcPr>
            <w:tcW w:w="2524" w:type="dxa"/>
            <w:gridSpan w:val="2"/>
            <w:vAlign w:val="center"/>
          </w:tcPr>
          <w:p w:rsidR="00000000" w:rsidRDefault="00000000">
            <w:pPr>
              <w:pStyle w:val="BodyText2"/>
              <w:spacing w:before="20" w:after="20" w:line="240" w:lineRule="auto"/>
              <w:jc w:val="center"/>
              <w:rPr>
                <w:sz w:val="18"/>
                <w:szCs w:val="20"/>
                <w:lang w:val="ru-RU"/>
              </w:rPr>
            </w:pPr>
            <w:r>
              <w:rPr>
                <w:sz w:val="18"/>
                <w:szCs w:val="20"/>
                <w:lang w:val="ru-RU"/>
              </w:rPr>
              <w:t>16</w:t>
            </w:r>
            <w:r>
              <w:rPr>
                <w:sz w:val="18"/>
                <w:szCs w:val="20"/>
                <w:lang w:val="ru-RU"/>
              </w:rPr>
              <w:br/>
              <w:t>(раздел 375 Индийского уголовного кодекса)</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Добровольное поступление на военную службу*</w:t>
            </w:r>
          </w:p>
        </w:tc>
        <w:tc>
          <w:tcPr>
            <w:tcW w:w="4958" w:type="dxa"/>
            <w:gridSpan w:val="3"/>
            <w:vAlign w:val="center"/>
          </w:tcPr>
          <w:p w:rsidR="00000000" w:rsidRDefault="00000000">
            <w:pPr>
              <w:pStyle w:val="BodyText2"/>
              <w:spacing w:before="20" w:after="20" w:line="240" w:lineRule="auto"/>
              <w:jc w:val="center"/>
              <w:rPr>
                <w:sz w:val="18"/>
                <w:szCs w:val="20"/>
                <w:lang w:val="ru-RU"/>
              </w:rPr>
            </w:pPr>
            <w:r>
              <w:rPr>
                <w:sz w:val="18"/>
                <w:szCs w:val="20"/>
                <w:lang w:val="ru-RU"/>
              </w:rPr>
              <w:t>17 ½</w:t>
            </w:r>
          </w:p>
          <w:p w:rsidR="00000000" w:rsidRDefault="00000000">
            <w:pPr>
              <w:pStyle w:val="BodyText2"/>
              <w:spacing w:before="20" w:after="20" w:line="240" w:lineRule="auto"/>
              <w:ind w:left="57" w:right="57"/>
              <w:jc w:val="both"/>
              <w:rPr>
                <w:sz w:val="18"/>
                <w:szCs w:val="20"/>
                <w:lang w:val="ru-RU"/>
              </w:rPr>
            </w:pPr>
            <w:r>
              <w:rPr>
                <w:sz w:val="18"/>
                <w:szCs w:val="20"/>
                <w:lang w:val="ru-RU"/>
              </w:rPr>
              <w:t>С августа 2004 года.  Ранее было 16 лет.  Лицо может принимать участие в активных боевых действиях лишь по достижении 18 лет.</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Уголовная ответственность</w:t>
            </w:r>
          </w:p>
        </w:tc>
        <w:tc>
          <w:tcPr>
            <w:tcW w:w="4958" w:type="dxa"/>
            <w:gridSpan w:val="3"/>
            <w:vAlign w:val="center"/>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В соответствии с разделом 83 Индийского уголовного кодекса, ничто не может считаться преступлением, если деяние совершено ребенком в возрасте от 7 до </w:t>
            </w:r>
            <w:r>
              <w:rPr>
                <w:sz w:val="18"/>
                <w:szCs w:val="20"/>
                <w:lang w:val="ru-RU"/>
              </w:rPr>
              <w:br/>
              <w:t>12 лет, который не достиг достаточной зрелости, чтобы оценивать характер и последствия своего поведения в том или ином случае.  Можно отметить, что в соответствии с разделом 82 Индийского уголовного кодекса, дети в возрасте до 7 лет считаются неспособными совершить уголовное преступление.</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Преступления, совершенные несовершеннолетним</w:t>
            </w:r>
          </w:p>
        </w:tc>
        <w:tc>
          <w:tcPr>
            <w:tcW w:w="4958" w:type="dxa"/>
            <w:gridSpan w:val="3"/>
            <w:vAlign w:val="center"/>
          </w:tcPr>
          <w:p w:rsidR="00000000" w:rsidRDefault="00000000">
            <w:pPr>
              <w:pStyle w:val="BodyText2"/>
              <w:spacing w:before="20" w:after="20" w:line="240" w:lineRule="auto"/>
              <w:ind w:left="57" w:right="57"/>
              <w:jc w:val="center"/>
              <w:rPr>
                <w:sz w:val="18"/>
                <w:szCs w:val="20"/>
                <w:lang w:val="ru-RU"/>
              </w:rPr>
            </w:pPr>
            <w:r>
              <w:rPr>
                <w:sz w:val="18"/>
                <w:szCs w:val="20"/>
                <w:lang w:val="ru-RU"/>
              </w:rPr>
              <w:t>18</w:t>
            </w:r>
          </w:p>
          <w:p w:rsidR="00000000" w:rsidRDefault="00000000">
            <w:pPr>
              <w:pStyle w:val="BodyText2"/>
              <w:spacing w:before="20" w:after="20" w:line="240" w:lineRule="auto"/>
              <w:ind w:left="57" w:right="57"/>
              <w:jc w:val="both"/>
              <w:rPr>
                <w:sz w:val="18"/>
                <w:szCs w:val="20"/>
                <w:lang w:val="ru-RU"/>
              </w:rPr>
            </w:pPr>
            <w:r>
              <w:rPr>
                <w:sz w:val="18"/>
                <w:szCs w:val="20"/>
                <w:lang w:val="ru-RU"/>
              </w:rPr>
              <w:t>Закон о ювенальной юстиции и защите детей 2000 года.</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Смертная казнь, пожизненное заключение*</w:t>
            </w:r>
          </w:p>
        </w:tc>
        <w:tc>
          <w:tcPr>
            <w:tcW w:w="4958" w:type="dxa"/>
            <w:gridSpan w:val="3"/>
          </w:tcPr>
          <w:p w:rsidR="00000000" w:rsidRDefault="00000000">
            <w:pPr>
              <w:pStyle w:val="BodyText2"/>
              <w:spacing w:before="20" w:after="20" w:line="240" w:lineRule="auto"/>
              <w:jc w:val="center"/>
              <w:rPr>
                <w:sz w:val="18"/>
                <w:szCs w:val="20"/>
                <w:lang w:val="ru-RU"/>
              </w:rPr>
            </w:pPr>
            <w:r>
              <w:rPr>
                <w:sz w:val="18"/>
                <w:szCs w:val="20"/>
                <w:lang w:val="ru-RU"/>
              </w:rPr>
              <w:t>18</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rPr>
                <w:sz w:val="18"/>
                <w:szCs w:val="20"/>
                <w:lang w:val="ru-RU"/>
              </w:rPr>
            </w:pPr>
            <w:r>
              <w:rPr>
                <w:sz w:val="18"/>
                <w:szCs w:val="20"/>
                <w:lang w:val="ru-RU"/>
              </w:rPr>
              <w:t>Дача показаний в суде по гражданским и уголовным делам*</w:t>
            </w:r>
          </w:p>
        </w:tc>
        <w:tc>
          <w:tcPr>
            <w:tcW w:w="4958" w:type="dxa"/>
            <w:gridSpan w:val="3"/>
            <w:vAlign w:val="center"/>
          </w:tcPr>
          <w:p w:rsidR="00000000" w:rsidRDefault="00000000">
            <w:pPr>
              <w:pStyle w:val="BodyText2"/>
              <w:spacing w:before="20" w:after="20" w:line="240" w:lineRule="auto"/>
              <w:ind w:left="57" w:right="57"/>
              <w:jc w:val="both"/>
              <w:rPr>
                <w:sz w:val="18"/>
                <w:szCs w:val="20"/>
                <w:lang w:val="ru-RU"/>
              </w:rPr>
            </w:pPr>
            <w:r>
              <w:rPr>
                <w:sz w:val="18"/>
                <w:szCs w:val="20"/>
                <w:lang w:val="ru-RU"/>
              </w:rPr>
              <w:t>В разделе 118 индийского Закона о свидетельских показаниях говорится, что все лица правомочны давать показания, если только суд не сочтет, что они не в состоянии понять заданный им вопрос или дать внятные ответы на поставленные вопросы в силу юного возраста, преклонного возраста, болезней души и тела или любой иной аналогичной причины.</w:t>
            </w:r>
          </w:p>
        </w:tc>
      </w:tr>
      <w:tr w:rsidR="00000000">
        <w:tblPrEx>
          <w:tblCellMar>
            <w:top w:w="0" w:type="dxa"/>
            <w:bottom w:w="0" w:type="dxa"/>
          </w:tblCellMar>
        </w:tblPrEx>
        <w:trPr>
          <w:cantSplit/>
          <w:jc w:val="center"/>
        </w:trPr>
        <w:tc>
          <w:tcPr>
            <w:tcW w:w="4681" w:type="dxa"/>
          </w:tcPr>
          <w:p w:rsidR="00000000" w:rsidRDefault="00000000">
            <w:pPr>
              <w:pStyle w:val="BodyText2"/>
              <w:spacing w:before="20" w:after="20" w:line="240" w:lineRule="auto"/>
              <w:ind w:left="57" w:right="57"/>
              <w:jc w:val="both"/>
              <w:rPr>
                <w:sz w:val="18"/>
                <w:szCs w:val="20"/>
                <w:lang w:val="ru-RU"/>
              </w:rPr>
            </w:pPr>
            <w:r>
              <w:rPr>
                <w:sz w:val="18"/>
                <w:szCs w:val="20"/>
                <w:lang w:val="ru-RU"/>
              </w:rPr>
              <w:t>Обращение в суд или иную инстанцию с жалобами с требованиями возмещения без родительского согласия и участие в разбирательствах, касающихся ребенка*</w:t>
            </w:r>
          </w:p>
        </w:tc>
        <w:tc>
          <w:tcPr>
            <w:tcW w:w="4958" w:type="dxa"/>
            <w:gridSpan w:val="3"/>
            <w:vAlign w:val="center"/>
          </w:tcPr>
          <w:p w:rsidR="00000000" w:rsidRDefault="00000000">
            <w:pPr>
              <w:pStyle w:val="BodyText2"/>
              <w:spacing w:before="20" w:after="20" w:line="240" w:lineRule="auto"/>
              <w:jc w:val="center"/>
              <w:rPr>
                <w:sz w:val="18"/>
                <w:szCs w:val="20"/>
                <w:lang w:val="ru-RU"/>
              </w:rPr>
            </w:pPr>
            <w:r>
              <w:rPr>
                <w:sz w:val="18"/>
                <w:szCs w:val="20"/>
                <w:lang w:val="ru-RU"/>
              </w:rPr>
              <w:t>Минимальный возраст не установлен.</w:t>
            </w:r>
          </w:p>
        </w:tc>
      </w:tr>
      <w:tr w:rsidR="00000000">
        <w:tblPrEx>
          <w:tblCellMar>
            <w:top w:w="0" w:type="dxa"/>
            <w:bottom w:w="0" w:type="dxa"/>
          </w:tblCellMar>
        </w:tblPrEx>
        <w:trPr>
          <w:cantSplit/>
          <w:jc w:val="center"/>
        </w:trPr>
        <w:tc>
          <w:tcPr>
            <w:tcW w:w="4681" w:type="dxa"/>
            <w:tcBorders>
              <w:bottom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Правоспособность заключать договоры и сделки, связанные с имуществом</w:t>
            </w:r>
          </w:p>
        </w:tc>
        <w:tc>
          <w:tcPr>
            <w:tcW w:w="4958" w:type="dxa"/>
            <w:gridSpan w:val="3"/>
            <w:vAlign w:val="center"/>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В разделе 11 индийского Закона о договорах 1872 года говорится, что лицо правомочно заключать договоры </w:t>
            </w:r>
            <w:r>
              <w:rPr>
                <w:spacing w:val="-2"/>
                <w:sz w:val="18"/>
                <w:szCs w:val="20"/>
                <w:lang w:val="ru-RU"/>
              </w:rPr>
              <w:t>лишь в том случае, если оно является совершеннолет-</w:t>
            </w:r>
            <w:r>
              <w:rPr>
                <w:spacing w:val="-2"/>
                <w:sz w:val="18"/>
                <w:szCs w:val="20"/>
                <w:lang w:val="ru-RU"/>
              </w:rPr>
              <w:br/>
              <w:t>ним</w:t>
            </w:r>
            <w:r>
              <w:rPr>
                <w:sz w:val="18"/>
                <w:szCs w:val="20"/>
                <w:lang w:val="ru-RU"/>
              </w:rPr>
              <w:t xml:space="preserve"> и находится в здравом уме.</w:t>
            </w:r>
          </w:p>
        </w:tc>
      </w:tr>
      <w:tr w:rsidR="00000000">
        <w:tblPrEx>
          <w:tblCellMar>
            <w:top w:w="0" w:type="dxa"/>
            <w:bottom w:w="0" w:type="dxa"/>
          </w:tblCellMar>
        </w:tblPrEx>
        <w:trPr>
          <w:cantSplit/>
          <w:jc w:val="center"/>
        </w:trPr>
        <w:tc>
          <w:tcPr>
            <w:tcW w:w="4681" w:type="dxa"/>
            <w:tcBorders>
              <w:bottom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Потребление алкоголя и других регулируемых веществ**</w:t>
            </w:r>
          </w:p>
        </w:tc>
        <w:tc>
          <w:tcPr>
            <w:tcW w:w="2547" w:type="dxa"/>
            <w:gridSpan w:val="2"/>
            <w:tcBorders>
              <w:bottom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21</w:t>
            </w:r>
          </w:p>
        </w:tc>
        <w:tc>
          <w:tcPr>
            <w:tcW w:w="2411" w:type="dxa"/>
            <w:tcBorders>
              <w:bottom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21</w:t>
            </w:r>
          </w:p>
        </w:tc>
      </w:tr>
      <w:tr w:rsidR="00000000">
        <w:tblPrEx>
          <w:tblCellMar>
            <w:top w:w="0" w:type="dxa"/>
            <w:bottom w:w="0" w:type="dxa"/>
          </w:tblCellMar>
        </w:tblPrEx>
        <w:trPr>
          <w:cantSplit/>
          <w:jc w:val="center"/>
        </w:trPr>
        <w:tc>
          <w:tcPr>
            <w:tcW w:w="4681" w:type="dxa"/>
            <w:tcBorders>
              <w:top w:val="single" w:sz="4" w:space="0" w:color="auto"/>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Прием на службу или на работу, включая опасные виды работы, работу неполный и полный рабочий день*</w:t>
            </w:r>
          </w:p>
        </w:tc>
        <w:tc>
          <w:tcPr>
            <w:tcW w:w="2547" w:type="dxa"/>
            <w:gridSpan w:val="2"/>
            <w:tcBorders>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p>
        </w:tc>
        <w:tc>
          <w:tcPr>
            <w:tcW w:w="2411" w:type="dxa"/>
            <w:tcBorders>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rPr>
                <w:sz w:val="18"/>
                <w:szCs w:val="20"/>
                <w:lang w:val="ru-RU"/>
              </w:rPr>
            </w:pPr>
            <w:r>
              <w:rPr>
                <w:sz w:val="18"/>
                <w:szCs w:val="20"/>
                <w:lang w:val="ru-RU"/>
              </w:rPr>
              <w:t xml:space="preserve">Закон 1986 года о детском труде (запрет и регулирование) </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Закон 1956 года о шахтах</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18</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18</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Закон 1958 года о торговом судоходстве</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Закон 1961 года об автотранспортных рабочих </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Закон 1961 года о подмастерьях </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rPr>
                <w:sz w:val="18"/>
                <w:szCs w:val="20"/>
                <w:lang w:val="ru-RU"/>
              </w:rPr>
            </w:pPr>
            <w:r>
              <w:rPr>
                <w:sz w:val="18"/>
                <w:szCs w:val="20"/>
                <w:lang w:val="ru-RU"/>
              </w:rPr>
              <w:t xml:space="preserve">Закон 1966 года о работниках табачной промышленности </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nil"/>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Закон 1951 года о работниках плантаций </w:t>
            </w:r>
          </w:p>
        </w:tc>
        <w:tc>
          <w:tcPr>
            <w:tcW w:w="2547" w:type="dxa"/>
            <w:gridSpan w:val="2"/>
            <w:tcBorders>
              <w:top w:val="nil"/>
              <w:left w:val="single" w:sz="4" w:space="0" w:color="auto"/>
              <w:bottom w:val="nil"/>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bottom w:val="nil"/>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r w:rsidR="00000000">
        <w:tblPrEx>
          <w:tblCellMar>
            <w:top w:w="0" w:type="dxa"/>
            <w:bottom w:w="0" w:type="dxa"/>
          </w:tblCellMar>
        </w:tblPrEx>
        <w:trPr>
          <w:cantSplit/>
          <w:jc w:val="center"/>
        </w:trPr>
        <w:tc>
          <w:tcPr>
            <w:tcW w:w="4681" w:type="dxa"/>
            <w:tcBorders>
              <w:top w:val="nil"/>
              <w:left w:val="single" w:sz="4" w:space="0" w:color="auto"/>
              <w:bottom w:val="single" w:sz="4" w:space="0" w:color="auto"/>
              <w:right w:val="single" w:sz="4" w:space="0" w:color="auto"/>
            </w:tcBorders>
          </w:tcPr>
          <w:p w:rsidR="00000000" w:rsidRDefault="00000000">
            <w:pPr>
              <w:pStyle w:val="BodyText2"/>
              <w:spacing w:before="20" w:after="20" w:line="240" w:lineRule="auto"/>
              <w:ind w:left="57" w:right="57"/>
              <w:jc w:val="both"/>
              <w:rPr>
                <w:sz w:val="18"/>
                <w:szCs w:val="20"/>
                <w:lang w:val="ru-RU"/>
              </w:rPr>
            </w:pPr>
            <w:r>
              <w:rPr>
                <w:sz w:val="18"/>
                <w:szCs w:val="20"/>
                <w:lang w:val="ru-RU"/>
              </w:rPr>
              <w:t xml:space="preserve">Закон 1948 года о фабриках </w:t>
            </w:r>
          </w:p>
        </w:tc>
        <w:tc>
          <w:tcPr>
            <w:tcW w:w="2547" w:type="dxa"/>
            <w:gridSpan w:val="2"/>
            <w:tcBorders>
              <w:top w:val="nil"/>
              <w:left w:val="single" w:sz="4" w:space="0" w:color="auto"/>
              <w:righ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c>
          <w:tcPr>
            <w:tcW w:w="2411" w:type="dxa"/>
            <w:tcBorders>
              <w:top w:val="nil"/>
              <w:left w:val="single" w:sz="4" w:space="0" w:color="auto"/>
            </w:tcBorders>
            <w:vAlign w:val="center"/>
          </w:tcPr>
          <w:p w:rsidR="00000000" w:rsidRDefault="00000000">
            <w:pPr>
              <w:pStyle w:val="BodyText2"/>
              <w:spacing w:before="20" w:after="20" w:line="240" w:lineRule="auto"/>
              <w:jc w:val="center"/>
              <w:rPr>
                <w:sz w:val="18"/>
                <w:szCs w:val="20"/>
                <w:lang w:val="ru-RU"/>
              </w:rPr>
            </w:pPr>
            <w:r>
              <w:rPr>
                <w:sz w:val="18"/>
                <w:szCs w:val="20"/>
                <w:lang w:val="ru-RU"/>
              </w:rPr>
              <w:t>14</w:t>
            </w:r>
          </w:p>
        </w:tc>
      </w:tr>
    </w:tbl>
    <w:p w:rsidR="00000000" w:rsidRDefault="00000000">
      <w:pPr>
        <w:pStyle w:val="a3"/>
        <w:spacing w:before="120" w:after="120"/>
        <w:rPr>
          <w:b/>
        </w:rPr>
      </w:pPr>
      <w:r>
        <w:rPr>
          <w:b/>
        </w:rPr>
        <w:t>Источник:</w:t>
      </w:r>
    </w:p>
    <w:p w:rsidR="00000000" w:rsidRDefault="00000000">
      <w:pPr>
        <w:pStyle w:val="a3"/>
        <w:tabs>
          <w:tab w:val="left" w:pos="360"/>
        </w:tabs>
        <w:jc w:val="both"/>
      </w:pPr>
      <w:r>
        <w:t xml:space="preserve">* </w:t>
      </w:r>
      <w:r>
        <w:tab/>
        <w:t>NI/PC/SAP/132/2000/908 от 31 июля 2000 года, Национальный институт общественного сотрудничества и развития ребенка, правительство Индии.</w:t>
      </w:r>
    </w:p>
    <w:p w:rsidR="00000000" w:rsidRDefault="00000000">
      <w:pPr>
        <w:pStyle w:val="a3"/>
        <w:tabs>
          <w:tab w:val="left" w:pos="360"/>
        </w:tabs>
        <w:jc w:val="both"/>
      </w:pPr>
      <w:r>
        <w:t>**</w:t>
      </w:r>
      <w:r>
        <w:tab/>
        <w:t>Ответы на перечень вопросов, поднятых Комитетом Организации Объединенных Наций по Конвенции о правах ребенка, Департамент развития женщин и детей, правительство Индии.</w:t>
      </w:r>
    </w:p>
    <w:p w:rsidR="00000000" w:rsidRDefault="00000000">
      <w:pPr>
        <w:pStyle w:val="BodyText2"/>
        <w:spacing w:line="240" w:lineRule="auto"/>
        <w:rPr>
          <w:lang w:val="ru-RU"/>
        </w:rPr>
      </w:pPr>
    </w:p>
    <w:p w:rsidR="00000000" w:rsidRDefault="00000000">
      <w:pPr>
        <w:keepNext/>
        <w:spacing w:before="240"/>
        <w:jc w:val="both"/>
        <w:rPr>
          <w:b/>
          <w:bCs/>
          <w:sz w:val="22"/>
          <w:szCs w:val="22"/>
        </w:rPr>
      </w:pPr>
      <w:r>
        <w:rPr>
          <w:b/>
          <w:bCs/>
          <w:sz w:val="22"/>
          <w:szCs w:val="22"/>
        </w:rPr>
        <w:t>Детский труд</w:t>
      </w:r>
    </w:p>
    <w:p w:rsidR="00000000" w:rsidRDefault="00000000">
      <w:pPr>
        <w:pStyle w:val="112"/>
        <w:keepNext/>
      </w:pPr>
      <w:r>
        <w:t>292.</w:t>
      </w:r>
      <w:r>
        <w:tab/>
        <w:t>Индия привержена цели ликвидации детского труда, хотя страну критикуют за то, что в ней очень много работающих детей.  Индия всегда инициативно занималась проблемой детского труда и выступала за ее решение путем принятия мер в рамках Конституции и законов и в области развития.  Конституция Индии запрещает принудительный труд и занятость детей в возрасте до 14 лет на фабриках или шахтах или на других опасных работах.</w:t>
      </w:r>
    </w:p>
    <w:p w:rsidR="00000000" w:rsidRDefault="00000000">
      <w:pPr>
        <w:pStyle w:val="112"/>
        <w:spacing w:after="240"/>
        <w:rPr>
          <w:lang w:val="en-US"/>
        </w:rPr>
      </w:pPr>
      <w:r>
        <w:t>293.</w:t>
      </w:r>
      <w:r>
        <w:tab/>
        <w:t>Индия ратифицировала шесть конвенций МОТ, касающихся детского труда.</w:t>
      </w:r>
    </w:p>
    <w:tbl>
      <w:tblPr>
        <w:tblW w:w="0" w:type="auto"/>
        <w:tblLayout w:type="fixed"/>
        <w:tblLook w:val="0000" w:firstRow="0" w:lastRow="0" w:firstColumn="0" w:lastColumn="0" w:noHBand="0" w:noVBand="0"/>
      </w:tblPr>
      <w:tblGrid>
        <w:gridCol w:w="491"/>
        <w:gridCol w:w="6456"/>
        <w:gridCol w:w="2503"/>
      </w:tblGrid>
      <w:tr w:rsidR="00000000">
        <w:tblPrEx>
          <w:tblCellMar>
            <w:top w:w="0" w:type="dxa"/>
            <w:bottom w:w="0" w:type="dxa"/>
          </w:tblCellMar>
        </w:tblPrEx>
        <w:tc>
          <w:tcPr>
            <w:tcW w:w="491" w:type="dxa"/>
          </w:tcPr>
          <w:p w:rsidR="00000000" w:rsidRDefault="00000000">
            <w:pPr>
              <w:pStyle w:val="112"/>
              <w:widowControl w:val="0"/>
              <w:tabs>
                <w:tab w:val="clear" w:pos="680"/>
                <w:tab w:val="clear" w:pos="1134"/>
              </w:tabs>
              <w:spacing w:before="0"/>
              <w:rPr>
                <w:szCs w:val="22"/>
                <w:lang w:val="en-US"/>
              </w:rPr>
            </w:pPr>
          </w:p>
        </w:tc>
        <w:tc>
          <w:tcPr>
            <w:tcW w:w="6456" w:type="dxa"/>
          </w:tcPr>
          <w:p w:rsidR="00000000" w:rsidRDefault="00000000">
            <w:pPr>
              <w:pageBreakBefore/>
              <w:widowControl w:val="0"/>
              <w:jc w:val="both"/>
              <w:rPr>
                <w:b/>
                <w:bCs/>
                <w:sz w:val="22"/>
                <w:szCs w:val="22"/>
                <w:lang w:val="en-US"/>
              </w:rPr>
            </w:pPr>
            <w:r>
              <w:rPr>
                <w:b/>
                <w:bCs/>
                <w:sz w:val="22"/>
                <w:szCs w:val="22"/>
              </w:rPr>
              <w:t>Конвенция</w:t>
            </w:r>
          </w:p>
          <w:p w:rsidR="00000000" w:rsidRDefault="00000000">
            <w:pPr>
              <w:pageBreakBefore/>
              <w:widowControl w:val="0"/>
              <w:jc w:val="both"/>
              <w:rPr>
                <w:b/>
                <w:bCs/>
                <w:sz w:val="22"/>
                <w:szCs w:val="22"/>
                <w:lang w:val="en-US"/>
              </w:rPr>
            </w:pPr>
          </w:p>
        </w:tc>
        <w:tc>
          <w:tcPr>
            <w:tcW w:w="2503" w:type="dxa"/>
          </w:tcPr>
          <w:p w:rsidR="00000000" w:rsidRDefault="00000000">
            <w:pPr>
              <w:pageBreakBefore/>
              <w:widowControl w:val="0"/>
              <w:jc w:val="both"/>
              <w:rPr>
                <w:b/>
                <w:bCs/>
                <w:sz w:val="22"/>
                <w:szCs w:val="22"/>
              </w:rPr>
            </w:pPr>
            <w:r>
              <w:rPr>
                <w:b/>
                <w:bCs/>
                <w:sz w:val="22"/>
                <w:szCs w:val="22"/>
              </w:rPr>
              <w:t>Год ратификации</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1.</w:t>
            </w:r>
          </w:p>
        </w:tc>
        <w:tc>
          <w:tcPr>
            <w:tcW w:w="6456" w:type="dxa"/>
          </w:tcPr>
          <w:p w:rsidR="00000000" w:rsidRDefault="00000000">
            <w:pPr>
              <w:widowControl w:val="0"/>
              <w:spacing w:before="120"/>
              <w:rPr>
                <w:sz w:val="22"/>
                <w:szCs w:val="22"/>
              </w:rPr>
            </w:pPr>
            <w:r>
              <w:rPr>
                <w:sz w:val="22"/>
                <w:szCs w:val="22"/>
              </w:rPr>
              <w:t>Конвенция 1919 года о ночном труде подростков в промышленности</w:t>
            </w:r>
          </w:p>
        </w:tc>
        <w:tc>
          <w:tcPr>
            <w:tcW w:w="2503" w:type="dxa"/>
          </w:tcPr>
          <w:p w:rsidR="00000000" w:rsidRDefault="00000000">
            <w:pPr>
              <w:widowControl w:val="0"/>
              <w:spacing w:before="120"/>
              <w:rPr>
                <w:sz w:val="22"/>
                <w:szCs w:val="22"/>
              </w:rPr>
            </w:pPr>
            <w:r>
              <w:rPr>
                <w:sz w:val="22"/>
                <w:szCs w:val="22"/>
              </w:rPr>
              <w:t>– Июль 1921 года</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2.</w:t>
            </w:r>
          </w:p>
        </w:tc>
        <w:tc>
          <w:tcPr>
            <w:tcW w:w="6456" w:type="dxa"/>
          </w:tcPr>
          <w:p w:rsidR="00000000" w:rsidRDefault="00000000">
            <w:pPr>
              <w:widowControl w:val="0"/>
              <w:rPr>
                <w:sz w:val="22"/>
                <w:szCs w:val="22"/>
              </w:rPr>
            </w:pPr>
            <w:r>
              <w:rPr>
                <w:sz w:val="22"/>
                <w:szCs w:val="22"/>
              </w:rPr>
              <w:t xml:space="preserve">Конвенция 1921 года о минимальном возрасте для грузчиков </w:t>
            </w:r>
            <w:r>
              <w:rPr>
                <w:sz w:val="22"/>
                <w:szCs w:val="22"/>
              </w:rPr>
              <w:br/>
              <w:t>угля и кочегаров во флоте</w:t>
            </w:r>
          </w:p>
        </w:tc>
        <w:tc>
          <w:tcPr>
            <w:tcW w:w="2503" w:type="dxa"/>
          </w:tcPr>
          <w:p w:rsidR="00000000" w:rsidRDefault="00000000">
            <w:pPr>
              <w:widowControl w:val="0"/>
              <w:rPr>
                <w:sz w:val="22"/>
                <w:szCs w:val="22"/>
              </w:rPr>
            </w:pPr>
            <w:r>
              <w:rPr>
                <w:sz w:val="22"/>
                <w:szCs w:val="22"/>
              </w:rPr>
              <w:t>– Ноябрь 1922 года</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3.</w:t>
            </w:r>
          </w:p>
        </w:tc>
        <w:tc>
          <w:tcPr>
            <w:tcW w:w="6456" w:type="dxa"/>
          </w:tcPr>
          <w:p w:rsidR="00000000" w:rsidRDefault="00000000">
            <w:pPr>
              <w:widowControl w:val="0"/>
              <w:rPr>
                <w:sz w:val="22"/>
                <w:szCs w:val="22"/>
              </w:rPr>
            </w:pPr>
            <w:r>
              <w:rPr>
                <w:sz w:val="22"/>
                <w:szCs w:val="22"/>
              </w:rPr>
              <w:t>Конвенция 1921 года о медицинском освидетельствовании подростков на борту судов</w:t>
            </w:r>
          </w:p>
        </w:tc>
        <w:tc>
          <w:tcPr>
            <w:tcW w:w="2503" w:type="dxa"/>
          </w:tcPr>
          <w:p w:rsidR="00000000" w:rsidRDefault="00000000">
            <w:pPr>
              <w:widowControl w:val="0"/>
              <w:rPr>
                <w:sz w:val="22"/>
                <w:szCs w:val="22"/>
              </w:rPr>
            </w:pPr>
            <w:r>
              <w:rPr>
                <w:sz w:val="22"/>
                <w:szCs w:val="22"/>
              </w:rPr>
              <w:t>– Ноябрь 1922 года</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4.</w:t>
            </w:r>
          </w:p>
        </w:tc>
        <w:tc>
          <w:tcPr>
            <w:tcW w:w="6456" w:type="dxa"/>
          </w:tcPr>
          <w:p w:rsidR="00000000" w:rsidRDefault="00000000">
            <w:pPr>
              <w:widowControl w:val="0"/>
              <w:rPr>
                <w:sz w:val="22"/>
                <w:szCs w:val="22"/>
              </w:rPr>
            </w:pPr>
            <w:r>
              <w:rPr>
                <w:sz w:val="22"/>
                <w:szCs w:val="22"/>
              </w:rPr>
              <w:t>Конвенция (пересмотренная) 1948 года о ночном труде подростков в промышленности</w:t>
            </w:r>
          </w:p>
        </w:tc>
        <w:tc>
          <w:tcPr>
            <w:tcW w:w="2503" w:type="dxa"/>
          </w:tcPr>
          <w:p w:rsidR="00000000" w:rsidRDefault="00000000">
            <w:pPr>
              <w:widowControl w:val="0"/>
              <w:rPr>
                <w:sz w:val="22"/>
                <w:szCs w:val="22"/>
              </w:rPr>
            </w:pPr>
            <w:r>
              <w:rPr>
                <w:sz w:val="22"/>
                <w:szCs w:val="22"/>
              </w:rPr>
              <w:t>– Февраль 1950 года</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5.</w:t>
            </w:r>
          </w:p>
        </w:tc>
        <w:tc>
          <w:tcPr>
            <w:tcW w:w="6456" w:type="dxa"/>
          </w:tcPr>
          <w:p w:rsidR="00000000" w:rsidRDefault="00000000">
            <w:pPr>
              <w:widowControl w:val="0"/>
              <w:rPr>
                <w:sz w:val="22"/>
                <w:szCs w:val="22"/>
              </w:rPr>
            </w:pPr>
            <w:r>
              <w:rPr>
                <w:sz w:val="22"/>
                <w:szCs w:val="22"/>
              </w:rPr>
              <w:t>Конвенция 1919 года о минимальном возрасте для приема на работу в промышленности</w:t>
            </w:r>
          </w:p>
        </w:tc>
        <w:tc>
          <w:tcPr>
            <w:tcW w:w="2503" w:type="dxa"/>
          </w:tcPr>
          <w:p w:rsidR="00000000" w:rsidRDefault="00000000">
            <w:pPr>
              <w:widowControl w:val="0"/>
              <w:rPr>
                <w:sz w:val="22"/>
                <w:szCs w:val="22"/>
              </w:rPr>
            </w:pPr>
            <w:r>
              <w:rPr>
                <w:sz w:val="22"/>
                <w:szCs w:val="22"/>
              </w:rPr>
              <w:t>– Сентябрь 1955 года</w:t>
            </w:r>
          </w:p>
        </w:tc>
      </w:tr>
      <w:tr w:rsidR="00000000">
        <w:tblPrEx>
          <w:tblCellMar>
            <w:top w:w="0" w:type="dxa"/>
            <w:bottom w:w="0" w:type="dxa"/>
          </w:tblCellMar>
        </w:tblPrEx>
        <w:tc>
          <w:tcPr>
            <w:tcW w:w="491" w:type="dxa"/>
          </w:tcPr>
          <w:p w:rsidR="00000000" w:rsidRDefault="00000000">
            <w:pPr>
              <w:widowControl w:val="0"/>
              <w:jc w:val="both"/>
              <w:rPr>
                <w:sz w:val="22"/>
                <w:szCs w:val="22"/>
              </w:rPr>
            </w:pPr>
            <w:r>
              <w:rPr>
                <w:sz w:val="22"/>
                <w:szCs w:val="22"/>
              </w:rPr>
              <w:t>6.</w:t>
            </w:r>
          </w:p>
        </w:tc>
        <w:tc>
          <w:tcPr>
            <w:tcW w:w="6456" w:type="dxa"/>
          </w:tcPr>
          <w:p w:rsidR="00000000" w:rsidRDefault="00000000">
            <w:pPr>
              <w:widowControl w:val="0"/>
              <w:rPr>
                <w:sz w:val="22"/>
                <w:szCs w:val="22"/>
              </w:rPr>
            </w:pPr>
            <w:r>
              <w:rPr>
                <w:sz w:val="22"/>
                <w:szCs w:val="22"/>
              </w:rPr>
              <w:t>Конвенция 1965 года о минимальном возрасте допуска на подземные работы</w:t>
            </w:r>
          </w:p>
        </w:tc>
        <w:tc>
          <w:tcPr>
            <w:tcW w:w="2503" w:type="dxa"/>
          </w:tcPr>
          <w:p w:rsidR="00000000" w:rsidRDefault="00000000">
            <w:pPr>
              <w:widowControl w:val="0"/>
              <w:rPr>
                <w:sz w:val="22"/>
                <w:szCs w:val="22"/>
              </w:rPr>
            </w:pPr>
            <w:r>
              <w:rPr>
                <w:sz w:val="22"/>
                <w:szCs w:val="22"/>
              </w:rPr>
              <w:t>– 1975 год.</w:t>
            </w:r>
          </w:p>
        </w:tc>
      </w:tr>
    </w:tbl>
    <w:p w:rsidR="00000000" w:rsidRDefault="00000000">
      <w:pPr>
        <w:pStyle w:val="112"/>
      </w:pPr>
      <w:r>
        <w:t>294.</w:t>
      </w:r>
      <w:r>
        <w:tab/>
        <w:t>Тем не менее, по данным переписи населения 1981 года, согласно оценкам, число работающих детей в стране составило 13,6 млн. человек.  По данным переписи населения 1991 года, эта цифра снизилась до 11,28 млн. человек.  Данные переписи 2001 года свидетельствуют о некотором увеличении числа работающих детей до 12,5 млн. человек при общей численности детей в стране, составляющей 250,2 млн. человек.</w:t>
      </w:r>
    </w:p>
    <w:p w:rsidR="00000000" w:rsidRDefault="00000000">
      <w:pPr>
        <w:pStyle w:val="112"/>
      </w:pPr>
      <w:r>
        <w:t>295.</w:t>
      </w:r>
      <w:r>
        <w:tab/>
        <w:t>Доля детского труда в составе рабочей силы составила 6% в 1981 году, 3,59% в 1991 году и 3,12% в 2001 году.  Коэффициент использования детского труда в 5,3% по данным переписи 1991 года сократился до 3,8% по данным Национальной организации по проведению выборочных обследований за 1999–2000 годы.</w:t>
      </w:r>
    </w:p>
    <w:p w:rsidR="00000000" w:rsidRDefault="00000000">
      <w:pPr>
        <w:pStyle w:val="112"/>
      </w:pPr>
      <w:r>
        <w:t>296.</w:t>
      </w:r>
      <w:r>
        <w:tab/>
        <w:t>Данные переписи населения 1991 года свидетельствуют о том, что детский труд используется главным образом в сельском хозяйстве и на связанных с ним работах.  Подробных данных о детском труде на настоящий момент нет, так как результаты переписи населения в 2001 году до сих пор до конца не обработаны.</w:t>
      </w:r>
    </w:p>
    <w:p w:rsidR="00000000" w:rsidRDefault="00000000">
      <w:pPr>
        <w:jc w:val="both"/>
        <w:rPr>
          <w:sz w:val="24"/>
        </w:rPr>
      </w:pPr>
    </w:p>
    <w:p w:rsidR="00000000" w:rsidRDefault="00000000">
      <w:pPr>
        <w:pStyle w:val="112"/>
        <w:spacing w:before="120" w:after="240"/>
        <w:jc w:val="center"/>
        <w:rPr>
          <w:b/>
          <w:bCs/>
        </w:rPr>
      </w:pPr>
      <w:r>
        <w:rPr>
          <w:b/>
          <w:bCs/>
        </w:rPr>
        <w:t xml:space="preserve">Детский труд по подсекторам (1991 год) в возрастной группе от 5 до 14 лет (в процентах) </w:t>
      </w:r>
      <w:r>
        <w:rPr>
          <w:b/>
          <w:bCs/>
        </w:rPr>
        <w:br/>
        <w:t>по всей Индии</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418"/>
        <w:gridCol w:w="1276"/>
      </w:tblGrid>
      <w:tr w:rsidR="00000000">
        <w:tblPrEx>
          <w:tblCellMar>
            <w:top w:w="0" w:type="dxa"/>
            <w:bottom w:w="0" w:type="dxa"/>
          </w:tblCellMar>
        </w:tblPrEx>
        <w:trPr>
          <w:trHeight w:val="521"/>
          <w:jc w:val="center"/>
        </w:trPr>
        <w:tc>
          <w:tcPr>
            <w:tcW w:w="3969" w:type="dxa"/>
            <w:vAlign w:val="center"/>
          </w:tcPr>
          <w:p w:rsidR="00000000" w:rsidRDefault="00000000">
            <w:pPr>
              <w:pStyle w:val="BodyText2"/>
              <w:spacing w:before="20" w:after="20" w:line="240" w:lineRule="auto"/>
              <w:rPr>
                <w:b/>
                <w:bCs/>
                <w:sz w:val="20"/>
                <w:szCs w:val="20"/>
                <w:lang w:val="ru-RU"/>
              </w:rPr>
            </w:pPr>
            <w:r>
              <w:rPr>
                <w:b/>
                <w:bCs/>
                <w:sz w:val="20"/>
                <w:szCs w:val="20"/>
                <w:lang w:val="ru-RU"/>
              </w:rPr>
              <w:t>Секторы</w:t>
            </w:r>
          </w:p>
        </w:tc>
        <w:tc>
          <w:tcPr>
            <w:tcW w:w="1418" w:type="dxa"/>
            <w:vAlign w:val="center"/>
          </w:tcPr>
          <w:p w:rsidR="00000000" w:rsidRDefault="00000000">
            <w:pPr>
              <w:pStyle w:val="BodyText2"/>
              <w:spacing w:before="20" w:after="20" w:line="240" w:lineRule="auto"/>
              <w:jc w:val="center"/>
              <w:rPr>
                <w:b/>
                <w:bCs/>
                <w:sz w:val="20"/>
                <w:szCs w:val="20"/>
                <w:lang w:val="ru-RU"/>
              </w:rPr>
            </w:pPr>
            <w:r>
              <w:rPr>
                <w:b/>
                <w:bCs/>
                <w:sz w:val="20"/>
                <w:szCs w:val="20"/>
                <w:lang w:val="ru-RU"/>
              </w:rPr>
              <w:t>Мальчики</w:t>
            </w:r>
          </w:p>
        </w:tc>
        <w:tc>
          <w:tcPr>
            <w:tcW w:w="1276" w:type="dxa"/>
            <w:vAlign w:val="center"/>
          </w:tcPr>
          <w:p w:rsidR="00000000" w:rsidRDefault="00000000">
            <w:pPr>
              <w:pStyle w:val="BodyText2"/>
              <w:spacing w:before="20" w:after="20" w:line="240" w:lineRule="auto"/>
              <w:jc w:val="center"/>
              <w:rPr>
                <w:b/>
                <w:bCs/>
                <w:sz w:val="20"/>
                <w:szCs w:val="20"/>
                <w:lang w:val="ru-RU"/>
              </w:rPr>
            </w:pPr>
            <w:r>
              <w:rPr>
                <w:b/>
                <w:bCs/>
                <w:sz w:val="20"/>
                <w:szCs w:val="20"/>
                <w:lang w:val="ru-RU"/>
              </w:rPr>
              <w:t>Девочки</w:t>
            </w:r>
          </w:p>
        </w:tc>
      </w:tr>
      <w:tr w:rsidR="00000000">
        <w:tblPrEx>
          <w:tblCellMar>
            <w:top w:w="0" w:type="dxa"/>
            <w:bottom w:w="0" w:type="dxa"/>
          </w:tblCellMar>
        </w:tblPrEx>
        <w:trPr>
          <w:jc w:val="center"/>
        </w:trPr>
        <w:tc>
          <w:tcPr>
            <w:tcW w:w="3969" w:type="dxa"/>
          </w:tcPr>
          <w:p w:rsidR="00000000" w:rsidRDefault="00000000">
            <w:pPr>
              <w:pStyle w:val="BodyText2"/>
              <w:spacing w:before="20" w:after="20" w:line="240" w:lineRule="auto"/>
              <w:rPr>
                <w:sz w:val="20"/>
                <w:szCs w:val="20"/>
                <w:lang w:val="ru-RU"/>
              </w:rPr>
            </w:pPr>
            <w:r>
              <w:rPr>
                <w:sz w:val="20"/>
                <w:szCs w:val="20"/>
                <w:lang w:val="ru-RU"/>
              </w:rPr>
              <w:t xml:space="preserve">Прополка </w:t>
            </w:r>
          </w:p>
        </w:tc>
        <w:tc>
          <w:tcPr>
            <w:tcW w:w="1418" w:type="dxa"/>
          </w:tcPr>
          <w:p w:rsidR="00000000" w:rsidRDefault="00000000">
            <w:pPr>
              <w:pStyle w:val="BodyText2"/>
              <w:tabs>
                <w:tab w:val="decimal" w:pos="567"/>
              </w:tabs>
              <w:spacing w:before="20" w:after="20" w:line="240" w:lineRule="auto"/>
              <w:rPr>
                <w:sz w:val="20"/>
                <w:szCs w:val="20"/>
                <w:lang w:val="ru-RU"/>
              </w:rPr>
            </w:pPr>
            <w:r>
              <w:rPr>
                <w:sz w:val="20"/>
                <w:szCs w:val="20"/>
                <w:lang w:val="ru-RU"/>
              </w:rPr>
              <w:t>37,9</w:t>
            </w:r>
          </w:p>
        </w:tc>
        <w:tc>
          <w:tcPr>
            <w:tcW w:w="1276" w:type="dxa"/>
          </w:tcPr>
          <w:p w:rsidR="00000000" w:rsidRDefault="00000000">
            <w:pPr>
              <w:pStyle w:val="BodyText2"/>
              <w:tabs>
                <w:tab w:val="decimal" w:pos="567"/>
              </w:tabs>
              <w:spacing w:before="20" w:after="20" w:line="240" w:lineRule="auto"/>
              <w:rPr>
                <w:sz w:val="20"/>
                <w:szCs w:val="20"/>
                <w:lang w:val="ru-RU"/>
              </w:rPr>
            </w:pPr>
            <w:r>
              <w:rPr>
                <w:sz w:val="20"/>
                <w:szCs w:val="20"/>
                <w:lang w:val="ru-RU"/>
              </w:rPr>
              <w:t>30,8</w:t>
            </w:r>
          </w:p>
        </w:tc>
      </w:tr>
      <w:tr w:rsidR="00000000">
        <w:tblPrEx>
          <w:tblCellMar>
            <w:top w:w="0" w:type="dxa"/>
            <w:bottom w:w="0" w:type="dxa"/>
          </w:tblCellMar>
        </w:tblPrEx>
        <w:trPr>
          <w:jc w:val="center"/>
        </w:trPr>
        <w:tc>
          <w:tcPr>
            <w:tcW w:w="3969" w:type="dxa"/>
          </w:tcPr>
          <w:p w:rsidR="00000000" w:rsidRDefault="00000000">
            <w:pPr>
              <w:pStyle w:val="BodyText2"/>
              <w:spacing w:before="20" w:after="20" w:line="240" w:lineRule="auto"/>
              <w:rPr>
                <w:sz w:val="20"/>
                <w:szCs w:val="20"/>
                <w:lang w:val="ru-RU"/>
              </w:rPr>
            </w:pPr>
            <w:r>
              <w:rPr>
                <w:sz w:val="20"/>
                <w:szCs w:val="20"/>
                <w:lang w:val="ru-RU"/>
              </w:rPr>
              <w:t>Сельхозработы</w:t>
            </w:r>
          </w:p>
        </w:tc>
        <w:tc>
          <w:tcPr>
            <w:tcW w:w="1418" w:type="dxa"/>
          </w:tcPr>
          <w:p w:rsidR="00000000" w:rsidRDefault="00000000">
            <w:pPr>
              <w:pStyle w:val="BodyText2"/>
              <w:tabs>
                <w:tab w:val="decimal" w:pos="567"/>
              </w:tabs>
              <w:spacing w:before="20" w:after="20" w:line="240" w:lineRule="auto"/>
              <w:rPr>
                <w:sz w:val="20"/>
                <w:szCs w:val="20"/>
                <w:lang w:val="ru-RU"/>
              </w:rPr>
            </w:pPr>
            <w:r>
              <w:rPr>
                <w:sz w:val="20"/>
                <w:szCs w:val="20"/>
                <w:lang w:val="ru-RU"/>
              </w:rPr>
              <w:t>39,6</w:t>
            </w:r>
          </w:p>
        </w:tc>
        <w:tc>
          <w:tcPr>
            <w:tcW w:w="1276" w:type="dxa"/>
          </w:tcPr>
          <w:p w:rsidR="00000000" w:rsidRDefault="00000000">
            <w:pPr>
              <w:pStyle w:val="BodyText2"/>
              <w:tabs>
                <w:tab w:val="decimal" w:pos="567"/>
              </w:tabs>
              <w:spacing w:before="20" w:after="20" w:line="240" w:lineRule="auto"/>
              <w:rPr>
                <w:sz w:val="20"/>
                <w:szCs w:val="20"/>
                <w:lang w:val="ru-RU"/>
              </w:rPr>
            </w:pPr>
            <w:r>
              <w:rPr>
                <w:sz w:val="20"/>
                <w:szCs w:val="20"/>
                <w:lang w:val="ru-RU"/>
              </w:rPr>
              <w:t>51,9</w:t>
            </w:r>
          </w:p>
        </w:tc>
      </w:tr>
      <w:tr w:rsidR="00000000">
        <w:tblPrEx>
          <w:tblCellMar>
            <w:top w:w="0" w:type="dxa"/>
            <w:bottom w:w="0" w:type="dxa"/>
          </w:tblCellMar>
        </w:tblPrEx>
        <w:trPr>
          <w:jc w:val="center"/>
        </w:trPr>
        <w:tc>
          <w:tcPr>
            <w:tcW w:w="3969" w:type="dxa"/>
          </w:tcPr>
          <w:p w:rsidR="00000000" w:rsidRDefault="00000000">
            <w:pPr>
              <w:pStyle w:val="BodyText2"/>
              <w:spacing w:before="20" w:after="20" w:line="240" w:lineRule="auto"/>
              <w:rPr>
                <w:sz w:val="20"/>
                <w:szCs w:val="20"/>
                <w:lang w:val="ru-RU"/>
              </w:rPr>
            </w:pPr>
            <w:r>
              <w:rPr>
                <w:sz w:val="20"/>
                <w:szCs w:val="20"/>
                <w:lang w:val="ru-RU"/>
              </w:rPr>
              <w:t>Производство в домохозяйствах</w:t>
            </w:r>
          </w:p>
        </w:tc>
        <w:tc>
          <w:tcPr>
            <w:tcW w:w="1418" w:type="dxa"/>
          </w:tcPr>
          <w:p w:rsidR="00000000" w:rsidRDefault="00000000">
            <w:pPr>
              <w:pStyle w:val="BodyText2"/>
              <w:tabs>
                <w:tab w:val="decimal" w:pos="567"/>
              </w:tabs>
              <w:spacing w:before="20" w:after="20" w:line="240" w:lineRule="auto"/>
              <w:rPr>
                <w:sz w:val="20"/>
                <w:szCs w:val="20"/>
                <w:lang w:val="ru-RU"/>
              </w:rPr>
            </w:pPr>
            <w:r>
              <w:rPr>
                <w:sz w:val="20"/>
                <w:szCs w:val="20"/>
                <w:lang w:val="ru-RU"/>
              </w:rPr>
              <w:t>20,4</w:t>
            </w:r>
          </w:p>
        </w:tc>
        <w:tc>
          <w:tcPr>
            <w:tcW w:w="1276" w:type="dxa"/>
          </w:tcPr>
          <w:p w:rsidR="00000000" w:rsidRDefault="00000000">
            <w:pPr>
              <w:pStyle w:val="BodyText2"/>
              <w:tabs>
                <w:tab w:val="decimal" w:pos="567"/>
              </w:tabs>
              <w:spacing w:before="20" w:after="20" w:line="240" w:lineRule="auto"/>
              <w:rPr>
                <w:sz w:val="20"/>
                <w:szCs w:val="20"/>
                <w:lang w:val="ru-RU"/>
              </w:rPr>
            </w:pPr>
            <w:r>
              <w:rPr>
                <w:sz w:val="20"/>
                <w:szCs w:val="20"/>
                <w:lang w:val="ru-RU"/>
              </w:rPr>
              <w:t>12,7</w:t>
            </w:r>
          </w:p>
        </w:tc>
      </w:tr>
      <w:tr w:rsidR="00000000">
        <w:tblPrEx>
          <w:tblCellMar>
            <w:top w:w="0" w:type="dxa"/>
            <w:bottom w:w="0" w:type="dxa"/>
          </w:tblCellMar>
        </w:tblPrEx>
        <w:trPr>
          <w:jc w:val="center"/>
        </w:trPr>
        <w:tc>
          <w:tcPr>
            <w:tcW w:w="3969" w:type="dxa"/>
          </w:tcPr>
          <w:p w:rsidR="00000000" w:rsidRDefault="00000000">
            <w:pPr>
              <w:pStyle w:val="BodyText2"/>
              <w:spacing w:before="20" w:after="20" w:line="240" w:lineRule="auto"/>
              <w:rPr>
                <w:sz w:val="20"/>
                <w:szCs w:val="20"/>
                <w:lang w:val="ru-RU"/>
              </w:rPr>
            </w:pPr>
            <w:r>
              <w:rPr>
                <w:sz w:val="20"/>
                <w:szCs w:val="20"/>
                <w:lang w:val="ru-RU"/>
              </w:rPr>
              <w:t>Прочие</w:t>
            </w:r>
          </w:p>
        </w:tc>
        <w:tc>
          <w:tcPr>
            <w:tcW w:w="1418" w:type="dxa"/>
          </w:tcPr>
          <w:p w:rsidR="00000000" w:rsidRDefault="00000000">
            <w:pPr>
              <w:pStyle w:val="BodyText2"/>
              <w:tabs>
                <w:tab w:val="decimal" w:pos="567"/>
              </w:tabs>
              <w:spacing w:before="20" w:after="20" w:line="240" w:lineRule="auto"/>
              <w:rPr>
                <w:sz w:val="20"/>
                <w:szCs w:val="20"/>
                <w:lang w:val="ru-RU"/>
              </w:rPr>
            </w:pPr>
            <w:r>
              <w:rPr>
                <w:sz w:val="20"/>
                <w:szCs w:val="20"/>
                <w:lang w:val="ru-RU"/>
              </w:rPr>
              <w:t xml:space="preserve"> 2,1</w:t>
            </w:r>
          </w:p>
        </w:tc>
        <w:tc>
          <w:tcPr>
            <w:tcW w:w="1276" w:type="dxa"/>
          </w:tcPr>
          <w:p w:rsidR="00000000" w:rsidRDefault="00000000">
            <w:pPr>
              <w:pStyle w:val="BodyText2"/>
              <w:tabs>
                <w:tab w:val="decimal" w:pos="567"/>
              </w:tabs>
              <w:spacing w:before="20" w:after="20" w:line="240" w:lineRule="auto"/>
              <w:rPr>
                <w:sz w:val="20"/>
                <w:szCs w:val="20"/>
                <w:lang w:val="ru-RU"/>
              </w:rPr>
            </w:pPr>
            <w:r>
              <w:rPr>
                <w:sz w:val="20"/>
                <w:szCs w:val="20"/>
                <w:lang w:val="ru-RU"/>
              </w:rPr>
              <w:t xml:space="preserve"> 4,6</w:t>
            </w:r>
          </w:p>
        </w:tc>
      </w:tr>
      <w:tr w:rsidR="00000000">
        <w:tblPrEx>
          <w:tblCellMar>
            <w:top w:w="0" w:type="dxa"/>
            <w:bottom w:w="0" w:type="dxa"/>
          </w:tblCellMar>
        </w:tblPrEx>
        <w:trPr>
          <w:jc w:val="center"/>
        </w:trPr>
        <w:tc>
          <w:tcPr>
            <w:tcW w:w="3969" w:type="dxa"/>
          </w:tcPr>
          <w:p w:rsidR="00000000" w:rsidRDefault="00000000">
            <w:pPr>
              <w:pStyle w:val="BodyText2"/>
              <w:spacing w:before="20" w:after="20" w:line="240" w:lineRule="auto"/>
              <w:rPr>
                <w:sz w:val="20"/>
                <w:szCs w:val="20"/>
                <w:lang w:val="ru-RU"/>
              </w:rPr>
            </w:pPr>
          </w:p>
        </w:tc>
        <w:tc>
          <w:tcPr>
            <w:tcW w:w="1418" w:type="dxa"/>
          </w:tcPr>
          <w:p w:rsidR="00000000" w:rsidRDefault="00000000">
            <w:pPr>
              <w:pStyle w:val="BodyText2"/>
              <w:tabs>
                <w:tab w:val="decimal" w:pos="567"/>
              </w:tabs>
              <w:spacing w:before="20" w:after="20" w:line="240" w:lineRule="auto"/>
              <w:rPr>
                <w:sz w:val="20"/>
                <w:szCs w:val="20"/>
                <w:lang w:val="ru-RU"/>
              </w:rPr>
            </w:pPr>
            <w:r>
              <w:rPr>
                <w:sz w:val="20"/>
                <w:szCs w:val="20"/>
                <w:lang w:val="ru-RU"/>
              </w:rPr>
              <w:t>100</w:t>
            </w:r>
          </w:p>
        </w:tc>
        <w:tc>
          <w:tcPr>
            <w:tcW w:w="1276" w:type="dxa"/>
          </w:tcPr>
          <w:p w:rsidR="00000000" w:rsidRDefault="00000000">
            <w:pPr>
              <w:pStyle w:val="BodyText2"/>
              <w:tabs>
                <w:tab w:val="decimal" w:pos="567"/>
              </w:tabs>
              <w:spacing w:before="20" w:after="20" w:line="240" w:lineRule="auto"/>
              <w:rPr>
                <w:sz w:val="20"/>
                <w:szCs w:val="20"/>
                <w:lang w:val="ru-RU"/>
              </w:rPr>
            </w:pPr>
            <w:r>
              <w:rPr>
                <w:sz w:val="20"/>
                <w:szCs w:val="20"/>
                <w:lang w:val="ru-RU"/>
              </w:rPr>
              <w:t>100</w:t>
            </w:r>
          </w:p>
        </w:tc>
      </w:tr>
    </w:tbl>
    <w:p w:rsidR="00000000" w:rsidRDefault="00000000">
      <w:pPr>
        <w:pStyle w:val="a3"/>
        <w:spacing w:before="120"/>
        <w:rPr>
          <w:rStyle w:val="111"/>
          <w:sz w:val="20"/>
          <w:szCs w:val="20"/>
        </w:rPr>
      </w:pPr>
      <w:r>
        <w:rPr>
          <w:b/>
          <w:bCs/>
          <w:szCs w:val="20"/>
        </w:rPr>
        <w:t xml:space="preserve">Источник:  </w:t>
      </w:r>
      <w:r>
        <w:rPr>
          <w:rStyle w:val="111"/>
          <w:sz w:val="20"/>
          <w:szCs w:val="20"/>
        </w:rPr>
        <w:t>Перепись населения 1991 года.</w:t>
      </w:r>
    </w:p>
    <w:p w:rsidR="00000000" w:rsidRDefault="00000000">
      <w:pPr>
        <w:pStyle w:val="112"/>
      </w:pPr>
      <w:r>
        <w:t>297.</w:t>
      </w:r>
      <w:r>
        <w:tab/>
        <w:t>Единодушия в отношении оценок, характеризующих детский труд, нет, поскольку существуют различные мнения по поводу того, чтó считать детским трудом и как подходить к решению этой проблемы.  Один подход заключается в том, чтобы определять детский труд с учетом прав человека; в соответствии с ним в эту категорию включаются все дети, не посещающие школу, поскольку они лишены права на образование.  Чтобы устранить эту проблему, необходимо в обязательном порядке освободить каждого ребенка от работы и отправить его в школу.  В соответствии с другим подходом признается, что дети трудятся в силу необходимости и без их заработка уровень жизни их семьи опустится еще ниже.  Поэтому детский труд нельзя устранить, не обеспечив дополнительный источник дохода родителям и надлежащие условия для реабилитации соответствующему ребенку.</w:t>
      </w:r>
    </w:p>
    <w:p w:rsidR="00000000" w:rsidRDefault="00000000">
      <w:pPr>
        <w:pStyle w:val="112"/>
      </w:pPr>
      <w:r>
        <w:t>298.</w:t>
      </w:r>
      <w:r>
        <w:tab/>
        <w:t>В условиях Индии весьма оправданным является именно второй подход, и в связи с этим правительство признает, что в силу существующей социально-экономической ситуации нельзя взять и просто так ликвидировать детский труд во всех его формах.  Сельское хозяйство и связанные с ним секторы, где занято 85% всех работающих в стране детей, вносят в экономику страны весьма существенный вклад.  Дети из включенных в списки каст и племен составляют большинство работников, занятых в сельском хозяйстве и надомном производстве, где их родители работают на условиях сдельной оплаты.</w:t>
      </w:r>
    </w:p>
    <w:p w:rsidR="00000000" w:rsidRDefault="00000000">
      <w:pPr>
        <w:pStyle w:val="112"/>
        <w:rPr>
          <w:rStyle w:val="111"/>
        </w:rPr>
      </w:pPr>
      <w:r>
        <w:rPr>
          <w:rStyle w:val="111"/>
        </w:rPr>
        <w:t>299.</w:t>
      </w:r>
      <w:r>
        <w:rPr>
          <w:rStyle w:val="111"/>
        </w:rPr>
        <w:tab/>
        <w:t>Признано (Всемирным банком в 1998 году)</w:t>
      </w:r>
      <w:r>
        <w:rPr>
          <w:rStyle w:val="FootnoteReference"/>
        </w:rPr>
        <w:footnoteReference w:customMarkFollows="1" w:id="46"/>
        <w:t>45</w:t>
      </w:r>
      <w:r>
        <w:rPr>
          <w:rStyle w:val="111"/>
        </w:rPr>
        <w:t>, что не всякий детский труд причиняет вред.  Многие дети, занятые на работах в семьях вместе с их родителями в стабильных и благоприятных условиях или под надзором опекуна, приобретают требуемые для занятия определенными традиционными ремеслами навыки и выигрывают в плане подготовки к жизни в обществе и получения неформального образования,  что способствует укреплению человеческого потенциала, необходимого для развивающейся экономики Индии.</w:t>
      </w:r>
    </w:p>
    <w:p w:rsidR="00000000" w:rsidRDefault="00000000">
      <w:pPr>
        <w:pStyle w:val="112"/>
      </w:pPr>
      <w:r>
        <w:t>300.</w:t>
      </w:r>
      <w:r>
        <w:tab/>
        <w:t>В своем докладе, представленном в 1979 году, Национальный комитет по детскому труду (Комитет Гурупадасвами) признал, что следует проводить различие между детским трудом и эксплуатацией детского труда и что, хотя они и порождают проблемы, это –  проблемы разного свойства.  Он подчеркнул необходимость предотвращения эксплуатации детского труда.</w:t>
      </w:r>
    </w:p>
    <w:p w:rsidR="00000000" w:rsidRDefault="00000000">
      <w:pPr>
        <w:pStyle w:val="112"/>
      </w:pPr>
      <w:r>
        <w:t>301.</w:t>
      </w:r>
      <w:r>
        <w:tab/>
        <w:t>В 1980</w:t>
      </w:r>
      <w:r>
        <w:noBreakHyphen/>
        <w:t>е годы правительство придерживалось также мнения о том, что любой детский труд сопряжен с проблемами, но при этом считало, что на том этапе национального развития (т. е. два десятилетия назад) было гораздо более важным сосредоточить усилия на ликвидации детского труда в тех секторах, где дети работали вне семьи за плату или условную плату, поскольку вероятность эксплуатации там была выше всего.  Первым шагом в этом направлении было принятие закона о запрете детского труда на опасных работах.</w:t>
      </w:r>
    </w:p>
    <w:p w:rsidR="00000000" w:rsidRDefault="00000000">
      <w:pPr>
        <w:pStyle w:val="112"/>
        <w:rPr>
          <w:rStyle w:val="111"/>
        </w:rPr>
      </w:pPr>
      <w:r>
        <w:rPr>
          <w:rStyle w:val="111"/>
        </w:rPr>
        <w:t>302.</w:t>
      </w:r>
      <w:r>
        <w:rPr>
          <w:rStyle w:val="111"/>
        </w:rPr>
        <w:tab/>
        <w:t xml:space="preserve">Наряду с принятием законов в целях создания рабочих мест для взрослых членов семей были осуществлены многочисленные программы борьбы с нищетой, организации индивидуальной трудовой деятельность и предоставления продуктов питания в оплату за труд, такие как Программа комплексного развития сельских районов, Программа создания рабочих мест для безземельных жителей сельских районов и Программа </w:t>
      </w:r>
      <w:r>
        <w:rPr>
          <w:i/>
        </w:rPr>
        <w:t>Джавахар Розгар Йоджана</w:t>
      </w:r>
      <w:r>
        <w:rPr>
          <w:rStyle w:val="111"/>
        </w:rPr>
        <w:t>.</w:t>
      </w:r>
    </w:p>
    <w:p w:rsidR="00000000" w:rsidRDefault="00000000">
      <w:pPr>
        <w:pStyle w:val="112"/>
      </w:pPr>
      <w:r>
        <w:t>303.</w:t>
      </w:r>
      <w:r>
        <w:tab/>
        <w:t>Закон 1986 года о детском труде (запрет и регулирование) запрещает привлечение детей до 14 лет на некоторые работы, которые признаны Законом опасными, но не распространяет свое действие на работы в семейных хозяйствах или мастерских.  Закон регулирует также привлечение детей до 14 лет к неопасным видам работ.  В соответствии с этим Законом был учрежден Технический консультативный комитет по детскому труду, который призван выносить рекомендации для центрального правительства в отношении включения видов работ и процессов, считающихся опасными, в перечень, составленный в соответствии с этим Законом.  На сегодня по этому Закону опасными считаются 13 видов работ и 57 процессов.  26 мая 1993 года было издано постановление, регулирующее занятость детей на неопасных видах работы.</w:t>
      </w:r>
    </w:p>
    <w:p w:rsidR="00000000" w:rsidRDefault="00000000">
      <w:pPr>
        <w:pStyle w:val="112"/>
        <w:rPr>
          <w:rStyle w:val="111"/>
        </w:rPr>
      </w:pPr>
      <w:r>
        <w:rPr>
          <w:rStyle w:val="111"/>
        </w:rPr>
        <w:t>304.</w:t>
      </w:r>
      <w:r>
        <w:rPr>
          <w:rStyle w:val="111"/>
        </w:rPr>
        <w:tab/>
        <w:t>В своем решении от 10 декабря 1996 года по (гражданскому) делу W.P. № 465/1986</w:t>
      </w:r>
      <w:r>
        <w:rPr>
          <w:rStyle w:val="FootnoteReference"/>
        </w:rPr>
        <w:footnoteReference w:customMarkFollows="1" w:id="47"/>
        <w:t>46</w:t>
      </w:r>
      <w:r>
        <w:rPr>
          <w:b/>
          <w:sz w:val="24"/>
        </w:rPr>
        <w:t xml:space="preserve"> </w:t>
      </w:r>
      <w:r>
        <w:rPr>
          <w:rStyle w:val="111"/>
        </w:rPr>
        <w:t xml:space="preserve">Верховный суд Индии дал целый ряд различных указаний в отношении реабилитации детей, занятых на опасных работах, и регулирования порядка привлечения  детей к  неопасным видам работы.  Правительство провело обследование и учредило </w:t>
      </w:r>
      <w:r>
        <w:rPr>
          <w:i/>
          <w:sz w:val="24"/>
        </w:rPr>
        <w:t>Фонд для реабилитации и обеспечения благополучия детей</w:t>
      </w:r>
      <w:r>
        <w:rPr>
          <w:rStyle w:val="111"/>
        </w:rPr>
        <w:t>, который формируется за счет средств, вносимых по постановлению Верховного суда нарушившим закон работодателям за каждого ребенка.  Суд обязал также работодателя предоставить работу одному взрослому члену семьи работавшего ребенка или же, вместо этого, перечислить в фонд дополнительные средства.  Правительство обязано выплачивать из этого фонда проценты  семье ребенка, который оставил работу.</w:t>
      </w:r>
    </w:p>
    <w:p w:rsidR="00000000" w:rsidRDefault="00000000">
      <w:pPr>
        <w:pStyle w:val="112"/>
        <w:rPr>
          <w:rStyle w:val="111"/>
        </w:rPr>
      </w:pPr>
      <w:r>
        <w:t>305.</w:t>
      </w:r>
      <w:r>
        <w:tab/>
        <w:t xml:space="preserve">В 1987 году была сформулирована Национальная политика в отношении детского труда, которая ознаменовала собой отход от применявшегося ранее подхода к решению проблемы детского труда исключительно с помощью мер законодательного характера.  Упор делался на законодательных актах, программах общего развития в отношении труда детей и их родственников и проектах, основанных на планах действий в тех областях, где доля детского труда была весьма значительной.  В 1994 году было создано Национальное управление по ликвидации детского труда (НУЛДТ) в качестве головной организации, </w:t>
      </w:r>
      <w:r>
        <w:rPr>
          <w:rStyle w:val="111"/>
        </w:rPr>
        <w:t>координирующей усилия различных государственных ведомств</w:t>
      </w:r>
      <w:r>
        <w:rPr>
          <w:rStyle w:val="FootnoteReference"/>
        </w:rPr>
        <w:footnoteReference w:customMarkFollows="1" w:id="48"/>
        <w:t>47</w:t>
      </w:r>
      <w:r>
        <w:rPr>
          <w:rStyle w:val="111"/>
        </w:rPr>
        <w:t>. Правительство Индии внесло поправки в правила несения службы государственными служащими, в соответствии с которыми запрещено принимать на любую работу детей в возрасте до 14 лет</w:t>
      </w:r>
      <w:r>
        <w:rPr>
          <w:rStyle w:val="FootnoteReference"/>
        </w:rPr>
        <w:footnoteReference w:customMarkFollows="1" w:id="49"/>
        <w:t>48</w:t>
      </w:r>
      <w:r>
        <w:rPr>
          <w:rStyle w:val="111"/>
        </w:rPr>
        <w:t xml:space="preserve">. </w:t>
      </w:r>
    </w:p>
    <w:p w:rsidR="00000000" w:rsidRDefault="00000000">
      <w:pPr>
        <w:pStyle w:val="112"/>
      </w:pPr>
      <w:r>
        <w:t>306.</w:t>
      </w:r>
      <w:r>
        <w:tab/>
        <w:t>В десятом плане (2002–2007 годы) Индия сделала большой шаг вперед в направлении применения подхода, основанного на правах человека.  В соответствии с восемьдесят шестой поправкой к Конституции штаты обязаны обеспечивать бесплатное обязательное образование каждому ребенку в возрасте от 6 до 14 лет.  Кроме того, основополагающей обязанностью родителей является создание условий, благоприятствующих получению их детьми образования.</w:t>
      </w:r>
    </w:p>
    <w:p w:rsidR="00000000" w:rsidRDefault="00000000">
      <w:pPr>
        <w:pStyle w:val="112"/>
      </w:pPr>
      <w:r>
        <w:t>307.</w:t>
      </w:r>
      <w:r>
        <w:tab/>
        <w:t>По рекомендации второй Национальной комиссии по вопросам труда был внесен законопроект о заработной плате, в соответствии с которым отменяется положение, позволявшее работодателю устанавливать для разных лиц различный уровень минимальной заработной платы.  Благодаря этому у работодателей не будет стимулов прибегать к детскому труду.</w:t>
      </w:r>
    </w:p>
    <w:p w:rsidR="00000000" w:rsidRDefault="00000000">
      <w:pPr>
        <w:jc w:val="both"/>
        <w:rPr>
          <w:b/>
          <w:bCs/>
          <w:sz w:val="24"/>
        </w:rPr>
      </w:pPr>
    </w:p>
    <w:p w:rsidR="00000000" w:rsidRDefault="00000000">
      <w:pPr>
        <w:jc w:val="both"/>
        <w:rPr>
          <w:b/>
          <w:bCs/>
          <w:sz w:val="22"/>
          <w:szCs w:val="22"/>
        </w:rPr>
      </w:pPr>
      <w:r>
        <w:rPr>
          <w:b/>
          <w:bCs/>
          <w:sz w:val="22"/>
          <w:szCs w:val="22"/>
        </w:rPr>
        <w:t>Национальные проекты, касающиеся детского труда</w:t>
      </w:r>
    </w:p>
    <w:p w:rsidR="00000000" w:rsidRDefault="00000000">
      <w:pPr>
        <w:pStyle w:val="112"/>
      </w:pPr>
      <w:r>
        <w:t>308.</w:t>
      </w:r>
      <w:r>
        <w:tab/>
        <w:t xml:space="preserve">В соответствии с политикой, утвержденной в 1987 году, </w:t>
      </w:r>
      <w:r>
        <w:rPr>
          <w:caps/>
        </w:rPr>
        <w:t>м</w:t>
      </w:r>
      <w:r>
        <w:t>инистерство труда осуществляет национальные проекты в области детского труда (НПДТ) в целях реабилитации работающих детей, особенно в тех штатах, где детский труд является распространенным явлением.  Эти проекты предусматривают комплекс мер по обеспечению благополучия, включая неформальное образование, обучение ремеслам, организацию дополнительного питания, выплату стипендий и оказание медицинской помощи детям, оставившим работу.  Начатые в 1988 году проекты по конкретным отраслям были впоследствии переориентированы на проекты в конкретных районах.  В настоящее время осуществляется 100 национальных проектов в области детского труда в 13 штатах, где детский труд является распространенным явлением, в интересах реабилитации приблизительно 0,2 млн. детей, которые оставили опасные виды работ.  В 2004 году правительство начало осуществлять национальные проекты в области детского труда еще в 50 округах и в ближайшее время намеревается охватить ими еще 100 округов.</w:t>
      </w:r>
    </w:p>
    <w:p w:rsidR="00000000" w:rsidRDefault="00000000">
      <w:pPr>
        <w:pStyle w:val="112"/>
      </w:pPr>
      <w:r>
        <w:t>309.</w:t>
      </w:r>
      <w:r>
        <w:tab/>
        <w:t>Результаты всеобъемлющего исследования по оценке НПДТ, проведенного в 2001 году независимыми учреждениями при координации со стороны Национального института труда имени В.В. Гири, свидетельствуют о том, что НПДТ осуществляются успешно.  Одним важным позитивным аспектом, отмеченным в исследовании, является то, что дети, оставившие работу, составляют приблизительно 60% учеников специальных школ.  Специальные школы, созданные в рамках НПДТ, на настоящий момент весьма успешно обеспечили охват приблизительно 0,1 млн. детей формальной системой образования в 13 штатах, где детский труд был распространенным явлением.</w:t>
      </w:r>
    </w:p>
    <w:p w:rsidR="00000000" w:rsidRDefault="00000000">
      <w:pPr>
        <w:keepNext/>
        <w:jc w:val="both"/>
        <w:rPr>
          <w:b/>
          <w:bCs/>
          <w:sz w:val="22"/>
          <w:szCs w:val="22"/>
          <w:lang w:val="en-US"/>
        </w:rPr>
      </w:pPr>
    </w:p>
    <w:p w:rsidR="00000000" w:rsidRDefault="00000000">
      <w:pPr>
        <w:keepNext/>
        <w:jc w:val="both"/>
        <w:rPr>
          <w:b/>
          <w:bCs/>
          <w:sz w:val="22"/>
          <w:szCs w:val="22"/>
        </w:rPr>
      </w:pPr>
      <w:r>
        <w:rPr>
          <w:b/>
          <w:bCs/>
          <w:sz w:val="22"/>
          <w:szCs w:val="22"/>
        </w:rPr>
        <w:t>Прочие меры</w:t>
      </w:r>
    </w:p>
    <w:p w:rsidR="00000000" w:rsidRDefault="00000000">
      <w:pPr>
        <w:pStyle w:val="112"/>
      </w:pPr>
      <w:r>
        <w:t>310.</w:t>
      </w:r>
      <w:r>
        <w:tab/>
        <w:t xml:space="preserve">Центральный совет по вопросам обучения работников, созданный в 1958 году при </w:t>
      </w:r>
      <w:r>
        <w:rPr>
          <w:caps/>
        </w:rPr>
        <w:t>м</w:t>
      </w:r>
      <w:r>
        <w:t>инистерстве социальной справедливости и расширения прав и возможностей, организует различные программы в целях обеспечения обучения работников.  В 2002–2003 годах он подготовил 37 программ, которые осуществлялись с 1 апреля по 31 августа 2002 года в интересах 1460 человек, дети которых были вынуждены работать.</w:t>
      </w:r>
    </w:p>
    <w:p w:rsidR="00000000" w:rsidRDefault="00000000">
      <w:pPr>
        <w:pStyle w:val="112"/>
      </w:pPr>
      <w:r>
        <w:t>311.</w:t>
      </w:r>
      <w:r>
        <w:tab/>
        <w:t>Правительство инициировало также программы создания рабочих мест и профессиональной  подготовки в сельских районах и для семей, находящихся ниже черты бедности, в рамках которых особое внимание уделяется женщинам в целях предотвращения кабального и детского труда.  Правительство осуществляет также программу оказания содействия тем, кто добровольно разрабатывает благотворительные проекты в целях реабилитации работающих детей, которая предусматривает компенсацию 75% связанных с этим расходов.</w:t>
      </w:r>
    </w:p>
    <w:p w:rsidR="00000000" w:rsidRDefault="00000000">
      <w:pPr>
        <w:spacing w:before="240"/>
        <w:jc w:val="both"/>
        <w:rPr>
          <w:rStyle w:val="111"/>
        </w:rPr>
      </w:pPr>
      <w:r>
        <w:rPr>
          <w:rStyle w:val="111"/>
        </w:rPr>
        <w:t>312.</w:t>
      </w:r>
      <w:r>
        <w:rPr>
          <w:rStyle w:val="111"/>
        </w:rPr>
        <w:tab/>
        <w:t xml:space="preserve">В рамках НУЛДТ предпринимаются усилия по включению программы </w:t>
      </w:r>
      <w:r>
        <w:rPr>
          <w:i/>
          <w:sz w:val="22"/>
        </w:rPr>
        <w:t>Сарва Шикша Абхьян</w:t>
      </w:r>
      <w:r>
        <w:rPr>
          <w:rStyle w:val="111"/>
        </w:rPr>
        <w:t xml:space="preserve"> (всеобщее начальное образование) в стратегию ликвидации детского труда в целях обеспечения того, чтобы дети в возрасте от 5 до 8 лет были непосредственно охвачены формальной системой школьного образования.  В десятом плане (2002–2007 годы) на программы, касающиеся детского труда, выделены ассигнования в размере 6675 млн. рупий против с 2496 млн. рупий в девятом </w:t>
      </w:r>
      <w:r>
        <w:rPr>
          <w:rStyle w:val="111"/>
        </w:rPr>
        <w:br/>
        <w:t>плане.</w:t>
      </w:r>
    </w:p>
    <w:p w:rsidR="00000000" w:rsidRDefault="00000000">
      <w:pPr>
        <w:spacing w:before="280" w:after="240"/>
        <w:jc w:val="both"/>
        <w:rPr>
          <w:b/>
          <w:bCs/>
          <w:sz w:val="22"/>
          <w:szCs w:val="22"/>
        </w:rPr>
      </w:pPr>
      <w:r>
        <w:rPr>
          <w:b/>
          <w:bCs/>
          <w:sz w:val="22"/>
          <w:szCs w:val="22"/>
        </w:rPr>
        <w:t>Международное сотрудничество</w:t>
      </w:r>
    </w:p>
    <w:p w:rsidR="00000000" w:rsidRDefault="00000000">
      <w:pPr>
        <w:pStyle w:val="112"/>
      </w:pPr>
      <w:r>
        <w:t>313.</w:t>
      </w:r>
      <w:r>
        <w:tab/>
        <w:t>Индия стала первой страной, присоединившейся к Международной программе по искоренению детского труда (ИПЕК), осуществление которой было начато МОТ в декабре 1991 года.  В период с 1992 по 2001 год в целях оказания помощи на общую сумму 5,6 млн. долл. США было осуществлено 165 программ действий.  Кроме того, еще 11 проектов осуществляется в настоящее время.  Сейчас готовятся также предложения об осуществлении новых всеобъемлющих проектов в рамках ИПЕК в десяти отраслях в ряде районов четырех штатов.</w:t>
      </w:r>
    </w:p>
    <w:p w:rsidR="00000000" w:rsidRDefault="00000000">
      <w:pPr>
        <w:spacing w:before="280" w:after="240"/>
        <w:jc w:val="both"/>
        <w:rPr>
          <w:b/>
          <w:bCs/>
          <w:sz w:val="22"/>
          <w:szCs w:val="22"/>
        </w:rPr>
      </w:pPr>
      <w:r>
        <w:rPr>
          <w:b/>
          <w:bCs/>
          <w:sz w:val="22"/>
          <w:szCs w:val="22"/>
        </w:rPr>
        <w:t xml:space="preserve">Неблагополучные дети </w:t>
      </w:r>
    </w:p>
    <w:p w:rsidR="00000000" w:rsidRDefault="00000000">
      <w:pPr>
        <w:pStyle w:val="112"/>
      </w:pPr>
      <w:r>
        <w:t>314.</w:t>
      </w:r>
      <w:r>
        <w:tab/>
        <w:t>Страна привержена цели улучшения положения неблагополучных детей, их защиты и предоставления им тех возможностей, которыми располагают  дети в нормальных условиях.  К числу неблагополучных детей относятся дети-инвалиды, безнадзорные дети, сироты, нуждающиеся дети, дети работниц секс-индустрии и заключенных и дети, принужденные заниматься проституцией или вовлеченные в преступную деятельность.  Министерство социальной справедливости и расширения прав и возможностей является учреждением, координирующим предоставление услуг в области социальной защиты путем оказания поддержки организациям-добровольцам и другим учреждениям, занимающимся вопросами защиты этих детей.</w:t>
      </w:r>
    </w:p>
    <w:p w:rsidR="00000000" w:rsidRDefault="00000000">
      <w:pPr>
        <w:keepNext/>
        <w:spacing w:before="280" w:after="240"/>
        <w:jc w:val="both"/>
        <w:rPr>
          <w:b/>
          <w:bCs/>
          <w:sz w:val="22"/>
          <w:szCs w:val="22"/>
        </w:rPr>
      </w:pPr>
      <w:r>
        <w:rPr>
          <w:b/>
          <w:bCs/>
          <w:sz w:val="22"/>
          <w:szCs w:val="22"/>
        </w:rPr>
        <w:t>Детская инвалидность</w:t>
      </w:r>
    </w:p>
    <w:p w:rsidR="00000000" w:rsidRDefault="00000000">
      <w:pPr>
        <w:pStyle w:val="112"/>
        <w:keepNext/>
      </w:pPr>
      <w:r>
        <w:t>315.</w:t>
      </w:r>
      <w:r>
        <w:tab/>
        <w:t>Согласно оценкам, полученным в ходе 58-го цикла Национального выборочного обследования (НВО) по инвалидности в Индии, доля людей, имеющих ту или иную форму инвалидности, составляет порядка 1,8% от общей численности населения.  В 1995 году правительство приняло Закон об инвалидах (равные возможности, защита прав и участие в полном объеме), который предусматривает принятие как превентивных, так и стимулирующих мер в целях применения целостного подхода к усилиям по вовлечению инвалидов в жизнь общества.  Законом предусмотрено, что каждый ребенок до достижения 18-летнего возраста имеет право на получение бесплатного образования в интегрированных школах.  Все дети раз в год проходят проверку в целях выявления детей, находящихся в зоне риска.</w:t>
      </w:r>
    </w:p>
    <w:p w:rsidR="00000000" w:rsidRDefault="00000000">
      <w:pPr>
        <w:pStyle w:val="112"/>
      </w:pPr>
      <w:r>
        <w:t>316.</w:t>
      </w:r>
      <w:r>
        <w:tab/>
        <w:t>Законом предусмотрено создание управления Уполномоченного по делам инвалидов на центральном уровне, а также в штатах.  Уполномоченный обеспечивает реализацию гарантированных инвалидам прав  и выполнение предоставленных им условий и добивается устранения имеющих место нарушений.  Из 6394 жалоб, полученных с момента создания этого управления, Уполномоченный к январю 2003 года рассмотрел 6004 жалобы.</w:t>
      </w:r>
    </w:p>
    <w:p w:rsidR="00000000" w:rsidRDefault="00000000">
      <w:pPr>
        <w:pStyle w:val="112"/>
      </w:pPr>
      <w:r>
        <w:t>317.</w:t>
      </w:r>
      <w:r>
        <w:tab/>
        <w:t>Цель принятого в 1999 году Закона о создании национального целевого благотворительного фонда для лиц, страдающих аутизмом, церебральным параличом, умственной отсталостью и множественной инвалидностью, заключается в защите лиц, имеющих эти виды инвалидности, и  улучшении положения их семей.  В соответствии с этим Законом на данный момент на местном уровне создано 369 комитетов.</w:t>
      </w:r>
    </w:p>
    <w:p w:rsidR="00000000" w:rsidRDefault="00000000">
      <w:pPr>
        <w:pStyle w:val="112"/>
      </w:pPr>
      <w:r>
        <w:t>318.</w:t>
      </w:r>
      <w:r>
        <w:tab/>
        <w:t>В 1992 году Реабилитационный совет Индии был преобразован в государственный орган.  Он обеспечивает механизм для установления стандартов в области подготовки кадров и регулирования работы специалистов, занимающихся уходом за инвалидами.  На данный момент при этом совете зарегистрировано 21 877 специалистов.</w:t>
      </w:r>
    </w:p>
    <w:p w:rsidR="00000000" w:rsidRDefault="00000000">
      <w:pPr>
        <w:pStyle w:val="112"/>
      </w:pPr>
      <w:r>
        <w:t>319.</w:t>
      </w:r>
      <w:r>
        <w:tab/>
        <w:t>В дополнение к этой правовой основе в целях оказания инвалидам комплексных реабилитационных услуг по месту жительства правительство создало несколько региональных реабилитационных учебных центров, окружных центров по реабилитации инвалидов (82 из них уже функционируют) и смешанных региональных центров.  К декабрю 2002 года эти центры оказали соответствующие услуги 369 085 инвалидам.</w:t>
      </w:r>
    </w:p>
    <w:p w:rsidR="00000000" w:rsidRDefault="00000000">
      <w:pPr>
        <w:pStyle w:val="112"/>
      </w:pPr>
      <w:r>
        <w:t>320.</w:t>
      </w:r>
      <w:r>
        <w:tab/>
        <w:t>В настоящее время осуществляются специальные программы в области образования, предусматривающие выплату стипендий студентам высших учебных заведений и создание специальных школ и профессионально-технических учебных центров.  В двух штатах – Уттар-Прадеш и Карнатака – осуществляется финансируемый по линии ПРООН проект интеграции детей-инвалидов в рамках обычных школ.</w:t>
      </w:r>
    </w:p>
    <w:p w:rsidR="00000000" w:rsidRDefault="00000000">
      <w:pPr>
        <w:pStyle w:val="112"/>
      </w:pPr>
      <w:r>
        <w:t>321.</w:t>
      </w:r>
      <w:r>
        <w:tab/>
        <w:t xml:space="preserve">В целях поощрения добровольных акций в интересах инвалидов </w:t>
      </w:r>
      <w:r>
        <w:rPr>
          <w:caps/>
        </w:rPr>
        <w:t>м</w:t>
      </w:r>
      <w:r>
        <w:t>инистерство социальной справедливости и расширения прав и возможностей оказывает финансовую, техническую и административную помощь.  Оно поощряет родителей и опекунов инвалидов создавать собственные организации по оказанию реабилитационных услуг на базе общин.  В десятом плане предусмотрено выделение Отделу по делам инвалидов средств в два раза больше, чем было предусмотрено в девятом плане.</w:t>
      </w:r>
    </w:p>
    <w:p w:rsidR="00000000" w:rsidRDefault="00000000">
      <w:pPr>
        <w:spacing w:before="240" w:after="360"/>
        <w:jc w:val="both"/>
        <w:rPr>
          <w:b/>
          <w:bCs/>
          <w:sz w:val="22"/>
          <w:szCs w:val="22"/>
        </w:rPr>
      </w:pPr>
      <w:r>
        <w:rPr>
          <w:b/>
          <w:bCs/>
          <w:sz w:val="22"/>
          <w:szCs w:val="22"/>
        </w:rPr>
        <w:t>Безнадзорные дети</w:t>
      </w:r>
    </w:p>
    <w:p w:rsidR="00000000" w:rsidRDefault="00000000">
      <w:pPr>
        <w:pStyle w:val="112"/>
      </w:pPr>
      <w:r>
        <w:t>322.</w:t>
      </w:r>
      <w:r>
        <w:tab/>
        <w:t>Достоверных данных о безнадзорных детях в Индии нет.  Министерство социальной справедливости и расширения прав и возможностей осуществляет в интересах безнадзорных детей комплексную программу.  Она рассчитана на наиболее уязвимые группы безнадзорных детей, например бездомных детей и детей, лишившихся родных, детей работниц секс-индустрии и детей, живущих на улице.  В рамках этой программы обеспечивается кров, питание, медицинская помощь, а также условия для получения образования и организации досуга.  До 90% связанных с этим проектом расходов покрывается правительством, при этом максимальный размер его взноса составляет 1,5 млн. рупий, а остальные средства предоставляются организацией-донором.  С момента создания этой программы по линии 214 организаций в 24 штатах/союзных территориях помощь получили 250 938 детей.</w:t>
      </w:r>
    </w:p>
    <w:p w:rsidR="00000000" w:rsidRDefault="00000000">
      <w:pPr>
        <w:spacing w:before="240" w:after="300"/>
        <w:jc w:val="both"/>
        <w:rPr>
          <w:b/>
          <w:bCs/>
          <w:sz w:val="22"/>
          <w:szCs w:val="22"/>
        </w:rPr>
      </w:pPr>
      <w:r>
        <w:rPr>
          <w:b/>
          <w:bCs/>
          <w:sz w:val="22"/>
          <w:szCs w:val="22"/>
        </w:rPr>
        <w:t>Нуждающиеся дети и несовершеннолетние преступники</w:t>
      </w:r>
    </w:p>
    <w:p w:rsidR="00000000" w:rsidRDefault="00000000">
      <w:pPr>
        <w:pStyle w:val="112"/>
      </w:pPr>
      <w:r>
        <w:t>323.</w:t>
      </w:r>
      <w:r>
        <w:tab/>
        <w:t>Цель Закона 2000 года ювенальной юстиции (защита  детей и уход за ними), который заменил собой Закон 1976 года, заключается в улучшении работы с несовершеннолетними преступниками или нуждающимися детьми путем создания советов по вопросам ювенальной юстиции и благотворительных комитетов и центров по делам детей в каждом округе или группе округов.  В Законе излагаются основные принципы защиты детей, вступивших в конфликт с законом, заботы о них и решения, связанных с ними проблем.  Программа в области ювенальной юстиции, 50% бюджета которой финансируется центральным правительством, предусматривает создание и функционирование учреждений, которые занимаются несовершеннолетними, вступившими в конфликт с законом.  В настоящее время в рамках этой программы в стране создано 287 приютов, 290 домов для несовершеннолетних, 35 специальных домов и 50 учреждений постпенитенциарной опеки.  В Законе проводится различие между несовершеннолетними преступниками и безнадзорными детьми.</w:t>
      </w:r>
    </w:p>
    <w:p w:rsidR="00000000" w:rsidRDefault="00000000">
      <w:pPr>
        <w:spacing w:before="240" w:after="300"/>
        <w:jc w:val="both"/>
        <w:rPr>
          <w:b/>
          <w:bCs/>
          <w:sz w:val="22"/>
          <w:szCs w:val="22"/>
        </w:rPr>
      </w:pPr>
      <w:r>
        <w:rPr>
          <w:b/>
          <w:bCs/>
          <w:sz w:val="22"/>
          <w:szCs w:val="22"/>
        </w:rPr>
        <w:t>Усыновление/удочерение детей</w:t>
      </w:r>
    </w:p>
    <w:p w:rsidR="00000000" w:rsidRDefault="00000000">
      <w:pPr>
        <w:pStyle w:val="112"/>
        <w:rPr>
          <w:rStyle w:val="111"/>
        </w:rPr>
      </w:pPr>
      <w:r>
        <w:rPr>
          <w:rStyle w:val="111"/>
        </w:rPr>
        <w:t>324.</w:t>
      </w:r>
      <w:r>
        <w:rPr>
          <w:rStyle w:val="111"/>
        </w:rPr>
        <w:tab/>
        <w:t>В весьма важном решении, принятом Верховным судом Индии, было отмечено отсутствие правил и положений, регулирующих процедуру международного усыновления, что приводит к многочисленным случаям жестокого обращения с детьми и торговли детьми</w:t>
      </w:r>
      <w:r>
        <w:rPr>
          <w:rStyle w:val="FootnoteReference"/>
        </w:rPr>
        <w:footnoteReference w:customMarkFollows="1" w:id="50"/>
        <w:t>49</w:t>
      </w:r>
      <w:r>
        <w:rPr>
          <w:rStyle w:val="111"/>
        </w:rPr>
        <w:t>. Суд определил правила и руководящие принципы, которыми надлежит руководствоваться в случае международного усыновления, пока не будут созданы учреждение или административный орган.  В соответствии с этим в 1990 году было создано Центральное управление по координации вопросов усыновления (КАРА) в качестве автономного учреждения, курирующего работу учреждений, которые занимаются вопросами усыновления, по содействию национальным и международным усыновлениям в интересах обеспечения наиболее благоприятных условий для развития детей, являющихся сиротами, или детей, чьи биологические родители отсутствуют или не в состоянии обеспечить уход за ними, путем поиска приемных родителей или патронатных семей.  Особый упор делается на поиск приемных семей внутри страны рядом с тем местом, где он родился.  В тех случаях, когда подходящих домов в стране найти нельзя, дети передаются на международное усыновление.</w:t>
      </w:r>
    </w:p>
    <w:p w:rsidR="00000000" w:rsidRDefault="00000000">
      <w:pPr>
        <w:pStyle w:val="112"/>
      </w:pPr>
      <w:r>
        <w:t>325.</w:t>
      </w:r>
      <w:r>
        <w:tab/>
        <w:t>В соответствии с Национальной инициативой в отношении усыновления детей это управление осуществляет информационно-просветительские программы.  В целях содействия усыновлениям внутри страны это управление оказывает приемным домам (Шишу Грех)  помощь в размере до 0,6 млн. рупий в год (для покрытия расходов, связанных с уходом за детьми, содержанием персонала, медицинским обслуживанием и удовлетворением других потребностей).  Оно создало добровольные агентства по координации всех вопросов, связанных с усыновлением, а также ведет список приемных родителей.</w:t>
      </w:r>
    </w:p>
    <w:p w:rsidR="00000000" w:rsidRDefault="00000000">
      <w:pPr>
        <w:spacing w:before="360" w:after="300"/>
        <w:jc w:val="both"/>
        <w:rPr>
          <w:b/>
          <w:bCs/>
          <w:sz w:val="22"/>
          <w:szCs w:val="22"/>
        </w:rPr>
      </w:pPr>
      <w:r>
        <w:rPr>
          <w:b/>
          <w:bCs/>
          <w:sz w:val="22"/>
          <w:szCs w:val="22"/>
        </w:rPr>
        <w:t>Девочки</w:t>
      </w:r>
    </w:p>
    <w:p w:rsidR="00000000" w:rsidRDefault="00000000">
      <w:pPr>
        <w:pStyle w:val="112"/>
        <w:spacing w:after="240"/>
        <w:rPr>
          <w:lang w:val="en-US"/>
        </w:rPr>
      </w:pPr>
      <w:r>
        <w:t>326.</w:t>
      </w:r>
      <w:r>
        <w:tab/>
        <w:t>Остается проблемой практика умерщвления плода и младенцев женского пола.  О масштабах этой проблемы свидетельствуют изменения в соотношении полов в категории детей.  По данным переписи 2001 года, 49 округов были признаны проблемными округами, где соотношение полов является крайне неблагоприятным.  Неблагоприятное соотношение полов в категории детей отмечается в штатах Пенджаб, Харьяна, Раджастхан, Гуджарат и Махараштра.  Коренные причины этого явления заключаются главным образом в отношении к женщинам в обществе и в их неблагоприятных социально-экономические условиях, о которых свидетельствует практика приданого.</w:t>
      </w:r>
    </w:p>
    <w:p w:rsidR="00000000" w:rsidRDefault="00000000">
      <w:pPr>
        <w:pStyle w:val="112"/>
        <w:spacing w:before="0" w:after="120"/>
        <w:rPr>
          <w:b/>
        </w:rPr>
      </w:pPr>
      <w:r>
        <w:rPr>
          <w:b/>
        </w:rPr>
        <w:t>Число девочек на 1000 мальчиков (0–6 лет), 1981–2001 годы</w:t>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704"/>
        <w:gridCol w:w="4004"/>
      </w:tblGrid>
      <w:tr w:rsidR="00000000">
        <w:tblPrEx>
          <w:tblCellMar>
            <w:top w:w="0" w:type="dxa"/>
            <w:bottom w:w="0" w:type="dxa"/>
          </w:tblCellMar>
        </w:tblPrEx>
        <w:trPr>
          <w:cantSplit/>
        </w:trPr>
        <w:tc>
          <w:tcPr>
            <w:tcW w:w="3704" w:type="dxa"/>
          </w:tcPr>
          <w:p w:rsidR="00000000" w:rsidRDefault="00000000">
            <w:pPr>
              <w:spacing w:before="120" w:after="120"/>
              <w:jc w:val="both"/>
              <w:rPr>
                <w:b/>
                <w:bCs/>
                <w:sz w:val="22"/>
                <w:szCs w:val="22"/>
                <w:u w:val="single"/>
              </w:rPr>
            </w:pPr>
            <w:r>
              <w:rPr>
                <w:b/>
                <w:bCs/>
                <w:sz w:val="22"/>
                <w:szCs w:val="22"/>
                <w:u w:val="single"/>
              </w:rPr>
              <w:t>Перепись населения</w:t>
            </w:r>
          </w:p>
        </w:tc>
        <w:tc>
          <w:tcPr>
            <w:tcW w:w="4004" w:type="dxa"/>
          </w:tcPr>
          <w:p w:rsidR="00000000" w:rsidRDefault="00000000">
            <w:pPr>
              <w:spacing w:before="120" w:after="120"/>
              <w:jc w:val="both"/>
              <w:rPr>
                <w:b/>
                <w:bCs/>
                <w:sz w:val="22"/>
                <w:szCs w:val="22"/>
                <w:u w:val="single"/>
              </w:rPr>
            </w:pPr>
            <w:r>
              <w:rPr>
                <w:b/>
                <w:bCs/>
                <w:sz w:val="22"/>
                <w:szCs w:val="22"/>
                <w:u w:val="single"/>
              </w:rPr>
              <w:t>Соотношение между полами (0–6 лет</w:t>
            </w:r>
            <w:r>
              <w:rPr>
                <w:b/>
                <w:bCs/>
                <w:sz w:val="22"/>
                <w:szCs w:val="22"/>
              </w:rPr>
              <w:t>)</w:t>
            </w:r>
          </w:p>
        </w:tc>
      </w:tr>
      <w:tr w:rsidR="00000000">
        <w:tblPrEx>
          <w:tblCellMar>
            <w:top w:w="0" w:type="dxa"/>
            <w:bottom w:w="0" w:type="dxa"/>
          </w:tblCellMar>
        </w:tblPrEx>
        <w:trPr>
          <w:cantSplit/>
        </w:trPr>
        <w:tc>
          <w:tcPr>
            <w:tcW w:w="3704" w:type="dxa"/>
          </w:tcPr>
          <w:p w:rsidR="00000000" w:rsidRDefault="00000000">
            <w:pPr>
              <w:ind w:left="1134"/>
              <w:rPr>
                <w:sz w:val="22"/>
                <w:szCs w:val="22"/>
              </w:rPr>
            </w:pPr>
            <w:r>
              <w:rPr>
                <w:sz w:val="22"/>
                <w:szCs w:val="22"/>
              </w:rPr>
              <w:t>1981 год</w:t>
            </w:r>
          </w:p>
        </w:tc>
        <w:tc>
          <w:tcPr>
            <w:tcW w:w="4004" w:type="dxa"/>
          </w:tcPr>
          <w:p w:rsidR="00000000" w:rsidRDefault="00000000">
            <w:pPr>
              <w:ind w:left="1134"/>
              <w:rPr>
                <w:sz w:val="22"/>
                <w:szCs w:val="22"/>
              </w:rPr>
            </w:pPr>
            <w:r>
              <w:rPr>
                <w:sz w:val="22"/>
                <w:szCs w:val="22"/>
              </w:rPr>
              <w:t>962</w:t>
            </w:r>
          </w:p>
        </w:tc>
      </w:tr>
      <w:tr w:rsidR="00000000">
        <w:tblPrEx>
          <w:tblCellMar>
            <w:top w:w="0" w:type="dxa"/>
            <w:bottom w:w="0" w:type="dxa"/>
          </w:tblCellMar>
        </w:tblPrEx>
        <w:trPr>
          <w:cantSplit/>
        </w:trPr>
        <w:tc>
          <w:tcPr>
            <w:tcW w:w="3704" w:type="dxa"/>
          </w:tcPr>
          <w:p w:rsidR="00000000" w:rsidRDefault="00000000">
            <w:pPr>
              <w:ind w:left="1134"/>
              <w:rPr>
                <w:sz w:val="22"/>
                <w:szCs w:val="22"/>
              </w:rPr>
            </w:pPr>
            <w:r>
              <w:rPr>
                <w:sz w:val="22"/>
                <w:szCs w:val="22"/>
              </w:rPr>
              <w:t>1991 год</w:t>
            </w:r>
          </w:p>
        </w:tc>
        <w:tc>
          <w:tcPr>
            <w:tcW w:w="4004" w:type="dxa"/>
          </w:tcPr>
          <w:p w:rsidR="00000000" w:rsidRDefault="00000000">
            <w:pPr>
              <w:ind w:left="1134"/>
              <w:rPr>
                <w:sz w:val="22"/>
                <w:szCs w:val="22"/>
              </w:rPr>
            </w:pPr>
            <w:r>
              <w:rPr>
                <w:sz w:val="22"/>
                <w:szCs w:val="22"/>
              </w:rPr>
              <w:t>945</w:t>
            </w:r>
          </w:p>
        </w:tc>
      </w:tr>
      <w:tr w:rsidR="00000000">
        <w:tblPrEx>
          <w:tblCellMar>
            <w:top w:w="0" w:type="dxa"/>
            <w:bottom w:w="0" w:type="dxa"/>
          </w:tblCellMar>
        </w:tblPrEx>
        <w:trPr>
          <w:cantSplit/>
        </w:trPr>
        <w:tc>
          <w:tcPr>
            <w:tcW w:w="3704" w:type="dxa"/>
          </w:tcPr>
          <w:p w:rsidR="00000000" w:rsidRDefault="00000000">
            <w:pPr>
              <w:ind w:left="1134"/>
              <w:rPr>
                <w:sz w:val="22"/>
                <w:szCs w:val="22"/>
              </w:rPr>
            </w:pPr>
            <w:r>
              <w:rPr>
                <w:sz w:val="22"/>
                <w:szCs w:val="22"/>
              </w:rPr>
              <w:t>2001 год</w:t>
            </w:r>
          </w:p>
        </w:tc>
        <w:tc>
          <w:tcPr>
            <w:tcW w:w="4004" w:type="dxa"/>
          </w:tcPr>
          <w:p w:rsidR="00000000" w:rsidRDefault="00000000">
            <w:pPr>
              <w:ind w:left="1134"/>
              <w:rPr>
                <w:sz w:val="22"/>
                <w:szCs w:val="22"/>
              </w:rPr>
            </w:pPr>
            <w:r>
              <w:rPr>
                <w:sz w:val="22"/>
                <w:szCs w:val="22"/>
              </w:rPr>
              <w:t>927</w:t>
            </w:r>
          </w:p>
        </w:tc>
      </w:tr>
    </w:tbl>
    <w:p w:rsidR="00000000" w:rsidRDefault="00000000">
      <w:pPr>
        <w:pStyle w:val="a3"/>
        <w:spacing w:before="120"/>
        <w:rPr>
          <w:rStyle w:val="111"/>
          <w:sz w:val="20"/>
          <w:szCs w:val="20"/>
        </w:rPr>
      </w:pPr>
      <w:r>
        <w:rPr>
          <w:b/>
          <w:bCs/>
          <w:szCs w:val="20"/>
        </w:rPr>
        <w:t>Источник:</w:t>
      </w:r>
      <w:r>
        <w:rPr>
          <w:rStyle w:val="111"/>
          <w:sz w:val="20"/>
          <w:szCs w:val="20"/>
        </w:rPr>
        <w:t xml:space="preserve">  Census of India 2001: Provisional population totals, Registrar General &amp; Census </w:t>
      </w:r>
      <w:r>
        <w:rPr>
          <w:rStyle w:val="111"/>
          <w:sz w:val="20"/>
          <w:szCs w:val="20"/>
        </w:rPr>
        <w:br/>
        <w:t>Commissioner, GOI, New Delhi.</w:t>
      </w:r>
    </w:p>
    <w:p w:rsidR="00000000" w:rsidRDefault="00000000">
      <w:pPr>
        <w:pStyle w:val="112"/>
      </w:pPr>
      <w:r>
        <w:t>327.</w:t>
      </w:r>
      <w:r>
        <w:tab/>
        <w:t>Расширение доступа к научным методам определения пола плода в утробе стало причиной того, что практика вытравления плода женского пола приобретает скрытые формы, которые трудно выявить и за которые трудно привлечь в ответственности.  Эта практика распространена на всей территории страны в отличие от практики умерщвления младенцев женского пола, которая является локальным явлением, характерным для ряда общин.</w:t>
      </w:r>
    </w:p>
    <w:p w:rsidR="00000000" w:rsidRDefault="00000000">
      <w:pPr>
        <w:pStyle w:val="112"/>
        <w:rPr>
          <w:rStyle w:val="111"/>
        </w:rPr>
      </w:pPr>
      <w:r>
        <w:rPr>
          <w:rStyle w:val="111"/>
        </w:rPr>
        <w:t>328.</w:t>
      </w:r>
      <w:r>
        <w:rPr>
          <w:rStyle w:val="111"/>
        </w:rPr>
        <w:tab/>
        <w:t>В целях пресечения этой практики и наказания виновных правительство приняло в 1994 году Закон о методах дородовой диагностики (регулирование и предотвращение злоупотреблений) для введения запрета на применение научных методов в генетических консультационных центрах или клиниках на предмет определения пола плода.  Любое нарушение положений этого Закона влечет за собой наказание в виде тюремного заключения.  Все диагностические клиники обязаны регистрироваться при правительствах штатов.  В положения этого закона недавно были внесены поправки в целях устранения возможности выбора пола до зачатия.  Были составлены и соответствующие подзаконные акты.  После этого была внесена поправка, изменившая название этого Закона на "Закон 1994 года о методах диагностики до зачатия и родов (регулирование выбора пола)"</w:t>
      </w:r>
      <w:r>
        <w:rPr>
          <w:rStyle w:val="FootnoteReference"/>
        </w:rPr>
        <w:footnoteReference w:customMarkFollows="1" w:id="51"/>
        <w:t>50</w:t>
      </w:r>
      <w:r>
        <w:rPr>
          <w:rStyle w:val="111"/>
        </w:rPr>
        <w:t>. Во исполнение указаний высшей судебной инстанции страны был создан Национальный контрольно-имплементационный комитет (3 декабря 2004 года) для оценки реальной ситуации на местах в плане осуществления Закона о методах диагностики до зачатия и родов путем посещения различных штатов/союзных территорий, где изменение соотношения полов в категории детей было наиболее существенным.</w:t>
      </w:r>
    </w:p>
    <w:p w:rsidR="00000000" w:rsidRDefault="00000000">
      <w:pPr>
        <w:pStyle w:val="112"/>
        <w:rPr>
          <w:rStyle w:val="111"/>
        </w:rPr>
      </w:pPr>
      <w:r>
        <w:rPr>
          <w:rStyle w:val="111"/>
        </w:rPr>
        <w:t>329.</w:t>
      </w:r>
      <w:r>
        <w:rPr>
          <w:rStyle w:val="111"/>
        </w:rPr>
        <w:tab/>
        <w:t>В соответствии с индийским Уголовным кодексом преступлением является и "провоцирование выкидыша".  Закон 1971 года о медицинском прерывании беременности регулирует практику абортов и призван предотвращать незаконные аборты.  Правительство осуществляет также программу охраны репродуктивного здоровья и здоровья детей</w:t>
      </w:r>
      <w:r>
        <w:rPr>
          <w:rStyle w:val="FootnoteReference"/>
        </w:rPr>
        <w:footnoteReference w:customMarkFollows="1" w:id="52"/>
        <w:t>51</w:t>
      </w:r>
      <w:r>
        <w:rPr>
          <w:rStyle w:val="111"/>
        </w:rPr>
        <w:t>, с тем чтобы поощрять роды в медицинских учреждениях и регулярные осмотры в дородовый период во избежание незаконных абортов и абортов с неблагоприятными последствиями для здоровья.</w:t>
      </w:r>
    </w:p>
    <w:p w:rsidR="00000000" w:rsidRDefault="00000000">
      <w:pPr>
        <w:pStyle w:val="112"/>
        <w:rPr>
          <w:rStyle w:val="111"/>
        </w:rPr>
      </w:pPr>
      <w:r>
        <w:rPr>
          <w:rStyle w:val="111"/>
        </w:rPr>
        <w:t>330.</w:t>
      </w:r>
      <w:r>
        <w:rPr>
          <w:rStyle w:val="111"/>
        </w:rPr>
        <w:tab/>
        <w:t xml:space="preserve">В целях защиты девочек в 1997 году стала осуществляться программа </w:t>
      </w:r>
      <w:r>
        <w:rPr>
          <w:i/>
        </w:rPr>
        <w:t>Балика Самридхи Йоджана</w:t>
      </w:r>
      <w:r>
        <w:rPr>
          <w:rStyle w:val="111"/>
        </w:rPr>
        <w:t>.  В 1999–2000 годах эта программа была пересмотрена и видоизменена.  В соответствии с этой программой правительство регулярно перечисляет на открытый для семьи счет денежные средства за первых двух девочек до достижения ими 18</w:t>
      </w:r>
      <w:r>
        <w:rPr>
          <w:rStyle w:val="111"/>
        </w:rPr>
        <w:noBreakHyphen/>
        <w:t xml:space="preserve">летнего возраста при условии, что они будут посещать школу и не выйдут замуж до 18 лет.  По достижении этого возраста им будут переданы депонированные средства с процентами.  В 1991–1992 годах с использованием инфраструктуры КПДР в 507 районах было начато осуществление специальной программы под названием "План в отношении девочек-подростков" для девочек-подростков в возрастной группе от 11 до 18 лет, которые бросили школу. В 2000 году эту программу переименовали в "Кишори Шакти Йоджана", обогатили ее содержательную часть и усилили учебный компонент в целях удовлетворения потребностей девочек-подростков в саморазвитии, питании, медицинской помощи, обучении грамоте и счету и овладении профессиональными навыками.  Было принято решение об осуществлении этой программы во всех 6 118 районах, где был утвержден  КПДР.  Другая программа под названием </w:t>
      </w:r>
      <w:r>
        <w:rPr>
          <w:i/>
        </w:rPr>
        <w:t>Кишори Шактхи Йоджана</w:t>
      </w:r>
      <w:r>
        <w:rPr>
          <w:rStyle w:val="111"/>
        </w:rPr>
        <w:t>, начатая в 1991–1992 годах, нацелена на подготовку девочек к тому, чтобы в будущем они играли свою продуктивную и репродуктивную роли.  Эта программа осуществляется в 6108 районах, где утвержден КПДР.</w:t>
      </w:r>
    </w:p>
    <w:p w:rsidR="00000000" w:rsidRDefault="00000000">
      <w:pPr>
        <w:pStyle w:val="112"/>
      </w:pPr>
      <w:r>
        <w:t>331.</w:t>
      </w:r>
      <w:r>
        <w:tab/>
        <w:t>В штате Тамилнад осуществляется программа для грудных детей, в соответствии с которой девочки, от которых отказываются семьи, могут быть оставлены на попечение штата.  В штате Харьяна, где доля девочек является наиболее низкой, осуществляется программа создания стимулов для семей, где рождаются девочки. Цель КПДР заключается также в ликвидации дискриминационной практики кормления.  Как уже отмечалось выше, создание в рамках этой программы яслей и центров по уходу за детьми в дневное время позволило освободить девочек от роли нянь, что выразилось в увеличении числа девочек, поступающих в начальные школы.</w:t>
      </w:r>
    </w:p>
    <w:p w:rsidR="00000000" w:rsidRDefault="00000000">
      <w:pPr>
        <w:pStyle w:val="112"/>
      </w:pPr>
      <w:r>
        <w:t>332.</w:t>
      </w:r>
      <w:r>
        <w:tab/>
        <w:t>В соответствии с рекомендацией Комиссии по планированию осуществляется также План по учету доли женщин, в соответствии с которым 30% ресурсов, выделяемых в рамках всех планов и программ, направляется на цели расширения прав и возможностей и обеспечения развития и самостоятельной занятости женщин и девочек.  Правительство распространяет также информацию о необходимости защиты девочек с использованием средств массовой информации.  В рамках инициативы по распространению информации с использованием персонажа по имени Мина популяризируются 12 мультипликационных фильмов и сюжетов, где девочка Мина успешно противостоит дискриминации во всех сферах жизни.</w:t>
      </w:r>
    </w:p>
    <w:p w:rsidR="00000000" w:rsidRDefault="00000000">
      <w:pPr>
        <w:jc w:val="both"/>
        <w:rPr>
          <w:b/>
          <w:bCs/>
          <w:sz w:val="24"/>
        </w:rPr>
      </w:pPr>
    </w:p>
    <w:p w:rsidR="00000000" w:rsidRDefault="00000000">
      <w:pPr>
        <w:jc w:val="both"/>
        <w:rPr>
          <w:rStyle w:val="111"/>
          <w:szCs w:val="22"/>
        </w:rPr>
      </w:pPr>
      <w:r>
        <w:rPr>
          <w:b/>
          <w:bCs/>
          <w:sz w:val="22"/>
          <w:szCs w:val="22"/>
        </w:rPr>
        <w:t>Детская проституция</w:t>
      </w:r>
    </w:p>
    <w:p w:rsidR="00000000" w:rsidRDefault="00000000">
      <w:pPr>
        <w:pStyle w:val="112"/>
        <w:spacing w:before="200"/>
      </w:pPr>
      <w:r>
        <w:t>333.</w:t>
      </w:r>
      <w:r>
        <w:tab/>
        <w:t>Результаты исследования, проведенного в 2000 году Центральным советом социального обеспечения, свидетельствуют о том, что 30% лиц, занимающихся проституцией, – это дети.  Подавляющее большинство девочек-проституток составляют выходцы из городских трущоб и подверженных засухе сельских районов и отсталых округов, где царят абсолютная нищета, невежество и неграмотность.  (</w:t>
      </w:r>
      <w:r>
        <w:rPr>
          <w:lang w:val="en-US"/>
        </w:rPr>
        <w:t>Indian</w:t>
      </w:r>
      <w:r>
        <w:t xml:space="preserve"> </w:t>
      </w:r>
      <w:r>
        <w:rPr>
          <w:lang w:val="en-US"/>
        </w:rPr>
        <w:t>Child</w:t>
      </w:r>
      <w:r>
        <w:t xml:space="preserve"> 2002- </w:t>
      </w:r>
      <w:r>
        <w:rPr>
          <w:lang w:val="en-US"/>
        </w:rPr>
        <w:t>A</w:t>
      </w:r>
      <w:r>
        <w:t xml:space="preserve"> </w:t>
      </w:r>
      <w:r>
        <w:rPr>
          <w:lang w:val="en-US"/>
        </w:rPr>
        <w:t>Profile</w:t>
      </w:r>
      <w:r>
        <w:t>).  За исключением некоторых каст, где проституция традиционно считается профессией, основной причиной, заставляющей детей заниматься проституцией, является нищета.</w:t>
      </w:r>
    </w:p>
    <w:p w:rsidR="00000000" w:rsidRDefault="00000000">
      <w:pPr>
        <w:pStyle w:val="112"/>
        <w:spacing w:before="200"/>
      </w:pPr>
      <w:r>
        <w:t>334.</w:t>
      </w:r>
      <w:r>
        <w:tab/>
        <w:t>Законом 1956 года о предотвращении аморальной торговли людьми с поправками, внесенными в него в 1986 году, предусмотрено наказание для тех, кто держит притоны и склоняет детей к занятию проституцией.  В этот закон вносятся поправки в целях расширения сферы его применения, сосредоточения внимания на судьбе жертв торговли людьми и повышении эффективности его применения, а также ужесточения наказания для лиц, занимающихся торговлей людьми, содержателей притонов и их клиентов.  Индия ратифицировала Конвенцию СААРК о предотвращении и пресечении торговли женщинами и детьми в целях проституции.</w:t>
      </w:r>
    </w:p>
    <w:p w:rsidR="00000000" w:rsidRDefault="00000000">
      <w:pPr>
        <w:pStyle w:val="112"/>
        <w:spacing w:before="200"/>
        <w:rPr>
          <w:rStyle w:val="111"/>
        </w:rPr>
      </w:pPr>
      <w:r>
        <w:rPr>
          <w:rStyle w:val="111"/>
        </w:rPr>
        <w:t>335.</w:t>
      </w:r>
      <w:r>
        <w:rPr>
          <w:rStyle w:val="111"/>
        </w:rPr>
        <w:tab/>
        <w:t>Верховный суд Индии принял постановления по многим делам, которые были возбуждены отдельными лицами, отстаивающими интересы общества, с помощью механизма судебных слушаний, затрагивающих интересы общества, в целях борьбы с торговлей людьми и сексуальной эксплуатацией женщин и детей и их реабилизации</w:t>
      </w:r>
      <w:r>
        <w:rPr>
          <w:rStyle w:val="FootnoteReference"/>
        </w:rPr>
        <w:footnoteReference w:customMarkFollows="1" w:id="53"/>
        <w:t>52</w:t>
      </w:r>
      <w:r>
        <w:rPr>
          <w:rStyle w:val="111"/>
        </w:rPr>
        <w:t xml:space="preserve">.  Министерство по делам развития женщин и детей выполнило эти постановления суда, разработав план действий и создав консультативные комитеты для выработки рекомендаций, направленных на спасение и реабилитацию пострадавших лиц.  </w:t>
      </w:r>
    </w:p>
    <w:p w:rsidR="00000000" w:rsidRDefault="00000000">
      <w:pPr>
        <w:pStyle w:val="112"/>
        <w:spacing w:before="200"/>
        <w:rPr>
          <w:rStyle w:val="111"/>
        </w:rPr>
      </w:pPr>
      <w:r>
        <w:rPr>
          <w:rStyle w:val="111"/>
        </w:rPr>
        <w:t>336.</w:t>
      </w:r>
      <w:r>
        <w:rPr>
          <w:rStyle w:val="111"/>
        </w:rPr>
        <w:tab/>
        <w:t xml:space="preserve">Начиная с 2001–2002 годов осуществляется финансируемая центральным правительством программа под названием </w:t>
      </w:r>
      <w:r>
        <w:rPr>
          <w:i/>
        </w:rPr>
        <w:t>Свадхар</w:t>
      </w:r>
      <w:r>
        <w:rPr>
          <w:i/>
          <w:sz w:val="24"/>
        </w:rPr>
        <w:t>,</w:t>
      </w:r>
      <w:r>
        <w:rPr>
          <w:rStyle w:val="111"/>
        </w:rPr>
        <w:t xml:space="preserve"> в которой особое внимание уделяется реабилитации женщин, лишенных средств к существованию, таких как работницы секс-индустрии, женщины и девочки, которых отдали в храмы, жертвы насилия в семье и других видов жестокого обращения.  На осуществление этой программы в десятом плане выделена сумма в размере 1 млрд. рупий.  В рамках этой программы, основанной на применении целостного подхода,  обеспечиваются кров, продукты питания, медицинская помощь и обучение навыкам, необходимым для трудоустройства.  </w:t>
      </w:r>
    </w:p>
    <w:p w:rsidR="00000000" w:rsidRDefault="00000000">
      <w:pPr>
        <w:pStyle w:val="112"/>
        <w:rPr>
          <w:rStyle w:val="111"/>
        </w:rPr>
      </w:pPr>
      <w:r>
        <w:rPr>
          <w:rStyle w:val="111"/>
        </w:rPr>
        <w:t>337.</w:t>
      </w:r>
      <w:r>
        <w:rPr>
          <w:rStyle w:val="111"/>
        </w:rPr>
        <w:tab/>
        <w:t>С 1998–1999 годов в стране действует телефон доверия под названием "Чайлдлайн сервисиз" в качестве круглосуточной бесплатной телефонной линии, которой могут воспользоваться дети, попавшие в беду</w:t>
      </w:r>
      <w:r>
        <w:rPr>
          <w:rStyle w:val="FootnoteReference"/>
        </w:rPr>
        <w:footnoteReference w:customMarkFollows="1" w:id="54"/>
        <w:t>53</w:t>
      </w:r>
      <w:r>
        <w:rPr>
          <w:rStyle w:val="111"/>
        </w:rPr>
        <w:t xml:space="preserve">, и  взрослые, обращающиеся от имени таких детей за неотложной помощью, а также в качестве службы, занимавшейся направлением к специалистам, с последующим контролем, обеспечением долгосрочного ухода с учетом потребностей ребенка.  Фонд "Чайлдлайн Индия" является в настоящее время головной организацией, которая координирует и контролирует работу этой службы, действующей в настоящее время в 55 городах.  К 31 декабря 2003 года операторы этой службы ответили на более чем 4,9 млн. звонков детей/обеспокоенных взрослых.  Аналогичный телефон доверия есть и для попавших в беду женщин. </w:t>
      </w:r>
    </w:p>
    <w:p w:rsidR="00000000" w:rsidRDefault="00000000">
      <w:pPr>
        <w:pStyle w:val="112"/>
      </w:pPr>
      <w:r>
        <w:t>338.</w:t>
      </w:r>
      <w:r>
        <w:tab/>
        <w:t>В чрезвычайных ситуациях и ситуациях, не предусмотренных действующими программами, правительство оказывает содействие в предоставлении социальной защиты добровольным организациям.  Такая помощь была оказана детям и вдовам, пострадавшим от действий боевиков в штате Джамму и Кашмир, а также жертвам циклонов в штате Орисса и детям и женщинам, ставшим жертвами волнений в штате Гуджарат.</w:t>
      </w:r>
    </w:p>
    <w:p w:rsidR="00000000" w:rsidRDefault="00000000">
      <w:pPr>
        <w:pStyle w:val="112"/>
      </w:pPr>
      <w:r>
        <w:t>339.</w:t>
      </w:r>
      <w:r>
        <w:tab/>
        <w:t>20 января 2006 года правительство ратифицировало Закон 2005 года о Комиссии по защите прав ребенка, который предусматривает учреждение национальной комиссии и комиссий на уровне штатов в целях обеспечения того, чтобы закрепленные в Конвенции о правах ребенка права не нарушались.</w:t>
      </w:r>
    </w:p>
    <w:p w:rsidR="00000000" w:rsidRDefault="00000000">
      <w:pPr>
        <w:spacing w:before="240"/>
        <w:jc w:val="center"/>
        <w:rPr>
          <w:b/>
          <w:bCs/>
          <w:sz w:val="24"/>
          <w:szCs w:val="22"/>
        </w:rPr>
      </w:pPr>
      <w:r>
        <w:rPr>
          <w:rStyle w:val="111"/>
          <w:b/>
          <w:bCs/>
          <w:sz w:val="24"/>
          <w:szCs w:val="22"/>
        </w:rPr>
        <w:t>С</w:t>
      </w:r>
      <w:r>
        <w:rPr>
          <w:b/>
          <w:bCs/>
          <w:sz w:val="24"/>
          <w:szCs w:val="22"/>
        </w:rPr>
        <w:t>татья 11</w:t>
      </w:r>
    </w:p>
    <w:p w:rsidR="00000000" w:rsidRDefault="00000000">
      <w:pPr>
        <w:jc w:val="center"/>
        <w:rPr>
          <w:b/>
          <w:bCs/>
          <w:sz w:val="22"/>
          <w:szCs w:val="22"/>
        </w:rPr>
      </w:pPr>
    </w:p>
    <w:p w:rsidR="00000000" w:rsidRDefault="00000000">
      <w:pPr>
        <w:jc w:val="center"/>
        <w:rPr>
          <w:b/>
          <w:bCs/>
          <w:sz w:val="22"/>
          <w:szCs w:val="22"/>
        </w:rPr>
      </w:pPr>
      <w:r>
        <w:rPr>
          <w:b/>
          <w:bCs/>
          <w:sz w:val="22"/>
          <w:szCs w:val="22"/>
        </w:rPr>
        <w:t>Право на достаточный жизненный уровень</w:t>
      </w:r>
    </w:p>
    <w:p w:rsidR="00000000" w:rsidRDefault="00000000">
      <w:pPr>
        <w:rPr>
          <w:b/>
          <w:bCs/>
          <w:sz w:val="22"/>
          <w:szCs w:val="22"/>
        </w:rPr>
      </w:pPr>
    </w:p>
    <w:p w:rsidR="00000000" w:rsidRDefault="00000000">
      <w:pPr>
        <w:spacing w:before="120"/>
        <w:jc w:val="both"/>
        <w:rPr>
          <w:b/>
          <w:bCs/>
          <w:sz w:val="22"/>
          <w:szCs w:val="22"/>
        </w:rPr>
      </w:pPr>
      <w:r>
        <w:rPr>
          <w:b/>
          <w:bCs/>
          <w:sz w:val="22"/>
          <w:szCs w:val="22"/>
        </w:rPr>
        <w:t>Развитие человеческого потенциала/условия жизни</w:t>
      </w:r>
    </w:p>
    <w:p w:rsidR="00000000" w:rsidRDefault="00000000">
      <w:pPr>
        <w:jc w:val="both"/>
        <w:rPr>
          <w:sz w:val="22"/>
          <w:szCs w:val="22"/>
        </w:rPr>
      </w:pPr>
    </w:p>
    <w:p w:rsidR="00000000" w:rsidRDefault="00000000">
      <w:pPr>
        <w:jc w:val="both"/>
        <w:rPr>
          <w:rStyle w:val="111"/>
        </w:rPr>
      </w:pPr>
      <w:r>
        <w:rPr>
          <w:rStyle w:val="111"/>
        </w:rPr>
        <w:t>340.</w:t>
      </w:r>
      <w:r>
        <w:rPr>
          <w:rStyle w:val="111"/>
        </w:rPr>
        <w:tab/>
        <w:t>В преамбуле к Конституции излагаются некоторые главные цели, такие как обеспечение социальной справедливости и достоинства человеческой личности и построение общества социалистического типа.  Главной обязанностью государства является также устранение различных форм неравенства и повышение уровня питания и уровня жизни в соответствии с основными принципами государственной политики, закрепленными в части IV Конституции Индии.  Активную роль играют в этом деле и суды страны, которые признают, что предметы первой необходимости являются неотъемлемой частью права на жизнь в соответствии с Конституцией, которая охватывает, среди прочего, право на питание, право на одежду, право на достойную среду обитания и нормальное жилье</w:t>
      </w:r>
      <w:r>
        <w:rPr>
          <w:rStyle w:val="FootnoteReference"/>
        </w:rPr>
        <w:footnoteReference w:customMarkFollows="1" w:id="55"/>
        <w:t>54</w:t>
      </w:r>
      <w:r>
        <w:rPr>
          <w:rStyle w:val="111"/>
        </w:rPr>
        <w:t>.</w:t>
      </w:r>
    </w:p>
    <w:p w:rsidR="00000000" w:rsidRDefault="00000000">
      <w:pPr>
        <w:pStyle w:val="112"/>
      </w:pPr>
      <w:r>
        <w:t>341.</w:t>
      </w:r>
      <w:r>
        <w:tab/>
        <w:t>Страна взяла курс на плановое развитие экономики, направленное главным образом на повышение дохода на душу населения, путем создания в 1951 году  Комиссии по планированию в расчете на то, что рост и развитие приведут к "просачиванию" благ к более бедным слоям и повышению уровня их жизни.  Однако после применения на протяжении целых десятилетий  методов планирования выяснилось, что экономический рост к "просачиванию благ сверху вниз" не привел.  В результате в последние годы подход был изменен, и основной целью экономического развития стало не увеличение показателя дохода на душу населения, а расширение возможностей и развитие человеческого потенциала.  В рамках различных принятых мер осуществляются программы, нацеленные главным образом на укрепление потенциала населения страны.</w:t>
      </w:r>
    </w:p>
    <w:p w:rsidR="00000000" w:rsidRDefault="00000000">
      <w:pPr>
        <w:pStyle w:val="112"/>
      </w:pPr>
      <w:r>
        <w:t>342.</w:t>
      </w:r>
      <w:r>
        <w:tab/>
        <w:t>Эти программы направлены на решение проблем нищеты, безработицы, низкого уровня жизни и расширяющегося разрыва между городскими и сельскими районами в результате урбанизации и индустриализации.  Неотъемлемым элементом многих программ является обеспечение адекватного доступа к продовольствию, одежде и крову.  Они рассчитаны главным образом на социально обездоленные классы, такие как безземельные труженики, безработная молодежь в сельских и городских районах, жители городских трущоб и женщины.</w:t>
      </w:r>
    </w:p>
    <w:p w:rsidR="00000000" w:rsidRDefault="00000000">
      <w:pPr>
        <w:pStyle w:val="112"/>
        <w:rPr>
          <w:rStyle w:val="111"/>
        </w:rPr>
      </w:pPr>
      <w:r>
        <w:rPr>
          <w:rStyle w:val="111"/>
        </w:rPr>
        <w:t>343.</w:t>
      </w:r>
      <w:r>
        <w:rPr>
          <w:rStyle w:val="111"/>
        </w:rPr>
        <w:tab/>
        <w:t xml:space="preserve">Для целей мониторинга и оценки этих мер с 1975 года осуществляется пакет программ под названием </w:t>
      </w:r>
      <w:r>
        <w:rPr>
          <w:i/>
        </w:rPr>
        <w:t>Программа из 20 пунктов (ПДП-86</w:t>
      </w:r>
      <w:r>
        <w:rPr>
          <w:i/>
          <w:sz w:val="24"/>
        </w:rPr>
        <w:t>)</w:t>
      </w:r>
      <w:r>
        <w:rPr>
          <w:rStyle w:val="111"/>
        </w:rPr>
        <w:t xml:space="preserve">.  Контроль осуществляется по 119 позициям, из которых по 20 пунктам контроль осуществляется на ежемесячной основе, и по результатам этого составляется ежемесячный отчет о проделанной работе.  Соответствующие министерства и ведомства, занимающиеся осуществлением программы ПДП-86, устанавливают ежегодные целевые показатели по согласованию со штатами.  Головным министерством, осуществляющим контроль за "Программой из 20 пунктов", является </w:t>
      </w:r>
      <w:r>
        <w:rPr>
          <w:rStyle w:val="111"/>
          <w:caps/>
        </w:rPr>
        <w:t>м</w:t>
      </w:r>
      <w:r>
        <w:rPr>
          <w:rStyle w:val="111"/>
        </w:rPr>
        <w:t>инистерство статистики и реализации программ.</w:t>
      </w:r>
    </w:p>
    <w:p w:rsidR="00000000" w:rsidRDefault="00000000">
      <w:pPr>
        <w:pStyle w:val="112"/>
      </w:pPr>
      <w:r>
        <w:t>344.</w:t>
      </w:r>
      <w:r>
        <w:tab/>
        <w:t xml:space="preserve">Министерство по делам развития сельских районов курирует вопросы политики, практических действий и координации по отношению к программам, касающимся сельских районов.  В административном подчинении министерства находятся департамент развития сельских районов, департамент земельных ресурсов и департамент снабжения питьевой водой.  Аналогичным образом, головным учреждениям, отвечающим за осуществление соответствующих усилий в городских районах, является </w:t>
      </w:r>
      <w:r>
        <w:rPr>
          <w:caps/>
        </w:rPr>
        <w:t>м</w:t>
      </w:r>
      <w:r>
        <w:t>инистерство городского развития и ликвидации бедности.  В административном подчинении министерства находится департамент городского развития и департамент обеспечения занятости в городских районах и ликвидации бедности.</w:t>
      </w:r>
    </w:p>
    <w:p w:rsidR="00000000" w:rsidRDefault="00000000">
      <w:pPr>
        <w:pStyle w:val="112"/>
        <w:rPr>
          <w:rStyle w:val="111"/>
        </w:rPr>
      </w:pPr>
      <w:r>
        <w:rPr>
          <w:rStyle w:val="111"/>
        </w:rPr>
        <w:t>345.</w:t>
      </w:r>
      <w:r>
        <w:rPr>
          <w:rStyle w:val="111"/>
        </w:rPr>
        <w:tab/>
        <w:t>Принятые в этом направлении меры способствовали значительному повышению уровня жизни в стране.  По оценкам ПРООН, индекс развития человеческого потенциала в Индии значительно возрос – с 0,416 в 1975 году до 0,590 в 2001 году.  Вместе с тем эти программы не обеспечивают достаточный охват и должную эффективность во многих сельских районах, главным образом из-за плохой информированности о многих из этих программ, а также из-за того, что возникают проблемы с определением тех, кто действительно в них нуждается.  К решению вопросов, связанных с определением круга бенефициаров, осуществлением программ и руководством ими, привлекаются массовые демократические институты, такие как панчаяты (местные органы управления)</w:t>
      </w:r>
      <w:r>
        <w:rPr>
          <w:rStyle w:val="FootnoteReference"/>
        </w:rPr>
        <w:footnoteReference w:customMarkFollows="1" w:id="56"/>
        <w:t>55</w:t>
      </w:r>
      <w:r>
        <w:rPr>
          <w:rStyle w:val="111"/>
        </w:rPr>
        <w:t>, что обеспечивает участие общин.</w:t>
      </w:r>
    </w:p>
    <w:p w:rsidR="00000000" w:rsidRDefault="00000000">
      <w:pPr>
        <w:jc w:val="both"/>
        <w:rPr>
          <w:b/>
          <w:bCs/>
          <w:sz w:val="24"/>
        </w:rPr>
      </w:pPr>
    </w:p>
    <w:p w:rsidR="00000000" w:rsidRDefault="00000000">
      <w:pPr>
        <w:keepNext/>
        <w:jc w:val="both"/>
        <w:rPr>
          <w:b/>
          <w:bCs/>
          <w:sz w:val="22"/>
          <w:szCs w:val="22"/>
        </w:rPr>
      </w:pPr>
      <w:r>
        <w:rPr>
          <w:b/>
          <w:bCs/>
          <w:sz w:val="22"/>
          <w:szCs w:val="22"/>
        </w:rPr>
        <w:t>Показатели уровня жизни на нынешнем этапе</w:t>
      </w:r>
    </w:p>
    <w:p w:rsidR="00000000" w:rsidRDefault="00000000">
      <w:pPr>
        <w:pStyle w:val="112"/>
        <w:keepNext/>
        <w:rPr>
          <w:rStyle w:val="111"/>
        </w:rPr>
      </w:pPr>
      <w:r>
        <w:rPr>
          <w:rStyle w:val="111"/>
        </w:rPr>
        <w:t>346.</w:t>
      </w:r>
      <w:r>
        <w:rPr>
          <w:rStyle w:val="111"/>
        </w:rPr>
        <w:tab/>
        <w:t xml:space="preserve">Одним из главных показателей уровня жизни, который используется на официальном уровне и Комиссией по планированию, является </w:t>
      </w:r>
      <w:r>
        <w:rPr>
          <w:i/>
        </w:rPr>
        <w:t>число людей, живущих ниже черты бедности</w:t>
      </w:r>
      <w:r>
        <w:rPr>
          <w:rStyle w:val="111"/>
        </w:rPr>
        <w:t>.  Для этого определяется размер потребительских расходов в расчете на душу населения с учетом потребительской корзины, которая отражает суточную норму потребления калорий на душу населения в размере 2400 ккал в сельских районах и 2100 ккал в городских районах и удовлетворяет минимальные не связанные с продовольствием потребности в плане одежды, крова и транспорта.  По ценам 1999–2000 годов национальный показатель черты бедности в стране составлял 327,56 рупий на душу населения в месяц в сельских районах и 454,11 рупий на душу населения в месяц в городских районах.  Черта бедности рассчитывается отдельно по различным штатам путем дезагрегирования показателя черты бедности в целом по стране, с тем чтобы отразить относительную разницу в ценах между различными штатами и различия в темпах инфляции между штатами.</w:t>
      </w:r>
    </w:p>
    <w:p w:rsidR="00000000" w:rsidRDefault="00000000">
      <w:pPr>
        <w:pStyle w:val="112"/>
        <w:rPr>
          <w:rStyle w:val="111"/>
        </w:rPr>
      </w:pPr>
      <w:r>
        <w:rPr>
          <w:rStyle w:val="111"/>
        </w:rPr>
        <w:t>347.</w:t>
      </w:r>
      <w:r>
        <w:rPr>
          <w:rStyle w:val="111"/>
        </w:rPr>
        <w:tab/>
        <w:t xml:space="preserve">Комиссия по планированию рассчитывает показатель бедности в целом по стране и на уровне штатов путем применения показателя черты бедности к распределению между классами </w:t>
      </w:r>
      <w:r>
        <w:rPr>
          <w:i/>
        </w:rPr>
        <w:t>показателя потребительских расходов домохозяйств</w:t>
      </w:r>
      <w:r>
        <w:rPr>
          <w:rStyle w:val="111"/>
        </w:rPr>
        <w:t>, полученного в результате крупных выборочных обследований потребительских расходов домохозяйств, которые  раз в пять лет проводит Национальная организация по проведению выборочных обследований.  За период с 1987 по 2001 год отмечено значительное снижение доли населения, живущего за чертой бедности.  В абсолютном выражении число бедных уменьшилось с 323 млн. в 1983 году до 260 млн. в 1999–2000 годах, несмотря на резкое увеличение численности населения  страны.  В приводимой ниже таблице отражены изменения в уровне бедности, которые имели место за последние 15 лет.</w:t>
      </w:r>
    </w:p>
    <w:p w:rsidR="00000000" w:rsidRDefault="00000000">
      <w:pPr>
        <w:pStyle w:val="112"/>
        <w:spacing w:before="160" w:after="240"/>
        <w:rPr>
          <w:b/>
          <w:bCs/>
        </w:rPr>
      </w:pPr>
      <w:r>
        <w:rPr>
          <w:b/>
          <w:bCs/>
        </w:rPr>
        <w:t>Доля населения штатов/союзных территорий, живущего за чертой бедности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4"/>
        <w:gridCol w:w="1063"/>
        <w:gridCol w:w="964"/>
        <w:gridCol w:w="868"/>
        <w:gridCol w:w="858"/>
        <w:gridCol w:w="964"/>
        <w:gridCol w:w="822"/>
        <w:gridCol w:w="858"/>
        <w:gridCol w:w="964"/>
        <w:gridCol w:w="804"/>
      </w:tblGrid>
      <w:tr w:rsidR="00000000">
        <w:tblPrEx>
          <w:tblCellMar>
            <w:top w:w="0" w:type="dxa"/>
            <w:bottom w:w="0" w:type="dxa"/>
          </w:tblCellMar>
        </w:tblPrEx>
        <w:trPr>
          <w:trHeight w:val="184"/>
          <w:tblHeader/>
          <w:jc w:val="center"/>
        </w:trPr>
        <w:tc>
          <w:tcPr>
            <w:tcW w:w="1465" w:type="dxa"/>
          </w:tcPr>
          <w:p w:rsidR="00000000" w:rsidRDefault="00000000">
            <w:pPr>
              <w:spacing w:before="40" w:after="40"/>
              <w:rPr>
                <w:b/>
                <w:bCs/>
                <w:sz w:val="20"/>
                <w:szCs w:val="20"/>
              </w:rPr>
            </w:pPr>
            <w:r>
              <w:rPr>
                <w:b/>
                <w:bCs/>
                <w:sz w:val="20"/>
                <w:szCs w:val="20"/>
              </w:rPr>
              <w:t>Штаты/ союзные территории</w:t>
            </w:r>
          </w:p>
        </w:tc>
        <w:tc>
          <w:tcPr>
            <w:tcW w:w="2875" w:type="dxa"/>
            <w:gridSpan w:val="3"/>
            <w:vAlign w:val="center"/>
          </w:tcPr>
          <w:p w:rsidR="00000000" w:rsidRDefault="00000000">
            <w:pPr>
              <w:spacing w:before="40" w:after="40"/>
              <w:jc w:val="center"/>
              <w:rPr>
                <w:b/>
                <w:bCs/>
                <w:sz w:val="20"/>
                <w:szCs w:val="20"/>
              </w:rPr>
            </w:pPr>
            <w:r>
              <w:rPr>
                <w:b/>
                <w:bCs/>
                <w:sz w:val="20"/>
                <w:szCs w:val="20"/>
              </w:rPr>
              <w:t>1987–88</w:t>
            </w:r>
          </w:p>
        </w:tc>
        <w:tc>
          <w:tcPr>
            <w:tcW w:w="2625" w:type="dxa"/>
            <w:gridSpan w:val="3"/>
            <w:vAlign w:val="center"/>
          </w:tcPr>
          <w:p w:rsidR="00000000" w:rsidRDefault="00000000">
            <w:pPr>
              <w:spacing w:before="40" w:after="40"/>
              <w:jc w:val="center"/>
              <w:rPr>
                <w:b/>
                <w:bCs/>
                <w:sz w:val="20"/>
                <w:szCs w:val="20"/>
              </w:rPr>
            </w:pPr>
            <w:r>
              <w:rPr>
                <w:b/>
                <w:bCs/>
                <w:sz w:val="20"/>
                <w:szCs w:val="20"/>
              </w:rPr>
              <w:t>1993–94</w:t>
            </w:r>
          </w:p>
        </w:tc>
        <w:tc>
          <w:tcPr>
            <w:tcW w:w="2607" w:type="dxa"/>
            <w:gridSpan w:val="3"/>
            <w:vAlign w:val="center"/>
          </w:tcPr>
          <w:p w:rsidR="00000000" w:rsidRDefault="00000000">
            <w:pPr>
              <w:spacing w:before="40" w:after="40"/>
              <w:jc w:val="center"/>
              <w:rPr>
                <w:b/>
                <w:bCs/>
                <w:sz w:val="20"/>
                <w:szCs w:val="20"/>
              </w:rPr>
            </w:pPr>
            <w:r>
              <w:rPr>
                <w:b/>
                <w:bCs/>
                <w:sz w:val="20"/>
                <w:szCs w:val="20"/>
              </w:rPr>
              <w:t>1999–2000</w:t>
            </w:r>
          </w:p>
        </w:tc>
      </w:tr>
      <w:tr w:rsidR="00000000">
        <w:tblPrEx>
          <w:tblCellMar>
            <w:top w:w="0" w:type="dxa"/>
            <w:left w:w="28" w:type="dxa"/>
            <w:bottom w:w="0" w:type="dxa"/>
            <w:right w:w="28" w:type="dxa"/>
          </w:tblCellMar>
        </w:tblPrEx>
        <w:trPr>
          <w:tblHeader/>
          <w:jc w:val="center"/>
        </w:trPr>
        <w:tc>
          <w:tcPr>
            <w:tcW w:w="1465" w:type="dxa"/>
          </w:tcPr>
          <w:p w:rsidR="00000000" w:rsidRDefault="00000000">
            <w:pPr>
              <w:spacing w:before="40" w:after="40"/>
              <w:jc w:val="both"/>
              <w:rPr>
                <w:sz w:val="20"/>
                <w:szCs w:val="20"/>
              </w:rPr>
            </w:pPr>
          </w:p>
        </w:tc>
        <w:tc>
          <w:tcPr>
            <w:tcW w:w="1056" w:type="dxa"/>
          </w:tcPr>
          <w:p w:rsidR="00000000" w:rsidRDefault="00000000">
            <w:pPr>
              <w:spacing w:before="40" w:after="40"/>
              <w:jc w:val="center"/>
              <w:rPr>
                <w:sz w:val="20"/>
                <w:szCs w:val="20"/>
              </w:rPr>
            </w:pPr>
            <w:r>
              <w:rPr>
                <w:sz w:val="20"/>
                <w:szCs w:val="20"/>
              </w:rPr>
              <w:t>Сельские районы</w:t>
            </w:r>
          </w:p>
        </w:tc>
        <w:tc>
          <w:tcPr>
            <w:tcW w:w="957" w:type="dxa"/>
          </w:tcPr>
          <w:p w:rsidR="00000000" w:rsidRDefault="00000000">
            <w:pPr>
              <w:spacing w:before="40" w:after="40"/>
              <w:jc w:val="center"/>
              <w:rPr>
                <w:sz w:val="20"/>
                <w:szCs w:val="20"/>
              </w:rPr>
            </w:pPr>
            <w:r>
              <w:rPr>
                <w:sz w:val="20"/>
                <w:szCs w:val="20"/>
              </w:rPr>
              <w:t>Городские районы</w:t>
            </w:r>
          </w:p>
        </w:tc>
        <w:tc>
          <w:tcPr>
            <w:tcW w:w="862" w:type="dxa"/>
          </w:tcPr>
          <w:p w:rsidR="00000000" w:rsidRDefault="00000000">
            <w:pPr>
              <w:spacing w:before="40" w:after="40"/>
              <w:jc w:val="center"/>
              <w:rPr>
                <w:sz w:val="20"/>
                <w:szCs w:val="20"/>
              </w:rPr>
            </w:pPr>
            <w:r>
              <w:rPr>
                <w:sz w:val="20"/>
                <w:szCs w:val="20"/>
              </w:rPr>
              <w:t xml:space="preserve">Взятые </w:t>
            </w:r>
            <w:r>
              <w:rPr>
                <w:sz w:val="20"/>
                <w:szCs w:val="20"/>
              </w:rPr>
              <w:br/>
              <w:t>в целом</w:t>
            </w:r>
          </w:p>
        </w:tc>
        <w:tc>
          <w:tcPr>
            <w:tcW w:w="852" w:type="dxa"/>
          </w:tcPr>
          <w:p w:rsidR="00000000" w:rsidRDefault="00000000">
            <w:pPr>
              <w:spacing w:before="40" w:after="40"/>
              <w:jc w:val="center"/>
              <w:rPr>
                <w:sz w:val="20"/>
                <w:szCs w:val="20"/>
              </w:rPr>
            </w:pPr>
            <w:r>
              <w:rPr>
                <w:sz w:val="20"/>
                <w:szCs w:val="20"/>
              </w:rPr>
              <w:t>Сельские районы</w:t>
            </w:r>
          </w:p>
        </w:tc>
        <w:tc>
          <w:tcPr>
            <w:tcW w:w="957" w:type="dxa"/>
          </w:tcPr>
          <w:p w:rsidR="00000000" w:rsidRDefault="00000000">
            <w:pPr>
              <w:spacing w:before="40" w:after="40"/>
              <w:jc w:val="center"/>
              <w:rPr>
                <w:sz w:val="20"/>
                <w:szCs w:val="20"/>
              </w:rPr>
            </w:pPr>
            <w:r>
              <w:rPr>
                <w:sz w:val="20"/>
                <w:szCs w:val="20"/>
              </w:rPr>
              <w:t>Городские районы</w:t>
            </w:r>
          </w:p>
        </w:tc>
        <w:tc>
          <w:tcPr>
            <w:tcW w:w="816" w:type="dxa"/>
          </w:tcPr>
          <w:p w:rsidR="00000000" w:rsidRDefault="00000000">
            <w:pPr>
              <w:spacing w:before="40" w:after="40"/>
              <w:jc w:val="center"/>
              <w:rPr>
                <w:sz w:val="20"/>
                <w:szCs w:val="20"/>
              </w:rPr>
            </w:pPr>
            <w:r>
              <w:rPr>
                <w:sz w:val="20"/>
                <w:szCs w:val="20"/>
              </w:rPr>
              <w:t>Взятые</w:t>
            </w:r>
            <w:r>
              <w:rPr>
                <w:sz w:val="20"/>
                <w:szCs w:val="20"/>
              </w:rPr>
              <w:br/>
              <w:t>в целом</w:t>
            </w:r>
          </w:p>
        </w:tc>
        <w:tc>
          <w:tcPr>
            <w:tcW w:w="852" w:type="dxa"/>
          </w:tcPr>
          <w:p w:rsidR="00000000" w:rsidRDefault="00000000">
            <w:pPr>
              <w:spacing w:before="40" w:after="40"/>
              <w:jc w:val="center"/>
              <w:rPr>
                <w:sz w:val="20"/>
                <w:szCs w:val="20"/>
              </w:rPr>
            </w:pPr>
            <w:r>
              <w:rPr>
                <w:sz w:val="20"/>
                <w:szCs w:val="20"/>
              </w:rPr>
              <w:t>Сельские районы</w:t>
            </w:r>
          </w:p>
        </w:tc>
        <w:tc>
          <w:tcPr>
            <w:tcW w:w="957" w:type="dxa"/>
          </w:tcPr>
          <w:p w:rsidR="00000000" w:rsidRDefault="00000000">
            <w:pPr>
              <w:spacing w:before="40" w:after="40"/>
              <w:jc w:val="center"/>
              <w:rPr>
                <w:sz w:val="20"/>
                <w:szCs w:val="20"/>
              </w:rPr>
            </w:pPr>
            <w:r>
              <w:rPr>
                <w:sz w:val="20"/>
                <w:szCs w:val="20"/>
              </w:rPr>
              <w:t>Городские районы</w:t>
            </w:r>
          </w:p>
        </w:tc>
        <w:tc>
          <w:tcPr>
            <w:tcW w:w="798" w:type="dxa"/>
          </w:tcPr>
          <w:p w:rsidR="00000000" w:rsidRDefault="00000000">
            <w:pPr>
              <w:spacing w:before="40" w:after="40"/>
              <w:jc w:val="center"/>
              <w:rPr>
                <w:sz w:val="20"/>
                <w:szCs w:val="20"/>
              </w:rPr>
            </w:pPr>
            <w:r>
              <w:rPr>
                <w:sz w:val="20"/>
                <w:szCs w:val="20"/>
              </w:rPr>
              <w:t>Взятые в целом</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Андхра-Прадеш</w:t>
            </w:r>
          </w:p>
        </w:tc>
        <w:tc>
          <w:tcPr>
            <w:tcW w:w="1056" w:type="dxa"/>
            <w:vAlign w:val="center"/>
          </w:tcPr>
          <w:p w:rsidR="00000000" w:rsidRDefault="00000000">
            <w:pPr>
              <w:tabs>
                <w:tab w:val="decimal" w:pos="397"/>
              </w:tabs>
              <w:spacing w:before="40" w:after="40"/>
              <w:ind w:right="57"/>
              <w:rPr>
                <w:sz w:val="20"/>
                <w:szCs w:val="20"/>
              </w:rPr>
            </w:pPr>
            <w:r>
              <w:rPr>
                <w:sz w:val="20"/>
                <w:szCs w:val="20"/>
              </w:rPr>
              <w:t>20,9</w:t>
            </w:r>
          </w:p>
        </w:tc>
        <w:tc>
          <w:tcPr>
            <w:tcW w:w="957" w:type="dxa"/>
            <w:vAlign w:val="center"/>
          </w:tcPr>
          <w:p w:rsidR="00000000" w:rsidRDefault="00000000">
            <w:pPr>
              <w:tabs>
                <w:tab w:val="decimal" w:pos="397"/>
              </w:tabs>
              <w:spacing w:before="40" w:after="40"/>
              <w:ind w:right="57"/>
              <w:rPr>
                <w:sz w:val="20"/>
                <w:szCs w:val="20"/>
              </w:rPr>
            </w:pPr>
            <w:r>
              <w:rPr>
                <w:sz w:val="20"/>
                <w:szCs w:val="20"/>
              </w:rPr>
              <w:t>40,1</w:t>
            </w:r>
          </w:p>
        </w:tc>
        <w:tc>
          <w:tcPr>
            <w:tcW w:w="862" w:type="dxa"/>
            <w:vAlign w:val="center"/>
          </w:tcPr>
          <w:p w:rsidR="00000000" w:rsidRDefault="00000000">
            <w:pPr>
              <w:tabs>
                <w:tab w:val="decimal" w:pos="397"/>
              </w:tabs>
              <w:spacing w:before="40" w:after="40"/>
              <w:ind w:right="57"/>
              <w:rPr>
                <w:sz w:val="20"/>
                <w:szCs w:val="20"/>
              </w:rPr>
            </w:pPr>
            <w:r>
              <w:rPr>
                <w:sz w:val="20"/>
                <w:szCs w:val="20"/>
              </w:rPr>
              <w:t>25,9</w:t>
            </w:r>
          </w:p>
        </w:tc>
        <w:tc>
          <w:tcPr>
            <w:tcW w:w="852" w:type="dxa"/>
            <w:vAlign w:val="center"/>
          </w:tcPr>
          <w:p w:rsidR="00000000" w:rsidRDefault="00000000">
            <w:pPr>
              <w:tabs>
                <w:tab w:val="decimal" w:pos="397"/>
              </w:tabs>
              <w:spacing w:before="40" w:after="40"/>
              <w:ind w:right="57"/>
              <w:rPr>
                <w:sz w:val="20"/>
                <w:szCs w:val="20"/>
              </w:rPr>
            </w:pPr>
            <w:r>
              <w:rPr>
                <w:sz w:val="20"/>
                <w:szCs w:val="20"/>
              </w:rPr>
              <w:t>15,9</w:t>
            </w:r>
          </w:p>
        </w:tc>
        <w:tc>
          <w:tcPr>
            <w:tcW w:w="957" w:type="dxa"/>
            <w:vAlign w:val="center"/>
          </w:tcPr>
          <w:p w:rsidR="00000000" w:rsidRDefault="00000000">
            <w:pPr>
              <w:tabs>
                <w:tab w:val="decimal" w:pos="397"/>
              </w:tabs>
              <w:spacing w:before="40" w:after="40"/>
              <w:ind w:right="57"/>
              <w:rPr>
                <w:sz w:val="20"/>
                <w:szCs w:val="20"/>
              </w:rPr>
            </w:pPr>
            <w:r>
              <w:rPr>
                <w:sz w:val="20"/>
                <w:szCs w:val="20"/>
              </w:rPr>
              <w:t>38,3</w:t>
            </w:r>
          </w:p>
        </w:tc>
        <w:tc>
          <w:tcPr>
            <w:tcW w:w="816" w:type="dxa"/>
            <w:vAlign w:val="center"/>
          </w:tcPr>
          <w:p w:rsidR="00000000" w:rsidRDefault="00000000">
            <w:pPr>
              <w:tabs>
                <w:tab w:val="decimal" w:pos="340"/>
              </w:tabs>
              <w:spacing w:before="40" w:after="40"/>
              <w:ind w:right="57"/>
              <w:rPr>
                <w:sz w:val="20"/>
                <w:szCs w:val="20"/>
              </w:rPr>
            </w:pPr>
            <w:r>
              <w:rPr>
                <w:sz w:val="20"/>
                <w:szCs w:val="20"/>
              </w:rPr>
              <w:t>22,2</w:t>
            </w:r>
          </w:p>
        </w:tc>
        <w:tc>
          <w:tcPr>
            <w:tcW w:w="852" w:type="dxa"/>
            <w:vAlign w:val="center"/>
          </w:tcPr>
          <w:p w:rsidR="00000000" w:rsidRDefault="00000000">
            <w:pPr>
              <w:tabs>
                <w:tab w:val="decimal" w:pos="340"/>
              </w:tabs>
              <w:spacing w:before="40" w:after="40"/>
              <w:ind w:right="57"/>
              <w:rPr>
                <w:sz w:val="20"/>
                <w:szCs w:val="20"/>
              </w:rPr>
            </w:pPr>
            <w:r>
              <w:rPr>
                <w:sz w:val="20"/>
                <w:szCs w:val="20"/>
              </w:rPr>
              <w:t>11,1</w:t>
            </w:r>
          </w:p>
        </w:tc>
        <w:tc>
          <w:tcPr>
            <w:tcW w:w="957" w:type="dxa"/>
            <w:vAlign w:val="center"/>
          </w:tcPr>
          <w:p w:rsidR="00000000" w:rsidRDefault="00000000">
            <w:pPr>
              <w:tabs>
                <w:tab w:val="decimal" w:pos="397"/>
              </w:tabs>
              <w:spacing w:before="40" w:after="40"/>
              <w:ind w:right="57"/>
              <w:rPr>
                <w:sz w:val="20"/>
                <w:szCs w:val="20"/>
              </w:rPr>
            </w:pPr>
            <w:r>
              <w:rPr>
                <w:sz w:val="20"/>
                <w:szCs w:val="20"/>
              </w:rPr>
              <w:t>26,6</w:t>
            </w:r>
          </w:p>
        </w:tc>
        <w:tc>
          <w:tcPr>
            <w:tcW w:w="798" w:type="dxa"/>
            <w:vAlign w:val="center"/>
          </w:tcPr>
          <w:p w:rsidR="00000000" w:rsidRDefault="00000000">
            <w:pPr>
              <w:tabs>
                <w:tab w:val="decimal" w:pos="397"/>
              </w:tabs>
              <w:spacing w:before="40" w:after="40"/>
              <w:ind w:right="57"/>
              <w:rPr>
                <w:sz w:val="20"/>
                <w:szCs w:val="20"/>
              </w:rPr>
            </w:pPr>
            <w:r>
              <w:rPr>
                <w:sz w:val="20"/>
                <w:szCs w:val="20"/>
              </w:rPr>
              <w:t>15,8</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Аруначал-Прадеш</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36,2</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39,4</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33,5</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Ассам</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36,2</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40,9</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36,1</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Бихар</w:t>
            </w:r>
          </w:p>
        </w:tc>
        <w:tc>
          <w:tcPr>
            <w:tcW w:w="1056" w:type="dxa"/>
            <w:vAlign w:val="center"/>
          </w:tcPr>
          <w:p w:rsidR="00000000" w:rsidRDefault="00000000">
            <w:pPr>
              <w:tabs>
                <w:tab w:val="decimal" w:pos="397"/>
              </w:tabs>
              <w:spacing w:before="40" w:after="40"/>
              <w:ind w:right="57"/>
              <w:rPr>
                <w:sz w:val="20"/>
                <w:szCs w:val="20"/>
              </w:rPr>
            </w:pPr>
            <w:r>
              <w:rPr>
                <w:sz w:val="20"/>
                <w:szCs w:val="20"/>
              </w:rPr>
              <w:t>52,6</w:t>
            </w:r>
          </w:p>
        </w:tc>
        <w:tc>
          <w:tcPr>
            <w:tcW w:w="957" w:type="dxa"/>
            <w:vAlign w:val="center"/>
          </w:tcPr>
          <w:p w:rsidR="00000000" w:rsidRDefault="00000000">
            <w:pPr>
              <w:tabs>
                <w:tab w:val="decimal" w:pos="397"/>
              </w:tabs>
              <w:spacing w:before="40" w:after="40"/>
              <w:ind w:right="57"/>
              <w:rPr>
                <w:sz w:val="20"/>
                <w:szCs w:val="20"/>
              </w:rPr>
            </w:pPr>
            <w:r>
              <w:rPr>
                <w:sz w:val="20"/>
                <w:szCs w:val="20"/>
              </w:rPr>
              <w:t>48,7</w:t>
            </w:r>
          </w:p>
        </w:tc>
        <w:tc>
          <w:tcPr>
            <w:tcW w:w="862" w:type="dxa"/>
            <w:vAlign w:val="center"/>
          </w:tcPr>
          <w:p w:rsidR="00000000" w:rsidRDefault="00000000">
            <w:pPr>
              <w:tabs>
                <w:tab w:val="decimal" w:pos="397"/>
              </w:tabs>
              <w:spacing w:before="40" w:after="40"/>
              <w:ind w:right="57"/>
              <w:rPr>
                <w:sz w:val="20"/>
                <w:szCs w:val="20"/>
              </w:rPr>
            </w:pPr>
            <w:r>
              <w:rPr>
                <w:sz w:val="20"/>
                <w:szCs w:val="20"/>
              </w:rPr>
              <w:t>52,1</w:t>
            </w:r>
          </w:p>
        </w:tc>
        <w:tc>
          <w:tcPr>
            <w:tcW w:w="852" w:type="dxa"/>
            <w:vAlign w:val="center"/>
          </w:tcPr>
          <w:p w:rsidR="00000000" w:rsidRDefault="00000000">
            <w:pPr>
              <w:tabs>
                <w:tab w:val="decimal" w:pos="397"/>
              </w:tabs>
              <w:spacing w:before="40" w:after="40"/>
              <w:ind w:right="57"/>
              <w:rPr>
                <w:sz w:val="20"/>
                <w:szCs w:val="20"/>
              </w:rPr>
            </w:pPr>
            <w:r>
              <w:rPr>
                <w:sz w:val="20"/>
                <w:szCs w:val="20"/>
              </w:rPr>
              <w:t>58,2</w:t>
            </w:r>
          </w:p>
        </w:tc>
        <w:tc>
          <w:tcPr>
            <w:tcW w:w="957" w:type="dxa"/>
            <w:vAlign w:val="center"/>
          </w:tcPr>
          <w:p w:rsidR="00000000" w:rsidRDefault="00000000">
            <w:pPr>
              <w:tabs>
                <w:tab w:val="decimal" w:pos="397"/>
              </w:tabs>
              <w:spacing w:before="40" w:after="40"/>
              <w:ind w:right="57"/>
              <w:rPr>
                <w:sz w:val="20"/>
                <w:szCs w:val="20"/>
              </w:rPr>
            </w:pPr>
            <w:r>
              <w:rPr>
                <w:sz w:val="20"/>
                <w:szCs w:val="20"/>
              </w:rPr>
              <w:t>34,5</w:t>
            </w:r>
          </w:p>
        </w:tc>
        <w:tc>
          <w:tcPr>
            <w:tcW w:w="816" w:type="dxa"/>
            <w:vAlign w:val="center"/>
          </w:tcPr>
          <w:p w:rsidR="00000000" w:rsidRDefault="00000000">
            <w:pPr>
              <w:tabs>
                <w:tab w:val="decimal" w:pos="340"/>
              </w:tabs>
              <w:spacing w:before="40" w:after="40"/>
              <w:ind w:right="57"/>
              <w:rPr>
                <w:sz w:val="20"/>
                <w:szCs w:val="20"/>
              </w:rPr>
            </w:pPr>
            <w:r>
              <w:rPr>
                <w:sz w:val="20"/>
                <w:szCs w:val="20"/>
              </w:rPr>
              <w:t>55,0</w:t>
            </w:r>
          </w:p>
        </w:tc>
        <w:tc>
          <w:tcPr>
            <w:tcW w:w="852" w:type="dxa"/>
            <w:vAlign w:val="center"/>
          </w:tcPr>
          <w:p w:rsidR="00000000" w:rsidRDefault="00000000">
            <w:pPr>
              <w:tabs>
                <w:tab w:val="decimal" w:pos="340"/>
              </w:tabs>
              <w:spacing w:before="40" w:after="40"/>
              <w:ind w:right="57"/>
              <w:rPr>
                <w:sz w:val="20"/>
                <w:szCs w:val="20"/>
              </w:rPr>
            </w:pPr>
            <w:r>
              <w:rPr>
                <w:sz w:val="20"/>
                <w:szCs w:val="20"/>
              </w:rPr>
              <w:t>44,3</w:t>
            </w:r>
          </w:p>
        </w:tc>
        <w:tc>
          <w:tcPr>
            <w:tcW w:w="957" w:type="dxa"/>
            <w:vAlign w:val="center"/>
          </w:tcPr>
          <w:p w:rsidR="00000000" w:rsidRDefault="00000000">
            <w:pPr>
              <w:tabs>
                <w:tab w:val="decimal" w:pos="397"/>
              </w:tabs>
              <w:spacing w:before="40" w:after="40"/>
              <w:ind w:right="57"/>
              <w:rPr>
                <w:sz w:val="20"/>
                <w:szCs w:val="20"/>
              </w:rPr>
            </w:pPr>
            <w:r>
              <w:rPr>
                <w:sz w:val="20"/>
                <w:szCs w:val="20"/>
              </w:rPr>
              <w:t>32,9</w:t>
            </w:r>
          </w:p>
        </w:tc>
        <w:tc>
          <w:tcPr>
            <w:tcW w:w="798" w:type="dxa"/>
            <w:vAlign w:val="center"/>
          </w:tcPr>
          <w:p w:rsidR="00000000" w:rsidRDefault="00000000">
            <w:pPr>
              <w:tabs>
                <w:tab w:val="decimal" w:pos="397"/>
              </w:tabs>
              <w:spacing w:before="40" w:after="40"/>
              <w:ind w:right="57"/>
              <w:rPr>
                <w:sz w:val="20"/>
                <w:szCs w:val="20"/>
              </w:rPr>
            </w:pPr>
            <w:r>
              <w:rPr>
                <w:sz w:val="20"/>
                <w:szCs w:val="20"/>
              </w:rPr>
              <w:t>42,6</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Гоа</w:t>
            </w:r>
          </w:p>
        </w:tc>
        <w:tc>
          <w:tcPr>
            <w:tcW w:w="1056" w:type="dxa"/>
            <w:vAlign w:val="center"/>
          </w:tcPr>
          <w:p w:rsidR="00000000" w:rsidRDefault="00000000">
            <w:pPr>
              <w:tabs>
                <w:tab w:val="decimal" w:pos="397"/>
              </w:tabs>
              <w:spacing w:before="40" w:after="40"/>
              <w:ind w:right="57"/>
              <w:rPr>
                <w:sz w:val="20"/>
                <w:szCs w:val="20"/>
              </w:rPr>
            </w:pPr>
            <w:r>
              <w:rPr>
                <w:sz w:val="20"/>
                <w:szCs w:val="20"/>
              </w:rPr>
              <w:t>17,6</w:t>
            </w:r>
          </w:p>
        </w:tc>
        <w:tc>
          <w:tcPr>
            <w:tcW w:w="957" w:type="dxa"/>
            <w:vAlign w:val="center"/>
          </w:tcPr>
          <w:p w:rsidR="00000000" w:rsidRDefault="00000000">
            <w:pPr>
              <w:tabs>
                <w:tab w:val="decimal" w:pos="397"/>
              </w:tabs>
              <w:spacing w:before="40" w:after="40"/>
              <w:ind w:right="57"/>
              <w:rPr>
                <w:sz w:val="20"/>
                <w:szCs w:val="20"/>
              </w:rPr>
            </w:pPr>
            <w:r>
              <w:rPr>
                <w:sz w:val="20"/>
                <w:szCs w:val="20"/>
              </w:rPr>
              <w:t>35,5</w:t>
            </w:r>
          </w:p>
        </w:tc>
        <w:tc>
          <w:tcPr>
            <w:tcW w:w="862" w:type="dxa"/>
            <w:vAlign w:val="center"/>
          </w:tcPr>
          <w:p w:rsidR="00000000" w:rsidRDefault="00000000">
            <w:pPr>
              <w:tabs>
                <w:tab w:val="decimal" w:pos="397"/>
              </w:tabs>
              <w:spacing w:before="40" w:after="40"/>
              <w:ind w:right="57"/>
              <w:rPr>
                <w:sz w:val="20"/>
                <w:szCs w:val="20"/>
              </w:rPr>
            </w:pPr>
            <w:r>
              <w:rPr>
                <w:sz w:val="20"/>
                <w:szCs w:val="20"/>
              </w:rPr>
              <w:t>24,5</w:t>
            </w:r>
          </w:p>
        </w:tc>
        <w:tc>
          <w:tcPr>
            <w:tcW w:w="852" w:type="dxa"/>
            <w:vAlign w:val="center"/>
          </w:tcPr>
          <w:p w:rsidR="00000000" w:rsidRDefault="00000000">
            <w:pPr>
              <w:tabs>
                <w:tab w:val="decimal" w:pos="397"/>
              </w:tabs>
              <w:spacing w:before="40" w:after="40"/>
              <w:ind w:right="57"/>
              <w:rPr>
                <w:sz w:val="20"/>
                <w:szCs w:val="20"/>
              </w:rPr>
            </w:pPr>
            <w:r>
              <w:rPr>
                <w:sz w:val="20"/>
                <w:szCs w:val="20"/>
              </w:rPr>
              <w:t>5,3</w:t>
            </w:r>
          </w:p>
        </w:tc>
        <w:tc>
          <w:tcPr>
            <w:tcW w:w="957" w:type="dxa"/>
            <w:vAlign w:val="center"/>
          </w:tcPr>
          <w:p w:rsidR="00000000" w:rsidRDefault="00000000">
            <w:pPr>
              <w:tabs>
                <w:tab w:val="decimal" w:pos="397"/>
              </w:tabs>
              <w:spacing w:before="40" w:after="40"/>
              <w:ind w:right="57"/>
              <w:rPr>
                <w:sz w:val="20"/>
                <w:szCs w:val="20"/>
              </w:rPr>
            </w:pPr>
            <w:r>
              <w:rPr>
                <w:sz w:val="20"/>
                <w:szCs w:val="20"/>
              </w:rPr>
              <w:t>27,0</w:t>
            </w:r>
          </w:p>
        </w:tc>
        <w:tc>
          <w:tcPr>
            <w:tcW w:w="816" w:type="dxa"/>
            <w:vAlign w:val="center"/>
          </w:tcPr>
          <w:p w:rsidR="00000000" w:rsidRDefault="00000000">
            <w:pPr>
              <w:tabs>
                <w:tab w:val="decimal" w:pos="340"/>
              </w:tabs>
              <w:spacing w:before="40" w:after="40"/>
              <w:ind w:right="57"/>
              <w:rPr>
                <w:sz w:val="20"/>
                <w:szCs w:val="20"/>
              </w:rPr>
            </w:pPr>
            <w:r>
              <w:rPr>
                <w:sz w:val="20"/>
                <w:szCs w:val="20"/>
              </w:rPr>
              <w:t>14,9</w:t>
            </w:r>
          </w:p>
        </w:tc>
        <w:tc>
          <w:tcPr>
            <w:tcW w:w="852" w:type="dxa"/>
            <w:vAlign w:val="center"/>
          </w:tcPr>
          <w:p w:rsidR="00000000" w:rsidRDefault="00000000">
            <w:pPr>
              <w:tabs>
                <w:tab w:val="decimal" w:pos="340"/>
              </w:tabs>
              <w:spacing w:before="40" w:after="40"/>
              <w:ind w:right="57"/>
              <w:rPr>
                <w:sz w:val="20"/>
                <w:szCs w:val="20"/>
              </w:rPr>
            </w:pPr>
            <w:r>
              <w:rPr>
                <w:sz w:val="20"/>
                <w:szCs w:val="20"/>
              </w:rPr>
              <w:t>1,4</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4,4</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Гуджарат</w:t>
            </w:r>
          </w:p>
        </w:tc>
        <w:tc>
          <w:tcPr>
            <w:tcW w:w="1056" w:type="dxa"/>
            <w:vAlign w:val="center"/>
          </w:tcPr>
          <w:p w:rsidR="00000000" w:rsidRDefault="00000000">
            <w:pPr>
              <w:tabs>
                <w:tab w:val="decimal" w:pos="397"/>
              </w:tabs>
              <w:spacing w:before="40" w:after="40"/>
              <w:ind w:right="57"/>
              <w:rPr>
                <w:sz w:val="20"/>
                <w:szCs w:val="20"/>
              </w:rPr>
            </w:pPr>
            <w:r>
              <w:rPr>
                <w:sz w:val="20"/>
                <w:szCs w:val="20"/>
              </w:rPr>
              <w:t>28,7</w:t>
            </w:r>
          </w:p>
        </w:tc>
        <w:tc>
          <w:tcPr>
            <w:tcW w:w="957" w:type="dxa"/>
            <w:vAlign w:val="center"/>
          </w:tcPr>
          <w:p w:rsidR="00000000" w:rsidRDefault="00000000">
            <w:pPr>
              <w:tabs>
                <w:tab w:val="decimal" w:pos="397"/>
              </w:tabs>
              <w:spacing w:before="40" w:after="40"/>
              <w:ind w:right="57"/>
              <w:rPr>
                <w:sz w:val="20"/>
                <w:szCs w:val="20"/>
              </w:rPr>
            </w:pPr>
            <w:r>
              <w:rPr>
                <w:sz w:val="20"/>
                <w:szCs w:val="20"/>
              </w:rPr>
              <w:t>37,3</w:t>
            </w:r>
          </w:p>
        </w:tc>
        <w:tc>
          <w:tcPr>
            <w:tcW w:w="862" w:type="dxa"/>
            <w:vAlign w:val="center"/>
          </w:tcPr>
          <w:p w:rsidR="00000000" w:rsidRDefault="00000000">
            <w:pPr>
              <w:tabs>
                <w:tab w:val="decimal" w:pos="397"/>
              </w:tabs>
              <w:spacing w:before="40" w:after="40"/>
              <w:ind w:right="57"/>
              <w:rPr>
                <w:sz w:val="20"/>
                <w:szCs w:val="20"/>
              </w:rPr>
            </w:pPr>
            <w:r>
              <w:rPr>
                <w:sz w:val="20"/>
                <w:szCs w:val="20"/>
              </w:rPr>
              <w:t>31,5</w:t>
            </w:r>
          </w:p>
        </w:tc>
        <w:tc>
          <w:tcPr>
            <w:tcW w:w="852" w:type="dxa"/>
            <w:vAlign w:val="center"/>
          </w:tcPr>
          <w:p w:rsidR="00000000" w:rsidRDefault="00000000">
            <w:pPr>
              <w:tabs>
                <w:tab w:val="decimal" w:pos="397"/>
              </w:tabs>
              <w:spacing w:before="40" w:after="40"/>
              <w:ind w:right="57"/>
              <w:rPr>
                <w:sz w:val="20"/>
                <w:szCs w:val="20"/>
              </w:rPr>
            </w:pPr>
            <w:r>
              <w:rPr>
                <w:sz w:val="20"/>
                <w:szCs w:val="20"/>
              </w:rPr>
              <w:t>22,2</w:t>
            </w:r>
          </w:p>
        </w:tc>
        <w:tc>
          <w:tcPr>
            <w:tcW w:w="957" w:type="dxa"/>
            <w:vAlign w:val="center"/>
          </w:tcPr>
          <w:p w:rsidR="00000000" w:rsidRDefault="00000000">
            <w:pPr>
              <w:tabs>
                <w:tab w:val="decimal" w:pos="397"/>
              </w:tabs>
              <w:spacing w:before="40" w:after="40"/>
              <w:ind w:right="57"/>
              <w:rPr>
                <w:sz w:val="20"/>
                <w:szCs w:val="20"/>
              </w:rPr>
            </w:pPr>
            <w:r>
              <w:rPr>
                <w:sz w:val="20"/>
                <w:szCs w:val="20"/>
              </w:rPr>
              <w:t>27,9</w:t>
            </w:r>
          </w:p>
        </w:tc>
        <w:tc>
          <w:tcPr>
            <w:tcW w:w="816" w:type="dxa"/>
            <w:vAlign w:val="center"/>
          </w:tcPr>
          <w:p w:rsidR="00000000" w:rsidRDefault="00000000">
            <w:pPr>
              <w:tabs>
                <w:tab w:val="decimal" w:pos="340"/>
              </w:tabs>
              <w:spacing w:before="40" w:after="40"/>
              <w:ind w:right="57"/>
              <w:rPr>
                <w:sz w:val="20"/>
                <w:szCs w:val="20"/>
              </w:rPr>
            </w:pPr>
            <w:r>
              <w:rPr>
                <w:sz w:val="20"/>
                <w:szCs w:val="20"/>
              </w:rPr>
              <w:t>24,2</w:t>
            </w:r>
          </w:p>
        </w:tc>
        <w:tc>
          <w:tcPr>
            <w:tcW w:w="852" w:type="dxa"/>
            <w:vAlign w:val="center"/>
          </w:tcPr>
          <w:p w:rsidR="00000000" w:rsidRDefault="00000000">
            <w:pPr>
              <w:tabs>
                <w:tab w:val="decimal" w:pos="340"/>
              </w:tabs>
              <w:spacing w:before="40" w:after="40"/>
              <w:ind w:right="57"/>
              <w:rPr>
                <w:sz w:val="20"/>
                <w:szCs w:val="20"/>
              </w:rPr>
            </w:pPr>
            <w:r>
              <w:rPr>
                <w:sz w:val="20"/>
                <w:szCs w:val="20"/>
              </w:rPr>
              <w:t>13,2</w:t>
            </w:r>
          </w:p>
        </w:tc>
        <w:tc>
          <w:tcPr>
            <w:tcW w:w="957" w:type="dxa"/>
            <w:vAlign w:val="center"/>
          </w:tcPr>
          <w:p w:rsidR="00000000" w:rsidRDefault="00000000">
            <w:pPr>
              <w:tabs>
                <w:tab w:val="decimal" w:pos="397"/>
              </w:tabs>
              <w:spacing w:before="40" w:after="40"/>
              <w:ind w:right="57"/>
              <w:rPr>
                <w:sz w:val="20"/>
                <w:szCs w:val="20"/>
              </w:rPr>
            </w:pPr>
            <w:r>
              <w:rPr>
                <w:sz w:val="20"/>
                <w:szCs w:val="20"/>
              </w:rPr>
              <w:t>15,6</w:t>
            </w:r>
          </w:p>
        </w:tc>
        <w:tc>
          <w:tcPr>
            <w:tcW w:w="798" w:type="dxa"/>
            <w:vAlign w:val="center"/>
          </w:tcPr>
          <w:p w:rsidR="00000000" w:rsidRDefault="00000000">
            <w:pPr>
              <w:tabs>
                <w:tab w:val="decimal" w:pos="397"/>
              </w:tabs>
              <w:spacing w:before="40" w:after="40"/>
              <w:ind w:right="57"/>
              <w:rPr>
                <w:sz w:val="20"/>
                <w:szCs w:val="20"/>
              </w:rPr>
            </w:pPr>
            <w:r>
              <w:rPr>
                <w:sz w:val="20"/>
                <w:szCs w:val="20"/>
              </w:rPr>
              <w:t>14,1</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Харьяна</w:t>
            </w:r>
          </w:p>
        </w:tc>
        <w:tc>
          <w:tcPr>
            <w:tcW w:w="1056" w:type="dxa"/>
            <w:vAlign w:val="center"/>
          </w:tcPr>
          <w:p w:rsidR="00000000" w:rsidRDefault="00000000">
            <w:pPr>
              <w:tabs>
                <w:tab w:val="decimal" w:pos="397"/>
              </w:tabs>
              <w:spacing w:before="40" w:after="40"/>
              <w:ind w:right="57"/>
              <w:rPr>
                <w:sz w:val="20"/>
                <w:szCs w:val="20"/>
              </w:rPr>
            </w:pPr>
            <w:r>
              <w:rPr>
                <w:sz w:val="20"/>
                <w:szCs w:val="20"/>
              </w:rPr>
              <w:t>16,2</w:t>
            </w:r>
          </w:p>
        </w:tc>
        <w:tc>
          <w:tcPr>
            <w:tcW w:w="957" w:type="dxa"/>
            <w:vAlign w:val="center"/>
          </w:tcPr>
          <w:p w:rsidR="00000000" w:rsidRDefault="00000000">
            <w:pPr>
              <w:tabs>
                <w:tab w:val="decimal" w:pos="397"/>
              </w:tabs>
              <w:spacing w:before="40" w:after="40"/>
              <w:ind w:right="57"/>
              <w:rPr>
                <w:sz w:val="20"/>
                <w:szCs w:val="20"/>
              </w:rPr>
            </w:pPr>
            <w:r>
              <w:rPr>
                <w:sz w:val="20"/>
                <w:szCs w:val="20"/>
              </w:rPr>
              <w:t>18,0</w:t>
            </w:r>
          </w:p>
        </w:tc>
        <w:tc>
          <w:tcPr>
            <w:tcW w:w="862" w:type="dxa"/>
            <w:vAlign w:val="center"/>
          </w:tcPr>
          <w:p w:rsidR="00000000" w:rsidRDefault="00000000">
            <w:pPr>
              <w:tabs>
                <w:tab w:val="decimal" w:pos="397"/>
              </w:tabs>
              <w:spacing w:before="40" w:after="40"/>
              <w:ind w:right="57"/>
              <w:rPr>
                <w:sz w:val="20"/>
                <w:szCs w:val="20"/>
              </w:rPr>
            </w:pPr>
            <w:r>
              <w:rPr>
                <w:sz w:val="20"/>
                <w:szCs w:val="20"/>
              </w:rPr>
              <w:t>16,6</w:t>
            </w:r>
          </w:p>
        </w:tc>
        <w:tc>
          <w:tcPr>
            <w:tcW w:w="852" w:type="dxa"/>
            <w:vAlign w:val="center"/>
          </w:tcPr>
          <w:p w:rsidR="00000000" w:rsidRDefault="00000000">
            <w:pPr>
              <w:tabs>
                <w:tab w:val="decimal" w:pos="397"/>
              </w:tabs>
              <w:spacing w:before="40" w:after="40"/>
              <w:ind w:right="57"/>
              <w:rPr>
                <w:sz w:val="20"/>
                <w:szCs w:val="20"/>
              </w:rPr>
            </w:pPr>
            <w:r>
              <w:rPr>
                <w:sz w:val="20"/>
                <w:szCs w:val="20"/>
              </w:rPr>
              <w:t>28,0</w:t>
            </w:r>
          </w:p>
        </w:tc>
        <w:tc>
          <w:tcPr>
            <w:tcW w:w="957" w:type="dxa"/>
            <w:vAlign w:val="center"/>
          </w:tcPr>
          <w:p w:rsidR="00000000" w:rsidRDefault="00000000">
            <w:pPr>
              <w:tabs>
                <w:tab w:val="decimal" w:pos="397"/>
              </w:tabs>
              <w:spacing w:before="40" w:after="40"/>
              <w:ind w:right="57"/>
              <w:rPr>
                <w:sz w:val="20"/>
                <w:szCs w:val="20"/>
              </w:rPr>
            </w:pPr>
            <w:r>
              <w:rPr>
                <w:sz w:val="20"/>
                <w:szCs w:val="20"/>
              </w:rPr>
              <w:t>16,4</w:t>
            </w:r>
          </w:p>
        </w:tc>
        <w:tc>
          <w:tcPr>
            <w:tcW w:w="816" w:type="dxa"/>
            <w:vAlign w:val="center"/>
          </w:tcPr>
          <w:p w:rsidR="00000000" w:rsidRDefault="00000000">
            <w:pPr>
              <w:tabs>
                <w:tab w:val="decimal" w:pos="340"/>
              </w:tabs>
              <w:spacing w:before="40" w:after="40"/>
              <w:ind w:right="57"/>
              <w:rPr>
                <w:sz w:val="20"/>
                <w:szCs w:val="20"/>
              </w:rPr>
            </w:pPr>
            <w:r>
              <w:rPr>
                <w:sz w:val="20"/>
                <w:szCs w:val="20"/>
              </w:rPr>
              <w:t>25,1</w:t>
            </w:r>
          </w:p>
        </w:tc>
        <w:tc>
          <w:tcPr>
            <w:tcW w:w="852" w:type="dxa"/>
            <w:vAlign w:val="center"/>
          </w:tcPr>
          <w:p w:rsidR="00000000" w:rsidRDefault="00000000">
            <w:pPr>
              <w:tabs>
                <w:tab w:val="decimal" w:pos="340"/>
              </w:tabs>
              <w:spacing w:before="40" w:after="40"/>
              <w:ind w:right="57"/>
              <w:rPr>
                <w:sz w:val="20"/>
                <w:szCs w:val="20"/>
              </w:rPr>
            </w:pPr>
            <w:r>
              <w:rPr>
                <w:sz w:val="20"/>
                <w:szCs w:val="20"/>
              </w:rPr>
              <w:t>8,3</w:t>
            </w:r>
          </w:p>
        </w:tc>
        <w:tc>
          <w:tcPr>
            <w:tcW w:w="957" w:type="dxa"/>
            <w:vAlign w:val="center"/>
          </w:tcPr>
          <w:p w:rsidR="00000000" w:rsidRDefault="00000000">
            <w:pPr>
              <w:tabs>
                <w:tab w:val="decimal" w:pos="397"/>
              </w:tabs>
              <w:spacing w:before="40" w:after="40"/>
              <w:ind w:right="57"/>
              <w:rPr>
                <w:sz w:val="20"/>
                <w:szCs w:val="20"/>
              </w:rPr>
            </w:pPr>
            <w:r>
              <w:rPr>
                <w:sz w:val="20"/>
                <w:szCs w:val="20"/>
              </w:rPr>
              <w:t>10,0</w:t>
            </w:r>
          </w:p>
        </w:tc>
        <w:tc>
          <w:tcPr>
            <w:tcW w:w="798" w:type="dxa"/>
            <w:vAlign w:val="center"/>
          </w:tcPr>
          <w:p w:rsidR="00000000" w:rsidRDefault="00000000">
            <w:pPr>
              <w:tabs>
                <w:tab w:val="decimal" w:pos="397"/>
              </w:tabs>
              <w:spacing w:before="40" w:after="40"/>
              <w:ind w:right="57"/>
              <w:rPr>
                <w:sz w:val="20"/>
                <w:szCs w:val="20"/>
              </w:rPr>
            </w:pPr>
            <w:r>
              <w:rPr>
                <w:sz w:val="20"/>
                <w:szCs w:val="20"/>
              </w:rPr>
              <w:t>8,7</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Химачал-Прадеш</w:t>
            </w:r>
          </w:p>
        </w:tc>
        <w:tc>
          <w:tcPr>
            <w:tcW w:w="1056" w:type="dxa"/>
            <w:vAlign w:val="center"/>
          </w:tcPr>
          <w:p w:rsidR="00000000" w:rsidRDefault="00000000">
            <w:pPr>
              <w:tabs>
                <w:tab w:val="decimal" w:pos="397"/>
              </w:tabs>
              <w:spacing w:before="40" w:after="40"/>
              <w:ind w:right="57"/>
              <w:rPr>
                <w:sz w:val="20"/>
                <w:szCs w:val="20"/>
              </w:rPr>
            </w:pPr>
            <w:r>
              <w:rPr>
                <w:sz w:val="20"/>
                <w:szCs w:val="20"/>
              </w:rPr>
              <w:t>16,3</w:t>
            </w:r>
          </w:p>
        </w:tc>
        <w:tc>
          <w:tcPr>
            <w:tcW w:w="957" w:type="dxa"/>
            <w:vAlign w:val="center"/>
          </w:tcPr>
          <w:p w:rsidR="00000000" w:rsidRDefault="00000000">
            <w:pPr>
              <w:tabs>
                <w:tab w:val="decimal" w:pos="397"/>
              </w:tabs>
              <w:spacing w:before="40" w:after="40"/>
              <w:ind w:right="57"/>
              <w:rPr>
                <w:sz w:val="20"/>
                <w:szCs w:val="20"/>
              </w:rPr>
            </w:pPr>
            <w:r>
              <w:rPr>
                <w:sz w:val="20"/>
                <w:szCs w:val="20"/>
              </w:rPr>
              <w:t>6,3</w:t>
            </w:r>
          </w:p>
        </w:tc>
        <w:tc>
          <w:tcPr>
            <w:tcW w:w="862" w:type="dxa"/>
            <w:vAlign w:val="center"/>
          </w:tcPr>
          <w:p w:rsidR="00000000" w:rsidRDefault="00000000">
            <w:pPr>
              <w:tabs>
                <w:tab w:val="decimal" w:pos="397"/>
              </w:tabs>
              <w:spacing w:before="40" w:after="40"/>
              <w:ind w:right="57"/>
              <w:rPr>
                <w:sz w:val="20"/>
                <w:szCs w:val="20"/>
              </w:rPr>
            </w:pPr>
            <w:r>
              <w:rPr>
                <w:sz w:val="20"/>
                <w:szCs w:val="20"/>
              </w:rPr>
              <w:t>15,4</w:t>
            </w:r>
          </w:p>
        </w:tc>
        <w:tc>
          <w:tcPr>
            <w:tcW w:w="852" w:type="dxa"/>
            <w:vAlign w:val="center"/>
          </w:tcPr>
          <w:p w:rsidR="00000000" w:rsidRDefault="00000000">
            <w:pPr>
              <w:tabs>
                <w:tab w:val="decimal" w:pos="397"/>
              </w:tabs>
              <w:spacing w:before="40" w:after="40"/>
              <w:ind w:right="57"/>
              <w:rPr>
                <w:sz w:val="20"/>
                <w:szCs w:val="20"/>
              </w:rPr>
            </w:pPr>
            <w:r>
              <w:rPr>
                <w:sz w:val="20"/>
                <w:szCs w:val="20"/>
              </w:rPr>
              <w:t>30,3</w:t>
            </w:r>
          </w:p>
        </w:tc>
        <w:tc>
          <w:tcPr>
            <w:tcW w:w="957" w:type="dxa"/>
            <w:vAlign w:val="center"/>
          </w:tcPr>
          <w:p w:rsidR="00000000" w:rsidRDefault="00000000">
            <w:pPr>
              <w:tabs>
                <w:tab w:val="decimal" w:pos="397"/>
              </w:tabs>
              <w:spacing w:before="40" w:after="40"/>
              <w:ind w:right="57"/>
              <w:rPr>
                <w:sz w:val="20"/>
                <w:szCs w:val="20"/>
              </w:rPr>
            </w:pPr>
            <w:r>
              <w:rPr>
                <w:sz w:val="20"/>
                <w:szCs w:val="20"/>
              </w:rPr>
              <w:t>9,2</w:t>
            </w:r>
          </w:p>
        </w:tc>
        <w:tc>
          <w:tcPr>
            <w:tcW w:w="816" w:type="dxa"/>
            <w:vAlign w:val="center"/>
          </w:tcPr>
          <w:p w:rsidR="00000000" w:rsidRDefault="00000000">
            <w:pPr>
              <w:tabs>
                <w:tab w:val="decimal" w:pos="340"/>
              </w:tabs>
              <w:spacing w:before="40" w:after="40"/>
              <w:ind w:right="57"/>
              <w:rPr>
                <w:sz w:val="20"/>
                <w:szCs w:val="20"/>
              </w:rPr>
            </w:pPr>
            <w:r>
              <w:rPr>
                <w:sz w:val="20"/>
                <w:szCs w:val="20"/>
              </w:rPr>
              <w:t>28,4</w:t>
            </w:r>
          </w:p>
        </w:tc>
        <w:tc>
          <w:tcPr>
            <w:tcW w:w="852" w:type="dxa"/>
            <w:vAlign w:val="center"/>
          </w:tcPr>
          <w:p w:rsidR="00000000" w:rsidRDefault="00000000">
            <w:pPr>
              <w:tabs>
                <w:tab w:val="decimal" w:pos="340"/>
              </w:tabs>
              <w:spacing w:before="40" w:after="40"/>
              <w:ind w:right="57"/>
              <w:rPr>
                <w:sz w:val="20"/>
                <w:szCs w:val="20"/>
              </w:rPr>
            </w:pPr>
            <w:r>
              <w:rPr>
                <w:sz w:val="20"/>
                <w:szCs w:val="20"/>
              </w:rPr>
              <w:t>7,9</w:t>
            </w:r>
          </w:p>
        </w:tc>
        <w:tc>
          <w:tcPr>
            <w:tcW w:w="957" w:type="dxa"/>
            <w:vAlign w:val="center"/>
          </w:tcPr>
          <w:p w:rsidR="00000000" w:rsidRDefault="00000000">
            <w:pPr>
              <w:tabs>
                <w:tab w:val="decimal" w:pos="397"/>
              </w:tabs>
              <w:spacing w:before="40" w:after="40"/>
              <w:ind w:right="57"/>
              <w:rPr>
                <w:sz w:val="20"/>
                <w:szCs w:val="20"/>
              </w:rPr>
            </w:pPr>
            <w:r>
              <w:rPr>
                <w:sz w:val="20"/>
                <w:szCs w:val="20"/>
              </w:rPr>
              <w:t>4,6</w:t>
            </w:r>
          </w:p>
        </w:tc>
        <w:tc>
          <w:tcPr>
            <w:tcW w:w="798" w:type="dxa"/>
            <w:vAlign w:val="center"/>
          </w:tcPr>
          <w:p w:rsidR="00000000" w:rsidRDefault="00000000">
            <w:pPr>
              <w:tabs>
                <w:tab w:val="decimal" w:pos="397"/>
              </w:tabs>
              <w:spacing w:before="40" w:after="40"/>
              <w:ind w:right="57"/>
              <w:rPr>
                <w:sz w:val="20"/>
                <w:szCs w:val="20"/>
              </w:rPr>
            </w:pPr>
            <w:r>
              <w:rPr>
                <w:sz w:val="20"/>
                <w:szCs w:val="20"/>
              </w:rPr>
              <w:t>7,6</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Джамму и Кашмир</w:t>
            </w:r>
          </w:p>
        </w:tc>
        <w:tc>
          <w:tcPr>
            <w:tcW w:w="1056" w:type="dxa"/>
            <w:vAlign w:val="center"/>
          </w:tcPr>
          <w:p w:rsidR="00000000" w:rsidRDefault="00000000">
            <w:pPr>
              <w:tabs>
                <w:tab w:val="decimal" w:pos="397"/>
              </w:tabs>
              <w:spacing w:before="40" w:after="40"/>
              <w:ind w:right="57"/>
              <w:rPr>
                <w:sz w:val="20"/>
                <w:szCs w:val="20"/>
              </w:rPr>
            </w:pPr>
            <w:r>
              <w:rPr>
                <w:sz w:val="20"/>
                <w:szCs w:val="20"/>
              </w:rPr>
              <w:t>25,7</w:t>
            </w:r>
          </w:p>
        </w:tc>
        <w:tc>
          <w:tcPr>
            <w:tcW w:w="957" w:type="dxa"/>
            <w:vAlign w:val="center"/>
          </w:tcPr>
          <w:p w:rsidR="00000000" w:rsidRDefault="00000000">
            <w:pPr>
              <w:tabs>
                <w:tab w:val="decimal" w:pos="397"/>
              </w:tabs>
              <w:spacing w:before="40" w:after="40"/>
              <w:ind w:right="57"/>
              <w:rPr>
                <w:sz w:val="20"/>
                <w:szCs w:val="20"/>
              </w:rPr>
            </w:pPr>
            <w:r>
              <w:rPr>
                <w:sz w:val="20"/>
                <w:szCs w:val="20"/>
              </w:rPr>
              <w:t>17,5</w:t>
            </w:r>
          </w:p>
        </w:tc>
        <w:tc>
          <w:tcPr>
            <w:tcW w:w="862" w:type="dxa"/>
            <w:vAlign w:val="center"/>
          </w:tcPr>
          <w:p w:rsidR="00000000" w:rsidRDefault="00000000">
            <w:pPr>
              <w:tabs>
                <w:tab w:val="decimal" w:pos="397"/>
              </w:tabs>
              <w:spacing w:before="40" w:after="40"/>
              <w:ind w:right="57"/>
              <w:rPr>
                <w:sz w:val="20"/>
                <w:szCs w:val="20"/>
              </w:rPr>
            </w:pPr>
            <w:r>
              <w:rPr>
                <w:sz w:val="20"/>
                <w:szCs w:val="20"/>
              </w:rPr>
              <w:t>23,8</w:t>
            </w:r>
          </w:p>
        </w:tc>
        <w:tc>
          <w:tcPr>
            <w:tcW w:w="852" w:type="dxa"/>
            <w:vAlign w:val="center"/>
          </w:tcPr>
          <w:p w:rsidR="00000000" w:rsidRDefault="00000000">
            <w:pPr>
              <w:tabs>
                <w:tab w:val="decimal" w:pos="397"/>
              </w:tabs>
              <w:spacing w:before="40" w:after="40"/>
              <w:ind w:right="57"/>
              <w:rPr>
                <w:sz w:val="20"/>
                <w:szCs w:val="20"/>
              </w:rPr>
            </w:pPr>
            <w:r>
              <w:rPr>
                <w:sz w:val="20"/>
                <w:szCs w:val="20"/>
              </w:rPr>
              <w:t>30,3</w:t>
            </w:r>
          </w:p>
        </w:tc>
        <w:tc>
          <w:tcPr>
            <w:tcW w:w="957" w:type="dxa"/>
            <w:vAlign w:val="center"/>
          </w:tcPr>
          <w:p w:rsidR="00000000" w:rsidRDefault="00000000">
            <w:pPr>
              <w:tabs>
                <w:tab w:val="decimal" w:pos="397"/>
              </w:tabs>
              <w:spacing w:before="40" w:after="40"/>
              <w:ind w:right="57"/>
              <w:rPr>
                <w:sz w:val="20"/>
                <w:szCs w:val="20"/>
              </w:rPr>
            </w:pPr>
            <w:r>
              <w:rPr>
                <w:sz w:val="20"/>
                <w:szCs w:val="20"/>
              </w:rPr>
              <w:t>9,2</w:t>
            </w:r>
          </w:p>
        </w:tc>
        <w:tc>
          <w:tcPr>
            <w:tcW w:w="816" w:type="dxa"/>
            <w:vAlign w:val="center"/>
          </w:tcPr>
          <w:p w:rsidR="00000000" w:rsidRDefault="00000000">
            <w:pPr>
              <w:tabs>
                <w:tab w:val="decimal" w:pos="340"/>
              </w:tabs>
              <w:spacing w:before="40" w:after="40"/>
              <w:ind w:right="57"/>
              <w:rPr>
                <w:sz w:val="20"/>
                <w:szCs w:val="20"/>
              </w:rPr>
            </w:pPr>
            <w:r>
              <w:rPr>
                <w:sz w:val="20"/>
                <w:szCs w:val="20"/>
              </w:rPr>
              <w:t>25,2</w:t>
            </w:r>
          </w:p>
        </w:tc>
        <w:tc>
          <w:tcPr>
            <w:tcW w:w="852" w:type="dxa"/>
            <w:vAlign w:val="center"/>
          </w:tcPr>
          <w:p w:rsidR="00000000" w:rsidRDefault="00000000">
            <w:pPr>
              <w:tabs>
                <w:tab w:val="decimal" w:pos="340"/>
              </w:tabs>
              <w:spacing w:before="40" w:after="40"/>
              <w:ind w:right="57"/>
              <w:rPr>
                <w:sz w:val="20"/>
                <w:szCs w:val="20"/>
              </w:rPr>
            </w:pPr>
            <w:r>
              <w:rPr>
                <w:sz w:val="20"/>
                <w:szCs w:val="20"/>
              </w:rPr>
              <w:t>4,0</w:t>
            </w:r>
          </w:p>
        </w:tc>
        <w:tc>
          <w:tcPr>
            <w:tcW w:w="957" w:type="dxa"/>
            <w:vAlign w:val="center"/>
          </w:tcPr>
          <w:p w:rsidR="00000000" w:rsidRDefault="00000000">
            <w:pPr>
              <w:tabs>
                <w:tab w:val="decimal" w:pos="397"/>
              </w:tabs>
              <w:spacing w:before="40" w:after="40"/>
              <w:ind w:right="57"/>
              <w:rPr>
                <w:sz w:val="20"/>
                <w:szCs w:val="20"/>
              </w:rPr>
            </w:pPr>
            <w:r>
              <w:rPr>
                <w:sz w:val="20"/>
                <w:szCs w:val="20"/>
              </w:rPr>
              <w:t>2,0</w:t>
            </w:r>
          </w:p>
        </w:tc>
        <w:tc>
          <w:tcPr>
            <w:tcW w:w="798" w:type="dxa"/>
            <w:vAlign w:val="center"/>
          </w:tcPr>
          <w:p w:rsidR="00000000" w:rsidRDefault="00000000">
            <w:pPr>
              <w:tabs>
                <w:tab w:val="decimal" w:pos="397"/>
              </w:tabs>
              <w:spacing w:before="40" w:after="40"/>
              <w:ind w:right="57"/>
              <w:rPr>
                <w:sz w:val="20"/>
                <w:szCs w:val="20"/>
              </w:rPr>
            </w:pPr>
            <w:r>
              <w:rPr>
                <w:sz w:val="20"/>
                <w:szCs w:val="20"/>
              </w:rPr>
              <w:t>3,5</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Карнатака</w:t>
            </w:r>
          </w:p>
        </w:tc>
        <w:tc>
          <w:tcPr>
            <w:tcW w:w="1056" w:type="dxa"/>
            <w:vAlign w:val="center"/>
          </w:tcPr>
          <w:p w:rsidR="00000000" w:rsidRDefault="00000000">
            <w:pPr>
              <w:tabs>
                <w:tab w:val="decimal" w:pos="397"/>
              </w:tabs>
              <w:spacing w:before="40" w:after="40"/>
              <w:ind w:right="57"/>
              <w:rPr>
                <w:sz w:val="20"/>
                <w:szCs w:val="20"/>
              </w:rPr>
            </w:pPr>
            <w:r>
              <w:rPr>
                <w:sz w:val="20"/>
                <w:szCs w:val="20"/>
              </w:rPr>
              <w:t>32,8</w:t>
            </w:r>
          </w:p>
        </w:tc>
        <w:tc>
          <w:tcPr>
            <w:tcW w:w="957" w:type="dxa"/>
            <w:vAlign w:val="center"/>
          </w:tcPr>
          <w:p w:rsidR="00000000" w:rsidRDefault="00000000">
            <w:pPr>
              <w:tabs>
                <w:tab w:val="decimal" w:pos="397"/>
              </w:tabs>
              <w:spacing w:before="40" w:after="40"/>
              <w:ind w:right="57"/>
              <w:rPr>
                <w:sz w:val="20"/>
                <w:szCs w:val="20"/>
              </w:rPr>
            </w:pPr>
            <w:r>
              <w:rPr>
                <w:sz w:val="20"/>
                <w:szCs w:val="20"/>
              </w:rPr>
              <w:t>48,4</w:t>
            </w:r>
          </w:p>
        </w:tc>
        <w:tc>
          <w:tcPr>
            <w:tcW w:w="862" w:type="dxa"/>
            <w:vAlign w:val="center"/>
          </w:tcPr>
          <w:p w:rsidR="00000000" w:rsidRDefault="00000000">
            <w:pPr>
              <w:tabs>
                <w:tab w:val="decimal" w:pos="397"/>
              </w:tabs>
              <w:spacing w:before="40" w:after="40"/>
              <w:ind w:right="57"/>
              <w:rPr>
                <w:sz w:val="20"/>
                <w:szCs w:val="20"/>
              </w:rPr>
            </w:pPr>
            <w:r>
              <w:rPr>
                <w:sz w:val="20"/>
                <w:szCs w:val="20"/>
              </w:rPr>
              <w:t>37,5</w:t>
            </w:r>
          </w:p>
        </w:tc>
        <w:tc>
          <w:tcPr>
            <w:tcW w:w="852" w:type="dxa"/>
            <w:vAlign w:val="center"/>
          </w:tcPr>
          <w:p w:rsidR="00000000" w:rsidRDefault="00000000">
            <w:pPr>
              <w:tabs>
                <w:tab w:val="decimal" w:pos="397"/>
              </w:tabs>
              <w:spacing w:before="40" w:after="40"/>
              <w:ind w:right="57"/>
              <w:rPr>
                <w:sz w:val="20"/>
                <w:szCs w:val="20"/>
              </w:rPr>
            </w:pPr>
            <w:r>
              <w:rPr>
                <w:sz w:val="20"/>
                <w:szCs w:val="20"/>
              </w:rPr>
              <w:t>29,9</w:t>
            </w:r>
          </w:p>
        </w:tc>
        <w:tc>
          <w:tcPr>
            <w:tcW w:w="957" w:type="dxa"/>
            <w:vAlign w:val="center"/>
          </w:tcPr>
          <w:p w:rsidR="00000000" w:rsidRDefault="00000000">
            <w:pPr>
              <w:tabs>
                <w:tab w:val="decimal" w:pos="397"/>
              </w:tabs>
              <w:spacing w:before="40" w:after="40"/>
              <w:ind w:right="57"/>
              <w:rPr>
                <w:sz w:val="20"/>
                <w:szCs w:val="20"/>
              </w:rPr>
            </w:pPr>
            <w:r>
              <w:rPr>
                <w:sz w:val="20"/>
                <w:szCs w:val="20"/>
              </w:rPr>
              <w:t>40,1</w:t>
            </w:r>
          </w:p>
        </w:tc>
        <w:tc>
          <w:tcPr>
            <w:tcW w:w="816" w:type="dxa"/>
            <w:vAlign w:val="center"/>
          </w:tcPr>
          <w:p w:rsidR="00000000" w:rsidRDefault="00000000">
            <w:pPr>
              <w:tabs>
                <w:tab w:val="decimal" w:pos="340"/>
              </w:tabs>
              <w:spacing w:before="40" w:after="40"/>
              <w:ind w:right="57"/>
              <w:rPr>
                <w:sz w:val="20"/>
                <w:szCs w:val="20"/>
              </w:rPr>
            </w:pPr>
            <w:r>
              <w:rPr>
                <w:sz w:val="20"/>
                <w:szCs w:val="20"/>
              </w:rPr>
              <w:t>33,2</w:t>
            </w:r>
          </w:p>
        </w:tc>
        <w:tc>
          <w:tcPr>
            <w:tcW w:w="852" w:type="dxa"/>
            <w:vAlign w:val="center"/>
          </w:tcPr>
          <w:p w:rsidR="00000000" w:rsidRDefault="00000000">
            <w:pPr>
              <w:tabs>
                <w:tab w:val="decimal" w:pos="340"/>
              </w:tabs>
              <w:spacing w:before="40" w:after="40"/>
              <w:ind w:right="57"/>
              <w:rPr>
                <w:sz w:val="20"/>
                <w:szCs w:val="20"/>
              </w:rPr>
            </w:pPr>
            <w:r>
              <w:rPr>
                <w:sz w:val="20"/>
                <w:szCs w:val="20"/>
              </w:rPr>
              <w:t>17,4</w:t>
            </w:r>
          </w:p>
        </w:tc>
        <w:tc>
          <w:tcPr>
            <w:tcW w:w="957" w:type="dxa"/>
            <w:vAlign w:val="center"/>
          </w:tcPr>
          <w:p w:rsidR="00000000" w:rsidRDefault="00000000">
            <w:pPr>
              <w:tabs>
                <w:tab w:val="decimal" w:pos="397"/>
              </w:tabs>
              <w:spacing w:before="40" w:after="40"/>
              <w:ind w:right="57"/>
              <w:rPr>
                <w:sz w:val="20"/>
                <w:szCs w:val="20"/>
              </w:rPr>
            </w:pPr>
            <w:r>
              <w:rPr>
                <w:sz w:val="20"/>
                <w:szCs w:val="20"/>
              </w:rPr>
              <w:t>25,3</w:t>
            </w:r>
          </w:p>
        </w:tc>
        <w:tc>
          <w:tcPr>
            <w:tcW w:w="798" w:type="dxa"/>
            <w:vAlign w:val="center"/>
          </w:tcPr>
          <w:p w:rsidR="00000000" w:rsidRDefault="00000000">
            <w:pPr>
              <w:tabs>
                <w:tab w:val="decimal" w:pos="397"/>
              </w:tabs>
              <w:spacing w:before="40" w:after="40"/>
              <w:ind w:right="57"/>
              <w:rPr>
                <w:sz w:val="20"/>
                <w:szCs w:val="20"/>
              </w:rPr>
            </w:pPr>
            <w:r>
              <w:rPr>
                <w:sz w:val="20"/>
                <w:szCs w:val="20"/>
              </w:rPr>
              <w:t>20,0</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Керала</w:t>
            </w:r>
          </w:p>
        </w:tc>
        <w:tc>
          <w:tcPr>
            <w:tcW w:w="1056" w:type="dxa"/>
            <w:vAlign w:val="center"/>
          </w:tcPr>
          <w:p w:rsidR="00000000" w:rsidRDefault="00000000">
            <w:pPr>
              <w:tabs>
                <w:tab w:val="decimal" w:pos="397"/>
              </w:tabs>
              <w:spacing w:before="40" w:after="40"/>
              <w:ind w:right="57"/>
              <w:rPr>
                <w:sz w:val="20"/>
                <w:szCs w:val="20"/>
              </w:rPr>
            </w:pPr>
            <w:r>
              <w:rPr>
                <w:sz w:val="20"/>
                <w:szCs w:val="20"/>
              </w:rPr>
              <w:t>29,1</w:t>
            </w:r>
          </w:p>
        </w:tc>
        <w:tc>
          <w:tcPr>
            <w:tcW w:w="957" w:type="dxa"/>
            <w:vAlign w:val="center"/>
          </w:tcPr>
          <w:p w:rsidR="00000000" w:rsidRDefault="00000000">
            <w:pPr>
              <w:tabs>
                <w:tab w:val="decimal" w:pos="397"/>
              </w:tabs>
              <w:spacing w:before="40" w:after="40"/>
              <w:ind w:right="57"/>
              <w:rPr>
                <w:sz w:val="20"/>
                <w:szCs w:val="20"/>
              </w:rPr>
            </w:pPr>
            <w:r>
              <w:rPr>
                <w:sz w:val="20"/>
                <w:szCs w:val="20"/>
              </w:rPr>
              <w:t>40,3</w:t>
            </w:r>
          </w:p>
        </w:tc>
        <w:tc>
          <w:tcPr>
            <w:tcW w:w="862" w:type="dxa"/>
            <w:vAlign w:val="center"/>
          </w:tcPr>
          <w:p w:rsidR="00000000" w:rsidRDefault="00000000">
            <w:pPr>
              <w:tabs>
                <w:tab w:val="decimal" w:pos="397"/>
              </w:tabs>
              <w:spacing w:before="40" w:after="40"/>
              <w:ind w:right="57"/>
              <w:rPr>
                <w:sz w:val="20"/>
                <w:szCs w:val="20"/>
              </w:rPr>
            </w:pPr>
            <w:r>
              <w:rPr>
                <w:sz w:val="20"/>
                <w:szCs w:val="20"/>
              </w:rPr>
              <w:t>31,8</w:t>
            </w:r>
          </w:p>
        </w:tc>
        <w:tc>
          <w:tcPr>
            <w:tcW w:w="852" w:type="dxa"/>
            <w:vAlign w:val="center"/>
          </w:tcPr>
          <w:p w:rsidR="00000000" w:rsidRDefault="00000000">
            <w:pPr>
              <w:tabs>
                <w:tab w:val="decimal" w:pos="397"/>
              </w:tabs>
              <w:spacing w:before="40" w:after="40"/>
              <w:ind w:right="57"/>
              <w:rPr>
                <w:sz w:val="20"/>
                <w:szCs w:val="20"/>
              </w:rPr>
            </w:pPr>
            <w:r>
              <w:rPr>
                <w:sz w:val="20"/>
                <w:szCs w:val="20"/>
              </w:rPr>
              <w:t>25,8</w:t>
            </w:r>
          </w:p>
        </w:tc>
        <w:tc>
          <w:tcPr>
            <w:tcW w:w="957" w:type="dxa"/>
            <w:vAlign w:val="center"/>
          </w:tcPr>
          <w:p w:rsidR="00000000" w:rsidRDefault="00000000">
            <w:pPr>
              <w:tabs>
                <w:tab w:val="decimal" w:pos="397"/>
              </w:tabs>
              <w:spacing w:before="40" w:after="40"/>
              <w:ind w:right="57"/>
              <w:rPr>
                <w:sz w:val="20"/>
                <w:szCs w:val="20"/>
              </w:rPr>
            </w:pPr>
            <w:r>
              <w:rPr>
                <w:sz w:val="20"/>
                <w:szCs w:val="20"/>
              </w:rPr>
              <w:t>24,5</w:t>
            </w:r>
          </w:p>
        </w:tc>
        <w:tc>
          <w:tcPr>
            <w:tcW w:w="816" w:type="dxa"/>
            <w:vAlign w:val="center"/>
          </w:tcPr>
          <w:p w:rsidR="00000000" w:rsidRDefault="00000000">
            <w:pPr>
              <w:tabs>
                <w:tab w:val="decimal" w:pos="340"/>
              </w:tabs>
              <w:spacing w:before="40" w:after="40"/>
              <w:ind w:right="57"/>
              <w:rPr>
                <w:sz w:val="20"/>
                <w:szCs w:val="20"/>
              </w:rPr>
            </w:pPr>
            <w:r>
              <w:rPr>
                <w:sz w:val="20"/>
                <w:szCs w:val="20"/>
              </w:rPr>
              <w:t>25,4</w:t>
            </w:r>
          </w:p>
        </w:tc>
        <w:tc>
          <w:tcPr>
            <w:tcW w:w="852" w:type="dxa"/>
            <w:vAlign w:val="center"/>
          </w:tcPr>
          <w:p w:rsidR="00000000" w:rsidRDefault="00000000">
            <w:pPr>
              <w:tabs>
                <w:tab w:val="decimal" w:pos="340"/>
              </w:tabs>
              <w:spacing w:before="40" w:after="40"/>
              <w:ind w:right="57"/>
              <w:rPr>
                <w:sz w:val="20"/>
                <w:szCs w:val="20"/>
              </w:rPr>
            </w:pPr>
            <w:r>
              <w:rPr>
                <w:sz w:val="20"/>
                <w:szCs w:val="20"/>
              </w:rPr>
              <w:t>9,4</w:t>
            </w:r>
          </w:p>
        </w:tc>
        <w:tc>
          <w:tcPr>
            <w:tcW w:w="957" w:type="dxa"/>
            <w:vAlign w:val="center"/>
          </w:tcPr>
          <w:p w:rsidR="00000000" w:rsidRDefault="00000000">
            <w:pPr>
              <w:tabs>
                <w:tab w:val="decimal" w:pos="397"/>
              </w:tabs>
              <w:spacing w:before="40" w:after="40"/>
              <w:ind w:right="57"/>
              <w:rPr>
                <w:sz w:val="20"/>
                <w:szCs w:val="20"/>
              </w:rPr>
            </w:pPr>
            <w:r>
              <w:rPr>
                <w:sz w:val="20"/>
                <w:szCs w:val="20"/>
              </w:rPr>
              <w:t>20,3</w:t>
            </w:r>
          </w:p>
        </w:tc>
        <w:tc>
          <w:tcPr>
            <w:tcW w:w="798" w:type="dxa"/>
            <w:vAlign w:val="center"/>
          </w:tcPr>
          <w:p w:rsidR="00000000" w:rsidRDefault="00000000">
            <w:pPr>
              <w:tabs>
                <w:tab w:val="decimal" w:pos="397"/>
              </w:tabs>
              <w:spacing w:before="40" w:after="40"/>
              <w:ind w:right="57"/>
              <w:rPr>
                <w:sz w:val="20"/>
                <w:szCs w:val="20"/>
              </w:rPr>
            </w:pPr>
            <w:r>
              <w:rPr>
                <w:sz w:val="20"/>
                <w:szCs w:val="20"/>
              </w:rPr>
              <w:t>12,7</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Мадхья-Прадеш</w:t>
            </w:r>
          </w:p>
        </w:tc>
        <w:tc>
          <w:tcPr>
            <w:tcW w:w="1056" w:type="dxa"/>
            <w:vAlign w:val="center"/>
          </w:tcPr>
          <w:p w:rsidR="00000000" w:rsidRDefault="00000000">
            <w:pPr>
              <w:tabs>
                <w:tab w:val="decimal" w:pos="397"/>
              </w:tabs>
              <w:spacing w:before="40" w:after="40"/>
              <w:ind w:right="57"/>
              <w:rPr>
                <w:sz w:val="20"/>
                <w:szCs w:val="20"/>
              </w:rPr>
            </w:pPr>
            <w:r>
              <w:rPr>
                <w:sz w:val="20"/>
                <w:szCs w:val="20"/>
              </w:rPr>
              <w:t>41,9</w:t>
            </w:r>
          </w:p>
        </w:tc>
        <w:tc>
          <w:tcPr>
            <w:tcW w:w="957" w:type="dxa"/>
            <w:vAlign w:val="center"/>
          </w:tcPr>
          <w:p w:rsidR="00000000" w:rsidRDefault="00000000">
            <w:pPr>
              <w:tabs>
                <w:tab w:val="decimal" w:pos="397"/>
              </w:tabs>
              <w:spacing w:before="40" w:after="40"/>
              <w:ind w:right="57"/>
              <w:rPr>
                <w:sz w:val="20"/>
                <w:szCs w:val="20"/>
              </w:rPr>
            </w:pPr>
            <w:r>
              <w:rPr>
                <w:sz w:val="20"/>
                <w:szCs w:val="20"/>
              </w:rPr>
              <w:t>47,1</w:t>
            </w:r>
          </w:p>
        </w:tc>
        <w:tc>
          <w:tcPr>
            <w:tcW w:w="862" w:type="dxa"/>
            <w:vAlign w:val="center"/>
          </w:tcPr>
          <w:p w:rsidR="00000000" w:rsidRDefault="00000000">
            <w:pPr>
              <w:tabs>
                <w:tab w:val="decimal" w:pos="397"/>
              </w:tabs>
              <w:spacing w:before="40" w:after="40"/>
              <w:ind w:right="57"/>
              <w:rPr>
                <w:sz w:val="20"/>
                <w:szCs w:val="20"/>
              </w:rPr>
            </w:pPr>
            <w:r>
              <w:rPr>
                <w:sz w:val="20"/>
                <w:szCs w:val="20"/>
              </w:rPr>
              <w:t>43,1</w:t>
            </w:r>
          </w:p>
        </w:tc>
        <w:tc>
          <w:tcPr>
            <w:tcW w:w="852" w:type="dxa"/>
            <w:vAlign w:val="center"/>
          </w:tcPr>
          <w:p w:rsidR="00000000" w:rsidRDefault="00000000">
            <w:pPr>
              <w:tabs>
                <w:tab w:val="decimal" w:pos="397"/>
              </w:tabs>
              <w:spacing w:before="40" w:after="40"/>
              <w:ind w:right="57"/>
              <w:rPr>
                <w:sz w:val="20"/>
                <w:szCs w:val="20"/>
              </w:rPr>
            </w:pPr>
            <w:r>
              <w:rPr>
                <w:sz w:val="20"/>
                <w:szCs w:val="20"/>
              </w:rPr>
              <w:t>40,6</w:t>
            </w:r>
          </w:p>
        </w:tc>
        <w:tc>
          <w:tcPr>
            <w:tcW w:w="957" w:type="dxa"/>
            <w:vAlign w:val="center"/>
          </w:tcPr>
          <w:p w:rsidR="00000000" w:rsidRDefault="00000000">
            <w:pPr>
              <w:tabs>
                <w:tab w:val="decimal" w:pos="397"/>
              </w:tabs>
              <w:spacing w:before="40" w:after="40"/>
              <w:ind w:right="57"/>
              <w:rPr>
                <w:sz w:val="20"/>
                <w:szCs w:val="20"/>
              </w:rPr>
            </w:pPr>
            <w:r>
              <w:rPr>
                <w:sz w:val="20"/>
                <w:szCs w:val="20"/>
              </w:rPr>
              <w:t>48,4</w:t>
            </w:r>
          </w:p>
        </w:tc>
        <w:tc>
          <w:tcPr>
            <w:tcW w:w="816" w:type="dxa"/>
            <w:vAlign w:val="center"/>
          </w:tcPr>
          <w:p w:rsidR="00000000" w:rsidRDefault="00000000">
            <w:pPr>
              <w:tabs>
                <w:tab w:val="decimal" w:pos="340"/>
              </w:tabs>
              <w:spacing w:before="40" w:after="40"/>
              <w:ind w:right="57"/>
              <w:rPr>
                <w:sz w:val="20"/>
                <w:szCs w:val="20"/>
              </w:rPr>
            </w:pPr>
            <w:r>
              <w:rPr>
                <w:sz w:val="20"/>
                <w:szCs w:val="20"/>
              </w:rPr>
              <w:t>42,5</w:t>
            </w:r>
          </w:p>
        </w:tc>
        <w:tc>
          <w:tcPr>
            <w:tcW w:w="852" w:type="dxa"/>
            <w:vAlign w:val="center"/>
          </w:tcPr>
          <w:p w:rsidR="00000000" w:rsidRDefault="00000000">
            <w:pPr>
              <w:tabs>
                <w:tab w:val="decimal" w:pos="340"/>
              </w:tabs>
              <w:spacing w:before="40" w:after="40"/>
              <w:ind w:right="57"/>
              <w:rPr>
                <w:sz w:val="20"/>
                <w:szCs w:val="20"/>
              </w:rPr>
            </w:pPr>
            <w:r>
              <w:rPr>
                <w:sz w:val="20"/>
                <w:szCs w:val="20"/>
              </w:rPr>
              <w:t>37,1</w:t>
            </w:r>
          </w:p>
        </w:tc>
        <w:tc>
          <w:tcPr>
            <w:tcW w:w="957" w:type="dxa"/>
            <w:vAlign w:val="center"/>
          </w:tcPr>
          <w:p w:rsidR="00000000" w:rsidRDefault="00000000">
            <w:pPr>
              <w:tabs>
                <w:tab w:val="decimal" w:pos="397"/>
              </w:tabs>
              <w:spacing w:before="40" w:after="40"/>
              <w:ind w:right="57"/>
              <w:rPr>
                <w:sz w:val="20"/>
                <w:szCs w:val="20"/>
              </w:rPr>
            </w:pPr>
            <w:r>
              <w:rPr>
                <w:sz w:val="20"/>
                <w:szCs w:val="20"/>
              </w:rPr>
              <w:t>38,4</w:t>
            </w:r>
          </w:p>
        </w:tc>
        <w:tc>
          <w:tcPr>
            <w:tcW w:w="798" w:type="dxa"/>
            <w:vAlign w:val="center"/>
          </w:tcPr>
          <w:p w:rsidR="00000000" w:rsidRDefault="00000000">
            <w:pPr>
              <w:tabs>
                <w:tab w:val="decimal" w:pos="397"/>
              </w:tabs>
              <w:spacing w:before="40" w:after="40"/>
              <w:ind w:right="57"/>
              <w:rPr>
                <w:sz w:val="20"/>
                <w:szCs w:val="20"/>
              </w:rPr>
            </w:pPr>
            <w:r>
              <w:rPr>
                <w:sz w:val="20"/>
                <w:szCs w:val="20"/>
              </w:rPr>
              <w:t>37,4</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Махараштра</w:t>
            </w:r>
          </w:p>
        </w:tc>
        <w:tc>
          <w:tcPr>
            <w:tcW w:w="1056" w:type="dxa"/>
            <w:vAlign w:val="center"/>
          </w:tcPr>
          <w:p w:rsidR="00000000" w:rsidRDefault="00000000">
            <w:pPr>
              <w:tabs>
                <w:tab w:val="decimal" w:pos="397"/>
              </w:tabs>
              <w:spacing w:before="40" w:after="40"/>
              <w:ind w:right="57"/>
              <w:rPr>
                <w:sz w:val="20"/>
                <w:szCs w:val="20"/>
              </w:rPr>
            </w:pPr>
            <w:r>
              <w:rPr>
                <w:sz w:val="20"/>
                <w:szCs w:val="20"/>
              </w:rPr>
              <w:t>40,8</w:t>
            </w:r>
          </w:p>
        </w:tc>
        <w:tc>
          <w:tcPr>
            <w:tcW w:w="957" w:type="dxa"/>
            <w:vAlign w:val="center"/>
          </w:tcPr>
          <w:p w:rsidR="00000000" w:rsidRDefault="00000000">
            <w:pPr>
              <w:tabs>
                <w:tab w:val="decimal" w:pos="397"/>
              </w:tabs>
              <w:spacing w:before="40" w:after="40"/>
              <w:ind w:right="57"/>
              <w:rPr>
                <w:sz w:val="20"/>
                <w:szCs w:val="20"/>
              </w:rPr>
            </w:pPr>
            <w:r>
              <w:rPr>
                <w:sz w:val="20"/>
                <w:szCs w:val="20"/>
              </w:rPr>
              <w:t>39,8</w:t>
            </w:r>
          </w:p>
        </w:tc>
        <w:tc>
          <w:tcPr>
            <w:tcW w:w="862" w:type="dxa"/>
            <w:vAlign w:val="center"/>
          </w:tcPr>
          <w:p w:rsidR="00000000" w:rsidRDefault="00000000">
            <w:pPr>
              <w:tabs>
                <w:tab w:val="decimal" w:pos="397"/>
              </w:tabs>
              <w:spacing w:before="40" w:after="40"/>
              <w:ind w:right="57"/>
              <w:rPr>
                <w:sz w:val="20"/>
                <w:szCs w:val="20"/>
              </w:rPr>
            </w:pPr>
            <w:r>
              <w:rPr>
                <w:sz w:val="20"/>
                <w:szCs w:val="20"/>
              </w:rPr>
              <w:t>40,4</w:t>
            </w:r>
          </w:p>
        </w:tc>
        <w:tc>
          <w:tcPr>
            <w:tcW w:w="852" w:type="dxa"/>
            <w:vAlign w:val="center"/>
          </w:tcPr>
          <w:p w:rsidR="00000000" w:rsidRDefault="00000000">
            <w:pPr>
              <w:tabs>
                <w:tab w:val="decimal" w:pos="397"/>
              </w:tabs>
              <w:spacing w:before="40" w:after="40"/>
              <w:ind w:right="57"/>
              <w:rPr>
                <w:sz w:val="20"/>
                <w:szCs w:val="20"/>
              </w:rPr>
            </w:pPr>
            <w:r>
              <w:rPr>
                <w:sz w:val="20"/>
                <w:szCs w:val="20"/>
              </w:rPr>
              <w:t>37,9</w:t>
            </w:r>
          </w:p>
        </w:tc>
        <w:tc>
          <w:tcPr>
            <w:tcW w:w="957" w:type="dxa"/>
            <w:vAlign w:val="center"/>
          </w:tcPr>
          <w:p w:rsidR="00000000" w:rsidRDefault="00000000">
            <w:pPr>
              <w:tabs>
                <w:tab w:val="decimal" w:pos="397"/>
              </w:tabs>
              <w:spacing w:before="40" w:after="40"/>
              <w:ind w:right="57"/>
              <w:rPr>
                <w:sz w:val="20"/>
                <w:szCs w:val="20"/>
              </w:rPr>
            </w:pPr>
            <w:r>
              <w:rPr>
                <w:sz w:val="20"/>
                <w:szCs w:val="20"/>
              </w:rPr>
              <w:t>35,1</w:t>
            </w:r>
          </w:p>
        </w:tc>
        <w:tc>
          <w:tcPr>
            <w:tcW w:w="816" w:type="dxa"/>
            <w:vAlign w:val="center"/>
          </w:tcPr>
          <w:p w:rsidR="00000000" w:rsidRDefault="00000000">
            <w:pPr>
              <w:tabs>
                <w:tab w:val="decimal" w:pos="340"/>
              </w:tabs>
              <w:spacing w:before="40" w:after="40"/>
              <w:ind w:right="57"/>
              <w:rPr>
                <w:sz w:val="20"/>
                <w:szCs w:val="20"/>
              </w:rPr>
            </w:pPr>
            <w:r>
              <w:rPr>
                <w:sz w:val="20"/>
                <w:szCs w:val="20"/>
              </w:rPr>
              <w:t>36,9</w:t>
            </w:r>
          </w:p>
        </w:tc>
        <w:tc>
          <w:tcPr>
            <w:tcW w:w="852" w:type="dxa"/>
            <w:vAlign w:val="center"/>
          </w:tcPr>
          <w:p w:rsidR="00000000" w:rsidRDefault="00000000">
            <w:pPr>
              <w:tabs>
                <w:tab w:val="decimal" w:pos="340"/>
              </w:tabs>
              <w:spacing w:before="40" w:after="40"/>
              <w:ind w:right="57"/>
              <w:rPr>
                <w:sz w:val="20"/>
                <w:szCs w:val="20"/>
              </w:rPr>
            </w:pPr>
            <w:r>
              <w:rPr>
                <w:sz w:val="20"/>
                <w:szCs w:val="20"/>
              </w:rPr>
              <w:t>23,7</w:t>
            </w:r>
          </w:p>
        </w:tc>
        <w:tc>
          <w:tcPr>
            <w:tcW w:w="957" w:type="dxa"/>
            <w:vAlign w:val="center"/>
          </w:tcPr>
          <w:p w:rsidR="00000000" w:rsidRDefault="00000000">
            <w:pPr>
              <w:tabs>
                <w:tab w:val="decimal" w:pos="397"/>
              </w:tabs>
              <w:spacing w:before="40" w:after="40"/>
              <w:ind w:right="57"/>
              <w:rPr>
                <w:sz w:val="20"/>
                <w:szCs w:val="20"/>
              </w:rPr>
            </w:pPr>
            <w:r>
              <w:rPr>
                <w:sz w:val="20"/>
                <w:szCs w:val="20"/>
              </w:rPr>
              <w:t>26,8</w:t>
            </w:r>
          </w:p>
        </w:tc>
        <w:tc>
          <w:tcPr>
            <w:tcW w:w="798" w:type="dxa"/>
            <w:vAlign w:val="center"/>
          </w:tcPr>
          <w:p w:rsidR="00000000" w:rsidRDefault="00000000">
            <w:pPr>
              <w:tabs>
                <w:tab w:val="decimal" w:pos="397"/>
              </w:tabs>
              <w:spacing w:before="40" w:after="40"/>
              <w:ind w:right="57"/>
              <w:rPr>
                <w:sz w:val="20"/>
                <w:szCs w:val="20"/>
              </w:rPr>
            </w:pPr>
            <w:r>
              <w:rPr>
                <w:sz w:val="20"/>
                <w:szCs w:val="20"/>
              </w:rPr>
              <w:t>25,0</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Манипуя</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31,3</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33,8</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28,5</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Мегалая</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33,9</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37,9</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33,9</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Мизорам</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27,5</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25,7</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19,5</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Нагаленд</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34,4</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37,9</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32,7</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Орисса</w:t>
            </w:r>
          </w:p>
        </w:tc>
        <w:tc>
          <w:tcPr>
            <w:tcW w:w="1056" w:type="dxa"/>
            <w:vAlign w:val="center"/>
          </w:tcPr>
          <w:p w:rsidR="00000000" w:rsidRDefault="00000000">
            <w:pPr>
              <w:tabs>
                <w:tab w:val="decimal" w:pos="397"/>
              </w:tabs>
              <w:spacing w:before="40" w:after="40"/>
              <w:ind w:right="57"/>
              <w:rPr>
                <w:sz w:val="20"/>
                <w:szCs w:val="20"/>
              </w:rPr>
            </w:pPr>
            <w:r>
              <w:rPr>
                <w:sz w:val="20"/>
                <w:szCs w:val="20"/>
              </w:rPr>
              <w:t>57,6</w:t>
            </w:r>
          </w:p>
        </w:tc>
        <w:tc>
          <w:tcPr>
            <w:tcW w:w="957" w:type="dxa"/>
            <w:vAlign w:val="center"/>
          </w:tcPr>
          <w:p w:rsidR="00000000" w:rsidRDefault="00000000">
            <w:pPr>
              <w:tabs>
                <w:tab w:val="decimal" w:pos="397"/>
              </w:tabs>
              <w:spacing w:before="40" w:after="40"/>
              <w:ind w:right="57"/>
              <w:rPr>
                <w:sz w:val="20"/>
                <w:szCs w:val="20"/>
              </w:rPr>
            </w:pPr>
            <w:r>
              <w:rPr>
                <w:sz w:val="20"/>
                <w:szCs w:val="20"/>
              </w:rPr>
              <w:t>41,6</w:t>
            </w:r>
          </w:p>
        </w:tc>
        <w:tc>
          <w:tcPr>
            <w:tcW w:w="862" w:type="dxa"/>
            <w:vAlign w:val="center"/>
          </w:tcPr>
          <w:p w:rsidR="00000000" w:rsidRDefault="00000000">
            <w:pPr>
              <w:tabs>
                <w:tab w:val="decimal" w:pos="397"/>
              </w:tabs>
              <w:spacing w:before="40" w:after="40"/>
              <w:ind w:right="57"/>
              <w:rPr>
                <w:sz w:val="20"/>
                <w:szCs w:val="20"/>
              </w:rPr>
            </w:pPr>
            <w:r>
              <w:rPr>
                <w:sz w:val="20"/>
                <w:szCs w:val="20"/>
              </w:rPr>
              <w:t>55,6</w:t>
            </w:r>
          </w:p>
        </w:tc>
        <w:tc>
          <w:tcPr>
            <w:tcW w:w="852" w:type="dxa"/>
            <w:vAlign w:val="center"/>
          </w:tcPr>
          <w:p w:rsidR="00000000" w:rsidRDefault="00000000">
            <w:pPr>
              <w:tabs>
                <w:tab w:val="decimal" w:pos="397"/>
              </w:tabs>
              <w:spacing w:before="40" w:after="40"/>
              <w:ind w:right="57"/>
              <w:rPr>
                <w:sz w:val="20"/>
                <w:szCs w:val="20"/>
              </w:rPr>
            </w:pPr>
            <w:r>
              <w:rPr>
                <w:sz w:val="20"/>
                <w:szCs w:val="20"/>
              </w:rPr>
              <w:t>49,7</w:t>
            </w:r>
          </w:p>
        </w:tc>
        <w:tc>
          <w:tcPr>
            <w:tcW w:w="957" w:type="dxa"/>
            <w:vAlign w:val="center"/>
          </w:tcPr>
          <w:p w:rsidR="00000000" w:rsidRDefault="00000000">
            <w:pPr>
              <w:tabs>
                <w:tab w:val="decimal" w:pos="397"/>
              </w:tabs>
              <w:spacing w:before="40" w:after="40"/>
              <w:ind w:right="57"/>
              <w:rPr>
                <w:sz w:val="20"/>
                <w:szCs w:val="20"/>
              </w:rPr>
            </w:pPr>
            <w:r>
              <w:rPr>
                <w:sz w:val="20"/>
                <w:szCs w:val="20"/>
              </w:rPr>
              <w:t>41,6</w:t>
            </w:r>
          </w:p>
        </w:tc>
        <w:tc>
          <w:tcPr>
            <w:tcW w:w="816" w:type="dxa"/>
            <w:vAlign w:val="center"/>
          </w:tcPr>
          <w:p w:rsidR="00000000" w:rsidRDefault="00000000">
            <w:pPr>
              <w:tabs>
                <w:tab w:val="decimal" w:pos="340"/>
              </w:tabs>
              <w:spacing w:before="40" w:after="40"/>
              <w:ind w:right="57"/>
              <w:rPr>
                <w:sz w:val="20"/>
                <w:szCs w:val="20"/>
              </w:rPr>
            </w:pPr>
            <w:r>
              <w:rPr>
                <w:sz w:val="20"/>
                <w:szCs w:val="20"/>
              </w:rPr>
              <w:t>48,6</w:t>
            </w:r>
          </w:p>
        </w:tc>
        <w:tc>
          <w:tcPr>
            <w:tcW w:w="852" w:type="dxa"/>
            <w:vAlign w:val="center"/>
          </w:tcPr>
          <w:p w:rsidR="00000000" w:rsidRDefault="00000000">
            <w:pPr>
              <w:tabs>
                <w:tab w:val="decimal" w:pos="340"/>
              </w:tabs>
              <w:spacing w:before="40" w:after="40"/>
              <w:ind w:right="57"/>
              <w:rPr>
                <w:sz w:val="20"/>
                <w:szCs w:val="20"/>
              </w:rPr>
            </w:pPr>
            <w:r>
              <w:rPr>
                <w:sz w:val="20"/>
                <w:szCs w:val="20"/>
              </w:rPr>
              <w:t>48,0</w:t>
            </w:r>
          </w:p>
        </w:tc>
        <w:tc>
          <w:tcPr>
            <w:tcW w:w="957" w:type="dxa"/>
            <w:vAlign w:val="center"/>
          </w:tcPr>
          <w:p w:rsidR="00000000" w:rsidRDefault="00000000">
            <w:pPr>
              <w:tabs>
                <w:tab w:val="decimal" w:pos="397"/>
              </w:tabs>
              <w:spacing w:before="40" w:after="40"/>
              <w:ind w:right="57"/>
              <w:rPr>
                <w:sz w:val="20"/>
                <w:szCs w:val="20"/>
              </w:rPr>
            </w:pPr>
            <w:r>
              <w:rPr>
                <w:sz w:val="20"/>
                <w:szCs w:val="20"/>
              </w:rPr>
              <w:t>42,8</w:t>
            </w:r>
          </w:p>
        </w:tc>
        <w:tc>
          <w:tcPr>
            <w:tcW w:w="798" w:type="dxa"/>
            <w:vAlign w:val="center"/>
          </w:tcPr>
          <w:p w:rsidR="00000000" w:rsidRDefault="00000000">
            <w:pPr>
              <w:tabs>
                <w:tab w:val="decimal" w:pos="397"/>
              </w:tabs>
              <w:spacing w:before="40" w:after="40"/>
              <w:ind w:right="57"/>
              <w:rPr>
                <w:sz w:val="20"/>
                <w:szCs w:val="20"/>
              </w:rPr>
            </w:pPr>
            <w:r>
              <w:rPr>
                <w:sz w:val="20"/>
                <w:szCs w:val="20"/>
              </w:rPr>
              <w:t>47,2</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Пенджаб</w:t>
            </w:r>
          </w:p>
        </w:tc>
        <w:tc>
          <w:tcPr>
            <w:tcW w:w="1056" w:type="dxa"/>
            <w:vAlign w:val="center"/>
          </w:tcPr>
          <w:p w:rsidR="00000000" w:rsidRDefault="00000000">
            <w:pPr>
              <w:tabs>
                <w:tab w:val="decimal" w:pos="397"/>
              </w:tabs>
              <w:spacing w:before="40" w:after="40"/>
              <w:ind w:right="57"/>
              <w:rPr>
                <w:sz w:val="20"/>
                <w:szCs w:val="20"/>
              </w:rPr>
            </w:pPr>
            <w:r>
              <w:rPr>
                <w:sz w:val="20"/>
                <w:szCs w:val="20"/>
              </w:rPr>
              <w:t>12,6</w:t>
            </w:r>
          </w:p>
        </w:tc>
        <w:tc>
          <w:tcPr>
            <w:tcW w:w="957" w:type="dxa"/>
            <w:vAlign w:val="center"/>
          </w:tcPr>
          <w:p w:rsidR="00000000" w:rsidRDefault="00000000">
            <w:pPr>
              <w:tabs>
                <w:tab w:val="decimal" w:pos="397"/>
              </w:tabs>
              <w:spacing w:before="40" w:after="40"/>
              <w:ind w:right="57"/>
              <w:rPr>
                <w:sz w:val="20"/>
                <w:szCs w:val="20"/>
              </w:rPr>
            </w:pPr>
            <w:r>
              <w:rPr>
                <w:sz w:val="20"/>
                <w:szCs w:val="20"/>
              </w:rPr>
              <w:t>14,7</w:t>
            </w:r>
          </w:p>
        </w:tc>
        <w:tc>
          <w:tcPr>
            <w:tcW w:w="862" w:type="dxa"/>
            <w:vAlign w:val="center"/>
          </w:tcPr>
          <w:p w:rsidR="00000000" w:rsidRDefault="00000000">
            <w:pPr>
              <w:tabs>
                <w:tab w:val="decimal" w:pos="397"/>
              </w:tabs>
              <w:spacing w:before="40" w:after="40"/>
              <w:ind w:right="57"/>
              <w:rPr>
                <w:sz w:val="20"/>
                <w:szCs w:val="20"/>
              </w:rPr>
            </w:pPr>
            <w:r>
              <w:rPr>
                <w:sz w:val="20"/>
                <w:szCs w:val="20"/>
              </w:rPr>
              <w:t>13,2</w:t>
            </w:r>
          </w:p>
        </w:tc>
        <w:tc>
          <w:tcPr>
            <w:tcW w:w="852" w:type="dxa"/>
            <w:vAlign w:val="center"/>
          </w:tcPr>
          <w:p w:rsidR="00000000" w:rsidRDefault="00000000">
            <w:pPr>
              <w:tabs>
                <w:tab w:val="decimal" w:pos="397"/>
              </w:tabs>
              <w:spacing w:before="40" w:after="40"/>
              <w:ind w:right="57"/>
              <w:rPr>
                <w:sz w:val="20"/>
                <w:szCs w:val="20"/>
              </w:rPr>
            </w:pPr>
            <w:r>
              <w:rPr>
                <w:sz w:val="20"/>
                <w:szCs w:val="20"/>
              </w:rPr>
              <w:t>11,9</w:t>
            </w:r>
          </w:p>
        </w:tc>
        <w:tc>
          <w:tcPr>
            <w:tcW w:w="957" w:type="dxa"/>
            <w:vAlign w:val="center"/>
          </w:tcPr>
          <w:p w:rsidR="00000000" w:rsidRDefault="00000000">
            <w:pPr>
              <w:tabs>
                <w:tab w:val="decimal" w:pos="397"/>
              </w:tabs>
              <w:spacing w:before="40" w:after="40"/>
              <w:ind w:right="57"/>
              <w:rPr>
                <w:sz w:val="20"/>
                <w:szCs w:val="20"/>
              </w:rPr>
            </w:pPr>
            <w:r>
              <w:rPr>
                <w:sz w:val="20"/>
                <w:szCs w:val="20"/>
              </w:rPr>
              <w:t>11,4</w:t>
            </w:r>
          </w:p>
        </w:tc>
        <w:tc>
          <w:tcPr>
            <w:tcW w:w="816" w:type="dxa"/>
            <w:vAlign w:val="center"/>
          </w:tcPr>
          <w:p w:rsidR="00000000" w:rsidRDefault="00000000">
            <w:pPr>
              <w:tabs>
                <w:tab w:val="decimal" w:pos="340"/>
              </w:tabs>
              <w:spacing w:before="40" w:after="40"/>
              <w:ind w:right="57"/>
              <w:rPr>
                <w:sz w:val="20"/>
                <w:szCs w:val="20"/>
              </w:rPr>
            </w:pPr>
            <w:r>
              <w:rPr>
                <w:sz w:val="20"/>
                <w:szCs w:val="20"/>
              </w:rPr>
              <w:t>11,8</w:t>
            </w:r>
          </w:p>
        </w:tc>
        <w:tc>
          <w:tcPr>
            <w:tcW w:w="852" w:type="dxa"/>
            <w:vAlign w:val="center"/>
          </w:tcPr>
          <w:p w:rsidR="00000000" w:rsidRDefault="00000000">
            <w:pPr>
              <w:tabs>
                <w:tab w:val="decimal" w:pos="340"/>
              </w:tabs>
              <w:spacing w:before="40" w:after="40"/>
              <w:ind w:right="57"/>
              <w:rPr>
                <w:sz w:val="20"/>
                <w:szCs w:val="20"/>
              </w:rPr>
            </w:pPr>
            <w:r>
              <w:rPr>
                <w:sz w:val="20"/>
                <w:szCs w:val="20"/>
              </w:rPr>
              <w:t>6,4</w:t>
            </w:r>
          </w:p>
        </w:tc>
        <w:tc>
          <w:tcPr>
            <w:tcW w:w="957" w:type="dxa"/>
            <w:vAlign w:val="center"/>
          </w:tcPr>
          <w:p w:rsidR="00000000" w:rsidRDefault="00000000">
            <w:pPr>
              <w:tabs>
                <w:tab w:val="decimal" w:pos="397"/>
              </w:tabs>
              <w:spacing w:before="40" w:after="40"/>
              <w:ind w:right="57"/>
              <w:rPr>
                <w:sz w:val="20"/>
                <w:szCs w:val="20"/>
              </w:rPr>
            </w:pPr>
            <w:r>
              <w:rPr>
                <w:sz w:val="20"/>
                <w:szCs w:val="20"/>
              </w:rPr>
              <w:t>5,8</w:t>
            </w:r>
          </w:p>
        </w:tc>
        <w:tc>
          <w:tcPr>
            <w:tcW w:w="798" w:type="dxa"/>
            <w:vAlign w:val="center"/>
          </w:tcPr>
          <w:p w:rsidR="00000000" w:rsidRDefault="00000000">
            <w:pPr>
              <w:tabs>
                <w:tab w:val="decimal" w:pos="397"/>
              </w:tabs>
              <w:spacing w:before="40" w:after="40"/>
              <w:ind w:right="57"/>
              <w:rPr>
                <w:sz w:val="20"/>
                <w:szCs w:val="20"/>
              </w:rPr>
            </w:pPr>
            <w:r>
              <w:rPr>
                <w:sz w:val="20"/>
                <w:szCs w:val="20"/>
              </w:rPr>
              <w:t>6,2</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Раджастхан</w:t>
            </w:r>
          </w:p>
        </w:tc>
        <w:tc>
          <w:tcPr>
            <w:tcW w:w="1056" w:type="dxa"/>
            <w:vAlign w:val="center"/>
          </w:tcPr>
          <w:p w:rsidR="00000000" w:rsidRDefault="00000000">
            <w:pPr>
              <w:tabs>
                <w:tab w:val="decimal" w:pos="397"/>
              </w:tabs>
              <w:spacing w:before="40" w:after="40"/>
              <w:ind w:right="57"/>
              <w:rPr>
                <w:sz w:val="20"/>
                <w:szCs w:val="20"/>
              </w:rPr>
            </w:pPr>
            <w:r>
              <w:rPr>
                <w:sz w:val="20"/>
                <w:szCs w:val="20"/>
              </w:rPr>
              <w:t>33,2</w:t>
            </w:r>
          </w:p>
        </w:tc>
        <w:tc>
          <w:tcPr>
            <w:tcW w:w="957" w:type="dxa"/>
            <w:vAlign w:val="center"/>
          </w:tcPr>
          <w:p w:rsidR="00000000" w:rsidRDefault="00000000">
            <w:pPr>
              <w:tabs>
                <w:tab w:val="decimal" w:pos="397"/>
              </w:tabs>
              <w:spacing w:before="40" w:after="40"/>
              <w:ind w:right="57"/>
              <w:rPr>
                <w:sz w:val="20"/>
                <w:szCs w:val="20"/>
              </w:rPr>
            </w:pPr>
            <w:r>
              <w:rPr>
                <w:sz w:val="20"/>
                <w:szCs w:val="20"/>
              </w:rPr>
              <w:t>41,9</w:t>
            </w:r>
          </w:p>
        </w:tc>
        <w:tc>
          <w:tcPr>
            <w:tcW w:w="862" w:type="dxa"/>
            <w:vAlign w:val="center"/>
          </w:tcPr>
          <w:p w:rsidR="00000000" w:rsidRDefault="00000000">
            <w:pPr>
              <w:tabs>
                <w:tab w:val="decimal" w:pos="397"/>
              </w:tabs>
              <w:spacing w:before="40" w:after="40"/>
              <w:ind w:right="57"/>
              <w:rPr>
                <w:sz w:val="20"/>
                <w:szCs w:val="20"/>
              </w:rPr>
            </w:pPr>
            <w:r>
              <w:rPr>
                <w:sz w:val="20"/>
                <w:szCs w:val="20"/>
              </w:rPr>
              <w:t>35,1</w:t>
            </w:r>
          </w:p>
        </w:tc>
        <w:tc>
          <w:tcPr>
            <w:tcW w:w="852" w:type="dxa"/>
            <w:vAlign w:val="center"/>
          </w:tcPr>
          <w:p w:rsidR="00000000" w:rsidRDefault="00000000">
            <w:pPr>
              <w:tabs>
                <w:tab w:val="decimal" w:pos="397"/>
              </w:tabs>
              <w:spacing w:before="40" w:after="40"/>
              <w:ind w:right="57"/>
              <w:rPr>
                <w:sz w:val="20"/>
                <w:szCs w:val="20"/>
              </w:rPr>
            </w:pPr>
            <w:r>
              <w:rPr>
                <w:sz w:val="20"/>
                <w:szCs w:val="20"/>
              </w:rPr>
              <w:t>26,5</w:t>
            </w:r>
          </w:p>
        </w:tc>
        <w:tc>
          <w:tcPr>
            <w:tcW w:w="957" w:type="dxa"/>
            <w:vAlign w:val="center"/>
          </w:tcPr>
          <w:p w:rsidR="00000000" w:rsidRDefault="00000000">
            <w:pPr>
              <w:tabs>
                <w:tab w:val="decimal" w:pos="397"/>
              </w:tabs>
              <w:spacing w:before="40" w:after="40"/>
              <w:ind w:right="57"/>
              <w:rPr>
                <w:sz w:val="20"/>
                <w:szCs w:val="20"/>
              </w:rPr>
            </w:pPr>
            <w:r>
              <w:rPr>
                <w:sz w:val="20"/>
                <w:szCs w:val="20"/>
              </w:rPr>
              <w:t>30,5</w:t>
            </w:r>
          </w:p>
        </w:tc>
        <w:tc>
          <w:tcPr>
            <w:tcW w:w="816" w:type="dxa"/>
            <w:vAlign w:val="center"/>
          </w:tcPr>
          <w:p w:rsidR="00000000" w:rsidRDefault="00000000">
            <w:pPr>
              <w:tabs>
                <w:tab w:val="decimal" w:pos="340"/>
              </w:tabs>
              <w:spacing w:before="40" w:after="40"/>
              <w:ind w:right="57"/>
              <w:rPr>
                <w:sz w:val="20"/>
                <w:szCs w:val="20"/>
              </w:rPr>
            </w:pPr>
            <w:r>
              <w:rPr>
                <w:sz w:val="20"/>
                <w:szCs w:val="20"/>
              </w:rPr>
              <w:t>27,4</w:t>
            </w:r>
          </w:p>
        </w:tc>
        <w:tc>
          <w:tcPr>
            <w:tcW w:w="852" w:type="dxa"/>
            <w:vAlign w:val="center"/>
          </w:tcPr>
          <w:p w:rsidR="00000000" w:rsidRDefault="00000000">
            <w:pPr>
              <w:tabs>
                <w:tab w:val="decimal" w:pos="340"/>
              </w:tabs>
              <w:spacing w:before="40" w:after="40"/>
              <w:ind w:right="57"/>
              <w:rPr>
                <w:sz w:val="20"/>
                <w:szCs w:val="20"/>
              </w:rPr>
            </w:pPr>
            <w:r>
              <w:rPr>
                <w:sz w:val="20"/>
                <w:szCs w:val="20"/>
              </w:rPr>
              <w:t>13,7</w:t>
            </w:r>
          </w:p>
        </w:tc>
        <w:tc>
          <w:tcPr>
            <w:tcW w:w="957" w:type="dxa"/>
            <w:vAlign w:val="center"/>
          </w:tcPr>
          <w:p w:rsidR="00000000" w:rsidRDefault="00000000">
            <w:pPr>
              <w:tabs>
                <w:tab w:val="decimal" w:pos="397"/>
              </w:tabs>
              <w:spacing w:before="40" w:after="40"/>
              <w:ind w:right="57"/>
              <w:rPr>
                <w:sz w:val="20"/>
                <w:szCs w:val="20"/>
              </w:rPr>
            </w:pPr>
            <w:r>
              <w:rPr>
                <w:sz w:val="20"/>
                <w:szCs w:val="20"/>
              </w:rPr>
              <w:t>19,9</w:t>
            </w:r>
          </w:p>
        </w:tc>
        <w:tc>
          <w:tcPr>
            <w:tcW w:w="798" w:type="dxa"/>
            <w:vAlign w:val="center"/>
          </w:tcPr>
          <w:p w:rsidR="00000000" w:rsidRDefault="00000000">
            <w:pPr>
              <w:tabs>
                <w:tab w:val="decimal" w:pos="397"/>
              </w:tabs>
              <w:spacing w:before="40" w:after="40"/>
              <w:ind w:right="57"/>
              <w:rPr>
                <w:sz w:val="20"/>
                <w:szCs w:val="20"/>
              </w:rPr>
            </w:pPr>
            <w:r>
              <w:rPr>
                <w:sz w:val="20"/>
                <w:szCs w:val="20"/>
              </w:rPr>
              <w:t>15,3</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Сикким</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36,1</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41,4</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36,6</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Тамилнад</w:t>
            </w:r>
          </w:p>
        </w:tc>
        <w:tc>
          <w:tcPr>
            <w:tcW w:w="1056" w:type="dxa"/>
            <w:vAlign w:val="center"/>
          </w:tcPr>
          <w:p w:rsidR="00000000" w:rsidRDefault="00000000">
            <w:pPr>
              <w:tabs>
                <w:tab w:val="decimal" w:pos="397"/>
              </w:tabs>
              <w:spacing w:before="40" w:after="40"/>
              <w:ind w:right="57"/>
              <w:rPr>
                <w:sz w:val="20"/>
                <w:szCs w:val="20"/>
              </w:rPr>
            </w:pPr>
            <w:r>
              <w:rPr>
                <w:sz w:val="20"/>
                <w:szCs w:val="20"/>
              </w:rPr>
              <w:t>45,8</w:t>
            </w:r>
          </w:p>
        </w:tc>
        <w:tc>
          <w:tcPr>
            <w:tcW w:w="957" w:type="dxa"/>
            <w:vAlign w:val="center"/>
          </w:tcPr>
          <w:p w:rsidR="00000000" w:rsidRDefault="00000000">
            <w:pPr>
              <w:tabs>
                <w:tab w:val="decimal" w:pos="397"/>
              </w:tabs>
              <w:spacing w:before="40" w:after="40"/>
              <w:ind w:right="57"/>
              <w:rPr>
                <w:sz w:val="20"/>
                <w:szCs w:val="20"/>
              </w:rPr>
            </w:pPr>
            <w:r>
              <w:rPr>
                <w:sz w:val="20"/>
                <w:szCs w:val="20"/>
              </w:rPr>
              <w:t>38,6</w:t>
            </w:r>
          </w:p>
        </w:tc>
        <w:tc>
          <w:tcPr>
            <w:tcW w:w="862" w:type="dxa"/>
            <w:vAlign w:val="center"/>
          </w:tcPr>
          <w:p w:rsidR="00000000" w:rsidRDefault="00000000">
            <w:pPr>
              <w:tabs>
                <w:tab w:val="decimal" w:pos="397"/>
              </w:tabs>
              <w:spacing w:before="40" w:after="40"/>
              <w:ind w:right="57"/>
              <w:rPr>
                <w:sz w:val="20"/>
                <w:szCs w:val="20"/>
              </w:rPr>
            </w:pPr>
            <w:r>
              <w:rPr>
                <w:sz w:val="20"/>
                <w:szCs w:val="20"/>
              </w:rPr>
              <w:t>43,4</w:t>
            </w:r>
          </w:p>
        </w:tc>
        <w:tc>
          <w:tcPr>
            <w:tcW w:w="852" w:type="dxa"/>
            <w:vAlign w:val="center"/>
          </w:tcPr>
          <w:p w:rsidR="00000000" w:rsidRDefault="00000000">
            <w:pPr>
              <w:tabs>
                <w:tab w:val="decimal" w:pos="397"/>
              </w:tabs>
              <w:spacing w:before="40" w:after="40"/>
              <w:ind w:right="57"/>
              <w:rPr>
                <w:sz w:val="20"/>
                <w:szCs w:val="20"/>
              </w:rPr>
            </w:pPr>
            <w:r>
              <w:rPr>
                <w:sz w:val="20"/>
                <w:szCs w:val="20"/>
              </w:rPr>
              <w:t>32,5</w:t>
            </w:r>
          </w:p>
        </w:tc>
        <w:tc>
          <w:tcPr>
            <w:tcW w:w="957" w:type="dxa"/>
            <w:vAlign w:val="center"/>
          </w:tcPr>
          <w:p w:rsidR="00000000" w:rsidRDefault="00000000">
            <w:pPr>
              <w:tabs>
                <w:tab w:val="decimal" w:pos="397"/>
              </w:tabs>
              <w:spacing w:before="40" w:after="40"/>
              <w:ind w:right="57"/>
              <w:rPr>
                <w:sz w:val="20"/>
                <w:szCs w:val="20"/>
              </w:rPr>
            </w:pPr>
            <w:r>
              <w:rPr>
                <w:sz w:val="20"/>
                <w:szCs w:val="20"/>
              </w:rPr>
              <w:t>39,8</w:t>
            </w:r>
          </w:p>
        </w:tc>
        <w:tc>
          <w:tcPr>
            <w:tcW w:w="816" w:type="dxa"/>
            <w:vAlign w:val="center"/>
          </w:tcPr>
          <w:p w:rsidR="00000000" w:rsidRDefault="00000000">
            <w:pPr>
              <w:tabs>
                <w:tab w:val="decimal" w:pos="340"/>
              </w:tabs>
              <w:spacing w:before="40" w:after="40"/>
              <w:ind w:right="57"/>
              <w:rPr>
                <w:sz w:val="20"/>
                <w:szCs w:val="20"/>
              </w:rPr>
            </w:pPr>
            <w:r>
              <w:rPr>
                <w:sz w:val="20"/>
                <w:szCs w:val="20"/>
              </w:rPr>
              <w:t>35,0</w:t>
            </w:r>
          </w:p>
        </w:tc>
        <w:tc>
          <w:tcPr>
            <w:tcW w:w="852" w:type="dxa"/>
            <w:vAlign w:val="center"/>
          </w:tcPr>
          <w:p w:rsidR="00000000" w:rsidRDefault="00000000">
            <w:pPr>
              <w:tabs>
                <w:tab w:val="decimal" w:pos="340"/>
              </w:tabs>
              <w:spacing w:before="40" w:after="40"/>
              <w:ind w:right="57"/>
              <w:rPr>
                <w:sz w:val="20"/>
                <w:szCs w:val="20"/>
              </w:rPr>
            </w:pPr>
            <w:r>
              <w:rPr>
                <w:sz w:val="20"/>
                <w:szCs w:val="20"/>
              </w:rPr>
              <w:t>20, 6</w:t>
            </w:r>
          </w:p>
        </w:tc>
        <w:tc>
          <w:tcPr>
            <w:tcW w:w="957" w:type="dxa"/>
            <w:vAlign w:val="center"/>
          </w:tcPr>
          <w:p w:rsidR="00000000" w:rsidRDefault="00000000">
            <w:pPr>
              <w:tabs>
                <w:tab w:val="decimal" w:pos="397"/>
              </w:tabs>
              <w:spacing w:before="40" w:after="40"/>
              <w:ind w:right="57"/>
              <w:rPr>
                <w:sz w:val="20"/>
                <w:szCs w:val="20"/>
              </w:rPr>
            </w:pPr>
            <w:r>
              <w:rPr>
                <w:sz w:val="20"/>
                <w:szCs w:val="20"/>
              </w:rPr>
              <w:t>22,1</w:t>
            </w:r>
          </w:p>
        </w:tc>
        <w:tc>
          <w:tcPr>
            <w:tcW w:w="798" w:type="dxa"/>
            <w:vAlign w:val="center"/>
          </w:tcPr>
          <w:p w:rsidR="00000000" w:rsidRDefault="00000000">
            <w:pPr>
              <w:tabs>
                <w:tab w:val="decimal" w:pos="397"/>
              </w:tabs>
              <w:spacing w:before="40" w:after="40"/>
              <w:ind w:right="57"/>
              <w:rPr>
                <w:sz w:val="20"/>
                <w:szCs w:val="20"/>
              </w:rPr>
            </w:pPr>
            <w:r>
              <w:rPr>
                <w:sz w:val="20"/>
                <w:szCs w:val="20"/>
              </w:rPr>
              <w:t>21,1</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Трипура</w:t>
            </w:r>
          </w:p>
        </w:tc>
        <w:tc>
          <w:tcPr>
            <w:tcW w:w="1056" w:type="dxa"/>
            <w:vAlign w:val="center"/>
          </w:tcPr>
          <w:p w:rsidR="00000000" w:rsidRDefault="00000000">
            <w:pPr>
              <w:tabs>
                <w:tab w:val="decimal" w:pos="397"/>
              </w:tabs>
              <w:spacing w:before="40" w:after="40"/>
              <w:ind w:right="57"/>
              <w:rPr>
                <w:sz w:val="20"/>
                <w:szCs w:val="20"/>
              </w:rPr>
            </w:pPr>
            <w:r>
              <w:rPr>
                <w:sz w:val="20"/>
                <w:szCs w:val="20"/>
              </w:rPr>
              <w:t>39,4</w:t>
            </w:r>
          </w:p>
        </w:tc>
        <w:tc>
          <w:tcPr>
            <w:tcW w:w="957" w:type="dxa"/>
            <w:vAlign w:val="center"/>
          </w:tcPr>
          <w:p w:rsidR="00000000" w:rsidRDefault="00000000">
            <w:pPr>
              <w:tabs>
                <w:tab w:val="decimal" w:pos="397"/>
              </w:tabs>
              <w:spacing w:before="40" w:after="40"/>
              <w:ind w:right="57"/>
              <w:rPr>
                <w:sz w:val="20"/>
                <w:szCs w:val="20"/>
              </w:rPr>
            </w:pPr>
            <w:r>
              <w:rPr>
                <w:sz w:val="20"/>
                <w:szCs w:val="20"/>
              </w:rPr>
              <w:t>9,9</w:t>
            </w:r>
          </w:p>
        </w:tc>
        <w:tc>
          <w:tcPr>
            <w:tcW w:w="862" w:type="dxa"/>
            <w:vAlign w:val="center"/>
          </w:tcPr>
          <w:p w:rsidR="00000000" w:rsidRDefault="00000000">
            <w:pPr>
              <w:tabs>
                <w:tab w:val="decimal" w:pos="397"/>
              </w:tabs>
              <w:spacing w:before="40" w:after="40"/>
              <w:ind w:right="57"/>
              <w:rPr>
                <w:sz w:val="20"/>
                <w:szCs w:val="20"/>
              </w:rPr>
            </w:pPr>
            <w:r>
              <w:rPr>
                <w:sz w:val="20"/>
                <w:szCs w:val="20"/>
              </w:rPr>
              <w:t>35,2</w:t>
            </w:r>
          </w:p>
        </w:tc>
        <w:tc>
          <w:tcPr>
            <w:tcW w:w="852" w:type="dxa"/>
            <w:vAlign w:val="center"/>
          </w:tcPr>
          <w:p w:rsidR="00000000" w:rsidRDefault="00000000">
            <w:pPr>
              <w:tabs>
                <w:tab w:val="decimal" w:pos="397"/>
              </w:tabs>
              <w:spacing w:before="40" w:after="40"/>
              <w:ind w:right="57"/>
              <w:rPr>
                <w:sz w:val="20"/>
                <w:szCs w:val="20"/>
              </w:rPr>
            </w:pPr>
            <w:r>
              <w:rPr>
                <w:sz w:val="20"/>
                <w:szCs w:val="20"/>
              </w:rPr>
              <w:t>45,0</w:t>
            </w:r>
          </w:p>
        </w:tc>
        <w:tc>
          <w:tcPr>
            <w:tcW w:w="957" w:type="dxa"/>
            <w:vAlign w:val="center"/>
          </w:tcPr>
          <w:p w:rsidR="00000000" w:rsidRDefault="00000000">
            <w:pPr>
              <w:tabs>
                <w:tab w:val="decimal" w:pos="397"/>
              </w:tabs>
              <w:spacing w:before="40" w:after="40"/>
              <w:ind w:right="57"/>
              <w:rPr>
                <w:sz w:val="20"/>
                <w:szCs w:val="20"/>
              </w:rPr>
            </w:pPr>
            <w:r>
              <w:rPr>
                <w:sz w:val="20"/>
                <w:szCs w:val="20"/>
              </w:rPr>
              <w:t>7,7</w:t>
            </w:r>
          </w:p>
        </w:tc>
        <w:tc>
          <w:tcPr>
            <w:tcW w:w="816" w:type="dxa"/>
            <w:vAlign w:val="center"/>
          </w:tcPr>
          <w:p w:rsidR="00000000" w:rsidRDefault="00000000">
            <w:pPr>
              <w:tabs>
                <w:tab w:val="decimal" w:pos="340"/>
              </w:tabs>
              <w:spacing w:before="40" w:after="40"/>
              <w:ind w:right="57"/>
              <w:rPr>
                <w:sz w:val="20"/>
                <w:szCs w:val="20"/>
              </w:rPr>
            </w:pPr>
            <w:r>
              <w:rPr>
                <w:sz w:val="20"/>
                <w:szCs w:val="20"/>
              </w:rPr>
              <w:t>39,0</w:t>
            </w:r>
          </w:p>
        </w:tc>
        <w:tc>
          <w:tcPr>
            <w:tcW w:w="852" w:type="dxa"/>
            <w:vAlign w:val="center"/>
          </w:tcPr>
          <w:p w:rsidR="00000000" w:rsidRDefault="00000000">
            <w:pPr>
              <w:tabs>
                <w:tab w:val="decimal" w:pos="340"/>
              </w:tabs>
              <w:spacing w:before="40" w:after="40"/>
              <w:ind w:right="57"/>
              <w:rPr>
                <w:sz w:val="20"/>
                <w:szCs w:val="20"/>
              </w:rPr>
            </w:pPr>
            <w:r>
              <w:rPr>
                <w:sz w:val="20"/>
                <w:szCs w:val="20"/>
              </w:rPr>
              <w:t>40,0</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34,4</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Уттар-Прадеш</w:t>
            </w:r>
          </w:p>
        </w:tc>
        <w:tc>
          <w:tcPr>
            <w:tcW w:w="1056" w:type="dxa"/>
            <w:vAlign w:val="center"/>
          </w:tcPr>
          <w:p w:rsidR="00000000" w:rsidRDefault="00000000">
            <w:pPr>
              <w:tabs>
                <w:tab w:val="decimal" w:pos="397"/>
              </w:tabs>
              <w:spacing w:before="40" w:after="40"/>
              <w:ind w:right="57"/>
              <w:rPr>
                <w:sz w:val="20"/>
                <w:szCs w:val="20"/>
              </w:rPr>
            </w:pPr>
            <w:r>
              <w:rPr>
                <w:sz w:val="20"/>
                <w:szCs w:val="20"/>
              </w:rPr>
              <w:t>41,1</w:t>
            </w:r>
          </w:p>
        </w:tc>
        <w:tc>
          <w:tcPr>
            <w:tcW w:w="957" w:type="dxa"/>
            <w:vAlign w:val="center"/>
          </w:tcPr>
          <w:p w:rsidR="00000000" w:rsidRDefault="00000000">
            <w:pPr>
              <w:tabs>
                <w:tab w:val="decimal" w:pos="397"/>
              </w:tabs>
              <w:spacing w:before="40" w:after="40"/>
              <w:ind w:right="57"/>
              <w:rPr>
                <w:sz w:val="20"/>
                <w:szCs w:val="20"/>
              </w:rPr>
            </w:pPr>
            <w:r>
              <w:rPr>
                <w:sz w:val="20"/>
                <w:szCs w:val="20"/>
              </w:rPr>
              <w:t>43,0</w:t>
            </w:r>
          </w:p>
        </w:tc>
        <w:tc>
          <w:tcPr>
            <w:tcW w:w="862" w:type="dxa"/>
            <w:vAlign w:val="center"/>
          </w:tcPr>
          <w:p w:rsidR="00000000" w:rsidRDefault="00000000">
            <w:pPr>
              <w:tabs>
                <w:tab w:val="decimal" w:pos="397"/>
              </w:tabs>
              <w:spacing w:before="40" w:after="40"/>
              <w:ind w:right="57"/>
              <w:rPr>
                <w:sz w:val="20"/>
                <w:szCs w:val="20"/>
              </w:rPr>
            </w:pPr>
            <w:r>
              <w:rPr>
                <w:sz w:val="20"/>
                <w:szCs w:val="20"/>
              </w:rPr>
              <w:t>41,5</w:t>
            </w:r>
          </w:p>
        </w:tc>
        <w:tc>
          <w:tcPr>
            <w:tcW w:w="852" w:type="dxa"/>
            <w:vAlign w:val="center"/>
          </w:tcPr>
          <w:p w:rsidR="00000000" w:rsidRDefault="00000000">
            <w:pPr>
              <w:tabs>
                <w:tab w:val="decimal" w:pos="397"/>
              </w:tabs>
              <w:spacing w:before="40" w:after="40"/>
              <w:ind w:right="57"/>
              <w:rPr>
                <w:sz w:val="20"/>
                <w:szCs w:val="20"/>
              </w:rPr>
            </w:pPr>
            <w:r>
              <w:rPr>
                <w:sz w:val="20"/>
                <w:szCs w:val="20"/>
              </w:rPr>
              <w:t>42,3</w:t>
            </w:r>
          </w:p>
        </w:tc>
        <w:tc>
          <w:tcPr>
            <w:tcW w:w="957" w:type="dxa"/>
            <w:vAlign w:val="center"/>
          </w:tcPr>
          <w:p w:rsidR="00000000" w:rsidRDefault="00000000">
            <w:pPr>
              <w:tabs>
                <w:tab w:val="decimal" w:pos="397"/>
              </w:tabs>
              <w:spacing w:before="40" w:after="40"/>
              <w:ind w:right="57"/>
              <w:rPr>
                <w:sz w:val="20"/>
                <w:szCs w:val="20"/>
              </w:rPr>
            </w:pPr>
            <w:r>
              <w:rPr>
                <w:sz w:val="20"/>
                <w:szCs w:val="20"/>
              </w:rPr>
              <w:t>35,4</w:t>
            </w:r>
          </w:p>
        </w:tc>
        <w:tc>
          <w:tcPr>
            <w:tcW w:w="816" w:type="dxa"/>
            <w:vAlign w:val="center"/>
          </w:tcPr>
          <w:p w:rsidR="00000000" w:rsidRDefault="00000000">
            <w:pPr>
              <w:tabs>
                <w:tab w:val="decimal" w:pos="340"/>
              </w:tabs>
              <w:spacing w:before="40" w:after="40"/>
              <w:ind w:right="57"/>
              <w:rPr>
                <w:sz w:val="20"/>
                <w:szCs w:val="20"/>
              </w:rPr>
            </w:pPr>
            <w:r>
              <w:rPr>
                <w:sz w:val="20"/>
                <w:szCs w:val="20"/>
              </w:rPr>
              <w:t>40,9</w:t>
            </w:r>
          </w:p>
        </w:tc>
        <w:tc>
          <w:tcPr>
            <w:tcW w:w="852" w:type="dxa"/>
            <w:vAlign w:val="center"/>
          </w:tcPr>
          <w:p w:rsidR="00000000" w:rsidRDefault="00000000">
            <w:pPr>
              <w:tabs>
                <w:tab w:val="decimal" w:pos="340"/>
              </w:tabs>
              <w:spacing w:before="40" w:after="40"/>
              <w:ind w:right="57"/>
              <w:rPr>
                <w:sz w:val="20"/>
                <w:szCs w:val="20"/>
              </w:rPr>
            </w:pPr>
            <w:r>
              <w:rPr>
                <w:sz w:val="20"/>
                <w:szCs w:val="20"/>
              </w:rPr>
              <w:t>31,2</w:t>
            </w:r>
          </w:p>
        </w:tc>
        <w:tc>
          <w:tcPr>
            <w:tcW w:w="957" w:type="dxa"/>
            <w:vAlign w:val="center"/>
          </w:tcPr>
          <w:p w:rsidR="00000000" w:rsidRDefault="00000000">
            <w:pPr>
              <w:tabs>
                <w:tab w:val="decimal" w:pos="397"/>
              </w:tabs>
              <w:spacing w:before="40" w:after="40"/>
              <w:ind w:right="57"/>
              <w:rPr>
                <w:sz w:val="20"/>
                <w:szCs w:val="20"/>
              </w:rPr>
            </w:pPr>
            <w:r>
              <w:rPr>
                <w:sz w:val="20"/>
                <w:szCs w:val="20"/>
              </w:rPr>
              <w:t>30,9</w:t>
            </w:r>
          </w:p>
        </w:tc>
        <w:tc>
          <w:tcPr>
            <w:tcW w:w="798" w:type="dxa"/>
            <w:vAlign w:val="center"/>
          </w:tcPr>
          <w:p w:rsidR="00000000" w:rsidRDefault="00000000">
            <w:pPr>
              <w:tabs>
                <w:tab w:val="decimal" w:pos="397"/>
              </w:tabs>
              <w:spacing w:before="40" w:after="40"/>
              <w:ind w:right="57"/>
              <w:rPr>
                <w:sz w:val="20"/>
                <w:szCs w:val="20"/>
              </w:rPr>
            </w:pPr>
            <w:r>
              <w:rPr>
                <w:sz w:val="20"/>
                <w:szCs w:val="20"/>
              </w:rPr>
              <w:t>31,1</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Западная Бенгалия</w:t>
            </w:r>
          </w:p>
        </w:tc>
        <w:tc>
          <w:tcPr>
            <w:tcW w:w="1056" w:type="dxa"/>
            <w:vAlign w:val="center"/>
          </w:tcPr>
          <w:p w:rsidR="00000000" w:rsidRDefault="00000000">
            <w:pPr>
              <w:tabs>
                <w:tab w:val="decimal" w:pos="397"/>
              </w:tabs>
              <w:spacing w:before="40" w:after="40"/>
              <w:ind w:right="57"/>
              <w:rPr>
                <w:sz w:val="20"/>
                <w:szCs w:val="20"/>
              </w:rPr>
            </w:pPr>
            <w:r>
              <w:rPr>
                <w:sz w:val="20"/>
                <w:szCs w:val="20"/>
              </w:rPr>
              <w:t>48,3</w:t>
            </w:r>
          </w:p>
        </w:tc>
        <w:tc>
          <w:tcPr>
            <w:tcW w:w="957" w:type="dxa"/>
            <w:vAlign w:val="center"/>
          </w:tcPr>
          <w:p w:rsidR="00000000" w:rsidRDefault="00000000">
            <w:pPr>
              <w:tabs>
                <w:tab w:val="decimal" w:pos="397"/>
              </w:tabs>
              <w:spacing w:before="40" w:after="40"/>
              <w:ind w:right="57"/>
              <w:rPr>
                <w:sz w:val="20"/>
                <w:szCs w:val="20"/>
              </w:rPr>
            </w:pPr>
            <w:r>
              <w:rPr>
                <w:sz w:val="20"/>
                <w:szCs w:val="20"/>
              </w:rPr>
              <w:t>35,1</w:t>
            </w:r>
          </w:p>
        </w:tc>
        <w:tc>
          <w:tcPr>
            <w:tcW w:w="862" w:type="dxa"/>
            <w:vAlign w:val="center"/>
          </w:tcPr>
          <w:p w:rsidR="00000000" w:rsidRDefault="00000000">
            <w:pPr>
              <w:tabs>
                <w:tab w:val="decimal" w:pos="397"/>
              </w:tabs>
              <w:spacing w:before="40" w:after="40"/>
              <w:ind w:right="57"/>
              <w:rPr>
                <w:sz w:val="20"/>
                <w:szCs w:val="20"/>
              </w:rPr>
            </w:pPr>
            <w:r>
              <w:rPr>
                <w:sz w:val="20"/>
                <w:szCs w:val="20"/>
              </w:rPr>
              <w:t>44,7</w:t>
            </w:r>
          </w:p>
        </w:tc>
        <w:tc>
          <w:tcPr>
            <w:tcW w:w="852" w:type="dxa"/>
            <w:vAlign w:val="center"/>
          </w:tcPr>
          <w:p w:rsidR="00000000" w:rsidRDefault="00000000">
            <w:pPr>
              <w:tabs>
                <w:tab w:val="decimal" w:pos="397"/>
              </w:tabs>
              <w:spacing w:before="40" w:after="40"/>
              <w:ind w:right="57"/>
              <w:rPr>
                <w:sz w:val="20"/>
                <w:szCs w:val="20"/>
              </w:rPr>
            </w:pPr>
            <w:r>
              <w:rPr>
                <w:sz w:val="20"/>
                <w:szCs w:val="20"/>
              </w:rPr>
              <w:t>40,8</w:t>
            </w:r>
          </w:p>
        </w:tc>
        <w:tc>
          <w:tcPr>
            <w:tcW w:w="957" w:type="dxa"/>
            <w:vAlign w:val="center"/>
          </w:tcPr>
          <w:p w:rsidR="00000000" w:rsidRDefault="00000000">
            <w:pPr>
              <w:tabs>
                <w:tab w:val="decimal" w:pos="397"/>
              </w:tabs>
              <w:spacing w:before="40" w:after="40"/>
              <w:ind w:right="57"/>
              <w:rPr>
                <w:sz w:val="20"/>
                <w:szCs w:val="20"/>
              </w:rPr>
            </w:pPr>
            <w:r>
              <w:rPr>
                <w:sz w:val="20"/>
                <w:szCs w:val="20"/>
              </w:rPr>
              <w:t>22,4</w:t>
            </w:r>
          </w:p>
        </w:tc>
        <w:tc>
          <w:tcPr>
            <w:tcW w:w="816" w:type="dxa"/>
            <w:vAlign w:val="center"/>
          </w:tcPr>
          <w:p w:rsidR="00000000" w:rsidRDefault="00000000">
            <w:pPr>
              <w:tabs>
                <w:tab w:val="decimal" w:pos="340"/>
              </w:tabs>
              <w:spacing w:before="40" w:after="40"/>
              <w:ind w:right="57"/>
              <w:rPr>
                <w:sz w:val="20"/>
                <w:szCs w:val="20"/>
              </w:rPr>
            </w:pPr>
            <w:r>
              <w:rPr>
                <w:sz w:val="20"/>
                <w:szCs w:val="20"/>
              </w:rPr>
              <w:t>35,7</w:t>
            </w:r>
          </w:p>
        </w:tc>
        <w:tc>
          <w:tcPr>
            <w:tcW w:w="852" w:type="dxa"/>
            <w:vAlign w:val="center"/>
          </w:tcPr>
          <w:p w:rsidR="00000000" w:rsidRDefault="00000000">
            <w:pPr>
              <w:tabs>
                <w:tab w:val="decimal" w:pos="340"/>
              </w:tabs>
              <w:spacing w:before="40" w:after="40"/>
              <w:ind w:right="57"/>
              <w:rPr>
                <w:sz w:val="20"/>
                <w:szCs w:val="20"/>
              </w:rPr>
            </w:pPr>
            <w:r>
              <w:rPr>
                <w:sz w:val="20"/>
                <w:szCs w:val="20"/>
              </w:rPr>
              <w:t>31,9</w:t>
            </w:r>
          </w:p>
        </w:tc>
        <w:tc>
          <w:tcPr>
            <w:tcW w:w="957" w:type="dxa"/>
            <w:vAlign w:val="center"/>
          </w:tcPr>
          <w:p w:rsidR="00000000" w:rsidRDefault="00000000">
            <w:pPr>
              <w:tabs>
                <w:tab w:val="decimal" w:pos="397"/>
              </w:tabs>
              <w:spacing w:before="40" w:after="40"/>
              <w:ind w:right="57"/>
              <w:rPr>
                <w:sz w:val="20"/>
                <w:szCs w:val="20"/>
              </w:rPr>
            </w:pPr>
            <w:r>
              <w:rPr>
                <w:sz w:val="20"/>
                <w:szCs w:val="20"/>
              </w:rPr>
              <w:t>14,9</w:t>
            </w:r>
          </w:p>
        </w:tc>
        <w:tc>
          <w:tcPr>
            <w:tcW w:w="798" w:type="dxa"/>
            <w:vAlign w:val="center"/>
          </w:tcPr>
          <w:p w:rsidR="00000000" w:rsidRDefault="00000000">
            <w:pPr>
              <w:tabs>
                <w:tab w:val="decimal" w:pos="397"/>
              </w:tabs>
              <w:spacing w:before="40" w:after="40"/>
              <w:ind w:right="57"/>
              <w:rPr>
                <w:sz w:val="20"/>
                <w:szCs w:val="20"/>
              </w:rPr>
            </w:pPr>
            <w:r>
              <w:rPr>
                <w:sz w:val="20"/>
                <w:szCs w:val="20"/>
              </w:rPr>
              <w:t>27,0</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Андаманские и Никобар-ские острова</w:t>
            </w:r>
          </w:p>
        </w:tc>
        <w:tc>
          <w:tcPr>
            <w:tcW w:w="1056" w:type="dxa"/>
            <w:vAlign w:val="center"/>
          </w:tcPr>
          <w:p w:rsidR="00000000" w:rsidRDefault="00000000">
            <w:pPr>
              <w:tabs>
                <w:tab w:val="decimal" w:pos="397"/>
              </w:tabs>
              <w:spacing w:before="40" w:after="40"/>
              <w:ind w:right="57"/>
              <w:rPr>
                <w:sz w:val="20"/>
                <w:szCs w:val="20"/>
              </w:rPr>
            </w:pPr>
            <w:r>
              <w:rPr>
                <w:sz w:val="20"/>
                <w:szCs w:val="20"/>
              </w:rPr>
              <w:t>45,8</w:t>
            </w:r>
          </w:p>
        </w:tc>
        <w:tc>
          <w:tcPr>
            <w:tcW w:w="957" w:type="dxa"/>
            <w:vAlign w:val="center"/>
          </w:tcPr>
          <w:p w:rsidR="00000000" w:rsidRDefault="00000000">
            <w:pPr>
              <w:tabs>
                <w:tab w:val="decimal" w:pos="397"/>
              </w:tabs>
              <w:spacing w:before="40" w:after="40"/>
              <w:ind w:right="57"/>
              <w:rPr>
                <w:sz w:val="20"/>
                <w:szCs w:val="20"/>
              </w:rPr>
            </w:pPr>
            <w:r>
              <w:rPr>
                <w:sz w:val="20"/>
                <w:szCs w:val="20"/>
              </w:rPr>
              <w:t>38,6</w:t>
            </w:r>
          </w:p>
        </w:tc>
        <w:tc>
          <w:tcPr>
            <w:tcW w:w="862" w:type="dxa"/>
            <w:vAlign w:val="center"/>
          </w:tcPr>
          <w:p w:rsidR="00000000" w:rsidRDefault="00000000">
            <w:pPr>
              <w:tabs>
                <w:tab w:val="decimal" w:pos="397"/>
              </w:tabs>
              <w:spacing w:before="40" w:after="40"/>
              <w:ind w:right="57"/>
              <w:rPr>
                <w:sz w:val="20"/>
                <w:szCs w:val="20"/>
              </w:rPr>
            </w:pPr>
            <w:r>
              <w:rPr>
                <w:sz w:val="20"/>
                <w:szCs w:val="20"/>
              </w:rPr>
              <w:t>43,9</w:t>
            </w:r>
          </w:p>
        </w:tc>
        <w:tc>
          <w:tcPr>
            <w:tcW w:w="852" w:type="dxa"/>
            <w:vAlign w:val="center"/>
          </w:tcPr>
          <w:p w:rsidR="00000000" w:rsidRDefault="00000000">
            <w:pPr>
              <w:tabs>
                <w:tab w:val="decimal" w:pos="397"/>
              </w:tabs>
              <w:spacing w:before="40" w:after="40"/>
              <w:ind w:right="57"/>
              <w:rPr>
                <w:sz w:val="20"/>
                <w:szCs w:val="20"/>
              </w:rPr>
            </w:pPr>
            <w:r>
              <w:rPr>
                <w:sz w:val="20"/>
                <w:szCs w:val="20"/>
              </w:rPr>
              <w:t>32,5</w:t>
            </w:r>
          </w:p>
        </w:tc>
        <w:tc>
          <w:tcPr>
            <w:tcW w:w="957" w:type="dxa"/>
            <w:vAlign w:val="center"/>
          </w:tcPr>
          <w:p w:rsidR="00000000" w:rsidRDefault="00000000">
            <w:pPr>
              <w:tabs>
                <w:tab w:val="decimal" w:pos="397"/>
              </w:tabs>
              <w:spacing w:before="40" w:after="40"/>
              <w:ind w:right="57"/>
              <w:rPr>
                <w:sz w:val="20"/>
                <w:szCs w:val="20"/>
              </w:rPr>
            </w:pPr>
            <w:r>
              <w:rPr>
                <w:sz w:val="20"/>
                <w:szCs w:val="20"/>
              </w:rPr>
              <w:t>39,8</w:t>
            </w:r>
          </w:p>
        </w:tc>
        <w:tc>
          <w:tcPr>
            <w:tcW w:w="816" w:type="dxa"/>
            <w:vAlign w:val="center"/>
          </w:tcPr>
          <w:p w:rsidR="00000000" w:rsidRDefault="00000000">
            <w:pPr>
              <w:tabs>
                <w:tab w:val="decimal" w:pos="340"/>
              </w:tabs>
              <w:spacing w:before="40" w:after="40"/>
              <w:ind w:right="57"/>
              <w:rPr>
                <w:sz w:val="20"/>
                <w:szCs w:val="20"/>
              </w:rPr>
            </w:pPr>
            <w:r>
              <w:rPr>
                <w:sz w:val="20"/>
                <w:szCs w:val="20"/>
              </w:rPr>
              <w:t>34,5</w:t>
            </w:r>
          </w:p>
        </w:tc>
        <w:tc>
          <w:tcPr>
            <w:tcW w:w="852" w:type="dxa"/>
            <w:vAlign w:val="center"/>
          </w:tcPr>
          <w:p w:rsidR="00000000" w:rsidRDefault="00000000">
            <w:pPr>
              <w:tabs>
                <w:tab w:val="decimal" w:pos="340"/>
              </w:tabs>
              <w:spacing w:before="40" w:after="40"/>
              <w:ind w:right="57"/>
              <w:rPr>
                <w:sz w:val="20"/>
                <w:szCs w:val="20"/>
              </w:rPr>
            </w:pPr>
            <w:r>
              <w:rPr>
                <w:sz w:val="20"/>
                <w:szCs w:val="20"/>
              </w:rPr>
              <w:t>20,6</w:t>
            </w:r>
          </w:p>
        </w:tc>
        <w:tc>
          <w:tcPr>
            <w:tcW w:w="957" w:type="dxa"/>
            <w:vAlign w:val="center"/>
          </w:tcPr>
          <w:p w:rsidR="00000000" w:rsidRDefault="00000000">
            <w:pPr>
              <w:tabs>
                <w:tab w:val="decimal" w:pos="397"/>
              </w:tabs>
              <w:spacing w:before="40" w:after="40"/>
              <w:ind w:right="57"/>
              <w:rPr>
                <w:sz w:val="20"/>
                <w:szCs w:val="20"/>
              </w:rPr>
            </w:pPr>
            <w:r>
              <w:rPr>
                <w:sz w:val="20"/>
                <w:szCs w:val="20"/>
              </w:rPr>
              <w:t>22,1</w:t>
            </w:r>
          </w:p>
        </w:tc>
        <w:tc>
          <w:tcPr>
            <w:tcW w:w="798" w:type="dxa"/>
            <w:vAlign w:val="center"/>
          </w:tcPr>
          <w:p w:rsidR="00000000" w:rsidRDefault="00000000">
            <w:pPr>
              <w:tabs>
                <w:tab w:val="decimal" w:pos="397"/>
              </w:tabs>
              <w:spacing w:before="40" w:after="40"/>
              <w:ind w:right="57"/>
              <w:rPr>
                <w:sz w:val="20"/>
                <w:szCs w:val="20"/>
              </w:rPr>
            </w:pPr>
            <w:r>
              <w:rPr>
                <w:sz w:val="20"/>
                <w:szCs w:val="20"/>
              </w:rPr>
              <w:t>21,0</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Чандигарх</w:t>
            </w:r>
          </w:p>
        </w:tc>
        <w:tc>
          <w:tcPr>
            <w:tcW w:w="1056" w:type="dxa"/>
            <w:vAlign w:val="center"/>
          </w:tcPr>
          <w:p w:rsidR="00000000" w:rsidRDefault="00000000">
            <w:pPr>
              <w:tabs>
                <w:tab w:val="decimal" w:pos="397"/>
              </w:tabs>
              <w:spacing w:before="40" w:after="40"/>
              <w:ind w:right="57"/>
              <w:rPr>
                <w:sz w:val="20"/>
                <w:szCs w:val="20"/>
              </w:rPr>
            </w:pPr>
            <w:r>
              <w:rPr>
                <w:sz w:val="20"/>
                <w:szCs w:val="20"/>
              </w:rPr>
              <w:t>14,7</w:t>
            </w:r>
          </w:p>
        </w:tc>
        <w:tc>
          <w:tcPr>
            <w:tcW w:w="957" w:type="dxa"/>
            <w:vAlign w:val="center"/>
          </w:tcPr>
          <w:p w:rsidR="00000000" w:rsidRDefault="00000000">
            <w:pPr>
              <w:tabs>
                <w:tab w:val="decimal" w:pos="397"/>
              </w:tabs>
              <w:spacing w:before="40" w:after="40"/>
              <w:ind w:right="57"/>
              <w:rPr>
                <w:sz w:val="20"/>
                <w:szCs w:val="20"/>
              </w:rPr>
            </w:pPr>
            <w:r>
              <w:rPr>
                <w:sz w:val="20"/>
                <w:szCs w:val="20"/>
              </w:rPr>
              <w:t>14,7</w:t>
            </w:r>
          </w:p>
        </w:tc>
        <w:tc>
          <w:tcPr>
            <w:tcW w:w="862" w:type="dxa"/>
            <w:vAlign w:val="center"/>
          </w:tcPr>
          <w:p w:rsidR="00000000" w:rsidRDefault="00000000">
            <w:pPr>
              <w:tabs>
                <w:tab w:val="decimal" w:pos="397"/>
              </w:tabs>
              <w:spacing w:before="40" w:after="40"/>
              <w:ind w:right="57"/>
              <w:rPr>
                <w:sz w:val="20"/>
                <w:szCs w:val="20"/>
              </w:rPr>
            </w:pPr>
            <w:r>
              <w:rPr>
                <w:sz w:val="20"/>
                <w:szCs w:val="20"/>
              </w:rPr>
              <w:t>14,7</w:t>
            </w:r>
          </w:p>
        </w:tc>
        <w:tc>
          <w:tcPr>
            <w:tcW w:w="852" w:type="dxa"/>
            <w:vAlign w:val="center"/>
          </w:tcPr>
          <w:p w:rsidR="00000000" w:rsidRDefault="00000000">
            <w:pPr>
              <w:tabs>
                <w:tab w:val="decimal" w:pos="397"/>
              </w:tabs>
              <w:spacing w:before="40" w:after="40"/>
              <w:ind w:right="57"/>
              <w:rPr>
                <w:sz w:val="20"/>
                <w:szCs w:val="20"/>
              </w:rPr>
            </w:pPr>
            <w:r>
              <w:rPr>
                <w:sz w:val="20"/>
                <w:szCs w:val="20"/>
              </w:rPr>
              <w:t>11,4</w:t>
            </w:r>
          </w:p>
        </w:tc>
        <w:tc>
          <w:tcPr>
            <w:tcW w:w="957" w:type="dxa"/>
            <w:vAlign w:val="center"/>
          </w:tcPr>
          <w:p w:rsidR="00000000" w:rsidRDefault="00000000">
            <w:pPr>
              <w:tabs>
                <w:tab w:val="decimal" w:pos="397"/>
              </w:tabs>
              <w:spacing w:before="40" w:after="40"/>
              <w:ind w:right="57"/>
              <w:rPr>
                <w:sz w:val="20"/>
                <w:szCs w:val="20"/>
              </w:rPr>
            </w:pPr>
            <w:r>
              <w:rPr>
                <w:sz w:val="20"/>
                <w:szCs w:val="20"/>
              </w:rPr>
              <w:t>11,4</w:t>
            </w:r>
          </w:p>
        </w:tc>
        <w:tc>
          <w:tcPr>
            <w:tcW w:w="816" w:type="dxa"/>
            <w:vAlign w:val="center"/>
          </w:tcPr>
          <w:p w:rsidR="00000000" w:rsidRDefault="00000000">
            <w:pPr>
              <w:tabs>
                <w:tab w:val="decimal" w:pos="340"/>
              </w:tabs>
              <w:spacing w:before="40" w:after="40"/>
              <w:ind w:right="57"/>
              <w:rPr>
                <w:sz w:val="20"/>
                <w:szCs w:val="20"/>
              </w:rPr>
            </w:pPr>
            <w:r>
              <w:rPr>
                <w:sz w:val="20"/>
                <w:szCs w:val="20"/>
              </w:rPr>
              <w:t>11,4</w:t>
            </w:r>
          </w:p>
        </w:tc>
        <w:tc>
          <w:tcPr>
            <w:tcW w:w="852" w:type="dxa"/>
            <w:vAlign w:val="center"/>
          </w:tcPr>
          <w:p w:rsidR="00000000" w:rsidRDefault="00000000">
            <w:pPr>
              <w:tabs>
                <w:tab w:val="decimal" w:pos="340"/>
              </w:tabs>
              <w:spacing w:before="40" w:after="40"/>
              <w:ind w:right="57"/>
              <w:rPr>
                <w:sz w:val="20"/>
                <w:szCs w:val="20"/>
              </w:rPr>
            </w:pPr>
            <w:r>
              <w:rPr>
                <w:sz w:val="20"/>
                <w:szCs w:val="20"/>
              </w:rPr>
              <w:t>5,8</w:t>
            </w:r>
          </w:p>
        </w:tc>
        <w:tc>
          <w:tcPr>
            <w:tcW w:w="957" w:type="dxa"/>
            <w:vAlign w:val="center"/>
          </w:tcPr>
          <w:p w:rsidR="00000000" w:rsidRDefault="00000000">
            <w:pPr>
              <w:tabs>
                <w:tab w:val="decimal" w:pos="397"/>
              </w:tabs>
              <w:spacing w:before="40" w:after="40"/>
              <w:ind w:right="57"/>
              <w:rPr>
                <w:sz w:val="20"/>
                <w:szCs w:val="20"/>
              </w:rPr>
            </w:pPr>
            <w:r>
              <w:rPr>
                <w:sz w:val="20"/>
                <w:szCs w:val="20"/>
              </w:rPr>
              <w:t>5,8</w:t>
            </w:r>
          </w:p>
        </w:tc>
        <w:tc>
          <w:tcPr>
            <w:tcW w:w="798" w:type="dxa"/>
            <w:vAlign w:val="center"/>
          </w:tcPr>
          <w:p w:rsidR="00000000" w:rsidRDefault="00000000">
            <w:pPr>
              <w:tabs>
                <w:tab w:val="decimal" w:pos="397"/>
              </w:tabs>
              <w:spacing w:before="40" w:after="40"/>
              <w:ind w:right="57"/>
              <w:rPr>
                <w:sz w:val="20"/>
                <w:szCs w:val="20"/>
              </w:rPr>
            </w:pPr>
            <w:r>
              <w:rPr>
                <w:sz w:val="20"/>
                <w:szCs w:val="20"/>
              </w:rPr>
              <w:t>5,8</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Дадра и Нагархавели</w:t>
            </w:r>
          </w:p>
        </w:tc>
        <w:tc>
          <w:tcPr>
            <w:tcW w:w="1056" w:type="dxa"/>
            <w:vAlign w:val="center"/>
          </w:tcPr>
          <w:p w:rsidR="00000000" w:rsidRDefault="00000000">
            <w:pPr>
              <w:tabs>
                <w:tab w:val="decimal" w:pos="397"/>
              </w:tabs>
              <w:spacing w:before="40" w:after="40"/>
              <w:ind w:right="57"/>
              <w:rPr>
                <w:sz w:val="20"/>
                <w:szCs w:val="20"/>
              </w:rPr>
            </w:pPr>
            <w:r>
              <w:rPr>
                <w:sz w:val="20"/>
                <w:szCs w:val="20"/>
              </w:rPr>
              <w:t>67,1</w:t>
            </w:r>
          </w:p>
        </w:tc>
        <w:tc>
          <w:tcPr>
            <w:tcW w:w="957" w:type="dxa"/>
            <w:vAlign w:val="center"/>
          </w:tcPr>
          <w:p w:rsidR="00000000" w:rsidRDefault="00000000">
            <w:pPr>
              <w:tabs>
                <w:tab w:val="decimal" w:pos="397"/>
              </w:tabs>
              <w:spacing w:before="40" w:after="40"/>
              <w:ind w:right="57"/>
              <w:rPr>
                <w:sz w:val="20"/>
                <w:szCs w:val="20"/>
              </w:rPr>
            </w:pPr>
            <w:r>
              <w:rPr>
                <w:sz w:val="20"/>
                <w:szCs w:val="20"/>
              </w:rPr>
              <w:t>-</w:t>
            </w:r>
          </w:p>
        </w:tc>
        <w:tc>
          <w:tcPr>
            <w:tcW w:w="862" w:type="dxa"/>
            <w:vAlign w:val="center"/>
          </w:tcPr>
          <w:p w:rsidR="00000000" w:rsidRDefault="00000000">
            <w:pPr>
              <w:tabs>
                <w:tab w:val="decimal" w:pos="397"/>
              </w:tabs>
              <w:spacing w:before="40" w:after="40"/>
              <w:ind w:right="57"/>
              <w:rPr>
                <w:sz w:val="20"/>
                <w:szCs w:val="20"/>
              </w:rPr>
            </w:pPr>
            <w:r>
              <w:rPr>
                <w:sz w:val="20"/>
                <w:szCs w:val="20"/>
              </w:rPr>
              <w:t>67,1</w:t>
            </w:r>
          </w:p>
        </w:tc>
        <w:tc>
          <w:tcPr>
            <w:tcW w:w="852" w:type="dxa"/>
            <w:vAlign w:val="center"/>
          </w:tcPr>
          <w:p w:rsidR="00000000" w:rsidRDefault="00000000">
            <w:pPr>
              <w:tabs>
                <w:tab w:val="decimal" w:pos="397"/>
              </w:tabs>
              <w:spacing w:before="40" w:after="40"/>
              <w:ind w:right="57"/>
              <w:rPr>
                <w:sz w:val="20"/>
                <w:szCs w:val="20"/>
              </w:rPr>
            </w:pPr>
            <w:r>
              <w:rPr>
                <w:sz w:val="20"/>
                <w:szCs w:val="20"/>
              </w:rPr>
              <w:t>52,0</w:t>
            </w:r>
          </w:p>
        </w:tc>
        <w:tc>
          <w:tcPr>
            <w:tcW w:w="957" w:type="dxa"/>
            <w:vAlign w:val="center"/>
          </w:tcPr>
          <w:p w:rsidR="00000000" w:rsidRDefault="00000000">
            <w:pPr>
              <w:tabs>
                <w:tab w:val="decimal" w:pos="397"/>
              </w:tabs>
              <w:spacing w:before="40" w:after="40"/>
              <w:ind w:right="57"/>
              <w:rPr>
                <w:sz w:val="20"/>
                <w:szCs w:val="20"/>
              </w:rPr>
            </w:pPr>
            <w:r>
              <w:rPr>
                <w:sz w:val="20"/>
                <w:szCs w:val="20"/>
              </w:rPr>
              <w:t>39,9</w:t>
            </w:r>
          </w:p>
        </w:tc>
        <w:tc>
          <w:tcPr>
            <w:tcW w:w="816" w:type="dxa"/>
            <w:vAlign w:val="center"/>
          </w:tcPr>
          <w:p w:rsidR="00000000" w:rsidRDefault="00000000">
            <w:pPr>
              <w:tabs>
                <w:tab w:val="decimal" w:pos="340"/>
              </w:tabs>
              <w:spacing w:before="40" w:after="40"/>
              <w:ind w:right="57"/>
              <w:rPr>
                <w:sz w:val="20"/>
                <w:szCs w:val="20"/>
              </w:rPr>
            </w:pPr>
            <w:r>
              <w:rPr>
                <w:sz w:val="20"/>
                <w:szCs w:val="20"/>
              </w:rPr>
              <w:t>50,8</w:t>
            </w:r>
          </w:p>
        </w:tc>
        <w:tc>
          <w:tcPr>
            <w:tcW w:w="852" w:type="dxa"/>
            <w:vAlign w:val="center"/>
          </w:tcPr>
          <w:p w:rsidR="00000000" w:rsidRDefault="00000000">
            <w:pPr>
              <w:tabs>
                <w:tab w:val="decimal" w:pos="340"/>
              </w:tabs>
              <w:spacing w:before="40" w:after="40"/>
              <w:ind w:right="57"/>
              <w:rPr>
                <w:sz w:val="20"/>
                <w:szCs w:val="20"/>
              </w:rPr>
            </w:pPr>
            <w:r>
              <w:rPr>
                <w:sz w:val="20"/>
                <w:szCs w:val="20"/>
              </w:rPr>
              <w:t>17,6</w:t>
            </w:r>
          </w:p>
        </w:tc>
        <w:tc>
          <w:tcPr>
            <w:tcW w:w="957" w:type="dxa"/>
            <w:vAlign w:val="center"/>
          </w:tcPr>
          <w:p w:rsidR="00000000" w:rsidRDefault="00000000">
            <w:pPr>
              <w:tabs>
                <w:tab w:val="decimal" w:pos="397"/>
              </w:tabs>
              <w:spacing w:before="40" w:after="40"/>
              <w:ind w:right="57"/>
              <w:rPr>
                <w:sz w:val="20"/>
                <w:szCs w:val="20"/>
              </w:rPr>
            </w:pPr>
            <w:r>
              <w:rPr>
                <w:sz w:val="20"/>
                <w:szCs w:val="20"/>
              </w:rPr>
              <w:t>13,5</w:t>
            </w:r>
          </w:p>
        </w:tc>
        <w:tc>
          <w:tcPr>
            <w:tcW w:w="798" w:type="dxa"/>
            <w:vAlign w:val="center"/>
          </w:tcPr>
          <w:p w:rsidR="00000000" w:rsidRDefault="00000000">
            <w:pPr>
              <w:tabs>
                <w:tab w:val="decimal" w:pos="397"/>
              </w:tabs>
              <w:spacing w:before="40" w:after="40"/>
              <w:ind w:right="57"/>
              <w:rPr>
                <w:sz w:val="20"/>
                <w:szCs w:val="20"/>
              </w:rPr>
            </w:pPr>
            <w:r>
              <w:rPr>
                <w:sz w:val="20"/>
                <w:szCs w:val="20"/>
              </w:rPr>
              <w:t>17,1</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Даман и Диу</w:t>
            </w:r>
          </w:p>
        </w:tc>
        <w:tc>
          <w:tcPr>
            <w:tcW w:w="1056" w:type="dxa"/>
            <w:vAlign w:val="center"/>
          </w:tcPr>
          <w:p w:rsidR="00000000" w:rsidRDefault="00000000">
            <w:pPr>
              <w:tabs>
                <w:tab w:val="decimal" w:pos="397"/>
              </w:tabs>
              <w:spacing w:before="40" w:after="40"/>
              <w:ind w:right="57"/>
              <w:rPr>
                <w:sz w:val="20"/>
                <w:szCs w:val="20"/>
              </w:rPr>
            </w:pPr>
            <w:r>
              <w:rPr>
                <w:sz w:val="20"/>
                <w:szCs w:val="20"/>
              </w:rPr>
              <w:t>-</w:t>
            </w:r>
          </w:p>
        </w:tc>
        <w:tc>
          <w:tcPr>
            <w:tcW w:w="957" w:type="dxa"/>
            <w:vAlign w:val="center"/>
          </w:tcPr>
          <w:p w:rsidR="00000000" w:rsidRDefault="00000000">
            <w:pPr>
              <w:tabs>
                <w:tab w:val="decimal" w:pos="397"/>
              </w:tabs>
              <w:spacing w:before="40" w:after="40"/>
              <w:ind w:right="57"/>
              <w:rPr>
                <w:sz w:val="20"/>
                <w:szCs w:val="20"/>
              </w:rPr>
            </w:pPr>
            <w:r>
              <w:rPr>
                <w:sz w:val="20"/>
                <w:szCs w:val="20"/>
              </w:rPr>
              <w:t>-</w:t>
            </w:r>
          </w:p>
        </w:tc>
        <w:tc>
          <w:tcPr>
            <w:tcW w:w="862" w:type="dxa"/>
            <w:vAlign w:val="center"/>
          </w:tcPr>
          <w:p w:rsidR="00000000" w:rsidRDefault="00000000">
            <w:pPr>
              <w:tabs>
                <w:tab w:val="decimal" w:pos="397"/>
              </w:tabs>
              <w:spacing w:before="40" w:after="40"/>
              <w:ind w:right="57"/>
              <w:rPr>
                <w:sz w:val="20"/>
                <w:szCs w:val="20"/>
              </w:rPr>
            </w:pPr>
            <w:r>
              <w:rPr>
                <w:sz w:val="20"/>
                <w:szCs w:val="20"/>
              </w:rPr>
              <w:t>-</w:t>
            </w:r>
          </w:p>
        </w:tc>
        <w:tc>
          <w:tcPr>
            <w:tcW w:w="852" w:type="dxa"/>
            <w:vAlign w:val="center"/>
          </w:tcPr>
          <w:p w:rsidR="00000000" w:rsidRDefault="00000000">
            <w:pPr>
              <w:tabs>
                <w:tab w:val="decimal" w:pos="397"/>
              </w:tabs>
              <w:spacing w:before="40" w:after="40"/>
              <w:ind w:right="57"/>
              <w:rPr>
                <w:sz w:val="20"/>
                <w:szCs w:val="20"/>
              </w:rPr>
            </w:pPr>
            <w:r>
              <w:rPr>
                <w:sz w:val="20"/>
                <w:szCs w:val="20"/>
              </w:rPr>
              <w:t>5,3</w:t>
            </w:r>
          </w:p>
        </w:tc>
        <w:tc>
          <w:tcPr>
            <w:tcW w:w="957" w:type="dxa"/>
            <w:vAlign w:val="center"/>
          </w:tcPr>
          <w:p w:rsidR="00000000" w:rsidRDefault="00000000">
            <w:pPr>
              <w:tabs>
                <w:tab w:val="decimal" w:pos="397"/>
              </w:tabs>
              <w:spacing w:before="40" w:after="40"/>
              <w:ind w:right="57"/>
              <w:rPr>
                <w:sz w:val="20"/>
                <w:szCs w:val="20"/>
              </w:rPr>
            </w:pPr>
            <w:r>
              <w:rPr>
                <w:sz w:val="20"/>
                <w:szCs w:val="20"/>
              </w:rPr>
              <w:t>27,0</w:t>
            </w:r>
          </w:p>
        </w:tc>
        <w:tc>
          <w:tcPr>
            <w:tcW w:w="816" w:type="dxa"/>
            <w:vAlign w:val="center"/>
          </w:tcPr>
          <w:p w:rsidR="00000000" w:rsidRDefault="00000000">
            <w:pPr>
              <w:tabs>
                <w:tab w:val="decimal" w:pos="340"/>
              </w:tabs>
              <w:spacing w:before="40" w:after="40"/>
              <w:ind w:right="57"/>
              <w:rPr>
                <w:sz w:val="20"/>
                <w:szCs w:val="20"/>
              </w:rPr>
            </w:pPr>
            <w:r>
              <w:rPr>
                <w:sz w:val="20"/>
                <w:szCs w:val="20"/>
              </w:rPr>
              <w:t>15,8</w:t>
            </w:r>
          </w:p>
        </w:tc>
        <w:tc>
          <w:tcPr>
            <w:tcW w:w="852" w:type="dxa"/>
            <w:vAlign w:val="center"/>
          </w:tcPr>
          <w:p w:rsidR="00000000" w:rsidRDefault="00000000">
            <w:pPr>
              <w:tabs>
                <w:tab w:val="decimal" w:pos="340"/>
              </w:tabs>
              <w:spacing w:before="40" w:after="40"/>
              <w:ind w:right="57"/>
              <w:rPr>
                <w:sz w:val="20"/>
                <w:szCs w:val="20"/>
              </w:rPr>
            </w:pPr>
            <w:r>
              <w:rPr>
                <w:sz w:val="20"/>
                <w:szCs w:val="20"/>
              </w:rPr>
              <w:t>1,4</w:t>
            </w:r>
          </w:p>
        </w:tc>
        <w:tc>
          <w:tcPr>
            <w:tcW w:w="957" w:type="dxa"/>
            <w:vAlign w:val="center"/>
          </w:tcPr>
          <w:p w:rsidR="00000000" w:rsidRDefault="00000000">
            <w:pPr>
              <w:tabs>
                <w:tab w:val="decimal" w:pos="397"/>
              </w:tabs>
              <w:spacing w:before="40" w:after="40"/>
              <w:ind w:right="57"/>
              <w:rPr>
                <w:sz w:val="20"/>
                <w:szCs w:val="20"/>
              </w:rPr>
            </w:pPr>
            <w:r>
              <w:rPr>
                <w:sz w:val="20"/>
                <w:szCs w:val="20"/>
              </w:rPr>
              <w:t>7,5</w:t>
            </w:r>
          </w:p>
        </w:tc>
        <w:tc>
          <w:tcPr>
            <w:tcW w:w="798" w:type="dxa"/>
            <w:vAlign w:val="center"/>
          </w:tcPr>
          <w:p w:rsidR="00000000" w:rsidRDefault="00000000">
            <w:pPr>
              <w:tabs>
                <w:tab w:val="decimal" w:pos="397"/>
              </w:tabs>
              <w:spacing w:before="40" w:after="40"/>
              <w:ind w:right="57"/>
              <w:rPr>
                <w:sz w:val="20"/>
                <w:szCs w:val="20"/>
              </w:rPr>
            </w:pPr>
            <w:r>
              <w:rPr>
                <w:sz w:val="20"/>
                <w:szCs w:val="20"/>
              </w:rPr>
              <w:t>4,4</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Дели</w:t>
            </w:r>
          </w:p>
        </w:tc>
        <w:tc>
          <w:tcPr>
            <w:tcW w:w="1056" w:type="dxa"/>
            <w:vAlign w:val="center"/>
          </w:tcPr>
          <w:p w:rsidR="00000000" w:rsidRDefault="00000000">
            <w:pPr>
              <w:tabs>
                <w:tab w:val="decimal" w:pos="397"/>
              </w:tabs>
              <w:spacing w:before="40" w:after="40"/>
              <w:ind w:right="57"/>
              <w:rPr>
                <w:sz w:val="20"/>
                <w:szCs w:val="20"/>
              </w:rPr>
            </w:pPr>
            <w:r>
              <w:rPr>
                <w:sz w:val="20"/>
                <w:szCs w:val="20"/>
              </w:rPr>
              <w:t>1,3</w:t>
            </w:r>
          </w:p>
        </w:tc>
        <w:tc>
          <w:tcPr>
            <w:tcW w:w="957" w:type="dxa"/>
            <w:vAlign w:val="center"/>
          </w:tcPr>
          <w:p w:rsidR="00000000" w:rsidRDefault="00000000">
            <w:pPr>
              <w:tabs>
                <w:tab w:val="decimal" w:pos="397"/>
              </w:tabs>
              <w:spacing w:before="40" w:after="40"/>
              <w:ind w:right="57"/>
              <w:rPr>
                <w:sz w:val="20"/>
                <w:szCs w:val="20"/>
              </w:rPr>
            </w:pPr>
            <w:r>
              <w:rPr>
                <w:sz w:val="20"/>
                <w:szCs w:val="20"/>
              </w:rPr>
              <w:t>13,6</w:t>
            </w:r>
          </w:p>
        </w:tc>
        <w:tc>
          <w:tcPr>
            <w:tcW w:w="862" w:type="dxa"/>
            <w:vAlign w:val="center"/>
          </w:tcPr>
          <w:p w:rsidR="00000000" w:rsidRDefault="00000000">
            <w:pPr>
              <w:tabs>
                <w:tab w:val="decimal" w:pos="397"/>
              </w:tabs>
              <w:spacing w:before="40" w:after="40"/>
              <w:ind w:right="57"/>
              <w:rPr>
                <w:sz w:val="20"/>
                <w:szCs w:val="20"/>
              </w:rPr>
            </w:pPr>
            <w:r>
              <w:rPr>
                <w:sz w:val="20"/>
                <w:szCs w:val="20"/>
              </w:rPr>
              <w:t>12,4</w:t>
            </w:r>
          </w:p>
        </w:tc>
        <w:tc>
          <w:tcPr>
            <w:tcW w:w="852" w:type="dxa"/>
            <w:vAlign w:val="center"/>
          </w:tcPr>
          <w:p w:rsidR="00000000" w:rsidRDefault="00000000">
            <w:pPr>
              <w:tabs>
                <w:tab w:val="decimal" w:pos="397"/>
              </w:tabs>
              <w:spacing w:before="40" w:after="40"/>
              <w:ind w:right="57"/>
              <w:rPr>
                <w:sz w:val="20"/>
                <w:szCs w:val="20"/>
              </w:rPr>
            </w:pPr>
            <w:r>
              <w:rPr>
                <w:sz w:val="20"/>
                <w:szCs w:val="20"/>
              </w:rPr>
              <w:t>1,9</w:t>
            </w:r>
          </w:p>
        </w:tc>
        <w:tc>
          <w:tcPr>
            <w:tcW w:w="957" w:type="dxa"/>
            <w:vAlign w:val="center"/>
          </w:tcPr>
          <w:p w:rsidR="00000000" w:rsidRDefault="00000000">
            <w:pPr>
              <w:tabs>
                <w:tab w:val="decimal" w:pos="397"/>
              </w:tabs>
              <w:spacing w:before="40" w:after="40"/>
              <w:ind w:right="57"/>
              <w:rPr>
                <w:sz w:val="20"/>
                <w:szCs w:val="20"/>
              </w:rPr>
            </w:pPr>
            <w:r>
              <w:rPr>
                <w:sz w:val="20"/>
                <w:szCs w:val="20"/>
              </w:rPr>
              <w:t>16,0</w:t>
            </w:r>
          </w:p>
        </w:tc>
        <w:tc>
          <w:tcPr>
            <w:tcW w:w="816" w:type="dxa"/>
            <w:vAlign w:val="center"/>
          </w:tcPr>
          <w:p w:rsidR="00000000" w:rsidRDefault="00000000">
            <w:pPr>
              <w:tabs>
                <w:tab w:val="decimal" w:pos="340"/>
              </w:tabs>
              <w:spacing w:before="40" w:after="40"/>
              <w:ind w:right="57"/>
              <w:rPr>
                <w:sz w:val="20"/>
                <w:szCs w:val="20"/>
              </w:rPr>
            </w:pPr>
            <w:r>
              <w:rPr>
                <w:sz w:val="20"/>
                <w:szCs w:val="20"/>
              </w:rPr>
              <w:t>14,7</w:t>
            </w:r>
          </w:p>
        </w:tc>
        <w:tc>
          <w:tcPr>
            <w:tcW w:w="852" w:type="dxa"/>
            <w:vAlign w:val="center"/>
          </w:tcPr>
          <w:p w:rsidR="00000000" w:rsidRDefault="00000000">
            <w:pPr>
              <w:tabs>
                <w:tab w:val="decimal" w:pos="340"/>
              </w:tabs>
              <w:spacing w:before="40" w:after="40"/>
              <w:ind w:right="57"/>
              <w:rPr>
                <w:sz w:val="20"/>
                <w:szCs w:val="20"/>
              </w:rPr>
            </w:pPr>
            <w:r>
              <w:rPr>
                <w:sz w:val="20"/>
                <w:szCs w:val="20"/>
              </w:rPr>
              <w:t>0,4</w:t>
            </w:r>
          </w:p>
        </w:tc>
        <w:tc>
          <w:tcPr>
            <w:tcW w:w="957" w:type="dxa"/>
            <w:vAlign w:val="center"/>
          </w:tcPr>
          <w:p w:rsidR="00000000" w:rsidRDefault="00000000">
            <w:pPr>
              <w:tabs>
                <w:tab w:val="decimal" w:pos="397"/>
              </w:tabs>
              <w:spacing w:before="40" w:after="40"/>
              <w:ind w:right="57"/>
              <w:rPr>
                <w:sz w:val="20"/>
                <w:szCs w:val="20"/>
              </w:rPr>
            </w:pPr>
            <w:r>
              <w:rPr>
                <w:sz w:val="20"/>
                <w:szCs w:val="20"/>
              </w:rPr>
              <w:t>9,4</w:t>
            </w:r>
          </w:p>
        </w:tc>
        <w:tc>
          <w:tcPr>
            <w:tcW w:w="798" w:type="dxa"/>
            <w:vAlign w:val="center"/>
          </w:tcPr>
          <w:p w:rsidR="00000000" w:rsidRDefault="00000000">
            <w:pPr>
              <w:tabs>
                <w:tab w:val="decimal" w:pos="397"/>
              </w:tabs>
              <w:spacing w:before="40" w:after="40"/>
              <w:ind w:right="57"/>
              <w:rPr>
                <w:sz w:val="20"/>
                <w:szCs w:val="20"/>
              </w:rPr>
            </w:pPr>
            <w:r>
              <w:rPr>
                <w:sz w:val="20"/>
                <w:szCs w:val="20"/>
              </w:rPr>
              <w:t>8,2</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Лакшадвип</w:t>
            </w:r>
          </w:p>
        </w:tc>
        <w:tc>
          <w:tcPr>
            <w:tcW w:w="1056" w:type="dxa"/>
            <w:vAlign w:val="center"/>
          </w:tcPr>
          <w:p w:rsidR="00000000" w:rsidRDefault="00000000">
            <w:pPr>
              <w:tabs>
                <w:tab w:val="decimal" w:pos="397"/>
              </w:tabs>
              <w:spacing w:before="40" w:after="40"/>
              <w:ind w:right="57"/>
              <w:rPr>
                <w:sz w:val="20"/>
                <w:szCs w:val="20"/>
              </w:rPr>
            </w:pPr>
            <w:r>
              <w:rPr>
                <w:sz w:val="20"/>
                <w:szCs w:val="20"/>
              </w:rPr>
              <w:t>29,1</w:t>
            </w:r>
          </w:p>
        </w:tc>
        <w:tc>
          <w:tcPr>
            <w:tcW w:w="957" w:type="dxa"/>
            <w:vAlign w:val="center"/>
          </w:tcPr>
          <w:p w:rsidR="00000000" w:rsidRDefault="00000000">
            <w:pPr>
              <w:tabs>
                <w:tab w:val="decimal" w:pos="397"/>
              </w:tabs>
              <w:spacing w:before="40" w:after="40"/>
              <w:ind w:right="57"/>
              <w:rPr>
                <w:sz w:val="20"/>
                <w:szCs w:val="20"/>
              </w:rPr>
            </w:pPr>
            <w:r>
              <w:rPr>
                <w:sz w:val="20"/>
                <w:szCs w:val="20"/>
              </w:rPr>
              <w:t>40,3</w:t>
            </w:r>
          </w:p>
        </w:tc>
        <w:tc>
          <w:tcPr>
            <w:tcW w:w="862" w:type="dxa"/>
            <w:vAlign w:val="center"/>
          </w:tcPr>
          <w:p w:rsidR="00000000" w:rsidRDefault="00000000">
            <w:pPr>
              <w:tabs>
                <w:tab w:val="decimal" w:pos="397"/>
              </w:tabs>
              <w:spacing w:before="40" w:after="40"/>
              <w:ind w:right="57"/>
              <w:rPr>
                <w:sz w:val="20"/>
                <w:szCs w:val="20"/>
              </w:rPr>
            </w:pPr>
            <w:r>
              <w:rPr>
                <w:sz w:val="20"/>
                <w:szCs w:val="20"/>
              </w:rPr>
              <w:t>34,9</w:t>
            </w:r>
          </w:p>
        </w:tc>
        <w:tc>
          <w:tcPr>
            <w:tcW w:w="852" w:type="dxa"/>
            <w:vAlign w:val="center"/>
          </w:tcPr>
          <w:p w:rsidR="00000000" w:rsidRDefault="00000000">
            <w:pPr>
              <w:tabs>
                <w:tab w:val="decimal" w:pos="397"/>
              </w:tabs>
              <w:spacing w:before="40" w:after="40"/>
              <w:ind w:right="57"/>
              <w:rPr>
                <w:sz w:val="20"/>
                <w:szCs w:val="20"/>
              </w:rPr>
            </w:pPr>
            <w:r>
              <w:rPr>
                <w:sz w:val="20"/>
                <w:szCs w:val="20"/>
              </w:rPr>
              <w:t>25,8</w:t>
            </w:r>
          </w:p>
        </w:tc>
        <w:tc>
          <w:tcPr>
            <w:tcW w:w="957" w:type="dxa"/>
            <w:vAlign w:val="center"/>
          </w:tcPr>
          <w:p w:rsidR="00000000" w:rsidRDefault="00000000">
            <w:pPr>
              <w:tabs>
                <w:tab w:val="decimal" w:pos="397"/>
              </w:tabs>
              <w:spacing w:before="40" w:after="40"/>
              <w:ind w:right="57"/>
              <w:rPr>
                <w:sz w:val="20"/>
                <w:szCs w:val="20"/>
              </w:rPr>
            </w:pPr>
            <w:r>
              <w:rPr>
                <w:sz w:val="20"/>
                <w:szCs w:val="20"/>
              </w:rPr>
              <w:t>24,5</w:t>
            </w:r>
          </w:p>
        </w:tc>
        <w:tc>
          <w:tcPr>
            <w:tcW w:w="816" w:type="dxa"/>
            <w:vAlign w:val="center"/>
          </w:tcPr>
          <w:p w:rsidR="00000000" w:rsidRDefault="00000000">
            <w:pPr>
              <w:tabs>
                <w:tab w:val="decimal" w:pos="340"/>
              </w:tabs>
              <w:spacing w:before="40" w:after="40"/>
              <w:ind w:right="57"/>
              <w:rPr>
                <w:sz w:val="20"/>
                <w:szCs w:val="20"/>
              </w:rPr>
            </w:pPr>
            <w:r>
              <w:rPr>
                <w:sz w:val="20"/>
                <w:szCs w:val="20"/>
              </w:rPr>
              <w:t>25,0</w:t>
            </w:r>
          </w:p>
        </w:tc>
        <w:tc>
          <w:tcPr>
            <w:tcW w:w="852" w:type="dxa"/>
            <w:vAlign w:val="center"/>
          </w:tcPr>
          <w:p w:rsidR="00000000" w:rsidRDefault="00000000">
            <w:pPr>
              <w:tabs>
                <w:tab w:val="decimal" w:pos="340"/>
              </w:tabs>
              <w:spacing w:before="40" w:after="40"/>
              <w:ind w:right="57"/>
              <w:rPr>
                <w:sz w:val="20"/>
                <w:szCs w:val="20"/>
              </w:rPr>
            </w:pPr>
            <w:r>
              <w:rPr>
                <w:sz w:val="20"/>
                <w:szCs w:val="20"/>
              </w:rPr>
              <w:t>9,4</w:t>
            </w:r>
          </w:p>
        </w:tc>
        <w:tc>
          <w:tcPr>
            <w:tcW w:w="957" w:type="dxa"/>
            <w:vAlign w:val="center"/>
          </w:tcPr>
          <w:p w:rsidR="00000000" w:rsidRDefault="00000000">
            <w:pPr>
              <w:tabs>
                <w:tab w:val="decimal" w:pos="397"/>
              </w:tabs>
              <w:spacing w:before="40" w:after="40"/>
              <w:ind w:right="57"/>
              <w:rPr>
                <w:sz w:val="20"/>
                <w:szCs w:val="20"/>
              </w:rPr>
            </w:pPr>
            <w:r>
              <w:rPr>
                <w:sz w:val="20"/>
                <w:szCs w:val="20"/>
              </w:rPr>
              <w:t>20,3</w:t>
            </w:r>
          </w:p>
        </w:tc>
        <w:tc>
          <w:tcPr>
            <w:tcW w:w="798" w:type="dxa"/>
            <w:vAlign w:val="center"/>
          </w:tcPr>
          <w:p w:rsidR="00000000" w:rsidRDefault="00000000">
            <w:pPr>
              <w:tabs>
                <w:tab w:val="decimal" w:pos="397"/>
              </w:tabs>
              <w:spacing w:before="40" w:after="40"/>
              <w:ind w:right="57"/>
              <w:rPr>
                <w:sz w:val="20"/>
                <w:szCs w:val="20"/>
              </w:rPr>
            </w:pPr>
            <w:r>
              <w:rPr>
                <w:sz w:val="20"/>
                <w:szCs w:val="20"/>
              </w:rPr>
              <w:t>15,6</w:t>
            </w:r>
          </w:p>
        </w:tc>
      </w:tr>
      <w:tr w:rsidR="00000000">
        <w:tblPrEx>
          <w:tblCellMar>
            <w:top w:w="0" w:type="dxa"/>
            <w:bottom w:w="0" w:type="dxa"/>
          </w:tblCellMar>
        </w:tblPrEx>
        <w:trPr>
          <w:trHeight w:val="184"/>
          <w:jc w:val="center"/>
        </w:trPr>
        <w:tc>
          <w:tcPr>
            <w:tcW w:w="1465" w:type="dxa"/>
          </w:tcPr>
          <w:p w:rsidR="00000000" w:rsidRDefault="00000000">
            <w:pPr>
              <w:spacing w:before="40" w:after="40"/>
              <w:rPr>
                <w:sz w:val="20"/>
                <w:szCs w:val="20"/>
              </w:rPr>
            </w:pPr>
            <w:r>
              <w:rPr>
                <w:sz w:val="20"/>
                <w:szCs w:val="20"/>
              </w:rPr>
              <w:t>Путтучерри</w:t>
            </w:r>
          </w:p>
        </w:tc>
        <w:tc>
          <w:tcPr>
            <w:tcW w:w="1056" w:type="dxa"/>
            <w:vAlign w:val="center"/>
          </w:tcPr>
          <w:p w:rsidR="00000000" w:rsidRDefault="00000000">
            <w:pPr>
              <w:tabs>
                <w:tab w:val="decimal" w:pos="397"/>
              </w:tabs>
              <w:spacing w:before="40" w:after="40"/>
              <w:ind w:right="57"/>
              <w:rPr>
                <w:sz w:val="20"/>
                <w:szCs w:val="20"/>
              </w:rPr>
            </w:pPr>
            <w:r>
              <w:rPr>
                <w:sz w:val="20"/>
                <w:szCs w:val="20"/>
              </w:rPr>
              <w:t>45,8</w:t>
            </w:r>
          </w:p>
        </w:tc>
        <w:tc>
          <w:tcPr>
            <w:tcW w:w="957" w:type="dxa"/>
            <w:vAlign w:val="center"/>
          </w:tcPr>
          <w:p w:rsidR="00000000" w:rsidRDefault="00000000">
            <w:pPr>
              <w:tabs>
                <w:tab w:val="decimal" w:pos="397"/>
              </w:tabs>
              <w:spacing w:before="40" w:after="40"/>
              <w:ind w:right="57"/>
              <w:rPr>
                <w:sz w:val="20"/>
                <w:szCs w:val="20"/>
              </w:rPr>
            </w:pPr>
            <w:r>
              <w:rPr>
                <w:sz w:val="20"/>
                <w:szCs w:val="20"/>
              </w:rPr>
              <w:t>38,6</w:t>
            </w:r>
          </w:p>
        </w:tc>
        <w:tc>
          <w:tcPr>
            <w:tcW w:w="862" w:type="dxa"/>
            <w:vAlign w:val="center"/>
          </w:tcPr>
          <w:p w:rsidR="00000000" w:rsidRDefault="00000000">
            <w:pPr>
              <w:tabs>
                <w:tab w:val="decimal" w:pos="397"/>
              </w:tabs>
              <w:spacing w:before="40" w:after="40"/>
              <w:ind w:right="57"/>
              <w:rPr>
                <w:sz w:val="20"/>
                <w:szCs w:val="20"/>
              </w:rPr>
            </w:pPr>
            <w:r>
              <w:rPr>
                <w:sz w:val="20"/>
                <w:szCs w:val="20"/>
              </w:rPr>
              <w:t>41,5</w:t>
            </w:r>
          </w:p>
        </w:tc>
        <w:tc>
          <w:tcPr>
            <w:tcW w:w="852" w:type="dxa"/>
            <w:vAlign w:val="center"/>
          </w:tcPr>
          <w:p w:rsidR="00000000" w:rsidRDefault="00000000">
            <w:pPr>
              <w:tabs>
                <w:tab w:val="decimal" w:pos="397"/>
              </w:tabs>
              <w:spacing w:before="40" w:after="40"/>
              <w:ind w:right="57"/>
              <w:rPr>
                <w:sz w:val="20"/>
                <w:szCs w:val="20"/>
              </w:rPr>
            </w:pPr>
            <w:r>
              <w:rPr>
                <w:sz w:val="20"/>
                <w:szCs w:val="20"/>
              </w:rPr>
              <w:t>32,5</w:t>
            </w:r>
          </w:p>
        </w:tc>
        <w:tc>
          <w:tcPr>
            <w:tcW w:w="957" w:type="dxa"/>
            <w:vAlign w:val="center"/>
          </w:tcPr>
          <w:p w:rsidR="00000000" w:rsidRDefault="00000000">
            <w:pPr>
              <w:tabs>
                <w:tab w:val="decimal" w:pos="397"/>
              </w:tabs>
              <w:spacing w:before="40" w:after="40"/>
              <w:ind w:right="57"/>
              <w:rPr>
                <w:sz w:val="20"/>
                <w:szCs w:val="20"/>
              </w:rPr>
            </w:pPr>
            <w:r>
              <w:rPr>
                <w:sz w:val="20"/>
                <w:szCs w:val="20"/>
              </w:rPr>
              <w:t>39,8</w:t>
            </w:r>
          </w:p>
        </w:tc>
        <w:tc>
          <w:tcPr>
            <w:tcW w:w="816" w:type="dxa"/>
            <w:vAlign w:val="center"/>
          </w:tcPr>
          <w:p w:rsidR="00000000" w:rsidRDefault="00000000">
            <w:pPr>
              <w:tabs>
                <w:tab w:val="decimal" w:pos="340"/>
              </w:tabs>
              <w:spacing w:before="40" w:after="40"/>
              <w:ind w:right="57"/>
              <w:rPr>
                <w:sz w:val="20"/>
                <w:szCs w:val="20"/>
              </w:rPr>
            </w:pPr>
            <w:r>
              <w:rPr>
                <w:sz w:val="20"/>
                <w:szCs w:val="20"/>
              </w:rPr>
              <w:t>37,4</w:t>
            </w:r>
          </w:p>
        </w:tc>
        <w:tc>
          <w:tcPr>
            <w:tcW w:w="852" w:type="dxa"/>
            <w:vAlign w:val="center"/>
          </w:tcPr>
          <w:p w:rsidR="00000000" w:rsidRDefault="00000000">
            <w:pPr>
              <w:tabs>
                <w:tab w:val="decimal" w:pos="340"/>
              </w:tabs>
              <w:spacing w:before="40" w:after="40"/>
              <w:ind w:right="57"/>
              <w:rPr>
                <w:sz w:val="20"/>
                <w:szCs w:val="20"/>
              </w:rPr>
            </w:pPr>
            <w:r>
              <w:rPr>
                <w:sz w:val="20"/>
                <w:szCs w:val="20"/>
              </w:rPr>
              <w:t>20,6</w:t>
            </w:r>
          </w:p>
        </w:tc>
        <w:tc>
          <w:tcPr>
            <w:tcW w:w="957" w:type="dxa"/>
            <w:vAlign w:val="center"/>
          </w:tcPr>
          <w:p w:rsidR="00000000" w:rsidRDefault="00000000">
            <w:pPr>
              <w:tabs>
                <w:tab w:val="decimal" w:pos="397"/>
              </w:tabs>
              <w:spacing w:before="40" w:after="40"/>
              <w:ind w:right="57"/>
              <w:rPr>
                <w:sz w:val="20"/>
                <w:szCs w:val="20"/>
              </w:rPr>
            </w:pPr>
            <w:r>
              <w:rPr>
                <w:sz w:val="20"/>
                <w:szCs w:val="20"/>
              </w:rPr>
              <w:t>22,1</w:t>
            </w:r>
          </w:p>
        </w:tc>
        <w:tc>
          <w:tcPr>
            <w:tcW w:w="798" w:type="dxa"/>
            <w:vAlign w:val="center"/>
          </w:tcPr>
          <w:p w:rsidR="00000000" w:rsidRDefault="00000000">
            <w:pPr>
              <w:tabs>
                <w:tab w:val="decimal" w:pos="397"/>
              </w:tabs>
              <w:spacing w:before="40" w:after="40"/>
              <w:ind w:right="57"/>
              <w:rPr>
                <w:sz w:val="20"/>
                <w:szCs w:val="20"/>
              </w:rPr>
            </w:pPr>
            <w:r>
              <w:rPr>
                <w:sz w:val="20"/>
                <w:szCs w:val="20"/>
              </w:rPr>
              <w:t>21,7</w:t>
            </w:r>
          </w:p>
        </w:tc>
      </w:tr>
      <w:tr w:rsidR="00000000">
        <w:tblPrEx>
          <w:tblCellMar>
            <w:top w:w="0" w:type="dxa"/>
            <w:bottom w:w="0" w:type="dxa"/>
          </w:tblCellMar>
        </w:tblPrEx>
        <w:trPr>
          <w:trHeight w:val="184"/>
          <w:jc w:val="center"/>
        </w:trPr>
        <w:tc>
          <w:tcPr>
            <w:tcW w:w="1465" w:type="dxa"/>
          </w:tcPr>
          <w:p w:rsidR="00000000" w:rsidRDefault="00000000">
            <w:pPr>
              <w:pStyle w:val="Heading1"/>
              <w:spacing w:before="40" w:after="40"/>
              <w:rPr>
                <w:sz w:val="20"/>
                <w:lang w:val="ru-RU"/>
              </w:rPr>
            </w:pPr>
            <w:r>
              <w:rPr>
                <w:sz w:val="20"/>
                <w:lang w:val="ru-RU"/>
              </w:rPr>
              <w:t>В ЦЕЛОМ ПО ИНДИИ</w:t>
            </w:r>
          </w:p>
        </w:tc>
        <w:tc>
          <w:tcPr>
            <w:tcW w:w="1056" w:type="dxa"/>
            <w:vAlign w:val="bottom"/>
          </w:tcPr>
          <w:p w:rsidR="00000000" w:rsidRDefault="00000000">
            <w:pPr>
              <w:tabs>
                <w:tab w:val="decimal" w:pos="397"/>
              </w:tabs>
              <w:spacing w:before="40" w:after="40"/>
              <w:ind w:right="57"/>
              <w:rPr>
                <w:b/>
                <w:bCs/>
                <w:sz w:val="20"/>
                <w:szCs w:val="20"/>
              </w:rPr>
            </w:pPr>
            <w:r>
              <w:rPr>
                <w:b/>
                <w:bCs/>
                <w:sz w:val="20"/>
                <w:szCs w:val="20"/>
              </w:rPr>
              <w:t>39,1</w:t>
            </w:r>
          </w:p>
        </w:tc>
        <w:tc>
          <w:tcPr>
            <w:tcW w:w="957" w:type="dxa"/>
            <w:vAlign w:val="bottom"/>
          </w:tcPr>
          <w:p w:rsidR="00000000" w:rsidRDefault="00000000">
            <w:pPr>
              <w:tabs>
                <w:tab w:val="decimal" w:pos="397"/>
              </w:tabs>
              <w:spacing w:before="40" w:after="40"/>
              <w:ind w:right="57"/>
              <w:rPr>
                <w:b/>
                <w:bCs/>
                <w:sz w:val="20"/>
                <w:szCs w:val="20"/>
              </w:rPr>
            </w:pPr>
            <w:r>
              <w:rPr>
                <w:b/>
                <w:bCs/>
                <w:sz w:val="20"/>
                <w:szCs w:val="20"/>
              </w:rPr>
              <w:t>38,2</w:t>
            </w:r>
          </w:p>
        </w:tc>
        <w:tc>
          <w:tcPr>
            <w:tcW w:w="862" w:type="dxa"/>
            <w:vAlign w:val="bottom"/>
          </w:tcPr>
          <w:p w:rsidR="00000000" w:rsidRDefault="00000000">
            <w:pPr>
              <w:tabs>
                <w:tab w:val="decimal" w:pos="397"/>
              </w:tabs>
              <w:spacing w:before="40" w:after="40"/>
              <w:ind w:right="57"/>
              <w:rPr>
                <w:b/>
                <w:bCs/>
                <w:sz w:val="20"/>
                <w:szCs w:val="20"/>
              </w:rPr>
            </w:pPr>
            <w:r>
              <w:rPr>
                <w:b/>
                <w:bCs/>
                <w:sz w:val="20"/>
                <w:szCs w:val="20"/>
              </w:rPr>
              <w:t>38,9</w:t>
            </w:r>
          </w:p>
        </w:tc>
        <w:tc>
          <w:tcPr>
            <w:tcW w:w="852" w:type="dxa"/>
            <w:vAlign w:val="bottom"/>
          </w:tcPr>
          <w:p w:rsidR="00000000" w:rsidRDefault="00000000">
            <w:pPr>
              <w:tabs>
                <w:tab w:val="decimal" w:pos="397"/>
              </w:tabs>
              <w:spacing w:before="40" w:after="40"/>
              <w:ind w:right="57"/>
              <w:rPr>
                <w:b/>
                <w:bCs/>
                <w:sz w:val="20"/>
                <w:szCs w:val="20"/>
              </w:rPr>
            </w:pPr>
            <w:r>
              <w:rPr>
                <w:b/>
                <w:bCs/>
                <w:sz w:val="20"/>
                <w:szCs w:val="20"/>
              </w:rPr>
              <w:t>37,3</w:t>
            </w:r>
          </w:p>
        </w:tc>
        <w:tc>
          <w:tcPr>
            <w:tcW w:w="957" w:type="dxa"/>
            <w:vAlign w:val="bottom"/>
          </w:tcPr>
          <w:p w:rsidR="00000000" w:rsidRDefault="00000000">
            <w:pPr>
              <w:tabs>
                <w:tab w:val="decimal" w:pos="397"/>
              </w:tabs>
              <w:spacing w:before="40" w:after="40"/>
              <w:ind w:right="57"/>
              <w:rPr>
                <w:b/>
                <w:bCs/>
                <w:sz w:val="20"/>
                <w:szCs w:val="20"/>
              </w:rPr>
            </w:pPr>
            <w:r>
              <w:rPr>
                <w:b/>
                <w:bCs/>
                <w:sz w:val="20"/>
                <w:szCs w:val="20"/>
              </w:rPr>
              <w:t>32,4</w:t>
            </w:r>
          </w:p>
        </w:tc>
        <w:tc>
          <w:tcPr>
            <w:tcW w:w="816" w:type="dxa"/>
            <w:vAlign w:val="bottom"/>
          </w:tcPr>
          <w:p w:rsidR="00000000" w:rsidRDefault="00000000">
            <w:pPr>
              <w:tabs>
                <w:tab w:val="decimal" w:pos="340"/>
              </w:tabs>
              <w:spacing w:before="40" w:after="40"/>
              <w:ind w:right="57"/>
              <w:rPr>
                <w:b/>
                <w:bCs/>
                <w:sz w:val="20"/>
                <w:szCs w:val="20"/>
              </w:rPr>
            </w:pPr>
            <w:r>
              <w:rPr>
                <w:b/>
                <w:bCs/>
                <w:sz w:val="20"/>
                <w:szCs w:val="20"/>
              </w:rPr>
              <w:t>36,0</w:t>
            </w:r>
          </w:p>
        </w:tc>
        <w:tc>
          <w:tcPr>
            <w:tcW w:w="852" w:type="dxa"/>
            <w:vAlign w:val="bottom"/>
          </w:tcPr>
          <w:p w:rsidR="00000000" w:rsidRDefault="00000000">
            <w:pPr>
              <w:tabs>
                <w:tab w:val="decimal" w:pos="340"/>
              </w:tabs>
              <w:spacing w:before="40" w:after="40"/>
              <w:ind w:right="57"/>
              <w:rPr>
                <w:b/>
                <w:bCs/>
                <w:sz w:val="20"/>
                <w:szCs w:val="20"/>
              </w:rPr>
            </w:pPr>
            <w:r>
              <w:rPr>
                <w:b/>
                <w:bCs/>
                <w:sz w:val="20"/>
                <w:szCs w:val="20"/>
              </w:rPr>
              <w:t>27,1</w:t>
            </w:r>
          </w:p>
        </w:tc>
        <w:tc>
          <w:tcPr>
            <w:tcW w:w="957" w:type="dxa"/>
            <w:vAlign w:val="bottom"/>
          </w:tcPr>
          <w:p w:rsidR="00000000" w:rsidRDefault="00000000">
            <w:pPr>
              <w:tabs>
                <w:tab w:val="decimal" w:pos="397"/>
              </w:tabs>
              <w:spacing w:before="40" w:after="40"/>
              <w:ind w:right="57"/>
              <w:rPr>
                <w:b/>
                <w:bCs/>
                <w:sz w:val="20"/>
                <w:szCs w:val="20"/>
              </w:rPr>
            </w:pPr>
            <w:r>
              <w:rPr>
                <w:b/>
                <w:bCs/>
                <w:sz w:val="20"/>
                <w:szCs w:val="20"/>
              </w:rPr>
              <w:t>23,6</w:t>
            </w:r>
          </w:p>
        </w:tc>
        <w:tc>
          <w:tcPr>
            <w:tcW w:w="798" w:type="dxa"/>
            <w:vAlign w:val="bottom"/>
          </w:tcPr>
          <w:p w:rsidR="00000000" w:rsidRDefault="00000000">
            <w:pPr>
              <w:tabs>
                <w:tab w:val="decimal" w:pos="397"/>
              </w:tabs>
              <w:spacing w:before="40" w:after="40"/>
              <w:ind w:right="57"/>
              <w:rPr>
                <w:b/>
                <w:bCs/>
                <w:sz w:val="20"/>
                <w:szCs w:val="20"/>
              </w:rPr>
            </w:pPr>
            <w:r>
              <w:rPr>
                <w:b/>
                <w:bCs/>
                <w:sz w:val="20"/>
                <w:szCs w:val="20"/>
              </w:rPr>
              <w:t>26,1</w:t>
            </w:r>
          </w:p>
        </w:tc>
      </w:tr>
    </w:tbl>
    <w:p w:rsidR="00000000" w:rsidRDefault="00000000">
      <w:pPr>
        <w:pStyle w:val="a3"/>
        <w:spacing w:before="120"/>
      </w:pPr>
      <w:r>
        <w:rPr>
          <w:b/>
          <w:bCs/>
        </w:rPr>
        <w:t>Источник:</w:t>
      </w:r>
      <w:r>
        <w:t xml:space="preserve">  Комиссия по планированию, правительство Индии.</w:t>
      </w:r>
    </w:p>
    <w:p w:rsidR="00000000" w:rsidRDefault="00000000">
      <w:pPr>
        <w:pStyle w:val="112"/>
        <w:spacing w:before="360"/>
      </w:pPr>
      <w:r>
        <w:t>348.</w:t>
      </w:r>
      <w:r>
        <w:tab/>
        <w:t>Распределение потребительских расходов между продовольственными и непродовольственными товарами по результатам различных национальных выборочных обследований также свидетельствует о значительном повышении общего уровня жизни в стране, поскольку в целом считается, что бедные домохозяйства тратят на продовольственные товары больше средств, чем на непродовольственные товары.  Расходы на продовольственные товары как таковые растут в рупиях как по городским, так и по сельским районам, однако между ними существует огромный разрыв.  Этот разрыв является существенным из-за таких товаров, как молоко и молочные продукты, напитки, топливо и электричество, образование, прочие потребительские товары и услуги, транспортные расходы и арендная плата, т. е. расходы, которые в городских районах являются относительно высокими.  В приводимой ниже таблице дается структура потребления.</w:t>
      </w:r>
    </w:p>
    <w:p w:rsidR="00000000" w:rsidRDefault="00000000">
      <w:pPr>
        <w:pStyle w:val="112"/>
        <w:spacing w:before="160" w:after="240"/>
        <w:rPr>
          <w:b/>
          <w:bCs/>
          <w:spacing w:val="-4"/>
        </w:rPr>
      </w:pPr>
      <w:r>
        <w:rPr>
          <w:b/>
          <w:bCs/>
          <w:spacing w:val="-4"/>
        </w:rPr>
        <w:br w:type="page"/>
        <w:t>Структура потребления по результатам проведенных национальных выборочных обследований</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3"/>
        <w:gridCol w:w="1009"/>
        <w:gridCol w:w="1009"/>
        <w:gridCol w:w="1009"/>
        <w:gridCol w:w="1009"/>
        <w:gridCol w:w="893"/>
        <w:gridCol w:w="1077"/>
      </w:tblGrid>
      <w:tr w:rsidR="00000000">
        <w:tblPrEx>
          <w:tblCellMar>
            <w:top w:w="0" w:type="dxa"/>
            <w:bottom w:w="0" w:type="dxa"/>
          </w:tblCellMar>
        </w:tblPrEx>
        <w:trPr>
          <w:cantSplit/>
          <w:trHeight w:val="268"/>
          <w:jc w:val="center"/>
        </w:trPr>
        <w:tc>
          <w:tcPr>
            <w:tcW w:w="3366" w:type="dxa"/>
            <w:vMerge w:val="restart"/>
          </w:tcPr>
          <w:p w:rsidR="00000000" w:rsidRDefault="00000000">
            <w:pPr>
              <w:spacing w:before="40" w:after="40"/>
              <w:rPr>
                <w:b/>
                <w:bCs/>
                <w:sz w:val="20"/>
                <w:szCs w:val="20"/>
              </w:rPr>
            </w:pPr>
            <w:r>
              <w:rPr>
                <w:b/>
                <w:bCs/>
                <w:sz w:val="20"/>
                <w:szCs w:val="20"/>
              </w:rPr>
              <w:t>Статья расходов/ сектор</w:t>
            </w:r>
          </w:p>
        </w:tc>
        <w:tc>
          <w:tcPr>
            <w:tcW w:w="5565" w:type="dxa"/>
            <w:gridSpan w:val="6"/>
          </w:tcPr>
          <w:p w:rsidR="00000000" w:rsidRDefault="00000000">
            <w:pPr>
              <w:spacing w:before="40" w:after="40"/>
              <w:jc w:val="center"/>
              <w:rPr>
                <w:b/>
                <w:bCs/>
                <w:sz w:val="20"/>
                <w:szCs w:val="20"/>
              </w:rPr>
            </w:pPr>
            <w:r>
              <w:rPr>
                <w:b/>
                <w:bCs/>
                <w:sz w:val="20"/>
                <w:szCs w:val="20"/>
              </w:rPr>
              <w:t>Средний показатель потребительских расходов (в рупиях)</w:t>
            </w:r>
          </w:p>
        </w:tc>
      </w:tr>
      <w:tr w:rsidR="00000000">
        <w:tblPrEx>
          <w:tblCellMar>
            <w:top w:w="0" w:type="dxa"/>
            <w:bottom w:w="0" w:type="dxa"/>
          </w:tblCellMar>
        </w:tblPrEx>
        <w:trPr>
          <w:cantSplit/>
          <w:trHeight w:val="268"/>
          <w:jc w:val="center"/>
        </w:trPr>
        <w:tc>
          <w:tcPr>
            <w:tcW w:w="3366" w:type="dxa"/>
            <w:vMerge/>
            <w:tcBorders>
              <w:bottom w:val="single" w:sz="4" w:space="0" w:color="auto"/>
            </w:tcBorders>
          </w:tcPr>
          <w:p w:rsidR="00000000" w:rsidRDefault="00000000">
            <w:pPr>
              <w:spacing w:before="40" w:after="40"/>
              <w:rPr>
                <w:sz w:val="20"/>
                <w:szCs w:val="20"/>
              </w:rPr>
            </w:pPr>
          </w:p>
        </w:tc>
        <w:tc>
          <w:tcPr>
            <w:tcW w:w="935" w:type="dxa"/>
          </w:tcPr>
          <w:p w:rsidR="00000000" w:rsidRDefault="00000000">
            <w:pPr>
              <w:spacing w:before="40" w:after="40"/>
              <w:jc w:val="center"/>
              <w:rPr>
                <w:sz w:val="20"/>
                <w:szCs w:val="20"/>
              </w:rPr>
            </w:pPr>
            <w:r>
              <w:rPr>
                <w:sz w:val="20"/>
                <w:szCs w:val="20"/>
              </w:rPr>
              <w:t>43-й цикл</w:t>
            </w:r>
          </w:p>
        </w:tc>
        <w:tc>
          <w:tcPr>
            <w:tcW w:w="935" w:type="dxa"/>
          </w:tcPr>
          <w:p w:rsidR="00000000" w:rsidRDefault="00000000">
            <w:pPr>
              <w:spacing w:before="40" w:after="40"/>
              <w:jc w:val="center"/>
              <w:rPr>
                <w:sz w:val="20"/>
                <w:szCs w:val="20"/>
              </w:rPr>
            </w:pPr>
            <w:r>
              <w:rPr>
                <w:sz w:val="20"/>
                <w:szCs w:val="20"/>
              </w:rPr>
              <w:t>50-й цикл</w:t>
            </w:r>
          </w:p>
        </w:tc>
        <w:tc>
          <w:tcPr>
            <w:tcW w:w="935" w:type="dxa"/>
          </w:tcPr>
          <w:p w:rsidR="00000000" w:rsidRDefault="00000000">
            <w:pPr>
              <w:spacing w:before="40" w:after="40"/>
              <w:jc w:val="center"/>
              <w:rPr>
                <w:sz w:val="20"/>
                <w:szCs w:val="20"/>
              </w:rPr>
            </w:pPr>
            <w:r>
              <w:rPr>
                <w:sz w:val="20"/>
                <w:szCs w:val="20"/>
              </w:rPr>
              <w:t>55-й цикл</w:t>
            </w:r>
          </w:p>
        </w:tc>
        <w:tc>
          <w:tcPr>
            <w:tcW w:w="935" w:type="dxa"/>
          </w:tcPr>
          <w:p w:rsidR="00000000" w:rsidRDefault="00000000">
            <w:pPr>
              <w:spacing w:before="40" w:after="40"/>
              <w:jc w:val="center"/>
              <w:rPr>
                <w:sz w:val="20"/>
                <w:szCs w:val="20"/>
              </w:rPr>
            </w:pPr>
            <w:r>
              <w:rPr>
                <w:sz w:val="20"/>
                <w:szCs w:val="20"/>
              </w:rPr>
              <w:t>56-й цикл</w:t>
            </w:r>
          </w:p>
        </w:tc>
        <w:tc>
          <w:tcPr>
            <w:tcW w:w="827" w:type="dxa"/>
          </w:tcPr>
          <w:p w:rsidR="00000000" w:rsidRDefault="00000000">
            <w:pPr>
              <w:spacing w:before="40" w:after="40"/>
              <w:jc w:val="center"/>
              <w:rPr>
                <w:sz w:val="20"/>
                <w:szCs w:val="20"/>
              </w:rPr>
            </w:pPr>
            <w:r>
              <w:rPr>
                <w:sz w:val="20"/>
                <w:szCs w:val="20"/>
              </w:rPr>
              <w:t>57-й цикл</w:t>
            </w:r>
          </w:p>
        </w:tc>
        <w:tc>
          <w:tcPr>
            <w:tcW w:w="998" w:type="dxa"/>
          </w:tcPr>
          <w:p w:rsidR="00000000" w:rsidRDefault="00000000">
            <w:pPr>
              <w:spacing w:before="40" w:after="40"/>
              <w:jc w:val="center"/>
              <w:rPr>
                <w:sz w:val="20"/>
                <w:szCs w:val="20"/>
              </w:rPr>
            </w:pPr>
            <w:r>
              <w:rPr>
                <w:sz w:val="20"/>
                <w:szCs w:val="20"/>
              </w:rPr>
              <w:t xml:space="preserve">58-й </w:t>
            </w:r>
            <w:r>
              <w:rPr>
                <w:sz w:val="20"/>
                <w:szCs w:val="20"/>
              </w:rPr>
              <w:br/>
              <w:t>цикл</w:t>
            </w: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b w:val="0"/>
                <w:bCs/>
                <w:sz w:val="20"/>
                <w:lang w:val="ru-RU"/>
              </w:rPr>
            </w:pPr>
            <w:r>
              <w:rPr>
                <w:b w:val="0"/>
                <w:bCs/>
                <w:sz w:val="20"/>
                <w:lang w:val="ru-RU"/>
              </w:rPr>
              <w:t>Сельские районы</w:t>
            </w:r>
          </w:p>
        </w:tc>
        <w:tc>
          <w:tcPr>
            <w:tcW w:w="935" w:type="dxa"/>
          </w:tcPr>
          <w:p w:rsidR="00000000" w:rsidRDefault="00000000">
            <w:pPr>
              <w:spacing w:before="40" w:after="40"/>
              <w:jc w:val="both"/>
              <w:rPr>
                <w:sz w:val="20"/>
                <w:szCs w:val="20"/>
              </w:rPr>
            </w:pPr>
          </w:p>
        </w:tc>
        <w:tc>
          <w:tcPr>
            <w:tcW w:w="935" w:type="dxa"/>
          </w:tcPr>
          <w:p w:rsidR="00000000" w:rsidRDefault="00000000">
            <w:pPr>
              <w:spacing w:before="40" w:after="40"/>
              <w:jc w:val="both"/>
              <w:rPr>
                <w:sz w:val="20"/>
                <w:szCs w:val="20"/>
              </w:rPr>
            </w:pPr>
          </w:p>
        </w:tc>
        <w:tc>
          <w:tcPr>
            <w:tcW w:w="935" w:type="dxa"/>
          </w:tcPr>
          <w:p w:rsidR="00000000" w:rsidRDefault="00000000">
            <w:pPr>
              <w:spacing w:before="40" w:after="40"/>
              <w:jc w:val="both"/>
              <w:rPr>
                <w:sz w:val="20"/>
                <w:szCs w:val="20"/>
              </w:rPr>
            </w:pPr>
          </w:p>
        </w:tc>
        <w:tc>
          <w:tcPr>
            <w:tcW w:w="935" w:type="dxa"/>
          </w:tcPr>
          <w:p w:rsidR="00000000" w:rsidRDefault="00000000">
            <w:pPr>
              <w:spacing w:before="40" w:after="40"/>
              <w:jc w:val="both"/>
              <w:rPr>
                <w:sz w:val="20"/>
                <w:szCs w:val="20"/>
              </w:rPr>
            </w:pPr>
          </w:p>
        </w:tc>
        <w:tc>
          <w:tcPr>
            <w:tcW w:w="827" w:type="dxa"/>
          </w:tcPr>
          <w:p w:rsidR="00000000" w:rsidRDefault="00000000">
            <w:pPr>
              <w:spacing w:before="40" w:after="40"/>
              <w:jc w:val="both"/>
              <w:rPr>
                <w:sz w:val="20"/>
                <w:szCs w:val="20"/>
              </w:rPr>
            </w:pPr>
          </w:p>
        </w:tc>
        <w:tc>
          <w:tcPr>
            <w:tcW w:w="998" w:type="dxa"/>
          </w:tcPr>
          <w:p w:rsidR="00000000" w:rsidRDefault="00000000">
            <w:pPr>
              <w:spacing w:before="40" w:after="40"/>
              <w:jc w:val="both"/>
              <w:rPr>
                <w:sz w:val="20"/>
                <w:szCs w:val="20"/>
              </w:rPr>
            </w:pP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sz w:val="20"/>
                <w:lang w:val="ru-RU"/>
              </w:rPr>
            </w:pPr>
            <w:r>
              <w:rPr>
                <w:sz w:val="20"/>
                <w:lang w:val="ru-RU"/>
              </w:rPr>
              <w:t>Продовольственные товары</w:t>
            </w:r>
          </w:p>
        </w:tc>
        <w:tc>
          <w:tcPr>
            <w:tcW w:w="935" w:type="dxa"/>
            <w:vAlign w:val="center"/>
          </w:tcPr>
          <w:p w:rsidR="00000000" w:rsidRDefault="00000000">
            <w:pPr>
              <w:spacing w:before="40" w:after="40"/>
              <w:rPr>
                <w:sz w:val="20"/>
                <w:szCs w:val="20"/>
              </w:rPr>
            </w:pPr>
            <w:r>
              <w:rPr>
                <w:sz w:val="20"/>
                <w:szCs w:val="20"/>
              </w:rPr>
              <w:t>100,82</w:t>
            </w:r>
          </w:p>
        </w:tc>
        <w:tc>
          <w:tcPr>
            <w:tcW w:w="935" w:type="dxa"/>
            <w:vAlign w:val="center"/>
          </w:tcPr>
          <w:p w:rsidR="00000000" w:rsidRDefault="00000000">
            <w:pPr>
              <w:spacing w:before="40" w:after="40"/>
              <w:rPr>
                <w:sz w:val="20"/>
                <w:szCs w:val="20"/>
              </w:rPr>
            </w:pPr>
            <w:r>
              <w:rPr>
                <w:sz w:val="20"/>
                <w:szCs w:val="20"/>
              </w:rPr>
              <w:t>177,80</w:t>
            </w:r>
          </w:p>
        </w:tc>
        <w:tc>
          <w:tcPr>
            <w:tcW w:w="935" w:type="dxa"/>
            <w:vAlign w:val="center"/>
          </w:tcPr>
          <w:p w:rsidR="00000000" w:rsidRDefault="00000000">
            <w:pPr>
              <w:spacing w:before="40" w:after="40"/>
              <w:rPr>
                <w:sz w:val="20"/>
                <w:szCs w:val="20"/>
              </w:rPr>
            </w:pPr>
            <w:r>
              <w:rPr>
                <w:sz w:val="20"/>
                <w:szCs w:val="20"/>
              </w:rPr>
              <w:t>288,80</w:t>
            </w:r>
          </w:p>
        </w:tc>
        <w:tc>
          <w:tcPr>
            <w:tcW w:w="935" w:type="dxa"/>
            <w:vAlign w:val="center"/>
          </w:tcPr>
          <w:p w:rsidR="00000000" w:rsidRDefault="00000000">
            <w:pPr>
              <w:spacing w:before="40" w:after="40"/>
              <w:rPr>
                <w:sz w:val="20"/>
                <w:szCs w:val="20"/>
              </w:rPr>
            </w:pPr>
            <w:r>
              <w:rPr>
                <w:sz w:val="20"/>
                <w:szCs w:val="20"/>
              </w:rPr>
              <w:t>278,57</w:t>
            </w:r>
          </w:p>
        </w:tc>
        <w:tc>
          <w:tcPr>
            <w:tcW w:w="827" w:type="dxa"/>
            <w:vAlign w:val="center"/>
          </w:tcPr>
          <w:p w:rsidR="00000000" w:rsidRDefault="00000000">
            <w:pPr>
              <w:spacing w:before="40" w:after="40"/>
              <w:rPr>
                <w:sz w:val="20"/>
                <w:szCs w:val="20"/>
              </w:rPr>
            </w:pPr>
            <w:r>
              <w:rPr>
                <w:sz w:val="20"/>
                <w:szCs w:val="20"/>
              </w:rPr>
              <w:t>276,35</w:t>
            </w:r>
          </w:p>
        </w:tc>
        <w:tc>
          <w:tcPr>
            <w:tcW w:w="998" w:type="dxa"/>
            <w:vAlign w:val="center"/>
          </w:tcPr>
          <w:p w:rsidR="00000000" w:rsidRDefault="00000000">
            <w:pPr>
              <w:spacing w:before="40" w:after="40"/>
              <w:rPr>
                <w:sz w:val="20"/>
                <w:szCs w:val="20"/>
              </w:rPr>
            </w:pPr>
            <w:r>
              <w:rPr>
                <w:sz w:val="20"/>
                <w:szCs w:val="20"/>
              </w:rPr>
              <w:t>292,27</w:t>
            </w: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sz w:val="20"/>
                <w:lang w:val="ru-RU"/>
              </w:rPr>
            </w:pPr>
            <w:r>
              <w:rPr>
                <w:sz w:val="20"/>
                <w:lang w:val="ru-RU"/>
              </w:rPr>
              <w:t>Непродовольственные товары</w:t>
            </w:r>
          </w:p>
        </w:tc>
        <w:tc>
          <w:tcPr>
            <w:tcW w:w="935" w:type="dxa"/>
            <w:vAlign w:val="center"/>
          </w:tcPr>
          <w:p w:rsidR="00000000" w:rsidRDefault="00000000">
            <w:pPr>
              <w:spacing w:before="40" w:after="40"/>
              <w:rPr>
                <w:sz w:val="20"/>
                <w:szCs w:val="20"/>
              </w:rPr>
            </w:pPr>
            <w:r>
              <w:rPr>
                <w:sz w:val="20"/>
                <w:szCs w:val="20"/>
              </w:rPr>
              <w:t xml:space="preserve">  57,28</w:t>
            </w:r>
          </w:p>
        </w:tc>
        <w:tc>
          <w:tcPr>
            <w:tcW w:w="935" w:type="dxa"/>
            <w:vAlign w:val="center"/>
          </w:tcPr>
          <w:p w:rsidR="00000000" w:rsidRDefault="00000000">
            <w:pPr>
              <w:spacing w:before="40" w:after="40"/>
              <w:rPr>
                <w:sz w:val="20"/>
                <w:szCs w:val="20"/>
              </w:rPr>
            </w:pPr>
            <w:r>
              <w:rPr>
                <w:sz w:val="20"/>
                <w:szCs w:val="20"/>
              </w:rPr>
              <w:t>103,60</w:t>
            </w:r>
          </w:p>
        </w:tc>
        <w:tc>
          <w:tcPr>
            <w:tcW w:w="935" w:type="dxa"/>
            <w:vAlign w:val="center"/>
          </w:tcPr>
          <w:p w:rsidR="00000000" w:rsidRDefault="00000000">
            <w:pPr>
              <w:spacing w:before="40" w:after="40"/>
              <w:rPr>
                <w:sz w:val="20"/>
                <w:szCs w:val="20"/>
              </w:rPr>
            </w:pPr>
            <w:r>
              <w:rPr>
                <w:sz w:val="20"/>
                <w:szCs w:val="20"/>
              </w:rPr>
              <w:t>197,36</w:t>
            </w:r>
          </w:p>
        </w:tc>
        <w:tc>
          <w:tcPr>
            <w:tcW w:w="935" w:type="dxa"/>
            <w:vAlign w:val="center"/>
          </w:tcPr>
          <w:p w:rsidR="00000000" w:rsidRDefault="00000000">
            <w:pPr>
              <w:spacing w:before="40" w:after="40"/>
              <w:rPr>
                <w:sz w:val="20"/>
                <w:szCs w:val="20"/>
              </w:rPr>
            </w:pPr>
            <w:r>
              <w:rPr>
                <w:sz w:val="20"/>
                <w:szCs w:val="20"/>
              </w:rPr>
              <w:t>216,34</w:t>
            </w:r>
          </w:p>
        </w:tc>
        <w:tc>
          <w:tcPr>
            <w:tcW w:w="827" w:type="dxa"/>
            <w:vAlign w:val="center"/>
          </w:tcPr>
          <w:p w:rsidR="00000000" w:rsidRDefault="00000000">
            <w:pPr>
              <w:spacing w:before="40" w:after="40"/>
              <w:rPr>
                <w:sz w:val="20"/>
                <w:szCs w:val="20"/>
              </w:rPr>
            </w:pPr>
            <w:r>
              <w:rPr>
                <w:sz w:val="20"/>
                <w:szCs w:val="20"/>
              </w:rPr>
              <w:t>221,92</w:t>
            </w:r>
          </w:p>
        </w:tc>
        <w:tc>
          <w:tcPr>
            <w:tcW w:w="998" w:type="dxa"/>
            <w:vAlign w:val="center"/>
          </w:tcPr>
          <w:p w:rsidR="00000000" w:rsidRDefault="00000000">
            <w:pPr>
              <w:spacing w:before="40" w:after="40"/>
              <w:rPr>
                <w:sz w:val="20"/>
                <w:szCs w:val="20"/>
              </w:rPr>
            </w:pPr>
            <w:r>
              <w:rPr>
                <w:sz w:val="20"/>
                <w:szCs w:val="20"/>
              </w:rPr>
              <w:t>239,21</w:t>
            </w: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sz w:val="20"/>
                <w:lang w:val="ru-RU"/>
              </w:rPr>
            </w:pPr>
            <w:r>
              <w:rPr>
                <w:sz w:val="20"/>
                <w:lang w:val="ru-RU"/>
              </w:rPr>
              <w:t>Итого</w:t>
            </w:r>
          </w:p>
        </w:tc>
        <w:tc>
          <w:tcPr>
            <w:tcW w:w="935" w:type="dxa"/>
            <w:vAlign w:val="center"/>
          </w:tcPr>
          <w:p w:rsidR="00000000" w:rsidRDefault="00000000">
            <w:pPr>
              <w:spacing w:before="40" w:after="40"/>
              <w:rPr>
                <w:sz w:val="20"/>
                <w:szCs w:val="20"/>
              </w:rPr>
            </w:pPr>
            <w:r>
              <w:rPr>
                <w:sz w:val="20"/>
                <w:szCs w:val="20"/>
              </w:rPr>
              <w:t>158,10</w:t>
            </w:r>
          </w:p>
        </w:tc>
        <w:tc>
          <w:tcPr>
            <w:tcW w:w="935" w:type="dxa"/>
            <w:vAlign w:val="center"/>
          </w:tcPr>
          <w:p w:rsidR="00000000" w:rsidRDefault="00000000">
            <w:pPr>
              <w:spacing w:before="40" w:after="40"/>
              <w:rPr>
                <w:sz w:val="20"/>
                <w:szCs w:val="20"/>
              </w:rPr>
            </w:pPr>
            <w:r>
              <w:rPr>
                <w:sz w:val="20"/>
                <w:szCs w:val="20"/>
              </w:rPr>
              <w:t>281,40</w:t>
            </w:r>
          </w:p>
        </w:tc>
        <w:tc>
          <w:tcPr>
            <w:tcW w:w="935" w:type="dxa"/>
            <w:vAlign w:val="center"/>
          </w:tcPr>
          <w:p w:rsidR="00000000" w:rsidRDefault="00000000">
            <w:pPr>
              <w:spacing w:before="40" w:after="40"/>
              <w:rPr>
                <w:sz w:val="20"/>
                <w:szCs w:val="20"/>
              </w:rPr>
            </w:pPr>
            <w:r>
              <w:rPr>
                <w:sz w:val="20"/>
                <w:szCs w:val="20"/>
              </w:rPr>
              <w:t>486,16</w:t>
            </w:r>
          </w:p>
        </w:tc>
        <w:tc>
          <w:tcPr>
            <w:tcW w:w="935" w:type="dxa"/>
            <w:vAlign w:val="center"/>
          </w:tcPr>
          <w:p w:rsidR="00000000" w:rsidRDefault="00000000">
            <w:pPr>
              <w:spacing w:before="40" w:after="40"/>
              <w:rPr>
                <w:sz w:val="20"/>
                <w:szCs w:val="20"/>
              </w:rPr>
            </w:pPr>
            <w:r>
              <w:rPr>
                <w:sz w:val="20"/>
                <w:szCs w:val="20"/>
              </w:rPr>
              <w:t>494,90</w:t>
            </w:r>
          </w:p>
        </w:tc>
        <w:tc>
          <w:tcPr>
            <w:tcW w:w="827" w:type="dxa"/>
            <w:vAlign w:val="center"/>
          </w:tcPr>
          <w:p w:rsidR="00000000" w:rsidRDefault="00000000">
            <w:pPr>
              <w:spacing w:before="40" w:after="40"/>
              <w:rPr>
                <w:sz w:val="20"/>
                <w:szCs w:val="20"/>
              </w:rPr>
            </w:pPr>
            <w:r>
              <w:rPr>
                <w:sz w:val="20"/>
                <w:szCs w:val="20"/>
              </w:rPr>
              <w:t>498,27</w:t>
            </w:r>
          </w:p>
        </w:tc>
        <w:tc>
          <w:tcPr>
            <w:tcW w:w="998" w:type="dxa"/>
            <w:vAlign w:val="center"/>
          </w:tcPr>
          <w:p w:rsidR="00000000" w:rsidRDefault="00000000">
            <w:pPr>
              <w:spacing w:before="40" w:after="40"/>
              <w:rPr>
                <w:sz w:val="20"/>
                <w:szCs w:val="20"/>
              </w:rPr>
            </w:pPr>
            <w:r>
              <w:rPr>
                <w:sz w:val="20"/>
                <w:szCs w:val="20"/>
              </w:rPr>
              <w:t>531,49</w:t>
            </w: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b w:val="0"/>
                <w:bCs/>
                <w:sz w:val="20"/>
                <w:lang w:val="ru-RU"/>
              </w:rPr>
            </w:pPr>
            <w:r>
              <w:rPr>
                <w:b w:val="0"/>
                <w:bCs/>
                <w:sz w:val="20"/>
                <w:lang w:val="ru-RU"/>
              </w:rPr>
              <w:t>Городские районы</w:t>
            </w:r>
          </w:p>
        </w:tc>
        <w:tc>
          <w:tcPr>
            <w:tcW w:w="935" w:type="dxa"/>
            <w:vAlign w:val="center"/>
          </w:tcPr>
          <w:p w:rsidR="00000000" w:rsidRDefault="00000000">
            <w:pPr>
              <w:spacing w:before="40" w:after="40"/>
              <w:rPr>
                <w:sz w:val="20"/>
                <w:szCs w:val="20"/>
              </w:rPr>
            </w:pPr>
          </w:p>
        </w:tc>
        <w:tc>
          <w:tcPr>
            <w:tcW w:w="935" w:type="dxa"/>
            <w:vAlign w:val="center"/>
          </w:tcPr>
          <w:p w:rsidR="00000000" w:rsidRDefault="00000000">
            <w:pPr>
              <w:spacing w:before="40" w:after="40"/>
              <w:rPr>
                <w:sz w:val="20"/>
                <w:szCs w:val="20"/>
              </w:rPr>
            </w:pPr>
          </w:p>
        </w:tc>
        <w:tc>
          <w:tcPr>
            <w:tcW w:w="935" w:type="dxa"/>
            <w:vAlign w:val="center"/>
          </w:tcPr>
          <w:p w:rsidR="00000000" w:rsidRDefault="00000000">
            <w:pPr>
              <w:spacing w:before="40" w:after="40"/>
              <w:rPr>
                <w:sz w:val="20"/>
                <w:szCs w:val="20"/>
              </w:rPr>
            </w:pPr>
          </w:p>
        </w:tc>
        <w:tc>
          <w:tcPr>
            <w:tcW w:w="935" w:type="dxa"/>
            <w:vAlign w:val="center"/>
          </w:tcPr>
          <w:p w:rsidR="00000000" w:rsidRDefault="00000000">
            <w:pPr>
              <w:spacing w:before="40" w:after="40"/>
              <w:rPr>
                <w:sz w:val="20"/>
                <w:szCs w:val="20"/>
              </w:rPr>
            </w:pPr>
          </w:p>
        </w:tc>
        <w:tc>
          <w:tcPr>
            <w:tcW w:w="827" w:type="dxa"/>
            <w:vAlign w:val="center"/>
          </w:tcPr>
          <w:p w:rsidR="00000000" w:rsidRDefault="00000000">
            <w:pPr>
              <w:spacing w:before="40" w:after="40"/>
              <w:rPr>
                <w:sz w:val="20"/>
                <w:szCs w:val="20"/>
              </w:rPr>
            </w:pPr>
          </w:p>
        </w:tc>
        <w:tc>
          <w:tcPr>
            <w:tcW w:w="998" w:type="dxa"/>
            <w:vAlign w:val="center"/>
          </w:tcPr>
          <w:p w:rsidR="00000000" w:rsidRDefault="00000000">
            <w:pPr>
              <w:spacing w:before="40" w:after="40"/>
              <w:rPr>
                <w:sz w:val="20"/>
                <w:szCs w:val="20"/>
              </w:rPr>
            </w:pP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sz w:val="20"/>
                <w:lang w:val="ru-RU"/>
              </w:rPr>
            </w:pPr>
            <w:r>
              <w:rPr>
                <w:sz w:val="20"/>
                <w:lang w:val="ru-RU"/>
              </w:rPr>
              <w:t>Продовольственные товары</w:t>
            </w:r>
          </w:p>
        </w:tc>
        <w:tc>
          <w:tcPr>
            <w:tcW w:w="935" w:type="dxa"/>
            <w:vAlign w:val="center"/>
          </w:tcPr>
          <w:p w:rsidR="00000000" w:rsidRDefault="00000000">
            <w:pPr>
              <w:spacing w:before="40" w:after="40"/>
              <w:rPr>
                <w:sz w:val="20"/>
                <w:szCs w:val="20"/>
              </w:rPr>
            </w:pPr>
            <w:r>
              <w:rPr>
                <w:sz w:val="20"/>
                <w:szCs w:val="20"/>
              </w:rPr>
              <w:t>139,73</w:t>
            </w:r>
          </w:p>
        </w:tc>
        <w:tc>
          <w:tcPr>
            <w:tcW w:w="935" w:type="dxa"/>
            <w:vAlign w:val="center"/>
          </w:tcPr>
          <w:p w:rsidR="00000000" w:rsidRDefault="00000000">
            <w:pPr>
              <w:spacing w:before="40" w:after="40"/>
              <w:rPr>
                <w:sz w:val="20"/>
                <w:szCs w:val="20"/>
              </w:rPr>
            </w:pPr>
            <w:r>
              <w:rPr>
                <w:sz w:val="20"/>
                <w:szCs w:val="20"/>
              </w:rPr>
              <w:t>250,30</w:t>
            </w:r>
          </w:p>
        </w:tc>
        <w:tc>
          <w:tcPr>
            <w:tcW w:w="935" w:type="dxa"/>
            <w:vAlign w:val="center"/>
          </w:tcPr>
          <w:p w:rsidR="00000000" w:rsidRDefault="00000000">
            <w:pPr>
              <w:spacing w:before="40" w:after="40"/>
              <w:rPr>
                <w:sz w:val="20"/>
                <w:szCs w:val="20"/>
              </w:rPr>
            </w:pPr>
            <w:r>
              <w:rPr>
                <w:sz w:val="20"/>
                <w:szCs w:val="20"/>
              </w:rPr>
              <w:t>410,84</w:t>
            </w:r>
          </w:p>
        </w:tc>
        <w:tc>
          <w:tcPr>
            <w:tcW w:w="935" w:type="dxa"/>
            <w:vAlign w:val="center"/>
          </w:tcPr>
          <w:p w:rsidR="00000000" w:rsidRDefault="00000000">
            <w:pPr>
              <w:spacing w:before="40" w:after="40"/>
              <w:rPr>
                <w:sz w:val="20"/>
                <w:szCs w:val="20"/>
              </w:rPr>
            </w:pPr>
            <w:r>
              <w:rPr>
                <w:sz w:val="20"/>
                <w:szCs w:val="20"/>
              </w:rPr>
              <w:t>400,57</w:t>
            </w:r>
          </w:p>
        </w:tc>
        <w:tc>
          <w:tcPr>
            <w:tcW w:w="827" w:type="dxa"/>
            <w:vAlign w:val="center"/>
          </w:tcPr>
          <w:p w:rsidR="00000000" w:rsidRDefault="00000000">
            <w:pPr>
              <w:spacing w:before="40" w:after="40"/>
              <w:rPr>
                <w:sz w:val="20"/>
                <w:szCs w:val="20"/>
              </w:rPr>
            </w:pPr>
            <w:r>
              <w:rPr>
                <w:sz w:val="20"/>
                <w:szCs w:val="20"/>
              </w:rPr>
              <w:t>402,31</w:t>
            </w:r>
          </w:p>
        </w:tc>
        <w:tc>
          <w:tcPr>
            <w:tcW w:w="998" w:type="dxa"/>
            <w:vAlign w:val="center"/>
          </w:tcPr>
          <w:p w:rsidR="00000000" w:rsidRDefault="00000000">
            <w:pPr>
              <w:spacing w:before="40" w:after="40"/>
              <w:rPr>
                <w:sz w:val="20"/>
                <w:szCs w:val="20"/>
              </w:rPr>
            </w:pPr>
            <w:r>
              <w:rPr>
                <w:sz w:val="20"/>
                <w:szCs w:val="20"/>
              </w:rPr>
              <w:t>429,79</w:t>
            </w:r>
          </w:p>
        </w:tc>
      </w:tr>
      <w:tr w:rsidR="00000000">
        <w:tblPrEx>
          <w:tblCellMar>
            <w:top w:w="0" w:type="dxa"/>
            <w:bottom w:w="0" w:type="dxa"/>
          </w:tblCellMar>
        </w:tblPrEx>
        <w:trPr>
          <w:cantSplit/>
          <w:trHeight w:val="268"/>
          <w:jc w:val="center"/>
        </w:trPr>
        <w:tc>
          <w:tcPr>
            <w:tcW w:w="3366" w:type="dxa"/>
          </w:tcPr>
          <w:p w:rsidR="00000000" w:rsidRDefault="00000000">
            <w:pPr>
              <w:pStyle w:val="Heading2"/>
              <w:spacing w:before="40" w:after="40"/>
              <w:jc w:val="left"/>
              <w:rPr>
                <w:sz w:val="20"/>
                <w:lang w:val="ru-RU"/>
              </w:rPr>
            </w:pPr>
            <w:r>
              <w:rPr>
                <w:sz w:val="20"/>
                <w:lang w:val="ru-RU"/>
              </w:rPr>
              <w:t>Непродовольственные товары</w:t>
            </w:r>
          </w:p>
        </w:tc>
        <w:tc>
          <w:tcPr>
            <w:tcW w:w="935" w:type="dxa"/>
            <w:vAlign w:val="center"/>
          </w:tcPr>
          <w:p w:rsidR="00000000" w:rsidRDefault="00000000">
            <w:pPr>
              <w:spacing w:before="40" w:after="40"/>
              <w:rPr>
                <w:sz w:val="20"/>
                <w:szCs w:val="20"/>
              </w:rPr>
            </w:pPr>
            <w:r>
              <w:rPr>
                <w:sz w:val="20"/>
                <w:szCs w:val="20"/>
              </w:rPr>
              <w:t>110,18</w:t>
            </w:r>
          </w:p>
        </w:tc>
        <w:tc>
          <w:tcPr>
            <w:tcW w:w="935" w:type="dxa"/>
            <w:vAlign w:val="center"/>
          </w:tcPr>
          <w:p w:rsidR="00000000" w:rsidRDefault="00000000">
            <w:pPr>
              <w:spacing w:before="40" w:after="40"/>
              <w:rPr>
                <w:sz w:val="20"/>
                <w:szCs w:val="20"/>
              </w:rPr>
            </w:pPr>
            <w:r>
              <w:rPr>
                <w:sz w:val="20"/>
                <w:szCs w:val="20"/>
              </w:rPr>
              <w:t>207,70</w:t>
            </w:r>
          </w:p>
        </w:tc>
        <w:tc>
          <w:tcPr>
            <w:tcW w:w="935" w:type="dxa"/>
            <w:vAlign w:val="center"/>
          </w:tcPr>
          <w:p w:rsidR="00000000" w:rsidRDefault="00000000">
            <w:pPr>
              <w:spacing w:before="40" w:after="40"/>
              <w:rPr>
                <w:sz w:val="20"/>
                <w:szCs w:val="20"/>
              </w:rPr>
            </w:pPr>
            <w:r>
              <w:rPr>
                <w:sz w:val="20"/>
                <w:szCs w:val="20"/>
              </w:rPr>
              <w:t>444,08</w:t>
            </w:r>
          </w:p>
        </w:tc>
        <w:tc>
          <w:tcPr>
            <w:tcW w:w="935" w:type="dxa"/>
            <w:vAlign w:val="center"/>
          </w:tcPr>
          <w:p w:rsidR="00000000" w:rsidRDefault="00000000">
            <w:pPr>
              <w:spacing w:before="40" w:after="40"/>
              <w:rPr>
                <w:sz w:val="20"/>
                <w:szCs w:val="20"/>
              </w:rPr>
            </w:pPr>
            <w:r>
              <w:rPr>
                <w:sz w:val="20"/>
                <w:szCs w:val="20"/>
              </w:rPr>
              <w:t>514,01</w:t>
            </w:r>
          </w:p>
        </w:tc>
        <w:tc>
          <w:tcPr>
            <w:tcW w:w="827" w:type="dxa"/>
            <w:vAlign w:val="center"/>
          </w:tcPr>
          <w:p w:rsidR="00000000" w:rsidRDefault="00000000">
            <w:pPr>
              <w:spacing w:before="40" w:after="40"/>
              <w:rPr>
                <w:sz w:val="20"/>
                <w:szCs w:val="20"/>
              </w:rPr>
            </w:pPr>
            <w:r>
              <w:rPr>
                <w:sz w:val="20"/>
                <w:szCs w:val="20"/>
              </w:rPr>
              <w:t>530,48</w:t>
            </w:r>
          </w:p>
        </w:tc>
        <w:tc>
          <w:tcPr>
            <w:tcW w:w="998" w:type="dxa"/>
            <w:vAlign w:val="center"/>
          </w:tcPr>
          <w:p w:rsidR="00000000" w:rsidRDefault="00000000">
            <w:pPr>
              <w:spacing w:before="40" w:after="40"/>
              <w:rPr>
                <w:sz w:val="20"/>
                <w:szCs w:val="20"/>
              </w:rPr>
            </w:pPr>
            <w:r>
              <w:rPr>
                <w:sz w:val="20"/>
                <w:szCs w:val="20"/>
              </w:rPr>
              <w:t>582,18</w:t>
            </w:r>
          </w:p>
        </w:tc>
      </w:tr>
      <w:tr w:rsidR="00000000">
        <w:tblPrEx>
          <w:tblCellMar>
            <w:top w:w="0" w:type="dxa"/>
            <w:bottom w:w="0" w:type="dxa"/>
          </w:tblCellMar>
        </w:tblPrEx>
        <w:trPr>
          <w:cantSplit/>
          <w:trHeight w:val="77"/>
          <w:jc w:val="center"/>
        </w:trPr>
        <w:tc>
          <w:tcPr>
            <w:tcW w:w="3366" w:type="dxa"/>
            <w:tcBorders>
              <w:bottom w:val="single" w:sz="4" w:space="0" w:color="auto"/>
            </w:tcBorders>
          </w:tcPr>
          <w:p w:rsidR="00000000" w:rsidRDefault="00000000">
            <w:pPr>
              <w:pStyle w:val="Heading2"/>
              <w:spacing w:before="40" w:after="40"/>
              <w:jc w:val="left"/>
              <w:rPr>
                <w:sz w:val="20"/>
                <w:lang w:val="ru-RU"/>
              </w:rPr>
            </w:pPr>
            <w:r>
              <w:rPr>
                <w:sz w:val="20"/>
                <w:lang w:val="ru-RU"/>
              </w:rPr>
              <w:t>Итого</w:t>
            </w:r>
          </w:p>
        </w:tc>
        <w:tc>
          <w:tcPr>
            <w:tcW w:w="935" w:type="dxa"/>
            <w:tcBorders>
              <w:bottom w:val="single" w:sz="4" w:space="0" w:color="auto"/>
            </w:tcBorders>
            <w:vAlign w:val="center"/>
          </w:tcPr>
          <w:p w:rsidR="00000000" w:rsidRDefault="00000000">
            <w:pPr>
              <w:spacing w:before="40" w:after="40"/>
              <w:rPr>
                <w:sz w:val="20"/>
                <w:szCs w:val="20"/>
              </w:rPr>
            </w:pPr>
            <w:r>
              <w:rPr>
                <w:sz w:val="20"/>
                <w:szCs w:val="20"/>
              </w:rPr>
              <w:t>249,92</w:t>
            </w:r>
          </w:p>
        </w:tc>
        <w:tc>
          <w:tcPr>
            <w:tcW w:w="935" w:type="dxa"/>
            <w:tcBorders>
              <w:bottom w:val="single" w:sz="4" w:space="0" w:color="auto"/>
            </w:tcBorders>
            <w:vAlign w:val="center"/>
          </w:tcPr>
          <w:p w:rsidR="00000000" w:rsidRDefault="00000000">
            <w:pPr>
              <w:spacing w:before="40" w:after="40"/>
              <w:rPr>
                <w:sz w:val="20"/>
                <w:szCs w:val="20"/>
              </w:rPr>
            </w:pPr>
            <w:r>
              <w:rPr>
                <w:sz w:val="20"/>
                <w:szCs w:val="20"/>
              </w:rPr>
              <w:t>458,00</w:t>
            </w:r>
          </w:p>
        </w:tc>
        <w:tc>
          <w:tcPr>
            <w:tcW w:w="935" w:type="dxa"/>
            <w:tcBorders>
              <w:bottom w:val="single" w:sz="4" w:space="0" w:color="auto"/>
            </w:tcBorders>
            <w:vAlign w:val="center"/>
          </w:tcPr>
          <w:p w:rsidR="00000000" w:rsidRDefault="00000000">
            <w:pPr>
              <w:spacing w:before="40" w:after="40"/>
              <w:rPr>
                <w:sz w:val="20"/>
                <w:szCs w:val="20"/>
              </w:rPr>
            </w:pPr>
            <w:r>
              <w:rPr>
                <w:sz w:val="20"/>
                <w:szCs w:val="20"/>
              </w:rPr>
              <w:t>854,92</w:t>
            </w:r>
          </w:p>
        </w:tc>
        <w:tc>
          <w:tcPr>
            <w:tcW w:w="935" w:type="dxa"/>
            <w:tcBorders>
              <w:bottom w:val="single" w:sz="4" w:space="0" w:color="auto"/>
            </w:tcBorders>
            <w:vAlign w:val="center"/>
          </w:tcPr>
          <w:p w:rsidR="00000000" w:rsidRDefault="00000000">
            <w:pPr>
              <w:spacing w:before="40" w:after="40"/>
              <w:rPr>
                <w:sz w:val="20"/>
                <w:szCs w:val="20"/>
              </w:rPr>
            </w:pPr>
            <w:r>
              <w:rPr>
                <w:sz w:val="20"/>
                <w:szCs w:val="20"/>
              </w:rPr>
              <w:t>914,57</w:t>
            </w:r>
          </w:p>
        </w:tc>
        <w:tc>
          <w:tcPr>
            <w:tcW w:w="827" w:type="dxa"/>
            <w:tcBorders>
              <w:bottom w:val="single" w:sz="4" w:space="0" w:color="auto"/>
            </w:tcBorders>
            <w:vAlign w:val="center"/>
          </w:tcPr>
          <w:p w:rsidR="00000000" w:rsidRDefault="00000000">
            <w:pPr>
              <w:spacing w:before="40" w:after="40"/>
              <w:rPr>
                <w:sz w:val="20"/>
                <w:szCs w:val="20"/>
              </w:rPr>
            </w:pPr>
            <w:r>
              <w:rPr>
                <w:sz w:val="20"/>
                <w:szCs w:val="20"/>
              </w:rPr>
              <w:t>932,79</w:t>
            </w:r>
          </w:p>
        </w:tc>
        <w:tc>
          <w:tcPr>
            <w:tcW w:w="998" w:type="dxa"/>
            <w:tcBorders>
              <w:bottom w:val="single" w:sz="4" w:space="0" w:color="auto"/>
            </w:tcBorders>
            <w:vAlign w:val="center"/>
          </w:tcPr>
          <w:p w:rsidR="00000000" w:rsidRDefault="00000000">
            <w:pPr>
              <w:spacing w:before="40" w:after="40"/>
              <w:rPr>
                <w:sz w:val="20"/>
                <w:szCs w:val="20"/>
              </w:rPr>
            </w:pPr>
            <w:r>
              <w:rPr>
                <w:sz w:val="20"/>
                <w:szCs w:val="20"/>
              </w:rPr>
              <w:t>1 011,97</w:t>
            </w:r>
          </w:p>
        </w:tc>
      </w:tr>
    </w:tbl>
    <w:p w:rsidR="00000000" w:rsidRDefault="00000000">
      <w:pPr>
        <w:pStyle w:val="a3"/>
        <w:spacing w:before="120" w:after="120"/>
        <w:rPr>
          <w:lang w:val="en-US"/>
        </w:rPr>
      </w:pPr>
      <w:r>
        <w:rPr>
          <w:b/>
          <w:bCs/>
        </w:rPr>
        <w:t>Источник</w:t>
      </w:r>
      <w:r>
        <w:rPr>
          <w:b/>
          <w:bCs/>
          <w:lang w:val="en-US"/>
        </w:rPr>
        <w:t>:</w:t>
      </w:r>
      <w:r>
        <w:rPr>
          <w:lang w:val="en-US"/>
        </w:rPr>
        <w:t xml:space="preserve">  NSS Report 484, 58</w:t>
      </w:r>
      <w:r>
        <w:rPr>
          <w:vertAlign w:val="superscript"/>
          <w:lang w:val="en-US"/>
        </w:rPr>
        <w:t>th</w:t>
      </w:r>
      <w:r>
        <w:rPr>
          <w:lang w:val="en-US"/>
        </w:rPr>
        <w:t xml:space="preserve"> round.</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pStyle w:val="a3"/>
              <w:keepNext/>
              <w:keepLines/>
            </w:pPr>
            <w:r>
              <w:t>43-й цикл – июль 1987 года – июнь 1988 года</w:t>
            </w:r>
          </w:p>
        </w:tc>
        <w:tc>
          <w:tcPr>
            <w:tcW w:w="4786" w:type="dxa"/>
          </w:tcPr>
          <w:p w:rsidR="00000000" w:rsidRDefault="00000000">
            <w:pPr>
              <w:pStyle w:val="a3"/>
            </w:pPr>
            <w:r>
              <w:t>56-й цикл – июль 2000 года – июнь 2001 года</w:t>
            </w:r>
          </w:p>
        </w:tc>
      </w:tr>
      <w:tr w:rsidR="00000000">
        <w:tblPrEx>
          <w:tblCellMar>
            <w:top w:w="0" w:type="dxa"/>
            <w:bottom w:w="0" w:type="dxa"/>
          </w:tblCellMar>
        </w:tblPrEx>
        <w:tc>
          <w:tcPr>
            <w:tcW w:w="4785" w:type="dxa"/>
          </w:tcPr>
          <w:p w:rsidR="00000000" w:rsidRDefault="00000000">
            <w:pPr>
              <w:pStyle w:val="a3"/>
            </w:pPr>
            <w:r>
              <w:t>50-й цикл – июль 1993 года – июнь 1994 года</w:t>
            </w:r>
          </w:p>
        </w:tc>
        <w:tc>
          <w:tcPr>
            <w:tcW w:w="4786" w:type="dxa"/>
          </w:tcPr>
          <w:p w:rsidR="00000000" w:rsidRDefault="00000000">
            <w:pPr>
              <w:pStyle w:val="a3"/>
            </w:pPr>
            <w:r>
              <w:t>57-й цикл – июль 2001 года – июнь 2002 года</w:t>
            </w:r>
          </w:p>
        </w:tc>
      </w:tr>
      <w:tr w:rsidR="00000000">
        <w:tblPrEx>
          <w:tblCellMar>
            <w:top w:w="0" w:type="dxa"/>
            <w:bottom w:w="0" w:type="dxa"/>
          </w:tblCellMar>
        </w:tblPrEx>
        <w:tc>
          <w:tcPr>
            <w:tcW w:w="4785" w:type="dxa"/>
          </w:tcPr>
          <w:p w:rsidR="00000000" w:rsidRDefault="00000000">
            <w:pPr>
              <w:pStyle w:val="a3"/>
            </w:pPr>
            <w:r>
              <w:t>55-й цикл – июль 1999 года – июнь 2000 года</w:t>
            </w:r>
          </w:p>
        </w:tc>
        <w:tc>
          <w:tcPr>
            <w:tcW w:w="4786" w:type="dxa"/>
          </w:tcPr>
          <w:p w:rsidR="00000000" w:rsidRDefault="00000000">
            <w:pPr>
              <w:pStyle w:val="a3"/>
            </w:pPr>
            <w:r>
              <w:t>58-й цикл – июль–декабрь 2002 года</w:t>
            </w:r>
          </w:p>
        </w:tc>
      </w:tr>
    </w:tbl>
    <w:p w:rsidR="00000000" w:rsidRDefault="00000000">
      <w:pPr>
        <w:jc w:val="both"/>
        <w:rPr>
          <w:sz w:val="24"/>
        </w:rPr>
      </w:pPr>
    </w:p>
    <w:p w:rsidR="00000000" w:rsidRDefault="00000000">
      <w:pPr>
        <w:pStyle w:val="112"/>
      </w:pPr>
      <w:r>
        <w:t>349.</w:t>
      </w:r>
      <w:r>
        <w:tab/>
        <w:t>В целях оценки прогресса в развитии человеческого потенциала в стране на основе индекса физического качества жизни в соответствии с докладом ПРООН о развитии человеческого потенциала Комиссия по планированию впервые определила состояние развития человеческого потенциала в стране в Национальном докладе о развитии человеческого потенциала за 2001 год, применив используемые ПРООН показатели, которые подверглись некоторым корректировкам/</w:t>
      </w:r>
      <w:r>
        <w:br/>
        <w:t>изменениям, чтобы отразить социально-культурные условия в стране.</w:t>
      </w:r>
    </w:p>
    <w:p w:rsidR="00000000" w:rsidRDefault="00000000">
      <w:pPr>
        <w:pStyle w:val="112"/>
        <w:spacing w:after="120"/>
        <w:jc w:val="left"/>
        <w:rPr>
          <w:b/>
        </w:rPr>
      </w:pPr>
      <w:r>
        <w:rPr>
          <w:b/>
        </w:rPr>
        <w:t xml:space="preserve">Индекс развития человеческого потенциала (ИРЧП) и Индекс равенства полов (ИРП) – </w:t>
      </w:r>
      <w:r>
        <w:rPr>
          <w:b/>
        </w:rPr>
        <w:br/>
        <w:t>Ниже приводится описание отклонений от индексов ПРООН:</w:t>
      </w:r>
    </w:p>
    <w:tbl>
      <w:tblPr>
        <w:tblW w:w="9639" w:type="dxa"/>
        <w:tblLayout w:type="fixed"/>
        <w:tblCellMar>
          <w:left w:w="28" w:type="dxa"/>
          <w:right w:w="28" w:type="dxa"/>
        </w:tblCellMar>
        <w:tblLook w:val="0000" w:firstRow="0" w:lastRow="0" w:firstColumn="0" w:lastColumn="0" w:noHBand="0" w:noVBand="0"/>
      </w:tblPr>
      <w:tblGrid>
        <w:gridCol w:w="2561"/>
        <w:gridCol w:w="2981"/>
        <w:gridCol w:w="4097"/>
      </w:tblGrid>
      <w:tr w:rsidR="00000000">
        <w:tblPrEx>
          <w:tblCellMar>
            <w:top w:w="0" w:type="dxa"/>
            <w:bottom w:w="0" w:type="dxa"/>
          </w:tblCellMar>
        </w:tblPrEx>
        <w:trPr>
          <w:cantSplit/>
        </w:trPr>
        <w:tc>
          <w:tcPr>
            <w:tcW w:w="2501" w:type="dxa"/>
          </w:tcPr>
          <w:p w:rsidR="00000000" w:rsidRDefault="00000000">
            <w:pPr>
              <w:spacing w:after="120"/>
              <w:rPr>
                <w:b/>
                <w:bCs/>
                <w:sz w:val="22"/>
                <w:szCs w:val="22"/>
              </w:rPr>
            </w:pPr>
            <w:r>
              <w:rPr>
                <w:b/>
                <w:bCs/>
                <w:sz w:val="22"/>
                <w:szCs w:val="22"/>
              </w:rPr>
              <w:t>Категория</w:t>
            </w:r>
          </w:p>
        </w:tc>
        <w:tc>
          <w:tcPr>
            <w:tcW w:w="2910" w:type="dxa"/>
          </w:tcPr>
          <w:p w:rsidR="00000000" w:rsidRDefault="00000000">
            <w:pPr>
              <w:spacing w:after="120"/>
              <w:rPr>
                <w:b/>
                <w:bCs/>
                <w:sz w:val="22"/>
                <w:szCs w:val="22"/>
              </w:rPr>
            </w:pPr>
            <w:r>
              <w:rPr>
                <w:b/>
                <w:bCs/>
                <w:sz w:val="22"/>
                <w:szCs w:val="22"/>
              </w:rPr>
              <w:t>Показатели ПРООН</w:t>
            </w:r>
          </w:p>
        </w:tc>
        <w:tc>
          <w:tcPr>
            <w:tcW w:w="4000" w:type="dxa"/>
          </w:tcPr>
          <w:p w:rsidR="00000000" w:rsidRDefault="00000000">
            <w:pPr>
              <w:spacing w:after="120"/>
              <w:rPr>
                <w:b/>
                <w:bCs/>
                <w:sz w:val="22"/>
                <w:szCs w:val="22"/>
              </w:rPr>
            </w:pPr>
            <w:r>
              <w:rPr>
                <w:b/>
                <w:bCs/>
                <w:sz w:val="22"/>
                <w:szCs w:val="22"/>
              </w:rPr>
              <w:t>Показатели</w:t>
            </w:r>
            <w:r>
              <w:rPr>
                <w:rStyle w:val="111"/>
                <w:szCs w:val="22"/>
              </w:rPr>
              <w:t xml:space="preserve"> </w:t>
            </w:r>
            <w:r>
              <w:rPr>
                <w:b/>
                <w:bCs/>
                <w:sz w:val="22"/>
                <w:szCs w:val="22"/>
              </w:rPr>
              <w:t>НДРЧ</w:t>
            </w:r>
          </w:p>
        </w:tc>
      </w:tr>
      <w:tr w:rsidR="00000000">
        <w:tblPrEx>
          <w:tblCellMar>
            <w:top w:w="0" w:type="dxa"/>
            <w:bottom w:w="0" w:type="dxa"/>
          </w:tblCellMar>
        </w:tblPrEx>
        <w:trPr>
          <w:cantSplit/>
        </w:trPr>
        <w:tc>
          <w:tcPr>
            <w:tcW w:w="2501" w:type="dxa"/>
          </w:tcPr>
          <w:p w:rsidR="00000000" w:rsidRDefault="00000000">
            <w:pPr>
              <w:spacing w:after="120"/>
              <w:rPr>
                <w:sz w:val="22"/>
                <w:szCs w:val="22"/>
              </w:rPr>
            </w:pPr>
            <w:r>
              <w:rPr>
                <w:sz w:val="22"/>
                <w:szCs w:val="22"/>
              </w:rPr>
              <w:t>Продолжительность жизни</w:t>
            </w:r>
          </w:p>
        </w:tc>
        <w:tc>
          <w:tcPr>
            <w:tcW w:w="2910" w:type="dxa"/>
          </w:tcPr>
          <w:p w:rsidR="00000000" w:rsidRDefault="00000000">
            <w:pPr>
              <w:spacing w:after="120"/>
              <w:rPr>
                <w:sz w:val="22"/>
                <w:szCs w:val="22"/>
              </w:rPr>
            </w:pPr>
            <w:r>
              <w:rPr>
                <w:sz w:val="22"/>
                <w:szCs w:val="22"/>
              </w:rPr>
              <w:t>Продолжительность предстоящей жизни при рождении</w:t>
            </w:r>
          </w:p>
        </w:tc>
        <w:tc>
          <w:tcPr>
            <w:tcW w:w="4000" w:type="dxa"/>
          </w:tcPr>
          <w:p w:rsidR="00000000" w:rsidRDefault="00000000">
            <w:pPr>
              <w:spacing w:after="120"/>
              <w:rPr>
                <w:sz w:val="22"/>
                <w:szCs w:val="22"/>
              </w:rPr>
            </w:pPr>
            <w:r>
              <w:rPr>
                <w:sz w:val="22"/>
                <w:szCs w:val="22"/>
              </w:rPr>
              <w:t xml:space="preserve">Продолжительность предстоящей жизни </w:t>
            </w:r>
            <w:r>
              <w:rPr>
                <w:sz w:val="22"/>
                <w:szCs w:val="22"/>
              </w:rPr>
              <w:br/>
              <w:t>в возрасте одного года и коэффициент детской смертности</w:t>
            </w:r>
          </w:p>
        </w:tc>
      </w:tr>
      <w:tr w:rsidR="00000000">
        <w:tblPrEx>
          <w:tblCellMar>
            <w:top w:w="0" w:type="dxa"/>
            <w:bottom w:w="0" w:type="dxa"/>
          </w:tblCellMar>
        </w:tblPrEx>
        <w:trPr>
          <w:cantSplit/>
        </w:trPr>
        <w:tc>
          <w:tcPr>
            <w:tcW w:w="2501" w:type="dxa"/>
          </w:tcPr>
          <w:p w:rsidR="00000000" w:rsidRDefault="00000000">
            <w:pPr>
              <w:spacing w:after="120"/>
              <w:rPr>
                <w:sz w:val="22"/>
                <w:szCs w:val="22"/>
              </w:rPr>
            </w:pPr>
            <w:r>
              <w:rPr>
                <w:sz w:val="22"/>
                <w:szCs w:val="22"/>
              </w:rPr>
              <w:t>Уровень образования</w:t>
            </w:r>
          </w:p>
        </w:tc>
        <w:tc>
          <w:tcPr>
            <w:tcW w:w="2910" w:type="dxa"/>
          </w:tcPr>
          <w:p w:rsidR="00000000" w:rsidRDefault="00000000">
            <w:pPr>
              <w:spacing w:after="120"/>
              <w:rPr>
                <w:sz w:val="22"/>
                <w:szCs w:val="22"/>
              </w:rPr>
            </w:pPr>
            <w:r>
              <w:rPr>
                <w:sz w:val="22"/>
                <w:szCs w:val="22"/>
              </w:rPr>
              <w:t>Уровень грамотности взрослого населения в сочетании с коэффициентом охвата школьным образованием</w:t>
            </w:r>
          </w:p>
        </w:tc>
        <w:tc>
          <w:tcPr>
            <w:tcW w:w="4000" w:type="dxa"/>
          </w:tcPr>
          <w:p w:rsidR="00000000" w:rsidRDefault="00000000">
            <w:pPr>
              <w:spacing w:after="120"/>
              <w:rPr>
                <w:sz w:val="22"/>
                <w:szCs w:val="22"/>
              </w:rPr>
            </w:pPr>
            <w:r>
              <w:rPr>
                <w:sz w:val="22"/>
                <w:szCs w:val="22"/>
              </w:rPr>
              <w:t>Уровень грамотности населения в возрасте старше 7 лет и интенсивность формального образования</w:t>
            </w:r>
          </w:p>
        </w:tc>
      </w:tr>
      <w:tr w:rsidR="00000000">
        <w:tblPrEx>
          <w:tblCellMar>
            <w:top w:w="0" w:type="dxa"/>
            <w:bottom w:w="0" w:type="dxa"/>
          </w:tblCellMar>
        </w:tblPrEx>
        <w:trPr>
          <w:cantSplit/>
        </w:trPr>
        <w:tc>
          <w:tcPr>
            <w:tcW w:w="2501" w:type="dxa"/>
          </w:tcPr>
          <w:p w:rsidR="00000000" w:rsidRDefault="00000000">
            <w:pPr>
              <w:spacing w:after="120"/>
              <w:rPr>
                <w:sz w:val="22"/>
                <w:szCs w:val="22"/>
              </w:rPr>
            </w:pPr>
            <w:r>
              <w:rPr>
                <w:sz w:val="22"/>
                <w:szCs w:val="22"/>
              </w:rPr>
              <w:t>Уровень экономического развития</w:t>
            </w:r>
          </w:p>
        </w:tc>
        <w:tc>
          <w:tcPr>
            <w:tcW w:w="2910" w:type="dxa"/>
          </w:tcPr>
          <w:p w:rsidR="00000000" w:rsidRDefault="00000000">
            <w:pPr>
              <w:spacing w:after="120"/>
              <w:rPr>
                <w:sz w:val="22"/>
                <w:szCs w:val="22"/>
              </w:rPr>
            </w:pPr>
            <w:r>
              <w:rPr>
                <w:sz w:val="22"/>
                <w:szCs w:val="22"/>
              </w:rPr>
              <w:t>Реальный ВВП на душу населения по паритету покупательной способности в долл. США</w:t>
            </w:r>
          </w:p>
        </w:tc>
        <w:tc>
          <w:tcPr>
            <w:tcW w:w="4000" w:type="dxa"/>
          </w:tcPr>
          <w:p w:rsidR="00000000" w:rsidRDefault="00000000">
            <w:pPr>
              <w:spacing w:after="120"/>
              <w:rPr>
                <w:sz w:val="22"/>
                <w:szCs w:val="22"/>
              </w:rPr>
            </w:pPr>
            <w:r>
              <w:rPr>
                <w:sz w:val="22"/>
                <w:szCs w:val="22"/>
              </w:rPr>
              <w:t>Реальные потребительские расходы на душу населения с поправкой на уровень неравенства;  доля работающих в общей численности населения  (индекс равенства полов)</w:t>
            </w:r>
          </w:p>
        </w:tc>
      </w:tr>
    </w:tbl>
    <w:p w:rsidR="00000000" w:rsidRDefault="00000000">
      <w:pPr>
        <w:pStyle w:val="112"/>
        <w:rPr>
          <w:rStyle w:val="111"/>
        </w:rPr>
      </w:pPr>
      <w:r>
        <w:rPr>
          <w:rStyle w:val="111"/>
        </w:rPr>
        <w:t>350.</w:t>
      </w:r>
      <w:r>
        <w:rPr>
          <w:rStyle w:val="111"/>
        </w:rPr>
        <w:tab/>
        <w:t>Доклад свидетельствует о том, что как в сельских, так и в городских районах положение улучшилось, хотя разрыв между сельскими и городскими районами по-прежнему является весьма существенным.  Значительные различия в уровне развития человеческого потенциала наблюдаются на уровне штатов.  Индекс равенства полов, с помощью которого оцениваются показатели развития человеческого потенциала у женщин по сравнению с мужчинами, возрос весьма незначительно (с 0,620 до 0,676) в период с 1981 по 1991 год, при этом женщины, проживавшие на юге Индии, были в лучшем положении, чем женщины, жившие в Индо-Гангской низменности.  В целом показатель развития человеческого потенциала, оцениваемый с помощью индекса развития человеческого потенциала (ИРЧП), значительно возрос – с 0,302 в 1981 году до 0,472 в 2001 году</w:t>
      </w:r>
      <w:r>
        <w:rPr>
          <w:rStyle w:val="FootnoteReference"/>
        </w:rPr>
        <w:footnoteReference w:customMarkFollows="1" w:id="57"/>
        <w:t>56</w:t>
      </w:r>
      <w:r>
        <w:rPr>
          <w:rStyle w:val="111"/>
        </w:rPr>
        <w:t xml:space="preserve">. </w:t>
      </w:r>
    </w:p>
    <w:p w:rsidR="00000000" w:rsidRDefault="00000000">
      <w:pPr>
        <w:pStyle w:val="112"/>
        <w:spacing w:before="160" w:after="240"/>
        <w:rPr>
          <w:b/>
          <w:bCs/>
        </w:rPr>
      </w:pPr>
      <w:r>
        <w:rPr>
          <w:b/>
          <w:bCs/>
        </w:rPr>
        <w:t>Индекс развития человеческого потенциала в Индии – по некоторым крупным штатам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08"/>
        <w:gridCol w:w="2310"/>
        <w:gridCol w:w="2310"/>
        <w:gridCol w:w="2311"/>
      </w:tblGrid>
      <w:tr w:rsidR="00000000">
        <w:tblPrEx>
          <w:tblCellMar>
            <w:top w:w="0" w:type="dxa"/>
            <w:bottom w:w="0" w:type="dxa"/>
          </w:tblCellMar>
        </w:tblPrEx>
        <w:trPr>
          <w:cantSplit/>
          <w:jc w:val="center"/>
        </w:trPr>
        <w:tc>
          <w:tcPr>
            <w:tcW w:w="2645" w:type="dxa"/>
            <w:vAlign w:val="center"/>
          </w:tcPr>
          <w:p w:rsidR="00000000" w:rsidRDefault="00000000">
            <w:pPr>
              <w:spacing w:before="40" w:after="40"/>
              <w:rPr>
                <w:b/>
                <w:bCs/>
                <w:sz w:val="20"/>
                <w:szCs w:val="20"/>
              </w:rPr>
            </w:pPr>
            <w:r>
              <w:rPr>
                <w:b/>
                <w:bCs/>
                <w:sz w:val="20"/>
                <w:szCs w:val="20"/>
              </w:rPr>
              <w:t>Штаты/</w:t>
            </w:r>
            <w:r>
              <w:rPr>
                <w:b/>
                <w:bCs/>
                <w:sz w:val="20"/>
                <w:szCs w:val="20"/>
              </w:rPr>
              <w:br/>
              <w:t>союзные территории</w:t>
            </w:r>
          </w:p>
        </w:tc>
        <w:tc>
          <w:tcPr>
            <w:tcW w:w="2255" w:type="dxa"/>
            <w:vAlign w:val="center"/>
          </w:tcPr>
          <w:p w:rsidR="00000000" w:rsidRDefault="00000000">
            <w:pPr>
              <w:spacing w:before="40" w:after="40"/>
              <w:jc w:val="center"/>
              <w:rPr>
                <w:b/>
                <w:bCs/>
                <w:sz w:val="20"/>
                <w:szCs w:val="20"/>
              </w:rPr>
            </w:pPr>
            <w:r>
              <w:rPr>
                <w:b/>
                <w:bCs/>
                <w:sz w:val="20"/>
                <w:szCs w:val="20"/>
              </w:rPr>
              <w:t>Показатель</w:t>
            </w:r>
            <w:r>
              <w:rPr>
                <w:b/>
                <w:bCs/>
                <w:sz w:val="20"/>
                <w:szCs w:val="20"/>
              </w:rPr>
              <w:br/>
              <w:t>1981</w:t>
            </w:r>
            <w:r>
              <w:rPr>
                <w:b/>
                <w:bCs/>
                <w:sz w:val="20"/>
                <w:szCs w:val="20"/>
                <w:lang w:val="en-US"/>
              </w:rPr>
              <w:t> </w:t>
            </w:r>
            <w:r>
              <w:rPr>
                <w:b/>
                <w:bCs/>
                <w:sz w:val="20"/>
                <w:szCs w:val="20"/>
              </w:rPr>
              <w:t>года</w:t>
            </w:r>
          </w:p>
        </w:tc>
        <w:tc>
          <w:tcPr>
            <w:tcW w:w="2255" w:type="dxa"/>
            <w:vAlign w:val="center"/>
          </w:tcPr>
          <w:p w:rsidR="00000000" w:rsidRDefault="00000000">
            <w:pPr>
              <w:spacing w:before="40" w:after="40"/>
              <w:jc w:val="center"/>
              <w:rPr>
                <w:b/>
                <w:bCs/>
                <w:sz w:val="20"/>
                <w:szCs w:val="20"/>
              </w:rPr>
            </w:pPr>
            <w:r>
              <w:rPr>
                <w:b/>
                <w:bCs/>
                <w:sz w:val="20"/>
                <w:szCs w:val="20"/>
              </w:rPr>
              <w:t>Показатель</w:t>
            </w:r>
            <w:r>
              <w:rPr>
                <w:b/>
                <w:bCs/>
                <w:sz w:val="20"/>
                <w:szCs w:val="20"/>
              </w:rPr>
              <w:br/>
              <w:t>1991 года</w:t>
            </w:r>
          </w:p>
        </w:tc>
        <w:tc>
          <w:tcPr>
            <w:tcW w:w="2256" w:type="dxa"/>
            <w:vAlign w:val="center"/>
          </w:tcPr>
          <w:p w:rsidR="00000000" w:rsidRDefault="00000000">
            <w:pPr>
              <w:spacing w:before="40" w:after="40"/>
              <w:jc w:val="center"/>
              <w:rPr>
                <w:b/>
                <w:bCs/>
                <w:sz w:val="20"/>
                <w:szCs w:val="20"/>
              </w:rPr>
            </w:pPr>
            <w:r>
              <w:rPr>
                <w:b/>
                <w:bCs/>
                <w:sz w:val="20"/>
                <w:szCs w:val="20"/>
              </w:rPr>
              <w:t>Показатель</w:t>
            </w:r>
            <w:r>
              <w:rPr>
                <w:b/>
                <w:bCs/>
                <w:sz w:val="20"/>
                <w:szCs w:val="20"/>
              </w:rPr>
              <w:br/>
              <w:t>2001 года</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Андхра-Прадеш</w:t>
            </w:r>
          </w:p>
        </w:tc>
        <w:tc>
          <w:tcPr>
            <w:tcW w:w="2255" w:type="dxa"/>
            <w:vAlign w:val="center"/>
          </w:tcPr>
          <w:p w:rsidR="00000000" w:rsidRDefault="00000000">
            <w:pPr>
              <w:spacing w:before="40" w:after="40"/>
              <w:jc w:val="center"/>
              <w:rPr>
                <w:sz w:val="20"/>
                <w:szCs w:val="20"/>
              </w:rPr>
            </w:pPr>
            <w:r>
              <w:rPr>
                <w:sz w:val="20"/>
                <w:szCs w:val="20"/>
              </w:rPr>
              <w:t>0,298</w:t>
            </w:r>
          </w:p>
        </w:tc>
        <w:tc>
          <w:tcPr>
            <w:tcW w:w="2255" w:type="dxa"/>
            <w:vAlign w:val="center"/>
          </w:tcPr>
          <w:p w:rsidR="00000000" w:rsidRDefault="00000000">
            <w:pPr>
              <w:spacing w:before="40" w:after="40"/>
              <w:jc w:val="center"/>
              <w:rPr>
                <w:sz w:val="20"/>
                <w:szCs w:val="20"/>
              </w:rPr>
            </w:pPr>
            <w:r>
              <w:rPr>
                <w:sz w:val="20"/>
                <w:szCs w:val="20"/>
              </w:rPr>
              <w:t>0,377</w:t>
            </w:r>
          </w:p>
        </w:tc>
        <w:tc>
          <w:tcPr>
            <w:tcW w:w="2256" w:type="dxa"/>
            <w:vAlign w:val="center"/>
          </w:tcPr>
          <w:p w:rsidR="00000000" w:rsidRDefault="00000000">
            <w:pPr>
              <w:spacing w:before="40" w:after="40"/>
              <w:jc w:val="center"/>
              <w:rPr>
                <w:sz w:val="20"/>
                <w:szCs w:val="20"/>
              </w:rPr>
            </w:pPr>
            <w:r>
              <w:rPr>
                <w:sz w:val="20"/>
                <w:szCs w:val="20"/>
              </w:rPr>
              <w:t>0,416</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 xml:space="preserve">Ассам </w:t>
            </w:r>
          </w:p>
        </w:tc>
        <w:tc>
          <w:tcPr>
            <w:tcW w:w="2255" w:type="dxa"/>
            <w:vAlign w:val="center"/>
          </w:tcPr>
          <w:p w:rsidR="00000000" w:rsidRDefault="00000000">
            <w:pPr>
              <w:spacing w:before="40" w:after="40"/>
              <w:jc w:val="center"/>
              <w:rPr>
                <w:sz w:val="20"/>
                <w:szCs w:val="20"/>
              </w:rPr>
            </w:pPr>
            <w:r>
              <w:rPr>
                <w:sz w:val="20"/>
                <w:szCs w:val="20"/>
              </w:rPr>
              <w:t>0,272</w:t>
            </w:r>
          </w:p>
        </w:tc>
        <w:tc>
          <w:tcPr>
            <w:tcW w:w="2255" w:type="dxa"/>
            <w:vAlign w:val="center"/>
          </w:tcPr>
          <w:p w:rsidR="00000000" w:rsidRDefault="00000000">
            <w:pPr>
              <w:spacing w:before="40" w:after="40"/>
              <w:jc w:val="center"/>
              <w:rPr>
                <w:sz w:val="20"/>
                <w:szCs w:val="20"/>
              </w:rPr>
            </w:pPr>
            <w:r>
              <w:rPr>
                <w:sz w:val="20"/>
                <w:szCs w:val="20"/>
              </w:rPr>
              <w:t>0,348</w:t>
            </w:r>
          </w:p>
        </w:tc>
        <w:tc>
          <w:tcPr>
            <w:tcW w:w="2256" w:type="dxa"/>
            <w:vAlign w:val="center"/>
          </w:tcPr>
          <w:p w:rsidR="00000000" w:rsidRDefault="00000000">
            <w:pPr>
              <w:spacing w:before="40" w:after="40"/>
              <w:jc w:val="center"/>
              <w:rPr>
                <w:sz w:val="20"/>
                <w:szCs w:val="20"/>
              </w:rPr>
            </w:pPr>
            <w:r>
              <w:rPr>
                <w:sz w:val="20"/>
                <w:szCs w:val="20"/>
              </w:rPr>
              <w:t>0,386</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Бихар</w:t>
            </w:r>
          </w:p>
        </w:tc>
        <w:tc>
          <w:tcPr>
            <w:tcW w:w="2255" w:type="dxa"/>
            <w:vAlign w:val="center"/>
          </w:tcPr>
          <w:p w:rsidR="00000000" w:rsidRDefault="00000000">
            <w:pPr>
              <w:spacing w:before="40" w:after="40"/>
              <w:jc w:val="center"/>
              <w:rPr>
                <w:sz w:val="20"/>
                <w:szCs w:val="20"/>
              </w:rPr>
            </w:pPr>
            <w:r>
              <w:rPr>
                <w:sz w:val="20"/>
                <w:szCs w:val="20"/>
              </w:rPr>
              <w:t>0,237</w:t>
            </w:r>
          </w:p>
        </w:tc>
        <w:tc>
          <w:tcPr>
            <w:tcW w:w="2255" w:type="dxa"/>
            <w:vAlign w:val="center"/>
          </w:tcPr>
          <w:p w:rsidR="00000000" w:rsidRDefault="00000000">
            <w:pPr>
              <w:spacing w:before="40" w:after="40"/>
              <w:jc w:val="center"/>
              <w:rPr>
                <w:sz w:val="20"/>
                <w:szCs w:val="20"/>
              </w:rPr>
            </w:pPr>
            <w:r>
              <w:rPr>
                <w:sz w:val="20"/>
                <w:szCs w:val="20"/>
              </w:rPr>
              <w:t>0,308</w:t>
            </w:r>
          </w:p>
        </w:tc>
        <w:tc>
          <w:tcPr>
            <w:tcW w:w="2256" w:type="dxa"/>
            <w:vAlign w:val="center"/>
          </w:tcPr>
          <w:p w:rsidR="00000000" w:rsidRDefault="00000000">
            <w:pPr>
              <w:spacing w:before="40" w:after="40"/>
              <w:jc w:val="center"/>
              <w:rPr>
                <w:sz w:val="20"/>
                <w:szCs w:val="20"/>
              </w:rPr>
            </w:pPr>
            <w:r>
              <w:rPr>
                <w:sz w:val="20"/>
                <w:szCs w:val="20"/>
              </w:rPr>
              <w:t>0,367</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Гуджарат</w:t>
            </w:r>
          </w:p>
        </w:tc>
        <w:tc>
          <w:tcPr>
            <w:tcW w:w="2255" w:type="dxa"/>
            <w:vAlign w:val="center"/>
          </w:tcPr>
          <w:p w:rsidR="00000000" w:rsidRDefault="00000000">
            <w:pPr>
              <w:spacing w:before="40" w:after="40"/>
              <w:jc w:val="center"/>
              <w:rPr>
                <w:sz w:val="20"/>
                <w:szCs w:val="20"/>
              </w:rPr>
            </w:pPr>
            <w:r>
              <w:rPr>
                <w:sz w:val="20"/>
                <w:szCs w:val="20"/>
              </w:rPr>
              <w:t>0,360</w:t>
            </w:r>
          </w:p>
        </w:tc>
        <w:tc>
          <w:tcPr>
            <w:tcW w:w="2255" w:type="dxa"/>
            <w:vAlign w:val="center"/>
          </w:tcPr>
          <w:p w:rsidR="00000000" w:rsidRDefault="00000000">
            <w:pPr>
              <w:spacing w:before="40" w:after="40"/>
              <w:jc w:val="center"/>
              <w:rPr>
                <w:sz w:val="20"/>
                <w:szCs w:val="20"/>
              </w:rPr>
            </w:pPr>
            <w:r>
              <w:rPr>
                <w:sz w:val="20"/>
                <w:szCs w:val="20"/>
              </w:rPr>
              <w:t>0,431</w:t>
            </w:r>
          </w:p>
        </w:tc>
        <w:tc>
          <w:tcPr>
            <w:tcW w:w="2256" w:type="dxa"/>
            <w:vAlign w:val="center"/>
          </w:tcPr>
          <w:p w:rsidR="00000000" w:rsidRDefault="00000000">
            <w:pPr>
              <w:spacing w:before="40" w:after="40"/>
              <w:jc w:val="center"/>
              <w:rPr>
                <w:sz w:val="20"/>
                <w:szCs w:val="20"/>
              </w:rPr>
            </w:pPr>
            <w:r>
              <w:rPr>
                <w:sz w:val="20"/>
                <w:szCs w:val="20"/>
              </w:rPr>
              <w:t>0,479</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Харьяна</w:t>
            </w:r>
          </w:p>
        </w:tc>
        <w:tc>
          <w:tcPr>
            <w:tcW w:w="2255" w:type="dxa"/>
            <w:vAlign w:val="center"/>
          </w:tcPr>
          <w:p w:rsidR="00000000" w:rsidRDefault="00000000">
            <w:pPr>
              <w:spacing w:before="40" w:after="40"/>
              <w:jc w:val="center"/>
              <w:rPr>
                <w:sz w:val="20"/>
                <w:szCs w:val="20"/>
              </w:rPr>
            </w:pPr>
            <w:r>
              <w:rPr>
                <w:sz w:val="20"/>
                <w:szCs w:val="20"/>
              </w:rPr>
              <w:t>0,360</w:t>
            </w:r>
          </w:p>
        </w:tc>
        <w:tc>
          <w:tcPr>
            <w:tcW w:w="2255" w:type="dxa"/>
            <w:vAlign w:val="center"/>
          </w:tcPr>
          <w:p w:rsidR="00000000" w:rsidRDefault="00000000">
            <w:pPr>
              <w:spacing w:before="40" w:after="40"/>
              <w:jc w:val="center"/>
              <w:rPr>
                <w:sz w:val="20"/>
                <w:szCs w:val="20"/>
              </w:rPr>
            </w:pPr>
            <w:r>
              <w:rPr>
                <w:sz w:val="20"/>
                <w:szCs w:val="20"/>
              </w:rPr>
              <w:t>0,443</w:t>
            </w:r>
          </w:p>
        </w:tc>
        <w:tc>
          <w:tcPr>
            <w:tcW w:w="2256" w:type="dxa"/>
            <w:vAlign w:val="center"/>
          </w:tcPr>
          <w:p w:rsidR="00000000" w:rsidRDefault="00000000">
            <w:pPr>
              <w:spacing w:before="40" w:after="40"/>
              <w:jc w:val="center"/>
              <w:rPr>
                <w:sz w:val="20"/>
                <w:szCs w:val="20"/>
              </w:rPr>
            </w:pPr>
            <w:r>
              <w:rPr>
                <w:sz w:val="20"/>
                <w:szCs w:val="20"/>
              </w:rPr>
              <w:t>0,509</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Карнатака</w:t>
            </w:r>
          </w:p>
        </w:tc>
        <w:tc>
          <w:tcPr>
            <w:tcW w:w="2255" w:type="dxa"/>
            <w:vAlign w:val="center"/>
          </w:tcPr>
          <w:p w:rsidR="00000000" w:rsidRDefault="00000000">
            <w:pPr>
              <w:spacing w:before="40" w:after="40"/>
              <w:jc w:val="center"/>
              <w:rPr>
                <w:sz w:val="20"/>
                <w:szCs w:val="20"/>
              </w:rPr>
            </w:pPr>
            <w:r>
              <w:rPr>
                <w:sz w:val="20"/>
                <w:szCs w:val="20"/>
              </w:rPr>
              <w:t>0,346</w:t>
            </w:r>
          </w:p>
        </w:tc>
        <w:tc>
          <w:tcPr>
            <w:tcW w:w="2255" w:type="dxa"/>
            <w:vAlign w:val="center"/>
          </w:tcPr>
          <w:p w:rsidR="00000000" w:rsidRDefault="00000000">
            <w:pPr>
              <w:spacing w:before="40" w:after="40"/>
              <w:jc w:val="center"/>
              <w:rPr>
                <w:sz w:val="20"/>
                <w:szCs w:val="20"/>
              </w:rPr>
            </w:pPr>
            <w:r>
              <w:rPr>
                <w:sz w:val="20"/>
                <w:szCs w:val="20"/>
              </w:rPr>
              <w:t>0,412</w:t>
            </w:r>
          </w:p>
        </w:tc>
        <w:tc>
          <w:tcPr>
            <w:tcW w:w="2256" w:type="dxa"/>
            <w:vAlign w:val="center"/>
          </w:tcPr>
          <w:p w:rsidR="00000000" w:rsidRDefault="00000000">
            <w:pPr>
              <w:spacing w:before="40" w:after="40"/>
              <w:jc w:val="center"/>
              <w:rPr>
                <w:sz w:val="20"/>
                <w:szCs w:val="20"/>
              </w:rPr>
            </w:pPr>
            <w:r>
              <w:rPr>
                <w:sz w:val="20"/>
                <w:szCs w:val="20"/>
              </w:rPr>
              <w:t>0,478</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Керала</w:t>
            </w:r>
          </w:p>
        </w:tc>
        <w:tc>
          <w:tcPr>
            <w:tcW w:w="2255" w:type="dxa"/>
            <w:vAlign w:val="center"/>
          </w:tcPr>
          <w:p w:rsidR="00000000" w:rsidRDefault="00000000">
            <w:pPr>
              <w:spacing w:before="40" w:after="40"/>
              <w:jc w:val="center"/>
              <w:rPr>
                <w:sz w:val="20"/>
                <w:szCs w:val="20"/>
              </w:rPr>
            </w:pPr>
            <w:r>
              <w:rPr>
                <w:sz w:val="20"/>
                <w:szCs w:val="20"/>
              </w:rPr>
              <w:t>0,500</w:t>
            </w:r>
          </w:p>
        </w:tc>
        <w:tc>
          <w:tcPr>
            <w:tcW w:w="2255" w:type="dxa"/>
            <w:vAlign w:val="center"/>
          </w:tcPr>
          <w:p w:rsidR="00000000" w:rsidRDefault="00000000">
            <w:pPr>
              <w:spacing w:before="40" w:after="40"/>
              <w:jc w:val="center"/>
              <w:rPr>
                <w:sz w:val="20"/>
                <w:szCs w:val="20"/>
              </w:rPr>
            </w:pPr>
            <w:r>
              <w:rPr>
                <w:sz w:val="20"/>
                <w:szCs w:val="20"/>
              </w:rPr>
              <w:t>0,591</w:t>
            </w:r>
          </w:p>
        </w:tc>
        <w:tc>
          <w:tcPr>
            <w:tcW w:w="2256" w:type="dxa"/>
            <w:vAlign w:val="center"/>
          </w:tcPr>
          <w:p w:rsidR="00000000" w:rsidRDefault="00000000">
            <w:pPr>
              <w:spacing w:before="40" w:after="40"/>
              <w:jc w:val="center"/>
              <w:rPr>
                <w:sz w:val="20"/>
                <w:szCs w:val="20"/>
              </w:rPr>
            </w:pPr>
            <w:r>
              <w:rPr>
                <w:sz w:val="20"/>
                <w:szCs w:val="20"/>
              </w:rPr>
              <w:t>0,638</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Мадхья-Прадеш</w:t>
            </w:r>
          </w:p>
        </w:tc>
        <w:tc>
          <w:tcPr>
            <w:tcW w:w="2255" w:type="dxa"/>
            <w:vAlign w:val="center"/>
          </w:tcPr>
          <w:p w:rsidR="00000000" w:rsidRDefault="00000000">
            <w:pPr>
              <w:spacing w:before="40" w:after="40"/>
              <w:jc w:val="center"/>
              <w:rPr>
                <w:sz w:val="20"/>
                <w:szCs w:val="20"/>
              </w:rPr>
            </w:pPr>
            <w:r>
              <w:rPr>
                <w:sz w:val="20"/>
                <w:szCs w:val="20"/>
              </w:rPr>
              <w:t>0,245</w:t>
            </w:r>
          </w:p>
        </w:tc>
        <w:tc>
          <w:tcPr>
            <w:tcW w:w="2255" w:type="dxa"/>
            <w:vAlign w:val="center"/>
          </w:tcPr>
          <w:p w:rsidR="00000000" w:rsidRDefault="00000000">
            <w:pPr>
              <w:spacing w:before="40" w:after="40"/>
              <w:jc w:val="center"/>
              <w:rPr>
                <w:sz w:val="20"/>
                <w:szCs w:val="20"/>
              </w:rPr>
            </w:pPr>
            <w:r>
              <w:rPr>
                <w:sz w:val="20"/>
                <w:szCs w:val="20"/>
              </w:rPr>
              <w:t>0,328</w:t>
            </w:r>
          </w:p>
        </w:tc>
        <w:tc>
          <w:tcPr>
            <w:tcW w:w="2256" w:type="dxa"/>
            <w:vAlign w:val="center"/>
          </w:tcPr>
          <w:p w:rsidR="00000000" w:rsidRDefault="00000000">
            <w:pPr>
              <w:spacing w:before="40" w:after="40"/>
              <w:jc w:val="center"/>
              <w:rPr>
                <w:sz w:val="20"/>
                <w:szCs w:val="20"/>
              </w:rPr>
            </w:pPr>
            <w:r>
              <w:rPr>
                <w:sz w:val="20"/>
                <w:szCs w:val="20"/>
              </w:rPr>
              <w:t>0,394</w:t>
            </w:r>
          </w:p>
        </w:tc>
      </w:tr>
      <w:tr w:rsidR="00000000">
        <w:tblPrEx>
          <w:tblCellMar>
            <w:top w:w="0" w:type="dxa"/>
            <w:bottom w:w="0" w:type="dxa"/>
          </w:tblCellMar>
        </w:tblPrEx>
        <w:trPr>
          <w:cantSplit/>
          <w:jc w:val="center"/>
        </w:trPr>
        <w:tc>
          <w:tcPr>
            <w:tcW w:w="2645" w:type="dxa"/>
            <w:vAlign w:val="center"/>
          </w:tcPr>
          <w:p w:rsidR="00000000" w:rsidRDefault="00000000">
            <w:pPr>
              <w:pStyle w:val="Style"/>
              <w:widowControl/>
              <w:autoSpaceDE/>
              <w:autoSpaceDN/>
              <w:adjustRightInd/>
              <w:spacing w:before="40" w:after="40"/>
              <w:rPr>
                <w:rStyle w:val="111"/>
                <w:sz w:val="20"/>
                <w:szCs w:val="20"/>
                <w:lang w:val="ru-RU" w:eastAsia="ru-RU"/>
              </w:rPr>
            </w:pPr>
            <w:r>
              <w:rPr>
                <w:rStyle w:val="111"/>
                <w:sz w:val="20"/>
                <w:szCs w:val="20"/>
                <w:lang w:val="ru-RU" w:eastAsia="ru-RU"/>
              </w:rPr>
              <w:t>Орисса</w:t>
            </w:r>
          </w:p>
        </w:tc>
        <w:tc>
          <w:tcPr>
            <w:tcW w:w="2255" w:type="dxa"/>
            <w:vAlign w:val="center"/>
          </w:tcPr>
          <w:p w:rsidR="00000000" w:rsidRDefault="00000000">
            <w:pPr>
              <w:pageBreakBefore/>
              <w:spacing w:before="40" w:after="40"/>
              <w:jc w:val="center"/>
              <w:rPr>
                <w:sz w:val="20"/>
                <w:szCs w:val="20"/>
              </w:rPr>
            </w:pPr>
            <w:r>
              <w:rPr>
                <w:sz w:val="20"/>
                <w:szCs w:val="20"/>
              </w:rPr>
              <w:t>0,267</w:t>
            </w:r>
          </w:p>
        </w:tc>
        <w:tc>
          <w:tcPr>
            <w:tcW w:w="2255" w:type="dxa"/>
            <w:vAlign w:val="center"/>
          </w:tcPr>
          <w:p w:rsidR="00000000" w:rsidRDefault="00000000">
            <w:pPr>
              <w:pageBreakBefore/>
              <w:spacing w:before="40" w:after="40"/>
              <w:jc w:val="center"/>
              <w:rPr>
                <w:sz w:val="20"/>
                <w:szCs w:val="20"/>
              </w:rPr>
            </w:pPr>
            <w:r>
              <w:rPr>
                <w:sz w:val="20"/>
                <w:szCs w:val="20"/>
              </w:rPr>
              <w:t>0,345</w:t>
            </w:r>
          </w:p>
        </w:tc>
        <w:tc>
          <w:tcPr>
            <w:tcW w:w="2256" w:type="dxa"/>
            <w:vAlign w:val="center"/>
          </w:tcPr>
          <w:p w:rsidR="00000000" w:rsidRDefault="00000000">
            <w:pPr>
              <w:pageBreakBefore/>
              <w:spacing w:before="40" w:after="40"/>
              <w:jc w:val="center"/>
              <w:rPr>
                <w:sz w:val="20"/>
                <w:szCs w:val="20"/>
              </w:rPr>
            </w:pPr>
            <w:r>
              <w:rPr>
                <w:sz w:val="20"/>
                <w:szCs w:val="20"/>
              </w:rPr>
              <w:t>0,404</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Пенджаб</w:t>
            </w:r>
          </w:p>
        </w:tc>
        <w:tc>
          <w:tcPr>
            <w:tcW w:w="2255" w:type="dxa"/>
            <w:vAlign w:val="center"/>
          </w:tcPr>
          <w:p w:rsidR="00000000" w:rsidRDefault="00000000">
            <w:pPr>
              <w:spacing w:before="40" w:after="40"/>
              <w:jc w:val="center"/>
              <w:rPr>
                <w:sz w:val="20"/>
                <w:szCs w:val="20"/>
              </w:rPr>
            </w:pPr>
            <w:r>
              <w:rPr>
                <w:sz w:val="20"/>
                <w:szCs w:val="20"/>
              </w:rPr>
              <w:t>0,411</w:t>
            </w:r>
          </w:p>
        </w:tc>
        <w:tc>
          <w:tcPr>
            <w:tcW w:w="2255" w:type="dxa"/>
            <w:vAlign w:val="center"/>
          </w:tcPr>
          <w:p w:rsidR="00000000" w:rsidRDefault="00000000">
            <w:pPr>
              <w:spacing w:before="40" w:after="40"/>
              <w:jc w:val="center"/>
              <w:rPr>
                <w:sz w:val="20"/>
                <w:szCs w:val="20"/>
              </w:rPr>
            </w:pPr>
            <w:r>
              <w:rPr>
                <w:sz w:val="20"/>
                <w:szCs w:val="20"/>
              </w:rPr>
              <w:t>0,475</w:t>
            </w:r>
          </w:p>
        </w:tc>
        <w:tc>
          <w:tcPr>
            <w:tcW w:w="2256" w:type="dxa"/>
            <w:vAlign w:val="center"/>
          </w:tcPr>
          <w:p w:rsidR="00000000" w:rsidRDefault="00000000">
            <w:pPr>
              <w:spacing w:before="40" w:after="40"/>
              <w:jc w:val="center"/>
              <w:rPr>
                <w:sz w:val="20"/>
                <w:szCs w:val="20"/>
              </w:rPr>
            </w:pPr>
            <w:r>
              <w:rPr>
                <w:sz w:val="20"/>
                <w:szCs w:val="20"/>
              </w:rPr>
              <w:t>0,537</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Раджастхан</w:t>
            </w:r>
          </w:p>
        </w:tc>
        <w:tc>
          <w:tcPr>
            <w:tcW w:w="2255" w:type="dxa"/>
            <w:vAlign w:val="center"/>
          </w:tcPr>
          <w:p w:rsidR="00000000" w:rsidRDefault="00000000">
            <w:pPr>
              <w:spacing w:before="40" w:after="40"/>
              <w:jc w:val="center"/>
              <w:rPr>
                <w:sz w:val="20"/>
                <w:szCs w:val="20"/>
              </w:rPr>
            </w:pPr>
            <w:r>
              <w:rPr>
                <w:sz w:val="20"/>
                <w:szCs w:val="20"/>
              </w:rPr>
              <w:t>0,256</w:t>
            </w:r>
          </w:p>
        </w:tc>
        <w:tc>
          <w:tcPr>
            <w:tcW w:w="2255" w:type="dxa"/>
            <w:vAlign w:val="center"/>
          </w:tcPr>
          <w:p w:rsidR="00000000" w:rsidRDefault="00000000">
            <w:pPr>
              <w:spacing w:before="40" w:after="40"/>
              <w:jc w:val="center"/>
              <w:rPr>
                <w:sz w:val="20"/>
                <w:szCs w:val="20"/>
              </w:rPr>
            </w:pPr>
            <w:r>
              <w:rPr>
                <w:sz w:val="20"/>
                <w:szCs w:val="20"/>
              </w:rPr>
              <w:t>0,347</w:t>
            </w:r>
          </w:p>
        </w:tc>
        <w:tc>
          <w:tcPr>
            <w:tcW w:w="2256" w:type="dxa"/>
            <w:vAlign w:val="center"/>
          </w:tcPr>
          <w:p w:rsidR="00000000" w:rsidRDefault="00000000">
            <w:pPr>
              <w:spacing w:before="40" w:after="40"/>
              <w:jc w:val="center"/>
              <w:rPr>
                <w:sz w:val="20"/>
                <w:szCs w:val="20"/>
              </w:rPr>
            </w:pPr>
            <w:r>
              <w:rPr>
                <w:sz w:val="20"/>
                <w:szCs w:val="20"/>
              </w:rPr>
              <w:t>0,424</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Тамилнад</w:t>
            </w:r>
          </w:p>
        </w:tc>
        <w:tc>
          <w:tcPr>
            <w:tcW w:w="2255" w:type="dxa"/>
            <w:vAlign w:val="center"/>
          </w:tcPr>
          <w:p w:rsidR="00000000" w:rsidRDefault="00000000">
            <w:pPr>
              <w:spacing w:before="40" w:after="40"/>
              <w:jc w:val="center"/>
              <w:rPr>
                <w:sz w:val="20"/>
                <w:szCs w:val="20"/>
              </w:rPr>
            </w:pPr>
            <w:r>
              <w:rPr>
                <w:sz w:val="20"/>
                <w:szCs w:val="20"/>
              </w:rPr>
              <w:t>0,343</w:t>
            </w:r>
          </w:p>
        </w:tc>
        <w:tc>
          <w:tcPr>
            <w:tcW w:w="2255" w:type="dxa"/>
            <w:vAlign w:val="center"/>
          </w:tcPr>
          <w:p w:rsidR="00000000" w:rsidRDefault="00000000">
            <w:pPr>
              <w:spacing w:before="40" w:after="40"/>
              <w:jc w:val="center"/>
              <w:rPr>
                <w:sz w:val="20"/>
                <w:szCs w:val="20"/>
              </w:rPr>
            </w:pPr>
            <w:r>
              <w:rPr>
                <w:sz w:val="20"/>
                <w:szCs w:val="20"/>
              </w:rPr>
              <w:t>0,466</w:t>
            </w:r>
          </w:p>
        </w:tc>
        <w:tc>
          <w:tcPr>
            <w:tcW w:w="2256" w:type="dxa"/>
            <w:vAlign w:val="center"/>
          </w:tcPr>
          <w:p w:rsidR="00000000" w:rsidRDefault="00000000">
            <w:pPr>
              <w:spacing w:before="40" w:after="40"/>
              <w:jc w:val="center"/>
              <w:rPr>
                <w:sz w:val="20"/>
                <w:szCs w:val="20"/>
              </w:rPr>
            </w:pPr>
            <w:r>
              <w:rPr>
                <w:sz w:val="20"/>
                <w:szCs w:val="20"/>
              </w:rPr>
              <w:t>0,531</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 xml:space="preserve">Уттар-Прадеш </w:t>
            </w:r>
          </w:p>
        </w:tc>
        <w:tc>
          <w:tcPr>
            <w:tcW w:w="2255" w:type="dxa"/>
            <w:vAlign w:val="center"/>
          </w:tcPr>
          <w:p w:rsidR="00000000" w:rsidRDefault="00000000">
            <w:pPr>
              <w:spacing w:before="40" w:after="40"/>
              <w:jc w:val="center"/>
              <w:rPr>
                <w:sz w:val="20"/>
                <w:szCs w:val="20"/>
              </w:rPr>
            </w:pPr>
            <w:r>
              <w:rPr>
                <w:sz w:val="20"/>
                <w:szCs w:val="20"/>
              </w:rPr>
              <w:t>0,255</w:t>
            </w:r>
          </w:p>
        </w:tc>
        <w:tc>
          <w:tcPr>
            <w:tcW w:w="2255" w:type="dxa"/>
            <w:vAlign w:val="center"/>
          </w:tcPr>
          <w:p w:rsidR="00000000" w:rsidRDefault="00000000">
            <w:pPr>
              <w:spacing w:before="40" w:after="40"/>
              <w:jc w:val="center"/>
              <w:rPr>
                <w:sz w:val="20"/>
                <w:szCs w:val="20"/>
              </w:rPr>
            </w:pPr>
            <w:r>
              <w:rPr>
                <w:sz w:val="20"/>
                <w:szCs w:val="20"/>
              </w:rPr>
              <w:t>0,314</w:t>
            </w:r>
          </w:p>
        </w:tc>
        <w:tc>
          <w:tcPr>
            <w:tcW w:w="2256" w:type="dxa"/>
            <w:vAlign w:val="center"/>
          </w:tcPr>
          <w:p w:rsidR="00000000" w:rsidRDefault="00000000">
            <w:pPr>
              <w:spacing w:before="40" w:after="40"/>
              <w:jc w:val="center"/>
              <w:rPr>
                <w:sz w:val="20"/>
                <w:szCs w:val="20"/>
              </w:rPr>
            </w:pPr>
            <w:r>
              <w:rPr>
                <w:sz w:val="20"/>
                <w:szCs w:val="20"/>
              </w:rPr>
              <w:t>0,388</w:t>
            </w:r>
          </w:p>
        </w:tc>
      </w:tr>
      <w:tr w:rsidR="00000000">
        <w:tblPrEx>
          <w:tblCellMar>
            <w:top w:w="0" w:type="dxa"/>
            <w:bottom w:w="0" w:type="dxa"/>
          </w:tblCellMar>
        </w:tblPrEx>
        <w:trPr>
          <w:cantSplit/>
          <w:jc w:val="center"/>
        </w:trPr>
        <w:tc>
          <w:tcPr>
            <w:tcW w:w="2645" w:type="dxa"/>
            <w:vAlign w:val="center"/>
          </w:tcPr>
          <w:p w:rsidR="00000000" w:rsidRDefault="00000000">
            <w:pPr>
              <w:spacing w:before="40" w:after="40"/>
              <w:rPr>
                <w:rStyle w:val="111"/>
                <w:sz w:val="20"/>
                <w:szCs w:val="20"/>
              </w:rPr>
            </w:pPr>
            <w:r>
              <w:rPr>
                <w:rStyle w:val="111"/>
                <w:sz w:val="20"/>
                <w:szCs w:val="20"/>
              </w:rPr>
              <w:t>Западная Бенгалия</w:t>
            </w:r>
          </w:p>
        </w:tc>
        <w:tc>
          <w:tcPr>
            <w:tcW w:w="2255" w:type="dxa"/>
            <w:vAlign w:val="center"/>
          </w:tcPr>
          <w:p w:rsidR="00000000" w:rsidRDefault="00000000">
            <w:pPr>
              <w:spacing w:before="40" w:after="40"/>
              <w:jc w:val="center"/>
              <w:rPr>
                <w:sz w:val="20"/>
                <w:szCs w:val="20"/>
              </w:rPr>
            </w:pPr>
            <w:r>
              <w:rPr>
                <w:sz w:val="20"/>
                <w:szCs w:val="20"/>
              </w:rPr>
              <w:t>0,305</w:t>
            </w:r>
          </w:p>
        </w:tc>
        <w:tc>
          <w:tcPr>
            <w:tcW w:w="2255" w:type="dxa"/>
            <w:vAlign w:val="center"/>
          </w:tcPr>
          <w:p w:rsidR="00000000" w:rsidRDefault="00000000">
            <w:pPr>
              <w:spacing w:before="40" w:after="40"/>
              <w:jc w:val="center"/>
              <w:rPr>
                <w:sz w:val="20"/>
                <w:szCs w:val="20"/>
              </w:rPr>
            </w:pPr>
            <w:r>
              <w:rPr>
                <w:sz w:val="20"/>
                <w:szCs w:val="20"/>
              </w:rPr>
              <w:t>0,404</w:t>
            </w:r>
          </w:p>
        </w:tc>
        <w:tc>
          <w:tcPr>
            <w:tcW w:w="2256" w:type="dxa"/>
            <w:vAlign w:val="center"/>
          </w:tcPr>
          <w:p w:rsidR="00000000" w:rsidRDefault="00000000">
            <w:pPr>
              <w:spacing w:before="40" w:after="40"/>
              <w:jc w:val="center"/>
              <w:rPr>
                <w:sz w:val="20"/>
                <w:szCs w:val="20"/>
              </w:rPr>
            </w:pPr>
            <w:r>
              <w:rPr>
                <w:sz w:val="20"/>
                <w:szCs w:val="20"/>
              </w:rPr>
              <w:t>0,472</w:t>
            </w:r>
          </w:p>
        </w:tc>
      </w:tr>
      <w:tr w:rsidR="00000000">
        <w:tblPrEx>
          <w:tblCellMar>
            <w:top w:w="0" w:type="dxa"/>
            <w:bottom w:w="0" w:type="dxa"/>
          </w:tblCellMar>
        </w:tblPrEx>
        <w:trPr>
          <w:cantSplit/>
          <w:jc w:val="center"/>
        </w:trPr>
        <w:tc>
          <w:tcPr>
            <w:tcW w:w="2645" w:type="dxa"/>
            <w:vAlign w:val="center"/>
          </w:tcPr>
          <w:p w:rsidR="00000000" w:rsidRDefault="00000000">
            <w:pPr>
              <w:pStyle w:val="Heading2"/>
              <w:spacing w:before="40" w:after="40"/>
              <w:jc w:val="left"/>
              <w:rPr>
                <w:sz w:val="20"/>
                <w:lang w:val="ru-RU"/>
              </w:rPr>
            </w:pPr>
            <w:r>
              <w:rPr>
                <w:sz w:val="20"/>
                <w:lang w:val="ru-RU"/>
              </w:rPr>
              <w:t>ВСЕГО ПО ИНДИИ</w:t>
            </w:r>
          </w:p>
        </w:tc>
        <w:tc>
          <w:tcPr>
            <w:tcW w:w="2255" w:type="dxa"/>
            <w:vAlign w:val="center"/>
          </w:tcPr>
          <w:p w:rsidR="00000000" w:rsidRDefault="00000000">
            <w:pPr>
              <w:spacing w:before="40" w:after="40"/>
              <w:jc w:val="center"/>
              <w:rPr>
                <w:b/>
                <w:bCs/>
                <w:sz w:val="20"/>
                <w:szCs w:val="20"/>
              </w:rPr>
            </w:pPr>
            <w:r>
              <w:rPr>
                <w:b/>
                <w:bCs/>
                <w:sz w:val="20"/>
                <w:szCs w:val="20"/>
              </w:rPr>
              <w:t>0,302</w:t>
            </w:r>
          </w:p>
        </w:tc>
        <w:tc>
          <w:tcPr>
            <w:tcW w:w="2255" w:type="dxa"/>
            <w:vAlign w:val="center"/>
          </w:tcPr>
          <w:p w:rsidR="00000000" w:rsidRDefault="00000000">
            <w:pPr>
              <w:spacing w:before="40" w:after="40"/>
              <w:jc w:val="center"/>
              <w:rPr>
                <w:b/>
                <w:bCs/>
                <w:sz w:val="20"/>
                <w:szCs w:val="20"/>
              </w:rPr>
            </w:pPr>
            <w:r>
              <w:rPr>
                <w:b/>
                <w:bCs/>
                <w:sz w:val="20"/>
                <w:szCs w:val="20"/>
              </w:rPr>
              <w:t>0,381</w:t>
            </w:r>
          </w:p>
        </w:tc>
        <w:tc>
          <w:tcPr>
            <w:tcW w:w="2256" w:type="dxa"/>
            <w:vAlign w:val="center"/>
          </w:tcPr>
          <w:p w:rsidR="00000000" w:rsidRDefault="00000000">
            <w:pPr>
              <w:spacing w:before="40" w:after="40"/>
              <w:jc w:val="center"/>
              <w:rPr>
                <w:b/>
                <w:bCs/>
                <w:sz w:val="20"/>
                <w:szCs w:val="20"/>
              </w:rPr>
            </w:pPr>
            <w:r>
              <w:rPr>
                <w:b/>
                <w:bCs/>
                <w:sz w:val="20"/>
                <w:szCs w:val="20"/>
              </w:rPr>
              <w:t>0,472</w:t>
            </w:r>
          </w:p>
        </w:tc>
      </w:tr>
    </w:tbl>
    <w:p w:rsidR="00000000" w:rsidRDefault="00000000">
      <w:pPr>
        <w:pStyle w:val="a3"/>
        <w:spacing w:before="120"/>
      </w:pPr>
      <w:r>
        <w:rPr>
          <w:b/>
          <w:bCs/>
        </w:rPr>
        <w:t>Источник:</w:t>
      </w:r>
      <w:r>
        <w:t xml:space="preserve">  Национальный доклад о развитии человеческого потенциала – 2001 год, Комиссия по планированию, правительство Индии.</w:t>
      </w:r>
    </w:p>
    <w:p w:rsidR="00000000" w:rsidRDefault="00000000">
      <w:pPr>
        <w:jc w:val="both"/>
        <w:rPr>
          <w:b/>
          <w:bCs/>
          <w:sz w:val="24"/>
        </w:rPr>
      </w:pPr>
    </w:p>
    <w:p w:rsidR="00000000" w:rsidRDefault="00000000">
      <w:pPr>
        <w:keepNext/>
        <w:jc w:val="both"/>
        <w:rPr>
          <w:b/>
          <w:bCs/>
          <w:sz w:val="22"/>
          <w:szCs w:val="22"/>
        </w:rPr>
      </w:pPr>
      <w:r>
        <w:rPr>
          <w:b/>
          <w:bCs/>
          <w:sz w:val="22"/>
          <w:szCs w:val="22"/>
        </w:rPr>
        <w:t>Продовольственная безопасность</w:t>
      </w:r>
    </w:p>
    <w:p w:rsidR="00000000" w:rsidRDefault="00000000">
      <w:pPr>
        <w:pStyle w:val="Heading4"/>
        <w:spacing w:line="240" w:lineRule="auto"/>
        <w:jc w:val="both"/>
        <w:rPr>
          <w:i w:val="0"/>
          <w:iCs/>
          <w:sz w:val="22"/>
          <w:szCs w:val="22"/>
        </w:rPr>
      </w:pPr>
    </w:p>
    <w:p w:rsidR="00000000" w:rsidRDefault="00000000">
      <w:pPr>
        <w:pStyle w:val="Heading4"/>
        <w:spacing w:before="120" w:after="360" w:line="240" w:lineRule="auto"/>
        <w:jc w:val="both"/>
        <w:rPr>
          <w:i w:val="0"/>
          <w:iCs/>
          <w:sz w:val="22"/>
          <w:szCs w:val="22"/>
        </w:rPr>
      </w:pPr>
      <w:r>
        <w:rPr>
          <w:i w:val="0"/>
          <w:iCs/>
          <w:sz w:val="22"/>
          <w:szCs w:val="22"/>
        </w:rPr>
        <w:t>Продовольственная ситуация в стране</w:t>
      </w:r>
    </w:p>
    <w:p w:rsidR="00000000" w:rsidRDefault="00000000">
      <w:pPr>
        <w:pStyle w:val="112"/>
        <w:keepNext/>
      </w:pPr>
      <w:r>
        <w:t>351.</w:t>
      </w:r>
      <w:r>
        <w:tab/>
        <w:t>Как было подробно изложено в первоначальном докладе, представленном в соответствии с Пактом, в стране были приняты различные меры в области сельского хозяйства и животноводства и осуществлены различные технические миссии, связанные с продовольственным зерном.  Работа в этом направлении продолжается и наращивается.  В результате страна сама себя обеспечивает продовольственным зерном, вышла на второе место в мире по производству овощей и фруктов и на пятое место в мире по производству яиц, при этом она является крупнейшим производителем молока в мире.  За период с 1951 года производство продовольственного зерна в стране возросло в четыре раза (394,9 г в день), если не считать некоторые незначительные колебания, вызванные неурожаями из-за муссонов, как это было в ситуации, когда потребление на душу населения незначительно снизилось с 464,1 г в день в 1993 году до порядка 436,3 г в день в 2003 году.  Потребление молока на душу населения возросло со 128 г в день в 1980–1981 годах до 226 г в день в 2002–2003 годах.</w:t>
      </w:r>
    </w:p>
    <w:p w:rsidR="00000000" w:rsidRDefault="00000000">
      <w:pPr>
        <w:jc w:val="both"/>
        <w:rPr>
          <w:b/>
          <w:bCs/>
          <w:sz w:val="24"/>
        </w:rPr>
      </w:pPr>
    </w:p>
    <w:p w:rsidR="00000000" w:rsidRDefault="00000000">
      <w:pPr>
        <w:keepNext/>
        <w:spacing w:before="120" w:after="360"/>
        <w:jc w:val="both"/>
        <w:outlineLvl w:val="3"/>
        <w:rPr>
          <w:b/>
          <w:bCs/>
          <w:sz w:val="22"/>
          <w:szCs w:val="22"/>
        </w:rPr>
      </w:pPr>
      <w:r>
        <w:rPr>
          <w:b/>
          <w:bCs/>
          <w:sz w:val="22"/>
          <w:szCs w:val="22"/>
        </w:rPr>
        <w:t>Обеспеченность продовольствием и уровень питания</w:t>
      </w:r>
    </w:p>
    <w:p w:rsidR="00000000" w:rsidRDefault="00000000">
      <w:pPr>
        <w:pStyle w:val="112"/>
        <w:keepNext/>
      </w:pPr>
      <w:r>
        <w:t>352.</w:t>
      </w:r>
      <w:r>
        <w:tab/>
        <w:t>Благодаря положительным сдвигам в производстве продовольствия Индия в последние четыре десятилетия не сталкивалась с проблемой массового голода.  Однако все эти сдвиги лишь незначительно повлияли на ситуацию, характеризующуюся хроническим голодом и недоеданием в некоторых частях страны среди некоторых слоев общества.  Наиболее уязвимыми слоями населения являются женщины (с разным уровнем дохода), дети, безземельные бедняки в сельских районах и жители лесных и горных районов.  Основные проблемы с питанием объясняются нехваткой питательных макроэлементов, в частности белково-калорийной недостаточностью и недостаточностью витамина А у детей.</w:t>
      </w:r>
    </w:p>
    <w:p w:rsidR="00000000" w:rsidRDefault="00000000">
      <w:pPr>
        <w:pStyle w:val="112"/>
        <w:rPr>
          <w:rStyle w:val="111"/>
        </w:rPr>
      </w:pPr>
      <w:r>
        <w:rPr>
          <w:rStyle w:val="111"/>
        </w:rPr>
        <w:t>353.</w:t>
      </w:r>
      <w:r>
        <w:rPr>
          <w:rStyle w:val="111"/>
        </w:rPr>
        <w:tab/>
        <w:t>Достаточный уровень питания, т. е. двухразовое питание на протяжении года, определяется по тому, как домохозяйства оценивают достаточность продовольствия.  Согласно существующим оценкам, 0,5% домохозяйств в сельских районах хронически недоедают (не получают достаточного продовольствия в течение любого отдельно взятого месяца в году), а в городских районах этот показатель составляет 0,2%. Что касается сезонного голода (неполучение достаточного продовольствия только в какие-то конкретные месяцы года), то эти показатели составляют 1,1% по сельским районам и 0,02% по городским районам</w:t>
      </w:r>
      <w:r>
        <w:rPr>
          <w:rStyle w:val="FootnoteReference"/>
        </w:rPr>
        <w:footnoteReference w:customMarkFollows="1" w:id="58"/>
        <w:t>57</w:t>
      </w:r>
      <w:r>
        <w:rPr>
          <w:rStyle w:val="111"/>
        </w:rPr>
        <w:t>.</w:t>
      </w:r>
    </w:p>
    <w:p w:rsidR="00000000" w:rsidRDefault="00000000">
      <w:pPr>
        <w:pStyle w:val="112"/>
        <w:spacing w:after="120"/>
        <w:jc w:val="left"/>
        <w:rPr>
          <w:b/>
          <w:bCs/>
        </w:rPr>
      </w:pPr>
      <w:r>
        <w:rPr>
          <w:b/>
          <w:bCs/>
        </w:rPr>
        <w:t>Обеспеченность продуктами питания по результатам последних четырех циклов национальных выборочных обследований (НВО) по всей территории Индии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0"/>
        <w:gridCol w:w="2406"/>
        <w:gridCol w:w="369"/>
        <w:gridCol w:w="2242"/>
        <w:gridCol w:w="2544"/>
        <w:gridCol w:w="68"/>
      </w:tblGrid>
      <w:tr w:rsidR="00000000">
        <w:tblPrEx>
          <w:tblCellMar>
            <w:top w:w="0" w:type="dxa"/>
            <w:bottom w:w="0" w:type="dxa"/>
          </w:tblCellMar>
        </w:tblPrEx>
        <w:trPr>
          <w:cantSplit/>
          <w:trHeight w:val="251"/>
          <w:jc w:val="center"/>
        </w:trPr>
        <w:tc>
          <w:tcPr>
            <w:tcW w:w="2010" w:type="dxa"/>
            <w:vMerge w:val="restart"/>
          </w:tcPr>
          <w:p w:rsidR="00000000" w:rsidRDefault="00000000">
            <w:pPr>
              <w:spacing w:before="40" w:after="40"/>
              <w:jc w:val="center"/>
              <w:rPr>
                <w:b/>
                <w:bCs/>
                <w:sz w:val="20"/>
                <w:szCs w:val="20"/>
              </w:rPr>
            </w:pPr>
            <w:r>
              <w:rPr>
                <w:b/>
                <w:bCs/>
                <w:sz w:val="20"/>
                <w:szCs w:val="20"/>
              </w:rPr>
              <w:t xml:space="preserve">Цикл </w:t>
            </w:r>
            <w:r>
              <w:rPr>
                <w:b/>
                <w:bCs/>
                <w:sz w:val="20"/>
                <w:szCs w:val="20"/>
              </w:rPr>
              <w:br/>
              <w:t>НВО/сектор</w:t>
            </w:r>
          </w:p>
          <w:p w:rsidR="00000000" w:rsidRDefault="00000000">
            <w:pPr>
              <w:spacing w:before="40" w:after="40"/>
              <w:jc w:val="center"/>
              <w:rPr>
                <w:b/>
                <w:bCs/>
                <w:sz w:val="20"/>
                <w:szCs w:val="20"/>
                <w:u w:val="single"/>
              </w:rPr>
            </w:pPr>
          </w:p>
        </w:tc>
        <w:tc>
          <w:tcPr>
            <w:tcW w:w="7629" w:type="dxa"/>
            <w:gridSpan w:val="5"/>
          </w:tcPr>
          <w:p w:rsidR="00000000" w:rsidRDefault="00000000">
            <w:pPr>
              <w:spacing w:before="40" w:after="40"/>
              <w:jc w:val="center"/>
              <w:rPr>
                <w:b/>
                <w:bCs/>
                <w:sz w:val="20"/>
                <w:szCs w:val="20"/>
              </w:rPr>
            </w:pPr>
            <w:r>
              <w:rPr>
                <w:b/>
                <w:bCs/>
                <w:sz w:val="20"/>
                <w:szCs w:val="20"/>
              </w:rPr>
              <w:t>На 1000 домохозяйств, получающих достаточную</w:t>
            </w:r>
            <w:r>
              <w:rPr>
                <w:b/>
                <w:bCs/>
                <w:sz w:val="20"/>
                <w:szCs w:val="20"/>
              </w:rPr>
              <w:br/>
              <w:t>суточную норму продовольствия</w:t>
            </w:r>
          </w:p>
        </w:tc>
      </w:tr>
      <w:tr w:rsidR="00000000">
        <w:tblPrEx>
          <w:tblCellMar>
            <w:top w:w="0" w:type="dxa"/>
            <w:bottom w:w="0" w:type="dxa"/>
          </w:tblCellMar>
        </w:tblPrEx>
        <w:trPr>
          <w:cantSplit/>
          <w:trHeight w:val="285"/>
          <w:jc w:val="center"/>
        </w:trPr>
        <w:tc>
          <w:tcPr>
            <w:tcW w:w="2010" w:type="dxa"/>
            <w:vMerge/>
            <w:tcBorders>
              <w:bottom w:val="single" w:sz="4" w:space="0" w:color="auto"/>
            </w:tcBorders>
          </w:tcPr>
          <w:p w:rsidR="00000000" w:rsidRDefault="00000000">
            <w:pPr>
              <w:spacing w:before="40" w:after="40"/>
              <w:jc w:val="center"/>
              <w:rPr>
                <w:b/>
                <w:bCs/>
                <w:sz w:val="20"/>
                <w:szCs w:val="20"/>
                <w:u w:val="single"/>
              </w:rPr>
            </w:pPr>
          </w:p>
        </w:tc>
        <w:tc>
          <w:tcPr>
            <w:tcW w:w="2406" w:type="dxa"/>
          </w:tcPr>
          <w:p w:rsidR="00000000" w:rsidRDefault="00000000">
            <w:pPr>
              <w:spacing w:before="40" w:after="40"/>
              <w:jc w:val="center"/>
              <w:rPr>
                <w:b/>
                <w:bCs/>
                <w:sz w:val="20"/>
                <w:szCs w:val="20"/>
              </w:rPr>
            </w:pPr>
            <w:r>
              <w:rPr>
                <w:b/>
                <w:bCs/>
                <w:sz w:val="20"/>
                <w:szCs w:val="20"/>
              </w:rPr>
              <w:t xml:space="preserve">На протяжении </w:t>
            </w:r>
            <w:r>
              <w:rPr>
                <w:b/>
                <w:bCs/>
                <w:sz w:val="20"/>
                <w:szCs w:val="20"/>
              </w:rPr>
              <w:br/>
              <w:t>всего года</w:t>
            </w:r>
          </w:p>
        </w:tc>
        <w:tc>
          <w:tcPr>
            <w:tcW w:w="2611" w:type="dxa"/>
            <w:gridSpan w:val="2"/>
          </w:tcPr>
          <w:p w:rsidR="00000000" w:rsidRDefault="00000000">
            <w:pPr>
              <w:spacing w:before="40" w:after="40"/>
              <w:jc w:val="center"/>
              <w:rPr>
                <w:b/>
                <w:bCs/>
                <w:sz w:val="20"/>
                <w:szCs w:val="20"/>
              </w:rPr>
            </w:pPr>
            <w:r>
              <w:rPr>
                <w:b/>
                <w:bCs/>
                <w:sz w:val="20"/>
                <w:szCs w:val="20"/>
              </w:rPr>
              <w:t xml:space="preserve">Только в течение </w:t>
            </w:r>
            <w:r>
              <w:rPr>
                <w:b/>
                <w:bCs/>
                <w:sz w:val="20"/>
                <w:szCs w:val="20"/>
              </w:rPr>
              <w:br/>
              <w:t>каких-то месяцев в году</w:t>
            </w:r>
          </w:p>
        </w:tc>
        <w:tc>
          <w:tcPr>
            <w:tcW w:w="2612" w:type="dxa"/>
            <w:gridSpan w:val="2"/>
          </w:tcPr>
          <w:p w:rsidR="00000000" w:rsidRDefault="00000000">
            <w:pPr>
              <w:spacing w:before="40" w:after="40"/>
              <w:jc w:val="center"/>
              <w:rPr>
                <w:b/>
                <w:bCs/>
                <w:sz w:val="20"/>
                <w:szCs w:val="20"/>
              </w:rPr>
            </w:pPr>
            <w:r>
              <w:rPr>
                <w:b/>
                <w:bCs/>
                <w:sz w:val="20"/>
                <w:szCs w:val="20"/>
              </w:rPr>
              <w:t xml:space="preserve">Ни одного месяца </w:t>
            </w:r>
            <w:r>
              <w:rPr>
                <w:b/>
                <w:bCs/>
                <w:sz w:val="20"/>
                <w:szCs w:val="20"/>
              </w:rPr>
              <w:br/>
              <w:t>в году</w:t>
            </w:r>
          </w:p>
        </w:tc>
      </w:tr>
      <w:tr w:rsidR="00000000">
        <w:tblPrEx>
          <w:tblCellMar>
            <w:top w:w="0" w:type="dxa"/>
            <w:bottom w:w="0" w:type="dxa"/>
          </w:tblCellMar>
        </w:tblPrEx>
        <w:trPr>
          <w:cantSplit/>
          <w:trHeight w:val="285"/>
          <w:jc w:val="center"/>
        </w:trPr>
        <w:tc>
          <w:tcPr>
            <w:tcW w:w="2010" w:type="dxa"/>
          </w:tcPr>
          <w:p w:rsidR="00000000" w:rsidRDefault="00000000">
            <w:pPr>
              <w:pStyle w:val="Heading2"/>
              <w:spacing w:before="40" w:after="40"/>
              <w:jc w:val="left"/>
              <w:rPr>
                <w:b w:val="0"/>
                <w:sz w:val="20"/>
                <w:u w:val="single"/>
                <w:lang w:val="ru-RU"/>
              </w:rPr>
            </w:pPr>
            <w:r>
              <w:rPr>
                <w:b w:val="0"/>
                <w:sz w:val="20"/>
                <w:u w:val="single"/>
                <w:lang w:val="ru-RU"/>
              </w:rPr>
              <w:t>Сельские районы</w:t>
            </w:r>
          </w:p>
        </w:tc>
        <w:tc>
          <w:tcPr>
            <w:tcW w:w="2406" w:type="dxa"/>
          </w:tcPr>
          <w:p w:rsidR="00000000" w:rsidRDefault="00000000">
            <w:pPr>
              <w:spacing w:before="40" w:after="40"/>
              <w:jc w:val="both"/>
              <w:rPr>
                <w:sz w:val="20"/>
                <w:szCs w:val="20"/>
              </w:rPr>
            </w:pPr>
          </w:p>
        </w:tc>
        <w:tc>
          <w:tcPr>
            <w:tcW w:w="2611" w:type="dxa"/>
            <w:gridSpan w:val="2"/>
          </w:tcPr>
          <w:p w:rsidR="00000000" w:rsidRDefault="00000000">
            <w:pPr>
              <w:spacing w:before="40" w:after="40"/>
              <w:jc w:val="both"/>
              <w:rPr>
                <w:sz w:val="20"/>
                <w:szCs w:val="20"/>
              </w:rPr>
            </w:pPr>
          </w:p>
        </w:tc>
        <w:tc>
          <w:tcPr>
            <w:tcW w:w="2612" w:type="dxa"/>
            <w:gridSpan w:val="2"/>
          </w:tcPr>
          <w:p w:rsidR="00000000" w:rsidRDefault="00000000">
            <w:pPr>
              <w:spacing w:before="40" w:after="40"/>
              <w:jc w:val="both"/>
              <w:rPr>
                <w:sz w:val="20"/>
                <w:szCs w:val="20"/>
              </w:rPr>
            </w:pPr>
          </w:p>
        </w:tc>
      </w:tr>
      <w:tr w:rsidR="00000000">
        <w:tblPrEx>
          <w:tblCellMar>
            <w:top w:w="0" w:type="dxa"/>
            <w:bottom w:w="0" w:type="dxa"/>
          </w:tblCellMar>
        </w:tblPrEx>
        <w:trPr>
          <w:cantSplit/>
          <w:trHeight w:val="285"/>
          <w:jc w:val="center"/>
        </w:trPr>
        <w:tc>
          <w:tcPr>
            <w:tcW w:w="2010" w:type="dxa"/>
          </w:tcPr>
          <w:p w:rsidR="00000000" w:rsidRDefault="00000000">
            <w:pPr>
              <w:spacing w:before="40" w:after="40"/>
              <w:jc w:val="both"/>
              <w:rPr>
                <w:sz w:val="20"/>
                <w:szCs w:val="20"/>
              </w:rPr>
            </w:pPr>
            <w:r>
              <w:rPr>
                <w:sz w:val="20"/>
                <w:szCs w:val="20"/>
              </w:rPr>
              <w:t>58</w:t>
            </w:r>
          </w:p>
        </w:tc>
        <w:tc>
          <w:tcPr>
            <w:tcW w:w="2406" w:type="dxa"/>
          </w:tcPr>
          <w:p w:rsidR="00000000" w:rsidRDefault="00000000">
            <w:pPr>
              <w:spacing w:before="40" w:after="40"/>
              <w:jc w:val="center"/>
              <w:rPr>
                <w:sz w:val="20"/>
                <w:szCs w:val="20"/>
              </w:rPr>
            </w:pPr>
            <w:r>
              <w:rPr>
                <w:sz w:val="20"/>
                <w:szCs w:val="20"/>
              </w:rPr>
              <w:t>984</w:t>
            </w:r>
          </w:p>
        </w:tc>
        <w:tc>
          <w:tcPr>
            <w:tcW w:w="2611" w:type="dxa"/>
            <w:gridSpan w:val="2"/>
          </w:tcPr>
          <w:p w:rsidR="00000000" w:rsidRDefault="00000000">
            <w:pPr>
              <w:tabs>
                <w:tab w:val="decimal" w:pos="1247"/>
              </w:tabs>
              <w:spacing w:before="40" w:after="40"/>
              <w:jc w:val="both"/>
              <w:rPr>
                <w:sz w:val="20"/>
                <w:szCs w:val="20"/>
              </w:rPr>
            </w:pPr>
            <w:r>
              <w:rPr>
                <w:sz w:val="20"/>
                <w:szCs w:val="20"/>
              </w:rPr>
              <w:t>11</w:t>
            </w:r>
          </w:p>
        </w:tc>
        <w:tc>
          <w:tcPr>
            <w:tcW w:w="2612" w:type="dxa"/>
            <w:gridSpan w:val="2"/>
          </w:tcPr>
          <w:p w:rsidR="00000000" w:rsidRDefault="00000000">
            <w:pPr>
              <w:tabs>
                <w:tab w:val="decimal" w:pos="1247"/>
              </w:tabs>
              <w:spacing w:before="40" w:after="40"/>
              <w:jc w:val="both"/>
              <w:rPr>
                <w:sz w:val="20"/>
                <w:szCs w:val="20"/>
              </w:rPr>
            </w:pPr>
            <w:r>
              <w:rPr>
                <w:sz w:val="20"/>
                <w:szCs w:val="20"/>
              </w:rPr>
              <w:t>5</w:t>
            </w:r>
          </w:p>
        </w:tc>
      </w:tr>
      <w:tr w:rsidR="00000000">
        <w:tblPrEx>
          <w:tblCellMar>
            <w:top w:w="0" w:type="dxa"/>
            <w:bottom w:w="0" w:type="dxa"/>
          </w:tblCellMar>
        </w:tblPrEx>
        <w:trPr>
          <w:cantSplit/>
          <w:trHeight w:val="285"/>
          <w:jc w:val="center"/>
        </w:trPr>
        <w:tc>
          <w:tcPr>
            <w:tcW w:w="2010" w:type="dxa"/>
          </w:tcPr>
          <w:p w:rsidR="00000000" w:rsidRDefault="00000000">
            <w:pPr>
              <w:spacing w:before="40" w:after="40"/>
              <w:jc w:val="both"/>
              <w:rPr>
                <w:sz w:val="20"/>
                <w:szCs w:val="20"/>
              </w:rPr>
            </w:pPr>
            <w:r>
              <w:rPr>
                <w:sz w:val="20"/>
                <w:szCs w:val="20"/>
              </w:rPr>
              <w:t>57</w:t>
            </w:r>
          </w:p>
        </w:tc>
        <w:tc>
          <w:tcPr>
            <w:tcW w:w="2406" w:type="dxa"/>
          </w:tcPr>
          <w:p w:rsidR="00000000" w:rsidRDefault="00000000">
            <w:pPr>
              <w:spacing w:before="40" w:after="40"/>
              <w:jc w:val="center"/>
              <w:rPr>
                <w:sz w:val="20"/>
                <w:szCs w:val="20"/>
              </w:rPr>
            </w:pPr>
            <w:r>
              <w:rPr>
                <w:sz w:val="20"/>
                <w:szCs w:val="20"/>
              </w:rPr>
              <w:t>979</w:t>
            </w:r>
          </w:p>
        </w:tc>
        <w:tc>
          <w:tcPr>
            <w:tcW w:w="2611" w:type="dxa"/>
            <w:gridSpan w:val="2"/>
          </w:tcPr>
          <w:p w:rsidR="00000000" w:rsidRDefault="00000000">
            <w:pPr>
              <w:tabs>
                <w:tab w:val="decimal" w:pos="1247"/>
              </w:tabs>
              <w:spacing w:before="40" w:after="40"/>
              <w:jc w:val="both"/>
              <w:rPr>
                <w:sz w:val="20"/>
                <w:szCs w:val="20"/>
              </w:rPr>
            </w:pPr>
            <w:r>
              <w:rPr>
                <w:sz w:val="20"/>
                <w:szCs w:val="20"/>
              </w:rPr>
              <w:t>16</w:t>
            </w:r>
          </w:p>
        </w:tc>
        <w:tc>
          <w:tcPr>
            <w:tcW w:w="2612" w:type="dxa"/>
            <w:gridSpan w:val="2"/>
          </w:tcPr>
          <w:p w:rsidR="00000000" w:rsidRDefault="00000000">
            <w:pPr>
              <w:tabs>
                <w:tab w:val="decimal" w:pos="1247"/>
              </w:tabs>
              <w:spacing w:before="40" w:after="40"/>
              <w:jc w:val="both"/>
              <w:rPr>
                <w:sz w:val="20"/>
                <w:szCs w:val="20"/>
              </w:rPr>
            </w:pPr>
            <w:r>
              <w:rPr>
                <w:sz w:val="20"/>
                <w:szCs w:val="20"/>
              </w:rPr>
              <w:t>5</w:t>
            </w:r>
          </w:p>
        </w:tc>
      </w:tr>
      <w:tr w:rsidR="00000000">
        <w:tblPrEx>
          <w:tblCellMar>
            <w:top w:w="0" w:type="dxa"/>
            <w:bottom w:w="0" w:type="dxa"/>
          </w:tblCellMar>
        </w:tblPrEx>
        <w:trPr>
          <w:cantSplit/>
          <w:trHeight w:val="285"/>
          <w:jc w:val="center"/>
        </w:trPr>
        <w:tc>
          <w:tcPr>
            <w:tcW w:w="2010" w:type="dxa"/>
          </w:tcPr>
          <w:p w:rsidR="00000000" w:rsidRDefault="00000000">
            <w:pPr>
              <w:spacing w:before="40" w:after="40"/>
              <w:jc w:val="both"/>
              <w:rPr>
                <w:sz w:val="20"/>
                <w:szCs w:val="20"/>
              </w:rPr>
            </w:pPr>
            <w:r>
              <w:rPr>
                <w:sz w:val="20"/>
                <w:szCs w:val="20"/>
              </w:rPr>
              <w:t>56</w:t>
            </w:r>
          </w:p>
        </w:tc>
        <w:tc>
          <w:tcPr>
            <w:tcW w:w="2406" w:type="dxa"/>
          </w:tcPr>
          <w:p w:rsidR="00000000" w:rsidRDefault="00000000">
            <w:pPr>
              <w:spacing w:before="40" w:after="40"/>
              <w:jc w:val="center"/>
              <w:rPr>
                <w:sz w:val="20"/>
                <w:szCs w:val="20"/>
              </w:rPr>
            </w:pPr>
            <w:r>
              <w:rPr>
                <w:sz w:val="20"/>
                <w:szCs w:val="20"/>
              </w:rPr>
              <w:t>975</w:t>
            </w:r>
          </w:p>
        </w:tc>
        <w:tc>
          <w:tcPr>
            <w:tcW w:w="2611" w:type="dxa"/>
            <w:gridSpan w:val="2"/>
          </w:tcPr>
          <w:p w:rsidR="00000000" w:rsidRDefault="00000000">
            <w:pPr>
              <w:tabs>
                <w:tab w:val="decimal" w:pos="1247"/>
              </w:tabs>
              <w:spacing w:before="40" w:after="40"/>
              <w:jc w:val="both"/>
              <w:rPr>
                <w:sz w:val="20"/>
                <w:szCs w:val="20"/>
              </w:rPr>
            </w:pPr>
            <w:r>
              <w:rPr>
                <w:sz w:val="20"/>
                <w:szCs w:val="20"/>
              </w:rPr>
              <w:t>19</w:t>
            </w:r>
          </w:p>
        </w:tc>
        <w:tc>
          <w:tcPr>
            <w:tcW w:w="2612" w:type="dxa"/>
            <w:gridSpan w:val="2"/>
          </w:tcPr>
          <w:p w:rsidR="00000000" w:rsidRDefault="00000000">
            <w:pPr>
              <w:tabs>
                <w:tab w:val="decimal" w:pos="1247"/>
              </w:tabs>
              <w:spacing w:before="40" w:after="40"/>
              <w:jc w:val="both"/>
              <w:rPr>
                <w:sz w:val="20"/>
                <w:szCs w:val="20"/>
              </w:rPr>
            </w:pPr>
            <w:r>
              <w:rPr>
                <w:sz w:val="20"/>
                <w:szCs w:val="20"/>
              </w:rPr>
              <w:t>6</w:t>
            </w:r>
          </w:p>
        </w:tc>
      </w:tr>
      <w:tr w:rsidR="00000000">
        <w:tblPrEx>
          <w:tblCellMar>
            <w:top w:w="0" w:type="dxa"/>
            <w:bottom w:w="0" w:type="dxa"/>
          </w:tblCellMar>
        </w:tblPrEx>
        <w:trPr>
          <w:cantSplit/>
          <w:trHeight w:val="285"/>
          <w:jc w:val="center"/>
        </w:trPr>
        <w:tc>
          <w:tcPr>
            <w:tcW w:w="2010" w:type="dxa"/>
          </w:tcPr>
          <w:p w:rsidR="00000000" w:rsidRDefault="00000000">
            <w:pPr>
              <w:spacing w:before="40" w:after="40"/>
              <w:jc w:val="both"/>
              <w:rPr>
                <w:sz w:val="20"/>
                <w:szCs w:val="20"/>
              </w:rPr>
            </w:pPr>
            <w:r>
              <w:rPr>
                <w:sz w:val="20"/>
                <w:szCs w:val="20"/>
              </w:rPr>
              <w:t>55</w:t>
            </w:r>
          </w:p>
        </w:tc>
        <w:tc>
          <w:tcPr>
            <w:tcW w:w="2406" w:type="dxa"/>
          </w:tcPr>
          <w:p w:rsidR="00000000" w:rsidRDefault="00000000">
            <w:pPr>
              <w:spacing w:before="40" w:after="40"/>
              <w:jc w:val="center"/>
              <w:rPr>
                <w:sz w:val="20"/>
                <w:szCs w:val="20"/>
              </w:rPr>
            </w:pPr>
            <w:r>
              <w:rPr>
                <w:sz w:val="20"/>
                <w:szCs w:val="20"/>
              </w:rPr>
              <w:t>962</w:t>
            </w:r>
          </w:p>
        </w:tc>
        <w:tc>
          <w:tcPr>
            <w:tcW w:w="2611" w:type="dxa"/>
            <w:gridSpan w:val="2"/>
          </w:tcPr>
          <w:p w:rsidR="00000000" w:rsidRDefault="00000000">
            <w:pPr>
              <w:tabs>
                <w:tab w:val="decimal" w:pos="1247"/>
              </w:tabs>
              <w:spacing w:before="40" w:after="40"/>
              <w:jc w:val="both"/>
              <w:rPr>
                <w:sz w:val="20"/>
                <w:szCs w:val="20"/>
              </w:rPr>
            </w:pPr>
            <w:r>
              <w:rPr>
                <w:sz w:val="20"/>
                <w:szCs w:val="20"/>
              </w:rPr>
              <w:t>26</w:t>
            </w:r>
          </w:p>
        </w:tc>
        <w:tc>
          <w:tcPr>
            <w:tcW w:w="2612" w:type="dxa"/>
            <w:gridSpan w:val="2"/>
          </w:tcPr>
          <w:p w:rsidR="00000000" w:rsidRDefault="00000000">
            <w:pPr>
              <w:tabs>
                <w:tab w:val="decimal" w:pos="1247"/>
              </w:tabs>
              <w:spacing w:before="40" w:after="40"/>
              <w:jc w:val="both"/>
              <w:rPr>
                <w:sz w:val="20"/>
                <w:szCs w:val="20"/>
              </w:rPr>
            </w:pPr>
            <w:r>
              <w:rPr>
                <w:sz w:val="20"/>
                <w:szCs w:val="20"/>
              </w:rPr>
              <w:t>12</w:t>
            </w:r>
          </w:p>
        </w:tc>
      </w:tr>
      <w:tr w:rsidR="00000000">
        <w:tblPrEx>
          <w:tblCellMar>
            <w:top w:w="0" w:type="dxa"/>
            <w:bottom w:w="0" w:type="dxa"/>
          </w:tblCellMar>
        </w:tblPrEx>
        <w:trPr>
          <w:cantSplit/>
          <w:trHeight w:val="285"/>
          <w:jc w:val="center"/>
        </w:trPr>
        <w:tc>
          <w:tcPr>
            <w:tcW w:w="2010" w:type="dxa"/>
          </w:tcPr>
          <w:p w:rsidR="00000000" w:rsidRDefault="00000000">
            <w:pPr>
              <w:pStyle w:val="Heading2"/>
              <w:spacing w:before="40" w:after="40"/>
              <w:jc w:val="left"/>
              <w:rPr>
                <w:b w:val="0"/>
                <w:sz w:val="20"/>
                <w:u w:val="single"/>
                <w:lang w:val="ru-RU"/>
              </w:rPr>
            </w:pPr>
            <w:r>
              <w:rPr>
                <w:b w:val="0"/>
                <w:sz w:val="20"/>
                <w:u w:val="single"/>
                <w:lang w:val="ru-RU"/>
              </w:rPr>
              <w:t>Городские районы</w:t>
            </w:r>
          </w:p>
        </w:tc>
        <w:tc>
          <w:tcPr>
            <w:tcW w:w="2406" w:type="dxa"/>
          </w:tcPr>
          <w:p w:rsidR="00000000" w:rsidRDefault="00000000">
            <w:pPr>
              <w:spacing w:before="40" w:after="40"/>
              <w:jc w:val="center"/>
              <w:rPr>
                <w:sz w:val="20"/>
                <w:szCs w:val="20"/>
              </w:rPr>
            </w:pPr>
          </w:p>
        </w:tc>
        <w:tc>
          <w:tcPr>
            <w:tcW w:w="2611" w:type="dxa"/>
            <w:gridSpan w:val="2"/>
          </w:tcPr>
          <w:p w:rsidR="00000000" w:rsidRDefault="00000000">
            <w:pPr>
              <w:tabs>
                <w:tab w:val="decimal" w:pos="1247"/>
              </w:tabs>
              <w:spacing w:before="40" w:after="40"/>
              <w:jc w:val="both"/>
              <w:rPr>
                <w:sz w:val="20"/>
                <w:szCs w:val="20"/>
              </w:rPr>
            </w:pPr>
          </w:p>
        </w:tc>
        <w:tc>
          <w:tcPr>
            <w:tcW w:w="2612" w:type="dxa"/>
            <w:gridSpan w:val="2"/>
          </w:tcPr>
          <w:p w:rsidR="00000000" w:rsidRDefault="00000000">
            <w:pPr>
              <w:tabs>
                <w:tab w:val="decimal" w:pos="1247"/>
              </w:tabs>
              <w:spacing w:before="40" w:after="40"/>
              <w:jc w:val="both"/>
              <w:rPr>
                <w:sz w:val="20"/>
                <w:szCs w:val="20"/>
              </w:rPr>
            </w:pPr>
          </w:p>
        </w:tc>
      </w:tr>
      <w:tr w:rsidR="00000000">
        <w:tblPrEx>
          <w:tblCellMar>
            <w:top w:w="0" w:type="dxa"/>
            <w:bottom w:w="0" w:type="dxa"/>
          </w:tblCellMar>
        </w:tblPrEx>
        <w:trPr>
          <w:cantSplit/>
          <w:trHeight w:val="285"/>
          <w:jc w:val="center"/>
        </w:trPr>
        <w:tc>
          <w:tcPr>
            <w:tcW w:w="2010" w:type="dxa"/>
          </w:tcPr>
          <w:p w:rsidR="00000000" w:rsidRDefault="00000000">
            <w:pPr>
              <w:pStyle w:val="Heading2"/>
              <w:spacing w:before="40" w:after="40"/>
              <w:jc w:val="left"/>
              <w:rPr>
                <w:b w:val="0"/>
                <w:iCs/>
                <w:sz w:val="20"/>
                <w:lang w:val="ru-RU"/>
              </w:rPr>
            </w:pPr>
            <w:r>
              <w:rPr>
                <w:b w:val="0"/>
                <w:iCs/>
                <w:sz w:val="20"/>
                <w:lang w:val="ru-RU"/>
              </w:rPr>
              <w:t>58</w:t>
            </w:r>
          </w:p>
        </w:tc>
        <w:tc>
          <w:tcPr>
            <w:tcW w:w="2406" w:type="dxa"/>
          </w:tcPr>
          <w:p w:rsidR="00000000" w:rsidRDefault="00000000">
            <w:pPr>
              <w:spacing w:before="40" w:after="40"/>
              <w:jc w:val="center"/>
              <w:rPr>
                <w:sz w:val="20"/>
                <w:szCs w:val="20"/>
              </w:rPr>
            </w:pPr>
            <w:r>
              <w:rPr>
                <w:sz w:val="20"/>
                <w:szCs w:val="20"/>
              </w:rPr>
              <w:t>996</w:t>
            </w:r>
          </w:p>
        </w:tc>
        <w:tc>
          <w:tcPr>
            <w:tcW w:w="2611" w:type="dxa"/>
            <w:gridSpan w:val="2"/>
          </w:tcPr>
          <w:p w:rsidR="00000000" w:rsidRDefault="00000000">
            <w:pPr>
              <w:tabs>
                <w:tab w:val="decimal" w:pos="1247"/>
              </w:tabs>
              <w:spacing w:before="40" w:after="40"/>
              <w:jc w:val="both"/>
              <w:rPr>
                <w:sz w:val="20"/>
                <w:szCs w:val="20"/>
              </w:rPr>
            </w:pPr>
            <w:r>
              <w:rPr>
                <w:sz w:val="20"/>
                <w:szCs w:val="20"/>
              </w:rPr>
              <w:t>2</w:t>
            </w:r>
          </w:p>
        </w:tc>
        <w:tc>
          <w:tcPr>
            <w:tcW w:w="2612" w:type="dxa"/>
            <w:gridSpan w:val="2"/>
          </w:tcPr>
          <w:p w:rsidR="00000000" w:rsidRDefault="00000000">
            <w:pPr>
              <w:tabs>
                <w:tab w:val="decimal" w:pos="1247"/>
              </w:tabs>
              <w:spacing w:before="40" w:after="40"/>
              <w:jc w:val="both"/>
              <w:rPr>
                <w:sz w:val="20"/>
                <w:szCs w:val="20"/>
              </w:rPr>
            </w:pPr>
            <w:r>
              <w:rPr>
                <w:sz w:val="20"/>
                <w:szCs w:val="20"/>
              </w:rPr>
              <w:t>2</w:t>
            </w:r>
          </w:p>
        </w:tc>
      </w:tr>
      <w:tr w:rsidR="00000000">
        <w:tblPrEx>
          <w:tblCellMar>
            <w:top w:w="0" w:type="dxa"/>
            <w:bottom w:w="0" w:type="dxa"/>
          </w:tblCellMar>
        </w:tblPrEx>
        <w:trPr>
          <w:cantSplit/>
          <w:trHeight w:val="285"/>
          <w:jc w:val="center"/>
        </w:trPr>
        <w:tc>
          <w:tcPr>
            <w:tcW w:w="2010" w:type="dxa"/>
          </w:tcPr>
          <w:p w:rsidR="00000000" w:rsidRDefault="00000000">
            <w:pPr>
              <w:pStyle w:val="Heading2"/>
              <w:spacing w:before="40" w:after="40"/>
              <w:jc w:val="left"/>
              <w:rPr>
                <w:b w:val="0"/>
                <w:iCs/>
                <w:sz w:val="20"/>
                <w:lang w:val="ru-RU"/>
              </w:rPr>
            </w:pPr>
            <w:r>
              <w:rPr>
                <w:b w:val="0"/>
                <w:iCs/>
                <w:sz w:val="20"/>
                <w:lang w:val="ru-RU"/>
              </w:rPr>
              <w:t>57</w:t>
            </w:r>
          </w:p>
        </w:tc>
        <w:tc>
          <w:tcPr>
            <w:tcW w:w="2406" w:type="dxa"/>
          </w:tcPr>
          <w:p w:rsidR="00000000" w:rsidRDefault="00000000">
            <w:pPr>
              <w:spacing w:before="40" w:after="40"/>
              <w:jc w:val="center"/>
              <w:rPr>
                <w:sz w:val="20"/>
                <w:szCs w:val="20"/>
              </w:rPr>
            </w:pPr>
            <w:r>
              <w:rPr>
                <w:sz w:val="20"/>
                <w:szCs w:val="20"/>
              </w:rPr>
              <w:t>996</w:t>
            </w:r>
          </w:p>
        </w:tc>
        <w:tc>
          <w:tcPr>
            <w:tcW w:w="2611" w:type="dxa"/>
            <w:gridSpan w:val="2"/>
          </w:tcPr>
          <w:p w:rsidR="00000000" w:rsidRDefault="00000000">
            <w:pPr>
              <w:tabs>
                <w:tab w:val="decimal" w:pos="1247"/>
              </w:tabs>
              <w:spacing w:before="40" w:after="40"/>
              <w:jc w:val="both"/>
              <w:rPr>
                <w:sz w:val="20"/>
                <w:szCs w:val="20"/>
              </w:rPr>
            </w:pPr>
            <w:r>
              <w:rPr>
                <w:sz w:val="20"/>
                <w:szCs w:val="20"/>
              </w:rPr>
              <w:t>3</w:t>
            </w:r>
          </w:p>
        </w:tc>
        <w:tc>
          <w:tcPr>
            <w:tcW w:w="2612" w:type="dxa"/>
            <w:gridSpan w:val="2"/>
          </w:tcPr>
          <w:p w:rsidR="00000000" w:rsidRDefault="00000000">
            <w:pPr>
              <w:tabs>
                <w:tab w:val="decimal" w:pos="1247"/>
              </w:tabs>
              <w:spacing w:before="40" w:after="40"/>
              <w:jc w:val="both"/>
              <w:rPr>
                <w:sz w:val="20"/>
                <w:szCs w:val="20"/>
              </w:rPr>
            </w:pPr>
            <w:r>
              <w:rPr>
                <w:sz w:val="20"/>
                <w:szCs w:val="20"/>
              </w:rPr>
              <w:t>1</w:t>
            </w:r>
          </w:p>
        </w:tc>
      </w:tr>
      <w:tr w:rsidR="00000000">
        <w:tblPrEx>
          <w:tblCellMar>
            <w:top w:w="0" w:type="dxa"/>
            <w:bottom w:w="0" w:type="dxa"/>
          </w:tblCellMar>
        </w:tblPrEx>
        <w:trPr>
          <w:cantSplit/>
          <w:trHeight w:val="285"/>
          <w:jc w:val="center"/>
        </w:trPr>
        <w:tc>
          <w:tcPr>
            <w:tcW w:w="2010" w:type="dxa"/>
          </w:tcPr>
          <w:p w:rsidR="00000000" w:rsidRDefault="00000000">
            <w:pPr>
              <w:pStyle w:val="Heading2"/>
              <w:spacing w:before="40" w:after="40"/>
              <w:jc w:val="left"/>
              <w:rPr>
                <w:b w:val="0"/>
                <w:iCs/>
                <w:sz w:val="20"/>
                <w:lang w:val="ru-RU"/>
              </w:rPr>
            </w:pPr>
            <w:r>
              <w:rPr>
                <w:b w:val="0"/>
                <w:iCs/>
                <w:sz w:val="20"/>
                <w:lang w:val="ru-RU"/>
              </w:rPr>
              <w:t>56</w:t>
            </w:r>
          </w:p>
        </w:tc>
        <w:tc>
          <w:tcPr>
            <w:tcW w:w="2406" w:type="dxa"/>
          </w:tcPr>
          <w:p w:rsidR="00000000" w:rsidRDefault="00000000">
            <w:pPr>
              <w:spacing w:before="40" w:after="40"/>
              <w:jc w:val="center"/>
              <w:rPr>
                <w:sz w:val="20"/>
                <w:szCs w:val="20"/>
              </w:rPr>
            </w:pPr>
            <w:r>
              <w:rPr>
                <w:sz w:val="20"/>
                <w:szCs w:val="20"/>
              </w:rPr>
              <w:t>993</w:t>
            </w:r>
          </w:p>
        </w:tc>
        <w:tc>
          <w:tcPr>
            <w:tcW w:w="2611" w:type="dxa"/>
            <w:gridSpan w:val="2"/>
          </w:tcPr>
          <w:p w:rsidR="00000000" w:rsidRDefault="00000000">
            <w:pPr>
              <w:tabs>
                <w:tab w:val="decimal" w:pos="1247"/>
              </w:tabs>
              <w:spacing w:before="40" w:after="40"/>
              <w:jc w:val="both"/>
              <w:rPr>
                <w:sz w:val="20"/>
                <w:szCs w:val="20"/>
              </w:rPr>
            </w:pPr>
            <w:r>
              <w:rPr>
                <w:sz w:val="20"/>
                <w:szCs w:val="20"/>
              </w:rPr>
              <w:t>4</w:t>
            </w:r>
          </w:p>
        </w:tc>
        <w:tc>
          <w:tcPr>
            <w:tcW w:w="2612" w:type="dxa"/>
            <w:gridSpan w:val="2"/>
          </w:tcPr>
          <w:p w:rsidR="00000000" w:rsidRDefault="00000000">
            <w:pPr>
              <w:tabs>
                <w:tab w:val="decimal" w:pos="1247"/>
              </w:tabs>
              <w:spacing w:before="40" w:after="40"/>
              <w:jc w:val="both"/>
              <w:rPr>
                <w:sz w:val="20"/>
                <w:szCs w:val="20"/>
              </w:rPr>
            </w:pPr>
            <w:r>
              <w:rPr>
                <w:sz w:val="20"/>
                <w:szCs w:val="20"/>
              </w:rPr>
              <w:t>2</w:t>
            </w:r>
          </w:p>
        </w:tc>
      </w:tr>
      <w:tr w:rsidR="00000000">
        <w:tblPrEx>
          <w:tblCellMar>
            <w:top w:w="0" w:type="dxa"/>
            <w:bottom w:w="0" w:type="dxa"/>
          </w:tblCellMar>
        </w:tblPrEx>
        <w:trPr>
          <w:cantSplit/>
          <w:trHeight w:val="285"/>
          <w:jc w:val="center"/>
        </w:trPr>
        <w:tc>
          <w:tcPr>
            <w:tcW w:w="2010" w:type="dxa"/>
            <w:tcBorders>
              <w:bottom w:val="single" w:sz="4" w:space="0" w:color="auto"/>
            </w:tcBorders>
          </w:tcPr>
          <w:p w:rsidR="00000000" w:rsidRDefault="00000000">
            <w:pPr>
              <w:pStyle w:val="Heading2"/>
              <w:spacing w:before="40" w:after="40"/>
              <w:jc w:val="left"/>
              <w:rPr>
                <w:b w:val="0"/>
                <w:iCs/>
                <w:sz w:val="20"/>
                <w:lang w:val="ru-RU"/>
              </w:rPr>
            </w:pPr>
            <w:r>
              <w:rPr>
                <w:b w:val="0"/>
                <w:iCs/>
                <w:sz w:val="20"/>
                <w:lang w:val="ru-RU"/>
              </w:rPr>
              <w:t>55</w:t>
            </w:r>
          </w:p>
        </w:tc>
        <w:tc>
          <w:tcPr>
            <w:tcW w:w="2406" w:type="dxa"/>
            <w:tcBorders>
              <w:bottom w:val="single" w:sz="4" w:space="0" w:color="auto"/>
            </w:tcBorders>
          </w:tcPr>
          <w:p w:rsidR="00000000" w:rsidRDefault="00000000">
            <w:pPr>
              <w:spacing w:before="40" w:after="40"/>
              <w:jc w:val="center"/>
              <w:rPr>
                <w:sz w:val="20"/>
                <w:szCs w:val="20"/>
              </w:rPr>
            </w:pPr>
            <w:r>
              <w:rPr>
                <w:sz w:val="20"/>
                <w:szCs w:val="20"/>
              </w:rPr>
              <w:t>987</w:t>
            </w:r>
          </w:p>
        </w:tc>
        <w:tc>
          <w:tcPr>
            <w:tcW w:w="2611" w:type="dxa"/>
            <w:gridSpan w:val="2"/>
            <w:tcBorders>
              <w:bottom w:val="single" w:sz="4" w:space="0" w:color="auto"/>
            </w:tcBorders>
          </w:tcPr>
          <w:p w:rsidR="00000000" w:rsidRDefault="00000000">
            <w:pPr>
              <w:tabs>
                <w:tab w:val="decimal" w:pos="1247"/>
              </w:tabs>
              <w:spacing w:before="40" w:after="40"/>
              <w:jc w:val="both"/>
              <w:rPr>
                <w:sz w:val="20"/>
                <w:szCs w:val="20"/>
              </w:rPr>
            </w:pPr>
            <w:r>
              <w:rPr>
                <w:sz w:val="20"/>
                <w:szCs w:val="20"/>
              </w:rPr>
              <w:t>6</w:t>
            </w:r>
          </w:p>
        </w:tc>
        <w:tc>
          <w:tcPr>
            <w:tcW w:w="2612" w:type="dxa"/>
            <w:gridSpan w:val="2"/>
            <w:tcBorders>
              <w:bottom w:val="single" w:sz="4" w:space="0" w:color="auto"/>
            </w:tcBorders>
          </w:tcPr>
          <w:p w:rsidR="00000000" w:rsidRDefault="00000000">
            <w:pPr>
              <w:tabs>
                <w:tab w:val="decimal" w:pos="1247"/>
              </w:tabs>
              <w:spacing w:before="40" w:after="40"/>
              <w:jc w:val="both"/>
              <w:rPr>
                <w:sz w:val="20"/>
                <w:szCs w:val="20"/>
              </w:rPr>
            </w:pPr>
            <w:r>
              <w:rPr>
                <w:sz w:val="20"/>
                <w:szCs w:val="20"/>
              </w:rPr>
              <w:t>7</w:t>
            </w:r>
          </w:p>
        </w:tc>
      </w:tr>
      <w:tr w:rsidR="0000000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68" w:type="dxa"/>
        </w:trPr>
        <w:tc>
          <w:tcPr>
            <w:tcW w:w="4785" w:type="dxa"/>
            <w:gridSpan w:val="3"/>
          </w:tcPr>
          <w:p w:rsidR="00000000" w:rsidRDefault="00000000">
            <w:pPr>
              <w:pStyle w:val="a3"/>
              <w:spacing w:before="120"/>
            </w:pPr>
            <w:r>
              <w:t>55-й цикл – июль 1999 года – июнь 2000 года</w:t>
            </w:r>
          </w:p>
        </w:tc>
        <w:tc>
          <w:tcPr>
            <w:tcW w:w="4786" w:type="dxa"/>
            <w:gridSpan w:val="2"/>
          </w:tcPr>
          <w:p w:rsidR="00000000" w:rsidRDefault="00000000">
            <w:pPr>
              <w:pStyle w:val="a3"/>
              <w:spacing w:before="120"/>
            </w:pPr>
            <w:r>
              <w:t>56-й цикл – июль 2000 года – июнь 2001 года</w:t>
            </w:r>
          </w:p>
        </w:tc>
      </w:tr>
      <w:tr w:rsidR="0000000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68" w:type="dxa"/>
        </w:trPr>
        <w:tc>
          <w:tcPr>
            <w:tcW w:w="4785" w:type="dxa"/>
            <w:gridSpan w:val="3"/>
          </w:tcPr>
          <w:p w:rsidR="00000000" w:rsidRDefault="00000000">
            <w:pPr>
              <w:pStyle w:val="a3"/>
            </w:pPr>
            <w:r>
              <w:t>57-й цикл – июль 2001 года – июнь 2002 года</w:t>
            </w:r>
          </w:p>
        </w:tc>
        <w:tc>
          <w:tcPr>
            <w:tcW w:w="4786" w:type="dxa"/>
            <w:gridSpan w:val="2"/>
          </w:tcPr>
          <w:p w:rsidR="00000000" w:rsidRDefault="00000000">
            <w:pPr>
              <w:pStyle w:val="a3"/>
            </w:pPr>
            <w:r>
              <w:t>58-й цикл – июль 2002 года – декабрь 2002 года</w:t>
            </w:r>
          </w:p>
        </w:tc>
      </w:tr>
    </w:tbl>
    <w:p w:rsidR="00000000" w:rsidRDefault="00000000">
      <w:pPr>
        <w:pStyle w:val="112"/>
        <w:spacing w:before="360"/>
      </w:pPr>
      <w:r>
        <w:t>354.</w:t>
      </w:r>
      <w:r>
        <w:tab/>
        <w:t>По результатам 55-го цикла НВО (июль 1999–2001 годов), в рамках которого определялась достаточность потребления продовольствия в Индии, доля домохозяйств, в которых все члены получали достаточную суточную норму продовольствия на протяжении всего года, возросла за период с 1983 по 2000 год в сельских районах с 81,1% до 96,2%, а в городских районах – с 93,3% до 98,6%.  Наиболее значительная доля тех, кто не получал достаточно продовольствия в сельских районах, приходилась на домохозяйства сельскохозяйственных рабочих, а в городских районах – на домохозяйства разнорабочих.  Что касается социальных групп, то эта доля была наиболее высокой у представителей, включенных в списки каст и племен, как в сельских, так и в городских районах.  Они страдают из-за отсутствия физического и экономического доступа к продовольственному зерну, которое составляет основу рациона индийцев.</w:t>
      </w:r>
    </w:p>
    <w:p w:rsidR="00000000" w:rsidRDefault="00000000">
      <w:pPr>
        <w:pStyle w:val="112"/>
      </w:pPr>
      <w:r>
        <w:t>355.</w:t>
      </w:r>
      <w:r>
        <w:tab/>
        <w:t>Среднесуточная норма потребления калорий, белков и жиров в расчете на душу населения на национальном уровне, которая была приведена в отчете о потреблении продовольствия в Индии по результатам 55-го цикла НВО (июль 1999</w:t>
      </w:r>
      <w:r>
        <w:rPr>
          <w:lang w:val="en-US"/>
        </w:rPr>
        <w:t> </w:t>
      </w:r>
      <w:r>
        <w:t>года – июнь 2000 года), составляла, соответственно, 2149 ккал, и 59,1 г и 36,1 г в сельских районах и 2156 ккал, 58,5 г и 49,6 г в городских районах.  Среднесуточная норма потребления калорий на национальном уровне в сельских районах снизилась за период проведения четырех обследований (1972–2000 годы) приблизительно на 117 ккал в расчете на душу населения, в то время как в городских районах она практически не изменилась.</w:t>
      </w:r>
    </w:p>
    <w:p w:rsidR="00000000" w:rsidRDefault="00000000">
      <w:pPr>
        <w:pStyle w:val="112"/>
        <w:rPr>
          <w:rStyle w:val="111"/>
        </w:rPr>
      </w:pPr>
      <w:r>
        <w:rPr>
          <w:rStyle w:val="111"/>
        </w:rPr>
        <w:t>356.</w:t>
      </w:r>
      <w:r>
        <w:rPr>
          <w:rStyle w:val="111"/>
        </w:rPr>
        <w:tab/>
        <w:t>В приводимой ниже таблице показаны изменения в структуре потребления калорий лицами, проживающими как в сельских, так и в городских районах, за период 1983–2000 годов.  В период 1983–2000 годов в сельских районах увеличилось число лиц, у которых норма потребления калорий составляет менее 90% от нормального уровня в 2700 ккал в день на потребительскую единицу</w:t>
      </w:r>
      <w:r>
        <w:rPr>
          <w:rStyle w:val="FootnoteReference"/>
        </w:rPr>
        <w:footnoteReference w:customMarkFollows="1" w:id="59"/>
        <w:t>58</w:t>
      </w:r>
      <w:r>
        <w:rPr>
          <w:rStyle w:val="111"/>
        </w:rPr>
        <w:t>.</w:t>
      </w:r>
    </w:p>
    <w:p w:rsidR="00000000" w:rsidRDefault="00000000">
      <w:pPr>
        <w:pStyle w:val="112"/>
        <w:spacing w:before="0" w:after="80"/>
        <w:jc w:val="left"/>
        <w:rPr>
          <w:b/>
          <w:bCs/>
          <w:lang w:val="en-US"/>
        </w:rPr>
      </w:pPr>
    </w:p>
    <w:p w:rsidR="00000000" w:rsidRDefault="00000000">
      <w:pPr>
        <w:pStyle w:val="112"/>
        <w:spacing w:before="0" w:after="120"/>
        <w:jc w:val="left"/>
        <w:rPr>
          <w:b/>
          <w:bCs/>
        </w:rPr>
      </w:pPr>
      <w:r>
        <w:rPr>
          <w:b/>
          <w:bCs/>
        </w:rPr>
        <w:t>Изменение нормы потребления калорий из расчета на 1000 человек</w:t>
      </w:r>
      <w:r>
        <w:rPr>
          <w:b/>
          <w:bCs/>
        </w:rPr>
        <w:br/>
        <w:t>по результатам циклов НВО</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865"/>
        <w:gridCol w:w="846"/>
        <w:gridCol w:w="908"/>
        <w:gridCol w:w="864"/>
        <w:gridCol w:w="846"/>
        <w:gridCol w:w="908"/>
        <w:gridCol w:w="864"/>
        <w:gridCol w:w="846"/>
        <w:gridCol w:w="908"/>
      </w:tblGrid>
      <w:tr w:rsidR="00000000">
        <w:tblPrEx>
          <w:tblCellMar>
            <w:top w:w="0" w:type="dxa"/>
            <w:bottom w:w="0" w:type="dxa"/>
          </w:tblCellMar>
        </w:tblPrEx>
        <w:trPr>
          <w:cantSplit/>
          <w:trHeight w:val="180"/>
          <w:jc w:val="center"/>
        </w:trPr>
        <w:tc>
          <w:tcPr>
            <w:tcW w:w="1635" w:type="dxa"/>
            <w:vMerge w:val="restart"/>
          </w:tcPr>
          <w:p w:rsidR="00000000" w:rsidRDefault="00000000">
            <w:pPr>
              <w:pStyle w:val="112"/>
              <w:spacing w:before="40" w:after="40"/>
              <w:rPr>
                <w:sz w:val="20"/>
              </w:rPr>
            </w:pPr>
            <w:r>
              <w:rPr>
                <w:sz w:val="20"/>
              </w:rPr>
              <w:t>Сектор</w:t>
            </w:r>
          </w:p>
        </w:tc>
        <w:tc>
          <w:tcPr>
            <w:tcW w:w="2401" w:type="dxa"/>
            <w:gridSpan w:val="3"/>
          </w:tcPr>
          <w:p w:rsidR="00000000" w:rsidRDefault="00000000">
            <w:pPr>
              <w:pStyle w:val="EndnoteText"/>
              <w:spacing w:before="40" w:after="40"/>
              <w:rPr>
                <w:rStyle w:val="111"/>
                <w:rFonts w:eastAsia="Times New Roman"/>
                <w:sz w:val="20"/>
                <w:lang w:eastAsia="ru-RU"/>
              </w:rPr>
            </w:pPr>
            <w:r>
              <w:rPr>
                <w:rStyle w:val="111"/>
                <w:rFonts w:eastAsia="Times New Roman"/>
                <w:sz w:val="20"/>
                <w:lang w:eastAsia="ru-RU"/>
              </w:rPr>
              <w:t>38-й цикл (1983 год)</w:t>
            </w:r>
          </w:p>
        </w:tc>
        <w:tc>
          <w:tcPr>
            <w:tcW w:w="2401" w:type="dxa"/>
            <w:gridSpan w:val="3"/>
          </w:tcPr>
          <w:p w:rsidR="00000000" w:rsidRDefault="00000000">
            <w:pPr>
              <w:spacing w:before="40" w:after="40"/>
              <w:jc w:val="center"/>
              <w:rPr>
                <w:rStyle w:val="111"/>
                <w:sz w:val="20"/>
                <w:szCs w:val="20"/>
              </w:rPr>
            </w:pPr>
            <w:r>
              <w:rPr>
                <w:rStyle w:val="111"/>
                <w:sz w:val="20"/>
                <w:szCs w:val="20"/>
              </w:rPr>
              <w:t>50-й цикл(1993–1994 годы)</w:t>
            </w:r>
          </w:p>
        </w:tc>
        <w:tc>
          <w:tcPr>
            <w:tcW w:w="2401" w:type="dxa"/>
            <w:gridSpan w:val="3"/>
          </w:tcPr>
          <w:p w:rsidR="00000000" w:rsidRDefault="00000000">
            <w:pPr>
              <w:spacing w:before="40" w:after="40"/>
              <w:jc w:val="center"/>
              <w:rPr>
                <w:rStyle w:val="111"/>
                <w:sz w:val="20"/>
                <w:szCs w:val="20"/>
              </w:rPr>
            </w:pPr>
            <w:r>
              <w:rPr>
                <w:rStyle w:val="111"/>
                <w:sz w:val="20"/>
                <w:szCs w:val="20"/>
              </w:rPr>
              <w:t>55-й цикл (1999–2000 годы)</w:t>
            </w:r>
          </w:p>
        </w:tc>
      </w:tr>
      <w:tr w:rsidR="00000000">
        <w:tblPrEx>
          <w:tblCellMar>
            <w:top w:w="0" w:type="dxa"/>
            <w:bottom w:w="0" w:type="dxa"/>
          </w:tblCellMar>
        </w:tblPrEx>
        <w:trPr>
          <w:cantSplit/>
          <w:trHeight w:val="345"/>
          <w:jc w:val="center"/>
        </w:trPr>
        <w:tc>
          <w:tcPr>
            <w:tcW w:w="1635" w:type="dxa"/>
            <w:vMerge/>
          </w:tcPr>
          <w:p w:rsidR="00000000" w:rsidRDefault="00000000">
            <w:pPr>
              <w:spacing w:before="40" w:after="40"/>
              <w:jc w:val="both"/>
              <w:rPr>
                <w:sz w:val="20"/>
                <w:szCs w:val="20"/>
              </w:rPr>
            </w:pPr>
          </w:p>
        </w:tc>
        <w:tc>
          <w:tcPr>
            <w:tcW w:w="792" w:type="dxa"/>
          </w:tcPr>
          <w:p w:rsidR="00000000" w:rsidRDefault="00000000">
            <w:pPr>
              <w:pStyle w:val="112"/>
              <w:spacing w:before="40" w:after="40"/>
              <w:jc w:val="center"/>
              <w:rPr>
                <w:sz w:val="20"/>
              </w:rPr>
            </w:pPr>
            <w:r>
              <w:rPr>
                <w:sz w:val="20"/>
              </w:rPr>
              <w:t>&lt;90%</w:t>
            </w:r>
          </w:p>
        </w:tc>
        <w:tc>
          <w:tcPr>
            <w:tcW w:w="776" w:type="dxa"/>
          </w:tcPr>
          <w:p w:rsidR="00000000" w:rsidRDefault="00000000">
            <w:pPr>
              <w:pStyle w:val="112"/>
              <w:spacing w:before="40" w:after="40"/>
              <w:jc w:val="center"/>
              <w:rPr>
                <w:sz w:val="20"/>
              </w:rPr>
            </w:pPr>
            <w:r>
              <w:rPr>
                <w:sz w:val="20"/>
              </w:rPr>
              <w:t>90–110%</w:t>
            </w:r>
          </w:p>
        </w:tc>
        <w:tc>
          <w:tcPr>
            <w:tcW w:w="833" w:type="dxa"/>
          </w:tcPr>
          <w:p w:rsidR="00000000" w:rsidRDefault="00000000">
            <w:pPr>
              <w:pStyle w:val="112"/>
              <w:spacing w:before="40" w:after="40"/>
              <w:jc w:val="center"/>
              <w:rPr>
                <w:sz w:val="20"/>
              </w:rPr>
            </w:pPr>
            <w:r>
              <w:rPr>
                <w:sz w:val="20"/>
              </w:rPr>
              <w:t>свыше 110%</w:t>
            </w:r>
          </w:p>
        </w:tc>
        <w:tc>
          <w:tcPr>
            <w:tcW w:w="792" w:type="dxa"/>
          </w:tcPr>
          <w:p w:rsidR="00000000" w:rsidRDefault="00000000">
            <w:pPr>
              <w:pStyle w:val="112"/>
              <w:spacing w:before="40" w:after="40"/>
              <w:jc w:val="center"/>
              <w:rPr>
                <w:sz w:val="20"/>
              </w:rPr>
            </w:pPr>
            <w:r>
              <w:rPr>
                <w:sz w:val="20"/>
              </w:rPr>
              <w:t>&lt;90%</w:t>
            </w:r>
          </w:p>
        </w:tc>
        <w:tc>
          <w:tcPr>
            <w:tcW w:w="776" w:type="dxa"/>
          </w:tcPr>
          <w:p w:rsidR="00000000" w:rsidRDefault="00000000">
            <w:pPr>
              <w:pStyle w:val="112"/>
              <w:spacing w:before="40" w:after="40"/>
              <w:jc w:val="center"/>
              <w:rPr>
                <w:sz w:val="20"/>
              </w:rPr>
            </w:pPr>
            <w:r>
              <w:rPr>
                <w:sz w:val="20"/>
              </w:rPr>
              <w:t>90–110%</w:t>
            </w:r>
          </w:p>
        </w:tc>
        <w:tc>
          <w:tcPr>
            <w:tcW w:w="833" w:type="dxa"/>
          </w:tcPr>
          <w:p w:rsidR="00000000" w:rsidRDefault="00000000">
            <w:pPr>
              <w:pStyle w:val="112"/>
              <w:spacing w:before="40" w:after="40"/>
              <w:jc w:val="center"/>
              <w:rPr>
                <w:sz w:val="20"/>
              </w:rPr>
            </w:pPr>
            <w:r>
              <w:rPr>
                <w:sz w:val="20"/>
              </w:rPr>
              <w:t>свыше 110%</w:t>
            </w:r>
          </w:p>
        </w:tc>
        <w:tc>
          <w:tcPr>
            <w:tcW w:w="792" w:type="dxa"/>
          </w:tcPr>
          <w:p w:rsidR="00000000" w:rsidRDefault="00000000">
            <w:pPr>
              <w:pStyle w:val="112"/>
              <w:spacing w:before="40" w:after="40"/>
              <w:jc w:val="center"/>
              <w:rPr>
                <w:sz w:val="20"/>
              </w:rPr>
            </w:pPr>
            <w:r>
              <w:rPr>
                <w:sz w:val="20"/>
              </w:rPr>
              <w:t>&lt;90%</w:t>
            </w:r>
          </w:p>
        </w:tc>
        <w:tc>
          <w:tcPr>
            <w:tcW w:w="776" w:type="dxa"/>
          </w:tcPr>
          <w:p w:rsidR="00000000" w:rsidRDefault="00000000">
            <w:pPr>
              <w:pStyle w:val="112"/>
              <w:spacing w:before="40" w:after="40"/>
              <w:jc w:val="center"/>
              <w:rPr>
                <w:sz w:val="20"/>
              </w:rPr>
            </w:pPr>
            <w:r>
              <w:rPr>
                <w:sz w:val="20"/>
              </w:rPr>
              <w:t>90–110%</w:t>
            </w:r>
          </w:p>
        </w:tc>
        <w:tc>
          <w:tcPr>
            <w:tcW w:w="833" w:type="dxa"/>
          </w:tcPr>
          <w:p w:rsidR="00000000" w:rsidRDefault="00000000">
            <w:pPr>
              <w:pStyle w:val="112"/>
              <w:spacing w:before="40" w:after="40"/>
              <w:jc w:val="center"/>
              <w:rPr>
                <w:sz w:val="20"/>
              </w:rPr>
            </w:pPr>
            <w:r>
              <w:rPr>
                <w:sz w:val="20"/>
              </w:rPr>
              <w:t>свыше 110%</w:t>
            </w:r>
          </w:p>
        </w:tc>
      </w:tr>
      <w:tr w:rsidR="00000000">
        <w:tblPrEx>
          <w:tblCellMar>
            <w:top w:w="0" w:type="dxa"/>
            <w:bottom w:w="0" w:type="dxa"/>
          </w:tblCellMar>
        </w:tblPrEx>
        <w:trPr>
          <w:cantSplit/>
          <w:trHeight w:val="345"/>
          <w:jc w:val="center"/>
        </w:trPr>
        <w:tc>
          <w:tcPr>
            <w:tcW w:w="1635" w:type="dxa"/>
          </w:tcPr>
          <w:p w:rsidR="00000000" w:rsidRDefault="00000000">
            <w:pPr>
              <w:pStyle w:val="112"/>
              <w:spacing w:before="40" w:after="40"/>
              <w:rPr>
                <w:sz w:val="20"/>
              </w:rPr>
            </w:pPr>
            <w:r>
              <w:rPr>
                <w:sz w:val="20"/>
              </w:rPr>
              <w:t>Сельские районы</w:t>
            </w:r>
          </w:p>
        </w:tc>
        <w:tc>
          <w:tcPr>
            <w:tcW w:w="792" w:type="dxa"/>
          </w:tcPr>
          <w:p w:rsidR="00000000" w:rsidRDefault="00000000">
            <w:pPr>
              <w:pStyle w:val="112"/>
              <w:spacing w:before="40" w:after="40"/>
              <w:jc w:val="center"/>
              <w:rPr>
                <w:sz w:val="20"/>
              </w:rPr>
            </w:pPr>
            <w:r>
              <w:rPr>
                <w:sz w:val="20"/>
              </w:rPr>
              <w:t>409</w:t>
            </w:r>
          </w:p>
        </w:tc>
        <w:tc>
          <w:tcPr>
            <w:tcW w:w="776" w:type="dxa"/>
          </w:tcPr>
          <w:p w:rsidR="00000000" w:rsidRDefault="00000000">
            <w:pPr>
              <w:pStyle w:val="112"/>
              <w:spacing w:before="40" w:after="40"/>
              <w:jc w:val="center"/>
              <w:rPr>
                <w:sz w:val="20"/>
              </w:rPr>
            </w:pPr>
            <w:r>
              <w:rPr>
                <w:sz w:val="20"/>
              </w:rPr>
              <w:t>242</w:t>
            </w:r>
          </w:p>
        </w:tc>
        <w:tc>
          <w:tcPr>
            <w:tcW w:w="833" w:type="dxa"/>
          </w:tcPr>
          <w:p w:rsidR="00000000" w:rsidRDefault="00000000">
            <w:pPr>
              <w:pStyle w:val="112"/>
              <w:spacing w:before="40" w:after="40"/>
              <w:jc w:val="center"/>
              <w:rPr>
                <w:sz w:val="20"/>
              </w:rPr>
            </w:pPr>
            <w:r>
              <w:rPr>
                <w:sz w:val="20"/>
              </w:rPr>
              <w:t>349</w:t>
            </w:r>
          </w:p>
        </w:tc>
        <w:tc>
          <w:tcPr>
            <w:tcW w:w="792" w:type="dxa"/>
          </w:tcPr>
          <w:p w:rsidR="00000000" w:rsidRDefault="00000000">
            <w:pPr>
              <w:pStyle w:val="112"/>
              <w:spacing w:before="40" w:after="40"/>
              <w:jc w:val="center"/>
              <w:rPr>
                <w:sz w:val="20"/>
              </w:rPr>
            </w:pPr>
            <w:r>
              <w:rPr>
                <w:sz w:val="20"/>
              </w:rPr>
              <w:t>420</w:t>
            </w:r>
          </w:p>
        </w:tc>
        <w:tc>
          <w:tcPr>
            <w:tcW w:w="776" w:type="dxa"/>
          </w:tcPr>
          <w:p w:rsidR="00000000" w:rsidRDefault="00000000">
            <w:pPr>
              <w:pStyle w:val="112"/>
              <w:spacing w:before="40" w:after="40"/>
              <w:jc w:val="center"/>
              <w:rPr>
                <w:sz w:val="20"/>
              </w:rPr>
            </w:pPr>
            <w:r>
              <w:rPr>
                <w:sz w:val="20"/>
              </w:rPr>
              <w:t>284</w:t>
            </w:r>
          </w:p>
        </w:tc>
        <w:tc>
          <w:tcPr>
            <w:tcW w:w="833" w:type="dxa"/>
          </w:tcPr>
          <w:p w:rsidR="00000000" w:rsidRDefault="00000000">
            <w:pPr>
              <w:pStyle w:val="112"/>
              <w:spacing w:before="40" w:after="40"/>
              <w:jc w:val="center"/>
              <w:rPr>
                <w:sz w:val="20"/>
              </w:rPr>
            </w:pPr>
            <w:r>
              <w:rPr>
                <w:sz w:val="20"/>
              </w:rPr>
              <w:t>296</w:t>
            </w:r>
          </w:p>
        </w:tc>
        <w:tc>
          <w:tcPr>
            <w:tcW w:w="792" w:type="dxa"/>
          </w:tcPr>
          <w:p w:rsidR="00000000" w:rsidRDefault="00000000">
            <w:pPr>
              <w:pStyle w:val="112"/>
              <w:spacing w:before="40" w:after="40"/>
              <w:jc w:val="center"/>
              <w:rPr>
                <w:sz w:val="20"/>
              </w:rPr>
            </w:pPr>
            <w:r>
              <w:rPr>
                <w:sz w:val="20"/>
              </w:rPr>
              <w:t>457</w:t>
            </w:r>
          </w:p>
        </w:tc>
        <w:tc>
          <w:tcPr>
            <w:tcW w:w="776" w:type="dxa"/>
          </w:tcPr>
          <w:p w:rsidR="00000000" w:rsidRDefault="00000000">
            <w:pPr>
              <w:pStyle w:val="112"/>
              <w:spacing w:before="40" w:after="40"/>
              <w:jc w:val="center"/>
              <w:rPr>
                <w:sz w:val="20"/>
              </w:rPr>
            </w:pPr>
            <w:r>
              <w:rPr>
                <w:sz w:val="20"/>
              </w:rPr>
              <w:t>279</w:t>
            </w:r>
          </w:p>
        </w:tc>
        <w:tc>
          <w:tcPr>
            <w:tcW w:w="833" w:type="dxa"/>
          </w:tcPr>
          <w:p w:rsidR="00000000" w:rsidRDefault="00000000">
            <w:pPr>
              <w:pStyle w:val="112"/>
              <w:spacing w:before="40" w:after="40"/>
              <w:jc w:val="center"/>
              <w:rPr>
                <w:sz w:val="20"/>
              </w:rPr>
            </w:pPr>
            <w:r>
              <w:rPr>
                <w:sz w:val="20"/>
              </w:rPr>
              <w:t>269</w:t>
            </w:r>
          </w:p>
        </w:tc>
      </w:tr>
      <w:tr w:rsidR="00000000">
        <w:tblPrEx>
          <w:tblCellMar>
            <w:top w:w="0" w:type="dxa"/>
            <w:bottom w:w="0" w:type="dxa"/>
          </w:tblCellMar>
        </w:tblPrEx>
        <w:trPr>
          <w:cantSplit/>
          <w:trHeight w:val="345"/>
          <w:jc w:val="center"/>
        </w:trPr>
        <w:tc>
          <w:tcPr>
            <w:tcW w:w="1635" w:type="dxa"/>
          </w:tcPr>
          <w:p w:rsidR="00000000" w:rsidRDefault="00000000">
            <w:pPr>
              <w:pStyle w:val="112"/>
              <w:spacing w:before="40" w:after="40"/>
              <w:rPr>
                <w:sz w:val="20"/>
              </w:rPr>
            </w:pPr>
            <w:r>
              <w:rPr>
                <w:sz w:val="20"/>
              </w:rPr>
              <w:t>Городские районы</w:t>
            </w:r>
          </w:p>
        </w:tc>
        <w:tc>
          <w:tcPr>
            <w:tcW w:w="792" w:type="dxa"/>
            <w:vAlign w:val="bottom"/>
          </w:tcPr>
          <w:p w:rsidR="00000000" w:rsidRDefault="00000000">
            <w:pPr>
              <w:pStyle w:val="112"/>
              <w:spacing w:before="40" w:after="40"/>
              <w:jc w:val="center"/>
              <w:rPr>
                <w:sz w:val="20"/>
              </w:rPr>
            </w:pPr>
            <w:r>
              <w:rPr>
                <w:sz w:val="20"/>
              </w:rPr>
              <w:t>520</w:t>
            </w:r>
          </w:p>
        </w:tc>
        <w:tc>
          <w:tcPr>
            <w:tcW w:w="776" w:type="dxa"/>
            <w:vAlign w:val="bottom"/>
          </w:tcPr>
          <w:p w:rsidR="00000000" w:rsidRDefault="00000000">
            <w:pPr>
              <w:pStyle w:val="112"/>
              <w:spacing w:before="40" w:after="40"/>
              <w:jc w:val="center"/>
              <w:rPr>
                <w:sz w:val="20"/>
              </w:rPr>
            </w:pPr>
            <w:r>
              <w:rPr>
                <w:sz w:val="20"/>
              </w:rPr>
              <w:t>251</w:t>
            </w:r>
          </w:p>
        </w:tc>
        <w:tc>
          <w:tcPr>
            <w:tcW w:w="833" w:type="dxa"/>
            <w:vAlign w:val="bottom"/>
          </w:tcPr>
          <w:p w:rsidR="00000000" w:rsidRDefault="00000000">
            <w:pPr>
              <w:pStyle w:val="112"/>
              <w:spacing w:before="40" w:after="40"/>
              <w:jc w:val="center"/>
              <w:rPr>
                <w:sz w:val="20"/>
              </w:rPr>
            </w:pPr>
            <w:r>
              <w:rPr>
                <w:sz w:val="20"/>
              </w:rPr>
              <w:t>229</w:t>
            </w:r>
          </w:p>
        </w:tc>
        <w:tc>
          <w:tcPr>
            <w:tcW w:w="792" w:type="dxa"/>
            <w:vAlign w:val="bottom"/>
          </w:tcPr>
          <w:p w:rsidR="00000000" w:rsidRDefault="00000000">
            <w:pPr>
              <w:pStyle w:val="112"/>
              <w:spacing w:before="40" w:after="40"/>
              <w:jc w:val="center"/>
              <w:rPr>
                <w:sz w:val="20"/>
              </w:rPr>
            </w:pPr>
            <w:r>
              <w:rPr>
                <w:sz w:val="20"/>
              </w:rPr>
              <w:t>488</w:t>
            </w:r>
          </w:p>
        </w:tc>
        <w:tc>
          <w:tcPr>
            <w:tcW w:w="776" w:type="dxa"/>
            <w:vAlign w:val="bottom"/>
          </w:tcPr>
          <w:p w:rsidR="00000000" w:rsidRDefault="00000000">
            <w:pPr>
              <w:pStyle w:val="112"/>
              <w:spacing w:before="40" w:after="40"/>
              <w:jc w:val="center"/>
              <w:rPr>
                <w:sz w:val="20"/>
              </w:rPr>
            </w:pPr>
            <w:r>
              <w:rPr>
                <w:sz w:val="20"/>
              </w:rPr>
              <w:t>281</w:t>
            </w:r>
          </w:p>
        </w:tc>
        <w:tc>
          <w:tcPr>
            <w:tcW w:w="833" w:type="dxa"/>
            <w:vAlign w:val="bottom"/>
          </w:tcPr>
          <w:p w:rsidR="00000000" w:rsidRDefault="00000000">
            <w:pPr>
              <w:pStyle w:val="112"/>
              <w:spacing w:before="40" w:after="40"/>
              <w:jc w:val="center"/>
              <w:rPr>
                <w:sz w:val="20"/>
              </w:rPr>
            </w:pPr>
            <w:r>
              <w:rPr>
                <w:sz w:val="20"/>
              </w:rPr>
              <w:t>232</w:t>
            </w:r>
          </w:p>
        </w:tc>
        <w:tc>
          <w:tcPr>
            <w:tcW w:w="792" w:type="dxa"/>
            <w:vAlign w:val="bottom"/>
          </w:tcPr>
          <w:p w:rsidR="00000000" w:rsidRDefault="00000000">
            <w:pPr>
              <w:pStyle w:val="112"/>
              <w:spacing w:before="40" w:after="40"/>
              <w:jc w:val="center"/>
              <w:rPr>
                <w:sz w:val="20"/>
              </w:rPr>
            </w:pPr>
            <w:r>
              <w:rPr>
                <w:sz w:val="20"/>
              </w:rPr>
              <w:t>482</w:t>
            </w:r>
          </w:p>
        </w:tc>
        <w:tc>
          <w:tcPr>
            <w:tcW w:w="776" w:type="dxa"/>
            <w:vAlign w:val="bottom"/>
          </w:tcPr>
          <w:p w:rsidR="00000000" w:rsidRDefault="00000000">
            <w:pPr>
              <w:pStyle w:val="112"/>
              <w:spacing w:before="40" w:after="40"/>
              <w:jc w:val="center"/>
              <w:rPr>
                <w:sz w:val="20"/>
              </w:rPr>
            </w:pPr>
            <w:r>
              <w:rPr>
                <w:sz w:val="20"/>
              </w:rPr>
              <w:t>287</w:t>
            </w:r>
          </w:p>
        </w:tc>
        <w:tc>
          <w:tcPr>
            <w:tcW w:w="833" w:type="dxa"/>
            <w:vAlign w:val="bottom"/>
          </w:tcPr>
          <w:p w:rsidR="00000000" w:rsidRDefault="00000000">
            <w:pPr>
              <w:pStyle w:val="112"/>
              <w:spacing w:before="40" w:after="40"/>
              <w:jc w:val="center"/>
              <w:rPr>
                <w:sz w:val="20"/>
              </w:rPr>
            </w:pPr>
            <w:r>
              <w:rPr>
                <w:sz w:val="20"/>
              </w:rPr>
              <w:t>230</w:t>
            </w:r>
          </w:p>
        </w:tc>
      </w:tr>
    </w:tbl>
    <w:p w:rsidR="00000000" w:rsidRDefault="00000000">
      <w:pPr>
        <w:pStyle w:val="a3"/>
        <w:tabs>
          <w:tab w:val="left" w:pos="240"/>
        </w:tabs>
        <w:spacing w:before="120"/>
      </w:pPr>
      <w:r>
        <w:t xml:space="preserve">* </w:t>
      </w:r>
      <w:r>
        <w:tab/>
        <w:t>В % от нормального уровня в 2700 ккал на потребительскую единицу в день.</w:t>
      </w:r>
    </w:p>
    <w:p w:rsidR="00000000" w:rsidRDefault="00000000">
      <w:pPr>
        <w:jc w:val="both"/>
        <w:rPr>
          <w:sz w:val="24"/>
        </w:rPr>
      </w:pPr>
    </w:p>
    <w:p w:rsidR="00000000" w:rsidRDefault="00000000">
      <w:pPr>
        <w:pStyle w:val="112"/>
      </w:pPr>
      <w:r>
        <w:t>357.</w:t>
      </w:r>
      <w:r>
        <w:tab/>
        <w:t>Оценочные данные, приведенные в докладе № 484 по результатам 58-го цикла НВО (июль–декабрь 2002 года), не свидетельствуют о каком-либо изменении средней нормы потребления калорий по сельским и городским районам.  Норма потребления калорий в сельских районах, как правило, является низкой, что не соответствует рекомендованной суточной норме потребления калорий, которая составляет 2400 ккал.  Это находит свое отражение и в снижении уровня потребления белков по сельским районам с 62 г в день в 1983 году до 59 г в день в 2000 году.  Результаты проведенного в 1998–1999 годах Национального обследования состояния здоровья семей свидетельствуют о том, что доля тех, кто недоедает, в сельских районах составляет почти 50%, а в городских районах – почти 39%.  По данным Национального совета по контролю за состоянием питания, в период 2000–2001 годов от хронического упадка сил в сельской местности страдали 37,4% мужчин и 39,4% женщин.</w:t>
      </w:r>
    </w:p>
    <w:p w:rsidR="00000000" w:rsidRDefault="00000000">
      <w:pPr>
        <w:pStyle w:val="112"/>
      </w:pPr>
      <w:r>
        <w:t>358.</w:t>
      </w:r>
      <w:r>
        <w:tab/>
        <w:t xml:space="preserve">Главной причиной голода является низкая покупательная способность бедных слоев населения.  Распространенность недоедания объясняется необразованностью масс и отсутствием у них информации и надлежащих знаний по вопросам кормления детей.  В 1993 году правительство стало претворять в жизнь национальную политику в области питания, а в 2001 году учредило национальную миссию по вопросам питания в целях снижения уровня недоедания, устранения нехватки витамина А, решения проблемы рождения детей с пониженной массой, уменьшения нехватки железа у женщин, увеличения объема производства продовольственного зерна и всеобщего йодирования соли.  Правительство твердо привержено решению задачи ликвидации голода и недоедания в стране и поставило цели, которые должны быть достигнуты к концу десятого плана (2007 год).  В десятом </w:t>
      </w:r>
      <w:r>
        <w:rPr>
          <w:caps/>
        </w:rPr>
        <w:t>п</w:t>
      </w:r>
      <w:r>
        <w:t>ятилетнем плане упор был перенесен с обеспечения продовольственной безопасности на уровне домохозяйств к обеспечению безопасности в области питания на уровне индивидуума.</w:t>
      </w:r>
    </w:p>
    <w:p w:rsidR="00000000" w:rsidRDefault="00000000">
      <w:pPr>
        <w:pStyle w:val="112"/>
      </w:pPr>
      <w:r>
        <w:t>359.</w:t>
      </w:r>
      <w:r>
        <w:tab/>
        <w:t>Путем принятия различных мер правительство перестроило и сделало более эффективной систему снабжения продовольственным зерном по разумным ценам наиболее нуждающихся и уязвимых слоев населения на всей территории страны с использованием системы общественного распределения (СОР).  В целях повышения уровня информированности о проблеме недоедания и предоставления дополнительного питания были разработаны многие другие социальные программы, рассчитанные на женщин и детей, прежде всего в сельских районах.  Многие из этих программ осуществляются совместно с программами на базе СОР.</w:t>
      </w:r>
    </w:p>
    <w:p w:rsidR="00000000" w:rsidRDefault="00000000">
      <w:pPr>
        <w:jc w:val="both"/>
        <w:rPr>
          <w:b/>
          <w:bCs/>
          <w:sz w:val="24"/>
        </w:rPr>
      </w:pPr>
    </w:p>
    <w:p w:rsidR="00000000" w:rsidRDefault="00000000">
      <w:pPr>
        <w:jc w:val="both"/>
        <w:rPr>
          <w:rStyle w:val="111"/>
          <w:szCs w:val="22"/>
        </w:rPr>
      </w:pPr>
      <w:r>
        <w:rPr>
          <w:b/>
          <w:bCs/>
          <w:sz w:val="22"/>
          <w:szCs w:val="22"/>
        </w:rPr>
        <w:t>Учет и рациональное использование продуктов питания</w:t>
      </w:r>
    </w:p>
    <w:p w:rsidR="00000000" w:rsidRDefault="00000000">
      <w:pPr>
        <w:pStyle w:val="112"/>
      </w:pPr>
      <w:r>
        <w:t>360.</w:t>
      </w:r>
      <w:r>
        <w:tab/>
        <w:t>В 1997–1998 годах правительство внедрило систему децентрализованных закупок продовольственного зерна в целях обеспечения экономии за счет сокращения субсидирования производства продуктов питания, повышения эффективности закупок и СОР и создания стимулов к тому, чтобы продовольствие в максимально возможной степени закупалось на местном уровне, что тем самым увеличивало бы положительный эффект минимальных регулируемых цен для местных фермеров.  В соответствии с программой децентрализованных закупок правительства штатов от имени правительства Индии осуществляют прямые закупки риса-сырца, пшеницы и обложенного пошлиной риса.  Правительства штатов и их учреждения в зависимости от своих потребностей открывают закупочные центры.  Правительства штатов осуществляют закупки, хранение и распределение продовольственного зерна в соответствии с целевой системой общественного распределения (ЦСОР) и другими социальными программами.  В тех случаях, когда общий объем закупленных таким образом пшеницы и риса оказывается меньше объема, заказанного центральным правительством в целях удовлетворения потребностей в рамках ЦСОР и других программ, центральное правительство через Продовольственную корпорацию Индии покрывает этот дефицит за счет централизованных запасов.</w:t>
      </w:r>
    </w:p>
    <w:p w:rsidR="00000000" w:rsidRDefault="00000000">
      <w:pPr>
        <w:pStyle w:val="112"/>
      </w:pPr>
      <w:r>
        <w:t>361.</w:t>
      </w:r>
      <w:r>
        <w:tab/>
        <w:t>Центральное правительство обязуется возмещать правительствам штатов все расходы, связанные с закупками, на основе заранее согласованных цен.  Центральное правительство следит также за качеством закупаемого продовольственного зерна в рамках этой программы и пересматривает достигнутые договоренности в целях обеспечения того, чтобы закупки осуществлялись без перебоев.  Ниже приводятся штаты, где осуществляются децентрализованные закупки:</w:t>
      </w:r>
    </w:p>
    <w:p w:rsidR="00000000" w:rsidRDefault="00000000">
      <w:pPr>
        <w:jc w:val="both"/>
        <w:rPr>
          <w:sz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
        <w:gridCol w:w="3514"/>
        <w:gridCol w:w="2153"/>
      </w:tblGrid>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w:t>
            </w:r>
          </w:p>
        </w:tc>
        <w:tc>
          <w:tcPr>
            <w:tcW w:w="3514" w:type="dxa"/>
            <w:vAlign w:val="center"/>
          </w:tcPr>
          <w:p w:rsidR="00000000" w:rsidRDefault="00000000">
            <w:pPr>
              <w:spacing w:before="40" w:after="40"/>
              <w:rPr>
                <w:sz w:val="20"/>
                <w:szCs w:val="20"/>
              </w:rPr>
            </w:pPr>
            <w:r>
              <w:rPr>
                <w:sz w:val="20"/>
                <w:szCs w:val="20"/>
              </w:rPr>
              <w:t>Название штата</w:t>
            </w:r>
          </w:p>
        </w:tc>
        <w:tc>
          <w:tcPr>
            <w:tcW w:w="2153" w:type="dxa"/>
            <w:vAlign w:val="center"/>
          </w:tcPr>
          <w:p w:rsidR="00000000" w:rsidRDefault="00000000">
            <w:pPr>
              <w:spacing w:before="40" w:after="40"/>
              <w:rPr>
                <w:sz w:val="20"/>
                <w:szCs w:val="20"/>
              </w:rPr>
            </w:pPr>
            <w:r>
              <w:rPr>
                <w:sz w:val="20"/>
                <w:szCs w:val="20"/>
              </w:rPr>
              <w:t>Закупаемые товары</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1.</w:t>
            </w:r>
          </w:p>
        </w:tc>
        <w:tc>
          <w:tcPr>
            <w:tcW w:w="3514" w:type="dxa"/>
            <w:vAlign w:val="center"/>
          </w:tcPr>
          <w:p w:rsidR="00000000" w:rsidRDefault="00000000">
            <w:pPr>
              <w:spacing w:before="40" w:after="40"/>
              <w:rPr>
                <w:sz w:val="20"/>
                <w:szCs w:val="20"/>
              </w:rPr>
            </w:pPr>
            <w:r>
              <w:rPr>
                <w:sz w:val="20"/>
                <w:szCs w:val="20"/>
              </w:rPr>
              <w:t>Западная Бенгалия</w:t>
            </w:r>
          </w:p>
        </w:tc>
        <w:tc>
          <w:tcPr>
            <w:tcW w:w="2153" w:type="dxa"/>
            <w:vAlign w:val="center"/>
          </w:tcPr>
          <w:p w:rsidR="00000000" w:rsidRDefault="00000000">
            <w:pPr>
              <w:spacing w:before="40" w:after="40"/>
              <w:rPr>
                <w:sz w:val="20"/>
                <w:szCs w:val="20"/>
              </w:rPr>
            </w:pPr>
            <w:r>
              <w:rPr>
                <w:sz w:val="20"/>
                <w:szCs w:val="20"/>
              </w:rPr>
              <w:t>Рис</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2.</w:t>
            </w:r>
          </w:p>
        </w:tc>
        <w:tc>
          <w:tcPr>
            <w:tcW w:w="3514" w:type="dxa"/>
            <w:vAlign w:val="center"/>
          </w:tcPr>
          <w:p w:rsidR="00000000" w:rsidRDefault="00000000">
            <w:pPr>
              <w:spacing w:before="40" w:after="40"/>
              <w:rPr>
                <w:sz w:val="20"/>
                <w:szCs w:val="20"/>
              </w:rPr>
            </w:pPr>
            <w:r>
              <w:rPr>
                <w:sz w:val="20"/>
                <w:szCs w:val="20"/>
              </w:rPr>
              <w:t>Уттар-Прадеш</w:t>
            </w:r>
          </w:p>
        </w:tc>
        <w:tc>
          <w:tcPr>
            <w:tcW w:w="2153" w:type="dxa"/>
            <w:vAlign w:val="center"/>
          </w:tcPr>
          <w:p w:rsidR="00000000" w:rsidRDefault="00000000">
            <w:pPr>
              <w:spacing w:before="40" w:after="40"/>
              <w:rPr>
                <w:sz w:val="20"/>
                <w:szCs w:val="20"/>
              </w:rPr>
            </w:pPr>
            <w:r>
              <w:rPr>
                <w:sz w:val="20"/>
                <w:szCs w:val="20"/>
              </w:rPr>
              <w:t>Рис/Пшеница</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3.</w:t>
            </w:r>
          </w:p>
        </w:tc>
        <w:tc>
          <w:tcPr>
            <w:tcW w:w="3514" w:type="dxa"/>
            <w:vAlign w:val="center"/>
          </w:tcPr>
          <w:p w:rsidR="00000000" w:rsidRDefault="00000000">
            <w:pPr>
              <w:spacing w:before="40" w:after="40"/>
              <w:rPr>
                <w:sz w:val="20"/>
                <w:szCs w:val="20"/>
              </w:rPr>
            </w:pPr>
            <w:r>
              <w:rPr>
                <w:sz w:val="20"/>
                <w:szCs w:val="20"/>
              </w:rPr>
              <w:t>Мадхья-Прадеш</w:t>
            </w:r>
          </w:p>
        </w:tc>
        <w:tc>
          <w:tcPr>
            <w:tcW w:w="2153" w:type="dxa"/>
            <w:vAlign w:val="center"/>
          </w:tcPr>
          <w:p w:rsidR="00000000" w:rsidRDefault="00000000">
            <w:pPr>
              <w:spacing w:before="40" w:after="40"/>
              <w:rPr>
                <w:sz w:val="20"/>
                <w:szCs w:val="20"/>
              </w:rPr>
            </w:pPr>
            <w:r>
              <w:rPr>
                <w:sz w:val="20"/>
                <w:szCs w:val="20"/>
              </w:rPr>
              <w:t>Пшеница</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4.</w:t>
            </w:r>
          </w:p>
        </w:tc>
        <w:tc>
          <w:tcPr>
            <w:tcW w:w="3514" w:type="dxa"/>
            <w:vAlign w:val="center"/>
          </w:tcPr>
          <w:p w:rsidR="00000000" w:rsidRDefault="00000000">
            <w:pPr>
              <w:spacing w:before="40" w:after="40"/>
              <w:rPr>
                <w:sz w:val="20"/>
                <w:szCs w:val="20"/>
              </w:rPr>
            </w:pPr>
            <w:r>
              <w:rPr>
                <w:sz w:val="20"/>
                <w:szCs w:val="20"/>
              </w:rPr>
              <w:t>Чхаттисгарх</w:t>
            </w:r>
          </w:p>
        </w:tc>
        <w:tc>
          <w:tcPr>
            <w:tcW w:w="2153" w:type="dxa"/>
            <w:vAlign w:val="center"/>
          </w:tcPr>
          <w:p w:rsidR="00000000" w:rsidRDefault="00000000">
            <w:pPr>
              <w:spacing w:before="40" w:after="40"/>
              <w:rPr>
                <w:sz w:val="20"/>
                <w:szCs w:val="20"/>
              </w:rPr>
            </w:pPr>
            <w:r>
              <w:rPr>
                <w:sz w:val="20"/>
                <w:szCs w:val="20"/>
              </w:rPr>
              <w:t>Рис/Пшеница</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5.</w:t>
            </w:r>
          </w:p>
        </w:tc>
        <w:tc>
          <w:tcPr>
            <w:tcW w:w="3514" w:type="dxa"/>
            <w:vAlign w:val="center"/>
          </w:tcPr>
          <w:p w:rsidR="00000000" w:rsidRDefault="00000000">
            <w:pPr>
              <w:spacing w:before="40" w:after="40"/>
              <w:rPr>
                <w:sz w:val="20"/>
                <w:szCs w:val="20"/>
              </w:rPr>
            </w:pPr>
            <w:r>
              <w:rPr>
                <w:sz w:val="20"/>
                <w:szCs w:val="20"/>
              </w:rPr>
              <w:t>Уттаранчал</w:t>
            </w:r>
          </w:p>
        </w:tc>
        <w:tc>
          <w:tcPr>
            <w:tcW w:w="2153" w:type="dxa"/>
            <w:vAlign w:val="center"/>
          </w:tcPr>
          <w:p w:rsidR="00000000" w:rsidRDefault="00000000">
            <w:pPr>
              <w:spacing w:before="40" w:after="40"/>
              <w:rPr>
                <w:sz w:val="20"/>
                <w:szCs w:val="20"/>
              </w:rPr>
            </w:pPr>
            <w:r>
              <w:rPr>
                <w:sz w:val="20"/>
                <w:szCs w:val="20"/>
              </w:rPr>
              <w:t>Рис/Пшеница</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6.</w:t>
            </w:r>
          </w:p>
        </w:tc>
        <w:tc>
          <w:tcPr>
            <w:tcW w:w="3514" w:type="dxa"/>
            <w:vAlign w:val="center"/>
          </w:tcPr>
          <w:p w:rsidR="00000000" w:rsidRDefault="00000000">
            <w:pPr>
              <w:spacing w:before="40" w:after="40"/>
              <w:rPr>
                <w:sz w:val="20"/>
                <w:szCs w:val="20"/>
              </w:rPr>
            </w:pPr>
            <w:r>
              <w:rPr>
                <w:sz w:val="20"/>
                <w:szCs w:val="20"/>
              </w:rPr>
              <w:t>Андаманские и Никобарские острова</w:t>
            </w:r>
          </w:p>
        </w:tc>
        <w:tc>
          <w:tcPr>
            <w:tcW w:w="2153" w:type="dxa"/>
            <w:vAlign w:val="center"/>
          </w:tcPr>
          <w:p w:rsidR="00000000" w:rsidRDefault="00000000">
            <w:pPr>
              <w:spacing w:before="40" w:after="40"/>
              <w:rPr>
                <w:sz w:val="20"/>
                <w:szCs w:val="20"/>
              </w:rPr>
            </w:pPr>
            <w:r>
              <w:rPr>
                <w:sz w:val="20"/>
                <w:szCs w:val="20"/>
              </w:rPr>
              <w:t>Рис</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7.</w:t>
            </w:r>
          </w:p>
        </w:tc>
        <w:tc>
          <w:tcPr>
            <w:tcW w:w="3514" w:type="dxa"/>
            <w:vAlign w:val="center"/>
          </w:tcPr>
          <w:p w:rsidR="00000000" w:rsidRDefault="00000000">
            <w:pPr>
              <w:spacing w:before="40" w:after="40"/>
              <w:rPr>
                <w:sz w:val="20"/>
                <w:szCs w:val="20"/>
              </w:rPr>
            </w:pPr>
            <w:r>
              <w:rPr>
                <w:sz w:val="20"/>
                <w:szCs w:val="20"/>
              </w:rPr>
              <w:t>Орисса</w:t>
            </w:r>
          </w:p>
        </w:tc>
        <w:tc>
          <w:tcPr>
            <w:tcW w:w="2153" w:type="dxa"/>
            <w:vAlign w:val="center"/>
          </w:tcPr>
          <w:p w:rsidR="00000000" w:rsidRDefault="00000000">
            <w:pPr>
              <w:spacing w:before="40" w:after="40"/>
              <w:rPr>
                <w:sz w:val="20"/>
                <w:szCs w:val="20"/>
              </w:rPr>
            </w:pPr>
            <w:r>
              <w:rPr>
                <w:sz w:val="20"/>
                <w:szCs w:val="20"/>
              </w:rPr>
              <w:t>Рис</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8.</w:t>
            </w:r>
          </w:p>
        </w:tc>
        <w:tc>
          <w:tcPr>
            <w:tcW w:w="3514" w:type="dxa"/>
            <w:vAlign w:val="center"/>
          </w:tcPr>
          <w:p w:rsidR="00000000" w:rsidRDefault="00000000">
            <w:pPr>
              <w:spacing w:before="40" w:after="40"/>
              <w:rPr>
                <w:sz w:val="20"/>
                <w:szCs w:val="20"/>
              </w:rPr>
            </w:pPr>
            <w:r>
              <w:rPr>
                <w:sz w:val="20"/>
                <w:szCs w:val="20"/>
              </w:rPr>
              <w:t>Тамилнад</w:t>
            </w:r>
          </w:p>
        </w:tc>
        <w:tc>
          <w:tcPr>
            <w:tcW w:w="2153" w:type="dxa"/>
            <w:vAlign w:val="center"/>
          </w:tcPr>
          <w:p w:rsidR="00000000" w:rsidRDefault="00000000">
            <w:pPr>
              <w:spacing w:before="40" w:after="40"/>
              <w:rPr>
                <w:sz w:val="20"/>
                <w:szCs w:val="20"/>
              </w:rPr>
            </w:pPr>
            <w:r>
              <w:rPr>
                <w:sz w:val="20"/>
                <w:szCs w:val="20"/>
              </w:rPr>
              <w:t>Рис</w:t>
            </w:r>
          </w:p>
        </w:tc>
      </w:tr>
      <w:tr w:rsidR="00000000">
        <w:tblPrEx>
          <w:tblCellMar>
            <w:top w:w="0" w:type="dxa"/>
            <w:bottom w:w="0" w:type="dxa"/>
          </w:tblCellMar>
        </w:tblPrEx>
        <w:tc>
          <w:tcPr>
            <w:tcW w:w="612" w:type="dxa"/>
            <w:vAlign w:val="center"/>
          </w:tcPr>
          <w:p w:rsidR="00000000" w:rsidRDefault="00000000">
            <w:pPr>
              <w:spacing w:before="40" w:after="40"/>
              <w:rPr>
                <w:sz w:val="20"/>
                <w:szCs w:val="20"/>
              </w:rPr>
            </w:pPr>
            <w:r>
              <w:rPr>
                <w:sz w:val="20"/>
                <w:szCs w:val="20"/>
              </w:rPr>
              <w:t>9.</w:t>
            </w:r>
          </w:p>
        </w:tc>
        <w:tc>
          <w:tcPr>
            <w:tcW w:w="3514" w:type="dxa"/>
            <w:vAlign w:val="center"/>
          </w:tcPr>
          <w:p w:rsidR="00000000" w:rsidRDefault="00000000">
            <w:pPr>
              <w:spacing w:before="40" w:after="40"/>
              <w:rPr>
                <w:sz w:val="20"/>
                <w:szCs w:val="20"/>
              </w:rPr>
            </w:pPr>
            <w:r>
              <w:rPr>
                <w:sz w:val="20"/>
                <w:szCs w:val="20"/>
              </w:rPr>
              <w:t>Гуджарат</w:t>
            </w:r>
          </w:p>
        </w:tc>
        <w:tc>
          <w:tcPr>
            <w:tcW w:w="2153" w:type="dxa"/>
            <w:vAlign w:val="center"/>
          </w:tcPr>
          <w:p w:rsidR="00000000" w:rsidRDefault="00000000">
            <w:pPr>
              <w:spacing w:before="40" w:after="40"/>
              <w:rPr>
                <w:sz w:val="20"/>
                <w:szCs w:val="20"/>
              </w:rPr>
            </w:pPr>
            <w:r>
              <w:rPr>
                <w:sz w:val="20"/>
                <w:szCs w:val="20"/>
              </w:rPr>
              <w:t>Пшеница</w:t>
            </w:r>
          </w:p>
        </w:tc>
      </w:tr>
    </w:tbl>
    <w:p w:rsidR="00000000" w:rsidRDefault="00000000">
      <w:pPr>
        <w:pStyle w:val="112"/>
        <w:spacing w:before="120"/>
      </w:pPr>
    </w:p>
    <w:p w:rsidR="00000000" w:rsidRDefault="00000000">
      <w:pPr>
        <w:pStyle w:val="112"/>
        <w:spacing w:before="120"/>
      </w:pPr>
      <w:r>
        <w:t>362.</w:t>
      </w:r>
      <w:r>
        <w:tab/>
        <w:t>Правительства штатов, в которых утверждена программа децентрализованных закупок, просили уделять должное внимание решению следующих вопросов:</w:t>
      </w:r>
    </w:p>
    <w:p w:rsidR="00000000" w:rsidRDefault="00000000">
      <w:pPr>
        <w:pStyle w:val="112"/>
        <w:spacing w:after="240"/>
        <w:ind w:left="1134" w:hanging="1134"/>
      </w:pPr>
      <w:r>
        <w:tab/>
      </w:r>
      <w:r>
        <w:rPr>
          <w:lang w:val="en-US"/>
        </w:rPr>
        <w:t>i</w:t>
      </w:r>
      <w:r>
        <w:t>)</w:t>
      </w:r>
      <w:r>
        <w:tab/>
        <w:t>возмещение расходов в полном объеме и своевременная выплата субсидий центральным правительством;</w:t>
      </w:r>
    </w:p>
    <w:p w:rsidR="00000000" w:rsidRDefault="00000000">
      <w:pPr>
        <w:pStyle w:val="112"/>
        <w:spacing w:before="0" w:after="240"/>
        <w:ind w:left="1134" w:hanging="1134"/>
      </w:pPr>
      <w:r>
        <w:tab/>
      </w:r>
      <w:r>
        <w:rPr>
          <w:lang w:val="en-US"/>
        </w:rPr>
        <w:t>ii</w:t>
      </w:r>
      <w:r>
        <w:t>)</w:t>
      </w:r>
      <w:r>
        <w:tab/>
        <w:t>своевременное утверждение резервным банком Индии кредитных лимитов.  На предмет возмещения расходов уже утверждены следующие дополнительные статьи расходов:</w:t>
      </w:r>
    </w:p>
    <w:p w:rsidR="00000000" w:rsidRDefault="00000000">
      <w:pPr>
        <w:pStyle w:val="112"/>
        <w:tabs>
          <w:tab w:val="clear" w:pos="680"/>
          <w:tab w:val="left" w:pos="1560"/>
        </w:tabs>
        <w:spacing w:before="0" w:after="240"/>
        <w:ind w:left="1560" w:hanging="1560"/>
      </w:pPr>
      <w:r>
        <w:tab/>
      </w:r>
      <w:r>
        <w:rPr>
          <w:lang w:val="en-US"/>
        </w:rPr>
        <w:t>i</w:t>
      </w:r>
      <w:r>
        <w:t>)</w:t>
      </w:r>
      <w:r>
        <w:tab/>
        <w:t>расходы на перевозку от закупочного центра до пункта хранения и от пункта хранения до перевалочного пункта;</w:t>
      </w:r>
    </w:p>
    <w:p w:rsidR="00000000" w:rsidRDefault="00000000">
      <w:pPr>
        <w:pStyle w:val="112"/>
        <w:tabs>
          <w:tab w:val="clear" w:pos="680"/>
          <w:tab w:val="left" w:pos="1560"/>
        </w:tabs>
        <w:spacing w:before="0" w:after="240"/>
        <w:ind w:left="1560" w:hanging="1418"/>
      </w:pPr>
      <w:r>
        <w:tab/>
      </w:r>
      <w:r>
        <w:rPr>
          <w:lang w:val="en-US"/>
        </w:rPr>
        <w:t>ii</w:t>
      </w:r>
      <w:r>
        <w:t>)</w:t>
      </w:r>
      <w:r>
        <w:tab/>
        <w:t>выплата компаниям комиссионных сборов в размере 1% от минимальной регулируемой цены;</w:t>
      </w:r>
    </w:p>
    <w:p w:rsidR="00000000" w:rsidRDefault="00000000">
      <w:pPr>
        <w:pStyle w:val="112"/>
        <w:spacing w:before="0" w:after="240"/>
        <w:ind w:left="1134" w:hanging="1134"/>
      </w:pPr>
      <w:r>
        <w:tab/>
        <w:t>iii)</w:t>
      </w:r>
      <w:r>
        <w:tab/>
        <w:t>покрытие расходов, связанных с доставкой мешков от железнодорожного перевалочного пункта до закупочного центра;</w:t>
      </w:r>
    </w:p>
    <w:p w:rsidR="00000000" w:rsidRDefault="00000000">
      <w:pPr>
        <w:pStyle w:val="112"/>
        <w:spacing w:before="0"/>
        <w:ind w:left="1134" w:hanging="1134"/>
      </w:pPr>
      <w:r>
        <w:tab/>
      </w:r>
      <w:r>
        <w:rPr>
          <w:lang w:val="en-US"/>
        </w:rPr>
        <w:t>iv</w:t>
      </w:r>
      <w:r>
        <w:t>)</w:t>
      </w:r>
      <w:r>
        <w:tab/>
        <w:t>увеличение тарифной ставки за обмолот пропаренного риса с 15 до 20 рупий за квинтал.</w:t>
      </w:r>
    </w:p>
    <w:p w:rsidR="00000000" w:rsidRDefault="00000000">
      <w:pPr>
        <w:pStyle w:val="112"/>
      </w:pPr>
      <w:r>
        <w:t>363.</w:t>
      </w:r>
      <w:r>
        <w:tab/>
        <w:t>Департамент продовольствия и общественного распределения также вынес соответствующие рекомендации для Резервного банка, касающиеся утверждения достаточных кредитных лимитов штатам для целей осуществления закупочных операций.  Продовольственной корпорации Индии и штатам было предложено начать осуществление в печатных и аудиовизуальных средствах массовой информации кампании по повышению уровня информированности фермеров об осуществляемых программах ценовой поддержки.  Была также особо отмечена необходимость открытия достаточного количества закупочных центров, в случае необходимости с использованием мобильных фургонов.</w:t>
      </w:r>
    </w:p>
    <w:p w:rsidR="00000000" w:rsidRDefault="00000000">
      <w:pPr>
        <w:pStyle w:val="112"/>
      </w:pPr>
      <w:r>
        <w:t>364.</w:t>
      </w:r>
      <w:r>
        <w:tab/>
        <w:t>Комиссии по тарифам было предложено провести новые исследования и вынести рекомендации в отношении того, какими должны быть сборы за обмолот в различных зонах.  Аналогичным образом, Продовольственной корпорации Индии было предложено провести с привлечением авторитетных учреждений исследования и вынести рекомендации в отношении объемов обмолота риса, желательно с разбивкой по зонам.  Общие закупки риса по штатам, где была утверждена программа децентрализованных закупок, составили 3,9 млн. т в 2001–2002 годах и 3,1 млн. т в 2002–2003 годах.  В 2003–2004 годах этот показатель возрос до 7,8 млн. тонн.  В летний сельскохозяйственный сезон (хариф) 2004–2005 годов объем закупок в штатах, по всей видимости, превысит 9,8 млн. тонн.  Прогрессивные закупки риса в штатах, осуществляющих программу децентрализированных закупок, составили 29 967 т в 2004–2005 годах (при размещении заказов до 10 ноября 2004 года) по сравнению с 16 951 т в 2003–2004 годах (при размещении заказов в те же сроки).  Что касается пшеницы, то объем закупок во время зимнего сельскохозяйственного сезона (раби) составил 1,46 млн. т, а в течение зимнего сельскохозяйственного сезона (раби) 2004–2005 годов этот объем возрос до 2,1 млн. тонн.</w:t>
      </w:r>
    </w:p>
    <w:p w:rsidR="00000000" w:rsidRDefault="00000000">
      <w:pPr>
        <w:pStyle w:val="112"/>
        <w:spacing w:before="280"/>
      </w:pPr>
      <w:r>
        <w:t>365.</w:t>
      </w:r>
      <w:r>
        <w:tab/>
        <w:t xml:space="preserve">Продовольственная корпорация Индии с помощью ряда операций создает запасы продовольственного зерна в рамках централизованных резервов, принимая при этом меры по защите интересов фермеров.  Продовольственное зерно закупается на рынке по объявленным закупочным ценам.  С тем чтобы предоставить фермерам рыночные и ценовые гарантии, необходимые для увеличения урожаев без опасения снижения цен или падения рынка, используется механизм минимальной регулируемой цены.  Продовольственные запасы создаются для </w:t>
      </w:r>
      <w:r>
        <w:rPr>
          <w:lang w:val="en-US"/>
        </w:rPr>
        <w:t>i</w:t>
      </w:r>
      <w:r>
        <w:t>)</w:t>
      </w:r>
      <w:r>
        <w:rPr>
          <w:lang w:val="en-US"/>
        </w:rPr>
        <w:t>  </w:t>
      </w:r>
      <w:r>
        <w:t xml:space="preserve">поддержания буферных запасов на минимальном уровне, необходимом для обеспечения продовольственной безопасности;  </w:t>
      </w:r>
      <w:r>
        <w:rPr>
          <w:lang w:val="en-US"/>
        </w:rPr>
        <w:t>ii</w:t>
      </w:r>
      <w:r>
        <w:t>)</w:t>
      </w:r>
      <w:r>
        <w:rPr>
          <w:lang w:val="en-US"/>
        </w:rPr>
        <w:t>  </w:t>
      </w:r>
      <w:r>
        <w:t xml:space="preserve">ежемесячной отгрузки продовольственного зерна для распределения в рамках СОР/социальных программ;  </w:t>
      </w:r>
      <w:r>
        <w:rPr>
          <w:lang w:val="en-US"/>
        </w:rPr>
        <w:t>iii</w:t>
      </w:r>
      <w:r>
        <w:t>)</w:t>
      </w:r>
      <w:r>
        <w:rPr>
          <w:lang w:val="en-US"/>
        </w:rPr>
        <w:t>  </w:t>
      </w:r>
      <w:r>
        <w:t xml:space="preserve">удовлетворения потребностей в чрезвычайных ситуациях, возникающих в связи с неожиданном неурожаем, стихийными бедствиями и т. д.;  </w:t>
      </w:r>
      <w:r>
        <w:rPr>
          <w:lang w:val="en-US"/>
        </w:rPr>
        <w:t>iv</w:t>
      </w:r>
      <w:r>
        <w:t>)</w:t>
      </w:r>
      <w:r>
        <w:rPr>
          <w:lang w:val="en-US"/>
        </w:rPr>
        <w:t>  </w:t>
      </w:r>
      <w:r>
        <w:t xml:space="preserve">осуществления рыночной интервенции в целях увеличения предложения, с тем чтобы помочь сдержать цены на открытом рынке.  Правительство на ежемесячной основе анализирует состояние запасов продовольственного зерна, которые хранятся Продовольственной корпорацией Индии в рамках централизованных резервов, а также правительствами штатов и их учреждениями.  </w:t>
      </w:r>
    </w:p>
    <w:p w:rsidR="00000000" w:rsidRDefault="00000000">
      <w:pPr>
        <w:pStyle w:val="112"/>
        <w:spacing w:before="280"/>
        <w:rPr>
          <w:rStyle w:val="111"/>
        </w:rPr>
      </w:pPr>
      <w:r>
        <w:rPr>
          <w:rStyle w:val="111"/>
        </w:rPr>
        <w:t>366.</w:t>
      </w:r>
      <w:r>
        <w:rPr>
          <w:rStyle w:val="111"/>
        </w:rPr>
        <w:tab/>
        <w:t>По состоянию на 30 сентября 2004 года на территории Индии насчитывалось более 1484 складов (находившихся в собственности или взятых в аренду), емкость которых составила 26 млн. метрич. тонн.  В этих стратегически расположенных хранилищах были внедрены научные методы хранения, включая отечественный метод "Кавер энд Плинт" (САР) (метод хранения на открытых площадках с твердым покрытием с применением полиэтиленовой пленки)</w:t>
      </w:r>
      <w:r>
        <w:rPr>
          <w:rStyle w:val="FootnoteReference"/>
        </w:rPr>
        <w:footnoteReference w:customMarkFollows="1" w:id="60"/>
        <w:t>59</w:t>
      </w:r>
      <w:r>
        <w:rPr>
          <w:rStyle w:val="111"/>
        </w:rPr>
        <w:t>.  Специально подготовленный опытный персонал на регулярной основе и с применением научных методов осуществляет сортировку, фумигацию и аэрацию заложенного в хранилища зерна.  На территории страны есть испытательные лаборатории, которые следят за тем, чтобы хранящееся продовольственное зерно сохраняло свои основные питательные свойства.  Доставка продовольственного зерна на склады и в штаты, где возникает нехватка продовольствия, осуществляется Продовольственной корпорацией Индии.  За 2004–2005 годы ею было перевезено порядка 31 млн. т продовольственного зерна на расстояние в среднем 1451–1474 км.  Что касается емкости хранилищ, имеющихся в распоряжении "Сентрал уэрхаузинг корпорейшн" и "Стейт уэрхаузинг корпорейшн", то по состоянию на 1 ноября 2004 года  корпорация "Сентрал уэрхаузинг корпорейшн" хранила 9,84 млн. метрич. т на 472 складах, а "Стейт уэрхаузинг корпорейшн" хранила 19,76 млн. метрич. т продовольствия на 472 складах и 19,76 млн. метрич. т продовольствия в 1 590 центрах хранения.  В случае необходимости эти складские помещения используются для хранения продовольственного зерна с применением научных методов хранения.</w:t>
      </w:r>
    </w:p>
    <w:p w:rsidR="00000000" w:rsidRDefault="00000000">
      <w:pPr>
        <w:pStyle w:val="112"/>
      </w:pPr>
      <w:r>
        <w:t>367.</w:t>
      </w:r>
      <w:r>
        <w:tab/>
        <w:t>Система общественного распределения (СОР) превратилась в важный инструмент экономической политики правительства, направленной на обеспечение доступности продовольственного зерна для населения по приемлемым ценам, а также на обеспечение продовольственной безопасности бедных слоев населения.  СОР, располагающая сетью из более чем 474 000 "магазинов со справедливыми ценами" является, возможно, самой крупной распределительной сетью подобного рода в мире.  За обеспечение функционирования СОР несут совместную ответственность центральное правительство и правительства штатов.  Центральное правительство отвечает за закупку, хранение, транспортировку и распределение продовольственного зерна крупными партиями.  Правительства штатов распределяют это зерно среди потребителей с использованием сети "магазинов со справедливыми ценами", выявляя семьи, которые живут за чертой бедности, выдавая продовольственные карточки, осуществляя контроль и надзор за функционированием "магазинов со справедливыми ценами".  К обеспечению функционирования СОР привлекаются панчаяти.</w:t>
      </w:r>
    </w:p>
    <w:p w:rsidR="00000000" w:rsidRDefault="00000000">
      <w:pPr>
        <w:pStyle w:val="112"/>
      </w:pPr>
      <w:r>
        <w:t>368.</w:t>
      </w:r>
      <w:r>
        <w:tab/>
        <w:t>В том виде, в котором она была первоначально задумана, СОР не смогла удовлетворить потребности населения, живущего за чертой бедности, из-за того что она была ориентирована на городское население в рамках системы установления единых цен для всех (одна установленная на центральном уровне цена).  Осознав это, правительство рационализировало СОР и в июне 1997 года внедрило Целевую систему общественного распределения (ЦСОР), выпустив отдельные карточки и установив на центральном уровне отдельные цены для семей, живущих ниже черты бедности, и семей, живущих выше черты бедности.  Эта программа была рассчитана приблизительно на 60 млн. бедных семей, для нужд которых ежегодно выделяется порядка 7,2 млн. т продовольственного зерна.</w:t>
      </w:r>
    </w:p>
    <w:p w:rsidR="00000000" w:rsidRDefault="00000000">
      <w:pPr>
        <w:pStyle w:val="112"/>
        <w:rPr>
          <w:rStyle w:val="111"/>
        </w:rPr>
      </w:pPr>
      <w:r>
        <w:rPr>
          <w:rStyle w:val="111"/>
        </w:rPr>
        <w:t>369.</w:t>
      </w:r>
      <w:r>
        <w:rPr>
          <w:rStyle w:val="111"/>
        </w:rPr>
        <w:tab/>
        <w:t xml:space="preserve">В декабре 2000 года в рамках ЦСОР была принята программа </w:t>
      </w:r>
      <w:r>
        <w:rPr>
          <w:i/>
        </w:rPr>
        <w:t>Антиодая Анна Йоджана</w:t>
      </w:r>
      <w:r>
        <w:rPr>
          <w:rStyle w:val="111"/>
        </w:rPr>
        <w:t>, которая была рассчитана на наиболее бедные слои населения, страдающие от хронического голода.  В качестве бенефициаров этой программы были выявлены 10 млн. семей, которым ежемесячно выдавалось по 35 кг продовольственного зерна и по значительно сниженным ценам продавалась пшеница (2 рупии за килограмм) и рис (3 рупии за килограмм).  Масштабы осуществления этой программы были расширены и она стала охватывать еще 10 млн. семей за чертой бедности, включая, в частности, все домохозяйства, которым грозил голод.</w:t>
      </w:r>
    </w:p>
    <w:p w:rsidR="00000000" w:rsidRDefault="00000000">
      <w:pPr>
        <w:pStyle w:val="112"/>
        <w:rPr>
          <w:rStyle w:val="111"/>
        </w:rPr>
      </w:pPr>
      <w:r>
        <w:rPr>
          <w:rStyle w:val="111"/>
        </w:rPr>
        <w:t>370.</w:t>
      </w:r>
      <w:r>
        <w:rPr>
          <w:rStyle w:val="111"/>
        </w:rPr>
        <w:tab/>
        <w:t xml:space="preserve">В рамках ЦСОР общий объем реализации продовольственного зерна возрос до 22,79 млн. т в 2003–2004 годах по сравнению с 20,1 млн. т в 2002–2003 годах.  В рамках программ для семей, живущих за чертой бедности, программы </w:t>
      </w:r>
      <w:r>
        <w:rPr>
          <w:i/>
        </w:rPr>
        <w:t>Антиодая Анна Йоджана</w:t>
      </w:r>
      <w:r>
        <w:rPr>
          <w:rStyle w:val="111"/>
        </w:rPr>
        <w:t xml:space="preserve"> и других социальных программ общий объем реализации ежегодно увеличивался.  В 2002–2003 годах общий объем реализации продовольственного зерна в рамках программы </w:t>
      </w:r>
      <w:r>
        <w:rPr>
          <w:i/>
        </w:rPr>
        <w:t>Антиодая Анна Йоджана</w:t>
      </w:r>
      <w:r>
        <w:rPr>
          <w:rStyle w:val="111"/>
        </w:rPr>
        <w:t xml:space="preserve"> составил 86%.</w:t>
      </w:r>
    </w:p>
    <w:p w:rsidR="00000000" w:rsidRDefault="00000000">
      <w:pPr>
        <w:pStyle w:val="112"/>
        <w:rPr>
          <w:rStyle w:val="111"/>
        </w:rPr>
      </w:pPr>
      <w:r>
        <w:rPr>
          <w:rStyle w:val="111"/>
        </w:rPr>
        <w:t>371.</w:t>
      </w:r>
      <w:r>
        <w:rPr>
          <w:rStyle w:val="111"/>
        </w:rPr>
        <w:tab/>
        <w:t>Центральное правительство приняло также Хартию образцового гражданина, в которой предусматривается создание комитетов бдительности для обеспечения того, чтобы услуги в рамках СОР оказывались на более транспарентной и подотчетной основе.  Эта хартия была утверждена правительствами всех штатов/союзных территорий.  В 2001 году в соответствии с Законом об основных товарах центральное правительство приняло также постановление о контроле за СОР в целях поддержания поставок, обеспечения доступности и распределения основных товаров, особенно через сеть "магазинов со справедливыми ценами".  В большинстве штатов комитеты бдительности действуют на уровне "магазинов со справедливыми ценами" районов/</w:t>
      </w:r>
      <w:r>
        <w:rPr>
          <w:i/>
        </w:rPr>
        <w:t>мандалов</w:t>
      </w:r>
      <w:r>
        <w:rPr>
          <w:rStyle w:val="111"/>
        </w:rPr>
        <w:t>/округов и штатов.</w:t>
      </w:r>
    </w:p>
    <w:p w:rsidR="00000000" w:rsidRDefault="00000000">
      <w:pPr>
        <w:pStyle w:val="112"/>
        <w:spacing w:after="240"/>
      </w:pPr>
      <w:r>
        <w:t>372.</w:t>
      </w:r>
      <w:r>
        <w:tab/>
        <w:t xml:space="preserve">Для оценки эффективности функционирования СОР в штатах/союзных территориях Департамент общественного распределения назначает в различных штатах районных сотрудников, которые обязаны посещать штаты, за которые они отвечают, используя элемент внезапности и демонстрируя объективность.  Свою оценку они готовят по результатам посещения "магазинов со справедливыми ценами", агентов, складов, находящихся в ведении Продовольственной корпорации Индии, и бенефициаров.  </w:t>
      </w:r>
    </w:p>
    <w:p w:rsidR="00000000" w:rsidRDefault="00000000">
      <w:pPr>
        <w:keepNext/>
        <w:jc w:val="both"/>
        <w:rPr>
          <w:b/>
          <w:bCs/>
          <w:sz w:val="22"/>
          <w:szCs w:val="22"/>
        </w:rPr>
      </w:pPr>
      <w:r>
        <w:rPr>
          <w:b/>
          <w:bCs/>
          <w:sz w:val="22"/>
          <w:szCs w:val="22"/>
        </w:rPr>
        <w:t>Программы борьбы с голодом и недоеданием</w:t>
      </w:r>
    </w:p>
    <w:p w:rsidR="00000000" w:rsidRDefault="00000000">
      <w:pPr>
        <w:pStyle w:val="112"/>
        <w:rPr>
          <w:rStyle w:val="111"/>
        </w:rPr>
      </w:pPr>
      <w:r>
        <w:rPr>
          <w:rStyle w:val="111"/>
        </w:rPr>
        <w:t>373.</w:t>
      </w:r>
      <w:r>
        <w:rPr>
          <w:rStyle w:val="111"/>
        </w:rPr>
        <w:tab/>
        <w:t xml:space="preserve">Существует много программ обеспечения уязвимых слоев населения достаточным продовольствием и дополнительным питанием.  К числу некоторых из этих программ относятся:  программа организации питания на основе пшеницы, программа поставок продовольственного зерна в приюты для представителей занесенных в списки каст и племен и отсталых классов, программа для учреждения социального обеспечения, программа </w:t>
      </w:r>
      <w:r>
        <w:rPr>
          <w:i/>
        </w:rPr>
        <w:t>Аннапурна</w:t>
      </w:r>
      <w:r>
        <w:rPr>
          <w:rStyle w:val="111"/>
        </w:rPr>
        <w:t xml:space="preserve">, специальный компонент программы </w:t>
      </w:r>
      <w:r>
        <w:rPr>
          <w:i/>
        </w:rPr>
        <w:t>Сампурна Грамин Розгар Йоджана</w:t>
      </w:r>
      <w:r>
        <w:rPr>
          <w:rStyle w:val="111"/>
        </w:rPr>
        <w:t>, Комплексный план оказания услуг в сфере детского развития, программа питания для девочек-подростков, программа организации питания в чрезвычайных ситуациях и программа зерновых банков.  Ниже приводится краткое описание этих программ.</w:t>
      </w:r>
    </w:p>
    <w:p w:rsidR="00000000" w:rsidRDefault="00000000">
      <w:pPr>
        <w:pStyle w:val="112"/>
      </w:pPr>
      <w:r>
        <w:t>374.</w:t>
      </w:r>
      <w:r>
        <w:tab/>
        <w:t xml:space="preserve">Министерство развития людских ресурсов (департамент начального образования и грамотности) с 15 августа 1995 года стало осуществлять программу школьных обедов для учащихся начальных школ в рамках программы гарантирования занятости/видоизмененной системы общественного распределения на базе районов (2368).  Эта программа охватывает учащихся </w:t>
      </w:r>
      <w:r>
        <w:br/>
        <w:t>(</w:t>
      </w:r>
      <w:r>
        <w:rPr>
          <w:lang w:val="en-US"/>
        </w:rPr>
        <w:t>I</w:t>
      </w:r>
      <w:r>
        <w:t>–</w:t>
      </w:r>
      <w:r>
        <w:rPr>
          <w:lang w:val="en-US"/>
        </w:rPr>
        <w:t>V</w:t>
      </w:r>
      <w:r>
        <w:t xml:space="preserve"> классов) в государственных начальных школах/начальных школах, получающих государственную поддержку, и начальных школах, которые финансируются местными органами власти.  В январе 2005 года </w:t>
      </w:r>
      <w:r>
        <w:rPr>
          <w:caps/>
        </w:rPr>
        <w:t>м</w:t>
      </w:r>
      <w:r>
        <w:t>инистерство развития людских ресурсов учредило на национальном уровне Контрольный руководящий комитет для наблюдения за осуществлением этой программы.</w:t>
      </w:r>
    </w:p>
    <w:p w:rsidR="00000000" w:rsidRDefault="00000000">
      <w:pPr>
        <w:pStyle w:val="112"/>
      </w:pPr>
      <w:r>
        <w:t>375.</w:t>
      </w:r>
      <w:r>
        <w:tab/>
        <w:t>Продовольственное зерно (пшеница и рис) поставляется бесплатно из расчета 100 граммов на ребенка в учебный день.  Эти горячие обеды содержат как минимум 300 калорий и 8–12 граммов белка за учебный день из расчета минимум 200 дней.  В тех случаях, когда продовольственное зерно распределяется в сыром виде, норма составляет 3 кг зерна на учащегося в месяц из расчета 10 месяцев в году.</w:t>
      </w:r>
    </w:p>
    <w:p w:rsidR="00000000" w:rsidRDefault="00000000">
      <w:pPr>
        <w:pStyle w:val="112"/>
        <w:rPr>
          <w:rStyle w:val="111"/>
        </w:rPr>
      </w:pPr>
      <w:r>
        <w:rPr>
          <w:rStyle w:val="111"/>
        </w:rPr>
        <w:t>376.</w:t>
      </w:r>
      <w:r>
        <w:rPr>
          <w:rStyle w:val="111"/>
        </w:rPr>
        <w:tab/>
        <w:t>Под эгидой Министерства по делам развития женщин и детей осуществляется Программа питания на основе пшеницы (ППП)</w:t>
      </w:r>
      <w:r>
        <w:rPr>
          <w:rStyle w:val="FootnoteReference"/>
        </w:rPr>
        <w:footnoteReference w:customMarkFollows="1" w:id="61"/>
        <w:t>60</w:t>
      </w:r>
      <w:r>
        <w:rPr>
          <w:rStyle w:val="111"/>
        </w:rPr>
        <w:t>.  Продовольственное зерно, выделяемое в рамках этой программы, используется штатами/союзными территориями и по линии Комплексного плана оказания услуг в сфере детского развития для обеспечения детей в возрасте до шести лет и беременных женщин и кормящих матерей питательными и калорийными продуктами.</w:t>
      </w:r>
    </w:p>
    <w:p w:rsidR="00000000" w:rsidRDefault="00000000">
      <w:pPr>
        <w:spacing w:before="240"/>
        <w:jc w:val="both"/>
        <w:rPr>
          <w:rStyle w:val="111"/>
        </w:rPr>
      </w:pPr>
      <w:r>
        <w:rPr>
          <w:rStyle w:val="111"/>
        </w:rPr>
        <w:t>377.</w:t>
      </w:r>
      <w:r>
        <w:rPr>
          <w:rStyle w:val="111"/>
        </w:rPr>
        <w:tab/>
        <w:t>В рамках Программы для приютов/учреждений социального обеспечения СК/СТ/ДОП</w:t>
      </w:r>
      <w:r>
        <w:rPr>
          <w:rStyle w:val="FootnoteReference"/>
        </w:rPr>
        <w:footnoteReference w:customMarkFollows="1" w:id="62"/>
        <w:t>61</w:t>
      </w:r>
      <w:r>
        <w:rPr>
          <w:rStyle w:val="111"/>
        </w:rPr>
        <w:t xml:space="preserve"> проживающие в этих приютах семьи с двумя или тремя учащимися, принадлежащими к этим категориям, имеют право на получение 15 кг продовольственного зерна на человека в месяц.</w:t>
      </w:r>
    </w:p>
    <w:p w:rsidR="00000000" w:rsidRDefault="00000000">
      <w:pPr>
        <w:pStyle w:val="112"/>
        <w:rPr>
          <w:rStyle w:val="111"/>
        </w:rPr>
      </w:pPr>
      <w:r>
        <w:rPr>
          <w:rStyle w:val="111"/>
        </w:rPr>
        <w:t>378.</w:t>
      </w:r>
      <w:r>
        <w:rPr>
          <w:rStyle w:val="111"/>
        </w:rPr>
        <w:tab/>
        <w:t xml:space="preserve">Министерство развития сельских районов приступило к осуществлению программы </w:t>
      </w:r>
      <w:r>
        <w:rPr>
          <w:i/>
        </w:rPr>
        <w:t xml:space="preserve">Аннапурна Анна </w:t>
      </w:r>
      <w:r>
        <w:rPr>
          <w:i/>
          <w:caps/>
        </w:rPr>
        <w:t>й</w:t>
      </w:r>
      <w:r>
        <w:rPr>
          <w:i/>
        </w:rPr>
        <w:t>оджана</w:t>
      </w:r>
      <w:r>
        <w:rPr>
          <w:rStyle w:val="111"/>
        </w:rPr>
        <w:t xml:space="preserve"> в 2000–2001 годах.  Эта программа рассчитана на престарелых коренных жителей в возрасте 65 лет и старше, которые, хотя и имеют право на получение пенсии по старости в соответствии с Национальной программой выплаты пенсий по старости (НППС), ее, тем не менее, не получают.  В рамках этой программы выделяется 10 кг продовольственного зерна.</w:t>
      </w:r>
    </w:p>
    <w:p w:rsidR="00000000" w:rsidRDefault="00000000">
      <w:pPr>
        <w:pStyle w:val="112"/>
      </w:pPr>
      <w:r>
        <w:t>379.</w:t>
      </w:r>
      <w:r>
        <w:tab/>
        <w:t xml:space="preserve">Начиная с 2002–2003 годов эта программа была передана в ведение штатов вместе с Национальной программой социальной помощи, которая включает в себя Национальную программу выплаты пенсий по старости и </w:t>
      </w:r>
      <w:r>
        <w:rPr>
          <w:caps/>
        </w:rPr>
        <w:t>н</w:t>
      </w:r>
      <w:r>
        <w:t xml:space="preserve">ациональный план семейных пособий.  Средства на осуществление этой программы выделяются </w:t>
      </w:r>
      <w:r>
        <w:rPr>
          <w:caps/>
        </w:rPr>
        <w:t>м</w:t>
      </w:r>
      <w:r>
        <w:t>инистерством финансов в рамках дополнительной помощи из центра штатам, и штаты смогут проявлять необходимую гибкость при выборе бенефициаров и осуществлении этой программы.  За реализацию этой программы на местах отвечают штаты/союзные территории.</w:t>
      </w:r>
    </w:p>
    <w:p w:rsidR="00000000" w:rsidRDefault="00000000">
      <w:pPr>
        <w:pStyle w:val="112"/>
        <w:spacing w:before="180"/>
      </w:pPr>
      <w:r>
        <w:t>380.</w:t>
      </w:r>
      <w:r>
        <w:tab/>
        <w:t>Для лиц, проживающих в упомянутых выше приютах и учреждениях социального обеспечения, например в учреждениях Нари Никетан, НПО и т. д., дополнительное продовольственное зерно выделяется по ценам, установленным для семей, живущих за чертой бедности, в размере до 5% от объемов, выделяемых каждому штату/союзной территории.</w:t>
      </w:r>
    </w:p>
    <w:p w:rsidR="00000000" w:rsidRDefault="00000000">
      <w:pPr>
        <w:pStyle w:val="112"/>
        <w:spacing w:before="180"/>
        <w:rPr>
          <w:rStyle w:val="111"/>
        </w:rPr>
      </w:pPr>
      <w:r>
        <w:rPr>
          <w:rStyle w:val="111"/>
        </w:rPr>
        <w:t>381.</w:t>
      </w:r>
      <w:r>
        <w:rPr>
          <w:rStyle w:val="111"/>
        </w:rPr>
        <w:tab/>
        <w:t xml:space="preserve">В рамках программы </w:t>
      </w:r>
      <w:r>
        <w:rPr>
          <w:i/>
        </w:rPr>
        <w:t>Сампурна Грамин Розгар Йоджана</w:t>
      </w:r>
      <w:r>
        <w:rPr>
          <w:rStyle w:val="111"/>
        </w:rPr>
        <w:t xml:space="preserve"> продовольственное зерно поставляется штатам/союзным территориям бесплатно в целях осуществления проектов, направленных на обеспечение занятости и продовольственной безопасности бедных слоев населения в сельской местности.  Кроме того, разработан специальный компонент этой программы для обеспечения продовольственной безопасности в тех местах, где имели место стихийные бедствия.  В рамках программы </w:t>
      </w:r>
      <w:r>
        <w:rPr>
          <w:i/>
        </w:rPr>
        <w:t>Сампурна Грамин Розгар Йоджана</w:t>
      </w:r>
      <w:r>
        <w:rPr>
          <w:rStyle w:val="111"/>
        </w:rPr>
        <w:t xml:space="preserve">  и специального компонента этой программы продовольственное зерно выделяется Министерством развития сельских районов, которое осуществляет контроль за этими поставками.</w:t>
      </w:r>
    </w:p>
    <w:p w:rsidR="00000000" w:rsidRDefault="00000000">
      <w:pPr>
        <w:pStyle w:val="112"/>
        <w:spacing w:before="180"/>
      </w:pPr>
      <w:r>
        <w:t>382.</w:t>
      </w:r>
      <w:r>
        <w:tab/>
        <w:t>Программа питания для девочек-подростков:  для решения проблемы недоедания среди девочек-подростков Комиссия по планированию в 2002–2003 годах приступила к осуществлению Программы питания для девочек-подростков.  В рамках этой программы страдающим недоеданием девочкам-подросткам, беременным женщинам и кормящим матерям выделяется бесплатно 6 кг продовольственного зерна.  Осуществление этой программы продолжалось в 2003–2004 годах.  Однако в 2004–2005 годах эта программа не осуществлялась.  Недавно правительство утвердило осуществление этой программы в 2005–2006 годах по линии Министерства по делам развития женщин и детей.  Она предусматривает бесплатное выделение 6 кг продовольственного зерна только недоедающим девочкам-подросткам.  Эта программа осуществляется в 51 округе страны, т. е. в двух отсталых округах в каждом крупном штате.  Эти округа определялись по системе, разработанной отделом развития сельских районов Комиссии по планированию.  Она осуществляется также в самых густонаселенных округах (исключая столичный округ) в менее крупных штатах/союзных территориях.</w:t>
      </w:r>
    </w:p>
    <w:p w:rsidR="00000000" w:rsidRDefault="00000000">
      <w:pPr>
        <w:pStyle w:val="112"/>
        <w:spacing w:before="180"/>
      </w:pPr>
      <w:r>
        <w:t>383.</w:t>
      </w:r>
      <w:r>
        <w:tab/>
        <w:t>Программа создания зерновых банков:  за осуществление этой программы сейчас отвечает не Министерство по делам племен, а департамент продовольствия и общественного распределения.  В рамках действующей программы выделяется единовременная ссуда на приобретение того вида продовольственного зерна, которому местное население отдает предпочтение, из расчета один квинтал на члена семьи для создания первоначального запаса.  Она предусматривает также создание хранилищ традиционного типа и приобретение гирь и весов.  Участвующие в программе  семьи могут партиями брать продовольственное зерно из этого банка в период его нехватки и возвращать его с выплатой номинального процента после сбора следующего урожая.  Первые партии зерна в рамках этой программы были выделены в 2002–2003 годах.</w:t>
      </w:r>
    </w:p>
    <w:p w:rsidR="00000000" w:rsidRDefault="00000000">
      <w:pPr>
        <w:spacing w:before="180"/>
        <w:jc w:val="both"/>
        <w:rPr>
          <w:sz w:val="22"/>
        </w:rPr>
      </w:pPr>
      <w:r>
        <w:rPr>
          <w:sz w:val="22"/>
        </w:rPr>
        <w:t>384.</w:t>
      </w:r>
      <w:r>
        <w:rPr>
          <w:sz w:val="22"/>
        </w:rPr>
        <w:tab/>
        <w:t>Эта программа призвана обеспечивать гарантии от голода во время стихийных бедствий или в неурожайные годы, когда покупательная способность сельского населения катастрофически падает.</w:t>
      </w:r>
    </w:p>
    <w:p w:rsidR="00000000" w:rsidRDefault="00000000">
      <w:pPr>
        <w:pStyle w:val="112"/>
        <w:spacing w:before="180"/>
      </w:pPr>
      <w:r>
        <w:t>385.</w:t>
      </w:r>
      <w:r>
        <w:tab/>
        <w:t>Национальная программа "Продовольствие в счет оплаты труда":  в соответствии с положениями, изложенными в выступлении премьер-министра страны 15 августа 2004 года, в октябре 2004 года в 150 наиболее отсталых районах страны начала осуществляться новая национальная программа "Продовольствие в счет оплаты труда".  В рамках этой программы как минимум один трудоспособный член каждого домохозяйства в стране получит работу в течение 100 дней с оплатой по минимальным ставкам.</w:t>
      </w:r>
    </w:p>
    <w:p w:rsidR="00000000" w:rsidRDefault="00000000">
      <w:pPr>
        <w:pStyle w:val="112"/>
        <w:spacing w:before="180"/>
      </w:pPr>
      <w:r>
        <w:t>386.</w:t>
      </w:r>
      <w:r>
        <w:tab/>
        <w:t>В целях дальнейшего расширения доступа населения к продуктам питания в отдельных округах некоторых штатов в рамках СОР будет осуществлен экспериментальный проект внедрения продовольственных кредитных карт по линии в СОР.</w:t>
      </w:r>
    </w:p>
    <w:p w:rsidR="00000000" w:rsidRDefault="00000000">
      <w:pPr>
        <w:pStyle w:val="112"/>
        <w:spacing w:before="180"/>
      </w:pPr>
    </w:p>
    <w:p w:rsidR="00000000" w:rsidRDefault="00000000">
      <w:pPr>
        <w:jc w:val="both"/>
        <w:rPr>
          <w:b/>
          <w:bCs/>
          <w:sz w:val="22"/>
          <w:szCs w:val="22"/>
        </w:rPr>
      </w:pPr>
      <w:r>
        <w:rPr>
          <w:b/>
          <w:bCs/>
          <w:sz w:val="22"/>
          <w:szCs w:val="22"/>
        </w:rPr>
        <w:t>Потребительские кооперативы</w:t>
      </w:r>
    </w:p>
    <w:p w:rsidR="00000000" w:rsidRDefault="00000000">
      <w:pPr>
        <w:pStyle w:val="112"/>
        <w:rPr>
          <w:rStyle w:val="111"/>
        </w:rPr>
      </w:pPr>
      <w:r>
        <w:rPr>
          <w:rStyle w:val="111"/>
        </w:rPr>
        <w:t>387.</w:t>
      </w:r>
      <w:r>
        <w:rPr>
          <w:rStyle w:val="111"/>
        </w:rPr>
        <w:tab/>
        <w:t xml:space="preserve">Правительство взяло курс на содействие созданию потребительских кооперативов в интересах защиты интересов обычных потребителей.  Они играют важную роль в поставках основных и других товаров по разумным ценам.  В Индии действует структура, состоящая из четырех уровней.  На национальном уровне создана Национальная федерация потребительских кооперативов Индии, на уровне штатов действуют 28 ассоциаций кооперативов, на уровне округов – 709 групп кооперативов, а на низовом уровне – 23 173 первичных кооператива.  Национальная федерация потребительских кооперативов Индии является головным учреждением, отвечающим за реализацию утвержденной правительством Индии программы </w:t>
      </w:r>
      <w:r>
        <w:rPr>
          <w:i/>
        </w:rPr>
        <w:t>Сарваприя</w:t>
      </w:r>
      <w:r>
        <w:rPr>
          <w:rStyle w:val="111"/>
        </w:rPr>
        <w:t>, в рамках которой среди населения ежедневно распределяется 11 основных товаров.  Существует также Национальная корпорация по развитию кооперации в целях развития кооперативного сообщества.  Большинство правительств штатов имеют постоянно действующие инструкции уделять приоритетное внимание потребительским кооперативным обществам в рамках осуществления программы новых "магазинов со справедливыми ценами" по линии СОР.</w:t>
      </w:r>
    </w:p>
    <w:p w:rsidR="00000000" w:rsidRDefault="00000000">
      <w:pPr>
        <w:jc w:val="both"/>
        <w:rPr>
          <w:b/>
          <w:bCs/>
          <w:sz w:val="24"/>
        </w:rPr>
      </w:pPr>
    </w:p>
    <w:p w:rsidR="00000000" w:rsidRDefault="00000000">
      <w:pPr>
        <w:jc w:val="both"/>
        <w:rPr>
          <w:b/>
          <w:bCs/>
          <w:sz w:val="22"/>
          <w:szCs w:val="22"/>
        </w:rPr>
      </w:pPr>
      <w:r>
        <w:rPr>
          <w:b/>
          <w:bCs/>
          <w:sz w:val="22"/>
          <w:szCs w:val="22"/>
        </w:rPr>
        <w:t>Другие инициативы</w:t>
      </w:r>
    </w:p>
    <w:p w:rsidR="00000000" w:rsidRDefault="00000000">
      <w:pPr>
        <w:pStyle w:val="112"/>
      </w:pPr>
      <w:r>
        <w:t>388.</w:t>
      </w:r>
      <w:r>
        <w:tab/>
        <w:t>В целях улучшения общей продовольственной ситуации в стране в дополнение к мероприятиям, направленным на охват наиболее бедных слоев населения и категорий населения, страдающих от недоедания, в рамках различных программ должное внимание уделяется и другим направлениям деятельности, таким как рациональное использование природных ресурсов, защита интересов потребителей, перераспределение земель, выделение технических средств на расширение производства и принятие мер экономии и расширения доступа фермеров к кредитам.</w:t>
      </w:r>
    </w:p>
    <w:p w:rsidR="00000000" w:rsidRDefault="00000000">
      <w:pPr>
        <w:pStyle w:val="112"/>
        <w:rPr>
          <w:rStyle w:val="111"/>
        </w:rPr>
      </w:pPr>
      <w:r>
        <w:rPr>
          <w:rStyle w:val="111"/>
        </w:rPr>
        <w:t>389.</w:t>
      </w:r>
      <w:r>
        <w:rPr>
          <w:rStyle w:val="111"/>
        </w:rPr>
        <w:tab/>
        <w:t xml:space="preserve">Группа мониторинга цен Департамента по делам потребителей и Высокий совет по мониторингу цен регулярно проводят обзор положения дел с ценами и наличием основных товаров.  В 2001 году были внесены поправки в Закон 1986 года о защите прав потребителей в целях укрепления форумов потребителей и содействия ускоренному рассмотрению жалоб потребителей.  В июне 2001 года начала осуществляться новая комплексная программа </w:t>
      </w:r>
      <w:r>
        <w:rPr>
          <w:i/>
        </w:rPr>
        <w:t>Джагрити Шивир Йоджана</w:t>
      </w:r>
      <w:r>
        <w:rPr>
          <w:rStyle w:val="111"/>
        </w:rPr>
        <w:t xml:space="preserve"> в целях повышения уровня осведомленности семей, живущих за чертой бедности, о льготах, которыми они могут воспользоваться в рамках различных систем социального обеспечения.</w:t>
      </w:r>
    </w:p>
    <w:p w:rsidR="00000000" w:rsidRDefault="00000000">
      <w:pPr>
        <w:pStyle w:val="112"/>
      </w:pPr>
      <w:r>
        <w:t>390.</w:t>
      </w:r>
      <w:r>
        <w:tab/>
        <w:t>В настоящее время самые различные аспекты продовольственной ситуации в стране регулируются такими законодательными актами, как Закон 1954 года о предупреждении фальсификации продуктов питания, Закон 1937 года о сельскохозяйственной продукции (сортировка и маркировка), Закон 1955 года о товарах первой необходимости и Закон 1980 года о предупреждении торговли на черном рынке и обеспечении снабжения товарами первой необходимости.  Правительство изучает вопрос о согласовании этих законов в рамках комплексного продовольственного закона, а также о создании органа регулирования рынка продовольствия.</w:t>
      </w:r>
    </w:p>
    <w:p w:rsidR="00000000" w:rsidRDefault="00000000">
      <w:pPr>
        <w:pStyle w:val="112"/>
      </w:pPr>
      <w:r>
        <w:t>391.</w:t>
      </w:r>
      <w:r>
        <w:tab/>
        <w:t>В результате различных инициатив правительства Индии удобрения используются на гораздо более сбалансированной основе, чем раньше.  Коэффициент АФК (азот, фосфор и калий) улучшился с 7,0:2,7:1 в 2000–2001 годах до 6,4:2,5:1 в 2002–2003 годах.  Центральное правительство поддерживает также систему "сбалансированного и комплексного использования удобрений" в интересах популяризации практики внесения в почву удобрений в сбалансированных количествах и производства полезных органических удобрений из городских стоков/отходов и т. д.  В рамках еще одной системы производства и пропаганды органических удобрений оказывается помощь в создании мощностей для производства органических удобрений.  В настоящее время действует 125 точек по производству таких удобрений, которые могут ежегодно производить 18 000 тонн.</w:t>
      </w:r>
    </w:p>
    <w:p w:rsidR="00000000" w:rsidRDefault="00000000">
      <w:pPr>
        <w:pStyle w:val="112"/>
      </w:pPr>
      <w:r>
        <w:t>392.</w:t>
      </w:r>
      <w:r>
        <w:tab/>
        <w:t>Действуют также системы охраны и рационального использования почвенных и водных ресурсов в водосборных районах, где осуществляются проекты использования природных ресурсов речных долин, в реках, где часто случаются наводнения, а также проекты регенерации солончаковых почв в северных штатах страны.  Департамент сельского хозяйства, объединив 27 планов, разработал план "макроуправления сельским хозяйством", в рамках которого центральное правительство дополняет и поддерживает усилия штатов в деле сельскохозяйственного развития, с тем чтобы получить быстрые результаты и выгоды, в том числе в интересах наибеднейших крестьян.  Для улучшения управления и производства около 187,76 млн. акров поддающихся культивации земель  были включены в комплексную систему до 1995 года.</w:t>
      </w:r>
    </w:p>
    <w:p w:rsidR="00000000" w:rsidRDefault="00000000">
      <w:pPr>
        <w:pStyle w:val="112"/>
      </w:pPr>
      <w:r>
        <w:t>393.</w:t>
      </w:r>
      <w:r>
        <w:tab/>
        <w:t xml:space="preserve">Принятый в соответствии с ТАПИС ВТО Закон 2001 года о защите растительного многообразия и прав фермеров стал большим шагом вперед.  В законе признается роль фермеров как культиваторов и хранителей, а также то, что они стимулируют вклад традиционных, сельских и племенных общин в обеспечении биологического разнообразия страны и продовольственной безопасности, причем права фермеров перечислены в отдельной главе.  </w:t>
      </w:r>
    </w:p>
    <w:p w:rsidR="00000000" w:rsidRDefault="00000000">
      <w:pPr>
        <w:pStyle w:val="112"/>
      </w:pPr>
      <w:r>
        <w:t>394.</w:t>
      </w:r>
      <w:r>
        <w:tab/>
        <w:t>В 1999–2000 финансовом году Департамент сельского хозяйства и сотрудничества создал систему семенных банков в целях предоставления семян в чрезвычайных ситуациях, возникающих вследствие стихийных бедствий, а также развития необходимой инфраструктуры для хранения семян.  Эта программа осуществляется Национальной семенной корпорацией и корпорациями штатов.  На основе рекомендаций группы по обзору политики в области обеспечения семенами изучается также проект закона о семенах, который должен заменить собой Закон о семенах 1966 года.  Кроме того, с 1999</w:t>
      </w:r>
      <w:r>
        <w:rPr>
          <w:lang w:val="en-US"/>
        </w:rPr>
        <w:t> </w:t>
      </w:r>
      <w:r>
        <w:t>года осуществляются национальная программа сельскохозяйственного страхования (НССС) 1999–2000 годов и программа страхования семенных культур.</w:t>
      </w:r>
    </w:p>
    <w:p w:rsidR="00000000" w:rsidRDefault="00000000">
      <w:pPr>
        <w:pStyle w:val="112"/>
        <w:rPr>
          <w:rStyle w:val="111"/>
        </w:rPr>
      </w:pPr>
      <w:r>
        <w:rPr>
          <w:rStyle w:val="111"/>
        </w:rPr>
        <w:t>395.</w:t>
      </w:r>
      <w:r>
        <w:rPr>
          <w:rStyle w:val="111"/>
        </w:rPr>
        <w:tab/>
        <w:t xml:space="preserve">Информационный центр сельскохозяйственной технологии Индийского совета сельскохозяйственных исследований, а также другие институты и государственные сельскохозяйственные университеты обеспечивают функционирование для фермеров действующей по принципу "единого окна" системы ознакомления с имеющимися в институтах технологиями.  В рамках программы "Оценка, усовершенствование и передача технологий" центры </w:t>
      </w:r>
      <w:r>
        <w:rPr>
          <w:i/>
        </w:rPr>
        <w:t>Криши Виджьян Кендрас</w:t>
      </w:r>
      <w:r>
        <w:rPr>
          <w:rStyle w:val="111"/>
        </w:rPr>
        <w:t xml:space="preserve"> (КВК – фермерские научные центры) организуют учебные программы для фермеров, женщин-фермеров и программы профессиональной подготовки и развития навыков для сельской молодежи по различным аспектам сельского хозяйства.</w:t>
      </w:r>
    </w:p>
    <w:p w:rsidR="00000000" w:rsidRDefault="00000000">
      <w:pPr>
        <w:pStyle w:val="112"/>
        <w:rPr>
          <w:rStyle w:val="111"/>
        </w:rPr>
      </w:pPr>
      <w:r>
        <w:rPr>
          <w:rStyle w:val="111"/>
        </w:rPr>
        <w:t>396.</w:t>
      </w:r>
      <w:r>
        <w:rPr>
          <w:rStyle w:val="111"/>
        </w:rPr>
        <w:tab/>
        <w:t>С целью свести к минимуму потери продовольственного зерна после сбора урожая проводится "Кампания по сбережению зерна" (КСЗ) через сеть из 17 отделений КСЗ в тесном взаимодействии с правительствами штатов, НПО и корпоративными домами, с тем чтобы содействовать передаче фермерам технических ноу-хау, разработанных индийским Управленческим и исследовательским институтом по вопросам хранения зерновых (ИУИИХЗ).  Фермерам оказывается также помощь в приобретении металлических закромов и других средств обеспечения.  В течение 2002–2003 и 2004–2005 годов (вплоть до декабря 2004 года) подготовку в рамках учебных программ прошли, соответственно, 38 475 и 31 226 фермеров, было распространено 12 744 и 12 899 металлических закромов, улучшено/сооружено, соответственно, 18 387 и 14 217 неметаллических хранилищ и создано, соответственно, 434 и 315 деревень сетевой экономики.  ЦЭИ рекомендовал прекратить "</w:t>
      </w:r>
      <w:r>
        <w:t>Кампанию по сбережению зерна"</w:t>
      </w:r>
      <w:r>
        <w:rPr>
          <w:rStyle w:val="111"/>
        </w:rPr>
        <w:t xml:space="preserve">.  В соответствии с рекомендациями ЦЭИ, 20 февраля 2005 года предлагается закрыть пять отделений КСЗ, в частности в Ахмадабаде, Ченнаи, Варанаси, Райпуре и Тируванантапураме, а их зоны действия будут покрываться отделениями КСЗ, соответственно, в Джайпуре, Хайдарабаде, </w:t>
      </w:r>
      <w:r>
        <w:rPr>
          <w:iCs/>
        </w:rPr>
        <w:t>Лукноу</w:t>
      </w:r>
      <w:r>
        <w:rPr>
          <w:rStyle w:val="111"/>
        </w:rPr>
        <w:t>, Бхопале и Бангалоре.</w:t>
      </w:r>
    </w:p>
    <w:p w:rsidR="00000000" w:rsidRDefault="00000000">
      <w:pPr>
        <w:pStyle w:val="112"/>
        <w:rPr>
          <w:rStyle w:val="111"/>
        </w:rPr>
      </w:pPr>
      <w:r>
        <w:rPr>
          <w:rStyle w:val="111"/>
        </w:rPr>
        <w:t>397.</w:t>
      </w:r>
      <w:r>
        <w:rPr>
          <w:rStyle w:val="111"/>
        </w:rPr>
        <w:tab/>
        <w:t xml:space="preserve">С 1998 года в целях облегчения доступа к кредитам коммерческих и региональных сельскохозяйственных банков осуществляется система кредитных карт </w:t>
      </w:r>
      <w:r>
        <w:rPr>
          <w:i/>
        </w:rPr>
        <w:t>"Кисан"</w:t>
      </w:r>
      <w:r>
        <w:rPr>
          <w:rStyle w:val="111"/>
        </w:rPr>
        <w:t>.  До мая 2004 года включительно было выдано 41,28 млн. карт на сумму 640 655,7 млн. рупий.</w:t>
      </w:r>
    </w:p>
    <w:p w:rsidR="00000000" w:rsidRDefault="00000000">
      <w:pPr>
        <w:jc w:val="both"/>
        <w:rPr>
          <w:b/>
          <w:bCs/>
          <w:sz w:val="24"/>
        </w:rPr>
      </w:pPr>
    </w:p>
    <w:p w:rsidR="00000000" w:rsidRDefault="00000000">
      <w:pPr>
        <w:keepNext/>
        <w:jc w:val="both"/>
        <w:rPr>
          <w:b/>
          <w:bCs/>
          <w:sz w:val="22"/>
          <w:szCs w:val="22"/>
        </w:rPr>
      </w:pPr>
      <w:r>
        <w:rPr>
          <w:b/>
          <w:bCs/>
          <w:sz w:val="22"/>
          <w:szCs w:val="22"/>
        </w:rPr>
        <w:t>Земельные реформы</w:t>
      </w:r>
    </w:p>
    <w:p w:rsidR="00000000" w:rsidRDefault="00000000">
      <w:pPr>
        <w:jc w:val="both"/>
        <w:rPr>
          <w:sz w:val="22"/>
          <w:szCs w:val="22"/>
        </w:rPr>
      </w:pPr>
    </w:p>
    <w:p w:rsidR="00000000" w:rsidRDefault="00000000">
      <w:pPr>
        <w:jc w:val="both"/>
        <w:rPr>
          <w:rStyle w:val="111"/>
          <w:szCs w:val="22"/>
        </w:rPr>
      </w:pPr>
      <w:r>
        <w:rPr>
          <w:rStyle w:val="111"/>
          <w:szCs w:val="22"/>
        </w:rPr>
        <w:t>398.</w:t>
      </w:r>
      <w:r>
        <w:rPr>
          <w:rStyle w:val="111"/>
          <w:szCs w:val="22"/>
        </w:rPr>
        <w:tab/>
        <w:t xml:space="preserve">Департамент земельных ресурсов </w:t>
      </w:r>
      <w:r>
        <w:rPr>
          <w:rStyle w:val="111"/>
          <w:caps/>
          <w:szCs w:val="22"/>
        </w:rPr>
        <w:t>м</w:t>
      </w:r>
      <w:r>
        <w:rPr>
          <w:rStyle w:val="111"/>
          <w:szCs w:val="22"/>
        </w:rPr>
        <w:t xml:space="preserve">инистерства по делам развития сельских районов является головным учреждением по разработке и координации политики с правительствами штатов, который обладает юрисдикцией в данной области.  В 1984 году были внесены поправки в Закон 1894 года о приобретении земель, и изучается возможность внесения дополнительной поправки.  Уже принято 284 законодательных акта, в которых прописываются размеры предоставляемой семьям компенсации, порядок приобретения, упраздняется система </w:t>
      </w:r>
      <w:r>
        <w:rPr>
          <w:i/>
          <w:sz w:val="22"/>
          <w:szCs w:val="22"/>
        </w:rPr>
        <w:t>"заминдари"</w:t>
      </w:r>
      <w:r>
        <w:rPr>
          <w:rStyle w:val="111"/>
          <w:szCs w:val="22"/>
        </w:rPr>
        <w:t xml:space="preserve"> и посредничества и предоставляются права аренды, а земледельцы защищаются от выселения землевладельцами.  До 2003 года были защищены права 12,42 млн. арендаторов земель общей площадью 156,30 млн. акров.  По всей стране около 7,37 млн. акров земли были объявлены резервными; из них 6,5 млн. акров были предоставлены в собственность, а 5,39 млн. акров были распределены среди 5,64 млн. бенефициаров, из которых 36% составляют касты, включенные в списки, и 15% – включенные в списки племена.  Кроме того, 14,74 млн. акров государственных пустошей были распределены среди безземельной сельской бедноты.  Пока всего 163,34 млн. акров земли были консолидированы по всей стране для целей развития деревень и увеличения объема сельскохозяйственного производства.</w:t>
      </w:r>
    </w:p>
    <w:p w:rsidR="00000000" w:rsidRDefault="00000000">
      <w:pPr>
        <w:jc w:val="both"/>
        <w:rPr>
          <w:b/>
          <w:bCs/>
          <w:sz w:val="22"/>
          <w:szCs w:val="22"/>
        </w:rPr>
      </w:pPr>
    </w:p>
    <w:p w:rsidR="00000000" w:rsidRDefault="00000000">
      <w:pPr>
        <w:jc w:val="both"/>
        <w:rPr>
          <w:b/>
          <w:bCs/>
          <w:sz w:val="22"/>
          <w:szCs w:val="22"/>
        </w:rPr>
      </w:pPr>
      <w:r>
        <w:rPr>
          <w:b/>
          <w:bCs/>
          <w:sz w:val="22"/>
          <w:szCs w:val="22"/>
        </w:rPr>
        <w:t>Международное сотрудничество</w:t>
      </w:r>
    </w:p>
    <w:p w:rsidR="00000000" w:rsidRDefault="00000000">
      <w:pPr>
        <w:pStyle w:val="112"/>
      </w:pPr>
      <w:r>
        <w:t>399.</w:t>
      </w:r>
      <w:r>
        <w:tab/>
        <w:t xml:space="preserve">ФАО и </w:t>
      </w:r>
      <w:r>
        <w:rPr>
          <w:caps/>
        </w:rPr>
        <w:t>м</w:t>
      </w:r>
      <w:r>
        <w:t>инистерство сельского хозяйства от имени правительства Индии подписали экспериментальный проект по разработке в двух штатах Индии, в частности Химачал-Прадеше и Ориссе, национальной информационной и зондажной системы по выявлению районов, в которых отсутствует продовольственная безопасность и которые уязвимы с точки зрения продовольствия (ФИВИМС),  и для его осуществления создан межведомственный комитет.</w:t>
      </w:r>
    </w:p>
    <w:p w:rsidR="00000000" w:rsidRDefault="00000000">
      <w:pPr>
        <w:jc w:val="both"/>
        <w:rPr>
          <w:b/>
          <w:bCs/>
          <w:sz w:val="22"/>
          <w:szCs w:val="22"/>
        </w:rPr>
      </w:pPr>
    </w:p>
    <w:p w:rsidR="00000000" w:rsidRDefault="00000000">
      <w:pPr>
        <w:jc w:val="both"/>
        <w:rPr>
          <w:b/>
          <w:bCs/>
          <w:sz w:val="22"/>
          <w:szCs w:val="22"/>
        </w:rPr>
      </w:pPr>
      <w:r>
        <w:rPr>
          <w:b/>
          <w:bCs/>
          <w:sz w:val="22"/>
          <w:szCs w:val="22"/>
        </w:rPr>
        <w:t>Жилье/кров</w:t>
      </w:r>
    </w:p>
    <w:p w:rsidR="00000000" w:rsidRDefault="00000000">
      <w:pPr>
        <w:jc w:val="both"/>
        <w:rPr>
          <w:sz w:val="22"/>
          <w:szCs w:val="22"/>
        </w:rPr>
      </w:pPr>
    </w:p>
    <w:p w:rsidR="00000000" w:rsidRDefault="00000000">
      <w:pPr>
        <w:jc w:val="both"/>
        <w:rPr>
          <w:sz w:val="22"/>
          <w:szCs w:val="22"/>
        </w:rPr>
      </w:pPr>
      <w:r>
        <w:rPr>
          <w:sz w:val="22"/>
          <w:szCs w:val="22"/>
        </w:rPr>
        <w:t>Положение в сфере жилья</w:t>
      </w:r>
    </w:p>
    <w:p w:rsidR="00000000" w:rsidRDefault="00000000">
      <w:pPr>
        <w:pStyle w:val="112"/>
      </w:pPr>
      <w:r>
        <w:t>400.</w:t>
      </w:r>
      <w:r>
        <w:tab/>
        <w:t>С течением времени в положении дел в сфере населенных пунктов в Индии наблюдается последовательная тенденция к улучшению как в плане качества жизни, так и в плане доходов на душу населения.  Страна сумела справиться с проблемами, порождаемыми миграцией из сельской местности в города, в деле как сохранения, так и развития городского сектора.  Со временем стране удалось сократить численность бездомных за счет различных жилищных программ, осуществляемых центральным правительством и правительствами штатов, в рамках которых в значительной степени удовлетворяются жилищные потребности групп населения.</w:t>
      </w:r>
    </w:p>
    <w:p w:rsidR="00000000" w:rsidRDefault="00000000">
      <w:pPr>
        <w:pStyle w:val="112"/>
      </w:pPr>
      <w:r>
        <w:t>401.</w:t>
      </w:r>
      <w:r>
        <w:tab/>
        <w:t>Согласно расчетам Национальной строительной организации, основанным на данных переписи населения Индии 2001 года, дефицит жилья составляет 24,68 млн., в т.ч. 14,12 млн. – в сельских районах Индии и 10,56 – в индийских городах.  По данным переписи 1991 года, общий дефицит жилья составлял 22,90 млн. (8,23 млн. в городах и 14,67 млн. в сельской местности).  Исходя из предварительных данных о численности населения, Рабочая группа по вопросам городского жилья, созданная в рамках десятого плана (2002–2007 годы), установила, что общие потребности в жилье составляют 22,44 млн. единиц, из которых 8,89 млн. – это дефицит жилья на период начала осуществления десятого плана, а 17,5 млн. – это новые потребности, на период осуществления десятого плана.  Из них 43%, 38%, 11% и 8% единиц жилья приходятся, соответственно, на ЭНГ, ГНД, ГСД и ГВД.</w:t>
      </w:r>
    </w:p>
    <w:p w:rsidR="00000000" w:rsidRDefault="00000000">
      <w:pPr>
        <w:pStyle w:val="112"/>
        <w:rPr>
          <w:rStyle w:val="111"/>
          <w:szCs w:val="22"/>
        </w:rPr>
      </w:pPr>
      <w:r>
        <w:rPr>
          <w:rStyle w:val="111"/>
          <w:szCs w:val="22"/>
        </w:rPr>
        <w:t>402.</w:t>
      </w:r>
      <w:r>
        <w:rPr>
          <w:rStyle w:val="111"/>
          <w:szCs w:val="22"/>
        </w:rPr>
        <w:tab/>
        <w:t xml:space="preserve">Что касается статуса занятости жилья, то в ходе </w:t>
      </w:r>
      <w:r>
        <w:rPr>
          <w:i/>
        </w:rPr>
        <w:t>58-го цикла обследования НВО 2002 года  (доклад № 484)</w:t>
      </w:r>
      <w:r>
        <w:rPr>
          <w:rStyle w:val="111"/>
          <w:szCs w:val="22"/>
        </w:rPr>
        <w:t xml:space="preserve"> было установлено, что около 93% домохозяйств в сельской местности и 60% домохозяйств в городах проживают в собственных единицах жилья.  Что касается типа жилья, то в сельских районах 36% проживают в строениях типа "пукка", 43% – в строениях типа "полупукка" и еще 21% проживают в строениях типа "катча", а в городских трущобах 67% жилья составляют строения типа "пукка", причем в целом 77% жилья приходилось на долю "пукка", 20% – "полупукка" и лишь 3% на долю строений типа "катча"</w:t>
      </w:r>
      <w:r>
        <w:rPr>
          <w:rStyle w:val="FootnoteReference"/>
          <w:szCs w:val="22"/>
        </w:rPr>
        <w:footnoteReference w:customMarkFollows="1" w:id="63"/>
        <w:t>62</w:t>
      </w:r>
      <w:r>
        <w:rPr>
          <w:rStyle w:val="111"/>
          <w:szCs w:val="22"/>
        </w:rPr>
        <w:t>.</w:t>
      </w:r>
    </w:p>
    <w:p w:rsidR="00000000" w:rsidRDefault="00000000">
      <w:pPr>
        <w:pStyle w:val="112"/>
      </w:pPr>
      <w:r>
        <w:t>403.</w:t>
      </w:r>
      <w:r>
        <w:tab/>
        <w:t>Согласно оценкам, около 15% единиц жилья в городских трущобах и поселениях скваттеров, 63% единиц жилья в других городских районах и 11% единиц жилья в сельской местности оснащены всеми тремя видами удобств:  имеют питьевую воду, туалет и электричество.  С другой стороны, ни одного из этих трех видов удобств нет в около 30% единиц жилья в сельской местности, 11% единиц жилья в городских трущобах и поселениях скваттеров и 4% единиц жилья в других городских районах страны.</w:t>
      </w:r>
    </w:p>
    <w:p w:rsidR="00000000" w:rsidRDefault="00000000">
      <w:pPr>
        <w:pStyle w:val="112"/>
        <w:rPr>
          <w:rStyle w:val="111"/>
          <w:szCs w:val="22"/>
        </w:rPr>
      </w:pPr>
      <w:r>
        <w:rPr>
          <w:rStyle w:val="111"/>
          <w:szCs w:val="22"/>
        </w:rPr>
        <w:t>404.</w:t>
      </w:r>
      <w:r>
        <w:rPr>
          <w:rStyle w:val="111"/>
          <w:szCs w:val="22"/>
        </w:rPr>
        <w:tab/>
        <w:t xml:space="preserve">Около 97% сельских  и 99% городских единиц жилья имеют источники питьевой воды, расположенные на расстоянии не более полукилометра.  По данным </w:t>
      </w:r>
      <w:r>
        <w:rPr>
          <w:i/>
        </w:rPr>
        <w:t>НОСД-</w:t>
      </w:r>
      <w:r>
        <w:rPr>
          <w:i/>
          <w:lang w:val="en-US"/>
        </w:rPr>
        <w:t>II</w:t>
      </w:r>
      <w:r>
        <w:rPr>
          <w:rStyle w:val="111"/>
          <w:szCs w:val="22"/>
        </w:rPr>
        <w:t>, доля населения, имеющего доступ к безопасной питьевой воде, в 1998–1999 годах составляла около 78% по сравнению с 62% в 1993–1994 годах.  По данным проведенной в Индии в 2001 году переписи населения (за исключением штата Джамму и Кашмир), 77,9% домохозяйств имели доступ к безопасной питьевой воде, причем в городах этот показатель составлял 90%, а в сельской местности – около 73%.  Около 76% единиц жилья в сельской местности (по данным переписи населения 1991 года – более 90%) и 18% единиц жилья в городах (36% – по данным переписи 1991 года) вообще не имеют туалетов.</w:t>
      </w:r>
    </w:p>
    <w:p w:rsidR="00000000" w:rsidRDefault="00000000">
      <w:pPr>
        <w:pStyle w:val="112"/>
        <w:rPr>
          <w:rStyle w:val="111"/>
          <w:szCs w:val="22"/>
        </w:rPr>
      </w:pPr>
      <w:r>
        <w:rPr>
          <w:rStyle w:val="111"/>
          <w:szCs w:val="22"/>
        </w:rPr>
        <w:t>405.</w:t>
      </w:r>
      <w:r>
        <w:rPr>
          <w:rStyle w:val="111"/>
          <w:szCs w:val="22"/>
        </w:rPr>
        <w:tab/>
        <w:t xml:space="preserve">В ходе </w:t>
      </w:r>
      <w:r>
        <w:rPr>
          <w:i/>
        </w:rPr>
        <w:t>58-го цикла в 2002 году, проведенного НВО,</w:t>
      </w:r>
      <w:r>
        <w:rPr>
          <w:rStyle w:val="111"/>
          <w:szCs w:val="22"/>
        </w:rPr>
        <w:t xml:space="preserve"> было также выявлено 52 тыс. трущоб</w:t>
      </w:r>
      <w:r>
        <w:rPr>
          <w:rStyle w:val="FootnoteReference"/>
          <w:szCs w:val="22"/>
        </w:rPr>
        <w:footnoteReference w:customMarkFollows="1" w:id="64"/>
        <w:t>63</w:t>
      </w:r>
      <w:r>
        <w:rPr>
          <w:rStyle w:val="111"/>
          <w:szCs w:val="22"/>
        </w:rPr>
        <w:t xml:space="preserve"> в городах, в которых проживало около 8 млн. городских семей.  Это составляет целых 14% общего числа городских домохозяйств в стране.  </w:t>
      </w:r>
    </w:p>
    <w:p w:rsidR="00000000" w:rsidRDefault="00000000">
      <w:pPr>
        <w:pStyle w:val="112"/>
        <w:rPr>
          <w:rStyle w:val="111"/>
          <w:szCs w:val="22"/>
        </w:rPr>
      </w:pPr>
      <w:r>
        <w:rPr>
          <w:rStyle w:val="111"/>
          <w:szCs w:val="22"/>
        </w:rPr>
        <w:t>406.</w:t>
      </w:r>
      <w:r>
        <w:rPr>
          <w:rStyle w:val="111"/>
          <w:szCs w:val="22"/>
        </w:rPr>
        <w:tab/>
        <w:t>Около 65% трущоб было простроено на государственных землях, в основном находившихся в собственности местных органов, правительств штатов и т. д., электричество имелось в 99% признанных трущоб</w:t>
      </w:r>
      <w:r>
        <w:rPr>
          <w:rStyle w:val="FootnoteReference"/>
          <w:szCs w:val="22"/>
        </w:rPr>
        <w:footnoteReference w:customMarkFollows="1" w:id="65"/>
        <w:t>64</w:t>
      </w:r>
      <w:r>
        <w:rPr>
          <w:rStyle w:val="111"/>
          <w:szCs w:val="22"/>
        </w:rPr>
        <w:t>, но оно имелось в порядка 84% районах, которые трущобами признаны не были.  Дороги типа "пукка" имелись в 71% районов, признанных трущобами, и  в 37% районов, которые трущобами признаны не были.  На автомобильном транспорте по дорогам можно было добраться до около 73% признанных трущоб и 55% районов, которые трущобами признаны не были.  Туалеты отсутствовали лишь в 17% признанных трущоб и 51% районов, которые таковыми признаны не были.  Большинство трущоб, в которых за последние пять лет отмечалось улучшение условий жизни, указывают на то, что это являлось следствием усилий правительства.</w:t>
      </w:r>
    </w:p>
    <w:p w:rsidR="00000000" w:rsidRDefault="00000000">
      <w:pPr>
        <w:pStyle w:val="112"/>
        <w:rPr>
          <w:rStyle w:val="111"/>
          <w:szCs w:val="22"/>
        </w:rPr>
      </w:pPr>
      <w:r>
        <w:rPr>
          <w:rStyle w:val="111"/>
          <w:szCs w:val="22"/>
        </w:rPr>
        <w:t>407.</w:t>
      </w:r>
      <w:r>
        <w:rPr>
          <w:rStyle w:val="111"/>
          <w:szCs w:val="22"/>
        </w:rPr>
        <w:tab/>
      </w:r>
      <w:r>
        <w:rPr>
          <w:i/>
        </w:rPr>
        <w:t>58-й цикл НВО [доклад № 484]</w:t>
      </w:r>
      <w:r>
        <w:rPr>
          <w:rStyle w:val="111"/>
          <w:szCs w:val="22"/>
        </w:rPr>
        <w:t xml:space="preserve"> свидетельствует также о том, что около 25% всех сельских домохозяйств и одно из семи городских домохозяйств проводили за последние пять лет какие-либо строительные работы.  За период 1998–2002 годов в сельских районах было начато возведение </w:t>
      </w:r>
      <w:r>
        <w:rPr>
          <w:rStyle w:val="111"/>
          <w:szCs w:val="22"/>
        </w:rPr>
        <w:br/>
        <w:t>41 млн. строительных объектов и 34 млн. были завершены (по сравнению с 17,5 млн. в 1989–</w:t>
      </w:r>
      <w:r>
        <w:rPr>
          <w:rStyle w:val="111"/>
          <w:szCs w:val="22"/>
        </w:rPr>
        <w:br/>
        <w:t>1993 годах), а в городах было начато возведение 8,5 млн. строительных объектов, из которых 7,2 млн. было завершено (по сравнению с 3,6 млн. за период 1989–1993 годов).  Как в городских, так и в сельских районах увеличилась процентная доля сооружений типа "пукка":  с 64% до 74% и с 34% до 38% за период с 1989–1993 годов до 1998–2002 годов, соответственно.</w:t>
      </w:r>
    </w:p>
    <w:p w:rsidR="00000000" w:rsidRDefault="00000000">
      <w:pPr>
        <w:jc w:val="both"/>
        <w:rPr>
          <w:b/>
          <w:bCs/>
          <w:sz w:val="22"/>
          <w:szCs w:val="22"/>
        </w:rPr>
      </w:pPr>
    </w:p>
    <w:p w:rsidR="00000000" w:rsidRDefault="00000000">
      <w:pPr>
        <w:jc w:val="both"/>
        <w:rPr>
          <w:rStyle w:val="111"/>
          <w:szCs w:val="22"/>
        </w:rPr>
      </w:pPr>
      <w:r>
        <w:rPr>
          <w:b/>
          <w:bCs/>
          <w:sz w:val="22"/>
          <w:szCs w:val="22"/>
        </w:rPr>
        <w:t>Право на жилище</w:t>
      </w:r>
    </w:p>
    <w:p w:rsidR="00000000" w:rsidRDefault="00000000">
      <w:pPr>
        <w:jc w:val="both"/>
        <w:rPr>
          <w:sz w:val="22"/>
          <w:szCs w:val="22"/>
        </w:rPr>
      </w:pPr>
    </w:p>
    <w:p w:rsidR="00000000" w:rsidRDefault="00000000">
      <w:pPr>
        <w:jc w:val="both"/>
        <w:rPr>
          <w:rStyle w:val="111"/>
          <w:szCs w:val="22"/>
        </w:rPr>
      </w:pPr>
      <w:r>
        <w:rPr>
          <w:rStyle w:val="111"/>
          <w:szCs w:val="22"/>
        </w:rPr>
        <w:t>408.</w:t>
      </w:r>
      <w:r>
        <w:rPr>
          <w:rStyle w:val="111"/>
          <w:szCs w:val="22"/>
        </w:rPr>
        <w:tab/>
        <w:t xml:space="preserve">Конституция Индии признает право на жилище как составную часть основополагающего права на жизнь.  В своих многочисленных постановлениях Верховный суд подчеркивал значение и определял содержание этого права.  В деле </w:t>
      </w:r>
      <w:r>
        <w:rPr>
          <w:i/>
          <w:iCs/>
          <w:sz w:val="22"/>
          <w:szCs w:val="22"/>
        </w:rPr>
        <w:t>Чамели Сингх против штата Уттар-Прадеш</w:t>
      </w:r>
      <w:r>
        <w:rPr>
          <w:rStyle w:val="FootnoteReference"/>
          <w:szCs w:val="22"/>
        </w:rPr>
        <w:footnoteReference w:customMarkFollows="1" w:id="66"/>
        <w:t>65</w:t>
      </w:r>
      <w:r>
        <w:rPr>
          <w:rStyle w:val="111"/>
          <w:szCs w:val="22"/>
        </w:rPr>
        <w:t xml:space="preserve"> Верховный суд особо отметил право на жилище и расширил его концепцию, сославшись на резолюцию Генеральной Ассамблеи Организации Объединенных Наций (№ 35/76) по проблеме бездомных в развивающихся странах.</w:t>
      </w:r>
    </w:p>
    <w:p w:rsidR="00000000" w:rsidRDefault="00000000">
      <w:pPr>
        <w:pStyle w:val="112"/>
      </w:pPr>
      <w:r>
        <w:t>"Жилище человека является не просто средством защиты его жизни и обеспечения телесных нужд.  Это – дом, где он имеет возможность развиваться физически, умственно, интеллектуально и духовно.  Поэтому это понятие включает в себя надлежащее жилое пространство, имеющее безопасную и надлежащую структуру, чистое и удобное для жизни окружающее пространство, достаточное освещение, чистые воздух и воду, электричество, санитарно-гигиенические и другие удобства, включая дороги, и т. д.".</w:t>
      </w:r>
    </w:p>
    <w:p w:rsidR="00000000" w:rsidRDefault="00000000">
      <w:pPr>
        <w:pStyle w:val="112"/>
      </w:pPr>
      <w:r>
        <w:t>409.</w:t>
      </w:r>
      <w:r>
        <w:tab/>
        <w:t>Согласно действующей в стране конституционной системе, вопросы обеспечения жильем входят в компетенцию правительств штатов.  Вместе с тем центральное правительство выдвигает инициативы и осуществляет управление программами в этом секторе посредством планирования, выработки политики, создания институтов финансовой и технической поддержки, путем реализации социальных проектов жилищного развития, а также посредством внесения поправок в законодательство и осуществления мер финансового характера для стимулирования инвестиций в жилищный сектор.</w:t>
      </w:r>
    </w:p>
    <w:p w:rsidR="00000000" w:rsidRDefault="00000000">
      <w:pPr>
        <w:pStyle w:val="112"/>
      </w:pPr>
      <w:r>
        <w:t>410.</w:t>
      </w:r>
      <w:r>
        <w:tab/>
        <w:t>На основе глобальной стратегии обеспечения жильем в 1988 году была разработана национальная жилищная политика, направленная на ликвидацию бездомности, улучшение жилищных условий тех, кто не имеет надлежащего жилья, и на обеспечение всех минимальным уровнем базовых услуг и удобств.  Эта политики предусматривала существенное изменение роли правительства, с тем чтобы оно действовало больше не как поставщик жилья, а как содействующая сторона.  В этой политике признавалось также, что масштабы потребностей в новом жилом фонде требуют привлечения самых различных сторон, включая правительство, кооперативный сектор, частный сектор и общины.</w:t>
      </w:r>
    </w:p>
    <w:p w:rsidR="00000000" w:rsidRDefault="00000000">
      <w:pPr>
        <w:pStyle w:val="112"/>
      </w:pPr>
      <w:r>
        <w:t>411.</w:t>
      </w:r>
      <w:r>
        <w:tab/>
        <w:t>Индия является членом Центра Организации Объединенных Наций по населенным пунктам (Хабитат–ЦНПООН) и принимала участие в Конференции "Стамбул + 5" ЦНПООН (Хабитат).  Индия приняла Повестку дня Хабитат и решила учредить в рамках ТСРО национальную группу наблюдения за развитием городов.  В 2001 году страна представила доклад о ходе осуществления Повестки дня Хабитат (1996–2000 годы).</w:t>
      </w:r>
    </w:p>
    <w:p w:rsidR="00000000" w:rsidRDefault="00000000">
      <w:pPr>
        <w:pStyle w:val="112"/>
      </w:pPr>
      <w:r>
        <w:t>412.</w:t>
      </w:r>
      <w:r>
        <w:tab/>
        <w:t>После тщательного изучения была принята Национальная стратегия в области жилищного строительства и Хабитат 1998 года (НСЖСХ), в которой особое внимание уделяется вопросам устойчивого развития, развития инфраструктуры и активного партнерства между государственным и частным секторами в интересах решения проблемы жилья.  НСЖСХ 1998 года пересматривается и перерабатывается с учетом серьезных изменений в вопросах жилья и населенных пунктов после 1998 года, и на конференции министров по вопросам жилья всех штатов в ноябре 2004 года была выработана соответствующая рекомендация.  Пересмотренный проект этой стратегии в настоящее время изучается, и, судя по всему, будет в скором времени окончательно подготовлен.</w:t>
      </w:r>
    </w:p>
    <w:p w:rsidR="00000000" w:rsidRDefault="00000000">
      <w:pPr>
        <w:jc w:val="both"/>
        <w:rPr>
          <w:b/>
          <w:bCs/>
          <w:sz w:val="22"/>
          <w:szCs w:val="22"/>
        </w:rPr>
      </w:pPr>
    </w:p>
    <w:p w:rsidR="00000000" w:rsidRDefault="00000000">
      <w:pPr>
        <w:jc w:val="both"/>
        <w:rPr>
          <w:rStyle w:val="111"/>
          <w:szCs w:val="22"/>
        </w:rPr>
      </w:pPr>
      <w:r>
        <w:rPr>
          <w:b/>
          <w:bCs/>
          <w:sz w:val="22"/>
          <w:szCs w:val="22"/>
        </w:rPr>
        <w:t>Проект национальной стратегии в области жилищного строительства и Хабитат, 2005 год</w:t>
      </w:r>
    </w:p>
    <w:p w:rsidR="00000000" w:rsidRDefault="00000000">
      <w:pPr>
        <w:pStyle w:val="112"/>
      </w:pPr>
      <w:r>
        <w:t>413.</w:t>
      </w:r>
      <w:r>
        <w:tab/>
        <w:t xml:space="preserve">Жилье является одной из основных потребностей человека наряду с питанием и одеждой.  Необходимость в национальной стратегии </w:t>
      </w:r>
      <w:r>
        <w:rPr>
          <w:bCs/>
        </w:rPr>
        <w:t>в области жилищного строительства и Хабитат</w:t>
      </w:r>
      <w:r>
        <w:t xml:space="preserve"> проистекает из растущих потребностей в жилье и соответствующей инфраструктуре.  Эти потребности растут в условиях быстрых темпов урбанизации, роста миграции из сельских районов в города в поисках средств к существованию, несоответствия между спросом и предложением объектов и услуг по приемлемым ценам и неспособности большинства новых и бедных городских жителей получить доступ на формальные земельные рынки в городах по причине дороговизны и их собственных низких доходов, вследствие чего складывается неустойчивое положение.  Эта стратегия призвана содействовать устойчивому строительству населенных пунктов в стране в целях обеспечения справедливого предложения земли, жилья и услуг по приемлемым ценам.</w:t>
      </w:r>
    </w:p>
    <w:p w:rsidR="00000000" w:rsidRDefault="00000000">
      <w:pPr>
        <w:pStyle w:val="112"/>
      </w:pPr>
      <w:r>
        <w:t>414.</w:t>
      </w:r>
      <w:r>
        <w:tab/>
        <w:t>С учетом изменений в сфере жилья и связанных вопросах на национальном и международном уровнях в 1988 году была разработана национальная жилищная стратегия.  Документ, содержавший описание этой стратегии в рамках восьмого плана, был утвержден парламентом в 1994 году.  Долгосрочной целью этой национальной жилищной стратегии была ликвидация бездомности, улучшение жилищных условий тех, кто не имеет надлежащего жилья, и обеспечение всех минимальным уровнем основных услуг и удобств.  После тщательного изучения в 1998 году стала осуществляться нынешняя национальная жилищная стратегия.</w:t>
      </w:r>
    </w:p>
    <w:p w:rsidR="00000000" w:rsidRDefault="00000000">
      <w:pPr>
        <w:pStyle w:val="112"/>
      </w:pPr>
      <w:r>
        <w:t>415.</w:t>
      </w:r>
      <w:r>
        <w:tab/>
        <w:t>После начала осуществления в 1998 году нынешней национальной стратегии в области жилищного строительства и Хабитат в вопросах жилья и населенных пунктов произошли серьезные изменения.  За несколько последних лет в секторе жилья и недвижимости произошел ряд изменений.  Кроме того, одна из основных рекомендаций, высказанных конференцией министров штатов и союзных территорий  по вопросам жилья, организованной министерством 29–30 ноября 2004 года в Нью-Дели, заключалась в пересмотре и переработке действующей жилищной стратегии.</w:t>
      </w:r>
    </w:p>
    <w:p w:rsidR="00000000" w:rsidRDefault="00000000">
      <w:pPr>
        <w:pStyle w:val="112"/>
      </w:pPr>
      <w:r>
        <w:t>416.</w:t>
      </w:r>
      <w:r>
        <w:tab/>
        <w:t>Целевая группа, образованная министерством, представила министерству официальный проект стратегии.  Центральной темой предложенной стратегии является развитие активных партнерских отношений между государственным и частным секторами для решения жилищных и инфраструктурных проблем.  Роль правительства будет заключаться в обеспечении возможностей и предоставлении финансовых льгот, осуществлении правовых и нормативных реформ и создании благоприятных условий.  Предполагается, что другой партнер – частный сектор – выступит в качестве фактического исполнителя строительных работ и инвестора, а также будет обеспечивать инфраструктурные услуги.  Кроме того, частный сектор мог бы также строить дома для ЭНГ/ГНД с помощью перекрестного субсидирования.  При наличии послаблений и других льгот государственный сектор, тем не менее, сохранит за собой ключевую роль в обеспечении социальным жильем ЭНГ/ГНД.  Важным компонентом стратегии развития социального жилья считается предлагаемая национальная миссия обновления городов.</w:t>
      </w:r>
    </w:p>
    <w:p w:rsidR="00000000" w:rsidRDefault="00000000">
      <w:pPr>
        <w:pStyle w:val="112"/>
      </w:pPr>
      <w:r>
        <w:t>417.</w:t>
      </w:r>
      <w:r>
        <w:tab/>
        <w:t>В рамках этой стратегии запланировано также дальнейшее расширение финансовых льгот и стимулов, с тем чтобы заинтересовать, убедить и подтолкнуть самые различные стороны к участию в строительстве жилья и создании инфраструктуры.  Однако государственный сектор будет и впредь принимать непосредственные меры для защиты интересов бедных и маргинализированных слоев индийского общества.</w:t>
      </w:r>
    </w:p>
    <w:p w:rsidR="00000000" w:rsidRDefault="00000000">
      <w:pPr>
        <w:jc w:val="both"/>
        <w:rPr>
          <w:b/>
          <w:bCs/>
          <w:sz w:val="22"/>
          <w:szCs w:val="22"/>
        </w:rPr>
      </w:pPr>
    </w:p>
    <w:p w:rsidR="00000000" w:rsidRDefault="00000000">
      <w:pPr>
        <w:jc w:val="both"/>
        <w:rPr>
          <w:b/>
          <w:bCs/>
          <w:sz w:val="22"/>
          <w:szCs w:val="22"/>
        </w:rPr>
      </w:pPr>
      <w:r>
        <w:rPr>
          <w:b/>
          <w:bCs/>
          <w:sz w:val="22"/>
          <w:szCs w:val="22"/>
        </w:rPr>
        <w:t>Роль жилья</w:t>
      </w:r>
    </w:p>
    <w:p w:rsidR="00000000" w:rsidRDefault="00000000">
      <w:pPr>
        <w:pStyle w:val="112"/>
      </w:pPr>
      <w:r>
        <w:t>418.</w:t>
      </w:r>
      <w:r>
        <w:tab/>
        <w:t>Жилье не только представляет собой одну из основных потребностей городских жителей, но и является ключом к ускорению темпов развития.  Инвестиции в жилищное строительство, как и в любой другой сектор, обладают эффектом мультипликации для доходов и занятости.  Согласно расчетам, общее количество создаваемых в экономике рабочих мест вследствие дополнительных инвестиций в жилищный/строительный сектор в восемь раз превышает количество рабочих мест, создаваемых за счет прямой помощи в трудоустройстве (исследование "</w:t>
      </w:r>
      <w:r>
        <w:rPr>
          <w:lang w:val="en-US"/>
        </w:rPr>
        <w:t>IIM</w:t>
      </w:r>
      <w:r>
        <w:t>-</w:t>
      </w:r>
      <w:r>
        <w:rPr>
          <w:lang w:val="en-US"/>
        </w:rPr>
        <w:t>Ahmedabad</w:t>
      </w:r>
      <w:r>
        <w:t>" 2000 года).  Сектор строительства обеспечивает занятость 16% рабочей силы (абсолютное число в 1997 году составляло 14,6 млн. человек).  Его темпы роста составляют 7%.  При этом на долю одного лишь сектора жилищного строительства приходится 8,55 млн. работников.  Однако почти 55% из них заняты неквалифицированным трудом.  Повышение квалификации привело бы к повышению получаемых работниками доходов.  Сектор жилья обеспечивает работой различные категории людей, в том числе, что весьма важно, бедноту.  Сектор жилья предоставляет также возможности для развития надомной экономической деятельности.  В то же время надлежащее жилье определяет и состояние здоровья жильцов.  Следовательно, учитывая соображения, связанные с состоянием здоровья и доходами, жилищный сектор является весьма важным инструментом сокращения масштабов нищеты и создания рабочих мест.</w:t>
      </w:r>
    </w:p>
    <w:p w:rsidR="00000000" w:rsidRDefault="00000000">
      <w:pPr>
        <w:pStyle w:val="112"/>
      </w:pPr>
      <w:r>
        <w:t>419.</w:t>
      </w:r>
      <w:r>
        <w:tab/>
        <w:t>В этом проекте стратегии предусматривается, что правительство должно уделять особое внимание обеспечению жильем всего населения и развитию соответствующей инфраструктуры, в особенности в том, что касается бедноты и поощрения экономического развития, улучшения качества жизни и создания безопасных условий.  В этой связи правительство Индии учредило НМОГ (Национальную миссию по обновлению городов) в целях ускорения предоставления земли, жилья и инфраструктуры с учетом потребностей экономического развития с заострением внимания на сбалансированном региональном развитии, сокращении  масштабов нищеты и быстром экономическом развитии.</w:t>
      </w:r>
    </w:p>
    <w:p w:rsidR="00000000" w:rsidRDefault="00000000">
      <w:pPr>
        <w:pStyle w:val="112"/>
      </w:pPr>
      <w:r>
        <w:t>420.</w:t>
      </w:r>
      <w:r>
        <w:tab/>
        <w:t>В этой связи был подготовлен проект записки кабинета министров, который был  распространен среди соответствующих министерств и ведомств для их комментариев.  Предполагается получить комментарии некоторых министерств и департаментов.  Было решено поставить этот вопрос перед Комитетом секретарей (КС).</w:t>
      </w:r>
    </w:p>
    <w:p w:rsidR="00000000" w:rsidRDefault="00000000">
      <w:pPr>
        <w:pStyle w:val="112"/>
        <w:rPr>
          <w:rStyle w:val="111"/>
          <w:szCs w:val="22"/>
        </w:rPr>
      </w:pPr>
      <w:r>
        <w:rPr>
          <w:rStyle w:val="111"/>
          <w:szCs w:val="22"/>
        </w:rPr>
        <w:t>421.</w:t>
      </w:r>
      <w:r>
        <w:rPr>
          <w:rStyle w:val="111"/>
          <w:szCs w:val="22"/>
        </w:rPr>
        <w:tab/>
        <w:t xml:space="preserve">В 1998–1999 годах в целях содействия осуществлению Национальной повестки дня в области управления и стратегии НСЖСХ 1998 года был принят специальный план действий в области жилищного строительства (получивший название </w:t>
      </w:r>
      <w:r>
        <w:rPr>
          <w:i/>
        </w:rPr>
        <w:t>Программа двух миллионов домов</w:t>
      </w:r>
      <w:r>
        <w:rPr>
          <w:rStyle w:val="111"/>
          <w:szCs w:val="22"/>
        </w:rPr>
        <w:t>) для обеспечения строительства надлежащего жилья, особенно для экономически неблагополучных групп населения и групп с низкими доходами, а также для удовлетворения потребностей СК/СП и других уязвимых групп.  Из 2 млн. новых домов 700 тыс. будут построены в городах, а остальные 1,3 млн. – в сельской местности.  Правительство приступило также к реализации всеобъемлющего плана действий по строительству сельского жилья, стимулируя строительство 2,5 млн. домов ежегодно в сельских районах, а также улучшение необустроенных построек "катча".</w:t>
      </w:r>
    </w:p>
    <w:p w:rsidR="00000000" w:rsidRDefault="00000000">
      <w:pPr>
        <w:pStyle w:val="112"/>
      </w:pPr>
      <w:r>
        <w:t>422.</w:t>
      </w:r>
      <w:r>
        <w:tab/>
        <w:t>Правительство осуществляет также множество программ в сельской местности и городах по обеспечению безопасной питьевой водой, улучшению санитарных условий и энергоснабжению, а также по обеспечению подъездных путей ко всем населенным пунктам.  Принимаются также меры по контролю миграции из сельских районов в города в поисках работы и лучшей жизни.  Предпринимаются шаги по созданию удобных для пользователей правового режима, бюджетной и финансовой системы при обеспечении жильем и по поощрению строительства благоприятного для окружающей среды и недорогостоящего жилья.  Принят пакет стимулов и льгот для привлечения частного сектора.</w:t>
      </w:r>
    </w:p>
    <w:p w:rsidR="00000000" w:rsidRDefault="00000000">
      <w:pPr>
        <w:jc w:val="both"/>
        <w:rPr>
          <w:b/>
          <w:bCs/>
          <w:sz w:val="22"/>
          <w:szCs w:val="22"/>
        </w:rPr>
      </w:pPr>
    </w:p>
    <w:p w:rsidR="00000000" w:rsidRDefault="00000000">
      <w:pPr>
        <w:jc w:val="both"/>
        <w:rPr>
          <w:b/>
          <w:bCs/>
          <w:sz w:val="22"/>
          <w:szCs w:val="22"/>
        </w:rPr>
      </w:pPr>
      <w:r>
        <w:rPr>
          <w:b/>
          <w:bCs/>
          <w:sz w:val="22"/>
          <w:szCs w:val="22"/>
        </w:rPr>
        <w:t>Правовые реформы</w:t>
      </w:r>
    </w:p>
    <w:p w:rsidR="00000000" w:rsidRDefault="00000000">
      <w:pPr>
        <w:pStyle w:val="112"/>
      </w:pPr>
      <w:r>
        <w:t>423.</w:t>
      </w:r>
      <w:r>
        <w:tab/>
        <w:t>Закон о земельных участках в городах (предельные размеры и регулирование) 1976 года, который представлял собой основную трудность для укрупнения земельных участков в городах, был отменен в 1999 году.  Предполагается, что почти 0,2 млн. га городских земель будет предоставлено непосредственно под жилищное строительство.  В Закон о национальном жилищном банке 1987 года были внесены поправки, касающиеся облегчения порядка перехода заложенной недвижимости в собственность залогодержателя, в целях укрепления доверия инвесторов и обеспечения притока бóльших средств в жилищный сектор.</w:t>
      </w:r>
    </w:p>
    <w:p w:rsidR="00000000" w:rsidRDefault="00000000">
      <w:pPr>
        <w:pStyle w:val="112"/>
      </w:pPr>
      <w:r>
        <w:t>424.</w:t>
      </w:r>
      <w:r>
        <w:tab/>
        <w:t xml:space="preserve">Многие штаты выполнили рекомендации центрального правительства о рационализации гербового сбора с целью облегчения тягот, связанных с оформлением  документов по жилищному сектору.  Рекомендовано внести изменения в Закон о регистрации в плане упрощения процедур регистрации собственности и ипотеки.  Предложено установить жесткий налог на неиспользуемые земли для поощрения строительства посредством дестимулирования захламления земель. </w:t>
      </w:r>
    </w:p>
    <w:p w:rsidR="00000000" w:rsidRDefault="00000000">
      <w:pPr>
        <w:pStyle w:val="112"/>
      </w:pPr>
      <w:r>
        <w:t>425.</w:t>
      </w:r>
      <w:r>
        <w:tab/>
        <w:t>Рассматриваются поправки к Закону о приобретении земель в целях облегчения приобретения земель в общественных целях без судебных разбирательств.  Это будет способствовать застройке трущоб на частных землях путем сокращения задержек в процессе приобретения земель.  Центральное правительство распространило также среди штатов для принятия типовые законы об аренде, собственности на квартиры и регулировании имущественных вопросов.  Некоторыми штатами эти меры уже приняты.</w:t>
      </w:r>
    </w:p>
    <w:p w:rsidR="00000000" w:rsidRDefault="00000000">
      <w:pPr>
        <w:pStyle w:val="112"/>
      </w:pPr>
      <w:r>
        <w:t>426.</w:t>
      </w:r>
      <w:r>
        <w:tab/>
        <w:t>Корпорация жилищного и городского развития (КЖГР), которая финансирует программу создания доходного жилья и городского развития, и Национальная федерация жилищных кооперативов тоже подготовили типовые законы, с тем чтобы жилищные советы  и жилищные кооперативы стали более эффективными в вопросах обеспечения жильем.</w:t>
      </w:r>
    </w:p>
    <w:p w:rsidR="00000000" w:rsidRDefault="00000000">
      <w:pPr>
        <w:jc w:val="both"/>
        <w:rPr>
          <w:b/>
          <w:bCs/>
          <w:sz w:val="22"/>
          <w:szCs w:val="22"/>
        </w:rPr>
      </w:pPr>
    </w:p>
    <w:p w:rsidR="00000000" w:rsidRDefault="00000000">
      <w:pPr>
        <w:jc w:val="both"/>
        <w:rPr>
          <w:b/>
          <w:bCs/>
          <w:sz w:val="22"/>
          <w:szCs w:val="22"/>
        </w:rPr>
      </w:pPr>
      <w:r>
        <w:rPr>
          <w:b/>
          <w:bCs/>
          <w:sz w:val="22"/>
          <w:szCs w:val="22"/>
        </w:rPr>
        <w:t>Обеспечение права владения</w:t>
      </w:r>
    </w:p>
    <w:p w:rsidR="00000000" w:rsidRDefault="00000000">
      <w:pPr>
        <w:pStyle w:val="112"/>
      </w:pPr>
      <w:r>
        <w:t>427.</w:t>
      </w:r>
      <w:r>
        <w:tab/>
        <w:t>Правительство решает проблему права владения в трущобах в рамках долгосрочной стратегии, состоящей из трех компонентов, а именно:</w:t>
      </w:r>
    </w:p>
    <w:p w:rsidR="00000000" w:rsidRDefault="00000000">
      <w:pPr>
        <w:spacing w:before="240" w:after="240"/>
        <w:ind w:left="709" w:hanging="709"/>
        <w:jc w:val="both"/>
        <w:rPr>
          <w:sz w:val="22"/>
          <w:szCs w:val="22"/>
        </w:rPr>
      </w:pPr>
      <w:r>
        <w:rPr>
          <w:sz w:val="22"/>
          <w:szCs w:val="22"/>
        </w:rPr>
        <w:t>[</w:t>
      </w:r>
      <w:r>
        <w:rPr>
          <w:sz w:val="22"/>
          <w:szCs w:val="22"/>
          <w:lang w:val="en-US"/>
        </w:rPr>
        <w:t>a</w:t>
      </w:r>
      <w:r>
        <w:rPr>
          <w:sz w:val="22"/>
          <w:szCs w:val="22"/>
        </w:rPr>
        <w:t>]</w:t>
      </w:r>
      <w:r>
        <w:rPr>
          <w:sz w:val="22"/>
          <w:szCs w:val="22"/>
        </w:rPr>
        <w:tab/>
        <w:t>перестройка трущоб на местах;</w:t>
      </w:r>
    </w:p>
    <w:p w:rsidR="00000000" w:rsidRDefault="00000000">
      <w:pPr>
        <w:spacing w:after="240"/>
        <w:ind w:left="709" w:hanging="709"/>
        <w:jc w:val="both"/>
        <w:rPr>
          <w:sz w:val="22"/>
          <w:szCs w:val="22"/>
        </w:rPr>
      </w:pPr>
      <w:r>
        <w:rPr>
          <w:sz w:val="22"/>
          <w:szCs w:val="22"/>
        </w:rPr>
        <w:t>[</w:t>
      </w:r>
      <w:r>
        <w:rPr>
          <w:sz w:val="22"/>
          <w:szCs w:val="22"/>
          <w:lang w:val="en-US"/>
        </w:rPr>
        <w:t>b</w:t>
      </w:r>
      <w:r>
        <w:rPr>
          <w:sz w:val="22"/>
          <w:szCs w:val="22"/>
        </w:rPr>
        <w:t>]</w:t>
      </w:r>
      <w:r>
        <w:rPr>
          <w:sz w:val="22"/>
          <w:szCs w:val="22"/>
        </w:rPr>
        <w:tab/>
        <w:t>частичная перестройка на местах и частичное переселение в тех случаях, когда необходимость переселения диктует состояние части земель;</w:t>
      </w:r>
    </w:p>
    <w:p w:rsidR="00000000" w:rsidRDefault="00000000">
      <w:pPr>
        <w:ind w:left="709" w:hanging="709"/>
        <w:jc w:val="both"/>
        <w:rPr>
          <w:sz w:val="22"/>
          <w:szCs w:val="22"/>
        </w:rPr>
      </w:pPr>
      <w:r>
        <w:rPr>
          <w:sz w:val="22"/>
          <w:szCs w:val="22"/>
        </w:rPr>
        <w:t>[</w:t>
      </w:r>
      <w:r>
        <w:rPr>
          <w:sz w:val="22"/>
          <w:szCs w:val="22"/>
          <w:lang w:val="en-US"/>
        </w:rPr>
        <w:t>c</w:t>
      </w:r>
      <w:r>
        <w:rPr>
          <w:sz w:val="22"/>
          <w:szCs w:val="22"/>
        </w:rPr>
        <w:t>]</w:t>
      </w:r>
      <w:r>
        <w:rPr>
          <w:sz w:val="22"/>
          <w:szCs w:val="22"/>
        </w:rPr>
        <w:tab/>
        <w:t>переселение жителей трущоб в соответствии с проектами, предусматривающими комплекс всех преимуществ, необходимых для улучшения качества жизни.</w:t>
      </w:r>
    </w:p>
    <w:p w:rsidR="00000000" w:rsidRDefault="00000000">
      <w:pPr>
        <w:pStyle w:val="112"/>
      </w:pPr>
      <w:r>
        <w:t>Подготовлена национальная стратегия переселения и реабилитации семей, затронутых осуществлением проектов, которая в настоящее время находится на рассмотрении правительства.</w:t>
      </w:r>
    </w:p>
    <w:p w:rsidR="00000000" w:rsidRDefault="00000000">
      <w:pPr>
        <w:jc w:val="both"/>
        <w:rPr>
          <w:b/>
          <w:bCs/>
          <w:sz w:val="22"/>
          <w:szCs w:val="22"/>
        </w:rPr>
      </w:pPr>
    </w:p>
    <w:p w:rsidR="00000000" w:rsidRDefault="00000000">
      <w:pPr>
        <w:jc w:val="both"/>
        <w:rPr>
          <w:b/>
          <w:bCs/>
          <w:sz w:val="22"/>
          <w:szCs w:val="22"/>
        </w:rPr>
      </w:pPr>
      <w:r>
        <w:rPr>
          <w:b/>
          <w:bCs/>
          <w:sz w:val="22"/>
          <w:szCs w:val="22"/>
        </w:rPr>
        <w:t>Краткая заметка о переселении жителей трущоб в Дели</w:t>
      </w:r>
    </w:p>
    <w:p w:rsidR="00000000" w:rsidRDefault="00000000">
      <w:pPr>
        <w:pStyle w:val="112"/>
      </w:pPr>
      <w:r>
        <w:t>428.</w:t>
      </w:r>
      <w:r>
        <w:tab/>
        <w:t>По оценкам Департамента по делам трущоб и джагги-джопри (МГР), в Дели имеется около 1080 кварталов джагги, в которых проживают около 600 тыс. семей джагги.  Эти жители джагги в основном проживают на общественных землях ДВР и других местных органов.  Политика правительства заключается не в принудительном выселении, а в переселении или улучшении положения на местах.</w:t>
      </w:r>
    </w:p>
    <w:p w:rsidR="00000000" w:rsidRDefault="00000000">
      <w:pPr>
        <w:pStyle w:val="112"/>
      </w:pPr>
      <w:r>
        <w:t>429.</w:t>
      </w:r>
      <w:r>
        <w:tab/>
        <w:t>Правительство НСТ Дели после 1990 года приняло следующую стратегию в отношении жителей трущоб/джагги.</w:t>
      </w:r>
    </w:p>
    <w:p w:rsidR="00000000" w:rsidRDefault="00000000">
      <w:pPr>
        <w:pStyle w:val="112"/>
        <w:spacing w:after="240"/>
        <w:ind w:left="1134" w:hanging="1134"/>
      </w:pPr>
      <w:r>
        <w:tab/>
      </w:r>
      <w:r>
        <w:rPr>
          <w:lang w:val="en-US"/>
        </w:rPr>
        <w:t>i</w:t>
      </w:r>
      <w:r>
        <w:t>)</w:t>
      </w:r>
      <w:r>
        <w:tab/>
        <w:t>В тех случаях, когда земли срочно требуются в общественных целях, жители кварталов джагги-джопри переселяются на участки, размеченные ДВР/МГР после приобретения земли.  Лицам, являвшимися скваттерами до 1990 года, выделяются участки площадью 18 кв.м, а тем, кто являлся скваттерами после 1990 года, но до 31 декабря 1998 года, – 12,5 кв.м.  Распределение осуществляется на основе лицензионных сборов.</w:t>
      </w:r>
    </w:p>
    <w:p w:rsidR="00000000" w:rsidRDefault="00000000">
      <w:pPr>
        <w:pStyle w:val="112"/>
        <w:spacing w:before="0" w:after="240"/>
        <w:ind w:left="1134" w:hanging="1134"/>
      </w:pPr>
      <w:r>
        <w:tab/>
      </w:r>
      <w:r>
        <w:rPr>
          <w:lang w:val="en-US"/>
        </w:rPr>
        <w:t>ii</w:t>
      </w:r>
      <w:r>
        <w:t>)</w:t>
      </w:r>
      <w:r>
        <w:tab/>
        <w:t>Перестройка кварталов джагги-джопри на местах в тех случаях, когда агентство, владеющее землей, дает уведомление на тот счет, что ему не понадобится земля в обозримом будущем.</w:t>
      </w:r>
    </w:p>
    <w:p w:rsidR="00000000" w:rsidRDefault="00000000">
      <w:pPr>
        <w:pStyle w:val="112"/>
        <w:spacing w:before="0"/>
        <w:ind w:left="1134" w:hanging="1134"/>
      </w:pPr>
      <w:r>
        <w:tab/>
      </w:r>
      <w:r>
        <w:rPr>
          <w:lang w:val="en-US"/>
        </w:rPr>
        <w:t>iii</w:t>
      </w:r>
      <w:r>
        <w:t>)</w:t>
      </w:r>
      <w:r>
        <w:tab/>
        <w:t xml:space="preserve">В кварталах джагги-джопри, которые не подпадают под категории </w:t>
      </w:r>
      <w:r>
        <w:rPr>
          <w:lang w:val="en-US"/>
        </w:rPr>
        <w:t>i</w:t>
      </w:r>
      <w:r>
        <w:t xml:space="preserve">) и </w:t>
      </w:r>
      <w:r>
        <w:rPr>
          <w:lang w:val="en-US"/>
        </w:rPr>
        <w:t>ii</w:t>
      </w:r>
      <w:r>
        <w:t>), выше, обеспечиваются такие удобства, как водоснабжение, уличное освещение, дороги, дождевые водостоки и т. д.</w:t>
      </w:r>
    </w:p>
    <w:p w:rsidR="00000000" w:rsidRDefault="00000000">
      <w:pPr>
        <w:pStyle w:val="112"/>
      </w:pPr>
      <w:r>
        <w:t>430.</w:t>
      </w:r>
      <w:r>
        <w:tab/>
        <w:t>Переселение жителей джагги в основном осуществляется отделом МГР по делам трущоб и джагги-джопри.  ДВР также переселяет скваттеров со своих земель в соответствии с вышеизложенной политикой.</w:t>
      </w:r>
    </w:p>
    <w:p w:rsidR="00000000" w:rsidRDefault="00000000">
      <w:pPr>
        <w:pStyle w:val="112"/>
        <w:spacing w:after="240"/>
      </w:pPr>
      <w:r>
        <w:t>431.</w:t>
      </w:r>
      <w:r>
        <w:tab/>
        <w:t>Стоимость участка для переселения покрывается совместно агентством, владеющим землей, из плана помощи правительства НСТ Дели и бенефициаром следующим образом:</w:t>
      </w:r>
    </w:p>
    <w:p w:rsidR="00000000" w:rsidRDefault="00000000">
      <w:pPr>
        <w:numPr>
          <w:ilvl w:val="0"/>
          <w:numId w:val="7"/>
        </w:numPr>
        <w:tabs>
          <w:tab w:val="clear" w:pos="720"/>
          <w:tab w:val="left" w:pos="567"/>
          <w:tab w:val="left" w:pos="1134"/>
          <w:tab w:val="left" w:pos="1701"/>
          <w:tab w:val="left" w:pos="2268"/>
          <w:tab w:val="left" w:pos="6237"/>
        </w:tabs>
        <w:spacing w:after="240"/>
        <w:ind w:left="1122" w:hanging="402"/>
        <w:jc w:val="both"/>
        <w:rPr>
          <w:sz w:val="22"/>
          <w:szCs w:val="22"/>
        </w:rPr>
      </w:pPr>
      <w:r>
        <w:rPr>
          <w:sz w:val="22"/>
          <w:szCs w:val="22"/>
        </w:rPr>
        <w:t xml:space="preserve">44 тыс. рупий – за участок площадью 18 кв.м (доля агентств, владеющих землей, составляет 29 тыс. рупий, плана помощи ПНСТД – 10 тыс. рупий, взнос бенефициаров – </w:t>
      </w:r>
      <w:r>
        <w:rPr>
          <w:sz w:val="22"/>
          <w:szCs w:val="22"/>
        </w:rPr>
        <w:br/>
        <w:t>5 тыс. рупий)</w:t>
      </w:r>
    </w:p>
    <w:p w:rsidR="00000000" w:rsidRDefault="00000000">
      <w:pPr>
        <w:numPr>
          <w:ilvl w:val="0"/>
          <w:numId w:val="7"/>
        </w:numPr>
        <w:tabs>
          <w:tab w:val="clear" w:pos="720"/>
          <w:tab w:val="left" w:pos="567"/>
          <w:tab w:val="left" w:pos="1134"/>
          <w:tab w:val="left" w:pos="1701"/>
          <w:tab w:val="left" w:pos="2268"/>
          <w:tab w:val="left" w:pos="6237"/>
        </w:tabs>
        <w:ind w:left="1122" w:hanging="402"/>
        <w:jc w:val="both"/>
        <w:rPr>
          <w:sz w:val="22"/>
          <w:szCs w:val="22"/>
        </w:rPr>
      </w:pPr>
      <w:r>
        <w:rPr>
          <w:sz w:val="22"/>
          <w:szCs w:val="22"/>
        </w:rPr>
        <w:t xml:space="preserve">35 тыс. рупий – за участок площадью 12,5 кв.м (доля агентств, владеющих землей, составляет 20 тыс. рупий, плана помощи ПНСТД – 10 тыс. рупий, взнос бенефициаров – </w:t>
      </w:r>
      <w:r>
        <w:rPr>
          <w:sz w:val="22"/>
          <w:szCs w:val="22"/>
        </w:rPr>
        <w:br/>
        <w:t>5 тыс. рупий).</w:t>
      </w:r>
    </w:p>
    <w:p w:rsidR="00000000" w:rsidRDefault="00000000">
      <w:pPr>
        <w:pStyle w:val="112"/>
      </w:pPr>
      <w:r>
        <w:t>432.</w:t>
      </w:r>
      <w:r>
        <w:tab/>
        <w:t>Высокий суд Дели в постановлении, принятом 29 ноября 2002 года по делам CWP NO.4441/94 &amp; No.2112/2002 Okhla Factory Owners Association vs. GNCTD &amp; others и Wazirpur Bartan Nirman Sangh vs. Union of India, признал политику переселения недействительной.  Индийский Союз и правительство НСТ Дели подали апелляцию на это постановление в Верховный суд.  В результате рассмотрения этой петиции высшая судебная инстанция в своих распоряжениях от 19 февраля 2003 года и 3 марта 2003 года приостановила исполнение постановления досточтимого Высокого суда Дели и разрешила правительству продолжать осуществление действующей политики и предоставлять землю для целей переселения.</w:t>
      </w:r>
    </w:p>
    <w:p w:rsidR="00000000" w:rsidRDefault="00000000">
      <w:pPr>
        <w:jc w:val="both"/>
        <w:rPr>
          <w:b/>
          <w:bCs/>
          <w:sz w:val="22"/>
          <w:szCs w:val="22"/>
        </w:rPr>
      </w:pPr>
    </w:p>
    <w:p w:rsidR="00000000" w:rsidRDefault="00000000">
      <w:pPr>
        <w:spacing w:before="60"/>
        <w:jc w:val="both"/>
        <w:rPr>
          <w:b/>
          <w:bCs/>
          <w:sz w:val="22"/>
          <w:szCs w:val="22"/>
        </w:rPr>
      </w:pPr>
      <w:r>
        <w:rPr>
          <w:b/>
          <w:bCs/>
          <w:sz w:val="22"/>
          <w:szCs w:val="22"/>
        </w:rPr>
        <w:t>Финансовая поддержка</w:t>
      </w:r>
    </w:p>
    <w:p w:rsidR="00000000" w:rsidRDefault="00000000">
      <w:pPr>
        <w:pStyle w:val="112"/>
      </w:pPr>
      <w:r>
        <w:t>433.</w:t>
      </w:r>
      <w:r>
        <w:tab/>
        <w:t>Национальный жилищный банк (НЖБ), созданный в 1988 году, осуществляет надзор и контроль за деятельностью различных учреждений, занимающихся финансированием жилья.  С августа 1997 года НЖБ осуществляет план, в рамках которого ссуда на строительство дома на земле владельца или на ремонт старого дома в сельской местности предоставляется при том условии, что получатель ссуды должен покрывать одну треть общей стоимости из своих собственных источников.</w:t>
      </w:r>
    </w:p>
    <w:p w:rsidR="00000000" w:rsidRDefault="00000000">
      <w:pPr>
        <w:jc w:val="both"/>
        <w:rPr>
          <w:b/>
          <w:bCs/>
          <w:sz w:val="22"/>
          <w:szCs w:val="22"/>
        </w:rPr>
      </w:pPr>
    </w:p>
    <w:p w:rsidR="00000000" w:rsidRDefault="00000000">
      <w:pPr>
        <w:keepNext/>
        <w:spacing w:before="60"/>
        <w:jc w:val="both"/>
        <w:rPr>
          <w:b/>
          <w:bCs/>
          <w:sz w:val="22"/>
          <w:szCs w:val="22"/>
        </w:rPr>
      </w:pPr>
      <w:r>
        <w:rPr>
          <w:b/>
          <w:bCs/>
          <w:sz w:val="22"/>
          <w:szCs w:val="22"/>
        </w:rPr>
        <w:t>Сотрудничество в области жилищного и городского развития</w:t>
      </w:r>
    </w:p>
    <w:p w:rsidR="00000000" w:rsidRDefault="00000000">
      <w:pPr>
        <w:pStyle w:val="112"/>
        <w:keepNext/>
        <w:spacing w:after="240"/>
      </w:pPr>
      <w:r>
        <w:t>434.</w:t>
      </w:r>
      <w:r>
        <w:tab/>
        <w:t xml:space="preserve">Корпорация жилищного и городского развития (КЖГР) была создана в 1970 году как полностью государственная компания, занимающаяся финансированием и предпринимательской деятельностью.  </w:t>
      </w:r>
    </w:p>
    <w:p w:rsidR="00000000" w:rsidRDefault="00000000">
      <w:pPr>
        <w:numPr>
          <w:ilvl w:val="0"/>
          <w:numId w:val="8"/>
        </w:numPr>
        <w:tabs>
          <w:tab w:val="clear" w:pos="720"/>
          <w:tab w:val="left" w:pos="567"/>
          <w:tab w:val="num" w:pos="1122"/>
          <w:tab w:val="left" w:pos="1701"/>
          <w:tab w:val="left" w:pos="2268"/>
          <w:tab w:val="left" w:pos="6237"/>
        </w:tabs>
        <w:spacing w:after="240"/>
        <w:ind w:left="1122" w:hanging="402"/>
        <w:jc w:val="both"/>
        <w:rPr>
          <w:sz w:val="22"/>
          <w:szCs w:val="22"/>
        </w:rPr>
      </w:pPr>
      <w:r>
        <w:rPr>
          <w:sz w:val="22"/>
          <w:szCs w:val="22"/>
        </w:rPr>
        <w:t>Программа жилищного и городского развития в Индии, в которой особое внимание уделяется недорогостоящему жилью.</w:t>
      </w:r>
    </w:p>
    <w:p w:rsidR="00000000" w:rsidRDefault="00000000">
      <w:pPr>
        <w:numPr>
          <w:ilvl w:val="0"/>
          <w:numId w:val="8"/>
        </w:numPr>
        <w:tabs>
          <w:tab w:val="clear" w:pos="720"/>
          <w:tab w:val="left" w:pos="567"/>
          <w:tab w:val="num" w:pos="1122"/>
          <w:tab w:val="left" w:pos="1701"/>
          <w:tab w:val="left" w:pos="2268"/>
          <w:tab w:val="left" w:pos="6237"/>
        </w:tabs>
        <w:spacing w:after="240"/>
        <w:ind w:left="1122" w:hanging="402"/>
        <w:jc w:val="both"/>
        <w:rPr>
          <w:sz w:val="22"/>
          <w:szCs w:val="22"/>
        </w:rPr>
      </w:pPr>
      <w:r>
        <w:rPr>
          <w:sz w:val="22"/>
          <w:szCs w:val="22"/>
        </w:rPr>
        <w:t>Создание новых жилых районов и соответствующей инфраструктуры для них.</w:t>
      </w:r>
    </w:p>
    <w:p w:rsidR="00000000" w:rsidRDefault="00000000">
      <w:pPr>
        <w:numPr>
          <w:ilvl w:val="0"/>
          <w:numId w:val="8"/>
        </w:numPr>
        <w:tabs>
          <w:tab w:val="clear" w:pos="720"/>
          <w:tab w:val="left" w:pos="567"/>
          <w:tab w:val="num" w:pos="1122"/>
          <w:tab w:val="left" w:pos="1701"/>
          <w:tab w:val="left" w:pos="2268"/>
          <w:tab w:val="left" w:pos="6237"/>
        </w:tabs>
        <w:spacing w:after="240"/>
        <w:ind w:left="1122" w:hanging="402"/>
        <w:jc w:val="both"/>
        <w:rPr>
          <w:sz w:val="22"/>
          <w:szCs w:val="22"/>
        </w:rPr>
      </w:pPr>
      <w:r>
        <w:rPr>
          <w:sz w:val="22"/>
          <w:szCs w:val="22"/>
        </w:rPr>
        <w:t>Развитие технологии и производства  строительных материалов.</w:t>
      </w:r>
    </w:p>
    <w:p w:rsidR="00000000" w:rsidRDefault="00000000">
      <w:pPr>
        <w:numPr>
          <w:ilvl w:val="0"/>
          <w:numId w:val="8"/>
        </w:numPr>
        <w:tabs>
          <w:tab w:val="clear" w:pos="720"/>
          <w:tab w:val="left" w:pos="567"/>
          <w:tab w:val="num" w:pos="1122"/>
          <w:tab w:val="left" w:pos="1701"/>
          <w:tab w:val="left" w:pos="2268"/>
          <w:tab w:val="left" w:pos="6237"/>
        </w:tabs>
        <w:ind w:left="1122" w:hanging="402"/>
        <w:jc w:val="both"/>
        <w:rPr>
          <w:sz w:val="22"/>
          <w:szCs w:val="22"/>
        </w:rPr>
      </w:pPr>
      <w:r>
        <w:rPr>
          <w:sz w:val="22"/>
          <w:szCs w:val="22"/>
        </w:rPr>
        <w:t>Консультативные услуги в Индии и за рубежом.</w:t>
      </w:r>
    </w:p>
    <w:p w:rsidR="00000000" w:rsidRDefault="00000000">
      <w:pPr>
        <w:jc w:val="both"/>
        <w:rPr>
          <w:b/>
          <w:bCs/>
          <w:sz w:val="22"/>
          <w:szCs w:val="22"/>
        </w:rPr>
      </w:pPr>
    </w:p>
    <w:p w:rsidR="00000000" w:rsidRDefault="00000000">
      <w:pPr>
        <w:jc w:val="both"/>
        <w:rPr>
          <w:b/>
          <w:bCs/>
          <w:sz w:val="22"/>
          <w:szCs w:val="22"/>
        </w:rPr>
      </w:pPr>
      <w:r>
        <w:rPr>
          <w:b/>
          <w:bCs/>
          <w:sz w:val="22"/>
          <w:szCs w:val="22"/>
        </w:rPr>
        <w:t>База ресурсов</w:t>
      </w:r>
    </w:p>
    <w:p w:rsidR="00000000" w:rsidRDefault="00000000">
      <w:pPr>
        <w:pStyle w:val="112"/>
      </w:pPr>
      <w:r>
        <w:t>435.</w:t>
      </w:r>
      <w:r>
        <w:tab/>
        <w:t>При начальном  базовом акционерном капитале в 20 млн. рупий в настоящее время КЖГР имеет оплаченный капитал в размере 20 010,9 млн. рупий и обладает непроверенным в рамках аудита резервом и активным сальдо в размере 15 590,37 млн. рупий (по состоянию на 31 декабря 2005 года).</w:t>
      </w:r>
    </w:p>
    <w:p w:rsidR="00000000" w:rsidRDefault="00000000">
      <w:pPr>
        <w:jc w:val="both"/>
        <w:rPr>
          <w:b/>
          <w:sz w:val="22"/>
          <w:szCs w:val="22"/>
        </w:rPr>
      </w:pPr>
    </w:p>
    <w:p w:rsidR="00000000" w:rsidRDefault="00000000">
      <w:pPr>
        <w:spacing w:before="60"/>
        <w:jc w:val="both"/>
        <w:rPr>
          <w:b/>
          <w:sz w:val="22"/>
          <w:szCs w:val="22"/>
        </w:rPr>
      </w:pPr>
      <w:r>
        <w:rPr>
          <w:b/>
          <w:sz w:val="22"/>
          <w:szCs w:val="22"/>
        </w:rPr>
        <w:t>Жилищное строительство</w:t>
      </w:r>
    </w:p>
    <w:p w:rsidR="00000000" w:rsidRDefault="00000000">
      <w:pPr>
        <w:pStyle w:val="112"/>
      </w:pPr>
      <w:r>
        <w:t>436.</w:t>
      </w:r>
      <w:r>
        <w:tab/>
        <w:t>По состоянию на 28 февраля 2006 года КЖГР содействовала строительству 14,13 млн. единиц жилья и реконструкции 41,28 млн. единиц жилья во всей стране.  Из них 8,6 млн. домов построено с целью удовлетворения жилищных потребностей в сельской местности, а остальные 5,53 млн. – жилищных потребностей в городах.</w:t>
      </w:r>
    </w:p>
    <w:p w:rsidR="00000000" w:rsidRDefault="00000000">
      <w:pPr>
        <w:pStyle w:val="112"/>
      </w:pPr>
      <w:r>
        <w:t>437.</w:t>
      </w:r>
      <w:r>
        <w:tab/>
        <w:t>55% преференциальных жилищных займов КЖГР было предоставлено представителям экономически неблагополучной группы населения (ЭНГ) и группы с низкими доходами (ГНД) по льготной процентной ставке от 8,5% (плавающая) до 9,5% (плавающая) в отношении 90% единиц жилья, санкционированных КЖГР для этих групп общества.</w:t>
      </w:r>
    </w:p>
    <w:p w:rsidR="00000000" w:rsidRDefault="00000000">
      <w:pPr>
        <w:pStyle w:val="112"/>
      </w:pPr>
      <w:r>
        <w:t>438.</w:t>
      </w:r>
      <w:r>
        <w:tab/>
        <w:t>За последние 34 года КЖГР оказало помощь людям  более чем в 1788 городах и сотнях деревень.  Значительная доля помощи оказывается в рамках проектов для  обеспечения того, чтобы жилье было доступным, технически надежным, приемлемым с финансовой и с юридической точек зрения и, прежде всего, соответствовало экологическим требованиям.</w:t>
      </w:r>
    </w:p>
    <w:p w:rsidR="00000000" w:rsidRDefault="00000000">
      <w:pPr>
        <w:pStyle w:val="112"/>
        <w:rPr>
          <w:rStyle w:val="111"/>
          <w:szCs w:val="22"/>
        </w:rPr>
      </w:pPr>
      <w:r>
        <w:rPr>
          <w:rStyle w:val="111"/>
          <w:szCs w:val="22"/>
        </w:rPr>
        <w:t>439.</w:t>
      </w:r>
      <w:r>
        <w:rPr>
          <w:rStyle w:val="111"/>
          <w:szCs w:val="22"/>
        </w:rPr>
        <w:tab/>
        <w:t xml:space="preserve">КЖГР играет одну из основных ролей в осуществлении Национальной жилищной стратегии.  Ей поручено осуществление таких приоритетных программ министерства, как недорогостоящие санитарно-профилактические мероприятия, организация ночлежных домов для бездомных, модернизация приютов по сельскому жилищному проекту </w:t>
      </w:r>
      <w:r>
        <w:rPr>
          <w:i/>
        </w:rPr>
        <w:t>Неру Розгар Йоджана</w:t>
      </w:r>
      <w:r>
        <w:rPr>
          <w:rStyle w:val="111"/>
          <w:szCs w:val="22"/>
        </w:rPr>
        <w:t>, строительство жилья в сельской местности в рамках программы обеспечения минимальных потребностей.</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 xml:space="preserve">План КЖГР "Нивас" </w:t>
      </w:r>
    </w:p>
    <w:p w:rsidR="00000000" w:rsidRDefault="00000000">
      <w:pPr>
        <w:pStyle w:val="112"/>
      </w:pPr>
      <w:r>
        <w:t>440.</w:t>
      </w:r>
      <w:r>
        <w:tab/>
        <w:t>Осуществляемый КЖГР с марта 1999 года план индивидуального ипотечного кредитования "Нивас" успешно функционирует в течение уже шести лет.  Имея сеть из 37 отделений по всей Индии, план "Нивас" КЖГР охватывает столицы всех штатов и союзных территорий.  В рамках этого плана предоставляются выгодные для клиентов кредиты по фиксированной и плавающей процентным ставкам для различных целей, таких как строительство дома, приобретение дома/участка, реконструкция дома, регистрация собственности, ипотечные кредиты и т. д., с ценными дополнительными льготами.</w:t>
      </w:r>
    </w:p>
    <w:p w:rsidR="00000000" w:rsidRDefault="00000000">
      <w:pPr>
        <w:pStyle w:val="112"/>
      </w:pPr>
      <w:r>
        <w:t>441.</w:t>
      </w:r>
      <w:r>
        <w:tab/>
        <w:t>Национальное общество жилищных кооперативов занимается предоставлением жилья через сеть из 90 000 обществ по всей стране.  В целях поощрения деятельности по обеспечению жильем правительство предоставляет этим обществам ряд льгот.  В обеспечении жильем и создании общинной инфраструктуры за счет микрокредитования самостоятельной занятости и строительства домов все более активно участвуют НПО.  Государственным банкам также предписано ежегодно ссужать 3% от своих дополнительных депозитов жилищному сектору.</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Финансовые стимулы для социального жилья</w:t>
      </w:r>
    </w:p>
    <w:p w:rsidR="00000000" w:rsidRDefault="00000000">
      <w:pPr>
        <w:pStyle w:val="112"/>
      </w:pPr>
      <w:r>
        <w:t>442.</w:t>
      </w:r>
      <w:r>
        <w:tab/>
        <w:t xml:space="preserve">В настоящем документе описываются общая система и основные аспекты финансовых стимулов, предоставляемых в Индии на цели развития социального жилья.  В документе определяются также аспекты, заслуживающие дальнейшего рассмотрения правительством Индии для оказания содействия заинтересованным сторонам в ускорении предоставления социального жилья на благотворительной основе.  К ним относятся определение масштабов предоставления жилья по месту работы, аренда жилья для пожилых лиц и поощрение инвестиций в реконструкцию городов.  </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Новые направления</w:t>
      </w:r>
    </w:p>
    <w:p w:rsidR="00000000" w:rsidRDefault="00000000">
      <w:pPr>
        <w:pStyle w:val="112"/>
      </w:pPr>
      <w:r>
        <w:t>443.</w:t>
      </w:r>
      <w:r>
        <w:tab/>
        <w:t>Особого упоминания заслуживает внимание, уделяемое в Индии социальному жилью в течение последних 15 лет, что началось  с политики экономической либерализации 1991 года,  национальной жилищной стратегии 1994 года, Национальной стратегии в области жилищного строительства и Хабитат 1998 года и последующих мер в порядке осуществления 73-й и 74</w:t>
      </w:r>
      <w:r>
        <w:noBreakHyphen/>
        <w:t>й поправок к Конституции, принятых в 1992 году.  Эти стратегические инициативы конкретно направлены на наделение государственного сектора ролью "содействующей стороны" в деле децентрализации и развития финансовых инициатив и льгот.</w:t>
      </w:r>
    </w:p>
    <w:p w:rsidR="00000000" w:rsidRDefault="00000000">
      <w:pPr>
        <w:jc w:val="both"/>
        <w:rPr>
          <w:b/>
          <w:bCs/>
          <w:sz w:val="22"/>
          <w:szCs w:val="22"/>
        </w:rPr>
      </w:pPr>
    </w:p>
    <w:p w:rsidR="00000000" w:rsidRDefault="00000000">
      <w:pPr>
        <w:jc w:val="both"/>
        <w:rPr>
          <w:b/>
          <w:bCs/>
          <w:sz w:val="22"/>
          <w:szCs w:val="22"/>
        </w:rPr>
      </w:pPr>
      <w:r>
        <w:rPr>
          <w:b/>
          <w:bCs/>
          <w:sz w:val="22"/>
          <w:szCs w:val="22"/>
        </w:rPr>
        <w:t>Потребности в социальном жилье</w:t>
      </w:r>
    </w:p>
    <w:p w:rsidR="00000000" w:rsidRDefault="00000000">
      <w:pPr>
        <w:pStyle w:val="112"/>
      </w:pPr>
      <w:r>
        <w:t>444.</w:t>
      </w:r>
      <w:r>
        <w:tab/>
        <w:t>Согласно расчетам, потребности в социальном жилье на плановый период 2002–2007 годов составляют 22,4 млн. единиц (Комиссия по планированию).  Бóльшая часть этих потребностей приходится на долю социального жилья.  Более 80% этих потребностей приходится на долю экономически неблагополучных групп населения и групп с низкими доходами.  Согласно переписи населения, проведенной в Индии в 2001 году, около 20 млн. семей (37% всех городских домохозяйств) не имели отдельных комнат или жили в однокомнатных помещениях.  Таким образом, жилищная проблема в городах в такой же мере связана с проблемой перенаселенности и обветшалости жилого фонда, как и с дефицитом жилья.  Понятно, что в условиях переполненности и в обветшалом жилье проживают бедные слои населения.</w:t>
      </w:r>
    </w:p>
    <w:p w:rsidR="00000000" w:rsidRDefault="00000000">
      <w:pPr>
        <w:jc w:val="both"/>
        <w:rPr>
          <w:b/>
          <w:bCs/>
          <w:sz w:val="22"/>
          <w:szCs w:val="22"/>
        </w:rPr>
      </w:pPr>
    </w:p>
    <w:p w:rsidR="00000000" w:rsidRDefault="00000000">
      <w:pPr>
        <w:jc w:val="both"/>
        <w:rPr>
          <w:b/>
          <w:bCs/>
          <w:sz w:val="22"/>
          <w:szCs w:val="22"/>
        </w:rPr>
      </w:pPr>
      <w:r>
        <w:rPr>
          <w:b/>
          <w:bCs/>
          <w:sz w:val="22"/>
          <w:szCs w:val="22"/>
        </w:rPr>
        <w:t>Финансовые стимулы</w:t>
      </w:r>
    </w:p>
    <w:p w:rsidR="00000000" w:rsidRDefault="00000000">
      <w:pPr>
        <w:pStyle w:val="112"/>
      </w:pPr>
      <w:r>
        <w:t>445.</w:t>
      </w:r>
      <w:r>
        <w:tab/>
        <w:t>Правительство Индии обеспечивает ряд финансовых стимулов для поощрения инвестиций в социальное жилье.  К ним относятся освобождение от подоходного налога и налоговые льготы, а также аналогичные шаги в отношении налога на имущество. В то же время финансовым учреждениям также предоставляются льготы в отношении преференциальных внешних ссуд.  За несколько последних лет это оказало благоприятное воздействие на предложение социального жилья.  С учетом масштабов и характера потребностей в социальном жилье рассматривается возможность предоставления дополнительных финансовых льгот в целях стимулирования инвестиций в социальное и арендное жилье и расширения его предложения (что может стать доступным вариантом обеспечения жильем групп с низкими доходами), инвестиций в реконструкцию, ремонт, увеличение и обновление жилого фонда.  Эти финансовые льготы станут эффективным средством развития социального жилья, что прямо связано с производительностью, окружающей средой, качеством жизни и справедливостью.</w:t>
      </w:r>
    </w:p>
    <w:p w:rsidR="00000000" w:rsidRDefault="00000000">
      <w:pPr>
        <w:pStyle w:val="112"/>
      </w:pPr>
      <w:r>
        <w:t>446.</w:t>
      </w:r>
      <w:r>
        <w:tab/>
        <w:t>Основными сферами действия финансовых льгот и сферами, где могут быть предоставлены дополнительные льготы, являются следующие:</w:t>
      </w:r>
    </w:p>
    <w:p w:rsidR="00000000" w:rsidRDefault="00000000">
      <w:pPr>
        <w:pStyle w:val="112"/>
        <w:spacing w:after="120"/>
      </w:pPr>
      <w:r>
        <w:tab/>
        <w:t xml:space="preserve">i) </w:t>
      </w:r>
      <w:r>
        <w:tab/>
        <w:t>льготные ссуды на социальное жилье;</w:t>
      </w:r>
    </w:p>
    <w:p w:rsidR="00000000" w:rsidRDefault="00000000">
      <w:pPr>
        <w:pStyle w:val="112"/>
        <w:spacing w:before="0" w:after="120"/>
      </w:pPr>
      <w:r>
        <w:tab/>
        <w:t>ii)</w:t>
      </w:r>
      <w:r>
        <w:tab/>
        <w:t>арендное жилье;</w:t>
      </w:r>
    </w:p>
    <w:p w:rsidR="00000000" w:rsidRDefault="00000000">
      <w:pPr>
        <w:pStyle w:val="112"/>
        <w:spacing w:before="0" w:after="120"/>
      </w:pPr>
      <w:r>
        <w:tab/>
        <w:t>iii)</w:t>
      </w:r>
      <w:r>
        <w:tab/>
        <w:t>жилье для сотрудников и работников, предоставляемое работодателями;</w:t>
      </w:r>
    </w:p>
    <w:p w:rsidR="00000000" w:rsidRDefault="00000000">
      <w:pPr>
        <w:pStyle w:val="112"/>
        <w:spacing w:before="0" w:after="120"/>
      </w:pPr>
      <w:r>
        <w:tab/>
        <w:t>iv)</w:t>
      </w:r>
      <w:r>
        <w:tab/>
        <w:t>жилье для пожилых лиц;</w:t>
      </w:r>
    </w:p>
    <w:p w:rsidR="00000000" w:rsidRDefault="00000000">
      <w:pPr>
        <w:pStyle w:val="112"/>
        <w:spacing w:before="0" w:after="120"/>
      </w:pPr>
      <w:r>
        <w:tab/>
        <w:t>v )</w:t>
      </w:r>
      <w:r>
        <w:tab/>
        <w:t>поощрение инвестиций в увеличение, обновление и ремонт жилого фонда;  и</w:t>
      </w:r>
    </w:p>
    <w:p w:rsidR="00000000" w:rsidRDefault="00000000">
      <w:pPr>
        <w:pStyle w:val="112"/>
        <w:spacing w:before="0"/>
      </w:pPr>
      <w:r>
        <w:tab/>
        <w:t>vi)</w:t>
      </w:r>
      <w:r>
        <w:tab/>
        <w:t>сохранение действующих финансовых стимулов в соответствии с разделами  24 и 88.</w:t>
      </w:r>
    </w:p>
    <w:p w:rsidR="00000000" w:rsidRDefault="00000000">
      <w:pPr>
        <w:pStyle w:val="112"/>
      </w:pPr>
      <w:r>
        <w:tab/>
        <w:t xml:space="preserve">i) </w:t>
      </w:r>
      <w:r>
        <w:tab/>
        <w:t>Льготные ссуды на социальное жилье.</w:t>
      </w:r>
    </w:p>
    <w:p w:rsidR="00000000" w:rsidRDefault="00000000">
      <w:pPr>
        <w:pStyle w:val="112"/>
        <w:rPr>
          <w:rStyle w:val="111"/>
          <w:szCs w:val="22"/>
        </w:rPr>
      </w:pPr>
      <w:r>
        <w:rPr>
          <w:rStyle w:val="111"/>
          <w:szCs w:val="22"/>
        </w:rPr>
        <w:tab/>
        <w:t xml:space="preserve">Правительство Индии предоставляет льготные ссуды широкому кругу государственных жилищных агентств по различным планам (например, жилье для ЭНГ, VAMBY, НПРТ), которые включают в себя межпроектные и внутрипроектные субсидии.  Они предоставляются по дифференцированным процентным ставкам в пользу бедноты в соответствии с нормами, установленными Комиссией по планированию правительства Индии.  В рамках проекта </w:t>
      </w:r>
      <w:r>
        <w:rPr>
          <w:i/>
        </w:rPr>
        <w:t>Вальмики Амбедкар Авас Йоджана</w:t>
      </w:r>
      <w:r>
        <w:rPr>
          <w:rStyle w:val="111"/>
          <w:szCs w:val="22"/>
        </w:rPr>
        <w:t xml:space="preserve"> (VAMBAY) ссуды на приобретение жилья предоставляются городской бедноте, тогда как целью Национальной программы развития трущоб (НПРТ) является предоставление базовых услуг жителям городских трущоб.  Социальное жилье связано также с поддержкой формирования доходов для бедноты.  Правительство Индии стало осуществлять программу </w:t>
      </w:r>
      <w:r>
        <w:rPr>
          <w:i/>
        </w:rPr>
        <w:t>Сварна Джайянти Шари Роджгар Йоджана</w:t>
      </w:r>
      <w:r>
        <w:rPr>
          <w:rStyle w:val="111"/>
          <w:szCs w:val="22"/>
        </w:rPr>
        <w:t xml:space="preserve"> (SJSRY), в рамках которой создаются общинные структуры, позволяющие мобилизовывать сбережения и использовать субсидируемые ссудные финансовые средства для создания рабочих мест и формирования доходов.  Это осуществляется во всех городских центрах страны.  Жилищные советы (ЖС) и органы развития (ОР) играют выдающуюся роль в предоставлении жилья группам с низкими доходами.  По расчетам Национальной федерации жилищных кооперативов, 87% единиц жилья, построенных ЖС, и 66% таких единиц, построенных ОР, состоят из одной-двух комнат.  Эти единицы жилья могут быть доступны группам с низкими доходами.  ЖС и ОР необходимо предоставлять больше льготных ссуд, с тем чтобы они могли обеспечивать жильем экономически неблагополучные группы населения (ЭНГ) и группы с низкими доходами (ГНД) (в рамках льготы, предусматриваемой статьей 10 (23G) Закона о подоходном налоге).</w:t>
      </w:r>
    </w:p>
    <w:p w:rsidR="00000000" w:rsidRDefault="00000000">
      <w:pPr>
        <w:pStyle w:val="112"/>
      </w:pPr>
      <w:r>
        <w:tab/>
        <w:t>ii)</w:t>
      </w:r>
      <w:r>
        <w:tab/>
        <w:t>Арендное жилье</w:t>
      </w:r>
    </w:p>
    <w:p w:rsidR="00000000" w:rsidRDefault="00000000">
      <w:pPr>
        <w:pStyle w:val="112"/>
      </w:pPr>
      <w:r>
        <w:tab/>
        <w:t>Арендное жилье является удобным/доступным вариантом не только для бедноты, но также и для только что созданных семей, молодежи и мобильного населения.  На этапе экономического роста мобильность ценится особо, поэтому важно, чтобы вариант, предполагающий аренду жилья, имелся в распоряжении широких слоев населения.  Его отсутствие или дороговизна могут уменьшить мобильность и снизить производительность.  Причиной роста трущоб в городах является именно отсутствие доступного арендного жилья для групп с низкими доходами (ГНД).  В настоящее время арендное жилье (АЖ) предоставляется только домохозяйствами.  Корпорации не осуществляют инвестиции в интересах ГНД, но также  групп со средними и высокими доходами (ГСД и ГВД).  Закон о контроле за арендной платой является сдерживающим фактором.  Однако даже при гипотетическом отсутствии этого закона норма доходности и инвестиций в АЖ является низкой в связи с высоким налогообложением.</w:t>
      </w:r>
    </w:p>
    <w:p w:rsidR="00000000" w:rsidRDefault="00000000">
      <w:pPr>
        <w:pStyle w:val="112"/>
        <w:spacing w:before="180"/>
      </w:pPr>
      <w:r>
        <w:tab/>
        <w:t>Для стимулирования инвестиций в арендное жилье могли бы быть рассмотрены следующие предложения:</w:t>
      </w:r>
    </w:p>
    <w:p w:rsidR="00000000" w:rsidRDefault="00000000">
      <w:pPr>
        <w:pStyle w:val="112"/>
        <w:spacing w:before="180" w:after="240"/>
        <w:ind w:left="1418" w:hanging="1418"/>
      </w:pPr>
      <w:r>
        <w:rPr>
          <w:lang w:val="en-US"/>
        </w:rPr>
        <w:tab/>
      </w:r>
      <w:r>
        <w:tab/>
        <w:t>i.</w:t>
      </w:r>
      <w:r>
        <w:tab/>
        <w:t>Освобождение от налога на доход от арендного жилья в том случае, если арендный доход на единицу жилья составляет менее 15 000 рупий в год (или общая площадь составляет менее 500 кв. футов), и фиксированная ставка такого налога в размере 10% – в случае превышения этих лимитов.</w:t>
      </w:r>
    </w:p>
    <w:p w:rsidR="00000000" w:rsidRDefault="00000000">
      <w:pPr>
        <w:pStyle w:val="112"/>
        <w:spacing w:before="0" w:after="240"/>
        <w:ind w:left="1418" w:hanging="1418"/>
      </w:pPr>
      <w:r>
        <w:rPr>
          <w:lang w:val="en-US"/>
        </w:rPr>
        <w:tab/>
      </w:r>
      <w:r>
        <w:tab/>
        <w:t>ii.</w:t>
      </w:r>
      <w:r>
        <w:tab/>
        <w:t>Ускоренная амортизация арендного жилья, построенного корпорациями для малоимущих слоев населения.  Можно было бы определить условия для выполнения этого требования.</w:t>
      </w:r>
    </w:p>
    <w:p w:rsidR="00000000" w:rsidRDefault="00000000">
      <w:pPr>
        <w:pStyle w:val="112"/>
        <w:spacing w:before="0" w:after="240"/>
        <w:ind w:left="1418" w:hanging="1418"/>
      </w:pPr>
      <w:r>
        <w:rPr>
          <w:lang w:val="en-US"/>
        </w:rPr>
        <w:tab/>
      </w:r>
      <w:r>
        <w:tab/>
        <w:t>iii. В настоящее время налог на имущество не взимается с жилищной собственности, сдаваемой в аренду на срок не менее 300 дней в году.  Поскольку это является производственным активом, с арендного жилья вообще не должен взиматься налог на имущество.</w:t>
      </w:r>
    </w:p>
    <w:p w:rsidR="00000000" w:rsidRDefault="00000000">
      <w:pPr>
        <w:pStyle w:val="112"/>
        <w:spacing w:before="0"/>
        <w:ind w:left="1418" w:hanging="1418"/>
      </w:pPr>
      <w:r>
        <w:rPr>
          <w:lang w:val="en-US"/>
        </w:rPr>
        <w:tab/>
      </w:r>
      <w:r>
        <w:tab/>
        <w:t>iv.</w:t>
      </w:r>
      <w:r>
        <w:tab/>
        <w:t>В настоящее время НВИ по аренде составляет 15% для физических лиц и 20% для корпораций.  Его можно сократить до 5%.  В случае  арендуемого жилья низкая арендная плата и разрешенные скидки приводят к снижению чистого дохода и сужению охвата налоговым обложением.  Высокий НВИ приводит к ненужному увеличению объема административной работы, связанной с обработкой заявлений о предоставлении возмещения.</w:t>
      </w:r>
    </w:p>
    <w:p w:rsidR="00000000" w:rsidRDefault="00000000">
      <w:pPr>
        <w:pStyle w:val="112"/>
      </w:pPr>
      <w:r>
        <w:tab/>
        <w:t>iii)</w:t>
      </w:r>
      <w:r>
        <w:tab/>
        <w:t>Жилье для сотрудников и работников, предоставляемое работодателями.</w:t>
      </w:r>
    </w:p>
    <w:p w:rsidR="00000000" w:rsidRDefault="00000000">
      <w:pPr>
        <w:pStyle w:val="112"/>
        <w:spacing w:before="180"/>
      </w:pPr>
      <w:r>
        <w:tab/>
        <w:t>Большая доля городских жителей, включая городскую бедноту, работает на предприятиях или в других предпринимательских структурах.  За счет обеспечения сотрудников жильем могут быть улучшены их жилищные условия.  В настоящее время в случае жилья для сотрудников предусмотрена норма амортизации в размере 40%.  Поскольку доходы от сдачи в аренду такого жилья не обеспечат достаточную норму прибыли (НП) от инвестиций в жилье для сотрудников, работодателям, обеспечивающих жильем своих сотрудников, могут предоставляться финансовые льготы.  Для принятия соответствующих стратегических мер наметились следующие сферы:</w:t>
      </w:r>
    </w:p>
    <w:p w:rsidR="00000000" w:rsidRDefault="00000000">
      <w:pPr>
        <w:pStyle w:val="112"/>
        <w:spacing w:before="180"/>
        <w:ind w:left="1418" w:hanging="1418"/>
      </w:pPr>
      <w:r>
        <w:rPr>
          <w:lang w:val="en-US"/>
        </w:rPr>
        <w:tab/>
      </w:r>
      <w:r>
        <w:tab/>
        <w:t>i)</w:t>
      </w:r>
      <w:r>
        <w:tab/>
        <w:t>Ускоренная амортизация приобретаемого или построенного нового жилья для персонала.</w:t>
      </w:r>
    </w:p>
    <w:p w:rsidR="00000000" w:rsidRDefault="00000000">
      <w:pPr>
        <w:pStyle w:val="112"/>
        <w:spacing w:before="0"/>
        <w:ind w:left="1134" w:hanging="1134"/>
        <w:rPr>
          <w:lang w:val="en-US"/>
        </w:rPr>
      </w:pPr>
    </w:p>
    <w:p w:rsidR="00000000" w:rsidRDefault="00000000">
      <w:pPr>
        <w:pStyle w:val="112"/>
        <w:spacing w:before="0"/>
        <w:ind w:left="1418" w:hanging="1418"/>
      </w:pPr>
      <w:r>
        <w:tab/>
      </w:r>
      <w:r>
        <w:rPr>
          <w:lang w:val="en-US"/>
        </w:rPr>
        <w:tab/>
      </w:r>
      <w:r>
        <w:t>ii)</w:t>
      </w:r>
      <w:r>
        <w:tab/>
        <w:t>Освобождение от подоходного налога, взимаемого с доходов от сдачи в аренду такого жилья сотрудникам.  Это сократит масштабы роста трущоб, улучшит жилищные условия сотрудников, а также уменьшит давление на городской транспорт.</w:t>
      </w:r>
    </w:p>
    <w:p w:rsidR="00000000" w:rsidRDefault="00000000">
      <w:pPr>
        <w:pStyle w:val="112"/>
      </w:pPr>
      <w:r>
        <w:tab/>
        <w:t>iv)</w:t>
      </w:r>
      <w:r>
        <w:tab/>
        <w:t>Жилье для пожилых лиц</w:t>
      </w:r>
    </w:p>
    <w:p w:rsidR="00000000" w:rsidRDefault="00000000">
      <w:pPr>
        <w:pStyle w:val="112"/>
        <w:ind w:left="1418" w:hanging="1418"/>
      </w:pPr>
      <w:r>
        <w:tab/>
      </w:r>
      <w:r>
        <w:tab/>
        <w:t>i.</w:t>
      </w:r>
      <w:r>
        <w:tab/>
        <w:t>В настоящее время освобождение от налога на прирост капитала представляется в том случае, если выручка от продажи жилого дома инвестируется в другой жилой дом или в специальные облигации на определенный период.  На данном этапе жизненного цикла это может не представлять собой оптимального варианта для пожилых лиц.  Поэтому необходимо, чтобы налог на прирост капитала не взимался с выручки, полученной от продажи единицы жилья, находящейся в собственности пожилого человека.  В качестве альтернативного варианта  соответствующие активы могли бы инвестироваться, в частности, в дома престарелых.</w:t>
      </w:r>
    </w:p>
    <w:p w:rsidR="00000000" w:rsidRDefault="00000000">
      <w:pPr>
        <w:pStyle w:val="112"/>
        <w:ind w:left="1418" w:hanging="1418"/>
      </w:pPr>
      <w:r>
        <w:tab/>
      </w:r>
      <w:r>
        <w:tab/>
        <w:t>ii.</w:t>
      </w:r>
      <w:r>
        <w:tab/>
        <w:t>Все большая и большая доля пожилых лиц по своему выбору или в силу необходимости будут отдавать предпочтение такому варианту.  Помимо предоставляемых государством, остальные дома престарелых оказываются очень дорогими.  Для стимулирования инвестиций в дома престарелых финансовые стимулы, предоставляемые на жилищные проекты в соответствии со статьями 10 (23</w:t>
      </w:r>
      <w:r>
        <w:rPr>
          <w:lang w:val="en-US"/>
        </w:rPr>
        <w:t>G</w:t>
      </w:r>
      <w:r>
        <w:t>) и 801В, необходимо также распространить и на дома престарелых.</w:t>
      </w:r>
    </w:p>
    <w:p w:rsidR="00000000" w:rsidRDefault="00000000">
      <w:pPr>
        <w:pStyle w:val="112"/>
      </w:pPr>
      <w:r>
        <w:tab/>
      </w:r>
      <w:r>
        <w:rPr>
          <w:lang w:val="en-US"/>
        </w:rPr>
        <w:t>v</w:t>
      </w:r>
      <w:r>
        <w:t>)</w:t>
      </w:r>
      <w:r>
        <w:tab/>
        <w:t>Поощрение инвестиций в расширение, обновление и ремонт</w:t>
      </w:r>
    </w:p>
    <w:p w:rsidR="00000000" w:rsidRDefault="00000000">
      <w:pPr>
        <w:pStyle w:val="112"/>
      </w:pPr>
      <w:r>
        <w:tab/>
        <w:t xml:space="preserve">Необходимо иметь положение, которое распространялось бы на проекты, осуществляемые с целью ремонта, обновления, уплотнения и модификации.  В настоящее время статья 88 Закона о ПН допускает вычет из подоходного налога 20% конкретно оговоренных инвестиций.  В категорию конкретно оговоренных инвестиций входят выплаты в счет погашения ссуды, взятой на цели приобретения или строительства жилищной собственности.  В целях поощрения расходов на ремонт/обновление и т. д. льготу, предусматриваемую статьей 88, необходимо также распространить на ремонт и т. п. в пределах 30 000 рупий.  Она должна предоставляться как на собственность, в которой проживают владельцы, так и на арендуемое жилье.  </w:t>
      </w:r>
    </w:p>
    <w:p w:rsidR="00000000" w:rsidRDefault="00000000">
      <w:pPr>
        <w:pStyle w:val="112"/>
      </w:pPr>
      <w:r>
        <w:tab/>
      </w:r>
      <w:r>
        <w:rPr>
          <w:lang w:val="en-US"/>
        </w:rPr>
        <w:t>vi</w:t>
      </w:r>
      <w:r>
        <w:t>)</w:t>
      </w:r>
      <w:r>
        <w:tab/>
        <w:t>Сохранение действующих финансовых стимулов, предусматриваемых статьями 24 и 88</w:t>
      </w:r>
    </w:p>
    <w:p w:rsidR="00000000" w:rsidRDefault="00000000">
      <w:pPr>
        <w:pStyle w:val="112"/>
      </w:pPr>
      <w:r>
        <w:tab/>
        <w:t xml:space="preserve">Действующие стимулы (в соответствии со статьями 24 и 88) уменьшили стоимость финансирования жилья для значительной доли населения, сделав жилье более доступным.  Финансовые стимулы для групп ГНД/ГСД также оказывают позитивное воздействие на социальное жилье, поскольку они сведут к минимуму масштабы фильтрации.  В этом отношении на рассмотрение разработчиков политики могут быть представлены самые различные финансовые стимулы.  К их числу относятся:  </w:t>
      </w:r>
    </w:p>
    <w:p w:rsidR="00000000" w:rsidRDefault="00000000">
      <w:pPr>
        <w:pStyle w:val="112"/>
        <w:spacing w:after="240"/>
        <w:ind w:left="1134" w:hanging="1134"/>
      </w:pPr>
      <w:r>
        <w:tab/>
      </w:r>
      <w:r>
        <w:rPr>
          <w:lang w:val="en-US"/>
        </w:rPr>
        <w:t>i</w:t>
      </w:r>
      <w:r>
        <w:t>)</w:t>
      </w:r>
      <w:r>
        <w:tab/>
        <w:t>Инвестиции в жилье на сумму до 1,5 млн. рупий должны освобождаться от подходного налога в течение пятилетнего периода.  Это даст моментальный и сильный толчком жилищному строительству и экономической деятельности.</w:t>
      </w:r>
    </w:p>
    <w:p w:rsidR="00000000" w:rsidRDefault="00000000">
      <w:pPr>
        <w:pStyle w:val="112"/>
        <w:spacing w:before="0" w:after="240"/>
        <w:ind w:left="1134" w:hanging="1134"/>
      </w:pPr>
      <w:r>
        <w:tab/>
      </w:r>
      <w:r>
        <w:rPr>
          <w:lang w:val="en-US"/>
        </w:rPr>
        <w:t>ii</w:t>
      </w:r>
      <w:r>
        <w:t>)</w:t>
      </w:r>
      <w:r>
        <w:tab/>
        <w:t>В настоящее время дома, в которых проживают их владельцы, освобождены от налога на имущество.  Это ограничение, предполагающее освобождение от налога только в отношении одного дома, следует отменить.</w:t>
      </w:r>
    </w:p>
    <w:p w:rsidR="00000000" w:rsidRDefault="00000000">
      <w:pPr>
        <w:pStyle w:val="112"/>
        <w:spacing w:before="0" w:after="240"/>
        <w:ind w:left="1134" w:hanging="1134"/>
      </w:pPr>
      <w:r>
        <w:tab/>
      </w:r>
      <w:r>
        <w:rPr>
          <w:lang w:val="en-US"/>
        </w:rPr>
        <w:t>iii</w:t>
      </w:r>
      <w:r>
        <w:t>)</w:t>
      </w:r>
      <w:r>
        <w:tab/>
        <w:t xml:space="preserve">Владельцам жилой площади, на которой они сами проживают, должны предоставляться амортизационные льготы/вычеты на ремонт/техническое обслуживание и обновление и с налога на жилье на сумму до 10 000 рупий в год.  </w:t>
      </w:r>
    </w:p>
    <w:p w:rsidR="00000000" w:rsidRDefault="00000000">
      <w:pPr>
        <w:pStyle w:val="112"/>
        <w:spacing w:before="0" w:after="240"/>
        <w:ind w:left="1134" w:hanging="1134"/>
      </w:pPr>
      <w:r>
        <w:tab/>
      </w:r>
      <w:r>
        <w:rPr>
          <w:lang w:val="en-US"/>
        </w:rPr>
        <w:t>iv</w:t>
      </w:r>
      <w:r>
        <w:t>)</w:t>
      </w:r>
      <w:r>
        <w:tab/>
        <w:t>Облигации, выпускаемые городскими властями для финансирования  развития городской инфраструктуры, не подлежат налогообложению.  Этот принцип следует также распространить на приюты и службы, связанные с приютами.</w:t>
      </w:r>
    </w:p>
    <w:p w:rsidR="00000000" w:rsidRDefault="00000000">
      <w:pPr>
        <w:pStyle w:val="112"/>
        <w:spacing w:before="0"/>
        <w:ind w:left="1134" w:hanging="1134"/>
      </w:pPr>
      <w:r>
        <w:tab/>
      </w:r>
      <w:r>
        <w:rPr>
          <w:lang w:val="en-US"/>
        </w:rPr>
        <w:t>v</w:t>
      </w:r>
      <w:r>
        <w:t>)</w:t>
      </w:r>
      <w:r>
        <w:tab/>
        <w:t>Поправка к статье 36</w:t>
      </w:r>
      <w:r>
        <w:rPr>
          <w:lang w:val="en-US"/>
        </w:rPr>
        <w:t> viii</w:t>
      </w:r>
      <w:r>
        <w:t>):  кредитование ИФЖ (кроме КЖГР) жилья для бедноты очень ограничено.  Чтобы поощрить ИФЖ и коммерческие банки к предоставлению ссуд на жилье для групп населения с низкими доходами, им необходимо предоставить дополнительные стимулы.  В настоящее время положение о подоходном налоге (статья 36-viii)) разрешает компаниям, занимающимся финансированием жилья, переводить в специальный резерв 40% доходов, получаемых за счет предоставления долгосрочного финансирования для целей приобретения.</w:t>
      </w:r>
    </w:p>
    <w:p w:rsidR="00000000" w:rsidRDefault="00000000">
      <w:pPr>
        <w:pStyle w:val="112"/>
      </w:pPr>
      <w:r>
        <w:t>447.</w:t>
      </w:r>
      <w:r>
        <w:tab/>
        <w:t>В 2002–2003 финансовом году был создан Фонд стимулирования городских реформ (ФСГР), с тем чтобы оказывать штатам помощь, связанную с проведением реформ.  Он использовался для предоставления стимулов в целях проведения таких конкретных городских реформ, как отмена Закона о земельных участках в городах (предельные размеры и регулирование), рационализация гербового и регистрационных сборов, реформа законов об аренде, внедрение копьютеризированного процесса регистрации, реформа налога на имущество, взимание разумных платежей с пользователей и создание в городских органах на местах системы двойной бухгалтерской проводки.  Осуществление этой программы было прекращено с 1 апреля 2005 года, и после этого она была включена в рамки предложенной и недавно созданной (3 декабря 2005 года) Национальной миссии обновления городов имени Джавахарлала Неру (ДН-НМОГ).</w:t>
      </w:r>
    </w:p>
    <w:p w:rsidR="00000000" w:rsidRDefault="00000000">
      <w:pPr>
        <w:pStyle w:val="112"/>
        <w:rPr>
          <w:rStyle w:val="111"/>
          <w:szCs w:val="22"/>
        </w:rPr>
      </w:pPr>
      <w:r>
        <w:rPr>
          <w:rStyle w:val="111"/>
          <w:szCs w:val="22"/>
        </w:rPr>
        <w:t>448.</w:t>
      </w:r>
      <w:r>
        <w:rPr>
          <w:rStyle w:val="111"/>
          <w:szCs w:val="22"/>
        </w:rPr>
        <w:tab/>
        <w:t>С учетом масштабов дефицита жилья действующие национальные фонды, несмотря на вышеуказанные меры, по-прежнему испытывают огромную нехватку  ресурсов.  С целью устранения этого дефицита и увеличения объема ресурсов, направляемых в жилищный сектор, и содействия притоку иностранной валюты для индийцев, не проживающих в Индии (ИНИ), лиц индийского происхождения и зарубежных корпораций стала осуществляться система инвестирования на цели развития жилья и недвижимости.  В январе 2002 года 100% ПИИ стало можно направлять на развитие комплексных районов, включая жилые, коммерческие помещения, отели-курорты, такие объекты городской инфраструктуры на уровне городов и районов, как дороги и мосты, а также системы скоростного общественного транспорта и производства строительных материалов</w:t>
      </w:r>
      <w:r>
        <w:rPr>
          <w:rStyle w:val="FootnoteReference"/>
          <w:szCs w:val="22"/>
        </w:rPr>
        <w:footnoteReference w:customMarkFollows="1" w:id="67"/>
        <w:t>66</w:t>
      </w:r>
      <w:r>
        <w:rPr>
          <w:rStyle w:val="111"/>
          <w:szCs w:val="22"/>
        </w:rPr>
        <w:t>.</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Технологические инициативы</w:t>
      </w:r>
    </w:p>
    <w:p w:rsidR="00000000" w:rsidRDefault="00000000">
      <w:pPr>
        <w:pStyle w:val="112"/>
      </w:pPr>
      <w:r>
        <w:t>449.</w:t>
      </w:r>
      <w:r>
        <w:tab/>
        <w:t xml:space="preserve">Национальная строительная организация (НСО) была создана в 1954 году для проведения исследований по проектировке недорогостоящего жилья, улучшению строительных и жилищных условий наряду с социально-экономическим аспектом.  Организация была реструктурирована в 1992 году в основном для того, чтобы взять на себя функции, связанные с системой управления социально-экономической информацией (СУИ) и с созданием банка данных  жилищной и инфраструктурной статистики.  В течение 2006 года снова производится ее реструктуризация, с тем чтобы ее мандат включал в себя удовлетворение статистических потребностей плановиков и разработчиков политики, работу в качестве центра документации, связанной с жильем, нищетой, трущобами и инфраструктурой, выполнение роли центра подготовки работников, занимающихся статистикой, в частности сбором, проверкой и распространением статистических данных о жилье, а также координацию деятельности со всеми государственными исследовательскими институтами, ЦНПООН и международными органами.  Совет по развитию строительной технологии (СРСТ) был создан с целью содействия крупномасштабному коммерческому производству новых строительных материалов в качестве общества, поддерживаемого </w:t>
      </w:r>
      <w:r>
        <w:rPr>
          <w:caps/>
        </w:rPr>
        <w:t>м</w:t>
      </w:r>
      <w:r>
        <w:t>инистерством по вопросам трудоустройства в городах  и сокращения масштабов нищеты.</w:t>
      </w:r>
    </w:p>
    <w:p w:rsidR="00000000" w:rsidRDefault="00000000">
      <w:pPr>
        <w:pStyle w:val="112"/>
      </w:pPr>
      <w:r>
        <w:t>450.</w:t>
      </w:r>
      <w:r>
        <w:tab/>
        <w:t>Правительства штатов, учреждения, занимающиеся развитием сельских районов, авторитетные НПО/частные предприниматели, профессиональные ассоциации, автономные учреждения и корпоративные органы, включая учреждения государственного сектора, получают от КЖГР финансовую помощь на цели создания сельских строительных центров через поддерживаемую на центральном уровне систему подготовки ремесленников и других лиц, с тем чтобы в сельские районы и города передавалась соответствующая технология.  По состоянию на 31 марта 2003 года было утверждено создание 584 строительных центра, из которых 485 стали функционировать.  Подготовку в эти центрах прошло 200 000 наших строительных рабочих.</w:t>
      </w:r>
    </w:p>
    <w:p w:rsidR="00000000" w:rsidRDefault="00000000">
      <w:pPr>
        <w:pStyle w:val="112"/>
      </w:pPr>
      <w:r>
        <w:t>451.</w:t>
      </w:r>
      <w:r>
        <w:tab/>
        <w:t>План под названием "Новаторский план развития сельского жилья и населенных пунктов" также стал осуществляться в апреле 1999</w:t>
      </w:r>
      <w:r>
        <w:rPr>
          <w:lang w:val="en-US"/>
        </w:rPr>
        <w:t> </w:t>
      </w:r>
      <w:r>
        <w:t xml:space="preserve">года в целях продвижения использования новаторских и технологически эффективных решений и материалов для жилищных проектов в сельских районах, в интересах поощрения использования рентабельных, экологичных, научно апробированных и проверенных традиционных и современных проектов, технологий и материалов.  Была учреждена Национальная миссия по жилищному строительству в сельской местности и Хабитат для содействия использованию на постоянной основе научно-технических достижений в секторе сельского жилья.  </w:t>
      </w:r>
    </w:p>
    <w:p w:rsidR="00000000" w:rsidRDefault="00000000">
      <w:pPr>
        <w:jc w:val="both"/>
        <w:rPr>
          <w:b/>
          <w:bCs/>
          <w:sz w:val="22"/>
          <w:szCs w:val="22"/>
        </w:rPr>
      </w:pPr>
    </w:p>
    <w:p w:rsidR="00000000" w:rsidRDefault="00000000">
      <w:pPr>
        <w:jc w:val="both"/>
        <w:rPr>
          <w:b/>
          <w:bCs/>
          <w:sz w:val="22"/>
          <w:szCs w:val="22"/>
        </w:rPr>
      </w:pPr>
      <w:r>
        <w:rPr>
          <w:b/>
          <w:bCs/>
          <w:sz w:val="22"/>
          <w:szCs w:val="22"/>
        </w:rPr>
        <w:t>Планы обеспечения жильем</w:t>
      </w:r>
    </w:p>
    <w:p w:rsidR="00000000" w:rsidRDefault="00000000">
      <w:pPr>
        <w:pStyle w:val="112"/>
      </w:pPr>
      <w:r>
        <w:t>452.</w:t>
      </w:r>
      <w:r>
        <w:tab/>
        <w:t>Популярностью в стране пользуются следующие поддерживаемые правительством планы обеспечения жильем и улучшения жилищных условий в городах и сельской местности.</w:t>
      </w:r>
    </w:p>
    <w:p w:rsidR="00000000" w:rsidRDefault="00000000">
      <w:pPr>
        <w:jc w:val="both"/>
        <w:rPr>
          <w:b/>
          <w:bCs/>
          <w:sz w:val="22"/>
          <w:szCs w:val="22"/>
        </w:rPr>
      </w:pPr>
    </w:p>
    <w:p w:rsidR="00000000" w:rsidRDefault="00000000">
      <w:pPr>
        <w:keepNext/>
        <w:jc w:val="both"/>
        <w:rPr>
          <w:b/>
          <w:bCs/>
          <w:sz w:val="22"/>
          <w:szCs w:val="22"/>
        </w:rPr>
      </w:pPr>
      <w:r>
        <w:rPr>
          <w:b/>
          <w:bCs/>
          <w:sz w:val="22"/>
          <w:szCs w:val="22"/>
        </w:rPr>
        <w:t>"Вальмики Амбедкар Авас Йоджана" [</w:t>
      </w:r>
      <w:r>
        <w:rPr>
          <w:b/>
          <w:bCs/>
          <w:sz w:val="22"/>
          <w:szCs w:val="22"/>
          <w:lang w:val="en-US"/>
        </w:rPr>
        <w:t>VAMBAY</w:t>
      </w:r>
      <w:r>
        <w:rPr>
          <w:b/>
          <w:bCs/>
          <w:sz w:val="22"/>
          <w:szCs w:val="22"/>
        </w:rPr>
        <w:t>]</w:t>
      </w:r>
    </w:p>
    <w:p w:rsidR="00000000" w:rsidRDefault="00000000">
      <w:pPr>
        <w:pStyle w:val="112"/>
        <w:keepNext/>
        <w:rPr>
          <w:rStyle w:val="111"/>
          <w:szCs w:val="22"/>
        </w:rPr>
      </w:pPr>
      <w:r>
        <w:rPr>
          <w:rStyle w:val="111"/>
          <w:szCs w:val="22"/>
        </w:rPr>
        <w:t>453.</w:t>
      </w:r>
      <w:r>
        <w:rPr>
          <w:rStyle w:val="111"/>
          <w:szCs w:val="22"/>
        </w:rPr>
        <w:tab/>
        <w:t xml:space="preserve">Этот план начал осуществляться в 2001 году в целях улучшения условий жизни жителей городских трущоб, находящихся за чертой бедности и лишенных надлежащего жилья, с тем чтобы оказывать содействие строительству и модернизации единиц жилья и создавать благоприятную и здоровую обстановку за счет использования общественных туалетов в рамках </w:t>
      </w:r>
      <w:r>
        <w:rPr>
          <w:i/>
        </w:rPr>
        <w:t>Нирмал Бхарат Абиян</w:t>
      </w:r>
      <w:r>
        <w:rPr>
          <w:rStyle w:val="111"/>
          <w:szCs w:val="22"/>
        </w:rPr>
        <w:t xml:space="preserve">, одного из компонентов этого плана.   Центральным правительством была выделена субсидия в размере 2919,1 млн. рупий, в т. ч. 263,7 млн. рупий штату Гуджарат для ремонта/реконструкции частично/полностью разрушенных домов жертв беспорядков.  С начала осуществления этого плана помощь была оказана в сооружении 137 659 единиц жилья и 26 093 туалетов.  </w:t>
      </w:r>
    </w:p>
    <w:p w:rsidR="00000000" w:rsidRDefault="00000000">
      <w:pPr>
        <w:jc w:val="both"/>
        <w:rPr>
          <w:b/>
          <w:bCs/>
          <w:sz w:val="22"/>
          <w:szCs w:val="22"/>
        </w:rPr>
      </w:pPr>
    </w:p>
    <w:p w:rsidR="00000000" w:rsidRDefault="00000000">
      <w:pPr>
        <w:jc w:val="both"/>
        <w:rPr>
          <w:b/>
          <w:bCs/>
          <w:sz w:val="22"/>
          <w:szCs w:val="22"/>
        </w:rPr>
      </w:pPr>
      <w:r>
        <w:rPr>
          <w:b/>
          <w:bCs/>
          <w:sz w:val="22"/>
          <w:szCs w:val="22"/>
        </w:rPr>
        <w:t>Национальная программа развития трущоб (НПРТ)</w:t>
      </w:r>
    </w:p>
    <w:p w:rsidR="00000000" w:rsidRDefault="00000000">
      <w:pPr>
        <w:pStyle w:val="112"/>
      </w:pPr>
      <w:r>
        <w:t>454.</w:t>
      </w:r>
      <w:r>
        <w:tab/>
        <w:t xml:space="preserve">Эта программа была инициирована в 1996 году для улучшения условий жизни в городских трущобах путем создания там таких бытовых удобств, как водоснабжение, дождевые водостоки, общественные бани, посредством расширения и асфальтирования улиц, строительства канализации и общественных туалетов, обеспечения уличного освещения и т. п.  Средства НПРТ используются также для создания такой коммунальной и социальной инфраструктуры, как дошкольное образование, неформальное обучение, образование для взрослых,  забота о матери и ребенке, а также детское и базовое здравоохранение, включая проведение вакцинации.  Отдельная часть этой программы предусматривает также улучшение состояния жилищ за счет строительства новых домов.  С начала осуществления этой программы и до 1 июня 2003 года были улучшены условия жизни около 36,6 млн. жителей трущоб.  </w:t>
      </w:r>
    </w:p>
    <w:p w:rsidR="00000000" w:rsidRDefault="00000000">
      <w:pPr>
        <w:jc w:val="both"/>
        <w:rPr>
          <w:b/>
          <w:bCs/>
          <w:sz w:val="22"/>
          <w:szCs w:val="22"/>
        </w:rPr>
      </w:pPr>
    </w:p>
    <w:p w:rsidR="00000000" w:rsidRDefault="00000000">
      <w:pPr>
        <w:jc w:val="both"/>
        <w:rPr>
          <w:b/>
          <w:bCs/>
          <w:sz w:val="22"/>
          <w:szCs w:val="22"/>
        </w:rPr>
      </w:pPr>
      <w:r>
        <w:rPr>
          <w:b/>
          <w:bCs/>
          <w:sz w:val="22"/>
          <w:szCs w:val="22"/>
        </w:rPr>
        <w:t>План развития ночлежных домов</w:t>
      </w:r>
    </w:p>
    <w:p w:rsidR="00000000" w:rsidRDefault="00000000">
      <w:pPr>
        <w:pStyle w:val="112"/>
      </w:pPr>
      <w:r>
        <w:t>455.</w:t>
      </w:r>
      <w:r>
        <w:tab/>
        <w:t>План развития ночлежных домов для бездомных осуществлялся в столичных и других крупных городах.  После этого, т. е. с 1 апреля 2005 года, этот план стал осуществляться на уровне штатов.</w:t>
      </w:r>
    </w:p>
    <w:p w:rsidR="00000000" w:rsidRDefault="00000000">
      <w:pPr>
        <w:jc w:val="both"/>
        <w:rPr>
          <w:b/>
          <w:bCs/>
          <w:sz w:val="22"/>
          <w:szCs w:val="22"/>
        </w:rPr>
      </w:pPr>
    </w:p>
    <w:p w:rsidR="00000000" w:rsidRDefault="00000000">
      <w:pPr>
        <w:jc w:val="both"/>
        <w:rPr>
          <w:b/>
          <w:bCs/>
          <w:sz w:val="22"/>
          <w:szCs w:val="22"/>
        </w:rPr>
      </w:pPr>
      <w:r>
        <w:rPr>
          <w:b/>
          <w:bCs/>
          <w:sz w:val="22"/>
          <w:szCs w:val="22"/>
        </w:rPr>
        <w:t>"Индира Авас Йоджана" (</w:t>
      </w:r>
      <w:r>
        <w:rPr>
          <w:b/>
          <w:bCs/>
          <w:sz w:val="22"/>
          <w:szCs w:val="22"/>
          <w:lang w:val="en-US"/>
        </w:rPr>
        <w:t>IAY</w:t>
      </w:r>
      <w:r>
        <w:rPr>
          <w:b/>
          <w:bCs/>
          <w:sz w:val="22"/>
          <w:szCs w:val="22"/>
        </w:rPr>
        <w:t>)</w:t>
      </w:r>
    </w:p>
    <w:p w:rsidR="00000000" w:rsidRDefault="00000000">
      <w:pPr>
        <w:pStyle w:val="112"/>
      </w:pPr>
      <w:r>
        <w:t>456.</w:t>
      </w:r>
      <w:r>
        <w:tab/>
        <w:t xml:space="preserve">Этот план стал осуществляться в 1985 году в целях оказания помощи жителям сельских районов, находящимся за чертой бедности и относящимся к включенным в списки кастам и племенам, освобожденным подневольным работникам и представителям других категорий каст и племен, в строительстве жилья и модернизации существующих, но малопригодных для жизни домов типа "катча".  Льготы распространяются на бывших военнослужащих, вдов и родственников сотрудников системы министерства обороны, павших в бою, и вышедших в отставку служащих военизированных формирований.  Три процента зарезервировано за инвалидами, находящимися за чертой бедности.  Предоставляемые дома записываются на имя женских членов семьи или совместно на имя  мужа и жены.  Все дома в рамках программы </w:t>
      </w:r>
      <w:r>
        <w:rPr>
          <w:lang w:val="en-US"/>
        </w:rPr>
        <w:t>IAY</w:t>
      </w:r>
      <w:r>
        <w:t xml:space="preserve"> оборудуются туалетами и бездымными "чуллахами" (печами).  С начала осуществления этой программы и до 2003 года было построено 9,3 млн. домов.  В 2002–2003 годах была выделена дополнительная сумма в размере 4125,2 млн. рупий на строительство домов для жертв стихийных бедствий, волнений и т. п. в штатах Орисса, Гуджарат, Андхра-Прадеш, Химачал-Прадеш и Джамму и Кашмир.</w:t>
      </w:r>
    </w:p>
    <w:p w:rsidR="00000000" w:rsidRDefault="00000000">
      <w:pPr>
        <w:jc w:val="both"/>
        <w:rPr>
          <w:b/>
          <w:bCs/>
          <w:sz w:val="22"/>
          <w:szCs w:val="22"/>
        </w:rPr>
      </w:pPr>
    </w:p>
    <w:p w:rsidR="00000000" w:rsidRDefault="00000000">
      <w:pPr>
        <w:jc w:val="both"/>
        <w:rPr>
          <w:b/>
          <w:bCs/>
          <w:sz w:val="22"/>
          <w:szCs w:val="22"/>
        </w:rPr>
      </w:pPr>
      <w:r>
        <w:rPr>
          <w:b/>
          <w:bCs/>
          <w:sz w:val="22"/>
          <w:szCs w:val="22"/>
        </w:rPr>
        <w:t>Программа кредитования и субсидирования (ПКС)</w:t>
      </w:r>
    </w:p>
    <w:p w:rsidR="00000000" w:rsidRDefault="00000000">
      <w:pPr>
        <w:pStyle w:val="112"/>
      </w:pPr>
      <w:r>
        <w:t>457.</w:t>
      </w:r>
      <w:r>
        <w:tab/>
        <w:t xml:space="preserve">Эта программа ориентирована на сельские семьи с ежегодным доходом до 32 000 рупий.  Субсидии предоставляются правительством, а кредиты – коммерческими банками, учреждениями, занимающимися финансированием жилья, и т. д.  С начала ее осуществления было построено </w:t>
      </w:r>
      <w:r>
        <w:br/>
        <w:t xml:space="preserve">85 564 дома.  С 2002/2003 финансового года выделение средств центрального правительства в рамках </w:t>
      </w:r>
      <w:r>
        <w:rPr>
          <w:lang w:val="en-US"/>
        </w:rPr>
        <w:t>IAY</w:t>
      </w:r>
      <w:r>
        <w:t xml:space="preserve">/ПКС стало производиться на объединенной основе.  </w:t>
      </w:r>
    </w:p>
    <w:p w:rsidR="00000000" w:rsidRDefault="00000000">
      <w:pPr>
        <w:jc w:val="both"/>
        <w:rPr>
          <w:b/>
          <w:bCs/>
          <w:sz w:val="22"/>
          <w:szCs w:val="22"/>
        </w:rPr>
      </w:pPr>
    </w:p>
    <w:p w:rsidR="00000000" w:rsidRDefault="00000000">
      <w:pPr>
        <w:keepNext/>
        <w:jc w:val="both"/>
        <w:rPr>
          <w:b/>
          <w:bCs/>
          <w:sz w:val="22"/>
          <w:szCs w:val="22"/>
        </w:rPr>
      </w:pPr>
      <w:r>
        <w:rPr>
          <w:b/>
          <w:bCs/>
          <w:sz w:val="22"/>
          <w:szCs w:val="22"/>
        </w:rPr>
        <w:t>"Самагра Авас Йоджана"</w:t>
      </w:r>
    </w:p>
    <w:p w:rsidR="00000000" w:rsidRDefault="00000000">
      <w:pPr>
        <w:pStyle w:val="112"/>
        <w:keepNext/>
      </w:pPr>
      <w:r>
        <w:t>458.</w:t>
      </w:r>
      <w:r>
        <w:tab/>
        <w:t xml:space="preserve">Эта программа является комплексным жилищным планом, объединяющим предоставление жилья, санитарно-профилактические мероприятия и обеспечение  питьевой водой для улучшения качества жизни людей, а также общей среды обитания в сельской местности, и он ориентирован в основном на лиц, находящихся за чертой бедности.  Он осуществляется в одном микрорайоне в 25 округах и 24 штатах, а также одной союзной территории.  </w:t>
      </w:r>
    </w:p>
    <w:p w:rsidR="00000000" w:rsidRDefault="00000000">
      <w:pPr>
        <w:jc w:val="both"/>
        <w:rPr>
          <w:b/>
          <w:bCs/>
          <w:sz w:val="22"/>
          <w:szCs w:val="22"/>
        </w:rPr>
      </w:pPr>
    </w:p>
    <w:p w:rsidR="00000000" w:rsidRDefault="00000000">
      <w:pPr>
        <w:rPr>
          <w:b/>
          <w:bCs/>
          <w:sz w:val="22"/>
          <w:szCs w:val="22"/>
        </w:rPr>
      </w:pPr>
      <w:r>
        <w:rPr>
          <w:b/>
          <w:bCs/>
          <w:sz w:val="22"/>
          <w:szCs w:val="22"/>
        </w:rPr>
        <w:t>Централизованная программа улучшения санитарных условий в сельских районах (ЦСУС)/</w:t>
      </w:r>
      <w:r>
        <w:rPr>
          <w:b/>
          <w:bCs/>
          <w:sz w:val="22"/>
          <w:szCs w:val="22"/>
        </w:rPr>
        <w:br/>
        <w:t>Всеобщая кампания по улучшению санитарных условий (ВКУСУ)</w:t>
      </w:r>
    </w:p>
    <w:p w:rsidR="00000000" w:rsidRDefault="00000000">
      <w:pPr>
        <w:pStyle w:val="112"/>
      </w:pPr>
      <w:r>
        <w:t>459.</w:t>
      </w:r>
      <w:r>
        <w:tab/>
        <w:t>Эта программа стала осуществляться в 1986 году для улучшения качества жизни сельского населения и обеспечения уважения частной жизни и достоинства женщин.  В 1993 году концепция санитарии была расширена за счет включения в нее понятий личной гигиены, санитарно-гигиенических удобств в домах, безопасной воды, удаления мусора, нечистот и сточных вод.  В 2004 году эта программа на поэтапной основе была преобразована во всеобщую кампанию по улучшению санитарных условий, основанную на принципах учета потребностей.  В ней подчеркивается компонент, связанный с просветительской деятельностью, а спрос удовлетворяется с использованием резервного  механизма.  В рамках ВКУСУ уже было одобрено 179 проектов.</w:t>
      </w:r>
    </w:p>
    <w:p w:rsidR="00000000" w:rsidRDefault="00000000">
      <w:pPr>
        <w:jc w:val="both"/>
        <w:rPr>
          <w:b/>
          <w:bCs/>
          <w:sz w:val="22"/>
          <w:szCs w:val="22"/>
        </w:rPr>
      </w:pPr>
    </w:p>
    <w:p w:rsidR="00000000" w:rsidRDefault="00000000">
      <w:pPr>
        <w:jc w:val="both"/>
        <w:rPr>
          <w:b/>
          <w:bCs/>
          <w:sz w:val="22"/>
          <w:szCs w:val="22"/>
        </w:rPr>
      </w:pPr>
      <w:r>
        <w:rPr>
          <w:b/>
          <w:bCs/>
          <w:sz w:val="22"/>
          <w:szCs w:val="22"/>
        </w:rPr>
        <w:t>Низкозатратный план по улучшению санитарных условий</w:t>
      </w:r>
    </w:p>
    <w:p w:rsidR="00000000" w:rsidRDefault="00000000">
      <w:pPr>
        <w:jc w:val="both"/>
        <w:rPr>
          <w:sz w:val="22"/>
          <w:szCs w:val="22"/>
        </w:rPr>
      </w:pPr>
    </w:p>
    <w:p w:rsidR="00000000" w:rsidRDefault="00000000">
      <w:pPr>
        <w:jc w:val="both"/>
        <w:rPr>
          <w:sz w:val="22"/>
          <w:szCs w:val="22"/>
        </w:rPr>
      </w:pPr>
      <w:r>
        <w:rPr>
          <w:sz w:val="22"/>
          <w:szCs w:val="22"/>
        </w:rPr>
        <w:t>460.</w:t>
      </w:r>
      <w:r>
        <w:rPr>
          <w:sz w:val="22"/>
          <w:szCs w:val="22"/>
        </w:rPr>
        <w:tab/>
        <w:t>В рамках осуществляемого через КЖГР низкозатратного плана по улучшению санитарных условий проводится работа по переоборудованию сухих латрин в недорогостоящие латрины, оборудованные смывными системами, и строительство новых, отвечающих требованиям санитарии туалетов там, где туалетов нет.  До марта 2006 года в 1533 городах было одобрено 870 планов переоборудования/строительства 4 881 817 сухих латрин/смывных туалетов.</w:t>
      </w:r>
    </w:p>
    <w:p w:rsidR="00000000" w:rsidRDefault="00000000">
      <w:pPr>
        <w:jc w:val="both"/>
        <w:rPr>
          <w:b/>
          <w:bCs/>
          <w:sz w:val="22"/>
          <w:szCs w:val="22"/>
        </w:rPr>
      </w:pPr>
    </w:p>
    <w:p w:rsidR="00000000" w:rsidRDefault="00000000">
      <w:pPr>
        <w:jc w:val="both"/>
        <w:rPr>
          <w:b/>
          <w:bCs/>
          <w:sz w:val="22"/>
          <w:szCs w:val="22"/>
        </w:rPr>
      </w:pPr>
      <w:r>
        <w:rPr>
          <w:b/>
          <w:bCs/>
          <w:sz w:val="22"/>
          <w:szCs w:val="22"/>
        </w:rPr>
        <w:t>Снабжение питьевой водой</w:t>
      </w:r>
    </w:p>
    <w:p w:rsidR="00000000" w:rsidRDefault="00000000">
      <w:pPr>
        <w:jc w:val="both"/>
        <w:rPr>
          <w:sz w:val="22"/>
          <w:szCs w:val="22"/>
        </w:rPr>
      </w:pPr>
    </w:p>
    <w:p w:rsidR="00000000" w:rsidRDefault="00000000">
      <w:pPr>
        <w:jc w:val="both"/>
        <w:rPr>
          <w:rStyle w:val="111"/>
          <w:szCs w:val="22"/>
        </w:rPr>
      </w:pPr>
      <w:r>
        <w:rPr>
          <w:rStyle w:val="111"/>
          <w:szCs w:val="22"/>
        </w:rPr>
        <w:t>461.</w:t>
      </w:r>
      <w:r>
        <w:rPr>
          <w:rStyle w:val="111"/>
          <w:szCs w:val="22"/>
        </w:rPr>
        <w:tab/>
        <w:t xml:space="preserve">Для достижения цели обеспечения безопасной питьевой водой всех сельских жилищ к 2004 году, поставленной в Национальной повестке дня в области управления, осуществляются такие программы, как "Ускоренное обеспечение питьевой водой сельских районов" (УПВСР), </w:t>
      </w:r>
      <w:r>
        <w:rPr>
          <w:i/>
          <w:sz w:val="22"/>
          <w:szCs w:val="22"/>
        </w:rPr>
        <w:t>Прадхан Мантри Грамодай Йоджана</w:t>
      </w:r>
      <w:r>
        <w:rPr>
          <w:rStyle w:val="111"/>
          <w:szCs w:val="22"/>
        </w:rPr>
        <w:t xml:space="preserve"> – "Питьевая вода для сельских районов" (ПМГЙ-ПВС).  По состоянию на март 2004 года системами снабжения питьевой водой в полной мере было обеспечено 95% сельских жилищ, а 5% было обеспечено частично и 0,4% не обеспечено вообще.</w:t>
      </w:r>
    </w:p>
    <w:p w:rsidR="00000000" w:rsidRDefault="00000000">
      <w:pPr>
        <w:pStyle w:val="112"/>
        <w:rPr>
          <w:rStyle w:val="111"/>
          <w:szCs w:val="22"/>
        </w:rPr>
      </w:pPr>
      <w:r>
        <w:rPr>
          <w:rStyle w:val="111"/>
          <w:szCs w:val="22"/>
        </w:rPr>
        <w:t>462.</w:t>
      </w:r>
      <w:r>
        <w:rPr>
          <w:rStyle w:val="111"/>
          <w:szCs w:val="22"/>
        </w:rPr>
        <w:tab/>
        <w:t xml:space="preserve">Для сокращения колоссальных операционных и управленческих издержек, а также формирования чувства сопричастности и улучшения управления эти планы были децентрализованы и ориентированы на потребителя и на общины.  Эта инициатива по проведению реформы была успешно осуществлена в 67 отдельных экспериментальных округах.  В результате она была расширена на всю страну, получив название </w:t>
      </w:r>
      <w:r>
        <w:rPr>
          <w:i/>
        </w:rPr>
        <w:t>Сваджалдхара</w:t>
      </w:r>
      <w:r>
        <w:rPr>
          <w:rStyle w:val="111"/>
          <w:szCs w:val="22"/>
        </w:rPr>
        <w:t>, которая будет осуществляться и обеспечиваться общинами и находиться в их ведении.</w:t>
      </w:r>
    </w:p>
    <w:p w:rsidR="00000000" w:rsidRDefault="00000000">
      <w:pPr>
        <w:pStyle w:val="112"/>
        <w:spacing w:before="200"/>
      </w:pPr>
      <w:r>
        <w:t>463.</w:t>
      </w:r>
      <w:r>
        <w:tab/>
        <w:t>По состоянию на 10 января 2005 года в рамках программы ускоренного водоснабжения городов (ПУВГ) из 2151 имеющего такое право малого города, обладающего таким статусом по переписи 1991 года, системы водоснабжения были утверждены для 1148 городов на общую сметную сумму в 16 327,6 млн. рупий, и центральное правительство с марта 1994 года, когда начала осуществляться эта программа, выделило 6796,8 млн. рупий.</w:t>
      </w:r>
    </w:p>
    <w:p w:rsidR="00000000" w:rsidRDefault="00000000">
      <w:pPr>
        <w:jc w:val="both"/>
        <w:rPr>
          <w:b/>
          <w:bCs/>
          <w:sz w:val="22"/>
          <w:szCs w:val="22"/>
        </w:rPr>
      </w:pPr>
    </w:p>
    <w:p w:rsidR="00000000" w:rsidRDefault="00000000">
      <w:pPr>
        <w:jc w:val="both"/>
        <w:rPr>
          <w:b/>
          <w:bCs/>
          <w:sz w:val="22"/>
          <w:szCs w:val="22"/>
        </w:rPr>
      </w:pPr>
      <w:r>
        <w:rPr>
          <w:b/>
          <w:bCs/>
          <w:sz w:val="22"/>
          <w:szCs w:val="22"/>
        </w:rPr>
        <w:t>Электрификация</w:t>
      </w:r>
    </w:p>
    <w:p w:rsidR="00000000" w:rsidRDefault="00000000">
      <w:pPr>
        <w:jc w:val="both"/>
        <w:rPr>
          <w:sz w:val="22"/>
          <w:szCs w:val="22"/>
        </w:rPr>
      </w:pPr>
    </w:p>
    <w:p w:rsidR="00000000" w:rsidRDefault="00000000">
      <w:pPr>
        <w:jc w:val="both"/>
        <w:rPr>
          <w:sz w:val="22"/>
          <w:szCs w:val="22"/>
        </w:rPr>
      </w:pPr>
      <w:r>
        <w:rPr>
          <w:sz w:val="22"/>
          <w:szCs w:val="22"/>
        </w:rPr>
        <w:t>464.</w:t>
      </w:r>
      <w:r>
        <w:rPr>
          <w:sz w:val="22"/>
          <w:szCs w:val="22"/>
        </w:rPr>
        <w:tab/>
        <w:t xml:space="preserve">В 1969 году была создана Корпорация по электрификации сельской местности для финансирования самых различных проектов.  В настоящее время осуществляется программа электрификации сельских районов, которая распространяется на такие производительные виды деятельности, как работа шахт, ирригация, сельскохозяйственное производство и т. д., а также электрификация деревень.  В рамках этой программы к марту 2003 года было электрифицировано </w:t>
      </w:r>
      <w:r>
        <w:rPr>
          <w:sz w:val="22"/>
          <w:szCs w:val="22"/>
        </w:rPr>
        <w:br/>
        <w:t>491 760 из 587 258 деревень.</w:t>
      </w:r>
    </w:p>
    <w:p w:rsidR="00000000" w:rsidRDefault="00000000">
      <w:pPr>
        <w:pStyle w:val="112"/>
        <w:spacing w:before="200"/>
        <w:rPr>
          <w:rStyle w:val="111"/>
          <w:szCs w:val="22"/>
        </w:rPr>
      </w:pPr>
      <w:r>
        <w:rPr>
          <w:rStyle w:val="111"/>
          <w:szCs w:val="22"/>
        </w:rPr>
        <w:t>465.</w:t>
      </w:r>
      <w:r>
        <w:rPr>
          <w:rStyle w:val="111"/>
          <w:szCs w:val="22"/>
        </w:rPr>
        <w:tab/>
        <w:t xml:space="preserve">В 1988–1989 годах в  целях улучшения уровня жизни представителей СК/СП, в том числе сельских семей, находящихся за чертой бедности, начала осуществляться программа </w:t>
      </w:r>
      <w:r>
        <w:rPr>
          <w:i/>
        </w:rPr>
        <w:t>Кутир Джиоти</w:t>
      </w:r>
      <w:r>
        <w:rPr>
          <w:rStyle w:val="111"/>
          <w:szCs w:val="22"/>
        </w:rPr>
        <w:t>,  с тем чтобы обеспечить их централизованное подсоединение.  К марту 2002 года было обеспечено 4,85 млн. таких подсоединений.  Недавно правительство утвердило план "ускоренной электрификации 100 тыс. деревень и 10 млн. домохозяйств", заменив им действовавшие до этого планы.</w:t>
      </w:r>
    </w:p>
    <w:p w:rsidR="00000000" w:rsidRDefault="00000000">
      <w:pPr>
        <w:jc w:val="both"/>
        <w:rPr>
          <w:b/>
          <w:bCs/>
          <w:sz w:val="22"/>
          <w:szCs w:val="22"/>
        </w:rPr>
      </w:pPr>
    </w:p>
    <w:p w:rsidR="00000000" w:rsidRDefault="00000000">
      <w:pPr>
        <w:jc w:val="both"/>
        <w:rPr>
          <w:b/>
          <w:bCs/>
          <w:sz w:val="22"/>
          <w:szCs w:val="22"/>
        </w:rPr>
      </w:pPr>
      <w:r>
        <w:rPr>
          <w:b/>
          <w:bCs/>
          <w:sz w:val="22"/>
          <w:szCs w:val="22"/>
        </w:rPr>
        <w:t>Дорожная сеть</w:t>
      </w:r>
    </w:p>
    <w:p w:rsidR="00000000" w:rsidRDefault="00000000">
      <w:pPr>
        <w:jc w:val="both"/>
        <w:rPr>
          <w:sz w:val="22"/>
          <w:szCs w:val="22"/>
        </w:rPr>
      </w:pPr>
    </w:p>
    <w:p w:rsidR="00000000" w:rsidRDefault="00000000">
      <w:pPr>
        <w:jc w:val="both"/>
        <w:rPr>
          <w:rStyle w:val="111"/>
          <w:szCs w:val="22"/>
        </w:rPr>
      </w:pPr>
      <w:r>
        <w:rPr>
          <w:rStyle w:val="111"/>
          <w:szCs w:val="22"/>
        </w:rPr>
        <w:t>466.</w:t>
      </w:r>
      <w:r>
        <w:rPr>
          <w:rStyle w:val="111"/>
          <w:szCs w:val="22"/>
        </w:rPr>
        <w:tab/>
        <w:t xml:space="preserve">С учетом связи между развитием дорожной сети и экономическим ростом в декабре 2000 года был развернут план </w:t>
      </w:r>
      <w:r>
        <w:rPr>
          <w:i/>
          <w:sz w:val="22"/>
          <w:szCs w:val="22"/>
        </w:rPr>
        <w:t>Прадхан  Мантри  Грама Садак Йоджана</w:t>
      </w:r>
      <w:r>
        <w:rPr>
          <w:rStyle w:val="111"/>
          <w:szCs w:val="22"/>
        </w:rPr>
        <w:t xml:space="preserve"> (ПМГСЙ), с тем чтобы к 2007 году подключить к дорожным сетям 160 тыс. населенных пунктов с населением  500 человек и более (с населением 250 человек в случае населенных пунктов, расположенных в горах, пустынной местности или районах проживания племен).  К марту 2004 года было завершено 20 740 дорожных проектов.</w:t>
      </w:r>
    </w:p>
    <w:p w:rsidR="00000000" w:rsidRDefault="00000000">
      <w:pPr>
        <w:jc w:val="both"/>
        <w:rPr>
          <w:b/>
          <w:bCs/>
          <w:sz w:val="22"/>
          <w:szCs w:val="22"/>
        </w:rPr>
      </w:pPr>
    </w:p>
    <w:p w:rsidR="00000000" w:rsidRDefault="00000000">
      <w:pPr>
        <w:jc w:val="both"/>
        <w:rPr>
          <w:b/>
          <w:bCs/>
          <w:sz w:val="22"/>
          <w:szCs w:val="22"/>
        </w:rPr>
      </w:pPr>
      <w:r>
        <w:rPr>
          <w:b/>
          <w:bCs/>
          <w:sz w:val="22"/>
          <w:szCs w:val="22"/>
        </w:rPr>
        <w:t>Урбанизация</w:t>
      </w:r>
    </w:p>
    <w:p w:rsidR="00000000" w:rsidRDefault="00000000">
      <w:pPr>
        <w:jc w:val="both"/>
        <w:rPr>
          <w:sz w:val="22"/>
          <w:szCs w:val="22"/>
        </w:rPr>
      </w:pPr>
    </w:p>
    <w:p w:rsidR="00000000" w:rsidRDefault="00000000">
      <w:pPr>
        <w:jc w:val="both"/>
        <w:rPr>
          <w:sz w:val="22"/>
          <w:szCs w:val="22"/>
        </w:rPr>
      </w:pPr>
      <w:r>
        <w:rPr>
          <w:sz w:val="22"/>
          <w:szCs w:val="22"/>
        </w:rPr>
        <w:t>467.</w:t>
      </w:r>
      <w:r>
        <w:rPr>
          <w:sz w:val="22"/>
          <w:szCs w:val="22"/>
        </w:rPr>
        <w:tab/>
        <w:t>Миграция населения из сельских районов в города представляет собой колоссальную проблему для развития инфраструктуры и жизненного уровня населения второй по величине в мире системы городов.  Осуществляется множество планов в интересах сокращения миграции посредством предоставления возможностей для занятия доходной деятельностью в сельских районах, а также модернизации инфраструктуры  и трудоустройства в городах.</w:t>
      </w:r>
    </w:p>
    <w:p w:rsidR="00000000" w:rsidRDefault="00000000">
      <w:pPr>
        <w:pStyle w:val="112"/>
      </w:pPr>
      <w:r>
        <w:t>468.</w:t>
      </w:r>
      <w:r>
        <w:tab/>
        <w:t xml:space="preserve">План комплексного развития малых и средних городов (ПКРМСГ) был начат во время осуществления шестого плана (1979–1980 годов) в целях обеспечения надлежащей инфраструктуры в малых и средних городах.  В соответствии с этим планом города, население которых составляет, по данным переписи 1991 года, не более 500 тыс. человек, получают помощь в развитии инфраструктуры.  К 31 декабря 2004 года этим планом было охвачено 1752 города.  </w:t>
      </w:r>
    </w:p>
    <w:p w:rsidR="00000000" w:rsidRDefault="00000000">
      <w:pPr>
        <w:pStyle w:val="112"/>
      </w:pPr>
      <w:r>
        <w:t>469.</w:t>
      </w:r>
      <w:r>
        <w:tab/>
        <w:t>В 1993–1994 годах в таких пяти крупнейших городах, как Мумбаи, Ченнаи, Колката, Хайдерабад и Бангалор было начато осуществление плана развития инфраструктуры в мегаполисах, в рамках которого финансовая помощь предоставляется для реализации проектов по развитию городской инфраструктуры, включая водоснабжение, удаление сточных вод, канализацию, санитарию, системы городского транспорта, застройку земельных участков, развитие трущоб, удаление твердых отходов и т. д.</w:t>
      </w:r>
    </w:p>
    <w:p w:rsidR="00000000" w:rsidRDefault="00000000">
      <w:pPr>
        <w:jc w:val="both"/>
        <w:rPr>
          <w:rStyle w:val="111"/>
          <w:szCs w:val="22"/>
        </w:rPr>
      </w:pPr>
      <w:r>
        <w:rPr>
          <w:rStyle w:val="111"/>
          <w:szCs w:val="22"/>
        </w:rPr>
        <w:t>470.</w:t>
      </w:r>
      <w:r>
        <w:rPr>
          <w:rStyle w:val="111"/>
          <w:szCs w:val="22"/>
        </w:rPr>
        <w:tab/>
        <w:t>Развивая понятие права на жилище в контексте урбанизации, Верховный суд в одном знаменательном деле постановил, что выселение даже жителя трущоб должно производится в рамках честного, справедливого и разумного процесса в соответствии с  законом, поскольку оно не только выливается в лишение жилья, но и в конечном счете неизбежно приводит к лишению средств к существованию</w:t>
      </w:r>
      <w:r>
        <w:rPr>
          <w:rStyle w:val="FootnoteReference"/>
          <w:szCs w:val="22"/>
        </w:rPr>
        <w:footnoteReference w:customMarkFollows="1" w:id="68"/>
        <w:t>67</w:t>
      </w:r>
      <w:r>
        <w:rPr>
          <w:rStyle w:val="111"/>
          <w:szCs w:val="22"/>
        </w:rPr>
        <w:t>.</w:t>
      </w:r>
    </w:p>
    <w:p w:rsidR="00000000" w:rsidRDefault="00000000">
      <w:pPr>
        <w:jc w:val="both"/>
        <w:rPr>
          <w:b/>
          <w:bCs/>
          <w:sz w:val="22"/>
          <w:szCs w:val="22"/>
        </w:rPr>
      </w:pPr>
    </w:p>
    <w:p w:rsidR="00000000" w:rsidRDefault="00000000">
      <w:pPr>
        <w:jc w:val="both"/>
        <w:rPr>
          <w:b/>
          <w:bCs/>
          <w:sz w:val="22"/>
          <w:szCs w:val="22"/>
        </w:rPr>
      </w:pPr>
      <w:r>
        <w:rPr>
          <w:b/>
          <w:bCs/>
          <w:sz w:val="22"/>
          <w:szCs w:val="22"/>
        </w:rPr>
        <w:t>Международное сотрудничество</w:t>
      </w:r>
    </w:p>
    <w:p w:rsidR="00000000" w:rsidRDefault="00000000">
      <w:pPr>
        <w:jc w:val="both"/>
        <w:rPr>
          <w:sz w:val="22"/>
          <w:szCs w:val="22"/>
        </w:rPr>
      </w:pPr>
    </w:p>
    <w:p w:rsidR="00000000" w:rsidRDefault="00000000">
      <w:pPr>
        <w:jc w:val="both"/>
        <w:rPr>
          <w:sz w:val="22"/>
          <w:szCs w:val="22"/>
        </w:rPr>
      </w:pPr>
      <w:r>
        <w:rPr>
          <w:sz w:val="22"/>
          <w:szCs w:val="22"/>
        </w:rPr>
        <w:t>471.</w:t>
      </w:r>
      <w:r>
        <w:rPr>
          <w:sz w:val="22"/>
          <w:szCs w:val="22"/>
        </w:rPr>
        <w:tab/>
        <w:t xml:space="preserve">Немецкий банк </w:t>
      </w:r>
      <w:r>
        <w:rPr>
          <w:sz w:val="22"/>
          <w:szCs w:val="22"/>
          <w:lang w:val="en-US"/>
        </w:rPr>
        <w:t>KfW</w:t>
      </w:r>
      <w:r>
        <w:rPr>
          <w:sz w:val="22"/>
          <w:szCs w:val="22"/>
        </w:rPr>
        <w:t xml:space="preserve"> и Японский банк международного сотрудничества (ЯБМС) предоставляют КЖГР финансовую помощь для осуществления нескольких планов и проектов по развитию инфраструктуры.  Министерство по вопросам международного развития (МВМР) правительства Соединенного Королевства поддерживает проекты по улучшению состояния трущоб в различных индийских городах.  МБРР и банк АДВ помогают КЖГР в осуществлении жилищных проектов и развитии дорожной сети.  Займы ЮСАИД предоставляются на проекты по развитию инфраструктуры, включая санитарную обработку водопроводной воды и удаление твердых отходов.</w:t>
      </w:r>
    </w:p>
    <w:p w:rsidR="00000000" w:rsidRDefault="00000000">
      <w:pPr>
        <w:jc w:val="both"/>
        <w:rPr>
          <w:sz w:val="22"/>
          <w:szCs w:val="22"/>
        </w:rPr>
      </w:pPr>
    </w:p>
    <w:p w:rsidR="00000000" w:rsidRDefault="00000000">
      <w:pPr>
        <w:jc w:val="both"/>
        <w:rPr>
          <w:sz w:val="22"/>
          <w:szCs w:val="22"/>
        </w:rPr>
      </w:pPr>
      <w:r>
        <w:rPr>
          <w:sz w:val="22"/>
          <w:szCs w:val="22"/>
        </w:rPr>
        <w:t>472.</w:t>
      </w:r>
      <w:r>
        <w:rPr>
          <w:sz w:val="22"/>
          <w:szCs w:val="22"/>
        </w:rPr>
        <w:tab/>
        <w:t>Помимо программ и планов, о которых рассказывалось выше, различные другие программы по сокращению масштабов нищеты и созданию рабочих мест, затрагивающие жизненный уровень населения страны, описаны в разделе настоящего доклада, посвященном статье 7 Пакта.</w:t>
      </w:r>
    </w:p>
    <w:p w:rsidR="00000000" w:rsidRDefault="00000000">
      <w:pPr>
        <w:jc w:val="both"/>
        <w:rPr>
          <w:sz w:val="24"/>
        </w:rPr>
      </w:pPr>
    </w:p>
    <w:p w:rsidR="00000000" w:rsidRDefault="00000000">
      <w:pPr>
        <w:spacing w:before="120"/>
        <w:jc w:val="center"/>
        <w:rPr>
          <w:b/>
          <w:bCs/>
          <w:sz w:val="24"/>
          <w:szCs w:val="22"/>
        </w:rPr>
      </w:pPr>
      <w:r>
        <w:rPr>
          <w:b/>
          <w:bCs/>
          <w:sz w:val="24"/>
          <w:szCs w:val="22"/>
        </w:rPr>
        <w:t>Статья 12</w:t>
      </w:r>
    </w:p>
    <w:p w:rsidR="00000000" w:rsidRDefault="00000000">
      <w:pPr>
        <w:jc w:val="center"/>
        <w:rPr>
          <w:b/>
          <w:bCs/>
          <w:sz w:val="22"/>
          <w:szCs w:val="22"/>
        </w:rPr>
      </w:pPr>
    </w:p>
    <w:p w:rsidR="00000000" w:rsidRDefault="00000000">
      <w:pPr>
        <w:jc w:val="center"/>
        <w:rPr>
          <w:b/>
          <w:bCs/>
          <w:sz w:val="22"/>
          <w:szCs w:val="22"/>
        </w:rPr>
      </w:pPr>
      <w:r>
        <w:rPr>
          <w:b/>
          <w:bCs/>
          <w:sz w:val="22"/>
          <w:szCs w:val="22"/>
        </w:rPr>
        <w:t>Право на физическое и психическое здоровье</w:t>
      </w:r>
    </w:p>
    <w:p w:rsidR="00000000" w:rsidRDefault="00000000">
      <w:pPr>
        <w:jc w:val="center"/>
        <w:rPr>
          <w:sz w:val="22"/>
          <w:szCs w:val="22"/>
        </w:rPr>
      </w:pPr>
    </w:p>
    <w:p w:rsidR="00000000" w:rsidRDefault="00000000">
      <w:pPr>
        <w:pStyle w:val="112"/>
      </w:pPr>
      <w:r>
        <w:t>473.</w:t>
      </w:r>
      <w:r>
        <w:tab/>
        <w:t>Проведенные в течение последних двух десятилетий обследования масштабов распространения слепоты в Индии указывают на существенное сокращение ее совокупных масштабов и распространенности среди конкретных групп, о чем свидетельствует приводимая ниже таблица:</w:t>
      </w:r>
    </w:p>
    <w:p w:rsidR="00000000" w:rsidRDefault="00000000">
      <w:pPr>
        <w:pStyle w:val="112"/>
        <w:spacing w:after="240"/>
        <w:jc w:val="center"/>
        <w:rPr>
          <w:b/>
          <w:bCs/>
        </w:rPr>
      </w:pPr>
      <w:r>
        <w:rPr>
          <w:b/>
          <w:bCs/>
        </w:rPr>
        <w:t>Сопоставление распространенности слепоты:</w:t>
      </w:r>
      <w:r>
        <w:rPr>
          <w:b/>
          <w:bCs/>
        </w:rPr>
        <w:br/>
        <w:t xml:space="preserve">национальные обследования распространенности слепоты, </w:t>
      </w:r>
      <w:r>
        <w:rPr>
          <w:b/>
          <w:bCs/>
        </w:rPr>
        <w:br/>
        <w:t>проведенные в 1986–1989  и  2001–2002 годах</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7"/>
        <w:gridCol w:w="1770"/>
        <w:gridCol w:w="1437"/>
        <w:gridCol w:w="1275"/>
      </w:tblGrid>
      <w:tr w:rsidR="00000000">
        <w:tblPrEx>
          <w:tblCellMar>
            <w:top w:w="0" w:type="dxa"/>
            <w:bottom w:w="0" w:type="dxa"/>
          </w:tblCellMar>
        </w:tblPrEx>
        <w:trPr>
          <w:cantSplit/>
          <w:tblHeader/>
          <w:jc w:val="center"/>
        </w:trPr>
        <w:tc>
          <w:tcPr>
            <w:tcW w:w="5157" w:type="dxa"/>
          </w:tcPr>
          <w:p w:rsidR="00000000" w:rsidRDefault="00000000">
            <w:pPr>
              <w:pStyle w:val="Style"/>
              <w:spacing w:before="40" w:after="40"/>
              <w:rPr>
                <w:szCs w:val="20"/>
                <w:lang w:val="ru-RU"/>
              </w:rPr>
            </w:pPr>
            <w:r>
              <w:rPr>
                <w:szCs w:val="20"/>
                <w:lang w:val="ru-RU"/>
              </w:rPr>
              <w:t>Параметры</w:t>
            </w:r>
          </w:p>
        </w:tc>
        <w:tc>
          <w:tcPr>
            <w:tcW w:w="1770" w:type="dxa"/>
          </w:tcPr>
          <w:p w:rsidR="00000000" w:rsidRDefault="00000000">
            <w:pPr>
              <w:pStyle w:val="Style"/>
              <w:spacing w:before="40" w:after="40"/>
              <w:jc w:val="center"/>
              <w:rPr>
                <w:szCs w:val="20"/>
                <w:lang w:val="ru-RU"/>
              </w:rPr>
            </w:pPr>
            <w:r>
              <w:rPr>
                <w:szCs w:val="20"/>
                <w:lang w:val="ru-RU"/>
              </w:rPr>
              <w:t>Обследование</w:t>
            </w:r>
            <w:r>
              <w:rPr>
                <w:szCs w:val="20"/>
                <w:lang w:val="ru-RU"/>
              </w:rPr>
              <w:br/>
              <w:t>1986–1989 годов</w:t>
            </w:r>
          </w:p>
        </w:tc>
        <w:tc>
          <w:tcPr>
            <w:tcW w:w="0" w:type="auto"/>
          </w:tcPr>
          <w:p w:rsidR="00000000" w:rsidRDefault="00000000">
            <w:pPr>
              <w:pStyle w:val="Style"/>
              <w:spacing w:before="40" w:after="40"/>
              <w:jc w:val="center"/>
              <w:rPr>
                <w:szCs w:val="20"/>
                <w:lang w:val="ru-RU"/>
              </w:rPr>
            </w:pPr>
            <w:r>
              <w:rPr>
                <w:szCs w:val="20"/>
                <w:lang w:val="ru-RU"/>
              </w:rPr>
              <w:t>Обследование</w:t>
            </w:r>
            <w:r>
              <w:rPr>
                <w:szCs w:val="20"/>
                <w:lang w:val="ru-RU"/>
              </w:rPr>
              <w:br/>
              <w:t>2001–2002 годов</w:t>
            </w:r>
          </w:p>
        </w:tc>
        <w:tc>
          <w:tcPr>
            <w:tcW w:w="0" w:type="auto"/>
          </w:tcPr>
          <w:p w:rsidR="00000000" w:rsidRDefault="00000000">
            <w:pPr>
              <w:pStyle w:val="Style"/>
              <w:spacing w:before="40" w:after="40"/>
              <w:jc w:val="center"/>
              <w:rPr>
                <w:szCs w:val="20"/>
                <w:lang w:val="ru-RU"/>
              </w:rPr>
            </w:pPr>
            <w:r>
              <w:rPr>
                <w:szCs w:val="20"/>
                <w:lang w:val="ru-RU"/>
              </w:rPr>
              <w:t>Разница</w:t>
            </w:r>
            <w:r>
              <w:rPr>
                <w:szCs w:val="20"/>
                <w:lang w:val="ru-RU"/>
              </w:rPr>
              <w:br/>
              <w:t>+/- в %</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Предполагаемая распространенность (%) слепоты (острота зрения &lt;6/60)</w:t>
            </w:r>
          </w:p>
        </w:tc>
        <w:tc>
          <w:tcPr>
            <w:tcW w:w="1770" w:type="dxa"/>
          </w:tcPr>
          <w:p w:rsidR="00000000" w:rsidRDefault="00000000">
            <w:pPr>
              <w:pStyle w:val="Style"/>
              <w:spacing w:before="40" w:after="40"/>
              <w:rPr>
                <w:szCs w:val="20"/>
                <w:lang w:val="ru-RU"/>
              </w:rPr>
            </w:pPr>
            <w:r>
              <w:rPr>
                <w:szCs w:val="20"/>
                <w:lang w:val="ru-RU"/>
              </w:rPr>
              <w:t>1,49</w:t>
            </w:r>
          </w:p>
        </w:tc>
        <w:tc>
          <w:tcPr>
            <w:tcW w:w="0" w:type="auto"/>
          </w:tcPr>
          <w:p w:rsidR="00000000" w:rsidRDefault="00000000">
            <w:pPr>
              <w:pStyle w:val="Style"/>
              <w:spacing w:before="40" w:after="40"/>
              <w:rPr>
                <w:szCs w:val="20"/>
                <w:lang w:val="ru-RU"/>
              </w:rPr>
            </w:pPr>
            <w:r>
              <w:rPr>
                <w:szCs w:val="20"/>
                <w:lang w:val="ru-RU"/>
              </w:rPr>
              <w:t>1,1</w:t>
            </w:r>
          </w:p>
        </w:tc>
        <w:tc>
          <w:tcPr>
            <w:tcW w:w="0" w:type="auto"/>
          </w:tcPr>
          <w:p w:rsidR="00000000" w:rsidRDefault="00000000">
            <w:pPr>
              <w:pStyle w:val="Style"/>
              <w:spacing w:before="40" w:after="40"/>
              <w:rPr>
                <w:szCs w:val="20"/>
                <w:lang w:val="ru-RU"/>
              </w:rPr>
            </w:pPr>
            <w:r>
              <w:rPr>
                <w:szCs w:val="20"/>
                <w:lang w:val="ru-RU"/>
              </w:rPr>
              <w:t>-26,2</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Мужчины</w:t>
            </w:r>
          </w:p>
        </w:tc>
        <w:tc>
          <w:tcPr>
            <w:tcW w:w="1770" w:type="dxa"/>
          </w:tcPr>
          <w:p w:rsidR="00000000" w:rsidRDefault="00000000">
            <w:pPr>
              <w:pStyle w:val="Style"/>
              <w:spacing w:before="40" w:after="40"/>
              <w:rPr>
                <w:szCs w:val="20"/>
                <w:lang w:val="ru-RU"/>
              </w:rPr>
            </w:pPr>
            <w:r>
              <w:rPr>
                <w:szCs w:val="20"/>
                <w:lang w:val="ru-RU"/>
              </w:rPr>
              <w:t>1,42</w:t>
            </w:r>
          </w:p>
        </w:tc>
        <w:tc>
          <w:tcPr>
            <w:tcW w:w="0" w:type="auto"/>
          </w:tcPr>
          <w:p w:rsidR="00000000" w:rsidRDefault="00000000">
            <w:pPr>
              <w:pStyle w:val="Style"/>
              <w:spacing w:before="40" w:after="40"/>
              <w:rPr>
                <w:szCs w:val="20"/>
                <w:lang w:val="ru-RU"/>
              </w:rPr>
            </w:pPr>
            <w:r>
              <w:rPr>
                <w:szCs w:val="20"/>
                <w:lang w:val="ru-RU"/>
              </w:rPr>
              <w:t>0,91</w:t>
            </w:r>
          </w:p>
        </w:tc>
        <w:tc>
          <w:tcPr>
            <w:tcW w:w="0" w:type="auto"/>
          </w:tcPr>
          <w:p w:rsidR="00000000" w:rsidRDefault="00000000">
            <w:pPr>
              <w:pStyle w:val="Style"/>
              <w:spacing w:before="40" w:after="40"/>
              <w:rPr>
                <w:szCs w:val="20"/>
                <w:lang w:val="ru-RU"/>
              </w:rPr>
            </w:pPr>
            <w:r>
              <w:rPr>
                <w:szCs w:val="20"/>
                <w:lang w:val="ru-RU"/>
              </w:rPr>
              <w:t>-35,9</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Женщины</w:t>
            </w:r>
          </w:p>
        </w:tc>
        <w:tc>
          <w:tcPr>
            <w:tcW w:w="1770" w:type="dxa"/>
          </w:tcPr>
          <w:p w:rsidR="00000000" w:rsidRDefault="00000000">
            <w:pPr>
              <w:pStyle w:val="Style"/>
              <w:spacing w:before="40" w:after="40"/>
              <w:rPr>
                <w:szCs w:val="20"/>
                <w:lang w:val="ru-RU"/>
              </w:rPr>
            </w:pPr>
            <w:r>
              <w:rPr>
                <w:szCs w:val="20"/>
                <w:lang w:val="ru-RU"/>
              </w:rPr>
              <w:t>1,60</w:t>
            </w:r>
          </w:p>
        </w:tc>
        <w:tc>
          <w:tcPr>
            <w:tcW w:w="0" w:type="auto"/>
          </w:tcPr>
          <w:p w:rsidR="00000000" w:rsidRDefault="00000000">
            <w:pPr>
              <w:pStyle w:val="Style"/>
              <w:spacing w:before="40" w:after="40"/>
              <w:rPr>
                <w:szCs w:val="20"/>
                <w:lang w:val="ru-RU"/>
              </w:rPr>
            </w:pPr>
            <w:r>
              <w:rPr>
                <w:szCs w:val="20"/>
                <w:lang w:val="ru-RU"/>
              </w:rPr>
              <w:t>1,29</w:t>
            </w:r>
          </w:p>
        </w:tc>
        <w:tc>
          <w:tcPr>
            <w:tcW w:w="0" w:type="auto"/>
          </w:tcPr>
          <w:p w:rsidR="00000000" w:rsidRDefault="00000000">
            <w:pPr>
              <w:pStyle w:val="Style"/>
              <w:spacing w:before="40" w:after="40"/>
              <w:rPr>
                <w:szCs w:val="20"/>
                <w:lang w:val="ru-RU"/>
              </w:rPr>
            </w:pPr>
            <w:r>
              <w:rPr>
                <w:szCs w:val="20"/>
                <w:lang w:val="ru-RU"/>
              </w:rPr>
              <w:t>-19,4</w:t>
            </w:r>
          </w:p>
        </w:tc>
      </w:tr>
      <w:tr w:rsidR="00000000">
        <w:tblPrEx>
          <w:tblCellMar>
            <w:top w:w="0" w:type="dxa"/>
            <w:bottom w:w="0" w:type="dxa"/>
          </w:tblCellMar>
        </w:tblPrEx>
        <w:trPr>
          <w:jc w:val="center"/>
        </w:trPr>
        <w:tc>
          <w:tcPr>
            <w:tcW w:w="5157" w:type="dxa"/>
          </w:tcPr>
          <w:p w:rsidR="00000000" w:rsidRDefault="00000000">
            <w:pPr>
              <w:pStyle w:val="Style"/>
              <w:spacing w:before="40" w:after="40" w:line="120" w:lineRule="exact"/>
              <w:rPr>
                <w:szCs w:val="20"/>
                <w:lang w:val="ru-RU"/>
              </w:rPr>
            </w:pPr>
          </w:p>
        </w:tc>
        <w:tc>
          <w:tcPr>
            <w:tcW w:w="1770" w:type="dxa"/>
          </w:tcPr>
          <w:p w:rsidR="00000000" w:rsidRDefault="00000000">
            <w:pPr>
              <w:pStyle w:val="Style"/>
              <w:spacing w:before="40" w:after="40" w:line="120" w:lineRule="exact"/>
              <w:rPr>
                <w:szCs w:val="20"/>
                <w:lang w:val="ru-RU"/>
              </w:rPr>
            </w:pPr>
          </w:p>
        </w:tc>
        <w:tc>
          <w:tcPr>
            <w:tcW w:w="0" w:type="auto"/>
          </w:tcPr>
          <w:p w:rsidR="00000000" w:rsidRDefault="00000000">
            <w:pPr>
              <w:pStyle w:val="Style"/>
              <w:spacing w:before="40" w:after="40" w:line="120" w:lineRule="exact"/>
              <w:rPr>
                <w:szCs w:val="20"/>
                <w:lang w:val="ru-RU"/>
              </w:rPr>
            </w:pPr>
          </w:p>
        </w:tc>
        <w:tc>
          <w:tcPr>
            <w:tcW w:w="0" w:type="auto"/>
          </w:tcPr>
          <w:p w:rsidR="00000000" w:rsidRDefault="00000000">
            <w:pPr>
              <w:pStyle w:val="Style"/>
              <w:spacing w:before="40" w:after="40" w:line="120" w:lineRule="exact"/>
              <w:rPr>
                <w:szCs w:val="20"/>
                <w:lang w:val="ru-RU"/>
              </w:rPr>
            </w:pP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Сельская местность</w:t>
            </w:r>
          </w:p>
        </w:tc>
        <w:tc>
          <w:tcPr>
            <w:tcW w:w="1770" w:type="dxa"/>
          </w:tcPr>
          <w:p w:rsidR="00000000" w:rsidRDefault="00000000">
            <w:pPr>
              <w:pStyle w:val="Style"/>
              <w:spacing w:before="40" w:after="40"/>
              <w:rPr>
                <w:szCs w:val="20"/>
                <w:lang w:val="ru-RU"/>
              </w:rPr>
            </w:pPr>
            <w:r>
              <w:rPr>
                <w:szCs w:val="20"/>
                <w:lang w:val="ru-RU"/>
              </w:rPr>
              <w:t>1,63</w:t>
            </w:r>
          </w:p>
        </w:tc>
        <w:tc>
          <w:tcPr>
            <w:tcW w:w="0" w:type="auto"/>
          </w:tcPr>
          <w:p w:rsidR="00000000" w:rsidRDefault="00000000">
            <w:pPr>
              <w:pStyle w:val="Style"/>
              <w:spacing w:before="40" w:after="40"/>
              <w:rPr>
                <w:szCs w:val="20"/>
                <w:lang w:val="ru-RU"/>
              </w:rPr>
            </w:pPr>
            <w:r>
              <w:rPr>
                <w:szCs w:val="20"/>
                <w:lang w:val="ru-RU"/>
              </w:rPr>
              <w:t>1,14</w:t>
            </w:r>
          </w:p>
        </w:tc>
        <w:tc>
          <w:tcPr>
            <w:tcW w:w="0" w:type="auto"/>
          </w:tcPr>
          <w:p w:rsidR="00000000" w:rsidRDefault="00000000">
            <w:pPr>
              <w:pStyle w:val="Style"/>
              <w:spacing w:before="40" w:after="40"/>
              <w:rPr>
                <w:szCs w:val="20"/>
                <w:lang w:val="ru-RU"/>
              </w:rPr>
            </w:pPr>
            <w:r>
              <w:rPr>
                <w:szCs w:val="20"/>
                <w:lang w:val="ru-RU"/>
              </w:rPr>
              <w:t>-30,1</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Города</w:t>
            </w:r>
          </w:p>
        </w:tc>
        <w:tc>
          <w:tcPr>
            <w:tcW w:w="1770" w:type="dxa"/>
          </w:tcPr>
          <w:p w:rsidR="00000000" w:rsidRDefault="00000000">
            <w:pPr>
              <w:pStyle w:val="Style"/>
              <w:spacing w:before="40" w:after="40"/>
              <w:rPr>
                <w:szCs w:val="20"/>
                <w:lang w:val="ru-RU"/>
              </w:rPr>
            </w:pPr>
            <w:r>
              <w:rPr>
                <w:szCs w:val="20"/>
                <w:lang w:val="ru-RU"/>
              </w:rPr>
              <w:t>1,01</w:t>
            </w:r>
          </w:p>
        </w:tc>
        <w:tc>
          <w:tcPr>
            <w:tcW w:w="0" w:type="auto"/>
          </w:tcPr>
          <w:p w:rsidR="00000000" w:rsidRDefault="00000000">
            <w:pPr>
              <w:pStyle w:val="Style"/>
              <w:spacing w:before="40" w:after="40"/>
              <w:rPr>
                <w:szCs w:val="20"/>
                <w:lang w:val="ru-RU"/>
              </w:rPr>
            </w:pPr>
            <w:r>
              <w:rPr>
                <w:szCs w:val="20"/>
                <w:lang w:val="ru-RU"/>
              </w:rPr>
              <w:t>0,84</w:t>
            </w:r>
          </w:p>
        </w:tc>
        <w:tc>
          <w:tcPr>
            <w:tcW w:w="0" w:type="auto"/>
          </w:tcPr>
          <w:p w:rsidR="00000000" w:rsidRDefault="00000000">
            <w:pPr>
              <w:pStyle w:val="Style"/>
              <w:spacing w:before="40" w:after="40"/>
              <w:rPr>
                <w:szCs w:val="20"/>
                <w:lang w:val="ru-RU"/>
              </w:rPr>
            </w:pPr>
            <w:r>
              <w:rPr>
                <w:szCs w:val="20"/>
                <w:lang w:val="ru-RU"/>
              </w:rPr>
              <w:t>-16,8</w:t>
            </w:r>
          </w:p>
        </w:tc>
      </w:tr>
      <w:tr w:rsidR="00000000">
        <w:tblPrEx>
          <w:tblCellMar>
            <w:top w:w="0" w:type="dxa"/>
            <w:bottom w:w="0" w:type="dxa"/>
          </w:tblCellMar>
        </w:tblPrEx>
        <w:trPr>
          <w:jc w:val="center"/>
        </w:trPr>
        <w:tc>
          <w:tcPr>
            <w:tcW w:w="5157" w:type="dxa"/>
          </w:tcPr>
          <w:p w:rsidR="00000000" w:rsidRDefault="00000000">
            <w:pPr>
              <w:pStyle w:val="Style"/>
              <w:spacing w:before="40" w:after="40" w:line="120" w:lineRule="exact"/>
              <w:rPr>
                <w:szCs w:val="20"/>
                <w:lang w:val="ru-RU"/>
              </w:rPr>
            </w:pPr>
          </w:p>
        </w:tc>
        <w:tc>
          <w:tcPr>
            <w:tcW w:w="1770" w:type="dxa"/>
          </w:tcPr>
          <w:p w:rsidR="00000000" w:rsidRDefault="00000000">
            <w:pPr>
              <w:pStyle w:val="Style"/>
              <w:spacing w:before="40" w:after="40" w:line="120" w:lineRule="exact"/>
              <w:rPr>
                <w:szCs w:val="20"/>
                <w:lang w:val="ru-RU"/>
              </w:rPr>
            </w:pPr>
          </w:p>
        </w:tc>
        <w:tc>
          <w:tcPr>
            <w:tcW w:w="0" w:type="auto"/>
          </w:tcPr>
          <w:p w:rsidR="00000000" w:rsidRDefault="00000000">
            <w:pPr>
              <w:pStyle w:val="Style"/>
              <w:spacing w:before="40" w:after="40" w:line="120" w:lineRule="exact"/>
              <w:rPr>
                <w:szCs w:val="20"/>
                <w:lang w:val="ru-RU"/>
              </w:rPr>
            </w:pPr>
          </w:p>
        </w:tc>
        <w:tc>
          <w:tcPr>
            <w:tcW w:w="0" w:type="auto"/>
          </w:tcPr>
          <w:p w:rsidR="00000000" w:rsidRDefault="00000000">
            <w:pPr>
              <w:pStyle w:val="Style"/>
              <w:spacing w:before="40" w:after="40" w:line="120" w:lineRule="exact"/>
              <w:rPr>
                <w:szCs w:val="20"/>
                <w:lang w:val="ru-RU"/>
              </w:rPr>
            </w:pP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Неграмотное население</w:t>
            </w:r>
          </w:p>
        </w:tc>
        <w:tc>
          <w:tcPr>
            <w:tcW w:w="1770" w:type="dxa"/>
          </w:tcPr>
          <w:p w:rsidR="00000000" w:rsidRDefault="00000000">
            <w:pPr>
              <w:pStyle w:val="Style"/>
              <w:spacing w:before="40" w:after="40"/>
              <w:rPr>
                <w:szCs w:val="20"/>
                <w:lang w:val="ru-RU"/>
              </w:rPr>
            </w:pPr>
            <w:r>
              <w:rPr>
                <w:szCs w:val="20"/>
                <w:lang w:val="ru-RU"/>
              </w:rPr>
              <w:t>нет данных</w:t>
            </w:r>
          </w:p>
        </w:tc>
        <w:tc>
          <w:tcPr>
            <w:tcW w:w="0" w:type="auto"/>
          </w:tcPr>
          <w:p w:rsidR="00000000" w:rsidRDefault="00000000">
            <w:pPr>
              <w:pStyle w:val="Style"/>
              <w:spacing w:before="40" w:after="40"/>
              <w:rPr>
                <w:szCs w:val="20"/>
                <w:lang w:val="ru-RU"/>
              </w:rPr>
            </w:pPr>
            <w:r>
              <w:rPr>
                <w:szCs w:val="20"/>
                <w:lang w:val="ru-RU"/>
              </w:rPr>
              <w:t>1,36</w:t>
            </w:r>
          </w:p>
        </w:tc>
        <w:tc>
          <w:tcPr>
            <w:tcW w:w="0" w:type="auto"/>
          </w:tcPr>
          <w:p w:rsidR="00000000" w:rsidRDefault="00000000">
            <w:pPr>
              <w:pStyle w:val="Style"/>
              <w:spacing w:before="40" w:after="40"/>
              <w:rPr>
                <w:szCs w:val="20"/>
                <w:lang w:val="ru-RU"/>
              </w:rPr>
            </w:pPr>
            <w:r>
              <w:rPr>
                <w:szCs w:val="20"/>
                <w:lang w:val="ru-RU"/>
              </w:rPr>
              <w:t>сильная</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Лица, имеющие начальное образование</w:t>
            </w:r>
          </w:p>
        </w:tc>
        <w:tc>
          <w:tcPr>
            <w:tcW w:w="1770" w:type="dxa"/>
          </w:tcPr>
          <w:p w:rsidR="00000000" w:rsidRDefault="00000000">
            <w:pPr>
              <w:pStyle w:val="Style"/>
              <w:spacing w:before="40" w:after="40"/>
              <w:rPr>
                <w:szCs w:val="20"/>
                <w:lang w:val="ru-RU"/>
              </w:rPr>
            </w:pPr>
            <w:r>
              <w:rPr>
                <w:szCs w:val="20"/>
                <w:lang w:val="ru-RU"/>
              </w:rPr>
              <w:t>нет данных</w:t>
            </w:r>
          </w:p>
        </w:tc>
        <w:tc>
          <w:tcPr>
            <w:tcW w:w="0" w:type="auto"/>
          </w:tcPr>
          <w:p w:rsidR="00000000" w:rsidRDefault="00000000">
            <w:pPr>
              <w:pStyle w:val="Style"/>
              <w:spacing w:before="40" w:after="40"/>
              <w:rPr>
                <w:szCs w:val="20"/>
                <w:lang w:val="ru-RU"/>
              </w:rPr>
            </w:pPr>
            <w:r>
              <w:rPr>
                <w:szCs w:val="20"/>
                <w:lang w:val="ru-RU"/>
              </w:rPr>
              <w:t>0,62</w:t>
            </w:r>
          </w:p>
        </w:tc>
        <w:tc>
          <w:tcPr>
            <w:tcW w:w="0" w:type="auto"/>
          </w:tcPr>
          <w:p w:rsidR="00000000" w:rsidRDefault="00000000">
            <w:pPr>
              <w:pStyle w:val="Style"/>
              <w:spacing w:before="40" w:after="40"/>
              <w:rPr>
                <w:szCs w:val="20"/>
                <w:lang w:val="ru-RU"/>
              </w:rPr>
            </w:pPr>
            <w:r>
              <w:rPr>
                <w:szCs w:val="20"/>
                <w:lang w:val="ru-RU"/>
              </w:rPr>
              <w:t>зависимость</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Лица, имеющие среднее образование</w:t>
            </w:r>
          </w:p>
        </w:tc>
        <w:tc>
          <w:tcPr>
            <w:tcW w:w="1770" w:type="dxa"/>
          </w:tcPr>
          <w:p w:rsidR="00000000" w:rsidRDefault="00000000">
            <w:pPr>
              <w:pStyle w:val="Style"/>
              <w:spacing w:before="40" w:after="40"/>
              <w:rPr>
                <w:szCs w:val="20"/>
                <w:lang w:val="ru-RU"/>
              </w:rPr>
            </w:pPr>
            <w:r>
              <w:rPr>
                <w:szCs w:val="20"/>
                <w:lang w:val="ru-RU"/>
              </w:rPr>
              <w:t>нет данных</w:t>
            </w:r>
          </w:p>
        </w:tc>
        <w:tc>
          <w:tcPr>
            <w:tcW w:w="0" w:type="auto"/>
          </w:tcPr>
          <w:p w:rsidR="00000000" w:rsidRDefault="00000000">
            <w:pPr>
              <w:pStyle w:val="Style"/>
              <w:spacing w:before="40" w:after="40"/>
              <w:rPr>
                <w:szCs w:val="20"/>
                <w:lang w:val="ru-RU"/>
              </w:rPr>
            </w:pPr>
            <w:r>
              <w:rPr>
                <w:szCs w:val="20"/>
                <w:lang w:val="ru-RU"/>
              </w:rPr>
              <w:t>0,30</w:t>
            </w:r>
          </w:p>
        </w:tc>
        <w:tc>
          <w:tcPr>
            <w:tcW w:w="0" w:type="auto"/>
          </w:tcPr>
          <w:p w:rsidR="00000000" w:rsidRDefault="00000000">
            <w:pPr>
              <w:pStyle w:val="Style"/>
              <w:spacing w:before="40" w:after="40"/>
              <w:rPr>
                <w:szCs w:val="20"/>
                <w:lang w:val="ru-RU"/>
              </w:rPr>
            </w:pP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Старшие классы средней школы и выше</w:t>
            </w:r>
          </w:p>
        </w:tc>
        <w:tc>
          <w:tcPr>
            <w:tcW w:w="1770" w:type="dxa"/>
          </w:tcPr>
          <w:p w:rsidR="00000000" w:rsidRDefault="00000000">
            <w:pPr>
              <w:pStyle w:val="Style"/>
              <w:spacing w:before="40" w:after="40"/>
              <w:rPr>
                <w:szCs w:val="20"/>
                <w:lang w:val="ru-RU"/>
              </w:rPr>
            </w:pPr>
            <w:r>
              <w:rPr>
                <w:szCs w:val="20"/>
                <w:lang w:val="ru-RU"/>
              </w:rPr>
              <w:t>нет данных</w:t>
            </w:r>
          </w:p>
        </w:tc>
        <w:tc>
          <w:tcPr>
            <w:tcW w:w="0" w:type="auto"/>
          </w:tcPr>
          <w:p w:rsidR="00000000" w:rsidRDefault="00000000">
            <w:pPr>
              <w:pStyle w:val="Style"/>
              <w:spacing w:before="40" w:after="40"/>
              <w:rPr>
                <w:szCs w:val="20"/>
                <w:lang w:val="ru-RU"/>
              </w:rPr>
            </w:pPr>
            <w:r>
              <w:rPr>
                <w:szCs w:val="20"/>
                <w:lang w:val="ru-RU"/>
              </w:rPr>
              <w:t>0,25</w:t>
            </w:r>
          </w:p>
        </w:tc>
        <w:tc>
          <w:tcPr>
            <w:tcW w:w="0" w:type="auto"/>
          </w:tcPr>
          <w:p w:rsidR="00000000" w:rsidRDefault="00000000">
            <w:pPr>
              <w:pStyle w:val="Style"/>
              <w:spacing w:before="40" w:after="40"/>
              <w:rPr>
                <w:szCs w:val="20"/>
                <w:lang w:val="ru-RU"/>
              </w:rPr>
            </w:pP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Фермеры</w:t>
            </w:r>
          </w:p>
        </w:tc>
        <w:tc>
          <w:tcPr>
            <w:tcW w:w="1770" w:type="dxa"/>
          </w:tcPr>
          <w:p w:rsidR="00000000" w:rsidRDefault="00000000">
            <w:pPr>
              <w:pStyle w:val="Style"/>
              <w:spacing w:before="40" w:after="40"/>
              <w:rPr>
                <w:szCs w:val="20"/>
                <w:lang w:val="ru-RU"/>
              </w:rPr>
            </w:pPr>
            <w:r>
              <w:rPr>
                <w:szCs w:val="20"/>
                <w:lang w:val="ru-RU"/>
              </w:rPr>
              <w:t>2,26</w:t>
            </w:r>
          </w:p>
        </w:tc>
        <w:tc>
          <w:tcPr>
            <w:tcW w:w="0" w:type="auto"/>
          </w:tcPr>
          <w:p w:rsidR="00000000" w:rsidRDefault="00000000">
            <w:pPr>
              <w:pStyle w:val="Style"/>
              <w:spacing w:before="40" w:after="40"/>
              <w:rPr>
                <w:szCs w:val="20"/>
                <w:lang w:val="ru-RU"/>
              </w:rPr>
            </w:pPr>
            <w:r>
              <w:rPr>
                <w:szCs w:val="20"/>
                <w:lang w:val="ru-RU"/>
              </w:rPr>
              <w:t>0,73</w:t>
            </w:r>
          </w:p>
        </w:tc>
        <w:tc>
          <w:tcPr>
            <w:tcW w:w="0" w:type="auto"/>
          </w:tcPr>
          <w:p w:rsidR="00000000" w:rsidRDefault="00000000">
            <w:pPr>
              <w:pStyle w:val="Style"/>
              <w:spacing w:before="40" w:after="40"/>
              <w:rPr>
                <w:szCs w:val="20"/>
                <w:lang w:val="ru-RU"/>
              </w:rPr>
            </w:pPr>
            <w:r>
              <w:rPr>
                <w:szCs w:val="20"/>
                <w:lang w:val="ru-RU"/>
              </w:rPr>
              <w:t>-67,7</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Рабочие</w:t>
            </w:r>
          </w:p>
        </w:tc>
        <w:tc>
          <w:tcPr>
            <w:tcW w:w="1770" w:type="dxa"/>
          </w:tcPr>
          <w:p w:rsidR="00000000" w:rsidRDefault="00000000">
            <w:pPr>
              <w:pStyle w:val="Style"/>
              <w:spacing w:before="40" w:after="40"/>
              <w:rPr>
                <w:szCs w:val="20"/>
                <w:lang w:val="ru-RU"/>
              </w:rPr>
            </w:pPr>
            <w:r>
              <w:rPr>
                <w:szCs w:val="20"/>
                <w:lang w:val="ru-RU"/>
              </w:rPr>
              <w:t>1,27</w:t>
            </w:r>
          </w:p>
        </w:tc>
        <w:tc>
          <w:tcPr>
            <w:tcW w:w="0" w:type="auto"/>
          </w:tcPr>
          <w:p w:rsidR="00000000" w:rsidRDefault="00000000">
            <w:pPr>
              <w:pStyle w:val="Style"/>
              <w:spacing w:before="40" w:after="40"/>
              <w:rPr>
                <w:szCs w:val="20"/>
                <w:lang w:val="ru-RU"/>
              </w:rPr>
            </w:pPr>
            <w:r>
              <w:rPr>
                <w:szCs w:val="20"/>
                <w:lang w:val="ru-RU"/>
              </w:rPr>
              <w:t>0,78</w:t>
            </w:r>
          </w:p>
        </w:tc>
        <w:tc>
          <w:tcPr>
            <w:tcW w:w="0" w:type="auto"/>
          </w:tcPr>
          <w:p w:rsidR="00000000" w:rsidRDefault="00000000">
            <w:pPr>
              <w:pStyle w:val="Style"/>
              <w:spacing w:before="40" w:after="40"/>
              <w:rPr>
                <w:szCs w:val="20"/>
                <w:lang w:val="ru-RU"/>
              </w:rPr>
            </w:pPr>
            <w:r>
              <w:rPr>
                <w:szCs w:val="20"/>
                <w:lang w:val="ru-RU"/>
              </w:rPr>
              <w:t>-38,6</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Лица, работающие на дому</w:t>
            </w:r>
          </w:p>
        </w:tc>
        <w:tc>
          <w:tcPr>
            <w:tcW w:w="1770" w:type="dxa"/>
          </w:tcPr>
          <w:p w:rsidR="00000000" w:rsidRDefault="00000000">
            <w:pPr>
              <w:pStyle w:val="Style"/>
              <w:spacing w:before="40" w:after="40"/>
              <w:rPr>
                <w:szCs w:val="20"/>
                <w:lang w:val="ru-RU"/>
              </w:rPr>
            </w:pPr>
            <w:r>
              <w:rPr>
                <w:szCs w:val="20"/>
                <w:lang w:val="ru-RU"/>
              </w:rPr>
              <w:t>2,13</w:t>
            </w:r>
          </w:p>
        </w:tc>
        <w:tc>
          <w:tcPr>
            <w:tcW w:w="0" w:type="auto"/>
          </w:tcPr>
          <w:p w:rsidR="00000000" w:rsidRDefault="00000000">
            <w:pPr>
              <w:pStyle w:val="Style"/>
              <w:spacing w:before="40" w:after="40"/>
              <w:rPr>
                <w:szCs w:val="20"/>
                <w:lang w:val="ru-RU"/>
              </w:rPr>
            </w:pPr>
            <w:r>
              <w:rPr>
                <w:szCs w:val="20"/>
                <w:lang w:val="ru-RU"/>
              </w:rPr>
              <w:t>0,91</w:t>
            </w:r>
          </w:p>
        </w:tc>
        <w:tc>
          <w:tcPr>
            <w:tcW w:w="0" w:type="auto"/>
          </w:tcPr>
          <w:p w:rsidR="00000000" w:rsidRDefault="00000000">
            <w:pPr>
              <w:pStyle w:val="Style"/>
              <w:spacing w:before="40" w:after="40"/>
              <w:rPr>
                <w:szCs w:val="20"/>
                <w:lang w:val="ru-RU"/>
              </w:rPr>
            </w:pPr>
            <w:r>
              <w:rPr>
                <w:szCs w:val="20"/>
                <w:lang w:val="ru-RU"/>
              </w:rPr>
              <w:t>-57,3</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Сектор услуг/Предпринимательская деятельность</w:t>
            </w:r>
          </w:p>
        </w:tc>
        <w:tc>
          <w:tcPr>
            <w:tcW w:w="1770" w:type="dxa"/>
          </w:tcPr>
          <w:p w:rsidR="00000000" w:rsidRDefault="00000000">
            <w:pPr>
              <w:pStyle w:val="Style"/>
              <w:spacing w:before="40" w:after="40"/>
              <w:rPr>
                <w:szCs w:val="20"/>
                <w:lang w:val="ru-RU"/>
              </w:rPr>
            </w:pPr>
            <w:r>
              <w:rPr>
                <w:szCs w:val="20"/>
                <w:lang w:val="ru-RU"/>
              </w:rPr>
              <w:t>1,09</w:t>
            </w:r>
          </w:p>
        </w:tc>
        <w:tc>
          <w:tcPr>
            <w:tcW w:w="0" w:type="auto"/>
          </w:tcPr>
          <w:p w:rsidR="00000000" w:rsidRDefault="00000000">
            <w:pPr>
              <w:pStyle w:val="Style"/>
              <w:spacing w:before="40" w:after="40"/>
              <w:rPr>
                <w:szCs w:val="20"/>
                <w:lang w:val="ru-RU"/>
              </w:rPr>
            </w:pPr>
            <w:r>
              <w:rPr>
                <w:szCs w:val="20"/>
                <w:lang w:val="ru-RU"/>
              </w:rPr>
              <w:t>0,29</w:t>
            </w:r>
          </w:p>
        </w:tc>
        <w:tc>
          <w:tcPr>
            <w:tcW w:w="0" w:type="auto"/>
          </w:tcPr>
          <w:p w:rsidR="00000000" w:rsidRDefault="00000000">
            <w:pPr>
              <w:pStyle w:val="Style"/>
              <w:spacing w:before="40" w:after="40"/>
              <w:rPr>
                <w:szCs w:val="20"/>
                <w:lang w:val="ru-RU"/>
              </w:rPr>
            </w:pPr>
            <w:r>
              <w:rPr>
                <w:szCs w:val="20"/>
                <w:lang w:val="ru-RU"/>
              </w:rPr>
              <w:t>-73,4</w:t>
            </w:r>
          </w:p>
        </w:tc>
      </w:tr>
      <w:tr w:rsidR="00000000">
        <w:tblPrEx>
          <w:tblCellMar>
            <w:top w:w="0" w:type="dxa"/>
            <w:bottom w:w="0" w:type="dxa"/>
          </w:tblCellMar>
        </w:tblPrEx>
        <w:trPr>
          <w:jc w:val="center"/>
        </w:trPr>
        <w:tc>
          <w:tcPr>
            <w:tcW w:w="5157" w:type="dxa"/>
          </w:tcPr>
          <w:p w:rsidR="00000000" w:rsidRDefault="00000000">
            <w:pPr>
              <w:pStyle w:val="Style"/>
              <w:spacing w:before="40" w:after="40"/>
              <w:rPr>
                <w:szCs w:val="20"/>
                <w:lang w:val="ru-RU"/>
              </w:rPr>
            </w:pPr>
            <w:r>
              <w:rPr>
                <w:szCs w:val="20"/>
                <w:lang w:val="ru-RU"/>
              </w:rPr>
              <w:t>Пенсионеры/Престарелые</w:t>
            </w:r>
          </w:p>
        </w:tc>
        <w:tc>
          <w:tcPr>
            <w:tcW w:w="1770" w:type="dxa"/>
          </w:tcPr>
          <w:p w:rsidR="00000000" w:rsidRDefault="00000000">
            <w:pPr>
              <w:pStyle w:val="Style"/>
              <w:spacing w:before="40" w:after="40"/>
              <w:rPr>
                <w:szCs w:val="20"/>
                <w:lang w:val="ru-RU"/>
              </w:rPr>
            </w:pPr>
            <w:r>
              <w:rPr>
                <w:szCs w:val="20"/>
                <w:lang w:val="ru-RU"/>
              </w:rPr>
              <w:t>15,58</w:t>
            </w:r>
          </w:p>
        </w:tc>
        <w:tc>
          <w:tcPr>
            <w:tcW w:w="0" w:type="auto"/>
          </w:tcPr>
          <w:p w:rsidR="00000000" w:rsidRDefault="00000000">
            <w:pPr>
              <w:pStyle w:val="Style"/>
              <w:spacing w:before="40" w:after="40"/>
              <w:rPr>
                <w:szCs w:val="20"/>
                <w:lang w:val="ru-RU"/>
              </w:rPr>
            </w:pPr>
            <w:r>
              <w:rPr>
                <w:szCs w:val="20"/>
                <w:lang w:val="ru-RU"/>
              </w:rPr>
              <w:t>2,49</w:t>
            </w:r>
          </w:p>
        </w:tc>
        <w:tc>
          <w:tcPr>
            <w:tcW w:w="0" w:type="auto"/>
          </w:tcPr>
          <w:p w:rsidR="00000000" w:rsidRDefault="00000000">
            <w:pPr>
              <w:pStyle w:val="Style"/>
              <w:spacing w:before="40" w:after="40"/>
              <w:rPr>
                <w:szCs w:val="20"/>
                <w:lang w:val="ru-RU"/>
              </w:rPr>
            </w:pPr>
            <w:r>
              <w:rPr>
                <w:szCs w:val="20"/>
                <w:lang w:val="ru-RU"/>
              </w:rPr>
              <w:t>-84,0</w:t>
            </w:r>
          </w:p>
        </w:tc>
      </w:tr>
    </w:tbl>
    <w:p w:rsidR="00000000" w:rsidRDefault="00000000"/>
    <w:p w:rsidR="00000000" w:rsidRDefault="00000000">
      <w:pPr>
        <w:pStyle w:val="a3"/>
      </w:pPr>
      <w:r>
        <w:t>Эти обследования указывают на то, что слепота в большей степени распространена среди женщин, сельского населения и групп, имеющих низкий уровень образования, хотя со временем ее распространенность в этих группах сокращается.</w:t>
      </w:r>
    </w:p>
    <w:p w:rsidR="00000000" w:rsidRDefault="00000000">
      <w:pPr>
        <w:pStyle w:val="112"/>
        <w:rPr>
          <w:rStyle w:val="111"/>
        </w:rPr>
      </w:pPr>
      <w:r>
        <w:rPr>
          <w:rStyle w:val="111"/>
        </w:rPr>
        <w:t>474.</w:t>
      </w:r>
      <w:r>
        <w:rPr>
          <w:rStyle w:val="111"/>
        </w:rPr>
        <w:tab/>
        <w:t>Право на здоровье признается как неотъемлемая часть права на жизнь по Конституции Индии.  Конституция обязывает штаты улучшать систему здравоохранения (статья 47) и обеспечивать охрану и улучшение состояния окружающей среды (статья 48</w:t>
      </w:r>
      <w:r>
        <w:rPr>
          <w:rStyle w:val="111"/>
        </w:rPr>
        <w:noBreakHyphen/>
        <w:t>А).  Она возлагает также на граждан основополагающую обязанность по охране и улучшению состояния окружающей среды (статья 51 А g)).  Верховный суд Индии</w:t>
      </w:r>
      <w:r>
        <w:rPr>
          <w:rStyle w:val="FootnoteReference"/>
        </w:rPr>
        <w:footnoteReference w:customMarkFollows="1" w:id="69"/>
        <w:t>68</w:t>
      </w:r>
      <w:r>
        <w:rPr>
          <w:rStyle w:val="111"/>
        </w:rPr>
        <w:t xml:space="preserve"> и высокие суды неоднократно признавали, что главной обязанностью правительства является обеспечение населения надлежащим медицинским обслуживанием в той мере, в какой это позволяют государственные финансы.  Суды признают, что здоровая окружающая среда является неотъемлемым компонентом права на здоровье, поскольку невозможно вести достойную жизнь в условиях отсутствия благоприятной для человека и здоровой окружающей среды, и проявляют активность в предотвращении загрязнения окружающей среды, которое негативно влияет на качество жизни</w:t>
      </w:r>
      <w:r>
        <w:rPr>
          <w:rStyle w:val="FootnoteReference"/>
        </w:rPr>
        <w:footnoteReference w:customMarkFollows="1" w:id="70"/>
        <w:t>69</w:t>
      </w:r>
      <w:r>
        <w:rPr>
          <w:rStyle w:val="111"/>
        </w:rPr>
        <w:t>.</w:t>
      </w:r>
    </w:p>
    <w:p w:rsidR="00000000" w:rsidRDefault="00000000">
      <w:pPr>
        <w:pStyle w:val="112"/>
      </w:pPr>
      <w:r>
        <w:t>475.</w:t>
      </w:r>
      <w:r>
        <w:tab/>
        <w:t>Вопросы, касающиеся системы государственного здравоохранения и санитарии, работы больниц и диспансеров, находятся в ведении правительств штатов в соответствии с системой разделения полномочий в рамках федеративной структуры страны.  Вопросы контроля за ростом населения и планирования семьи, медицинского просвещения, фальсификации продуктов питания и других товаров, аспекты, связанные с лекарственными препаратами и ядами, медицинской специальностью, психозами и слабоумием, находятся в ведении как центрального правительства, так и правительств штатов.  Однако центральное правительство играет важнейшую роль в выработке и реализации различных национальных программ в сфере здравоохранения, касающихся инфекционных, неинфекционных и других распространенных заболеваний, и подкрепляет усилия штатов путем выделения финансовых средств и привлечения помощи со стороны зарубежных учреждений.  Головным учреждением в данной области является союзное Министерство здравоохранения и благополучия семьи, действующее через департамент здравоохранения и департамент по делам благополучия семьи.  Министерство по охране окружающей среды и лесов является учреждением, отвечающим за сохранение окружающей среды.</w:t>
      </w:r>
    </w:p>
    <w:p w:rsidR="00000000" w:rsidRDefault="00000000">
      <w:pPr>
        <w:pStyle w:val="112"/>
        <w:rPr>
          <w:rStyle w:val="111"/>
        </w:rPr>
      </w:pPr>
      <w:r>
        <w:rPr>
          <w:rStyle w:val="111"/>
        </w:rPr>
        <w:t>476.</w:t>
      </w:r>
      <w:r>
        <w:rPr>
          <w:rStyle w:val="111"/>
        </w:rPr>
        <w:tab/>
        <w:t xml:space="preserve">Индия подписала </w:t>
      </w:r>
      <w:r>
        <w:rPr>
          <w:i/>
        </w:rPr>
        <w:t>Алма-</w:t>
      </w:r>
      <w:r>
        <w:rPr>
          <w:i/>
          <w:caps/>
        </w:rPr>
        <w:t>а</w:t>
      </w:r>
      <w:r>
        <w:rPr>
          <w:i/>
        </w:rPr>
        <w:t>тинскую декларацию 1978 года</w:t>
      </w:r>
      <w:r>
        <w:rPr>
          <w:rStyle w:val="111"/>
        </w:rPr>
        <w:t>, закрепляющую обязательство по достижению цели, сформулированной в программе "Здоровье для всех" к 2000 году.  Национальная стратегия в области здравоохранения 1983 года была разработана на этой основе в качестве проекта для совместных действий правительственных органов и добровольческих учреждений, в котором подчеркивались важность профилактики в деле охраны здоровья и необходимость создания всеобъемлющей системы первичного медико-санитарного обслуживания, с тем чтобы распространить ее на людей, живущих в самых удаленных районах.  Она содержала требование относительно децентрализации системы здравоохранения и участия населения, поскольку охрана здоровья и  развитие человеческого потенциала рассматривались в ней как важнейшие компоненты общего комплексного социально-экономического прогресса.</w:t>
      </w:r>
    </w:p>
    <w:p w:rsidR="00000000" w:rsidRDefault="00000000">
      <w:pPr>
        <w:pStyle w:val="112"/>
      </w:pPr>
      <w:r>
        <w:t>477.</w:t>
      </w:r>
      <w:r>
        <w:tab/>
        <w:t xml:space="preserve">Хотя цель программы "Здоровье для всех" пока еще не достигнута, стране удалось добиться значительного улучшения состояния здоровья населения.  Это стало результатом расширения охвата системы охраны здоровья, программ иммунизации и борьбы с инфекционными заболеваниями.  </w:t>
      </w:r>
    </w:p>
    <w:p w:rsidR="00000000" w:rsidRDefault="00000000">
      <w:pPr>
        <w:pStyle w:val="112"/>
      </w:pPr>
      <w:r>
        <w:t>В нижеследующей таблице приводятся некоторые отдельные показатели состояния физического здоровья:</w:t>
      </w:r>
    </w:p>
    <w:p w:rsidR="00000000" w:rsidRDefault="00000000">
      <w:pPr>
        <w:pStyle w:val="112"/>
        <w:spacing w:before="160" w:after="80"/>
        <w:rPr>
          <w:b/>
          <w:bCs/>
        </w:rPr>
      </w:pPr>
      <w:r>
        <w:rPr>
          <w:b/>
          <w:bCs/>
        </w:rPr>
        <w:br w:type="page"/>
        <w:t>Отдельные показатели состояния здоровья</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9"/>
        <w:gridCol w:w="1493"/>
        <w:gridCol w:w="1419"/>
        <w:gridCol w:w="1560"/>
        <w:gridCol w:w="2198"/>
      </w:tblGrid>
      <w:tr w:rsidR="00000000">
        <w:tblPrEx>
          <w:tblCellMar>
            <w:top w:w="0" w:type="dxa"/>
            <w:bottom w:w="0" w:type="dxa"/>
          </w:tblCellMar>
        </w:tblPrEx>
        <w:trPr>
          <w:cantSplit/>
          <w:trHeight w:val="168"/>
          <w:tblHeader/>
          <w:jc w:val="center"/>
        </w:trPr>
        <w:tc>
          <w:tcPr>
            <w:tcW w:w="2969" w:type="dxa"/>
          </w:tcPr>
          <w:p w:rsidR="00000000" w:rsidRDefault="00000000">
            <w:pPr>
              <w:spacing w:before="120" w:after="120"/>
              <w:jc w:val="both"/>
              <w:rPr>
                <w:b/>
                <w:bCs/>
                <w:sz w:val="20"/>
                <w:szCs w:val="20"/>
              </w:rPr>
            </w:pPr>
            <w:r>
              <w:rPr>
                <w:b/>
                <w:bCs/>
                <w:sz w:val="20"/>
                <w:szCs w:val="20"/>
              </w:rPr>
              <w:t>Параметр</w:t>
            </w:r>
          </w:p>
        </w:tc>
        <w:tc>
          <w:tcPr>
            <w:tcW w:w="1493" w:type="dxa"/>
          </w:tcPr>
          <w:p w:rsidR="00000000" w:rsidRDefault="00000000">
            <w:pPr>
              <w:spacing w:before="120" w:after="120"/>
              <w:jc w:val="center"/>
              <w:rPr>
                <w:b/>
                <w:bCs/>
                <w:sz w:val="20"/>
                <w:szCs w:val="20"/>
              </w:rPr>
            </w:pPr>
            <w:r>
              <w:rPr>
                <w:b/>
                <w:bCs/>
                <w:sz w:val="20"/>
                <w:szCs w:val="20"/>
              </w:rPr>
              <w:t>1951 год</w:t>
            </w:r>
          </w:p>
        </w:tc>
        <w:tc>
          <w:tcPr>
            <w:tcW w:w="1419" w:type="dxa"/>
          </w:tcPr>
          <w:p w:rsidR="00000000" w:rsidRDefault="00000000">
            <w:pPr>
              <w:spacing w:before="120" w:after="120"/>
              <w:jc w:val="center"/>
              <w:rPr>
                <w:b/>
                <w:bCs/>
                <w:sz w:val="20"/>
                <w:szCs w:val="20"/>
              </w:rPr>
            </w:pPr>
            <w:r>
              <w:rPr>
                <w:b/>
                <w:bCs/>
                <w:sz w:val="20"/>
                <w:szCs w:val="20"/>
              </w:rPr>
              <w:t>1981 год</w:t>
            </w:r>
          </w:p>
        </w:tc>
        <w:tc>
          <w:tcPr>
            <w:tcW w:w="1560" w:type="dxa"/>
          </w:tcPr>
          <w:p w:rsidR="00000000" w:rsidRDefault="00000000">
            <w:pPr>
              <w:spacing w:before="120" w:after="120"/>
              <w:jc w:val="center"/>
              <w:rPr>
                <w:b/>
                <w:bCs/>
                <w:sz w:val="20"/>
                <w:szCs w:val="20"/>
              </w:rPr>
            </w:pPr>
            <w:r>
              <w:rPr>
                <w:b/>
                <w:bCs/>
                <w:sz w:val="20"/>
                <w:szCs w:val="20"/>
              </w:rPr>
              <w:t>1991 год</w:t>
            </w:r>
          </w:p>
        </w:tc>
        <w:tc>
          <w:tcPr>
            <w:tcW w:w="2198" w:type="dxa"/>
          </w:tcPr>
          <w:p w:rsidR="00000000" w:rsidRDefault="00000000">
            <w:pPr>
              <w:spacing w:before="120" w:after="120"/>
              <w:jc w:val="center"/>
              <w:rPr>
                <w:b/>
                <w:bCs/>
                <w:sz w:val="20"/>
                <w:szCs w:val="20"/>
              </w:rPr>
            </w:pPr>
            <w:r>
              <w:rPr>
                <w:b/>
                <w:bCs/>
                <w:sz w:val="20"/>
                <w:szCs w:val="20"/>
              </w:rPr>
              <w:t>Нынешний уровень</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Общий коэффициент рождаемости</w:t>
            </w:r>
          </w:p>
          <w:p w:rsidR="00000000" w:rsidRDefault="00000000">
            <w:pPr>
              <w:spacing w:before="40" w:after="40"/>
              <w:rPr>
                <w:sz w:val="20"/>
                <w:szCs w:val="20"/>
              </w:rPr>
            </w:pPr>
            <w:r>
              <w:rPr>
                <w:sz w:val="20"/>
                <w:szCs w:val="20"/>
              </w:rPr>
              <w:t>(на 1000 человек)</w:t>
            </w:r>
          </w:p>
        </w:tc>
        <w:tc>
          <w:tcPr>
            <w:tcW w:w="1493" w:type="dxa"/>
            <w:vAlign w:val="bottom"/>
          </w:tcPr>
          <w:p w:rsidR="00000000" w:rsidRDefault="00000000">
            <w:pPr>
              <w:spacing w:before="40" w:after="40"/>
              <w:jc w:val="both"/>
              <w:rPr>
                <w:sz w:val="20"/>
                <w:szCs w:val="20"/>
              </w:rPr>
            </w:pPr>
            <w:r>
              <w:rPr>
                <w:sz w:val="20"/>
                <w:szCs w:val="20"/>
              </w:rPr>
              <w:t>40,8</w:t>
            </w:r>
          </w:p>
        </w:tc>
        <w:tc>
          <w:tcPr>
            <w:tcW w:w="1419" w:type="dxa"/>
            <w:vAlign w:val="bottom"/>
          </w:tcPr>
          <w:p w:rsidR="00000000" w:rsidRDefault="00000000">
            <w:pPr>
              <w:spacing w:before="40" w:after="40"/>
              <w:jc w:val="both"/>
              <w:rPr>
                <w:sz w:val="20"/>
                <w:szCs w:val="20"/>
              </w:rPr>
            </w:pPr>
            <w:r>
              <w:rPr>
                <w:sz w:val="20"/>
                <w:szCs w:val="20"/>
              </w:rPr>
              <w:t>33,9</w:t>
            </w:r>
          </w:p>
        </w:tc>
        <w:tc>
          <w:tcPr>
            <w:tcW w:w="1560" w:type="dxa"/>
            <w:vAlign w:val="bottom"/>
          </w:tcPr>
          <w:p w:rsidR="00000000" w:rsidRDefault="00000000">
            <w:pPr>
              <w:spacing w:before="40" w:after="40"/>
              <w:jc w:val="both"/>
              <w:rPr>
                <w:sz w:val="20"/>
                <w:szCs w:val="20"/>
              </w:rPr>
            </w:pPr>
            <w:r>
              <w:rPr>
                <w:sz w:val="20"/>
                <w:szCs w:val="20"/>
              </w:rPr>
              <w:t>29,5</w:t>
            </w:r>
          </w:p>
        </w:tc>
        <w:tc>
          <w:tcPr>
            <w:tcW w:w="2198" w:type="dxa"/>
            <w:vAlign w:val="bottom"/>
          </w:tcPr>
          <w:p w:rsidR="00000000" w:rsidRDefault="00000000">
            <w:pPr>
              <w:spacing w:before="40" w:after="40"/>
              <w:rPr>
                <w:sz w:val="20"/>
                <w:szCs w:val="20"/>
              </w:rPr>
            </w:pPr>
            <w:r>
              <w:rPr>
                <w:sz w:val="20"/>
                <w:szCs w:val="20"/>
              </w:rPr>
              <w:t>25,0 (2002*)</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 xml:space="preserve">Общий коэффициент смертности </w:t>
            </w:r>
          </w:p>
          <w:p w:rsidR="00000000" w:rsidRDefault="00000000">
            <w:pPr>
              <w:spacing w:before="40" w:after="40"/>
              <w:rPr>
                <w:sz w:val="20"/>
                <w:szCs w:val="20"/>
              </w:rPr>
            </w:pPr>
            <w:r>
              <w:rPr>
                <w:sz w:val="20"/>
                <w:szCs w:val="20"/>
              </w:rPr>
              <w:t>(на 1000 человек)</w:t>
            </w:r>
          </w:p>
        </w:tc>
        <w:tc>
          <w:tcPr>
            <w:tcW w:w="1493" w:type="dxa"/>
            <w:vAlign w:val="bottom"/>
          </w:tcPr>
          <w:p w:rsidR="00000000" w:rsidRDefault="00000000">
            <w:pPr>
              <w:spacing w:before="40" w:after="40"/>
              <w:jc w:val="both"/>
              <w:rPr>
                <w:sz w:val="20"/>
                <w:szCs w:val="20"/>
              </w:rPr>
            </w:pPr>
            <w:r>
              <w:rPr>
                <w:sz w:val="20"/>
                <w:szCs w:val="20"/>
              </w:rPr>
              <w:t>25,1</w:t>
            </w:r>
          </w:p>
        </w:tc>
        <w:tc>
          <w:tcPr>
            <w:tcW w:w="1419" w:type="dxa"/>
            <w:vAlign w:val="bottom"/>
          </w:tcPr>
          <w:p w:rsidR="00000000" w:rsidRDefault="00000000">
            <w:pPr>
              <w:pStyle w:val="Notasalfinal"/>
              <w:spacing w:before="40" w:after="40"/>
              <w:rPr>
                <w:rFonts w:ascii="Times New Roman" w:hAnsi="Times New Roman"/>
                <w:szCs w:val="20"/>
                <w:lang w:val="ru-RU" w:eastAsia="ru-RU"/>
              </w:rPr>
            </w:pPr>
            <w:r>
              <w:rPr>
                <w:rFonts w:ascii="Times New Roman" w:hAnsi="Times New Roman"/>
                <w:szCs w:val="20"/>
                <w:lang w:val="ru-RU" w:eastAsia="ru-RU"/>
              </w:rPr>
              <w:t>12,5</w:t>
            </w:r>
          </w:p>
        </w:tc>
        <w:tc>
          <w:tcPr>
            <w:tcW w:w="1560" w:type="dxa"/>
            <w:vAlign w:val="bottom"/>
          </w:tcPr>
          <w:p w:rsidR="00000000" w:rsidRDefault="00000000">
            <w:pPr>
              <w:spacing w:before="40" w:after="40"/>
              <w:jc w:val="both"/>
              <w:rPr>
                <w:sz w:val="20"/>
                <w:szCs w:val="20"/>
              </w:rPr>
            </w:pPr>
            <w:r>
              <w:rPr>
                <w:sz w:val="20"/>
                <w:szCs w:val="20"/>
              </w:rPr>
              <w:t>9,8</w:t>
            </w:r>
          </w:p>
        </w:tc>
        <w:tc>
          <w:tcPr>
            <w:tcW w:w="2198" w:type="dxa"/>
            <w:vAlign w:val="bottom"/>
          </w:tcPr>
          <w:p w:rsidR="00000000" w:rsidRDefault="00000000">
            <w:pPr>
              <w:spacing w:before="40" w:after="40"/>
              <w:rPr>
                <w:sz w:val="20"/>
                <w:szCs w:val="20"/>
              </w:rPr>
            </w:pPr>
            <w:r>
              <w:rPr>
                <w:sz w:val="20"/>
                <w:szCs w:val="20"/>
              </w:rPr>
              <w:t>8,1 (2002*)</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Суммарный коэффициент рождаемости</w:t>
            </w:r>
          </w:p>
          <w:p w:rsidR="00000000" w:rsidRDefault="00000000">
            <w:pPr>
              <w:spacing w:before="40" w:after="40"/>
              <w:rPr>
                <w:sz w:val="20"/>
                <w:szCs w:val="20"/>
              </w:rPr>
            </w:pPr>
            <w:r>
              <w:rPr>
                <w:sz w:val="20"/>
                <w:szCs w:val="20"/>
              </w:rPr>
              <w:t>(на одну женщину)</w:t>
            </w:r>
          </w:p>
        </w:tc>
        <w:tc>
          <w:tcPr>
            <w:tcW w:w="1493" w:type="dxa"/>
            <w:vAlign w:val="bottom"/>
          </w:tcPr>
          <w:p w:rsidR="00000000" w:rsidRDefault="00000000">
            <w:pPr>
              <w:spacing w:before="40" w:after="40"/>
              <w:jc w:val="both"/>
              <w:rPr>
                <w:sz w:val="20"/>
                <w:szCs w:val="20"/>
              </w:rPr>
            </w:pPr>
            <w:r>
              <w:rPr>
                <w:sz w:val="20"/>
                <w:szCs w:val="20"/>
              </w:rPr>
              <w:t>6,0</w:t>
            </w:r>
          </w:p>
        </w:tc>
        <w:tc>
          <w:tcPr>
            <w:tcW w:w="1419" w:type="dxa"/>
            <w:vAlign w:val="bottom"/>
          </w:tcPr>
          <w:p w:rsidR="00000000" w:rsidRDefault="00000000">
            <w:pPr>
              <w:spacing w:before="40" w:after="40"/>
              <w:jc w:val="both"/>
              <w:rPr>
                <w:sz w:val="20"/>
                <w:szCs w:val="20"/>
              </w:rPr>
            </w:pPr>
            <w:r>
              <w:rPr>
                <w:sz w:val="20"/>
                <w:szCs w:val="20"/>
              </w:rPr>
              <w:t>4,5</w:t>
            </w:r>
          </w:p>
        </w:tc>
        <w:tc>
          <w:tcPr>
            <w:tcW w:w="1560" w:type="dxa"/>
            <w:vAlign w:val="bottom"/>
          </w:tcPr>
          <w:p w:rsidR="00000000" w:rsidRDefault="00000000">
            <w:pPr>
              <w:spacing w:before="40" w:after="40"/>
              <w:jc w:val="both"/>
              <w:rPr>
                <w:sz w:val="20"/>
                <w:szCs w:val="20"/>
              </w:rPr>
            </w:pPr>
            <w:r>
              <w:rPr>
                <w:sz w:val="20"/>
                <w:szCs w:val="20"/>
              </w:rPr>
              <w:t>3,6</w:t>
            </w:r>
          </w:p>
        </w:tc>
        <w:tc>
          <w:tcPr>
            <w:tcW w:w="2198" w:type="dxa"/>
            <w:vAlign w:val="bottom"/>
          </w:tcPr>
          <w:p w:rsidR="00000000" w:rsidRDefault="00000000">
            <w:pPr>
              <w:spacing w:before="40" w:after="40"/>
              <w:rPr>
                <w:sz w:val="20"/>
                <w:szCs w:val="20"/>
              </w:rPr>
            </w:pPr>
            <w:r>
              <w:rPr>
                <w:sz w:val="20"/>
                <w:szCs w:val="20"/>
              </w:rPr>
              <w:t>3,2 (1999)</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Коэффициент материнской смертности (КМС) на 100 000 живорождений – НОЗС</w:t>
            </w:r>
          </w:p>
        </w:tc>
        <w:tc>
          <w:tcPr>
            <w:tcW w:w="1493" w:type="dxa"/>
            <w:vAlign w:val="bottom"/>
          </w:tcPr>
          <w:p w:rsidR="00000000" w:rsidRDefault="00000000">
            <w:pPr>
              <w:spacing w:before="40" w:after="40"/>
              <w:jc w:val="both"/>
              <w:rPr>
                <w:sz w:val="20"/>
                <w:szCs w:val="20"/>
              </w:rPr>
            </w:pPr>
            <w:r>
              <w:rPr>
                <w:sz w:val="20"/>
                <w:szCs w:val="20"/>
              </w:rPr>
              <w:t>НД</w:t>
            </w:r>
          </w:p>
        </w:tc>
        <w:tc>
          <w:tcPr>
            <w:tcW w:w="1419" w:type="dxa"/>
            <w:vAlign w:val="bottom"/>
          </w:tcPr>
          <w:p w:rsidR="00000000" w:rsidRDefault="00000000">
            <w:pPr>
              <w:spacing w:before="40" w:after="40"/>
              <w:jc w:val="both"/>
              <w:rPr>
                <w:sz w:val="20"/>
                <w:szCs w:val="20"/>
              </w:rPr>
            </w:pPr>
            <w:r>
              <w:rPr>
                <w:sz w:val="20"/>
                <w:szCs w:val="20"/>
              </w:rPr>
              <w:t>НД</w:t>
            </w:r>
          </w:p>
        </w:tc>
        <w:tc>
          <w:tcPr>
            <w:tcW w:w="1560" w:type="dxa"/>
            <w:vAlign w:val="bottom"/>
          </w:tcPr>
          <w:p w:rsidR="00000000" w:rsidRDefault="00000000">
            <w:pPr>
              <w:spacing w:before="40" w:after="40"/>
              <w:jc w:val="both"/>
              <w:rPr>
                <w:sz w:val="20"/>
                <w:szCs w:val="20"/>
              </w:rPr>
            </w:pPr>
            <w:r>
              <w:rPr>
                <w:sz w:val="20"/>
                <w:szCs w:val="20"/>
              </w:rPr>
              <w:t>437 (1992–93)</w:t>
            </w:r>
          </w:p>
        </w:tc>
        <w:tc>
          <w:tcPr>
            <w:tcW w:w="2198" w:type="dxa"/>
            <w:vAlign w:val="bottom"/>
          </w:tcPr>
          <w:p w:rsidR="00000000" w:rsidRDefault="00000000">
            <w:pPr>
              <w:spacing w:before="40" w:after="40"/>
              <w:rPr>
                <w:sz w:val="20"/>
                <w:szCs w:val="20"/>
              </w:rPr>
            </w:pPr>
            <w:r>
              <w:rPr>
                <w:sz w:val="20"/>
                <w:szCs w:val="20"/>
              </w:rPr>
              <w:t>407 (1998–99)</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Коэффициент ранней детской смертности (КРДС) на 1 000 живорождений</w:t>
            </w:r>
          </w:p>
        </w:tc>
        <w:tc>
          <w:tcPr>
            <w:tcW w:w="1493" w:type="dxa"/>
            <w:vAlign w:val="bottom"/>
          </w:tcPr>
          <w:p w:rsidR="00000000" w:rsidRDefault="00000000">
            <w:pPr>
              <w:spacing w:before="40" w:after="40"/>
              <w:jc w:val="both"/>
              <w:rPr>
                <w:sz w:val="20"/>
                <w:szCs w:val="20"/>
              </w:rPr>
            </w:pPr>
            <w:r>
              <w:rPr>
                <w:sz w:val="20"/>
                <w:szCs w:val="20"/>
              </w:rPr>
              <w:t>146 (1951–61)</w:t>
            </w:r>
          </w:p>
        </w:tc>
        <w:tc>
          <w:tcPr>
            <w:tcW w:w="1419" w:type="dxa"/>
            <w:vAlign w:val="bottom"/>
          </w:tcPr>
          <w:p w:rsidR="00000000" w:rsidRDefault="00000000">
            <w:pPr>
              <w:spacing w:before="40" w:after="40"/>
              <w:jc w:val="both"/>
              <w:rPr>
                <w:sz w:val="20"/>
                <w:szCs w:val="20"/>
              </w:rPr>
            </w:pPr>
            <w:r>
              <w:rPr>
                <w:sz w:val="20"/>
                <w:szCs w:val="20"/>
              </w:rPr>
              <w:t>110</w:t>
            </w:r>
          </w:p>
        </w:tc>
        <w:tc>
          <w:tcPr>
            <w:tcW w:w="1560" w:type="dxa"/>
            <w:vAlign w:val="bottom"/>
          </w:tcPr>
          <w:p w:rsidR="00000000" w:rsidRDefault="00000000">
            <w:pPr>
              <w:spacing w:before="40" w:after="40"/>
              <w:jc w:val="both"/>
              <w:rPr>
                <w:sz w:val="20"/>
                <w:szCs w:val="20"/>
              </w:rPr>
            </w:pPr>
            <w:r>
              <w:rPr>
                <w:sz w:val="20"/>
                <w:szCs w:val="20"/>
              </w:rPr>
              <w:t>80</w:t>
            </w:r>
          </w:p>
        </w:tc>
        <w:tc>
          <w:tcPr>
            <w:tcW w:w="2198" w:type="dxa"/>
            <w:vAlign w:val="bottom"/>
          </w:tcPr>
          <w:p w:rsidR="00000000" w:rsidRDefault="00000000">
            <w:pPr>
              <w:spacing w:before="40" w:after="40"/>
              <w:rPr>
                <w:sz w:val="20"/>
                <w:szCs w:val="20"/>
              </w:rPr>
            </w:pPr>
            <w:r>
              <w:rPr>
                <w:sz w:val="20"/>
                <w:szCs w:val="20"/>
              </w:rPr>
              <w:t>64 (2002*)</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Коэффициент детской смертности (0–4 года) на 1 000 детей</w:t>
            </w:r>
          </w:p>
        </w:tc>
        <w:tc>
          <w:tcPr>
            <w:tcW w:w="1493" w:type="dxa"/>
            <w:vAlign w:val="bottom"/>
          </w:tcPr>
          <w:p w:rsidR="00000000" w:rsidRDefault="00000000">
            <w:pPr>
              <w:spacing w:before="40" w:after="40"/>
              <w:jc w:val="both"/>
              <w:rPr>
                <w:sz w:val="20"/>
                <w:szCs w:val="20"/>
              </w:rPr>
            </w:pPr>
            <w:r>
              <w:rPr>
                <w:sz w:val="20"/>
                <w:szCs w:val="20"/>
              </w:rPr>
              <w:t>57,3 (1972)</w:t>
            </w:r>
          </w:p>
        </w:tc>
        <w:tc>
          <w:tcPr>
            <w:tcW w:w="1419" w:type="dxa"/>
            <w:vAlign w:val="bottom"/>
          </w:tcPr>
          <w:p w:rsidR="00000000" w:rsidRDefault="00000000">
            <w:pPr>
              <w:spacing w:before="40" w:after="40"/>
              <w:jc w:val="both"/>
              <w:rPr>
                <w:sz w:val="20"/>
                <w:szCs w:val="20"/>
              </w:rPr>
            </w:pPr>
            <w:r>
              <w:rPr>
                <w:sz w:val="20"/>
                <w:szCs w:val="20"/>
              </w:rPr>
              <w:t>41,2</w:t>
            </w:r>
          </w:p>
        </w:tc>
        <w:tc>
          <w:tcPr>
            <w:tcW w:w="1560" w:type="dxa"/>
            <w:vAlign w:val="bottom"/>
          </w:tcPr>
          <w:p w:rsidR="00000000" w:rsidRDefault="00000000">
            <w:pPr>
              <w:spacing w:before="40" w:after="40"/>
              <w:jc w:val="both"/>
              <w:rPr>
                <w:sz w:val="20"/>
                <w:szCs w:val="20"/>
              </w:rPr>
            </w:pPr>
            <w:r>
              <w:rPr>
                <w:sz w:val="20"/>
                <w:szCs w:val="20"/>
              </w:rPr>
              <w:t>26,5</w:t>
            </w:r>
          </w:p>
        </w:tc>
        <w:tc>
          <w:tcPr>
            <w:tcW w:w="2198" w:type="dxa"/>
            <w:vAlign w:val="bottom"/>
          </w:tcPr>
          <w:p w:rsidR="00000000" w:rsidRDefault="00000000">
            <w:pPr>
              <w:spacing w:before="40" w:after="40"/>
              <w:rPr>
                <w:sz w:val="20"/>
                <w:szCs w:val="20"/>
              </w:rPr>
            </w:pPr>
            <w:r>
              <w:rPr>
                <w:sz w:val="20"/>
                <w:szCs w:val="20"/>
              </w:rPr>
              <w:t>19,5 (2000)</w:t>
            </w:r>
          </w:p>
        </w:tc>
      </w:tr>
      <w:tr w:rsidR="00000000">
        <w:tblPrEx>
          <w:tblCellMar>
            <w:top w:w="0" w:type="dxa"/>
            <w:bottom w:w="0" w:type="dxa"/>
          </w:tblCellMar>
        </w:tblPrEx>
        <w:trPr>
          <w:trHeight w:val="168"/>
          <w:jc w:val="center"/>
        </w:trPr>
        <w:tc>
          <w:tcPr>
            <w:tcW w:w="2969" w:type="dxa"/>
            <w:vAlign w:val="bottom"/>
          </w:tcPr>
          <w:p w:rsidR="00000000" w:rsidRDefault="00000000">
            <w:pPr>
              <w:spacing w:before="40" w:after="40"/>
              <w:rPr>
                <w:sz w:val="20"/>
                <w:szCs w:val="20"/>
              </w:rPr>
            </w:pPr>
            <w:r>
              <w:rPr>
                <w:sz w:val="20"/>
                <w:szCs w:val="20"/>
              </w:rPr>
              <w:t>Коэффициент защищенности семьи (в процентах)</w:t>
            </w:r>
          </w:p>
        </w:tc>
        <w:tc>
          <w:tcPr>
            <w:tcW w:w="1493" w:type="dxa"/>
            <w:vAlign w:val="bottom"/>
          </w:tcPr>
          <w:p w:rsidR="00000000" w:rsidRDefault="00000000">
            <w:pPr>
              <w:spacing w:before="40" w:after="40"/>
              <w:jc w:val="both"/>
              <w:rPr>
                <w:sz w:val="20"/>
                <w:szCs w:val="20"/>
              </w:rPr>
            </w:pPr>
            <w:r>
              <w:rPr>
                <w:sz w:val="20"/>
                <w:szCs w:val="20"/>
              </w:rPr>
              <w:t>10,4 (1971)</w:t>
            </w:r>
          </w:p>
        </w:tc>
        <w:tc>
          <w:tcPr>
            <w:tcW w:w="1419" w:type="dxa"/>
            <w:vAlign w:val="bottom"/>
          </w:tcPr>
          <w:p w:rsidR="00000000" w:rsidRDefault="00000000">
            <w:pPr>
              <w:spacing w:before="40" w:after="40"/>
              <w:jc w:val="both"/>
              <w:rPr>
                <w:sz w:val="20"/>
                <w:szCs w:val="20"/>
              </w:rPr>
            </w:pPr>
            <w:r>
              <w:rPr>
                <w:sz w:val="20"/>
                <w:szCs w:val="20"/>
              </w:rPr>
              <w:t>22,8</w:t>
            </w:r>
          </w:p>
        </w:tc>
        <w:tc>
          <w:tcPr>
            <w:tcW w:w="1560" w:type="dxa"/>
            <w:vAlign w:val="bottom"/>
          </w:tcPr>
          <w:p w:rsidR="00000000" w:rsidRDefault="00000000">
            <w:pPr>
              <w:spacing w:before="40" w:after="40"/>
              <w:jc w:val="both"/>
              <w:rPr>
                <w:sz w:val="20"/>
                <w:szCs w:val="20"/>
              </w:rPr>
            </w:pPr>
            <w:r>
              <w:rPr>
                <w:sz w:val="20"/>
                <w:szCs w:val="20"/>
              </w:rPr>
              <w:t>44,1</w:t>
            </w:r>
          </w:p>
        </w:tc>
        <w:tc>
          <w:tcPr>
            <w:tcW w:w="2198" w:type="dxa"/>
            <w:vAlign w:val="bottom"/>
          </w:tcPr>
          <w:p w:rsidR="00000000" w:rsidRDefault="00000000">
            <w:pPr>
              <w:spacing w:before="40" w:after="40"/>
              <w:rPr>
                <w:sz w:val="20"/>
                <w:szCs w:val="20"/>
              </w:rPr>
            </w:pPr>
            <w:r>
              <w:rPr>
                <w:sz w:val="20"/>
                <w:szCs w:val="20"/>
              </w:rPr>
              <w:t>48,2 (1998–99) НОЗС</w:t>
            </w:r>
          </w:p>
        </w:tc>
      </w:tr>
      <w:tr w:rsidR="00000000">
        <w:tblPrEx>
          <w:tblCellMar>
            <w:top w:w="0" w:type="dxa"/>
            <w:bottom w:w="0" w:type="dxa"/>
          </w:tblCellMar>
        </w:tblPrEx>
        <w:trPr>
          <w:trHeight w:val="1390"/>
          <w:jc w:val="center"/>
        </w:trPr>
        <w:tc>
          <w:tcPr>
            <w:tcW w:w="2969" w:type="dxa"/>
            <w:tcBorders>
              <w:bottom w:val="single" w:sz="4" w:space="0" w:color="auto"/>
            </w:tcBorders>
          </w:tcPr>
          <w:p w:rsidR="00000000" w:rsidRDefault="00000000">
            <w:pPr>
              <w:spacing w:before="40"/>
              <w:rPr>
                <w:sz w:val="20"/>
                <w:szCs w:val="20"/>
              </w:rPr>
            </w:pPr>
            <w:r>
              <w:rPr>
                <w:sz w:val="20"/>
                <w:szCs w:val="20"/>
              </w:rPr>
              <w:t xml:space="preserve">Продолжительность предстоящей жизни </w:t>
            </w:r>
            <w:r>
              <w:rPr>
                <w:sz w:val="20"/>
                <w:szCs w:val="20"/>
              </w:rPr>
              <w:br/>
              <w:t xml:space="preserve">при рождении </w:t>
            </w:r>
          </w:p>
          <w:p w:rsidR="00000000" w:rsidRDefault="00000000">
            <w:pPr>
              <w:jc w:val="both"/>
              <w:rPr>
                <w:sz w:val="20"/>
                <w:szCs w:val="20"/>
              </w:rPr>
            </w:pPr>
          </w:p>
          <w:p w:rsidR="00000000" w:rsidRDefault="00000000">
            <w:pPr>
              <w:jc w:val="both"/>
              <w:rPr>
                <w:sz w:val="20"/>
                <w:szCs w:val="20"/>
              </w:rPr>
            </w:pPr>
            <w:r>
              <w:rPr>
                <w:sz w:val="20"/>
                <w:szCs w:val="20"/>
              </w:rPr>
              <w:t xml:space="preserve">Мужчины </w:t>
            </w:r>
          </w:p>
          <w:p w:rsidR="00000000" w:rsidRDefault="00000000">
            <w:pPr>
              <w:jc w:val="both"/>
              <w:rPr>
                <w:sz w:val="20"/>
                <w:szCs w:val="20"/>
              </w:rPr>
            </w:pPr>
          </w:p>
          <w:p w:rsidR="00000000" w:rsidRDefault="00000000">
            <w:pPr>
              <w:jc w:val="both"/>
              <w:rPr>
                <w:sz w:val="20"/>
                <w:szCs w:val="20"/>
              </w:rPr>
            </w:pPr>
            <w:r>
              <w:rPr>
                <w:sz w:val="20"/>
                <w:szCs w:val="20"/>
              </w:rPr>
              <w:t>Женщины</w:t>
            </w:r>
          </w:p>
        </w:tc>
        <w:tc>
          <w:tcPr>
            <w:tcW w:w="1493" w:type="dxa"/>
            <w:tcBorders>
              <w:bottom w:val="single" w:sz="4" w:space="0" w:color="auto"/>
            </w:tcBorders>
          </w:tcPr>
          <w:p w:rsidR="00000000" w:rsidRDefault="00000000">
            <w:pPr>
              <w:spacing w:before="40"/>
              <w:rPr>
                <w:sz w:val="20"/>
                <w:szCs w:val="20"/>
              </w:rPr>
            </w:pPr>
            <w:r>
              <w:rPr>
                <w:sz w:val="20"/>
                <w:szCs w:val="20"/>
              </w:rPr>
              <w:br/>
            </w:r>
            <w:r>
              <w:rPr>
                <w:sz w:val="20"/>
                <w:szCs w:val="20"/>
              </w:rPr>
              <w:br/>
            </w:r>
          </w:p>
          <w:p w:rsidR="00000000" w:rsidRDefault="00000000">
            <w:pPr>
              <w:jc w:val="both"/>
              <w:rPr>
                <w:sz w:val="20"/>
                <w:szCs w:val="20"/>
              </w:rPr>
            </w:pPr>
          </w:p>
          <w:p w:rsidR="00000000" w:rsidRDefault="00000000">
            <w:pPr>
              <w:jc w:val="both"/>
              <w:rPr>
                <w:sz w:val="20"/>
                <w:szCs w:val="20"/>
              </w:rPr>
            </w:pPr>
            <w:r>
              <w:rPr>
                <w:sz w:val="20"/>
                <w:szCs w:val="20"/>
              </w:rPr>
              <w:t>37,2</w:t>
            </w:r>
          </w:p>
          <w:p w:rsidR="00000000" w:rsidRDefault="00000000">
            <w:pPr>
              <w:jc w:val="both"/>
              <w:rPr>
                <w:sz w:val="20"/>
                <w:szCs w:val="20"/>
              </w:rPr>
            </w:pPr>
          </w:p>
          <w:p w:rsidR="00000000" w:rsidRDefault="00000000">
            <w:pPr>
              <w:jc w:val="both"/>
              <w:rPr>
                <w:sz w:val="20"/>
                <w:szCs w:val="20"/>
              </w:rPr>
            </w:pPr>
            <w:r>
              <w:rPr>
                <w:sz w:val="20"/>
                <w:szCs w:val="20"/>
              </w:rPr>
              <w:t>36,2</w:t>
            </w:r>
          </w:p>
        </w:tc>
        <w:tc>
          <w:tcPr>
            <w:tcW w:w="1419" w:type="dxa"/>
            <w:tcBorders>
              <w:bottom w:val="single" w:sz="4" w:space="0" w:color="auto"/>
            </w:tcBorders>
          </w:tcPr>
          <w:p w:rsidR="00000000" w:rsidRDefault="00000000">
            <w:pPr>
              <w:spacing w:before="40"/>
              <w:rPr>
                <w:sz w:val="20"/>
                <w:szCs w:val="20"/>
              </w:rPr>
            </w:pPr>
            <w:r>
              <w:rPr>
                <w:sz w:val="20"/>
                <w:szCs w:val="20"/>
              </w:rPr>
              <w:br/>
            </w:r>
            <w:r>
              <w:rPr>
                <w:sz w:val="20"/>
                <w:szCs w:val="20"/>
              </w:rPr>
              <w:br/>
            </w:r>
          </w:p>
          <w:p w:rsidR="00000000" w:rsidRDefault="00000000">
            <w:pPr>
              <w:jc w:val="both"/>
              <w:rPr>
                <w:sz w:val="20"/>
                <w:szCs w:val="20"/>
              </w:rPr>
            </w:pPr>
          </w:p>
          <w:p w:rsidR="00000000" w:rsidRDefault="00000000">
            <w:pPr>
              <w:jc w:val="both"/>
              <w:rPr>
                <w:sz w:val="20"/>
                <w:szCs w:val="20"/>
              </w:rPr>
            </w:pPr>
            <w:r>
              <w:rPr>
                <w:sz w:val="20"/>
                <w:szCs w:val="20"/>
              </w:rPr>
              <w:t>54,1</w:t>
            </w:r>
          </w:p>
          <w:p w:rsidR="00000000" w:rsidRDefault="00000000">
            <w:pPr>
              <w:jc w:val="both"/>
              <w:rPr>
                <w:sz w:val="20"/>
                <w:szCs w:val="20"/>
              </w:rPr>
            </w:pPr>
          </w:p>
          <w:p w:rsidR="00000000" w:rsidRDefault="00000000">
            <w:pPr>
              <w:jc w:val="both"/>
              <w:rPr>
                <w:sz w:val="20"/>
                <w:szCs w:val="20"/>
              </w:rPr>
            </w:pPr>
            <w:r>
              <w:rPr>
                <w:sz w:val="20"/>
                <w:szCs w:val="20"/>
              </w:rPr>
              <w:t>54,7</w:t>
            </w:r>
          </w:p>
        </w:tc>
        <w:tc>
          <w:tcPr>
            <w:tcW w:w="1560" w:type="dxa"/>
            <w:tcBorders>
              <w:bottom w:val="single" w:sz="4" w:space="0" w:color="auto"/>
            </w:tcBorders>
          </w:tcPr>
          <w:p w:rsidR="00000000" w:rsidRDefault="00000000">
            <w:pPr>
              <w:spacing w:before="40"/>
              <w:rPr>
                <w:sz w:val="20"/>
                <w:szCs w:val="20"/>
              </w:rPr>
            </w:pPr>
            <w:r>
              <w:rPr>
                <w:sz w:val="20"/>
                <w:szCs w:val="20"/>
              </w:rPr>
              <w:br/>
            </w:r>
            <w:r>
              <w:rPr>
                <w:sz w:val="20"/>
                <w:szCs w:val="20"/>
              </w:rPr>
              <w:br/>
            </w:r>
          </w:p>
          <w:p w:rsidR="00000000" w:rsidRDefault="00000000">
            <w:pPr>
              <w:rPr>
                <w:sz w:val="20"/>
                <w:szCs w:val="20"/>
              </w:rPr>
            </w:pPr>
          </w:p>
          <w:p w:rsidR="00000000" w:rsidRDefault="00000000">
            <w:pPr>
              <w:rPr>
                <w:sz w:val="20"/>
                <w:szCs w:val="20"/>
              </w:rPr>
            </w:pPr>
            <w:r>
              <w:rPr>
                <w:sz w:val="20"/>
                <w:szCs w:val="20"/>
              </w:rPr>
              <w:t>59,7 (1991–95)</w:t>
            </w:r>
          </w:p>
          <w:p w:rsidR="00000000" w:rsidRDefault="00000000">
            <w:pPr>
              <w:rPr>
                <w:sz w:val="20"/>
                <w:szCs w:val="20"/>
              </w:rPr>
            </w:pPr>
          </w:p>
          <w:p w:rsidR="00000000" w:rsidRDefault="00000000">
            <w:pPr>
              <w:rPr>
                <w:sz w:val="20"/>
                <w:szCs w:val="20"/>
              </w:rPr>
            </w:pPr>
            <w:r>
              <w:rPr>
                <w:sz w:val="20"/>
                <w:szCs w:val="20"/>
              </w:rPr>
              <w:t>60,9 (1991–95)</w:t>
            </w:r>
          </w:p>
        </w:tc>
        <w:tc>
          <w:tcPr>
            <w:tcW w:w="2198" w:type="dxa"/>
            <w:tcBorders>
              <w:bottom w:val="single" w:sz="4" w:space="0" w:color="auto"/>
            </w:tcBorders>
          </w:tcPr>
          <w:p w:rsidR="00000000" w:rsidRDefault="00000000">
            <w:pPr>
              <w:spacing w:before="40"/>
              <w:rPr>
                <w:sz w:val="20"/>
                <w:szCs w:val="20"/>
              </w:rPr>
            </w:pPr>
            <w:r>
              <w:rPr>
                <w:sz w:val="20"/>
                <w:szCs w:val="20"/>
              </w:rPr>
              <w:br/>
            </w:r>
            <w:r>
              <w:rPr>
                <w:sz w:val="20"/>
                <w:szCs w:val="20"/>
              </w:rPr>
              <w:br/>
            </w:r>
          </w:p>
          <w:p w:rsidR="00000000" w:rsidRDefault="00000000">
            <w:pPr>
              <w:rPr>
                <w:sz w:val="20"/>
                <w:szCs w:val="20"/>
              </w:rPr>
            </w:pPr>
          </w:p>
          <w:p w:rsidR="00000000" w:rsidRDefault="00000000">
            <w:pPr>
              <w:rPr>
                <w:sz w:val="20"/>
                <w:szCs w:val="20"/>
              </w:rPr>
            </w:pPr>
            <w:r>
              <w:rPr>
                <w:sz w:val="20"/>
                <w:szCs w:val="20"/>
              </w:rPr>
              <w:t>63,9 (2001–06)</w:t>
            </w:r>
          </w:p>
          <w:p w:rsidR="00000000" w:rsidRDefault="00000000">
            <w:pPr>
              <w:spacing w:after="40"/>
              <w:rPr>
                <w:sz w:val="20"/>
                <w:szCs w:val="20"/>
              </w:rPr>
            </w:pPr>
          </w:p>
          <w:p w:rsidR="00000000" w:rsidRDefault="00000000">
            <w:pPr>
              <w:spacing w:after="40"/>
              <w:rPr>
                <w:sz w:val="20"/>
                <w:szCs w:val="20"/>
              </w:rPr>
            </w:pPr>
            <w:r>
              <w:rPr>
                <w:sz w:val="20"/>
                <w:szCs w:val="20"/>
              </w:rPr>
              <w:t>66,9 (2001–06)</w:t>
            </w:r>
          </w:p>
        </w:tc>
      </w:tr>
    </w:tbl>
    <w:p w:rsidR="00000000" w:rsidRDefault="00000000">
      <w:pPr>
        <w:jc w:val="both"/>
        <w:rPr>
          <w:sz w:val="24"/>
        </w:rPr>
      </w:pPr>
    </w:p>
    <w:p w:rsidR="00000000" w:rsidRDefault="00000000">
      <w:pPr>
        <w:pStyle w:val="a3"/>
        <w:rPr>
          <w:rStyle w:val="111"/>
          <w:sz w:val="20"/>
          <w:szCs w:val="20"/>
        </w:rPr>
      </w:pPr>
      <w:r>
        <w:rPr>
          <w:b/>
          <w:bCs/>
          <w:szCs w:val="20"/>
        </w:rPr>
        <w:t>Примечание:</w:t>
      </w:r>
      <w:r>
        <w:rPr>
          <w:rStyle w:val="111"/>
          <w:sz w:val="20"/>
          <w:szCs w:val="20"/>
        </w:rPr>
        <w:t xml:space="preserve">  Даты в скобках означают годы, за которые имеется самая последняя информация.</w:t>
      </w:r>
    </w:p>
    <w:p w:rsidR="00000000" w:rsidRDefault="00000000">
      <w:pPr>
        <w:jc w:val="both"/>
        <w:rPr>
          <w:sz w:val="20"/>
          <w:szCs w:val="20"/>
        </w:rPr>
      </w:pPr>
      <w:r>
        <w:rPr>
          <w:sz w:val="20"/>
          <w:szCs w:val="20"/>
        </w:rPr>
        <w:t>НОЗС:  Национальное обследование здоровья семьи;   НД:  нет данных.  *  Предварительные данные.</w:t>
      </w:r>
    </w:p>
    <w:p w:rsidR="00000000" w:rsidRDefault="00000000">
      <w:pPr>
        <w:spacing w:before="80"/>
        <w:jc w:val="both"/>
        <w:rPr>
          <w:rStyle w:val="111"/>
          <w:sz w:val="20"/>
          <w:szCs w:val="20"/>
        </w:rPr>
      </w:pPr>
      <w:r>
        <w:rPr>
          <w:b/>
          <w:bCs/>
          <w:sz w:val="20"/>
          <w:szCs w:val="20"/>
        </w:rPr>
        <w:t>Источник:</w:t>
      </w:r>
      <w:r>
        <w:rPr>
          <w:rStyle w:val="111"/>
          <w:sz w:val="20"/>
          <w:szCs w:val="20"/>
        </w:rPr>
        <w:t xml:space="preserve">  Министерство здравоохранения и благополучия семьи.</w:t>
      </w:r>
    </w:p>
    <w:p w:rsidR="00000000" w:rsidRDefault="00000000">
      <w:pPr>
        <w:jc w:val="both"/>
        <w:rPr>
          <w:sz w:val="20"/>
          <w:szCs w:val="20"/>
        </w:rPr>
      </w:pPr>
    </w:p>
    <w:p w:rsidR="00000000" w:rsidRDefault="00000000">
      <w:pPr>
        <w:pStyle w:val="112"/>
      </w:pPr>
      <w:r>
        <w:t>478.</w:t>
      </w:r>
      <w:r>
        <w:tab/>
        <w:t>Согласно расчетам, проведенным в рамках десятого плана, около 10–15% населения страдают от проблем, связанных с психическим здоровьем, и стрессы современной жизни приводят к росту масштабов распространенности психических заболеваний.  Кроме того, около 10 млн. человек страдают от серьезных психических расстройств, 20–30 млн. человек подвержены неврозам или психосоматическим расстройствам, а 0,5–1% всех детей являются умственно отсталыми.</w:t>
      </w:r>
    </w:p>
    <w:p w:rsidR="00000000" w:rsidRDefault="00000000">
      <w:pPr>
        <w:pStyle w:val="112"/>
      </w:pPr>
      <w:r>
        <w:t>479.</w:t>
      </w:r>
      <w:r>
        <w:tab/>
        <w:t>В нижеследующих таблицах приводятся различные показатели состояния здоровья населения сельской местности и городов, а также мужчин и женщин с учетом самых последних имеющихся данных, пока не подготовлены исчерпывающие данные переписи населения 2001 года.</w:t>
      </w:r>
    </w:p>
    <w:p w:rsidR="00000000" w:rsidRDefault="00000000">
      <w:pPr>
        <w:pStyle w:val="112"/>
        <w:spacing w:before="0" w:after="80"/>
        <w:rPr>
          <w:b/>
          <w:bCs/>
          <w:lang w:val="en-US"/>
        </w:rPr>
      </w:pPr>
    </w:p>
    <w:p w:rsidR="00000000" w:rsidRDefault="00000000">
      <w:pPr>
        <w:pStyle w:val="112"/>
        <w:spacing w:before="0" w:after="80"/>
        <w:rPr>
          <w:b/>
          <w:bCs/>
        </w:rPr>
      </w:pPr>
      <w:r>
        <w:rPr>
          <w:b/>
          <w:bCs/>
        </w:rPr>
        <w:br w:type="page"/>
        <w:t>Продолжительность предстоящей жизни при рождении, 1992–1996 годы</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4"/>
        <w:gridCol w:w="1555"/>
        <w:gridCol w:w="1555"/>
        <w:gridCol w:w="1555"/>
      </w:tblGrid>
      <w:tr w:rsidR="00000000">
        <w:tblPrEx>
          <w:tblCellMar>
            <w:top w:w="0" w:type="dxa"/>
            <w:bottom w:w="0" w:type="dxa"/>
          </w:tblCellMar>
        </w:tblPrEx>
        <w:trPr>
          <w:jc w:val="center"/>
        </w:trPr>
        <w:tc>
          <w:tcPr>
            <w:tcW w:w="4783" w:type="dxa"/>
          </w:tcPr>
          <w:p w:rsidR="00000000" w:rsidRDefault="00000000">
            <w:pPr>
              <w:spacing w:before="40" w:after="40"/>
              <w:jc w:val="both"/>
              <w:rPr>
                <w:sz w:val="20"/>
                <w:szCs w:val="20"/>
              </w:rPr>
            </w:pPr>
          </w:p>
        </w:tc>
        <w:tc>
          <w:tcPr>
            <w:tcW w:w="1496" w:type="dxa"/>
            <w:vAlign w:val="center"/>
          </w:tcPr>
          <w:p w:rsidR="00000000" w:rsidRDefault="00000000">
            <w:pPr>
              <w:spacing w:before="40" w:after="40"/>
              <w:jc w:val="center"/>
              <w:rPr>
                <w:b/>
                <w:bCs/>
                <w:sz w:val="20"/>
                <w:szCs w:val="20"/>
              </w:rPr>
            </w:pPr>
            <w:r>
              <w:rPr>
                <w:b/>
                <w:bCs/>
                <w:sz w:val="20"/>
                <w:szCs w:val="20"/>
              </w:rPr>
              <w:t>Мужчины</w:t>
            </w:r>
          </w:p>
        </w:tc>
        <w:tc>
          <w:tcPr>
            <w:tcW w:w="1496" w:type="dxa"/>
            <w:vAlign w:val="center"/>
          </w:tcPr>
          <w:p w:rsidR="00000000" w:rsidRDefault="00000000">
            <w:pPr>
              <w:spacing w:before="40" w:after="40"/>
              <w:jc w:val="center"/>
              <w:rPr>
                <w:b/>
                <w:bCs/>
                <w:sz w:val="20"/>
                <w:szCs w:val="20"/>
              </w:rPr>
            </w:pPr>
            <w:r>
              <w:rPr>
                <w:b/>
                <w:bCs/>
                <w:sz w:val="20"/>
                <w:szCs w:val="20"/>
              </w:rPr>
              <w:t>Женщины</w:t>
            </w:r>
          </w:p>
        </w:tc>
        <w:tc>
          <w:tcPr>
            <w:tcW w:w="1496" w:type="dxa"/>
            <w:vAlign w:val="center"/>
          </w:tcPr>
          <w:p w:rsidR="00000000" w:rsidRDefault="00000000">
            <w:pPr>
              <w:pStyle w:val="Heading2"/>
              <w:spacing w:before="40" w:after="40"/>
              <w:rPr>
                <w:bCs/>
                <w:sz w:val="20"/>
                <w:lang w:val="ru-RU"/>
              </w:rPr>
            </w:pPr>
            <w:r>
              <w:rPr>
                <w:bCs/>
                <w:sz w:val="20"/>
                <w:lang w:val="ru-RU"/>
              </w:rPr>
              <w:t>Средний показатель</w:t>
            </w:r>
          </w:p>
        </w:tc>
      </w:tr>
      <w:tr w:rsidR="00000000">
        <w:tblPrEx>
          <w:tblCellMar>
            <w:top w:w="0" w:type="dxa"/>
            <w:bottom w:w="0" w:type="dxa"/>
          </w:tblCellMar>
        </w:tblPrEx>
        <w:trPr>
          <w:jc w:val="center"/>
        </w:trPr>
        <w:tc>
          <w:tcPr>
            <w:tcW w:w="4783" w:type="dxa"/>
          </w:tcPr>
          <w:p w:rsidR="00000000" w:rsidRDefault="00000000">
            <w:pPr>
              <w:pStyle w:val="Heading1"/>
              <w:spacing w:before="40" w:after="40"/>
              <w:jc w:val="both"/>
              <w:rPr>
                <w:b w:val="0"/>
                <w:sz w:val="20"/>
                <w:u w:val="single"/>
                <w:lang w:val="ru-RU"/>
              </w:rPr>
            </w:pPr>
            <w:r>
              <w:rPr>
                <w:b w:val="0"/>
                <w:caps w:val="0"/>
                <w:sz w:val="20"/>
                <w:u w:val="single"/>
                <w:lang w:val="ru-RU"/>
              </w:rPr>
              <w:t xml:space="preserve">По всей </w:t>
            </w:r>
            <w:r>
              <w:rPr>
                <w:b w:val="0"/>
                <w:sz w:val="20"/>
                <w:u w:val="single"/>
                <w:lang w:val="ru-RU"/>
              </w:rPr>
              <w:t>и</w:t>
            </w:r>
            <w:r>
              <w:rPr>
                <w:b w:val="0"/>
                <w:caps w:val="0"/>
                <w:sz w:val="20"/>
                <w:u w:val="single"/>
                <w:lang w:val="ru-RU"/>
              </w:rPr>
              <w:t>ндии – сельская местность</w:t>
            </w:r>
          </w:p>
        </w:tc>
        <w:tc>
          <w:tcPr>
            <w:tcW w:w="1496" w:type="dxa"/>
          </w:tcPr>
          <w:p w:rsidR="00000000" w:rsidRDefault="00000000">
            <w:pPr>
              <w:spacing w:before="40" w:after="40"/>
              <w:jc w:val="center"/>
              <w:rPr>
                <w:rStyle w:val="111"/>
                <w:sz w:val="20"/>
                <w:szCs w:val="20"/>
              </w:rPr>
            </w:pPr>
            <w:r>
              <w:rPr>
                <w:rStyle w:val="111"/>
                <w:sz w:val="20"/>
                <w:szCs w:val="20"/>
              </w:rPr>
              <w:t>58,9</w:t>
            </w:r>
          </w:p>
        </w:tc>
        <w:tc>
          <w:tcPr>
            <w:tcW w:w="1496" w:type="dxa"/>
          </w:tcPr>
          <w:p w:rsidR="00000000" w:rsidRDefault="00000000">
            <w:pPr>
              <w:spacing w:before="40" w:after="40"/>
              <w:jc w:val="center"/>
              <w:rPr>
                <w:rStyle w:val="111"/>
                <w:sz w:val="20"/>
                <w:szCs w:val="20"/>
              </w:rPr>
            </w:pPr>
            <w:r>
              <w:rPr>
                <w:rStyle w:val="111"/>
                <w:sz w:val="20"/>
                <w:szCs w:val="20"/>
              </w:rPr>
              <w:t>59,8</w:t>
            </w:r>
          </w:p>
        </w:tc>
        <w:tc>
          <w:tcPr>
            <w:tcW w:w="1496" w:type="dxa"/>
          </w:tcPr>
          <w:p w:rsidR="00000000" w:rsidRDefault="00000000">
            <w:pPr>
              <w:spacing w:before="40" w:after="40"/>
              <w:jc w:val="center"/>
              <w:rPr>
                <w:rStyle w:val="111"/>
                <w:sz w:val="20"/>
                <w:szCs w:val="20"/>
              </w:rPr>
            </w:pPr>
            <w:r>
              <w:rPr>
                <w:rStyle w:val="111"/>
                <w:sz w:val="20"/>
                <w:szCs w:val="20"/>
              </w:rPr>
              <w:t>59,4</w:t>
            </w:r>
          </w:p>
        </w:tc>
      </w:tr>
      <w:tr w:rsidR="00000000">
        <w:tblPrEx>
          <w:tblCellMar>
            <w:top w:w="0" w:type="dxa"/>
            <w:bottom w:w="0" w:type="dxa"/>
          </w:tblCellMar>
        </w:tblPrEx>
        <w:trPr>
          <w:jc w:val="center"/>
        </w:trPr>
        <w:tc>
          <w:tcPr>
            <w:tcW w:w="4783" w:type="dxa"/>
          </w:tcPr>
          <w:p w:rsidR="00000000" w:rsidRDefault="00000000">
            <w:pPr>
              <w:spacing w:before="40" w:after="40"/>
              <w:jc w:val="both"/>
              <w:rPr>
                <w:b/>
                <w:bCs/>
                <w:sz w:val="20"/>
                <w:szCs w:val="20"/>
              </w:rPr>
            </w:pPr>
            <w:r>
              <w:rPr>
                <w:b/>
                <w:bCs/>
                <w:sz w:val="20"/>
                <w:szCs w:val="20"/>
              </w:rPr>
              <w:t>По всей Индии –  города</w:t>
            </w:r>
          </w:p>
        </w:tc>
        <w:tc>
          <w:tcPr>
            <w:tcW w:w="1496" w:type="dxa"/>
          </w:tcPr>
          <w:p w:rsidR="00000000" w:rsidRDefault="00000000">
            <w:pPr>
              <w:spacing w:before="40" w:after="40"/>
              <w:jc w:val="center"/>
              <w:rPr>
                <w:rStyle w:val="111"/>
                <w:sz w:val="20"/>
                <w:szCs w:val="20"/>
              </w:rPr>
            </w:pPr>
            <w:r>
              <w:rPr>
                <w:rStyle w:val="111"/>
                <w:sz w:val="20"/>
                <w:szCs w:val="20"/>
              </w:rPr>
              <w:t>64,9</w:t>
            </w:r>
          </w:p>
        </w:tc>
        <w:tc>
          <w:tcPr>
            <w:tcW w:w="1496" w:type="dxa"/>
          </w:tcPr>
          <w:p w:rsidR="00000000" w:rsidRDefault="00000000">
            <w:pPr>
              <w:spacing w:before="40" w:after="40"/>
              <w:jc w:val="center"/>
              <w:rPr>
                <w:rStyle w:val="111"/>
                <w:sz w:val="20"/>
                <w:szCs w:val="20"/>
              </w:rPr>
            </w:pPr>
            <w:r>
              <w:rPr>
                <w:rStyle w:val="111"/>
                <w:sz w:val="20"/>
                <w:szCs w:val="20"/>
              </w:rPr>
              <w:t>67,7</w:t>
            </w:r>
          </w:p>
        </w:tc>
        <w:tc>
          <w:tcPr>
            <w:tcW w:w="1496" w:type="dxa"/>
          </w:tcPr>
          <w:p w:rsidR="00000000" w:rsidRDefault="00000000">
            <w:pPr>
              <w:spacing w:before="40" w:after="40"/>
              <w:jc w:val="center"/>
              <w:rPr>
                <w:rStyle w:val="111"/>
                <w:sz w:val="20"/>
                <w:szCs w:val="20"/>
              </w:rPr>
            </w:pPr>
            <w:r>
              <w:rPr>
                <w:rStyle w:val="111"/>
                <w:sz w:val="20"/>
                <w:szCs w:val="20"/>
              </w:rPr>
              <w:t>66,3</w:t>
            </w:r>
          </w:p>
        </w:tc>
      </w:tr>
      <w:tr w:rsidR="00000000">
        <w:tblPrEx>
          <w:tblCellMar>
            <w:top w:w="0" w:type="dxa"/>
            <w:bottom w:w="0" w:type="dxa"/>
          </w:tblCellMar>
        </w:tblPrEx>
        <w:trPr>
          <w:jc w:val="center"/>
        </w:trPr>
        <w:tc>
          <w:tcPr>
            <w:tcW w:w="4783" w:type="dxa"/>
          </w:tcPr>
          <w:p w:rsidR="00000000" w:rsidRDefault="00000000">
            <w:pPr>
              <w:spacing w:before="40" w:after="40"/>
              <w:jc w:val="both"/>
              <w:rPr>
                <w:b/>
                <w:bCs/>
                <w:sz w:val="20"/>
                <w:szCs w:val="20"/>
              </w:rPr>
            </w:pPr>
            <w:r>
              <w:rPr>
                <w:b/>
                <w:bCs/>
                <w:sz w:val="20"/>
                <w:szCs w:val="20"/>
              </w:rPr>
              <w:t>По всей Индии – общие данные</w:t>
            </w:r>
          </w:p>
        </w:tc>
        <w:tc>
          <w:tcPr>
            <w:tcW w:w="1496" w:type="dxa"/>
          </w:tcPr>
          <w:p w:rsidR="00000000" w:rsidRDefault="00000000">
            <w:pPr>
              <w:spacing w:before="40" w:after="40"/>
              <w:jc w:val="center"/>
              <w:rPr>
                <w:rStyle w:val="111"/>
                <w:sz w:val="20"/>
                <w:szCs w:val="20"/>
              </w:rPr>
            </w:pPr>
            <w:r>
              <w:rPr>
                <w:rStyle w:val="111"/>
                <w:sz w:val="20"/>
                <w:szCs w:val="20"/>
              </w:rPr>
              <w:t>60,1</w:t>
            </w:r>
          </w:p>
        </w:tc>
        <w:tc>
          <w:tcPr>
            <w:tcW w:w="1496" w:type="dxa"/>
          </w:tcPr>
          <w:p w:rsidR="00000000" w:rsidRDefault="00000000">
            <w:pPr>
              <w:spacing w:before="40" w:after="40"/>
              <w:jc w:val="center"/>
              <w:rPr>
                <w:rStyle w:val="111"/>
                <w:sz w:val="20"/>
                <w:szCs w:val="20"/>
              </w:rPr>
            </w:pPr>
            <w:r>
              <w:rPr>
                <w:rStyle w:val="111"/>
                <w:sz w:val="20"/>
                <w:szCs w:val="20"/>
              </w:rPr>
              <w:t>61,4</w:t>
            </w:r>
          </w:p>
        </w:tc>
        <w:tc>
          <w:tcPr>
            <w:tcW w:w="1496" w:type="dxa"/>
          </w:tcPr>
          <w:p w:rsidR="00000000" w:rsidRDefault="00000000">
            <w:pPr>
              <w:spacing w:before="40" w:after="40"/>
              <w:jc w:val="center"/>
              <w:rPr>
                <w:rStyle w:val="111"/>
                <w:sz w:val="20"/>
                <w:szCs w:val="20"/>
              </w:rPr>
            </w:pPr>
            <w:r>
              <w:rPr>
                <w:rStyle w:val="111"/>
                <w:sz w:val="20"/>
                <w:szCs w:val="20"/>
              </w:rPr>
              <w:t>60,7</w:t>
            </w:r>
          </w:p>
        </w:tc>
      </w:tr>
    </w:tbl>
    <w:p w:rsidR="00000000" w:rsidRDefault="00000000">
      <w:pPr>
        <w:pStyle w:val="a3"/>
        <w:spacing w:before="120"/>
        <w:rPr>
          <w:rStyle w:val="111"/>
          <w:sz w:val="20"/>
          <w:szCs w:val="20"/>
        </w:rPr>
      </w:pPr>
      <w:r>
        <w:rPr>
          <w:b/>
          <w:bCs/>
          <w:szCs w:val="20"/>
        </w:rPr>
        <w:t>Источник:</w:t>
      </w:r>
      <w:r>
        <w:rPr>
          <w:rStyle w:val="111"/>
          <w:sz w:val="20"/>
          <w:szCs w:val="20"/>
        </w:rPr>
        <w:t xml:space="preserve">  Компендиум показателей рождаемости и смертности в Индии за 1971–1997 годы на основе системы выборочного учета (СВУ) Генерального регистратора Индии, 1999 год.</w:t>
      </w:r>
    </w:p>
    <w:p w:rsidR="00000000" w:rsidRDefault="00000000">
      <w:pPr>
        <w:pStyle w:val="112"/>
      </w:pPr>
    </w:p>
    <w:p w:rsidR="00000000" w:rsidRDefault="00000000">
      <w:pPr>
        <w:pStyle w:val="Heading1"/>
        <w:spacing w:after="80"/>
        <w:jc w:val="both"/>
        <w:rPr>
          <w:bCs/>
          <w:sz w:val="22"/>
          <w:szCs w:val="22"/>
          <w:lang w:val="ru-RU"/>
        </w:rPr>
      </w:pPr>
      <w:r>
        <w:rPr>
          <w:bCs/>
          <w:caps w:val="0"/>
          <w:sz w:val="22"/>
          <w:szCs w:val="22"/>
          <w:lang w:val="ru-RU"/>
        </w:rPr>
        <w:t>Коэффициент ранней детской смертности, 1991 год</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3"/>
        <w:gridCol w:w="3213"/>
        <w:gridCol w:w="3213"/>
      </w:tblGrid>
      <w:tr w:rsidR="00000000">
        <w:tblPrEx>
          <w:tblCellMar>
            <w:top w:w="0" w:type="dxa"/>
            <w:bottom w:w="0" w:type="dxa"/>
          </w:tblCellMar>
        </w:tblPrEx>
        <w:trPr>
          <w:jc w:val="center"/>
        </w:trPr>
        <w:tc>
          <w:tcPr>
            <w:tcW w:w="2952" w:type="dxa"/>
            <w:vAlign w:val="center"/>
          </w:tcPr>
          <w:p w:rsidR="00000000" w:rsidRDefault="00000000">
            <w:pPr>
              <w:spacing w:before="40" w:after="40"/>
              <w:rPr>
                <w:b/>
                <w:bCs/>
                <w:sz w:val="20"/>
                <w:szCs w:val="20"/>
              </w:rPr>
            </w:pPr>
            <w:r>
              <w:rPr>
                <w:b/>
                <w:bCs/>
                <w:sz w:val="20"/>
                <w:szCs w:val="20"/>
              </w:rPr>
              <w:t>По всей Индии</w:t>
            </w:r>
          </w:p>
        </w:tc>
        <w:tc>
          <w:tcPr>
            <w:tcW w:w="2952" w:type="dxa"/>
            <w:vAlign w:val="center"/>
          </w:tcPr>
          <w:p w:rsidR="00000000" w:rsidRDefault="00000000">
            <w:pPr>
              <w:spacing w:before="40" w:after="40"/>
              <w:rPr>
                <w:b/>
                <w:bCs/>
                <w:sz w:val="20"/>
                <w:szCs w:val="20"/>
              </w:rPr>
            </w:pPr>
            <w:r>
              <w:rPr>
                <w:b/>
                <w:bCs/>
                <w:sz w:val="20"/>
                <w:szCs w:val="20"/>
              </w:rPr>
              <w:t>Мальчики</w:t>
            </w:r>
          </w:p>
        </w:tc>
        <w:tc>
          <w:tcPr>
            <w:tcW w:w="2952" w:type="dxa"/>
            <w:vAlign w:val="center"/>
          </w:tcPr>
          <w:p w:rsidR="00000000" w:rsidRDefault="00000000">
            <w:pPr>
              <w:spacing w:before="40" w:after="40"/>
              <w:rPr>
                <w:b/>
                <w:bCs/>
                <w:sz w:val="20"/>
                <w:szCs w:val="20"/>
              </w:rPr>
            </w:pPr>
            <w:r>
              <w:rPr>
                <w:b/>
                <w:bCs/>
                <w:sz w:val="20"/>
                <w:szCs w:val="20"/>
              </w:rPr>
              <w:t>Девочки</w:t>
            </w:r>
          </w:p>
        </w:tc>
      </w:tr>
      <w:tr w:rsidR="00000000">
        <w:tblPrEx>
          <w:tblCellMar>
            <w:top w:w="0" w:type="dxa"/>
            <w:bottom w:w="0" w:type="dxa"/>
          </w:tblCellMar>
        </w:tblPrEx>
        <w:trPr>
          <w:jc w:val="center"/>
        </w:trPr>
        <w:tc>
          <w:tcPr>
            <w:tcW w:w="2952" w:type="dxa"/>
            <w:vAlign w:val="center"/>
          </w:tcPr>
          <w:p w:rsidR="00000000" w:rsidRDefault="00000000">
            <w:pPr>
              <w:spacing w:before="40" w:after="40"/>
              <w:rPr>
                <w:sz w:val="20"/>
                <w:szCs w:val="20"/>
              </w:rPr>
            </w:pPr>
            <w:r>
              <w:rPr>
                <w:sz w:val="20"/>
                <w:szCs w:val="20"/>
              </w:rPr>
              <w:t>77</w:t>
            </w:r>
          </w:p>
        </w:tc>
        <w:tc>
          <w:tcPr>
            <w:tcW w:w="2952" w:type="dxa"/>
            <w:vAlign w:val="center"/>
          </w:tcPr>
          <w:p w:rsidR="00000000" w:rsidRDefault="00000000">
            <w:pPr>
              <w:spacing w:before="40" w:after="40"/>
              <w:rPr>
                <w:sz w:val="20"/>
                <w:szCs w:val="20"/>
              </w:rPr>
            </w:pPr>
            <w:r>
              <w:rPr>
                <w:sz w:val="20"/>
                <w:szCs w:val="20"/>
              </w:rPr>
              <w:t>74</w:t>
            </w:r>
          </w:p>
        </w:tc>
        <w:tc>
          <w:tcPr>
            <w:tcW w:w="2952" w:type="dxa"/>
            <w:vAlign w:val="center"/>
          </w:tcPr>
          <w:p w:rsidR="00000000" w:rsidRDefault="00000000">
            <w:pPr>
              <w:spacing w:before="40" w:after="40"/>
              <w:rPr>
                <w:sz w:val="20"/>
                <w:szCs w:val="20"/>
              </w:rPr>
            </w:pPr>
            <w:r>
              <w:rPr>
                <w:sz w:val="20"/>
                <w:szCs w:val="20"/>
              </w:rPr>
              <w:t>79</w:t>
            </w:r>
          </w:p>
        </w:tc>
      </w:tr>
      <w:tr w:rsidR="00000000">
        <w:tblPrEx>
          <w:tblCellMar>
            <w:top w:w="0" w:type="dxa"/>
            <w:bottom w:w="0" w:type="dxa"/>
          </w:tblCellMar>
        </w:tblPrEx>
        <w:trPr>
          <w:jc w:val="center"/>
        </w:trPr>
        <w:tc>
          <w:tcPr>
            <w:tcW w:w="2952" w:type="dxa"/>
            <w:vAlign w:val="center"/>
          </w:tcPr>
          <w:p w:rsidR="00000000" w:rsidRDefault="00000000">
            <w:pPr>
              <w:spacing w:before="40" w:after="40"/>
              <w:rPr>
                <w:b/>
                <w:bCs/>
                <w:sz w:val="20"/>
                <w:szCs w:val="20"/>
              </w:rPr>
            </w:pPr>
            <w:r>
              <w:rPr>
                <w:b/>
                <w:bCs/>
                <w:sz w:val="20"/>
                <w:szCs w:val="20"/>
              </w:rPr>
              <w:t>По всей Индии</w:t>
            </w:r>
          </w:p>
        </w:tc>
        <w:tc>
          <w:tcPr>
            <w:tcW w:w="2952" w:type="dxa"/>
            <w:vAlign w:val="center"/>
          </w:tcPr>
          <w:p w:rsidR="00000000" w:rsidRDefault="00000000">
            <w:pPr>
              <w:spacing w:before="40" w:after="40"/>
              <w:rPr>
                <w:b/>
                <w:bCs/>
                <w:sz w:val="20"/>
                <w:szCs w:val="20"/>
              </w:rPr>
            </w:pPr>
            <w:r>
              <w:rPr>
                <w:b/>
                <w:bCs/>
                <w:sz w:val="20"/>
                <w:szCs w:val="20"/>
              </w:rPr>
              <w:t>Сельская местность</w:t>
            </w:r>
          </w:p>
        </w:tc>
        <w:tc>
          <w:tcPr>
            <w:tcW w:w="2952" w:type="dxa"/>
            <w:vAlign w:val="center"/>
          </w:tcPr>
          <w:p w:rsidR="00000000" w:rsidRDefault="00000000">
            <w:pPr>
              <w:spacing w:before="40" w:after="40"/>
              <w:rPr>
                <w:b/>
                <w:bCs/>
                <w:sz w:val="20"/>
                <w:szCs w:val="20"/>
              </w:rPr>
            </w:pPr>
            <w:r>
              <w:rPr>
                <w:b/>
                <w:bCs/>
                <w:sz w:val="20"/>
                <w:szCs w:val="20"/>
              </w:rPr>
              <w:t>Города</w:t>
            </w:r>
          </w:p>
        </w:tc>
      </w:tr>
      <w:tr w:rsidR="00000000">
        <w:tblPrEx>
          <w:tblCellMar>
            <w:top w:w="0" w:type="dxa"/>
            <w:bottom w:w="0" w:type="dxa"/>
          </w:tblCellMar>
        </w:tblPrEx>
        <w:trPr>
          <w:jc w:val="center"/>
        </w:trPr>
        <w:tc>
          <w:tcPr>
            <w:tcW w:w="2952" w:type="dxa"/>
            <w:vAlign w:val="center"/>
          </w:tcPr>
          <w:p w:rsidR="00000000" w:rsidRDefault="00000000">
            <w:pPr>
              <w:spacing w:before="40" w:after="40"/>
              <w:rPr>
                <w:sz w:val="20"/>
                <w:szCs w:val="20"/>
                <w:lang w:val="en-US"/>
              </w:rPr>
            </w:pPr>
            <w:r>
              <w:rPr>
                <w:sz w:val="20"/>
                <w:szCs w:val="20"/>
                <w:lang w:val="en-US"/>
              </w:rPr>
              <w:t>77</w:t>
            </w:r>
          </w:p>
        </w:tc>
        <w:tc>
          <w:tcPr>
            <w:tcW w:w="2952" w:type="dxa"/>
            <w:vAlign w:val="center"/>
          </w:tcPr>
          <w:p w:rsidR="00000000" w:rsidRDefault="00000000">
            <w:pPr>
              <w:spacing w:before="40" w:after="40"/>
              <w:rPr>
                <w:sz w:val="20"/>
                <w:szCs w:val="20"/>
                <w:lang w:val="en-US"/>
              </w:rPr>
            </w:pPr>
            <w:r>
              <w:rPr>
                <w:sz w:val="20"/>
                <w:szCs w:val="20"/>
                <w:lang w:val="en-US"/>
              </w:rPr>
              <w:t>84</w:t>
            </w:r>
          </w:p>
        </w:tc>
        <w:tc>
          <w:tcPr>
            <w:tcW w:w="2952" w:type="dxa"/>
            <w:vAlign w:val="center"/>
          </w:tcPr>
          <w:p w:rsidR="00000000" w:rsidRDefault="00000000">
            <w:pPr>
              <w:spacing w:before="40" w:after="40"/>
              <w:rPr>
                <w:sz w:val="20"/>
                <w:szCs w:val="20"/>
                <w:lang w:val="en-US"/>
              </w:rPr>
            </w:pPr>
            <w:r>
              <w:rPr>
                <w:sz w:val="20"/>
                <w:szCs w:val="20"/>
                <w:lang w:val="en-US"/>
              </w:rPr>
              <w:t>51</w:t>
            </w:r>
          </w:p>
        </w:tc>
      </w:tr>
    </w:tbl>
    <w:p w:rsidR="00000000" w:rsidRDefault="00000000">
      <w:pPr>
        <w:pStyle w:val="a3"/>
        <w:spacing w:before="120"/>
        <w:rPr>
          <w:rStyle w:val="111"/>
          <w:sz w:val="20"/>
          <w:szCs w:val="20"/>
        </w:rPr>
      </w:pPr>
      <w:r>
        <w:rPr>
          <w:b/>
          <w:bCs/>
          <w:szCs w:val="20"/>
        </w:rPr>
        <w:t>Источник</w:t>
      </w:r>
      <w:r>
        <w:rPr>
          <w:b/>
          <w:bCs/>
          <w:szCs w:val="20"/>
          <w:lang w:val="en-US"/>
        </w:rPr>
        <w:t>:</w:t>
      </w:r>
      <w:r>
        <w:rPr>
          <w:rStyle w:val="111"/>
          <w:sz w:val="20"/>
          <w:szCs w:val="20"/>
        </w:rPr>
        <w:t xml:space="preserve">  Occasional Papers No. 1 of 1997, Table 3, pages 112-113, Перепись населения Индии.</w:t>
      </w:r>
    </w:p>
    <w:p w:rsidR="00000000" w:rsidRDefault="00000000">
      <w:pPr>
        <w:pStyle w:val="a3"/>
        <w:rPr>
          <w:szCs w:val="20"/>
        </w:rPr>
      </w:pPr>
      <w:r>
        <w:rPr>
          <w:b/>
          <w:bCs/>
          <w:szCs w:val="20"/>
        </w:rPr>
        <w:t>Примечание:</w:t>
      </w:r>
      <w:r>
        <w:rPr>
          <w:szCs w:val="20"/>
        </w:rPr>
        <w:t xml:space="preserve">  Согласно расчетам, полученным на основе СВУ в 1999</w:t>
      </w:r>
      <w:r>
        <w:rPr>
          <w:szCs w:val="20"/>
          <w:lang w:val="en-US"/>
        </w:rPr>
        <w:t> </w:t>
      </w:r>
      <w:r>
        <w:rPr>
          <w:szCs w:val="20"/>
        </w:rPr>
        <w:t xml:space="preserve">году, разрыв между показателями городов и сельской местности несколько сократился, до 75 и 44, по сравнению с коэффициентом, полученным в </w:t>
      </w:r>
      <w:r>
        <w:rPr>
          <w:szCs w:val="20"/>
        </w:rPr>
        <w:br/>
        <w:t>1991 году, что показано в таблице.</w:t>
      </w:r>
    </w:p>
    <w:p w:rsidR="00000000" w:rsidRDefault="00000000">
      <w:pPr>
        <w:pStyle w:val="a3"/>
        <w:rPr>
          <w:szCs w:val="20"/>
        </w:rPr>
      </w:pPr>
    </w:p>
    <w:p w:rsidR="00000000" w:rsidRDefault="00000000">
      <w:pPr>
        <w:spacing w:after="40"/>
        <w:jc w:val="both"/>
        <w:rPr>
          <w:b/>
          <w:bCs/>
          <w:sz w:val="22"/>
          <w:szCs w:val="22"/>
        </w:rPr>
      </w:pPr>
      <w:r>
        <w:rPr>
          <w:b/>
          <w:bCs/>
          <w:sz w:val="22"/>
          <w:szCs w:val="22"/>
        </w:rPr>
        <w:t>Коэффициент смертности, 1997 год</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1"/>
        <w:gridCol w:w="1832"/>
        <w:gridCol w:w="2035"/>
        <w:gridCol w:w="1991"/>
      </w:tblGrid>
      <w:tr w:rsidR="00000000">
        <w:tblPrEx>
          <w:tblCellMar>
            <w:top w:w="0" w:type="dxa"/>
            <w:bottom w:w="0" w:type="dxa"/>
          </w:tblCellMar>
        </w:tblPrEx>
        <w:trPr>
          <w:jc w:val="center"/>
        </w:trPr>
        <w:tc>
          <w:tcPr>
            <w:tcW w:w="3474" w:type="dxa"/>
          </w:tcPr>
          <w:p w:rsidR="00000000" w:rsidRDefault="00000000">
            <w:pPr>
              <w:spacing w:before="40" w:after="40"/>
              <w:jc w:val="both"/>
              <w:rPr>
                <w:b/>
                <w:bCs/>
                <w:sz w:val="20"/>
                <w:szCs w:val="20"/>
              </w:rPr>
            </w:pPr>
            <w:r>
              <w:rPr>
                <w:b/>
                <w:bCs/>
                <w:sz w:val="20"/>
                <w:szCs w:val="20"/>
              </w:rPr>
              <w:t>По всей Индии</w:t>
            </w:r>
          </w:p>
        </w:tc>
        <w:tc>
          <w:tcPr>
            <w:tcW w:w="1683" w:type="dxa"/>
          </w:tcPr>
          <w:p w:rsidR="00000000" w:rsidRDefault="00000000">
            <w:pPr>
              <w:spacing w:before="40" w:after="40"/>
              <w:jc w:val="center"/>
              <w:rPr>
                <w:b/>
                <w:bCs/>
                <w:sz w:val="20"/>
                <w:szCs w:val="20"/>
              </w:rPr>
            </w:pPr>
            <w:r>
              <w:rPr>
                <w:b/>
                <w:bCs/>
                <w:sz w:val="20"/>
                <w:szCs w:val="20"/>
              </w:rPr>
              <w:t>Мужчины</w:t>
            </w:r>
          </w:p>
        </w:tc>
        <w:tc>
          <w:tcPr>
            <w:tcW w:w="1870" w:type="dxa"/>
          </w:tcPr>
          <w:p w:rsidR="00000000" w:rsidRDefault="00000000">
            <w:pPr>
              <w:spacing w:before="40" w:after="40"/>
              <w:jc w:val="center"/>
              <w:rPr>
                <w:b/>
                <w:bCs/>
                <w:sz w:val="20"/>
                <w:szCs w:val="20"/>
              </w:rPr>
            </w:pPr>
            <w:r>
              <w:rPr>
                <w:b/>
                <w:bCs/>
                <w:sz w:val="20"/>
                <w:szCs w:val="20"/>
              </w:rPr>
              <w:t>Женщины</w:t>
            </w:r>
          </w:p>
        </w:tc>
        <w:tc>
          <w:tcPr>
            <w:tcW w:w="1829" w:type="dxa"/>
          </w:tcPr>
          <w:p w:rsidR="00000000" w:rsidRDefault="00000000">
            <w:pPr>
              <w:spacing w:before="40" w:after="40"/>
              <w:jc w:val="center"/>
              <w:rPr>
                <w:b/>
                <w:bCs/>
                <w:sz w:val="20"/>
                <w:szCs w:val="20"/>
              </w:rPr>
            </w:pPr>
            <w:r>
              <w:rPr>
                <w:b/>
                <w:bCs/>
                <w:sz w:val="20"/>
                <w:szCs w:val="20"/>
              </w:rPr>
              <w:t>Средний показатель</w:t>
            </w:r>
          </w:p>
        </w:tc>
      </w:tr>
      <w:tr w:rsidR="00000000">
        <w:tblPrEx>
          <w:tblCellMar>
            <w:top w:w="0" w:type="dxa"/>
            <w:bottom w:w="0" w:type="dxa"/>
          </w:tblCellMar>
        </w:tblPrEx>
        <w:trPr>
          <w:jc w:val="center"/>
        </w:trPr>
        <w:tc>
          <w:tcPr>
            <w:tcW w:w="3474" w:type="dxa"/>
          </w:tcPr>
          <w:p w:rsidR="00000000" w:rsidRDefault="00000000">
            <w:pPr>
              <w:pStyle w:val="Heading2"/>
              <w:spacing w:before="40" w:after="40"/>
              <w:jc w:val="both"/>
              <w:rPr>
                <w:sz w:val="20"/>
                <w:lang w:val="ru-RU"/>
              </w:rPr>
            </w:pPr>
            <w:r>
              <w:rPr>
                <w:sz w:val="20"/>
                <w:lang w:val="ru-RU"/>
              </w:rPr>
              <w:t>Сельская местность</w:t>
            </w:r>
          </w:p>
        </w:tc>
        <w:tc>
          <w:tcPr>
            <w:tcW w:w="1683" w:type="dxa"/>
            <w:vAlign w:val="center"/>
          </w:tcPr>
          <w:p w:rsidR="00000000" w:rsidRDefault="00000000">
            <w:pPr>
              <w:spacing w:before="40" w:after="40"/>
              <w:jc w:val="center"/>
              <w:rPr>
                <w:sz w:val="20"/>
                <w:szCs w:val="20"/>
              </w:rPr>
            </w:pPr>
            <w:r>
              <w:rPr>
                <w:sz w:val="20"/>
                <w:szCs w:val="20"/>
              </w:rPr>
              <w:t>9,8</w:t>
            </w:r>
          </w:p>
        </w:tc>
        <w:tc>
          <w:tcPr>
            <w:tcW w:w="1870" w:type="dxa"/>
            <w:vAlign w:val="center"/>
          </w:tcPr>
          <w:p w:rsidR="00000000" w:rsidRDefault="00000000">
            <w:pPr>
              <w:spacing w:before="40" w:after="40"/>
              <w:jc w:val="center"/>
              <w:rPr>
                <w:sz w:val="20"/>
                <w:szCs w:val="20"/>
              </w:rPr>
            </w:pPr>
            <w:r>
              <w:rPr>
                <w:sz w:val="20"/>
                <w:szCs w:val="20"/>
              </w:rPr>
              <w:t>9,4</w:t>
            </w:r>
          </w:p>
        </w:tc>
        <w:tc>
          <w:tcPr>
            <w:tcW w:w="1829" w:type="dxa"/>
            <w:vAlign w:val="center"/>
          </w:tcPr>
          <w:p w:rsidR="00000000" w:rsidRDefault="00000000">
            <w:pPr>
              <w:spacing w:before="40" w:after="40"/>
              <w:jc w:val="center"/>
              <w:rPr>
                <w:sz w:val="20"/>
                <w:szCs w:val="20"/>
              </w:rPr>
            </w:pPr>
            <w:r>
              <w:rPr>
                <w:sz w:val="20"/>
                <w:szCs w:val="20"/>
              </w:rPr>
              <w:t>9,6</w:t>
            </w:r>
          </w:p>
        </w:tc>
      </w:tr>
      <w:tr w:rsidR="00000000">
        <w:tblPrEx>
          <w:tblCellMar>
            <w:top w:w="0" w:type="dxa"/>
            <w:bottom w:w="0" w:type="dxa"/>
          </w:tblCellMar>
        </w:tblPrEx>
        <w:trPr>
          <w:jc w:val="center"/>
        </w:trPr>
        <w:tc>
          <w:tcPr>
            <w:tcW w:w="3474" w:type="dxa"/>
          </w:tcPr>
          <w:p w:rsidR="00000000" w:rsidRDefault="00000000">
            <w:pPr>
              <w:spacing w:before="40" w:after="40"/>
              <w:jc w:val="both"/>
              <w:rPr>
                <w:b/>
                <w:bCs/>
                <w:sz w:val="20"/>
                <w:szCs w:val="20"/>
              </w:rPr>
            </w:pPr>
            <w:r>
              <w:rPr>
                <w:b/>
                <w:bCs/>
                <w:sz w:val="20"/>
                <w:szCs w:val="20"/>
              </w:rPr>
              <w:t>Города</w:t>
            </w:r>
          </w:p>
        </w:tc>
        <w:tc>
          <w:tcPr>
            <w:tcW w:w="1683" w:type="dxa"/>
            <w:vAlign w:val="center"/>
          </w:tcPr>
          <w:p w:rsidR="00000000" w:rsidRDefault="00000000">
            <w:pPr>
              <w:spacing w:before="40" w:after="40"/>
              <w:jc w:val="center"/>
              <w:rPr>
                <w:sz w:val="20"/>
                <w:szCs w:val="20"/>
              </w:rPr>
            </w:pPr>
            <w:r>
              <w:rPr>
                <w:sz w:val="20"/>
                <w:szCs w:val="20"/>
              </w:rPr>
              <w:t>7,0</w:t>
            </w:r>
          </w:p>
        </w:tc>
        <w:tc>
          <w:tcPr>
            <w:tcW w:w="1870" w:type="dxa"/>
            <w:vAlign w:val="center"/>
          </w:tcPr>
          <w:p w:rsidR="00000000" w:rsidRDefault="00000000">
            <w:pPr>
              <w:spacing w:before="40" w:after="40"/>
              <w:jc w:val="center"/>
              <w:rPr>
                <w:sz w:val="20"/>
                <w:szCs w:val="20"/>
              </w:rPr>
            </w:pPr>
            <w:r>
              <w:rPr>
                <w:sz w:val="20"/>
                <w:szCs w:val="20"/>
              </w:rPr>
              <w:t>6,0</w:t>
            </w:r>
          </w:p>
        </w:tc>
        <w:tc>
          <w:tcPr>
            <w:tcW w:w="1829" w:type="dxa"/>
            <w:vAlign w:val="center"/>
          </w:tcPr>
          <w:p w:rsidR="00000000" w:rsidRDefault="00000000">
            <w:pPr>
              <w:spacing w:before="40" w:after="40"/>
              <w:jc w:val="center"/>
              <w:rPr>
                <w:sz w:val="20"/>
                <w:szCs w:val="20"/>
              </w:rPr>
            </w:pPr>
            <w:r>
              <w:rPr>
                <w:sz w:val="20"/>
                <w:szCs w:val="20"/>
              </w:rPr>
              <w:t>6,5</w:t>
            </w:r>
          </w:p>
        </w:tc>
      </w:tr>
      <w:tr w:rsidR="00000000">
        <w:tblPrEx>
          <w:tblCellMar>
            <w:top w:w="0" w:type="dxa"/>
            <w:bottom w:w="0" w:type="dxa"/>
          </w:tblCellMar>
        </w:tblPrEx>
        <w:trPr>
          <w:jc w:val="center"/>
        </w:trPr>
        <w:tc>
          <w:tcPr>
            <w:tcW w:w="3474" w:type="dxa"/>
          </w:tcPr>
          <w:p w:rsidR="00000000" w:rsidRDefault="00000000">
            <w:pPr>
              <w:spacing w:before="40" w:after="40"/>
              <w:jc w:val="both"/>
              <w:rPr>
                <w:b/>
                <w:bCs/>
                <w:sz w:val="20"/>
                <w:szCs w:val="20"/>
              </w:rPr>
            </w:pPr>
            <w:r>
              <w:rPr>
                <w:b/>
                <w:bCs/>
                <w:sz w:val="20"/>
                <w:szCs w:val="20"/>
              </w:rPr>
              <w:t>Общие показатели</w:t>
            </w:r>
          </w:p>
        </w:tc>
        <w:tc>
          <w:tcPr>
            <w:tcW w:w="1683" w:type="dxa"/>
            <w:vAlign w:val="center"/>
          </w:tcPr>
          <w:p w:rsidR="00000000" w:rsidRDefault="00000000">
            <w:pPr>
              <w:spacing w:before="40" w:after="40"/>
              <w:jc w:val="center"/>
              <w:rPr>
                <w:sz w:val="20"/>
                <w:szCs w:val="20"/>
              </w:rPr>
            </w:pPr>
            <w:r>
              <w:rPr>
                <w:sz w:val="20"/>
                <w:szCs w:val="20"/>
              </w:rPr>
              <w:t>9,2</w:t>
            </w:r>
          </w:p>
        </w:tc>
        <w:tc>
          <w:tcPr>
            <w:tcW w:w="1870" w:type="dxa"/>
            <w:vAlign w:val="center"/>
          </w:tcPr>
          <w:p w:rsidR="00000000" w:rsidRDefault="00000000">
            <w:pPr>
              <w:spacing w:before="40" w:after="40"/>
              <w:jc w:val="center"/>
              <w:rPr>
                <w:sz w:val="20"/>
                <w:szCs w:val="20"/>
              </w:rPr>
            </w:pPr>
            <w:r>
              <w:rPr>
                <w:sz w:val="20"/>
                <w:szCs w:val="20"/>
              </w:rPr>
              <w:t>8,6</w:t>
            </w:r>
          </w:p>
        </w:tc>
        <w:tc>
          <w:tcPr>
            <w:tcW w:w="1829" w:type="dxa"/>
            <w:vAlign w:val="center"/>
          </w:tcPr>
          <w:p w:rsidR="00000000" w:rsidRDefault="00000000">
            <w:pPr>
              <w:spacing w:before="40" w:after="40"/>
              <w:jc w:val="center"/>
              <w:rPr>
                <w:sz w:val="20"/>
                <w:szCs w:val="20"/>
              </w:rPr>
            </w:pPr>
            <w:r>
              <w:rPr>
                <w:sz w:val="20"/>
                <w:szCs w:val="20"/>
              </w:rPr>
              <w:t>8,9</w:t>
            </w:r>
          </w:p>
        </w:tc>
      </w:tr>
    </w:tbl>
    <w:p w:rsidR="00000000" w:rsidRDefault="00000000">
      <w:pPr>
        <w:pStyle w:val="a3"/>
        <w:spacing w:before="120"/>
        <w:rPr>
          <w:rStyle w:val="111"/>
          <w:sz w:val="20"/>
          <w:szCs w:val="20"/>
        </w:rPr>
      </w:pPr>
      <w:r>
        <w:rPr>
          <w:b/>
          <w:bCs/>
          <w:szCs w:val="20"/>
        </w:rPr>
        <w:t>Источник:</w:t>
      </w:r>
      <w:r>
        <w:rPr>
          <w:rStyle w:val="111"/>
          <w:sz w:val="20"/>
          <w:szCs w:val="20"/>
        </w:rPr>
        <w:t xml:space="preserve">  Компендиум показателей рождаемости и смертности в Индии за 1971–1997 годы, Генеральный регистратор переписи населения Индии, 1999 год.</w:t>
      </w:r>
    </w:p>
    <w:p w:rsidR="00000000" w:rsidRDefault="00000000">
      <w:pPr>
        <w:jc w:val="both"/>
        <w:rPr>
          <w:sz w:val="24"/>
        </w:rPr>
      </w:pPr>
    </w:p>
    <w:p w:rsidR="00000000" w:rsidRDefault="00000000">
      <w:pPr>
        <w:spacing w:after="40"/>
        <w:jc w:val="both"/>
        <w:rPr>
          <w:b/>
          <w:bCs/>
          <w:sz w:val="22"/>
          <w:szCs w:val="22"/>
        </w:rPr>
      </w:pPr>
      <w:r>
        <w:rPr>
          <w:b/>
          <w:bCs/>
          <w:sz w:val="22"/>
          <w:szCs w:val="22"/>
        </w:rPr>
        <w:t>Показатели состояния здоровья различных социальных групп</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5"/>
        <w:gridCol w:w="1628"/>
        <w:gridCol w:w="1832"/>
        <w:gridCol w:w="2194"/>
      </w:tblGrid>
      <w:tr w:rsidR="00000000">
        <w:tblPrEx>
          <w:tblCellMar>
            <w:top w:w="0" w:type="dxa"/>
            <w:bottom w:w="0" w:type="dxa"/>
          </w:tblCellMar>
        </w:tblPrEx>
        <w:trPr>
          <w:jc w:val="center"/>
        </w:trPr>
        <w:tc>
          <w:tcPr>
            <w:tcW w:w="3661" w:type="dxa"/>
          </w:tcPr>
          <w:p w:rsidR="00000000" w:rsidRDefault="00000000">
            <w:pPr>
              <w:pStyle w:val="Heading2"/>
              <w:spacing w:before="40" w:after="40"/>
              <w:jc w:val="left"/>
              <w:rPr>
                <w:bCs/>
                <w:sz w:val="20"/>
                <w:lang w:val="ru-RU"/>
              </w:rPr>
            </w:pPr>
            <w:r>
              <w:rPr>
                <w:bCs/>
                <w:sz w:val="20"/>
                <w:lang w:val="ru-RU"/>
              </w:rPr>
              <w:t>Социальные группы</w:t>
            </w:r>
          </w:p>
        </w:tc>
        <w:tc>
          <w:tcPr>
            <w:tcW w:w="1496" w:type="dxa"/>
          </w:tcPr>
          <w:p w:rsidR="00000000" w:rsidRDefault="00000000">
            <w:pPr>
              <w:spacing w:before="40" w:after="40"/>
              <w:jc w:val="both"/>
              <w:rPr>
                <w:b/>
                <w:bCs/>
                <w:sz w:val="20"/>
                <w:szCs w:val="20"/>
              </w:rPr>
            </w:pPr>
            <w:r>
              <w:rPr>
                <w:b/>
                <w:bCs/>
                <w:sz w:val="20"/>
                <w:szCs w:val="20"/>
              </w:rPr>
              <w:t>КРДС</w:t>
            </w:r>
          </w:p>
        </w:tc>
        <w:tc>
          <w:tcPr>
            <w:tcW w:w="1683" w:type="dxa"/>
          </w:tcPr>
          <w:p w:rsidR="00000000" w:rsidRDefault="00000000">
            <w:pPr>
              <w:spacing w:before="40" w:after="40"/>
              <w:jc w:val="both"/>
              <w:rPr>
                <w:b/>
                <w:bCs/>
                <w:sz w:val="20"/>
                <w:szCs w:val="20"/>
              </w:rPr>
            </w:pPr>
            <w:r>
              <w:rPr>
                <w:b/>
                <w:bCs/>
                <w:sz w:val="20"/>
                <w:szCs w:val="20"/>
              </w:rPr>
              <w:t>КС до 5 лет</w:t>
            </w:r>
          </w:p>
        </w:tc>
        <w:tc>
          <w:tcPr>
            <w:tcW w:w="2016" w:type="dxa"/>
          </w:tcPr>
          <w:p w:rsidR="00000000" w:rsidRDefault="00000000">
            <w:pPr>
              <w:spacing w:before="40" w:after="40"/>
              <w:jc w:val="both"/>
              <w:rPr>
                <w:b/>
                <w:bCs/>
                <w:sz w:val="20"/>
                <w:szCs w:val="20"/>
              </w:rPr>
            </w:pPr>
            <w:r>
              <w:rPr>
                <w:b/>
                <w:bCs/>
                <w:sz w:val="20"/>
                <w:szCs w:val="20"/>
              </w:rPr>
              <w:t>% недоедающих</w:t>
            </w:r>
          </w:p>
        </w:tc>
      </w:tr>
      <w:tr w:rsidR="00000000">
        <w:tblPrEx>
          <w:tblCellMar>
            <w:top w:w="0" w:type="dxa"/>
            <w:bottom w:w="0" w:type="dxa"/>
          </w:tblCellMar>
        </w:tblPrEx>
        <w:trPr>
          <w:jc w:val="center"/>
        </w:trPr>
        <w:tc>
          <w:tcPr>
            <w:tcW w:w="3661" w:type="dxa"/>
          </w:tcPr>
          <w:p w:rsidR="00000000" w:rsidRDefault="00000000">
            <w:pPr>
              <w:spacing w:before="40" w:after="40"/>
              <w:jc w:val="both"/>
              <w:rPr>
                <w:sz w:val="20"/>
                <w:szCs w:val="20"/>
              </w:rPr>
            </w:pPr>
            <w:r>
              <w:rPr>
                <w:sz w:val="20"/>
                <w:szCs w:val="20"/>
              </w:rPr>
              <w:t>СК</w:t>
            </w:r>
          </w:p>
        </w:tc>
        <w:tc>
          <w:tcPr>
            <w:tcW w:w="1496" w:type="dxa"/>
            <w:vAlign w:val="center"/>
          </w:tcPr>
          <w:p w:rsidR="00000000" w:rsidRDefault="00000000">
            <w:pPr>
              <w:spacing w:before="40" w:after="40"/>
              <w:rPr>
                <w:sz w:val="20"/>
                <w:szCs w:val="20"/>
              </w:rPr>
            </w:pPr>
            <w:r>
              <w:rPr>
                <w:sz w:val="20"/>
                <w:szCs w:val="20"/>
              </w:rPr>
              <w:t>83,0</w:t>
            </w:r>
          </w:p>
        </w:tc>
        <w:tc>
          <w:tcPr>
            <w:tcW w:w="1683" w:type="dxa"/>
            <w:vAlign w:val="center"/>
          </w:tcPr>
          <w:p w:rsidR="00000000" w:rsidRDefault="00000000">
            <w:pPr>
              <w:spacing w:before="40" w:after="40"/>
              <w:rPr>
                <w:sz w:val="20"/>
                <w:szCs w:val="20"/>
              </w:rPr>
            </w:pPr>
            <w:r>
              <w:rPr>
                <w:sz w:val="20"/>
                <w:szCs w:val="20"/>
              </w:rPr>
              <w:t>119,3</w:t>
            </w:r>
          </w:p>
        </w:tc>
        <w:tc>
          <w:tcPr>
            <w:tcW w:w="2016" w:type="dxa"/>
            <w:vAlign w:val="center"/>
          </w:tcPr>
          <w:p w:rsidR="00000000" w:rsidRDefault="00000000">
            <w:pPr>
              <w:spacing w:before="40" w:after="40"/>
              <w:rPr>
                <w:sz w:val="20"/>
                <w:szCs w:val="20"/>
              </w:rPr>
            </w:pPr>
            <w:r>
              <w:rPr>
                <w:sz w:val="20"/>
                <w:szCs w:val="20"/>
              </w:rPr>
              <w:t>53,5</w:t>
            </w:r>
          </w:p>
        </w:tc>
      </w:tr>
      <w:tr w:rsidR="00000000">
        <w:tblPrEx>
          <w:tblCellMar>
            <w:top w:w="0" w:type="dxa"/>
            <w:bottom w:w="0" w:type="dxa"/>
          </w:tblCellMar>
        </w:tblPrEx>
        <w:trPr>
          <w:jc w:val="center"/>
        </w:trPr>
        <w:tc>
          <w:tcPr>
            <w:tcW w:w="3661" w:type="dxa"/>
          </w:tcPr>
          <w:p w:rsidR="00000000" w:rsidRDefault="00000000">
            <w:pPr>
              <w:spacing w:before="40" w:after="40"/>
              <w:jc w:val="both"/>
              <w:rPr>
                <w:sz w:val="20"/>
                <w:szCs w:val="20"/>
              </w:rPr>
            </w:pPr>
            <w:r>
              <w:rPr>
                <w:sz w:val="20"/>
                <w:szCs w:val="20"/>
              </w:rPr>
              <w:t>СП</w:t>
            </w:r>
          </w:p>
        </w:tc>
        <w:tc>
          <w:tcPr>
            <w:tcW w:w="1496" w:type="dxa"/>
            <w:vAlign w:val="center"/>
          </w:tcPr>
          <w:p w:rsidR="00000000" w:rsidRDefault="00000000">
            <w:pPr>
              <w:spacing w:before="40" w:after="40"/>
              <w:rPr>
                <w:sz w:val="20"/>
                <w:szCs w:val="20"/>
              </w:rPr>
            </w:pPr>
            <w:r>
              <w:rPr>
                <w:sz w:val="20"/>
                <w:szCs w:val="20"/>
              </w:rPr>
              <w:t>84,2</w:t>
            </w:r>
          </w:p>
        </w:tc>
        <w:tc>
          <w:tcPr>
            <w:tcW w:w="1683" w:type="dxa"/>
            <w:vAlign w:val="center"/>
          </w:tcPr>
          <w:p w:rsidR="00000000" w:rsidRDefault="00000000">
            <w:pPr>
              <w:spacing w:before="40" w:after="40"/>
              <w:rPr>
                <w:sz w:val="20"/>
                <w:szCs w:val="20"/>
              </w:rPr>
            </w:pPr>
            <w:r>
              <w:rPr>
                <w:sz w:val="20"/>
                <w:szCs w:val="20"/>
              </w:rPr>
              <w:t>126,6</w:t>
            </w:r>
          </w:p>
        </w:tc>
        <w:tc>
          <w:tcPr>
            <w:tcW w:w="2016" w:type="dxa"/>
            <w:vAlign w:val="center"/>
          </w:tcPr>
          <w:p w:rsidR="00000000" w:rsidRDefault="00000000">
            <w:pPr>
              <w:spacing w:before="40" w:after="40"/>
              <w:rPr>
                <w:sz w:val="20"/>
                <w:szCs w:val="20"/>
              </w:rPr>
            </w:pPr>
            <w:r>
              <w:rPr>
                <w:sz w:val="20"/>
                <w:szCs w:val="20"/>
              </w:rPr>
              <w:t>55,9</w:t>
            </w:r>
          </w:p>
        </w:tc>
      </w:tr>
      <w:tr w:rsidR="00000000">
        <w:tblPrEx>
          <w:tblCellMar>
            <w:top w:w="0" w:type="dxa"/>
            <w:bottom w:w="0" w:type="dxa"/>
          </w:tblCellMar>
        </w:tblPrEx>
        <w:trPr>
          <w:jc w:val="center"/>
        </w:trPr>
        <w:tc>
          <w:tcPr>
            <w:tcW w:w="3661" w:type="dxa"/>
          </w:tcPr>
          <w:p w:rsidR="00000000" w:rsidRDefault="00000000">
            <w:pPr>
              <w:spacing w:before="40" w:after="40"/>
              <w:jc w:val="both"/>
              <w:rPr>
                <w:sz w:val="20"/>
                <w:szCs w:val="20"/>
              </w:rPr>
            </w:pPr>
            <w:r>
              <w:rPr>
                <w:sz w:val="20"/>
                <w:szCs w:val="20"/>
              </w:rPr>
              <w:t>Другие неблагополучные группы</w:t>
            </w:r>
          </w:p>
        </w:tc>
        <w:tc>
          <w:tcPr>
            <w:tcW w:w="1496" w:type="dxa"/>
            <w:vAlign w:val="center"/>
          </w:tcPr>
          <w:p w:rsidR="00000000" w:rsidRDefault="00000000">
            <w:pPr>
              <w:spacing w:before="40" w:after="40"/>
              <w:rPr>
                <w:sz w:val="20"/>
                <w:szCs w:val="20"/>
              </w:rPr>
            </w:pPr>
            <w:r>
              <w:rPr>
                <w:sz w:val="20"/>
                <w:szCs w:val="20"/>
              </w:rPr>
              <w:t>76,0</w:t>
            </w:r>
          </w:p>
        </w:tc>
        <w:tc>
          <w:tcPr>
            <w:tcW w:w="1683" w:type="dxa"/>
            <w:vAlign w:val="center"/>
          </w:tcPr>
          <w:p w:rsidR="00000000" w:rsidRDefault="00000000">
            <w:pPr>
              <w:spacing w:before="40" w:after="40"/>
              <w:rPr>
                <w:sz w:val="20"/>
                <w:szCs w:val="20"/>
              </w:rPr>
            </w:pPr>
            <w:r>
              <w:rPr>
                <w:sz w:val="20"/>
                <w:szCs w:val="20"/>
              </w:rPr>
              <w:t>103,1</w:t>
            </w:r>
          </w:p>
        </w:tc>
        <w:tc>
          <w:tcPr>
            <w:tcW w:w="2016" w:type="dxa"/>
            <w:vAlign w:val="center"/>
          </w:tcPr>
          <w:p w:rsidR="00000000" w:rsidRDefault="00000000">
            <w:pPr>
              <w:spacing w:before="40" w:after="40"/>
              <w:rPr>
                <w:sz w:val="20"/>
                <w:szCs w:val="20"/>
              </w:rPr>
            </w:pPr>
            <w:r>
              <w:rPr>
                <w:sz w:val="20"/>
                <w:szCs w:val="20"/>
              </w:rPr>
              <w:t>47,3</w:t>
            </w:r>
          </w:p>
        </w:tc>
      </w:tr>
      <w:tr w:rsidR="00000000">
        <w:tblPrEx>
          <w:tblCellMar>
            <w:top w:w="0" w:type="dxa"/>
            <w:bottom w:w="0" w:type="dxa"/>
          </w:tblCellMar>
        </w:tblPrEx>
        <w:trPr>
          <w:jc w:val="center"/>
        </w:trPr>
        <w:tc>
          <w:tcPr>
            <w:tcW w:w="3661" w:type="dxa"/>
          </w:tcPr>
          <w:p w:rsidR="00000000" w:rsidRDefault="00000000">
            <w:pPr>
              <w:spacing w:before="40" w:after="40"/>
              <w:jc w:val="both"/>
              <w:rPr>
                <w:sz w:val="20"/>
                <w:szCs w:val="20"/>
              </w:rPr>
            </w:pPr>
            <w:r>
              <w:rPr>
                <w:sz w:val="20"/>
                <w:szCs w:val="20"/>
              </w:rPr>
              <w:t>Прочие</w:t>
            </w:r>
          </w:p>
        </w:tc>
        <w:tc>
          <w:tcPr>
            <w:tcW w:w="1496" w:type="dxa"/>
            <w:vAlign w:val="center"/>
          </w:tcPr>
          <w:p w:rsidR="00000000" w:rsidRDefault="00000000">
            <w:pPr>
              <w:spacing w:before="40" w:after="40"/>
              <w:rPr>
                <w:sz w:val="20"/>
                <w:szCs w:val="20"/>
              </w:rPr>
            </w:pPr>
            <w:r>
              <w:rPr>
                <w:sz w:val="20"/>
                <w:szCs w:val="20"/>
              </w:rPr>
              <w:t>61,8</w:t>
            </w:r>
          </w:p>
        </w:tc>
        <w:tc>
          <w:tcPr>
            <w:tcW w:w="1683" w:type="dxa"/>
            <w:vAlign w:val="center"/>
          </w:tcPr>
          <w:p w:rsidR="00000000" w:rsidRDefault="00000000">
            <w:pPr>
              <w:spacing w:before="40" w:after="40"/>
              <w:rPr>
                <w:sz w:val="20"/>
                <w:szCs w:val="20"/>
              </w:rPr>
            </w:pPr>
            <w:r>
              <w:rPr>
                <w:sz w:val="20"/>
                <w:szCs w:val="20"/>
              </w:rPr>
              <w:t>82,6</w:t>
            </w:r>
          </w:p>
        </w:tc>
        <w:tc>
          <w:tcPr>
            <w:tcW w:w="2016" w:type="dxa"/>
            <w:vAlign w:val="center"/>
          </w:tcPr>
          <w:p w:rsidR="00000000" w:rsidRDefault="00000000">
            <w:pPr>
              <w:spacing w:before="40" w:after="40"/>
              <w:rPr>
                <w:sz w:val="20"/>
                <w:szCs w:val="20"/>
              </w:rPr>
            </w:pPr>
            <w:r>
              <w:rPr>
                <w:sz w:val="20"/>
                <w:szCs w:val="20"/>
              </w:rPr>
              <w:t>41,1</w:t>
            </w:r>
          </w:p>
        </w:tc>
      </w:tr>
      <w:tr w:rsidR="00000000">
        <w:tblPrEx>
          <w:tblCellMar>
            <w:top w:w="0" w:type="dxa"/>
            <w:bottom w:w="0" w:type="dxa"/>
          </w:tblCellMar>
        </w:tblPrEx>
        <w:trPr>
          <w:jc w:val="center"/>
        </w:trPr>
        <w:tc>
          <w:tcPr>
            <w:tcW w:w="3661" w:type="dxa"/>
          </w:tcPr>
          <w:p w:rsidR="00000000" w:rsidRDefault="00000000">
            <w:pPr>
              <w:spacing w:before="40" w:after="40"/>
              <w:jc w:val="both"/>
              <w:rPr>
                <w:b/>
                <w:bCs/>
                <w:sz w:val="20"/>
                <w:szCs w:val="20"/>
              </w:rPr>
            </w:pPr>
            <w:r>
              <w:rPr>
                <w:b/>
                <w:bCs/>
                <w:sz w:val="20"/>
                <w:szCs w:val="20"/>
              </w:rPr>
              <w:t>Индия</w:t>
            </w:r>
          </w:p>
        </w:tc>
        <w:tc>
          <w:tcPr>
            <w:tcW w:w="1496" w:type="dxa"/>
            <w:vAlign w:val="center"/>
          </w:tcPr>
          <w:p w:rsidR="00000000" w:rsidRDefault="00000000">
            <w:pPr>
              <w:spacing w:before="40" w:after="40"/>
              <w:rPr>
                <w:sz w:val="20"/>
                <w:szCs w:val="20"/>
              </w:rPr>
            </w:pPr>
            <w:r>
              <w:rPr>
                <w:sz w:val="20"/>
                <w:szCs w:val="20"/>
              </w:rPr>
              <w:t>70</w:t>
            </w:r>
          </w:p>
        </w:tc>
        <w:tc>
          <w:tcPr>
            <w:tcW w:w="1683" w:type="dxa"/>
            <w:vAlign w:val="center"/>
          </w:tcPr>
          <w:p w:rsidR="00000000" w:rsidRDefault="00000000">
            <w:pPr>
              <w:spacing w:before="40" w:after="40"/>
              <w:rPr>
                <w:sz w:val="20"/>
                <w:szCs w:val="20"/>
              </w:rPr>
            </w:pPr>
            <w:r>
              <w:rPr>
                <w:sz w:val="20"/>
                <w:szCs w:val="20"/>
              </w:rPr>
              <w:t>94,9</w:t>
            </w:r>
          </w:p>
        </w:tc>
        <w:tc>
          <w:tcPr>
            <w:tcW w:w="2016" w:type="dxa"/>
            <w:vAlign w:val="center"/>
          </w:tcPr>
          <w:p w:rsidR="00000000" w:rsidRDefault="00000000">
            <w:pPr>
              <w:spacing w:before="40" w:after="40"/>
              <w:rPr>
                <w:sz w:val="20"/>
                <w:szCs w:val="20"/>
              </w:rPr>
            </w:pPr>
            <w:r>
              <w:rPr>
                <w:sz w:val="20"/>
                <w:szCs w:val="20"/>
              </w:rPr>
              <w:t>47</w:t>
            </w:r>
          </w:p>
        </w:tc>
      </w:tr>
    </w:tbl>
    <w:p w:rsidR="00000000" w:rsidRDefault="00000000">
      <w:pPr>
        <w:pStyle w:val="a3"/>
        <w:spacing w:before="120"/>
        <w:rPr>
          <w:rStyle w:val="111"/>
          <w:sz w:val="20"/>
          <w:szCs w:val="20"/>
        </w:rPr>
      </w:pPr>
      <w:r>
        <w:rPr>
          <w:b/>
          <w:bCs/>
          <w:szCs w:val="20"/>
        </w:rPr>
        <w:t>Источник:</w:t>
      </w:r>
      <w:r>
        <w:rPr>
          <w:rStyle w:val="111"/>
          <w:sz w:val="20"/>
          <w:szCs w:val="20"/>
        </w:rPr>
        <w:t xml:space="preserve">  НСЗ, 2002 год.</w:t>
      </w:r>
    </w:p>
    <w:p w:rsidR="00000000" w:rsidRDefault="00000000">
      <w:pPr>
        <w:pStyle w:val="112"/>
        <w:spacing w:before="360"/>
      </w:pPr>
      <w:r>
        <w:t>480.</w:t>
      </w:r>
      <w:r>
        <w:tab/>
        <w:t>Эти данные указывают на наличие серьезного разрыва между городом и деревней по всем показателям, что отражает неэффективность охвата сельских районов системой здравоохранения.  Тем не менее показатели продолжительности жизни и коэффициент смертности среди женщин лучше, чем среди мужчин.  Но коэффициент ранней детской смертности среди девочек является очень высоким по сравнению с аналогичным показателем среди мальчиков.  Это является одной из главных причин неблагоприятного изменения соотношения между числом мальчиков и девочек.  Эти показатели свидетельствуют также о плохом состоянии здоровья среди представителей каст и племен, включенных в списки, и других неблагополучных групп.</w:t>
      </w:r>
    </w:p>
    <w:p w:rsidR="00000000" w:rsidRDefault="00000000">
      <w:pPr>
        <w:pStyle w:val="112"/>
      </w:pPr>
      <w:r>
        <w:t>481.</w:t>
      </w:r>
      <w:r>
        <w:tab/>
        <w:t>Что касается родов, которые принимаются в присутствии квалифицированных специалистов и в медицинских учреждениях, то здесь наблюдаются улучшения.  Данные о нынешнем положении дел приведены в нижеследующих таблицах.</w:t>
      </w:r>
    </w:p>
    <w:p w:rsidR="00000000" w:rsidRDefault="00000000">
      <w:pPr>
        <w:pStyle w:val="112"/>
        <w:spacing w:before="300" w:after="60"/>
        <w:rPr>
          <w:b/>
          <w:bCs/>
        </w:rPr>
      </w:pPr>
      <w:r>
        <w:rPr>
          <w:b/>
          <w:bCs/>
        </w:rPr>
        <w:t>Роды в присутствии профессиональных медиков – по всей Индии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3"/>
        <w:gridCol w:w="2758"/>
        <w:gridCol w:w="1477"/>
        <w:gridCol w:w="2391"/>
      </w:tblGrid>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Обследование</w:t>
            </w:r>
          </w:p>
        </w:tc>
        <w:tc>
          <w:tcPr>
            <w:tcW w:w="2534" w:type="dxa"/>
          </w:tcPr>
          <w:p w:rsidR="00000000" w:rsidRDefault="00000000">
            <w:pPr>
              <w:spacing w:before="40" w:after="40"/>
              <w:jc w:val="center"/>
              <w:rPr>
                <w:sz w:val="20"/>
                <w:szCs w:val="20"/>
              </w:rPr>
            </w:pPr>
            <w:r>
              <w:rPr>
                <w:sz w:val="20"/>
                <w:szCs w:val="20"/>
              </w:rPr>
              <w:t>Сельская местность</w:t>
            </w:r>
          </w:p>
        </w:tc>
        <w:tc>
          <w:tcPr>
            <w:tcW w:w="1357" w:type="dxa"/>
          </w:tcPr>
          <w:p w:rsidR="00000000" w:rsidRDefault="00000000">
            <w:pPr>
              <w:spacing w:before="40" w:after="40"/>
              <w:jc w:val="center"/>
              <w:rPr>
                <w:sz w:val="20"/>
                <w:szCs w:val="20"/>
              </w:rPr>
            </w:pPr>
            <w:r>
              <w:rPr>
                <w:sz w:val="20"/>
                <w:szCs w:val="20"/>
              </w:rPr>
              <w:t>Города</w:t>
            </w:r>
          </w:p>
        </w:tc>
        <w:tc>
          <w:tcPr>
            <w:tcW w:w="2197" w:type="dxa"/>
          </w:tcPr>
          <w:p w:rsidR="00000000" w:rsidRDefault="00000000">
            <w:pPr>
              <w:spacing w:before="40" w:after="40"/>
              <w:jc w:val="center"/>
              <w:rPr>
                <w:sz w:val="20"/>
                <w:szCs w:val="20"/>
              </w:rPr>
            </w:pPr>
            <w:r>
              <w:rPr>
                <w:sz w:val="20"/>
                <w:szCs w:val="20"/>
              </w:rPr>
              <w:t>Общие показатели</w:t>
            </w:r>
          </w:p>
        </w:tc>
      </w:tr>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НОЗС, 1992–93 годы</w:t>
            </w:r>
          </w:p>
        </w:tc>
        <w:tc>
          <w:tcPr>
            <w:tcW w:w="2534" w:type="dxa"/>
            <w:vAlign w:val="center"/>
          </w:tcPr>
          <w:p w:rsidR="00000000" w:rsidRDefault="00000000">
            <w:pPr>
              <w:spacing w:before="40" w:after="40"/>
              <w:jc w:val="center"/>
              <w:rPr>
                <w:sz w:val="20"/>
                <w:szCs w:val="20"/>
              </w:rPr>
            </w:pPr>
            <w:r>
              <w:rPr>
                <w:sz w:val="20"/>
                <w:szCs w:val="20"/>
              </w:rPr>
              <w:t>25</w:t>
            </w:r>
          </w:p>
        </w:tc>
        <w:tc>
          <w:tcPr>
            <w:tcW w:w="1357" w:type="dxa"/>
            <w:vAlign w:val="center"/>
          </w:tcPr>
          <w:p w:rsidR="00000000" w:rsidRDefault="00000000">
            <w:pPr>
              <w:spacing w:before="40" w:after="40"/>
              <w:jc w:val="center"/>
              <w:rPr>
                <w:sz w:val="20"/>
                <w:szCs w:val="20"/>
              </w:rPr>
            </w:pPr>
            <w:r>
              <w:rPr>
                <w:sz w:val="20"/>
                <w:szCs w:val="20"/>
              </w:rPr>
              <w:t>65,3</w:t>
            </w:r>
          </w:p>
        </w:tc>
        <w:tc>
          <w:tcPr>
            <w:tcW w:w="2197" w:type="dxa"/>
            <w:vAlign w:val="center"/>
          </w:tcPr>
          <w:p w:rsidR="00000000" w:rsidRDefault="00000000">
            <w:pPr>
              <w:spacing w:before="40" w:after="40"/>
              <w:jc w:val="center"/>
              <w:rPr>
                <w:sz w:val="20"/>
                <w:szCs w:val="20"/>
              </w:rPr>
            </w:pPr>
            <w:r>
              <w:rPr>
                <w:sz w:val="20"/>
                <w:szCs w:val="20"/>
              </w:rPr>
              <w:t>34,2</w:t>
            </w:r>
          </w:p>
        </w:tc>
      </w:tr>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НОЗС, 1998–99 годы</w:t>
            </w:r>
          </w:p>
        </w:tc>
        <w:tc>
          <w:tcPr>
            <w:tcW w:w="2534" w:type="dxa"/>
            <w:vAlign w:val="center"/>
          </w:tcPr>
          <w:p w:rsidR="00000000" w:rsidRDefault="00000000">
            <w:pPr>
              <w:spacing w:before="40" w:after="40"/>
              <w:jc w:val="center"/>
              <w:rPr>
                <w:sz w:val="20"/>
                <w:szCs w:val="20"/>
              </w:rPr>
            </w:pPr>
            <w:r>
              <w:rPr>
                <w:sz w:val="20"/>
                <w:szCs w:val="20"/>
              </w:rPr>
              <w:t>33,5</w:t>
            </w:r>
          </w:p>
        </w:tc>
        <w:tc>
          <w:tcPr>
            <w:tcW w:w="1357" w:type="dxa"/>
            <w:vAlign w:val="center"/>
          </w:tcPr>
          <w:p w:rsidR="00000000" w:rsidRDefault="00000000">
            <w:pPr>
              <w:spacing w:before="40" w:after="40"/>
              <w:jc w:val="center"/>
              <w:rPr>
                <w:sz w:val="20"/>
                <w:szCs w:val="20"/>
              </w:rPr>
            </w:pPr>
            <w:r>
              <w:rPr>
                <w:sz w:val="20"/>
                <w:szCs w:val="20"/>
              </w:rPr>
              <w:t>73,3</w:t>
            </w:r>
          </w:p>
        </w:tc>
        <w:tc>
          <w:tcPr>
            <w:tcW w:w="2197" w:type="dxa"/>
            <w:vAlign w:val="center"/>
          </w:tcPr>
          <w:p w:rsidR="00000000" w:rsidRDefault="00000000">
            <w:pPr>
              <w:spacing w:before="40" w:after="40"/>
              <w:jc w:val="center"/>
              <w:rPr>
                <w:sz w:val="20"/>
                <w:szCs w:val="20"/>
              </w:rPr>
            </w:pPr>
            <w:r>
              <w:rPr>
                <w:sz w:val="20"/>
                <w:szCs w:val="20"/>
              </w:rPr>
              <w:t>42,3</w:t>
            </w:r>
          </w:p>
        </w:tc>
      </w:tr>
    </w:tbl>
    <w:p w:rsidR="00000000" w:rsidRDefault="00000000">
      <w:pPr>
        <w:pStyle w:val="a3"/>
        <w:spacing w:before="120"/>
      </w:pPr>
      <w:r>
        <w:rPr>
          <w:b/>
          <w:bCs/>
        </w:rPr>
        <w:t>Примечание:</w:t>
      </w:r>
      <w:r>
        <w:t xml:space="preserve">  Врачи, профессиональная медсестра-акушерка, приходящая медсестра и услуги других профессиональных медиков, исключая традиционных повивальных бабок и т. п.</w:t>
      </w:r>
    </w:p>
    <w:p w:rsidR="00000000" w:rsidRDefault="00000000">
      <w:pPr>
        <w:jc w:val="both"/>
        <w:rPr>
          <w:b/>
          <w:bCs/>
          <w:sz w:val="24"/>
        </w:rPr>
      </w:pPr>
    </w:p>
    <w:p w:rsidR="00000000" w:rsidRDefault="00000000">
      <w:pPr>
        <w:spacing w:before="120"/>
        <w:jc w:val="both"/>
        <w:rPr>
          <w:b/>
          <w:bCs/>
          <w:sz w:val="22"/>
          <w:szCs w:val="22"/>
        </w:rPr>
      </w:pPr>
      <w:r>
        <w:rPr>
          <w:b/>
          <w:bCs/>
          <w:sz w:val="22"/>
          <w:szCs w:val="22"/>
        </w:rPr>
        <w:t>Роды в медицинских учреждениях</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3"/>
        <w:gridCol w:w="2758"/>
        <w:gridCol w:w="1477"/>
        <w:gridCol w:w="2391"/>
      </w:tblGrid>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Обследование</w:t>
            </w:r>
          </w:p>
        </w:tc>
        <w:tc>
          <w:tcPr>
            <w:tcW w:w="2534" w:type="dxa"/>
          </w:tcPr>
          <w:p w:rsidR="00000000" w:rsidRDefault="00000000">
            <w:pPr>
              <w:spacing w:before="40" w:after="40"/>
              <w:jc w:val="center"/>
              <w:rPr>
                <w:sz w:val="20"/>
                <w:szCs w:val="20"/>
              </w:rPr>
            </w:pPr>
            <w:r>
              <w:rPr>
                <w:sz w:val="20"/>
                <w:szCs w:val="20"/>
              </w:rPr>
              <w:t>Сельская местность</w:t>
            </w:r>
          </w:p>
        </w:tc>
        <w:tc>
          <w:tcPr>
            <w:tcW w:w="1357" w:type="dxa"/>
          </w:tcPr>
          <w:p w:rsidR="00000000" w:rsidRDefault="00000000">
            <w:pPr>
              <w:spacing w:before="40" w:after="40"/>
              <w:jc w:val="center"/>
              <w:rPr>
                <w:sz w:val="20"/>
                <w:szCs w:val="20"/>
              </w:rPr>
            </w:pPr>
            <w:r>
              <w:rPr>
                <w:sz w:val="20"/>
                <w:szCs w:val="20"/>
              </w:rPr>
              <w:t>Города</w:t>
            </w:r>
          </w:p>
        </w:tc>
        <w:tc>
          <w:tcPr>
            <w:tcW w:w="2197" w:type="dxa"/>
          </w:tcPr>
          <w:p w:rsidR="00000000" w:rsidRDefault="00000000">
            <w:pPr>
              <w:spacing w:before="40" w:after="40"/>
              <w:jc w:val="center"/>
              <w:rPr>
                <w:sz w:val="20"/>
                <w:szCs w:val="20"/>
              </w:rPr>
            </w:pPr>
            <w:r>
              <w:rPr>
                <w:sz w:val="20"/>
                <w:szCs w:val="20"/>
              </w:rPr>
              <w:t>Общие показатели</w:t>
            </w:r>
          </w:p>
        </w:tc>
      </w:tr>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НОЗС, 1992–93 годы</w:t>
            </w:r>
          </w:p>
        </w:tc>
        <w:tc>
          <w:tcPr>
            <w:tcW w:w="2534" w:type="dxa"/>
            <w:vAlign w:val="center"/>
          </w:tcPr>
          <w:p w:rsidR="00000000" w:rsidRDefault="00000000">
            <w:pPr>
              <w:spacing w:before="40" w:after="40"/>
              <w:jc w:val="center"/>
              <w:rPr>
                <w:sz w:val="20"/>
                <w:szCs w:val="20"/>
              </w:rPr>
            </w:pPr>
            <w:r>
              <w:rPr>
                <w:sz w:val="20"/>
                <w:szCs w:val="20"/>
              </w:rPr>
              <w:t>16</w:t>
            </w:r>
          </w:p>
        </w:tc>
        <w:tc>
          <w:tcPr>
            <w:tcW w:w="1357" w:type="dxa"/>
            <w:vAlign w:val="center"/>
          </w:tcPr>
          <w:p w:rsidR="00000000" w:rsidRDefault="00000000">
            <w:pPr>
              <w:spacing w:before="40" w:after="40"/>
              <w:jc w:val="center"/>
              <w:rPr>
                <w:sz w:val="20"/>
                <w:szCs w:val="20"/>
              </w:rPr>
            </w:pPr>
            <w:r>
              <w:rPr>
                <w:sz w:val="20"/>
                <w:szCs w:val="20"/>
              </w:rPr>
              <w:t>57,6</w:t>
            </w:r>
          </w:p>
        </w:tc>
        <w:tc>
          <w:tcPr>
            <w:tcW w:w="2197" w:type="dxa"/>
            <w:vAlign w:val="center"/>
          </w:tcPr>
          <w:p w:rsidR="00000000" w:rsidRDefault="00000000">
            <w:pPr>
              <w:spacing w:before="40" w:after="40"/>
              <w:jc w:val="center"/>
              <w:rPr>
                <w:sz w:val="20"/>
                <w:szCs w:val="20"/>
              </w:rPr>
            </w:pPr>
            <w:r>
              <w:rPr>
                <w:sz w:val="20"/>
                <w:szCs w:val="20"/>
              </w:rPr>
              <w:t>25,5</w:t>
            </w:r>
          </w:p>
        </w:tc>
      </w:tr>
      <w:tr w:rsidR="00000000">
        <w:tblPrEx>
          <w:tblCellMar>
            <w:top w:w="0" w:type="dxa"/>
            <w:bottom w:w="0" w:type="dxa"/>
          </w:tblCellMar>
        </w:tblPrEx>
        <w:trPr>
          <w:jc w:val="center"/>
        </w:trPr>
        <w:tc>
          <w:tcPr>
            <w:tcW w:w="2768" w:type="dxa"/>
          </w:tcPr>
          <w:p w:rsidR="00000000" w:rsidRDefault="00000000">
            <w:pPr>
              <w:spacing w:before="40" w:after="40"/>
              <w:jc w:val="both"/>
              <w:rPr>
                <w:sz w:val="20"/>
                <w:szCs w:val="20"/>
              </w:rPr>
            </w:pPr>
            <w:r>
              <w:rPr>
                <w:sz w:val="20"/>
                <w:szCs w:val="20"/>
              </w:rPr>
              <w:t>НОЗС, 1998–99 годы</w:t>
            </w:r>
          </w:p>
        </w:tc>
        <w:tc>
          <w:tcPr>
            <w:tcW w:w="2534" w:type="dxa"/>
            <w:vAlign w:val="center"/>
          </w:tcPr>
          <w:p w:rsidR="00000000" w:rsidRDefault="00000000">
            <w:pPr>
              <w:spacing w:before="40" w:after="40"/>
              <w:jc w:val="center"/>
              <w:rPr>
                <w:sz w:val="20"/>
                <w:szCs w:val="20"/>
              </w:rPr>
            </w:pPr>
            <w:r>
              <w:rPr>
                <w:sz w:val="20"/>
                <w:szCs w:val="20"/>
              </w:rPr>
              <w:t>24,6</w:t>
            </w:r>
          </w:p>
        </w:tc>
        <w:tc>
          <w:tcPr>
            <w:tcW w:w="1357" w:type="dxa"/>
            <w:vAlign w:val="center"/>
          </w:tcPr>
          <w:p w:rsidR="00000000" w:rsidRDefault="00000000">
            <w:pPr>
              <w:spacing w:before="40" w:after="40"/>
              <w:jc w:val="center"/>
              <w:rPr>
                <w:sz w:val="20"/>
                <w:szCs w:val="20"/>
              </w:rPr>
            </w:pPr>
            <w:r>
              <w:rPr>
                <w:sz w:val="20"/>
                <w:szCs w:val="20"/>
              </w:rPr>
              <w:t>65,1</w:t>
            </w:r>
          </w:p>
        </w:tc>
        <w:tc>
          <w:tcPr>
            <w:tcW w:w="2197" w:type="dxa"/>
            <w:vAlign w:val="center"/>
          </w:tcPr>
          <w:p w:rsidR="00000000" w:rsidRDefault="00000000">
            <w:pPr>
              <w:spacing w:before="40" w:after="40"/>
              <w:jc w:val="center"/>
              <w:rPr>
                <w:sz w:val="20"/>
                <w:szCs w:val="20"/>
              </w:rPr>
            </w:pPr>
            <w:r>
              <w:rPr>
                <w:sz w:val="20"/>
                <w:szCs w:val="20"/>
              </w:rPr>
              <w:t>33,6</w:t>
            </w:r>
          </w:p>
        </w:tc>
      </w:tr>
    </w:tbl>
    <w:p w:rsidR="00000000" w:rsidRDefault="00000000">
      <w:pPr>
        <w:pStyle w:val="a3"/>
        <w:spacing w:before="120"/>
      </w:pPr>
      <w:r>
        <w:rPr>
          <w:b/>
          <w:bCs/>
        </w:rPr>
        <w:t>Примечание:</w:t>
      </w:r>
      <w:r>
        <w:t xml:space="preserve">  Государственные или частные медицинские учреждения, включая неправительственные организации (НПО) и доверительные фонды.</w:t>
      </w:r>
    </w:p>
    <w:p w:rsidR="00000000" w:rsidRDefault="00000000">
      <w:pPr>
        <w:jc w:val="both"/>
        <w:rPr>
          <w:sz w:val="24"/>
        </w:rPr>
      </w:pPr>
    </w:p>
    <w:p w:rsidR="00000000" w:rsidRDefault="00000000">
      <w:pPr>
        <w:spacing w:before="120"/>
        <w:jc w:val="both"/>
        <w:rPr>
          <w:b/>
          <w:bCs/>
          <w:sz w:val="22"/>
          <w:szCs w:val="22"/>
        </w:rPr>
      </w:pPr>
      <w:r>
        <w:rPr>
          <w:b/>
          <w:bCs/>
          <w:sz w:val="22"/>
          <w:szCs w:val="22"/>
        </w:rPr>
        <w:t>Характер медицинской помощи, оказываемой матерям при родах (1995–96 годы)</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3"/>
        <w:gridCol w:w="981"/>
        <w:gridCol w:w="1728"/>
        <w:gridCol w:w="921"/>
        <w:gridCol w:w="1727"/>
        <w:gridCol w:w="1218"/>
        <w:gridCol w:w="911"/>
      </w:tblGrid>
      <w:tr w:rsidR="00000000">
        <w:tblPrEx>
          <w:tblCellMar>
            <w:top w:w="0" w:type="dxa"/>
            <w:bottom w:w="0" w:type="dxa"/>
          </w:tblCellMar>
        </w:tblPrEx>
        <w:trPr>
          <w:cantSplit/>
          <w:jc w:val="center"/>
        </w:trPr>
        <w:tc>
          <w:tcPr>
            <w:tcW w:w="2127" w:type="dxa"/>
            <w:vAlign w:val="center"/>
          </w:tcPr>
          <w:p w:rsidR="00000000" w:rsidRDefault="00000000">
            <w:pPr>
              <w:spacing w:before="40" w:after="40"/>
              <w:rPr>
                <w:sz w:val="20"/>
                <w:szCs w:val="20"/>
              </w:rPr>
            </w:pPr>
            <w:r>
              <w:rPr>
                <w:sz w:val="20"/>
                <w:szCs w:val="20"/>
              </w:rPr>
              <w:t>По всей Индии</w:t>
            </w:r>
          </w:p>
        </w:tc>
        <w:tc>
          <w:tcPr>
            <w:tcW w:w="969" w:type="dxa"/>
            <w:vAlign w:val="center"/>
          </w:tcPr>
          <w:p w:rsidR="00000000" w:rsidRDefault="00000000">
            <w:pPr>
              <w:spacing w:before="40" w:after="40"/>
              <w:jc w:val="center"/>
              <w:rPr>
                <w:sz w:val="20"/>
                <w:szCs w:val="20"/>
              </w:rPr>
            </w:pPr>
            <w:r>
              <w:rPr>
                <w:sz w:val="20"/>
                <w:szCs w:val="20"/>
              </w:rPr>
              <w:t>Без родовспо-</w:t>
            </w:r>
            <w:r>
              <w:rPr>
                <w:sz w:val="20"/>
                <w:szCs w:val="20"/>
              </w:rPr>
              <w:br/>
              <w:t>можения</w:t>
            </w:r>
          </w:p>
        </w:tc>
        <w:tc>
          <w:tcPr>
            <w:tcW w:w="1708" w:type="dxa"/>
            <w:vAlign w:val="center"/>
          </w:tcPr>
          <w:p w:rsidR="00000000" w:rsidRDefault="00000000">
            <w:pPr>
              <w:spacing w:before="40" w:after="40"/>
              <w:jc w:val="center"/>
              <w:rPr>
                <w:sz w:val="20"/>
                <w:szCs w:val="20"/>
              </w:rPr>
            </w:pPr>
            <w:r>
              <w:rPr>
                <w:sz w:val="20"/>
                <w:szCs w:val="20"/>
              </w:rPr>
              <w:t>Государственные врачи</w:t>
            </w:r>
          </w:p>
        </w:tc>
        <w:tc>
          <w:tcPr>
            <w:tcW w:w="910" w:type="dxa"/>
            <w:vAlign w:val="center"/>
          </w:tcPr>
          <w:p w:rsidR="00000000" w:rsidRDefault="00000000">
            <w:pPr>
              <w:spacing w:before="40" w:after="40"/>
              <w:jc w:val="center"/>
              <w:rPr>
                <w:sz w:val="20"/>
                <w:szCs w:val="20"/>
              </w:rPr>
            </w:pPr>
            <w:r>
              <w:rPr>
                <w:sz w:val="20"/>
                <w:szCs w:val="20"/>
              </w:rPr>
              <w:t>Другие врачи</w:t>
            </w:r>
          </w:p>
        </w:tc>
        <w:tc>
          <w:tcPr>
            <w:tcW w:w="1707" w:type="dxa"/>
            <w:vAlign w:val="center"/>
          </w:tcPr>
          <w:p w:rsidR="00000000" w:rsidRDefault="00000000">
            <w:pPr>
              <w:spacing w:before="40" w:after="40"/>
              <w:jc w:val="center"/>
              <w:rPr>
                <w:sz w:val="20"/>
                <w:szCs w:val="20"/>
              </w:rPr>
            </w:pPr>
            <w:r>
              <w:rPr>
                <w:sz w:val="20"/>
                <w:szCs w:val="20"/>
              </w:rPr>
              <w:t>Государственные медсестры/ акушерки</w:t>
            </w:r>
          </w:p>
        </w:tc>
        <w:tc>
          <w:tcPr>
            <w:tcW w:w="1204" w:type="dxa"/>
            <w:vAlign w:val="center"/>
          </w:tcPr>
          <w:p w:rsidR="00000000" w:rsidRDefault="00000000">
            <w:pPr>
              <w:spacing w:before="40" w:after="40"/>
              <w:jc w:val="center"/>
              <w:rPr>
                <w:sz w:val="20"/>
                <w:szCs w:val="20"/>
              </w:rPr>
            </w:pPr>
            <w:r>
              <w:rPr>
                <w:sz w:val="20"/>
                <w:szCs w:val="20"/>
              </w:rPr>
              <w:t>Другие медсестры/ акушерки</w:t>
            </w:r>
          </w:p>
        </w:tc>
        <w:tc>
          <w:tcPr>
            <w:tcW w:w="900" w:type="dxa"/>
            <w:vAlign w:val="center"/>
          </w:tcPr>
          <w:p w:rsidR="00000000" w:rsidRDefault="00000000">
            <w:pPr>
              <w:spacing w:before="40" w:after="40"/>
              <w:jc w:val="center"/>
              <w:rPr>
                <w:sz w:val="20"/>
                <w:szCs w:val="20"/>
              </w:rPr>
            </w:pPr>
            <w:r>
              <w:rPr>
                <w:sz w:val="20"/>
                <w:szCs w:val="20"/>
              </w:rPr>
              <w:t>Прочие</w:t>
            </w:r>
          </w:p>
        </w:tc>
      </w:tr>
      <w:tr w:rsidR="00000000">
        <w:tblPrEx>
          <w:tblCellMar>
            <w:top w:w="0" w:type="dxa"/>
            <w:bottom w:w="0" w:type="dxa"/>
          </w:tblCellMar>
        </w:tblPrEx>
        <w:trPr>
          <w:cantSplit/>
          <w:jc w:val="center"/>
        </w:trPr>
        <w:tc>
          <w:tcPr>
            <w:tcW w:w="2127" w:type="dxa"/>
          </w:tcPr>
          <w:p w:rsidR="00000000" w:rsidRDefault="00000000">
            <w:pPr>
              <w:spacing w:before="40" w:after="40"/>
              <w:jc w:val="both"/>
              <w:rPr>
                <w:sz w:val="20"/>
                <w:szCs w:val="20"/>
              </w:rPr>
            </w:pPr>
            <w:r>
              <w:rPr>
                <w:sz w:val="20"/>
                <w:szCs w:val="20"/>
              </w:rPr>
              <w:t>Сельская местность</w:t>
            </w:r>
          </w:p>
        </w:tc>
        <w:tc>
          <w:tcPr>
            <w:tcW w:w="969" w:type="dxa"/>
            <w:vAlign w:val="center"/>
          </w:tcPr>
          <w:p w:rsidR="00000000" w:rsidRDefault="00000000">
            <w:pPr>
              <w:spacing w:before="40" w:after="40"/>
              <w:jc w:val="center"/>
              <w:rPr>
                <w:sz w:val="20"/>
                <w:szCs w:val="20"/>
              </w:rPr>
            </w:pPr>
            <w:r>
              <w:rPr>
                <w:sz w:val="20"/>
                <w:szCs w:val="20"/>
              </w:rPr>
              <w:t>35,80</w:t>
            </w:r>
          </w:p>
        </w:tc>
        <w:tc>
          <w:tcPr>
            <w:tcW w:w="1708" w:type="dxa"/>
            <w:vAlign w:val="center"/>
          </w:tcPr>
          <w:p w:rsidR="00000000" w:rsidRDefault="00000000">
            <w:pPr>
              <w:spacing w:before="40" w:after="40"/>
              <w:jc w:val="center"/>
              <w:rPr>
                <w:sz w:val="20"/>
                <w:szCs w:val="20"/>
              </w:rPr>
            </w:pPr>
            <w:r>
              <w:rPr>
                <w:sz w:val="20"/>
                <w:szCs w:val="20"/>
              </w:rPr>
              <w:t xml:space="preserve">  7,60</w:t>
            </w:r>
          </w:p>
        </w:tc>
        <w:tc>
          <w:tcPr>
            <w:tcW w:w="910" w:type="dxa"/>
            <w:vAlign w:val="center"/>
          </w:tcPr>
          <w:p w:rsidR="00000000" w:rsidRDefault="00000000">
            <w:pPr>
              <w:spacing w:before="40" w:after="40"/>
              <w:jc w:val="center"/>
              <w:rPr>
                <w:sz w:val="20"/>
                <w:szCs w:val="20"/>
              </w:rPr>
            </w:pPr>
            <w:r>
              <w:rPr>
                <w:sz w:val="20"/>
                <w:szCs w:val="20"/>
              </w:rPr>
              <w:t xml:space="preserve">  8,00</w:t>
            </w:r>
          </w:p>
        </w:tc>
        <w:tc>
          <w:tcPr>
            <w:tcW w:w="1707" w:type="dxa"/>
            <w:vAlign w:val="center"/>
          </w:tcPr>
          <w:p w:rsidR="00000000" w:rsidRDefault="00000000">
            <w:pPr>
              <w:spacing w:before="40" w:after="40"/>
              <w:jc w:val="center"/>
              <w:rPr>
                <w:sz w:val="20"/>
                <w:szCs w:val="20"/>
              </w:rPr>
            </w:pPr>
            <w:r>
              <w:rPr>
                <w:sz w:val="20"/>
                <w:szCs w:val="20"/>
              </w:rPr>
              <w:t>8,60</w:t>
            </w:r>
          </w:p>
        </w:tc>
        <w:tc>
          <w:tcPr>
            <w:tcW w:w="1204" w:type="dxa"/>
            <w:vAlign w:val="center"/>
          </w:tcPr>
          <w:p w:rsidR="00000000" w:rsidRDefault="00000000">
            <w:pPr>
              <w:spacing w:before="40" w:after="40"/>
              <w:jc w:val="center"/>
              <w:rPr>
                <w:sz w:val="20"/>
                <w:szCs w:val="20"/>
              </w:rPr>
            </w:pPr>
            <w:r>
              <w:rPr>
                <w:sz w:val="20"/>
                <w:szCs w:val="20"/>
              </w:rPr>
              <w:t>19,50</w:t>
            </w:r>
          </w:p>
        </w:tc>
        <w:tc>
          <w:tcPr>
            <w:tcW w:w="900" w:type="dxa"/>
            <w:vAlign w:val="center"/>
          </w:tcPr>
          <w:p w:rsidR="00000000" w:rsidRDefault="00000000">
            <w:pPr>
              <w:spacing w:before="40" w:after="40"/>
              <w:jc w:val="center"/>
              <w:rPr>
                <w:sz w:val="20"/>
                <w:szCs w:val="20"/>
              </w:rPr>
            </w:pPr>
            <w:r>
              <w:rPr>
                <w:sz w:val="20"/>
                <w:szCs w:val="20"/>
              </w:rPr>
              <w:t>17,00</w:t>
            </w:r>
          </w:p>
        </w:tc>
      </w:tr>
      <w:tr w:rsidR="00000000">
        <w:tblPrEx>
          <w:tblCellMar>
            <w:top w:w="0" w:type="dxa"/>
            <w:bottom w:w="0" w:type="dxa"/>
          </w:tblCellMar>
        </w:tblPrEx>
        <w:trPr>
          <w:cantSplit/>
          <w:jc w:val="center"/>
        </w:trPr>
        <w:tc>
          <w:tcPr>
            <w:tcW w:w="2127" w:type="dxa"/>
          </w:tcPr>
          <w:p w:rsidR="00000000" w:rsidRDefault="00000000">
            <w:pPr>
              <w:spacing w:before="40" w:after="40"/>
              <w:jc w:val="both"/>
              <w:rPr>
                <w:sz w:val="20"/>
                <w:szCs w:val="20"/>
              </w:rPr>
            </w:pPr>
            <w:r>
              <w:rPr>
                <w:sz w:val="20"/>
                <w:szCs w:val="20"/>
              </w:rPr>
              <w:t>Города</w:t>
            </w:r>
          </w:p>
        </w:tc>
        <w:tc>
          <w:tcPr>
            <w:tcW w:w="969" w:type="dxa"/>
            <w:vAlign w:val="center"/>
          </w:tcPr>
          <w:p w:rsidR="00000000" w:rsidRDefault="00000000">
            <w:pPr>
              <w:spacing w:before="40" w:after="40"/>
              <w:jc w:val="center"/>
              <w:rPr>
                <w:sz w:val="20"/>
                <w:szCs w:val="20"/>
              </w:rPr>
            </w:pPr>
            <w:r>
              <w:rPr>
                <w:sz w:val="20"/>
                <w:szCs w:val="20"/>
              </w:rPr>
              <w:t>15,90</w:t>
            </w:r>
          </w:p>
        </w:tc>
        <w:tc>
          <w:tcPr>
            <w:tcW w:w="1708" w:type="dxa"/>
            <w:vAlign w:val="center"/>
          </w:tcPr>
          <w:p w:rsidR="00000000" w:rsidRDefault="00000000">
            <w:pPr>
              <w:spacing w:before="40" w:after="40"/>
              <w:jc w:val="center"/>
              <w:rPr>
                <w:sz w:val="20"/>
                <w:szCs w:val="20"/>
              </w:rPr>
            </w:pPr>
            <w:r>
              <w:rPr>
                <w:sz w:val="20"/>
                <w:szCs w:val="20"/>
              </w:rPr>
              <w:t>22,60</w:t>
            </w:r>
          </w:p>
        </w:tc>
        <w:tc>
          <w:tcPr>
            <w:tcW w:w="910" w:type="dxa"/>
            <w:vAlign w:val="center"/>
          </w:tcPr>
          <w:p w:rsidR="00000000" w:rsidRDefault="00000000">
            <w:pPr>
              <w:spacing w:before="40" w:after="40"/>
              <w:jc w:val="center"/>
              <w:rPr>
                <w:sz w:val="20"/>
                <w:szCs w:val="20"/>
              </w:rPr>
            </w:pPr>
            <w:r>
              <w:rPr>
                <w:sz w:val="20"/>
                <w:szCs w:val="20"/>
              </w:rPr>
              <w:t>27,90</w:t>
            </w:r>
          </w:p>
        </w:tc>
        <w:tc>
          <w:tcPr>
            <w:tcW w:w="1707" w:type="dxa"/>
            <w:vAlign w:val="center"/>
          </w:tcPr>
          <w:p w:rsidR="00000000" w:rsidRDefault="00000000">
            <w:pPr>
              <w:spacing w:before="40" w:after="40"/>
              <w:jc w:val="center"/>
              <w:rPr>
                <w:sz w:val="20"/>
                <w:szCs w:val="20"/>
              </w:rPr>
            </w:pPr>
            <w:r>
              <w:rPr>
                <w:sz w:val="20"/>
                <w:szCs w:val="20"/>
              </w:rPr>
              <w:t>8,30</w:t>
            </w:r>
          </w:p>
        </w:tc>
        <w:tc>
          <w:tcPr>
            <w:tcW w:w="1204" w:type="dxa"/>
            <w:vAlign w:val="center"/>
          </w:tcPr>
          <w:p w:rsidR="00000000" w:rsidRDefault="00000000">
            <w:pPr>
              <w:spacing w:before="40" w:after="40"/>
              <w:jc w:val="center"/>
              <w:rPr>
                <w:sz w:val="20"/>
                <w:szCs w:val="20"/>
              </w:rPr>
            </w:pPr>
            <w:r>
              <w:rPr>
                <w:sz w:val="20"/>
                <w:szCs w:val="20"/>
              </w:rPr>
              <w:t>16,00</w:t>
            </w:r>
          </w:p>
        </w:tc>
        <w:tc>
          <w:tcPr>
            <w:tcW w:w="900" w:type="dxa"/>
            <w:vAlign w:val="center"/>
          </w:tcPr>
          <w:p w:rsidR="00000000" w:rsidRDefault="00000000">
            <w:pPr>
              <w:spacing w:before="40" w:after="40"/>
              <w:jc w:val="center"/>
              <w:rPr>
                <w:sz w:val="20"/>
                <w:szCs w:val="20"/>
              </w:rPr>
            </w:pPr>
            <w:r>
              <w:rPr>
                <w:sz w:val="20"/>
                <w:szCs w:val="20"/>
              </w:rPr>
              <w:t xml:space="preserve">  7,00</w:t>
            </w:r>
          </w:p>
        </w:tc>
      </w:tr>
      <w:tr w:rsidR="00000000">
        <w:tblPrEx>
          <w:tblCellMar>
            <w:top w:w="0" w:type="dxa"/>
            <w:bottom w:w="0" w:type="dxa"/>
          </w:tblCellMar>
        </w:tblPrEx>
        <w:trPr>
          <w:cantSplit/>
          <w:jc w:val="center"/>
        </w:trPr>
        <w:tc>
          <w:tcPr>
            <w:tcW w:w="2127" w:type="dxa"/>
          </w:tcPr>
          <w:p w:rsidR="00000000" w:rsidRDefault="00000000">
            <w:pPr>
              <w:spacing w:before="40" w:after="40"/>
              <w:jc w:val="both"/>
              <w:rPr>
                <w:sz w:val="20"/>
                <w:szCs w:val="20"/>
              </w:rPr>
            </w:pPr>
            <w:r>
              <w:rPr>
                <w:sz w:val="20"/>
                <w:szCs w:val="20"/>
              </w:rPr>
              <w:t>Общие показатели</w:t>
            </w:r>
          </w:p>
        </w:tc>
        <w:tc>
          <w:tcPr>
            <w:tcW w:w="969" w:type="dxa"/>
            <w:vAlign w:val="center"/>
          </w:tcPr>
          <w:p w:rsidR="00000000" w:rsidRDefault="00000000">
            <w:pPr>
              <w:spacing w:before="40" w:after="40"/>
              <w:jc w:val="center"/>
              <w:rPr>
                <w:sz w:val="20"/>
                <w:szCs w:val="20"/>
              </w:rPr>
            </w:pPr>
            <w:r>
              <w:rPr>
                <w:sz w:val="20"/>
                <w:szCs w:val="20"/>
              </w:rPr>
              <w:t>32,20</w:t>
            </w:r>
          </w:p>
        </w:tc>
        <w:tc>
          <w:tcPr>
            <w:tcW w:w="1708" w:type="dxa"/>
            <w:vAlign w:val="center"/>
          </w:tcPr>
          <w:p w:rsidR="00000000" w:rsidRDefault="00000000">
            <w:pPr>
              <w:spacing w:before="40" w:after="40"/>
              <w:jc w:val="center"/>
              <w:rPr>
                <w:sz w:val="20"/>
                <w:szCs w:val="20"/>
              </w:rPr>
            </w:pPr>
            <w:r>
              <w:rPr>
                <w:sz w:val="20"/>
                <w:szCs w:val="20"/>
              </w:rPr>
              <w:t>10,30</w:t>
            </w:r>
          </w:p>
        </w:tc>
        <w:tc>
          <w:tcPr>
            <w:tcW w:w="910" w:type="dxa"/>
            <w:vAlign w:val="center"/>
          </w:tcPr>
          <w:p w:rsidR="00000000" w:rsidRDefault="00000000">
            <w:pPr>
              <w:spacing w:before="40" w:after="40"/>
              <w:jc w:val="center"/>
              <w:rPr>
                <w:sz w:val="20"/>
                <w:szCs w:val="20"/>
              </w:rPr>
            </w:pPr>
            <w:r>
              <w:rPr>
                <w:sz w:val="20"/>
                <w:szCs w:val="20"/>
              </w:rPr>
              <w:t>11,60</w:t>
            </w:r>
          </w:p>
        </w:tc>
        <w:tc>
          <w:tcPr>
            <w:tcW w:w="1707" w:type="dxa"/>
            <w:vAlign w:val="center"/>
          </w:tcPr>
          <w:p w:rsidR="00000000" w:rsidRDefault="00000000">
            <w:pPr>
              <w:spacing w:before="40" w:after="40"/>
              <w:jc w:val="center"/>
              <w:rPr>
                <w:sz w:val="20"/>
                <w:szCs w:val="20"/>
              </w:rPr>
            </w:pPr>
            <w:r>
              <w:rPr>
                <w:sz w:val="20"/>
                <w:szCs w:val="20"/>
              </w:rPr>
              <w:t>8,50</w:t>
            </w:r>
          </w:p>
        </w:tc>
        <w:tc>
          <w:tcPr>
            <w:tcW w:w="1204" w:type="dxa"/>
            <w:vAlign w:val="center"/>
          </w:tcPr>
          <w:p w:rsidR="00000000" w:rsidRDefault="00000000">
            <w:pPr>
              <w:spacing w:before="40" w:after="40"/>
              <w:jc w:val="center"/>
              <w:rPr>
                <w:sz w:val="20"/>
                <w:szCs w:val="20"/>
              </w:rPr>
            </w:pPr>
            <w:r>
              <w:rPr>
                <w:sz w:val="20"/>
                <w:szCs w:val="20"/>
              </w:rPr>
              <w:t>18,90</w:t>
            </w:r>
          </w:p>
        </w:tc>
        <w:tc>
          <w:tcPr>
            <w:tcW w:w="900" w:type="dxa"/>
            <w:vAlign w:val="center"/>
          </w:tcPr>
          <w:p w:rsidR="00000000" w:rsidRDefault="00000000">
            <w:pPr>
              <w:spacing w:before="40" w:after="40"/>
              <w:jc w:val="center"/>
              <w:rPr>
                <w:sz w:val="20"/>
                <w:szCs w:val="20"/>
              </w:rPr>
            </w:pPr>
            <w:r>
              <w:rPr>
                <w:sz w:val="20"/>
                <w:szCs w:val="20"/>
              </w:rPr>
              <w:t>15,20</w:t>
            </w:r>
          </w:p>
        </w:tc>
      </w:tr>
    </w:tbl>
    <w:p w:rsidR="00000000" w:rsidRDefault="00000000">
      <w:pPr>
        <w:pStyle w:val="a3"/>
        <w:spacing w:before="120"/>
      </w:pPr>
      <w:r>
        <w:rPr>
          <w:b/>
          <w:bCs/>
        </w:rPr>
        <w:t>Источник:</w:t>
      </w:r>
      <w:r>
        <w:t xml:space="preserve">  Национальное и детское здравоохранение в Индии, НВО, 52-й цикл, июль 1995 – июнь 1996 года, доклад № 445.</w:t>
      </w:r>
    </w:p>
    <w:p w:rsidR="00000000" w:rsidRDefault="00000000">
      <w:pPr>
        <w:jc w:val="both"/>
        <w:rPr>
          <w:sz w:val="24"/>
        </w:rPr>
      </w:pPr>
    </w:p>
    <w:p w:rsidR="00000000" w:rsidRDefault="00000000">
      <w:pPr>
        <w:pStyle w:val="112"/>
      </w:pPr>
      <w:r>
        <w:t>482.</w:t>
      </w:r>
      <w:r>
        <w:tab/>
        <w:t>Хотя со временем наблюдаются заметные улучшения по различным показателям состояния здоровья, по-прежнему сохраняются географические и социальные различия и недопустимо высокие коэффициенты смертности и заболеваемости.  Основной причиной является недостаток ресурсов, имеющихся в распоряжении правительств штатов.  Вследствие этого государственные расходы на здравоохранение значительно отстают от уровня, который необходим для достижения целей НСЗ-1983 к 2000 году.</w:t>
      </w:r>
    </w:p>
    <w:p w:rsidR="00000000" w:rsidRDefault="00000000">
      <w:pPr>
        <w:pStyle w:val="112"/>
      </w:pPr>
      <w:r>
        <w:t>483.</w:t>
      </w:r>
      <w:r>
        <w:tab/>
        <w:t xml:space="preserve">Государственные вложения в здравоохранение в стране были на протяжении целого ряда лет сравнительно низкими, а их процентная доля в ВВП сократилась с 1,3% в 1990 году до 0,9% в </w:t>
      </w:r>
      <w:r>
        <w:br/>
        <w:t>1999 году.  Совокупные расходы на здравоохранение составляют 5.2% ВВП, из которых около 17% совокупных расходов составляют государственные ассигнования, а все остальное покрывается за счет личных средств граждан.  Доля ресурсов центрального правительства в общем государственном финансировании здравоохранения ограничена 15%.  За период 1990–1999 годов бюджетные ассигнования на здравоохранение в штатах сократились с 7,0% до 5,5%.</w:t>
      </w:r>
    </w:p>
    <w:p w:rsidR="00000000" w:rsidRDefault="00000000">
      <w:pPr>
        <w:pStyle w:val="112"/>
      </w:pPr>
      <w:r>
        <w:t>484.</w:t>
      </w:r>
      <w:r>
        <w:tab/>
        <w:t>В этих условиях в 2002 году начала осуществляться Национальная стратегия здравоохранения, которая создала новые основы для достижения целей в области охраны здоровья.  Она направлена на достижение приемлемого уровня состояния здоровья всего населения страны.  Некоторые задачи этой стратегии заключаются в расширении доступа к децентрализованной системе охраны здоровья за счет создания новой инфраструктуры в отсталых районах и усовершенствования существующей инфраструктуры в целях обеспечения более равноправного доступа к услугам здравоохранения по всей широкой социальной и географической палитре страны и в увеличении доли ассигнований на сектор здравоохранения до 6% ВВП, причем 2% ВВП к 2010 году должны составлять государственные инвестиции в здравоохранение.  Предполагается, что штаты тоже увеличат свои ассигнования на сектор здравоохранения.  Стратегия направлена также на интеграцию индийских систем медицины и гомеопатии (ИСМГ) для расширения охвата услуг здравоохранения и в качестве дополнения современной медицины.  Предпринимаются усилия по увеличению вклада частного сектора в обеспечение медицинским обслуживанием той группы населения, которая может позволить себе платить за услуги.</w:t>
      </w:r>
    </w:p>
    <w:p w:rsidR="00000000" w:rsidRDefault="00000000">
      <w:pPr>
        <w:pStyle w:val="112"/>
      </w:pPr>
      <w:r>
        <w:t>485.</w:t>
      </w:r>
      <w:r>
        <w:tab/>
        <w:t>Впервые была разработана отдельная национальная стратегия 2002 года по индийским системам медицины и гомеопатии в целях улучшения состояния здоровья, расширения сферы охвата населения доступными услугами ИСМГ, а также интеграции ИСМГ в системы медицинского обслуживания в национальных программах.</w:t>
      </w:r>
    </w:p>
    <w:p w:rsidR="00000000" w:rsidRDefault="00000000">
      <w:pPr>
        <w:jc w:val="both"/>
        <w:rPr>
          <w:b/>
          <w:sz w:val="24"/>
        </w:rPr>
      </w:pPr>
    </w:p>
    <w:p w:rsidR="00000000" w:rsidRDefault="00000000">
      <w:pPr>
        <w:jc w:val="both"/>
        <w:rPr>
          <w:b/>
          <w:sz w:val="22"/>
          <w:szCs w:val="22"/>
        </w:rPr>
      </w:pPr>
      <w:r>
        <w:rPr>
          <w:b/>
          <w:sz w:val="22"/>
          <w:szCs w:val="22"/>
        </w:rPr>
        <w:t>Система предоставления медицинских услуг</w:t>
      </w:r>
    </w:p>
    <w:p w:rsidR="00000000" w:rsidRDefault="00000000">
      <w:pPr>
        <w:pStyle w:val="112"/>
      </w:pPr>
      <w:r>
        <w:t>486.</w:t>
      </w:r>
      <w:r>
        <w:tab/>
        <w:t>Центральное правительство и правительства штатов являются основными поставщиками медицинских услуг в стране.  Кроме того, оказанием медицинской помощи занимаются многочисленные благотворительные, добровольные и частные учреждения.   Количество и сфера охвата организаций системы медико-санитарного обслуживания возросли.  Последние тенденции в области здравоохранения показаны в таблице ниже.</w:t>
      </w:r>
    </w:p>
    <w:p w:rsidR="00000000" w:rsidRDefault="00000000">
      <w:pPr>
        <w:jc w:val="both"/>
        <w:rPr>
          <w:sz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7"/>
        <w:gridCol w:w="1714"/>
        <w:gridCol w:w="1714"/>
        <w:gridCol w:w="1766"/>
        <w:gridCol w:w="2348"/>
      </w:tblGrid>
      <w:tr w:rsidR="00000000">
        <w:trPr>
          <w:jc w:val="center"/>
        </w:trPr>
        <w:tc>
          <w:tcPr>
            <w:tcW w:w="2082" w:type="dxa"/>
          </w:tcPr>
          <w:p w:rsidR="00000000" w:rsidRDefault="00000000">
            <w:pPr>
              <w:spacing w:before="40" w:after="40"/>
              <w:jc w:val="both"/>
              <w:rPr>
                <w:b/>
                <w:sz w:val="20"/>
                <w:szCs w:val="20"/>
              </w:rPr>
            </w:pPr>
            <w:r>
              <w:rPr>
                <w:b/>
                <w:sz w:val="20"/>
                <w:szCs w:val="20"/>
              </w:rPr>
              <w:t>Инфраструктура здравоохранения</w:t>
            </w:r>
          </w:p>
        </w:tc>
        <w:tc>
          <w:tcPr>
            <w:tcW w:w="1702" w:type="dxa"/>
            <w:vAlign w:val="center"/>
          </w:tcPr>
          <w:p w:rsidR="00000000" w:rsidRDefault="00000000">
            <w:pPr>
              <w:spacing w:before="40" w:after="40"/>
              <w:jc w:val="center"/>
              <w:rPr>
                <w:b/>
                <w:sz w:val="20"/>
                <w:szCs w:val="20"/>
              </w:rPr>
            </w:pPr>
            <w:r>
              <w:rPr>
                <w:b/>
                <w:sz w:val="20"/>
                <w:szCs w:val="20"/>
              </w:rPr>
              <w:t>1951</w:t>
            </w:r>
          </w:p>
        </w:tc>
        <w:tc>
          <w:tcPr>
            <w:tcW w:w="1702" w:type="dxa"/>
            <w:vAlign w:val="center"/>
          </w:tcPr>
          <w:p w:rsidR="00000000" w:rsidRDefault="00000000">
            <w:pPr>
              <w:spacing w:before="40" w:after="40"/>
              <w:jc w:val="center"/>
              <w:rPr>
                <w:b/>
                <w:sz w:val="20"/>
                <w:szCs w:val="20"/>
              </w:rPr>
            </w:pPr>
            <w:r>
              <w:rPr>
                <w:b/>
                <w:sz w:val="20"/>
                <w:szCs w:val="20"/>
              </w:rPr>
              <w:t>1981</w:t>
            </w:r>
          </w:p>
        </w:tc>
        <w:tc>
          <w:tcPr>
            <w:tcW w:w="1754" w:type="dxa"/>
            <w:vAlign w:val="center"/>
          </w:tcPr>
          <w:p w:rsidR="00000000" w:rsidRDefault="00000000">
            <w:pPr>
              <w:spacing w:before="40" w:after="40"/>
              <w:jc w:val="center"/>
              <w:rPr>
                <w:b/>
                <w:sz w:val="20"/>
                <w:szCs w:val="20"/>
              </w:rPr>
            </w:pPr>
            <w:r>
              <w:rPr>
                <w:b/>
                <w:sz w:val="20"/>
                <w:szCs w:val="20"/>
              </w:rPr>
              <w:t>2003</w:t>
            </w:r>
          </w:p>
        </w:tc>
        <w:tc>
          <w:tcPr>
            <w:tcW w:w="2331" w:type="dxa"/>
            <w:vAlign w:val="center"/>
          </w:tcPr>
          <w:p w:rsidR="00000000" w:rsidRDefault="00000000">
            <w:pPr>
              <w:spacing w:before="40" w:after="40"/>
              <w:jc w:val="center"/>
              <w:rPr>
                <w:b/>
                <w:sz w:val="20"/>
                <w:szCs w:val="20"/>
              </w:rPr>
            </w:pPr>
            <w:r>
              <w:rPr>
                <w:b/>
                <w:sz w:val="20"/>
                <w:szCs w:val="20"/>
              </w:rPr>
              <w:t>[Период/Источник]</w:t>
            </w:r>
          </w:p>
        </w:tc>
      </w:tr>
      <w:tr w:rsidR="00000000">
        <w:trPr>
          <w:jc w:val="center"/>
        </w:trPr>
        <w:tc>
          <w:tcPr>
            <w:tcW w:w="2082" w:type="dxa"/>
          </w:tcPr>
          <w:p w:rsidR="00000000" w:rsidRDefault="00000000">
            <w:pPr>
              <w:spacing w:before="40" w:after="40"/>
              <w:rPr>
                <w:sz w:val="20"/>
                <w:szCs w:val="20"/>
              </w:rPr>
            </w:pPr>
            <w:r>
              <w:rPr>
                <w:sz w:val="20"/>
                <w:szCs w:val="20"/>
              </w:rPr>
              <w:t>СЦ/ЦПМСО/ОЦЗ</w:t>
            </w:r>
            <w:r>
              <w:rPr>
                <w:sz w:val="20"/>
                <w:szCs w:val="20"/>
                <w:vertAlign w:val="superscript"/>
              </w:rPr>
              <w:t>*</w:t>
            </w:r>
          </w:p>
        </w:tc>
        <w:tc>
          <w:tcPr>
            <w:tcW w:w="1702" w:type="dxa"/>
          </w:tcPr>
          <w:p w:rsidR="00000000" w:rsidRDefault="00000000">
            <w:pPr>
              <w:spacing w:before="40" w:after="40"/>
              <w:rPr>
                <w:sz w:val="20"/>
                <w:szCs w:val="20"/>
              </w:rPr>
            </w:pPr>
            <w:r>
              <w:rPr>
                <w:sz w:val="20"/>
                <w:szCs w:val="20"/>
              </w:rPr>
              <w:t>725</w:t>
            </w:r>
          </w:p>
        </w:tc>
        <w:tc>
          <w:tcPr>
            <w:tcW w:w="1702" w:type="dxa"/>
          </w:tcPr>
          <w:p w:rsidR="00000000" w:rsidRDefault="00000000">
            <w:pPr>
              <w:spacing w:before="40" w:after="40"/>
              <w:rPr>
                <w:sz w:val="20"/>
                <w:szCs w:val="20"/>
              </w:rPr>
            </w:pPr>
            <w:r>
              <w:rPr>
                <w:sz w:val="20"/>
                <w:szCs w:val="20"/>
              </w:rPr>
              <w:t>57 363</w:t>
            </w:r>
          </w:p>
        </w:tc>
        <w:tc>
          <w:tcPr>
            <w:tcW w:w="1754" w:type="dxa"/>
          </w:tcPr>
          <w:p w:rsidR="00000000" w:rsidRDefault="00000000">
            <w:pPr>
              <w:spacing w:before="40" w:after="40"/>
              <w:rPr>
                <w:sz w:val="20"/>
                <w:szCs w:val="20"/>
              </w:rPr>
            </w:pPr>
            <w:r>
              <w:rPr>
                <w:sz w:val="20"/>
                <w:szCs w:val="20"/>
              </w:rPr>
              <w:t>163 195</w:t>
            </w:r>
          </w:p>
        </w:tc>
        <w:tc>
          <w:tcPr>
            <w:tcW w:w="2331" w:type="dxa"/>
          </w:tcPr>
          <w:p w:rsidR="00000000" w:rsidRDefault="00000000">
            <w:pPr>
              <w:spacing w:before="40" w:after="40"/>
              <w:rPr>
                <w:sz w:val="20"/>
                <w:szCs w:val="20"/>
              </w:rPr>
            </w:pPr>
            <w:r>
              <w:rPr>
                <w:sz w:val="20"/>
                <w:szCs w:val="20"/>
              </w:rPr>
              <w:t>[Март 2001 года – СЗС</w:t>
            </w:r>
            <w:r>
              <w:rPr>
                <w:sz w:val="20"/>
                <w:szCs w:val="20"/>
                <w:vertAlign w:val="superscript"/>
              </w:rPr>
              <w:t>**</w:t>
            </w:r>
            <w:r>
              <w:rPr>
                <w:sz w:val="20"/>
                <w:szCs w:val="20"/>
              </w:rPr>
              <w:t>]</w:t>
            </w:r>
          </w:p>
        </w:tc>
      </w:tr>
      <w:tr w:rsidR="00000000">
        <w:trPr>
          <w:jc w:val="center"/>
        </w:trPr>
        <w:tc>
          <w:tcPr>
            <w:tcW w:w="2082" w:type="dxa"/>
          </w:tcPr>
          <w:p w:rsidR="00000000" w:rsidRDefault="00000000">
            <w:pPr>
              <w:spacing w:before="40" w:after="40"/>
              <w:rPr>
                <w:sz w:val="20"/>
                <w:szCs w:val="20"/>
              </w:rPr>
            </w:pPr>
            <w:r>
              <w:rPr>
                <w:sz w:val="20"/>
                <w:szCs w:val="20"/>
              </w:rPr>
              <w:t xml:space="preserve">Амбулатории </w:t>
            </w:r>
            <w:r>
              <w:rPr>
                <w:sz w:val="20"/>
                <w:szCs w:val="20"/>
              </w:rPr>
              <w:br/>
              <w:t>и больницы (всего)</w:t>
            </w:r>
          </w:p>
        </w:tc>
        <w:tc>
          <w:tcPr>
            <w:tcW w:w="1702" w:type="dxa"/>
          </w:tcPr>
          <w:p w:rsidR="00000000" w:rsidRDefault="00000000">
            <w:pPr>
              <w:spacing w:before="40" w:after="40"/>
              <w:rPr>
                <w:sz w:val="20"/>
                <w:szCs w:val="20"/>
              </w:rPr>
            </w:pPr>
            <w:r>
              <w:rPr>
                <w:sz w:val="20"/>
                <w:szCs w:val="20"/>
              </w:rPr>
              <w:t>9 209</w:t>
            </w:r>
          </w:p>
        </w:tc>
        <w:tc>
          <w:tcPr>
            <w:tcW w:w="1702" w:type="dxa"/>
          </w:tcPr>
          <w:p w:rsidR="00000000" w:rsidRDefault="00000000">
            <w:pPr>
              <w:spacing w:before="40" w:after="40"/>
              <w:rPr>
                <w:sz w:val="20"/>
                <w:szCs w:val="20"/>
              </w:rPr>
            </w:pPr>
            <w:r>
              <w:rPr>
                <w:sz w:val="20"/>
                <w:szCs w:val="20"/>
              </w:rPr>
              <w:t>23 555</w:t>
            </w:r>
          </w:p>
        </w:tc>
        <w:tc>
          <w:tcPr>
            <w:tcW w:w="1754" w:type="dxa"/>
          </w:tcPr>
          <w:p w:rsidR="00000000" w:rsidRDefault="00000000">
            <w:pPr>
              <w:spacing w:before="40" w:after="40"/>
              <w:rPr>
                <w:sz w:val="20"/>
                <w:szCs w:val="20"/>
              </w:rPr>
            </w:pPr>
            <w:r>
              <w:rPr>
                <w:sz w:val="20"/>
                <w:szCs w:val="20"/>
              </w:rPr>
              <w:t>38 031</w:t>
            </w:r>
          </w:p>
        </w:tc>
        <w:tc>
          <w:tcPr>
            <w:tcW w:w="2331" w:type="dxa"/>
          </w:tcPr>
          <w:p w:rsidR="00000000" w:rsidRDefault="00000000">
            <w:pPr>
              <w:spacing w:before="40" w:after="40"/>
              <w:rPr>
                <w:sz w:val="20"/>
                <w:szCs w:val="20"/>
              </w:rPr>
            </w:pPr>
            <w:r>
              <w:rPr>
                <w:sz w:val="20"/>
                <w:szCs w:val="20"/>
              </w:rPr>
              <w:t>[1 января 2002 года – ЦБСЗ</w:t>
            </w:r>
            <w:r>
              <w:rPr>
                <w:sz w:val="20"/>
                <w:szCs w:val="20"/>
                <w:vertAlign w:val="superscript"/>
              </w:rPr>
              <w:t>***</w:t>
            </w:r>
            <w:r>
              <w:rPr>
                <w:sz w:val="20"/>
                <w:szCs w:val="20"/>
              </w:rPr>
              <w:t>]</w:t>
            </w:r>
          </w:p>
        </w:tc>
      </w:tr>
      <w:tr w:rsidR="00000000">
        <w:trPr>
          <w:jc w:val="center"/>
        </w:trPr>
        <w:tc>
          <w:tcPr>
            <w:tcW w:w="2082" w:type="dxa"/>
          </w:tcPr>
          <w:p w:rsidR="00000000" w:rsidRDefault="00000000">
            <w:pPr>
              <w:spacing w:before="40" w:after="40"/>
              <w:rPr>
                <w:sz w:val="20"/>
                <w:szCs w:val="20"/>
              </w:rPr>
            </w:pPr>
            <w:r>
              <w:rPr>
                <w:sz w:val="20"/>
                <w:szCs w:val="20"/>
              </w:rPr>
              <w:t xml:space="preserve">Число койко-мест </w:t>
            </w:r>
            <w:r>
              <w:rPr>
                <w:sz w:val="20"/>
                <w:szCs w:val="20"/>
              </w:rPr>
              <w:br/>
              <w:t xml:space="preserve">(в частных и государственных учреждениях) </w:t>
            </w:r>
          </w:p>
        </w:tc>
        <w:tc>
          <w:tcPr>
            <w:tcW w:w="1702" w:type="dxa"/>
          </w:tcPr>
          <w:p w:rsidR="00000000" w:rsidRDefault="00000000">
            <w:pPr>
              <w:spacing w:before="40" w:after="40"/>
              <w:rPr>
                <w:sz w:val="20"/>
                <w:szCs w:val="20"/>
              </w:rPr>
            </w:pPr>
            <w:r>
              <w:rPr>
                <w:sz w:val="20"/>
                <w:szCs w:val="20"/>
              </w:rPr>
              <w:t>117 198</w:t>
            </w:r>
          </w:p>
        </w:tc>
        <w:tc>
          <w:tcPr>
            <w:tcW w:w="1702" w:type="dxa"/>
          </w:tcPr>
          <w:p w:rsidR="00000000" w:rsidRDefault="00000000">
            <w:pPr>
              <w:spacing w:before="40" w:after="40"/>
              <w:rPr>
                <w:sz w:val="20"/>
                <w:szCs w:val="20"/>
              </w:rPr>
            </w:pPr>
            <w:r>
              <w:rPr>
                <w:sz w:val="20"/>
                <w:szCs w:val="20"/>
              </w:rPr>
              <w:t>569 495</w:t>
            </w:r>
          </w:p>
        </w:tc>
        <w:tc>
          <w:tcPr>
            <w:tcW w:w="1754" w:type="dxa"/>
          </w:tcPr>
          <w:p w:rsidR="00000000" w:rsidRDefault="00000000">
            <w:pPr>
              <w:spacing w:before="40" w:after="40"/>
              <w:rPr>
                <w:sz w:val="20"/>
                <w:szCs w:val="20"/>
              </w:rPr>
            </w:pPr>
            <w:r>
              <w:rPr>
                <w:sz w:val="20"/>
                <w:szCs w:val="20"/>
              </w:rPr>
              <w:t>914 543</w:t>
            </w:r>
          </w:p>
        </w:tc>
        <w:tc>
          <w:tcPr>
            <w:tcW w:w="2331" w:type="dxa"/>
          </w:tcPr>
          <w:p w:rsidR="00000000" w:rsidRDefault="00000000">
            <w:pPr>
              <w:spacing w:before="40" w:after="40"/>
              <w:rPr>
                <w:sz w:val="20"/>
                <w:szCs w:val="20"/>
              </w:rPr>
            </w:pPr>
            <w:r>
              <w:rPr>
                <w:sz w:val="20"/>
                <w:szCs w:val="20"/>
              </w:rPr>
              <w:t>[1 января 2002 года – ЦБСЗ]</w:t>
            </w:r>
          </w:p>
        </w:tc>
      </w:tr>
      <w:tr w:rsidR="00000000">
        <w:trPr>
          <w:jc w:val="center"/>
        </w:trPr>
        <w:tc>
          <w:tcPr>
            <w:tcW w:w="2082" w:type="dxa"/>
          </w:tcPr>
          <w:p w:rsidR="00000000" w:rsidRDefault="00000000">
            <w:pPr>
              <w:spacing w:before="40" w:after="40"/>
              <w:rPr>
                <w:sz w:val="20"/>
                <w:szCs w:val="20"/>
              </w:rPr>
            </w:pPr>
            <w:r>
              <w:rPr>
                <w:sz w:val="20"/>
                <w:szCs w:val="20"/>
              </w:rPr>
              <w:t>Средний медицинский персонал</w:t>
            </w:r>
          </w:p>
        </w:tc>
        <w:tc>
          <w:tcPr>
            <w:tcW w:w="1702" w:type="dxa"/>
          </w:tcPr>
          <w:p w:rsidR="00000000" w:rsidRDefault="00000000">
            <w:pPr>
              <w:spacing w:before="40" w:after="40"/>
              <w:rPr>
                <w:sz w:val="20"/>
                <w:szCs w:val="20"/>
              </w:rPr>
            </w:pPr>
            <w:r>
              <w:rPr>
                <w:sz w:val="20"/>
                <w:szCs w:val="20"/>
              </w:rPr>
              <w:t>18 054</w:t>
            </w:r>
          </w:p>
        </w:tc>
        <w:tc>
          <w:tcPr>
            <w:tcW w:w="1702" w:type="dxa"/>
          </w:tcPr>
          <w:p w:rsidR="00000000" w:rsidRDefault="00000000">
            <w:pPr>
              <w:spacing w:before="40" w:after="40"/>
              <w:rPr>
                <w:sz w:val="20"/>
                <w:szCs w:val="20"/>
              </w:rPr>
            </w:pPr>
            <w:r>
              <w:rPr>
                <w:sz w:val="20"/>
                <w:szCs w:val="20"/>
              </w:rPr>
              <w:t>143 887</w:t>
            </w:r>
          </w:p>
        </w:tc>
        <w:tc>
          <w:tcPr>
            <w:tcW w:w="1754" w:type="dxa"/>
          </w:tcPr>
          <w:p w:rsidR="00000000" w:rsidRDefault="00000000">
            <w:pPr>
              <w:spacing w:before="40" w:after="40"/>
              <w:rPr>
                <w:sz w:val="20"/>
                <w:szCs w:val="20"/>
              </w:rPr>
            </w:pPr>
            <w:r>
              <w:rPr>
                <w:sz w:val="20"/>
                <w:szCs w:val="20"/>
              </w:rPr>
              <w:t>832 000</w:t>
            </w:r>
          </w:p>
        </w:tc>
        <w:tc>
          <w:tcPr>
            <w:tcW w:w="2331" w:type="dxa"/>
          </w:tcPr>
          <w:p w:rsidR="00000000" w:rsidRDefault="00000000">
            <w:pPr>
              <w:spacing w:before="40" w:after="40"/>
              <w:rPr>
                <w:sz w:val="20"/>
                <w:szCs w:val="20"/>
              </w:rPr>
            </w:pPr>
            <w:r>
              <w:rPr>
                <w:sz w:val="20"/>
                <w:szCs w:val="20"/>
              </w:rPr>
              <w:t>[31 декабря 2001 года – ИССМП</w:t>
            </w:r>
            <w:r>
              <w:rPr>
                <w:sz w:val="20"/>
                <w:szCs w:val="20"/>
                <w:vertAlign w:val="superscript"/>
              </w:rPr>
              <w:t>@</w:t>
            </w:r>
            <w:r>
              <w:rPr>
                <w:sz w:val="20"/>
                <w:szCs w:val="20"/>
              </w:rPr>
              <w:t>]</w:t>
            </w:r>
          </w:p>
        </w:tc>
      </w:tr>
      <w:tr w:rsidR="00000000">
        <w:trPr>
          <w:jc w:val="center"/>
        </w:trPr>
        <w:tc>
          <w:tcPr>
            <w:tcW w:w="2082" w:type="dxa"/>
          </w:tcPr>
          <w:p w:rsidR="00000000" w:rsidRDefault="00000000">
            <w:pPr>
              <w:spacing w:before="40" w:after="40"/>
              <w:rPr>
                <w:sz w:val="20"/>
                <w:szCs w:val="20"/>
              </w:rPr>
            </w:pPr>
            <w:r>
              <w:rPr>
                <w:sz w:val="20"/>
                <w:szCs w:val="20"/>
              </w:rPr>
              <w:t>Врачи (система современной медицины)</w:t>
            </w:r>
          </w:p>
        </w:tc>
        <w:tc>
          <w:tcPr>
            <w:tcW w:w="1702" w:type="dxa"/>
          </w:tcPr>
          <w:p w:rsidR="00000000" w:rsidRDefault="00000000">
            <w:pPr>
              <w:spacing w:before="40" w:after="40"/>
              <w:rPr>
                <w:sz w:val="20"/>
                <w:szCs w:val="20"/>
              </w:rPr>
            </w:pPr>
            <w:r>
              <w:rPr>
                <w:sz w:val="20"/>
                <w:szCs w:val="20"/>
              </w:rPr>
              <w:t>61 800</w:t>
            </w:r>
          </w:p>
        </w:tc>
        <w:tc>
          <w:tcPr>
            <w:tcW w:w="1702" w:type="dxa"/>
          </w:tcPr>
          <w:p w:rsidR="00000000" w:rsidRDefault="00000000">
            <w:pPr>
              <w:spacing w:before="40" w:after="40"/>
              <w:rPr>
                <w:sz w:val="20"/>
                <w:szCs w:val="20"/>
              </w:rPr>
            </w:pPr>
            <w:r>
              <w:rPr>
                <w:sz w:val="20"/>
                <w:szCs w:val="20"/>
              </w:rPr>
              <w:t>268 700</w:t>
            </w:r>
          </w:p>
        </w:tc>
        <w:tc>
          <w:tcPr>
            <w:tcW w:w="1754" w:type="dxa"/>
          </w:tcPr>
          <w:p w:rsidR="00000000" w:rsidRDefault="00000000">
            <w:pPr>
              <w:spacing w:before="40" w:after="40"/>
              <w:rPr>
                <w:sz w:val="20"/>
                <w:szCs w:val="20"/>
              </w:rPr>
            </w:pPr>
            <w:r>
              <w:rPr>
                <w:sz w:val="20"/>
                <w:szCs w:val="20"/>
              </w:rPr>
              <w:t>605 840</w:t>
            </w:r>
          </w:p>
        </w:tc>
        <w:tc>
          <w:tcPr>
            <w:tcW w:w="2331" w:type="dxa"/>
          </w:tcPr>
          <w:p w:rsidR="00000000" w:rsidRDefault="00000000">
            <w:pPr>
              <w:spacing w:before="40" w:after="40"/>
              <w:rPr>
                <w:sz w:val="20"/>
                <w:szCs w:val="20"/>
              </w:rPr>
            </w:pPr>
            <w:r>
              <w:rPr>
                <w:sz w:val="20"/>
                <w:szCs w:val="20"/>
              </w:rPr>
              <w:t>[31 декабря 2002 года – МСИ</w:t>
            </w:r>
            <w:r>
              <w:rPr>
                <w:sz w:val="20"/>
                <w:szCs w:val="20"/>
                <w:vertAlign w:val="superscript"/>
              </w:rPr>
              <w:t>@@</w:t>
            </w:r>
            <w:r>
              <w:rPr>
                <w:sz w:val="20"/>
                <w:szCs w:val="20"/>
              </w:rPr>
              <w:t>]</w:t>
            </w:r>
          </w:p>
        </w:tc>
      </w:tr>
      <w:tr w:rsidR="00000000">
        <w:trPr>
          <w:jc w:val="center"/>
        </w:trPr>
        <w:tc>
          <w:tcPr>
            <w:tcW w:w="9571" w:type="dxa"/>
            <w:gridSpan w:val="5"/>
          </w:tcPr>
          <w:p w:rsidR="00000000" w:rsidRDefault="00000000">
            <w:pPr>
              <w:spacing w:before="40" w:after="40"/>
              <w:jc w:val="both"/>
              <w:rPr>
                <w:sz w:val="20"/>
                <w:szCs w:val="20"/>
              </w:rPr>
            </w:pPr>
            <w:r>
              <w:rPr>
                <w:sz w:val="20"/>
                <w:szCs w:val="20"/>
              </w:rPr>
              <w:t>* СЦ/ЦПМСО/ОЦЗ – субцентры/центры первичного медико-санитарного обслуживания/общинные центры здравоохранения</w:t>
            </w:r>
          </w:p>
          <w:p w:rsidR="00000000" w:rsidRDefault="00000000">
            <w:pPr>
              <w:spacing w:before="40" w:after="40"/>
              <w:jc w:val="both"/>
              <w:rPr>
                <w:sz w:val="20"/>
                <w:szCs w:val="20"/>
              </w:rPr>
            </w:pPr>
            <w:r>
              <w:rPr>
                <w:sz w:val="20"/>
                <w:szCs w:val="20"/>
              </w:rPr>
              <w:t>** СЗС – Статистика здравоохранения в сельской местности</w:t>
            </w:r>
          </w:p>
          <w:p w:rsidR="00000000" w:rsidRDefault="00000000">
            <w:pPr>
              <w:spacing w:before="40" w:after="40"/>
              <w:jc w:val="both"/>
              <w:rPr>
                <w:sz w:val="20"/>
                <w:szCs w:val="20"/>
              </w:rPr>
            </w:pPr>
            <w:r>
              <w:rPr>
                <w:sz w:val="20"/>
                <w:szCs w:val="20"/>
              </w:rPr>
              <w:t>*** ЦБСЗ – Центральное бюро сведений в области здравоохранения</w:t>
            </w:r>
          </w:p>
          <w:p w:rsidR="00000000" w:rsidRDefault="00000000">
            <w:pPr>
              <w:spacing w:before="40" w:after="40"/>
              <w:jc w:val="both"/>
              <w:rPr>
                <w:sz w:val="20"/>
                <w:szCs w:val="20"/>
              </w:rPr>
            </w:pPr>
            <w:r>
              <w:rPr>
                <w:sz w:val="20"/>
                <w:szCs w:val="20"/>
              </w:rPr>
              <w:t>@ ИССМП – Индийский совет по делам среднего медицинского персонала</w:t>
            </w:r>
          </w:p>
          <w:p w:rsidR="00000000" w:rsidRDefault="00000000">
            <w:pPr>
              <w:spacing w:before="40" w:after="40"/>
              <w:jc w:val="both"/>
              <w:rPr>
                <w:sz w:val="20"/>
                <w:szCs w:val="20"/>
              </w:rPr>
            </w:pPr>
            <w:r>
              <w:rPr>
                <w:sz w:val="20"/>
                <w:szCs w:val="20"/>
              </w:rPr>
              <w:t>@@ МСИ – Медицинский совет Индии</w:t>
            </w:r>
          </w:p>
          <w:p w:rsidR="00000000" w:rsidRDefault="00000000">
            <w:pPr>
              <w:spacing w:before="40" w:after="40"/>
              <w:jc w:val="both"/>
              <w:rPr>
                <w:sz w:val="20"/>
                <w:szCs w:val="20"/>
              </w:rPr>
            </w:pPr>
            <w:r>
              <w:rPr>
                <w:b/>
                <w:bCs/>
                <w:sz w:val="20"/>
                <w:szCs w:val="20"/>
              </w:rPr>
              <w:t>Источник:</w:t>
            </w:r>
            <w:r>
              <w:rPr>
                <w:sz w:val="20"/>
                <w:szCs w:val="20"/>
              </w:rPr>
              <w:t xml:space="preserve">  Комиссия по планированию, Министерство здравоохранения и благополучия семьи.</w:t>
            </w:r>
          </w:p>
        </w:tc>
      </w:tr>
    </w:tbl>
    <w:p w:rsidR="00000000" w:rsidRDefault="00000000">
      <w:pPr>
        <w:pStyle w:val="112"/>
        <w:spacing w:before="360"/>
      </w:pPr>
      <w:r>
        <w:t>487.</w:t>
      </w:r>
      <w:r>
        <w:tab/>
        <w:t>В стране существует широкая инфраструктура первичного медико-санитарного обслуживания, делающая возможным первичный контакт  населения с поставщиками услуг в сфере здравоохранения.  В число финансируемых государством учреждений, предоставляющих первичное медико-санитарное обслуживание, входят:</w:t>
      </w:r>
    </w:p>
    <w:p w:rsidR="00000000" w:rsidRDefault="00000000">
      <w:pPr>
        <w:pStyle w:val="112"/>
        <w:ind w:left="680" w:hanging="680"/>
      </w:pPr>
      <w:r>
        <w:t>1)</w:t>
      </w:r>
      <w:r>
        <w:tab/>
        <w:t>сельская инфраструктура первичного медико-санитарного обслуживания в области современной медицины, созданная штатами и включающая в себя:</w:t>
      </w:r>
    </w:p>
    <w:p w:rsidR="00000000" w:rsidRDefault="00000000">
      <w:pPr>
        <w:pStyle w:val="112"/>
      </w:pPr>
      <w:r>
        <w:tab/>
      </w:r>
      <w:r>
        <w:rPr>
          <w:lang w:val="en-US"/>
        </w:rPr>
        <w:t>a</w:t>
      </w:r>
      <w:r>
        <w:t>)</w:t>
      </w:r>
      <w:r>
        <w:tab/>
        <w:t>субцентры</w:t>
      </w:r>
    </w:p>
    <w:p w:rsidR="00000000" w:rsidRDefault="00000000">
      <w:pPr>
        <w:pStyle w:val="112"/>
        <w:spacing w:before="0"/>
      </w:pPr>
      <w:r>
        <w:tab/>
      </w:r>
      <w:r>
        <w:rPr>
          <w:lang w:val="en-US"/>
        </w:rPr>
        <w:t>b</w:t>
      </w:r>
      <w:r>
        <w:t>)</w:t>
      </w:r>
      <w:r>
        <w:tab/>
        <w:t>центры первичного медико-санитарного обслуживания</w:t>
      </w:r>
    </w:p>
    <w:p w:rsidR="00000000" w:rsidRDefault="00000000">
      <w:pPr>
        <w:pStyle w:val="112"/>
        <w:spacing w:before="0"/>
      </w:pPr>
      <w:r>
        <w:tab/>
      </w:r>
      <w:r>
        <w:rPr>
          <w:lang w:val="en-US"/>
        </w:rPr>
        <w:t>c</w:t>
      </w:r>
      <w:r>
        <w:t>)</w:t>
      </w:r>
      <w:r>
        <w:tab/>
        <w:t>общинные центры здравоохранения.</w:t>
      </w:r>
    </w:p>
    <w:p w:rsidR="00000000" w:rsidRDefault="00000000">
      <w:pPr>
        <w:pStyle w:val="112"/>
        <w:rPr>
          <w:rStyle w:val="111"/>
        </w:rPr>
      </w:pPr>
      <w:r>
        <w:rPr>
          <w:rStyle w:val="111"/>
        </w:rPr>
        <w:t>2)</w:t>
      </w:r>
      <w:r>
        <w:rPr>
          <w:rStyle w:val="111"/>
        </w:rPr>
        <w:tab/>
        <w:t xml:space="preserve">окружные больницы/больницы </w:t>
      </w:r>
      <w:r>
        <w:rPr>
          <w:i/>
          <w:iCs/>
        </w:rPr>
        <w:t>талуков</w:t>
      </w:r>
      <w:r>
        <w:rPr>
          <w:rStyle w:val="111"/>
        </w:rPr>
        <w:t>/специализированные больницы;</w:t>
      </w:r>
    </w:p>
    <w:p w:rsidR="00000000" w:rsidRDefault="00000000">
      <w:pPr>
        <w:pStyle w:val="112"/>
        <w:spacing w:before="0"/>
        <w:ind w:left="680" w:hanging="680"/>
        <w:rPr>
          <w:lang w:val="en-US"/>
        </w:rPr>
      </w:pPr>
    </w:p>
    <w:p w:rsidR="00000000" w:rsidRDefault="00000000">
      <w:pPr>
        <w:pStyle w:val="112"/>
        <w:spacing w:before="0"/>
        <w:ind w:left="680" w:hanging="680"/>
      </w:pPr>
      <w:r>
        <w:t>3)</w:t>
      </w:r>
      <w:r>
        <w:tab/>
        <w:t>сельские центры по делам благополучия семьи, городские медицинские пункты, городские центры по делам благополучия семьи, окружные центры послеродовых услуг и районные центры послеродовых услуг, финансируемые департаментом по делам благополучия семьи;</w:t>
      </w:r>
    </w:p>
    <w:p w:rsidR="00000000" w:rsidRDefault="00000000">
      <w:pPr>
        <w:pStyle w:val="112"/>
        <w:spacing w:before="0"/>
        <w:ind w:left="680" w:hanging="680"/>
        <w:rPr>
          <w:lang w:val="en-US"/>
        </w:rPr>
      </w:pPr>
    </w:p>
    <w:p w:rsidR="00000000" w:rsidRDefault="00000000">
      <w:pPr>
        <w:pStyle w:val="112"/>
        <w:spacing w:before="0"/>
        <w:ind w:left="680" w:hanging="680"/>
      </w:pPr>
      <w:r>
        <w:t>4)</w:t>
      </w:r>
      <w:r>
        <w:tab/>
        <w:t>городские медицинские службы, находящиеся в ведении муниципалитетов;</w:t>
      </w:r>
    </w:p>
    <w:p w:rsidR="00000000" w:rsidRDefault="00000000">
      <w:pPr>
        <w:pStyle w:val="112"/>
        <w:spacing w:before="0"/>
        <w:ind w:left="680" w:hanging="680"/>
        <w:rPr>
          <w:lang w:val="en-US"/>
        </w:rPr>
      </w:pPr>
    </w:p>
    <w:p w:rsidR="00000000" w:rsidRDefault="00000000">
      <w:pPr>
        <w:pStyle w:val="112"/>
        <w:spacing w:before="0"/>
        <w:ind w:left="680" w:hanging="680"/>
      </w:pPr>
      <w:r>
        <w:t>5)</w:t>
      </w:r>
      <w:r>
        <w:tab/>
        <w:t>медицинское обслуживание служащих центрального правительства в рамках системы здравоохранения центрального правительства (СЗЦП);</w:t>
      </w:r>
    </w:p>
    <w:p w:rsidR="00000000" w:rsidRDefault="00000000">
      <w:pPr>
        <w:pStyle w:val="112"/>
        <w:spacing w:before="0"/>
        <w:ind w:left="680" w:hanging="680"/>
        <w:rPr>
          <w:lang w:val="en-US"/>
        </w:rPr>
      </w:pPr>
    </w:p>
    <w:p w:rsidR="00000000" w:rsidRDefault="00000000">
      <w:pPr>
        <w:pStyle w:val="112"/>
        <w:spacing w:before="0"/>
        <w:ind w:left="680" w:hanging="680"/>
      </w:pPr>
      <w:r>
        <w:t>6)</w:t>
      </w:r>
      <w:r>
        <w:tab/>
        <w:t>больницы и амбулатории министерств железных дорог, обороны и аналогичных крупных ведомств, предоставляющие медицинские услуги их сотрудникам;</w:t>
      </w:r>
    </w:p>
    <w:p w:rsidR="00000000" w:rsidRDefault="00000000">
      <w:pPr>
        <w:pStyle w:val="112"/>
        <w:spacing w:before="0"/>
        <w:ind w:left="680" w:hanging="680"/>
        <w:rPr>
          <w:lang w:val="en-US"/>
        </w:rPr>
      </w:pPr>
    </w:p>
    <w:p w:rsidR="00000000" w:rsidRDefault="00000000">
      <w:pPr>
        <w:pStyle w:val="112"/>
        <w:spacing w:before="0"/>
        <w:ind w:left="680" w:hanging="680"/>
      </w:pPr>
      <w:r>
        <w:t>7)</w:t>
      </w:r>
      <w:r>
        <w:tab/>
        <w:t>медицинская инфраструктура государственных структур и крупных предприятий;</w:t>
      </w:r>
    </w:p>
    <w:p w:rsidR="00000000" w:rsidRDefault="00000000">
      <w:pPr>
        <w:pStyle w:val="112"/>
        <w:spacing w:before="0"/>
        <w:ind w:left="680" w:hanging="680"/>
        <w:rPr>
          <w:lang w:val="en-US"/>
        </w:rPr>
      </w:pPr>
    </w:p>
    <w:p w:rsidR="00000000" w:rsidRDefault="00000000">
      <w:pPr>
        <w:pStyle w:val="112"/>
        <w:spacing w:before="0"/>
        <w:ind w:left="680" w:hanging="680"/>
      </w:pPr>
      <w:r>
        <w:t>8)</w:t>
      </w:r>
      <w:r>
        <w:tab/>
        <w:t>больницы и амбулатории Системы государственного страхования персонала (СГСП), предоставляющие медицинские услуги работникам предприятий.</w:t>
      </w:r>
    </w:p>
    <w:p w:rsidR="00000000" w:rsidRDefault="00000000">
      <w:pPr>
        <w:pStyle w:val="112"/>
      </w:pPr>
      <w:r>
        <w:t>488.</w:t>
      </w:r>
      <w:r>
        <w:tab/>
        <w:t>Субцентры (СЦ) представляют собой наиболее периферийные медицинские учреждения в сельских районах, в каждом из которых работают профессиональная медсестра-акушерка (ПМА) и сотрудник-мужчина широкого профиля; каждый СЦ обслуживает 5000 человек в равнинных районах и 3000 человек в холмистых/племенных/отсталых/труднодоступных районах.  В стране существует 137 311 субцентров (по данным на 31 марта 2001 года).</w:t>
      </w:r>
    </w:p>
    <w:p w:rsidR="00000000" w:rsidRDefault="00000000">
      <w:pPr>
        <w:pStyle w:val="112"/>
      </w:pPr>
      <w:r>
        <w:t>489.</w:t>
      </w:r>
      <w:r>
        <w:tab/>
        <w:t>Центр первичного медико-санитарного обслуживания (ЦПМСО) – это консультационное учреждение для шести субцентров, обслуживающее население численностью 30 000 человек в равнинных районах и 20 000 человек в племенных/труднодоступных районах.  В каждом таком центре работает врач-специалист и 14 представителей среднего медицинского и другого персонала.  В стране существует 22 842 ЦПМСО (по данным на 31 марта 2001 года).  Все ЦПМСО предоставляют амбулаторные услуги, а также располагают четырьмя–шестью койко-местами для стационарного лечения.  Через ЦПМСО распределяются основные лекарственные средства для лечения распространенных болезней.  На бесплатное обеспечение этими лекарствами расходуется почти треть бюджета здравоохранения  центрального правительства и правительств штатов.</w:t>
      </w:r>
    </w:p>
    <w:p w:rsidR="00000000" w:rsidRDefault="00000000">
      <w:pPr>
        <w:pStyle w:val="112"/>
      </w:pPr>
      <w:r>
        <w:t>490.</w:t>
      </w:r>
      <w:r>
        <w:tab/>
        <w:t xml:space="preserve">Каждый общинный центр здравоохранения (ОЦЗ) является головным консультационным учреждением (ГКУ) для четырех ЦПМСО; ОЦЗ предоставляет специализированное обслуживание для населения численностью  80 000 человек в племенных районах и 120 000 человек в равнинных районах.  В каждом из таких центров есть не менее 30 койко-мест для стационарного лечения, одна операционная, рентгеновская установка, родильная палата и лаборатория, а его персонал насчитывает  как минимум четырех врачей-специалистов, то есть хирурга, терапевта, гинеколога и педиатра, которым помогают 21 представитель среднего медицинского и другого персонала.  </w:t>
      </w:r>
    </w:p>
    <w:p w:rsidR="00000000" w:rsidRDefault="00000000">
      <w:pPr>
        <w:pStyle w:val="112"/>
      </w:pPr>
      <w:r>
        <w:t>491.</w:t>
      </w:r>
      <w:r>
        <w:tab/>
        <w:t>Для того чтобы обеспечить надлежащий доступ к медицинским услугам для племенных народов,  на племенных землях были созданы 20 769 субцентров, 3286 центров первичного медико-санитарного обслуживания, 541 общинный центр здравоохранения, 142 больницы, 78 мобильных клиник и 2303 амбулатории.  Кроме того, СЦ, ЦПМСО и ОЦЗ размещены в деревнях, в которых более 20 процентов населения составляют представители племен, и в большинстве программ по борьбе с распространением заболеваний, финансирование которых ведется из средств центрального правительства,  особое внимание уделяется племенным территориям.</w:t>
      </w:r>
    </w:p>
    <w:p w:rsidR="00000000" w:rsidRDefault="00000000">
      <w:pPr>
        <w:pStyle w:val="112"/>
      </w:pPr>
      <w:r>
        <w:t>492.</w:t>
      </w:r>
      <w:r>
        <w:tab/>
        <w:t>Инфраструктура вторичного медико-санитарного обслуживания состоит из окружных и городских больниц, которые также удовлетворяют потребности населения тех крупных или небольших городов, где они расположены, в первичном медико-санитарном обслуживании.  Территориальные лечебные/высокоспециализированные учреждения создавались как правительством, так и частными предпринимателями.  Многие штаты предоставили земли, обеспечили водо- и электроснабжение в счет покрытия расходов создающих такие учреждения частных предпринимателей с тем условием, что они будут предоставлять бесплатное амбулаторное и стационарное лечение для людей, находящихся за чертой бедности.</w:t>
      </w:r>
    </w:p>
    <w:p w:rsidR="00000000" w:rsidRDefault="00000000">
      <w:pPr>
        <w:pStyle w:val="112"/>
      </w:pPr>
      <w:r>
        <w:t>493.</w:t>
      </w:r>
      <w:r>
        <w:tab/>
        <w:t xml:space="preserve">Уровень доступности и использования этих услуг различается в разных штатах и разных округах, а также в городах и сельской местности.  В некоторых местах имеются неиспользуемые запасы лекарств и диагностические центры, в то время как другие места страдают от их нехватки; в основном это связано с установленными нормами, касающимися численности населения, обслуживаемого лечебными заведениями каждого уровня и головными консультационными учреждениями.  Одни медицинские центры переполнены, другие используются недостаточно; большинство центров вторичного и третичного медико-санитарного обслуживания располагают хорошими помещениями и квалифицированным персоналом, однако они сталкиваются с трудностями в своей работе из-за меняющихся потребностей в услугах здравоохранения, быстрого развития технологий, устарения оборудования и большой текучести кадров.  </w:t>
      </w:r>
    </w:p>
    <w:p w:rsidR="00000000" w:rsidRDefault="00000000">
      <w:pPr>
        <w:pStyle w:val="112"/>
        <w:rPr>
          <w:rStyle w:val="111"/>
        </w:rPr>
      </w:pPr>
      <w:r>
        <w:rPr>
          <w:rStyle w:val="111"/>
        </w:rPr>
        <w:t>494.</w:t>
      </w:r>
      <w:r>
        <w:rPr>
          <w:rStyle w:val="111"/>
        </w:rPr>
        <w:tab/>
        <w:t xml:space="preserve">В целях уменьшения этой несбалансированности системы медико-санитарного обслуживания в десятом </w:t>
      </w:r>
      <w:r>
        <w:rPr>
          <w:rStyle w:val="111"/>
          <w:caps/>
        </w:rPr>
        <w:t>п</w:t>
      </w:r>
      <w:r>
        <w:rPr>
          <w:rStyle w:val="111"/>
        </w:rPr>
        <w:t xml:space="preserve">ятилетнем плане (2002–2007 годы) особое внимание уделяется реорганизации и реструктурированию существующей инфраструктуры медико-санитарного обслуживания на первичном, вторичном и третичном уровнях, с тем чтобы она располагала необходимым потенциалом для предоставления медико-санитарного обслуживания населению, живущему в четко определенных географических районах, и ее учреждения поддерживали надлежащие связи друг с другом.  Предусмотрено также делегирование полномочий учреждениям уровня </w:t>
      </w:r>
      <w:r>
        <w:rPr>
          <w:i/>
          <w:sz w:val="24"/>
        </w:rPr>
        <w:t>панчаяти радж</w:t>
      </w:r>
      <w:r>
        <w:rPr>
          <w:rStyle w:val="111"/>
        </w:rPr>
        <w:t xml:space="preserve"> для обеспечения подотчетности местных учреждений медико-санитарного обслуживания.  Кроме того, при поддержке Всемирного банка в семи штатах ведется осуществление государственных проектов по развитию системы здравоохранения, особенно в сфере вторичного обслуживания.  Другим штатам также настоятельно рекомендуется приступить к осуществлению таких проектов. </w:t>
      </w:r>
    </w:p>
    <w:p w:rsidR="00000000" w:rsidRDefault="00000000">
      <w:pPr>
        <w:pStyle w:val="112"/>
        <w:rPr>
          <w:rStyle w:val="111"/>
        </w:rPr>
      </w:pPr>
      <w:r>
        <w:rPr>
          <w:rStyle w:val="111"/>
        </w:rPr>
        <w:t>495.</w:t>
      </w:r>
      <w:r>
        <w:rPr>
          <w:rStyle w:val="111"/>
        </w:rPr>
        <w:tab/>
        <w:t>Программа</w:t>
      </w:r>
      <w:r>
        <w:rPr>
          <w:rStyle w:val="111"/>
          <w:szCs w:val="22"/>
        </w:rPr>
        <w:t xml:space="preserve"> </w:t>
      </w:r>
      <w:r>
        <w:rPr>
          <w:b/>
          <w:szCs w:val="22"/>
        </w:rPr>
        <w:t>"Прадхан Мантри Свастия Суракша Йоджана"</w:t>
      </w:r>
      <w:r>
        <w:rPr>
          <w:rStyle w:val="111"/>
          <w:szCs w:val="22"/>
        </w:rPr>
        <w:t xml:space="preserve"> </w:t>
      </w:r>
      <w:r>
        <w:rPr>
          <w:rStyle w:val="111"/>
        </w:rPr>
        <w:t xml:space="preserve">(ПМССЙ) была разработана с целью уменьшения все еще остающегося разрыва в уровне доступности больниц/ </w:t>
      </w:r>
      <w:r>
        <w:rPr>
          <w:rStyle w:val="111"/>
        </w:rPr>
        <w:br/>
        <w:t>медицинских колледжей третичного уровня, предоставляющих специализированные/</w:t>
      </w:r>
      <w:r>
        <w:rPr>
          <w:rStyle w:val="111"/>
        </w:rPr>
        <w:br/>
        <w:t>высокоспециализированные услуги в различных штатах, а также с целью уменьшения проблем для жителей слаборазвитых штатов, которым приходится приезжать в такие медицинские учреждения, как Всеиндийский институт медицинских наук (ВИИМН) в Нью-Дели, что создает неудобства для пациентов и требует от них значительных затрат.  По этой программе предполагается создать учреждения, подобные ВИИМН, в шести слаборазвитых штатах – Бихаре, Чхаттисгархе, Мадхья-Прадеш, Ориссе, Раджастхане и Уттаранчале.  В рамках этой программы предоставляется также одноразовая помощь одному медицинскому учреждению в каждом из шести других штатов  (Андхра-Прадеш, Джамму и Кашмир, Джарханд, Тамилнад, Уттар-Прадеш и Западная Бенгалия), чтобы позволить им модернизировать свое оборудование до уровня ВИИМП.</w:t>
      </w:r>
    </w:p>
    <w:p w:rsidR="00000000" w:rsidRDefault="00000000">
      <w:pPr>
        <w:pStyle w:val="112"/>
      </w:pPr>
      <w:r>
        <w:t>496.</w:t>
      </w:r>
      <w:r>
        <w:tab/>
        <w:t xml:space="preserve">Согласно данным обследования 2001–2002 годов, 70% людей смогли получить офтальмологическую помощь, требовавшую операцию на катаракту, со стороны квалифицированного персонала.  Доступ к офтальмологическим услугам был улучшен в результате организации лагерей для офтальмологической проверки в сельских и отдаленных районах. </w:t>
      </w:r>
    </w:p>
    <w:p w:rsidR="00000000" w:rsidRDefault="00000000">
      <w:pPr>
        <w:pStyle w:val="112"/>
      </w:pPr>
      <w:r>
        <w:t>497.</w:t>
      </w:r>
      <w:r>
        <w:tab/>
        <w:t>Как уже указывалось выше, у неграмотного населения, особенно в отдаленных сельских и географически труднодоступных районах, более распространена слепота и ограничен доступ к офтальмологическим услугам.  Для улучшения положения уязвимых и находящихся в неблагоприятных условиях групп в районах с недостаточным медицинским обслуживанием принимаются следующие меры:</w:t>
      </w:r>
    </w:p>
    <w:p w:rsidR="00000000" w:rsidRDefault="00000000">
      <w:pPr>
        <w:pStyle w:val="112"/>
        <w:spacing w:before="0"/>
        <w:ind w:left="680" w:hanging="680"/>
        <w:rPr>
          <w:lang w:val="en-US"/>
        </w:rPr>
      </w:pPr>
    </w:p>
    <w:p w:rsidR="00000000" w:rsidRDefault="00000000">
      <w:pPr>
        <w:pStyle w:val="112"/>
        <w:spacing w:before="0" w:after="120"/>
        <w:ind w:left="680" w:hanging="680"/>
      </w:pPr>
      <w:r>
        <w:t>–</w:t>
      </w:r>
      <w:r>
        <w:tab/>
        <w:t>организуются офтальмологические лагеря для выявления и лечения слепых/слабовидящих лиц;</w:t>
      </w:r>
    </w:p>
    <w:p w:rsidR="00000000" w:rsidRDefault="00000000">
      <w:pPr>
        <w:pStyle w:val="112"/>
        <w:spacing w:before="0" w:after="120"/>
        <w:ind w:left="680" w:hanging="680"/>
      </w:pPr>
      <w:r>
        <w:t>–</w:t>
      </w:r>
      <w:r>
        <w:tab/>
        <w:t>медработники, базирующиеся в деревнях, проводят регистрацию слепых жителей деревень;</w:t>
      </w:r>
    </w:p>
    <w:p w:rsidR="00000000" w:rsidRDefault="00000000">
      <w:pPr>
        <w:pStyle w:val="112"/>
        <w:spacing w:before="0" w:after="120"/>
        <w:ind w:left="680" w:hanging="680"/>
      </w:pPr>
      <w:r>
        <w:t>–</w:t>
      </w:r>
      <w:r>
        <w:tab/>
        <w:t>лицам, находящимся за чертой бедности, предоставляются бесплатные услуги в государственных больницах;</w:t>
      </w:r>
    </w:p>
    <w:p w:rsidR="00000000" w:rsidRDefault="00000000">
      <w:pPr>
        <w:pStyle w:val="112"/>
        <w:spacing w:before="0" w:after="120"/>
        <w:ind w:left="680" w:hanging="680"/>
      </w:pPr>
      <w:r>
        <w:t>–</w:t>
      </w:r>
      <w:r>
        <w:tab/>
        <w:t>предоставляются субсидии НПО с целью оказания бесплатной помощи больным;</w:t>
      </w:r>
    </w:p>
    <w:p w:rsidR="00000000" w:rsidRDefault="00000000">
      <w:pPr>
        <w:pStyle w:val="112"/>
        <w:spacing w:before="0"/>
        <w:ind w:left="680" w:hanging="680"/>
      </w:pPr>
      <w:r>
        <w:t>–</w:t>
      </w:r>
      <w:r>
        <w:tab/>
        <w:t>предоставляются гранты НПО в целях укрепления/расширения охвата офтальмологических услуг в сельских районах.</w:t>
      </w:r>
    </w:p>
    <w:p w:rsidR="00000000" w:rsidRDefault="00000000">
      <w:pPr>
        <w:pStyle w:val="112"/>
      </w:pPr>
      <w:r>
        <w:t>498.</w:t>
      </w:r>
      <w:r>
        <w:tab/>
        <w:t>В рамках инициативы "Зрение 2020: Право на зрение" была поставлена цель уменьшить распространенность слепоты до 0,5% к 2010 году и до 0,3% к 2020 году.  Эту цель предполагается реализовать благодаря постепенному увеличению числа производимых операций на катаракту, увеличению охвата и улучшению качества услуг, а также предоставлению всеобъемлющих офтальмологических услуг, охватывающих все причины заболеваний и все возрастные категории.</w:t>
      </w:r>
    </w:p>
    <w:p w:rsidR="00000000" w:rsidRDefault="00000000">
      <w:pPr>
        <w:pStyle w:val="112"/>
      </w:pPr>
      <w:r>
        <w:t>499.</w:t>
      </w:r>
      <w:r>
        <w:tab/>
        <w:t>Хотя распространенность слепоты в уязвимых и находящихся в неблагоприятных условиях группах снизилась, в охвате этих групп офтальмологическими услугами  были выявлены следующие недостатки:</w:t>
      </w:r>
    </w:p>
    <w:p w:rsidR="00000000" w:rsidRDefault="00000000">
      <w:pPr>
        <w:pStyle w:val="112"/>
        <w:spacing w:before="0"/>
        <w:ind w:left="680" w:hanging="680"/>
        <w:rPr>
          <w:lang w:val="en-US"/>
        </w:rPr>
      </w:pPr>
    </w:p>
    <w:p w:rsidR="00000000" w:rsidRDefault="00000000">
      <w:pPr>
        <w:pStyle w:val="112"/>
        <w:spacing w:before="0" w:after="120"/>
        <w:ind w:left="680" w:hanging="680"/>
      </w:pPr>
      <w:r>
        <w:t>–</w:t>
      </w:r>
      <w:r>
        <w:tab/>
        <w:t>отсутствие надлежащей инфраструктуры офтальмологических услуг и кадровых ресурсов в районах с недостаточным медицинским обслуживанием;</w:t>
      </w:r>
    </w:p>
    <w:p w:rsidR="00000000" w:rsidRDefault="00000000">
      <w:pPr>
        <w:pStyle w:val="112"/>
        <w:spacing w:before="0" w:after="120"/>
        <w:ind w:left="680" w:hanging="680"/>
      </w:pPr>
      <w:r>
        <w:t>–</w:t>
      </w:r>
      <w:r>
        <w:tab/>
        <w:t>неудовлетворительные транспортные и коммуникационные мощности;</w:t>
      </w:r>
    </w:p>
    <w:p w:rsidR="00000000" w:rsidRDefault="00000000">
      <w:pPr>
        <w:pStyle w:val="112"/>
        <w:spacing w:before="0" w:after="120"/>
        <w:ind w:left="680" w:hanging="680"/>
      </w:pPr>
      <w:r>
        <w:t>–</w:t>
      </w:r>
      <w:r>
        <w:tab/>
        <w:t>неудовлетворительная осведомленность о профилактике и своевременном лечении заболеваний органов зрения;</w:t>
      </w:r>
    </w:p>
    <w:p w:rsidR="00000000" w:rsidRDefault="00000000">
      <w:pPr>
        <w:pStyle w:val="112"/>
        <w:spacing w:before="0" w:after="120"/>
        <w:ind w:left="680" w:hanging="680"/>
      </w:pPr>
      <w:r>
        <w:t>–</w:t>
      </w:r>
      <w:r>
        <w:tab/>
        <w:t>заблуждения, ошибочные убеждения и нездоровые привычки;</w:t>
      </w:r>
    </w:p>
    <w:p w:rsidR="00000000" w:rsidRDefault="00000000">
      <w:pPr>
        <w:pStyle w:val="112"/>
        <w:spacing w:before="0"/>
        <w:ind w:left="680" w:hanging="680"/>
      </w:pPr>
      <w:r>
        <w:t>–</w:t>
      </w:r>
      <w:r>
        <w:tab/>
        <w:t>недостаточное участие общин.</w:t>
      </w:r>
    </w:p>
    <w:p w:rsidR="00000000" w:rsidRDefault="00000000">
      <w:pPr>
        <w:pStyle w:val="112"/>
        <w:rPr>
          <w:lang w:val="en-US"/>
        </w:rPr>
      </w:pPr>
      <w:r>
        <w:t>500.</w:t>
      </w:r>
      <w:r>
        <w:tab/>
        <w:t>Правительством были предприняты шаги по профилактике и борьбе с распространением слепоты, включая следующие:</w:t>
      </w:r>
    </w:p>
    <w:p w:rsidR="00000000" w:rsidRDefault="00000000">
      <w:pPr>
        <w:pStyle w:val="112"/>
        <w:spacing w:after="120"/>
        <w:ind w:left="680" w:hanging="680"/>
      </w:pPr>
      <w:r>
        <w:t>–</w:t>
      </w:r>
      <w:r>
        <w:tab/>
        <w:t>повышение уровня осведомленности населения о гигиене глаз и профилактических средствах с помощью средств массовой информации;</w:t>
      </w:r>
    </w:p>
    <w:p w:rsidR="00000000" w:rsidRDefault="00000000">
      <w:pPr>
        <w:pStyle w:val="112"/>
        <w:spacing w:before="0" w:after="120"/>
        <w:ind w:left="680" w:hanging="680"/>
      </w:pPr>
      <w:r>
        <w:t>–</w:t>
      </w:r>
      <w:r>
        <w:tab/>
        <w:t>организация лагерей проверки для выявления и лечения слепых/слабовидящих лиц;</w:t>
      </w:r>
    </w:p>
    <w:p w:rsidR="00000000" w:rsidRDefault="00000000">
      <w:pPr>
        <w:pStyle w:val="112"/>
        <w:spacing w:before="0" w:after="120"/>
        <w:ind w:left="680" w:hanging="680"/>
      </w:pPr>
      <w:r>
        <w:t>–</w:t>
      </w:r>
      <w:r>
        <w:tab/>
        <w:t>предоставление бесплатного обслуживания малоимущим в государственных больницах и больницах НПО;</w:t>
      </w:r>
    </w:p>
    <w:p w:rsidR="00000000" w:rsidRDefault="00000000">
      <w:pPr>
        <w:pStyle w:val="112"/>
        <w:spacing w:before="0" w:after="120"/>
        <w:ind w:left="680" w:hanging="680"/>
      </w:pPr>
      <w:r>
        <w:t>–</w:t>
      </w:r>
      <w:r>
        <w:tab/>
        <w:t>программа проверки зрения в школах для выявления и исправления ошибок рефракции у детей;</w:t>
      </w:r>
    </w:p>
    <w:p w:rsidR="00000000" w:rsidRDefault="00000000">
      <w:pPr>
        <w:pStyle w:val="112"/>
        <w:spacing w:before="0" w:after="120"/>
        <w:ind w:left="680" w:hanging="680"/>
      </w:pPr>
      <w:r>
        <w:t>–</w:t>
      </w:r>
      <w:r>
        <w:tab/>
        <w:t>проведение операций на катаракту для восстановления зрения у лиц, страдающих слепотой;</w:t>
      </w:r>
    </w:p>
    <w:p w:rsidR="00000000" w:rsidRDefault="00000000">
      <w:pPr>
        <w:pStyle w:val="112"/>
        <w:spacing w:before="0"/>
        <w:ind w:left="680" w:hanging="680"/>
      </w:pPr>
      <w:r>
        <w:t>–</w:t>
      </w:r>
      <w:r>
        <w:tab/>
        <w:t>поощрение донорства для лечения роговичной слепоты.</w:t>
      </w:r>
    </w:p>
    <w:p w:rsidR="00000000" w:rsidRDefault="00000000">
      <w:pPr>
        <w:pStyle w:val="112"/>
      </w:pPr>
      <w:r>
        <w:t>501.</w:t>
      </w:r>
      <w:r>
        <w:tab/>
        <w:t>Большинство проблем со зрением, приводящих к слепоте, включая катаракту, глаукому и т. п., затрагивают пожилых людей.  Правительство субсидирует бесплатные офтальмологические услуги, в т. ч. операции на катаракту для  находящихся за чертой бедности лиц, чтобы растущие цены на медицинское обслуживание не препятствовали праву людей видеть.  Существовала тенденция ограничения затрат на офтальмологические услуги посредством предоставления услуг трех уровней, – бесплатных, субсидируемых и платных, – чтобы все слои общества имели доступ к высококачественным офтальмологическим услугам.</w:t>
      </w:r>
    </w:p>
    <w:p w:rsidR="00000000" w:rsidRDefault="00000000">
      <w:pPr>
        <w:pStyle w:val="112"/>
      </w:pPr>
      <w:r>
        <w:t>502.</w:t>
      </w:r>
      <w:r>
        <w:tab/>
        <w:t>При обеспечении офтальмологических услуг важную роль всегда играло общинное участие – в организации лагерей офтальмологической проверки, мотивировании и транспортировке больных в стационарные  учреждения, осуществлении последующих действий и предоставлении профилактических офтальмологических услуг. Обращение к местному самоуправлению (панчаятам), неформальным и официальным общинным лидерам и выборным представителям способствует участию общин в целом.</w:t>
      </w:r>
    </w:p>
    <w:p w:rsidR="00000000" w:rsidRDefault="00000000">
      <w:pPr>
        <w:pStyle w:val="112"/>
      </w:pPr>
      <w:r>
        <w:t>503.</w:t>
      </w:r>
      <w:r>
        <w:tab/>
        <w:t>Правительство Индии, в рамках Национальной программы борьбы со слепотой, поддерживает на национальном уровне, уровне штатов и уровне округов меры по повышению уровня осведомленности населения, преследующие цель информировать общество о профилактике, раннем распознании и лечении болезней органов зрения и своевременном лечении болезней, приводящих к слепоте.  Средства массовой информации, такие как телевидение, радиовещание и  газеты, печатные образовательные материалы и традиционные коммуникационные средства, такие как объявления на деревенских базарах, во время выступлений барабанщиков, народных танцев, кукольных представлений и т. д., также используются для повышения уровня информированности масс.  Личное общение с бенефициарами и базирующимися в деревнях медработниками также способствует повышению осведомленности о способах заботы об органах зрения.</w:t>
      </w:r>
    </w:p>
    <w:p w:rsidR="00000000" w:rsidRDefault="00000000">
      <w:pPr>
        <w:pStyle w:val="112"/>
      </w:pPr>
      <w:r>
        <w:t>504.</w:t>
      </w:r>
      <w:r>
        <w:tab/>
        <w:t>Правительство Индии, осознавая потребность в дополнительных ресурсах для борьбы с распространением слепоты, обратилось к Всемирному банку с просьбой о предоставлении льготного кредита на меры по борьбе с распространением слепоты, связанной с катарактой, в период с 1994 по 2002 год.  Это позволило модернизировать систему офтальмологических услуг страны.  Кроме того, техническая поддержка со стороны ВОЗ и двусторонняя помощь со стороны ДАНИДА внесли значительный вклад в развитие офтальмологических услуг в стране.</w:t>
      </w:r>
    </w:p>
    <w:p w:rsidR="00000000" w:rsidRDefault="00000000">
      <w:pPr>
        <w:pStyle w:val="112"/>
      </w:pPr>
      <w:r>
        <w:t>505.</w:t>
      </w:r>
      <w:r>
        <w:tab/>
        <w:t xml:space="preserve">С 1981 года в рамках Директората служб общего здравоохранения (ДСОЗ) функционирует отдельная группа по планированию развития племен, в обязанности которой входит координация политики, планирования, мониторинга, оценки и тому подобной деятельности, касающейся программ здравоохранения, в интересах обеспечения благосостояния и развития включенных в списки племен и каст.  Как отмечалось ранее, при создании инфраструктуры медико-санитарных услуг особое внимание уделяется племенным территориям и принимаются меры по преодолению нежелания их жителей прибегать к услугам медицинских центров и недостаточной осведомленности о системе современной медицины. </w:t>
      </w:r>
    </w:p>
    <w:p w:rsidR="00000000" w:rsidRDefault="00000000">
      <w:pPr>
        <w:pStyle w:val="112"/>
      </w:pPr>
      <w:r>
        <w:t>506.</w:t>
      </w:r>
      <w:r>
        <w:tab/>
        <w:t>В ходе девятого планового периода (1999–2002 годы) была принята новая программа под названием "Медико-санитарное обслуживание удаленных и маргинализированных племенных общин и общин кочевых народов", и Индийский совет по медицинским исследованиям приступил к осуществлению четырех проектов.</w:t>
      </w:r>
    </w:p>
    <w:p w:rsidR="00000000" w:rsidRDefault="00000000">
      <w:pPr>
        <w:pStyle w:val="112"/>
      </w:pPr>
      <w:r>
        <w:t>507.</w:t>
      </w:r>
      <w:r>
        <w:tab/>
        <w:t>Под эгидой ДСОЗ функционирует отдел по оказанию экстренной медицинской помощи, отвечающий за координацию и предоставление материальной и логистической поддержки штатам для ликвидации последствий стихийных бедствий в секторе здравоохранения.  В стране действуют шесть централизованных медицинских хранилищ, которые поддерживаются в состоянии готовности для того, чтобы предоставлять основные лекарства и другие медицинские средства штатам по мере необходимости и там, где в них существует потребность.  В рамках экспериментального проекта центральное правительство оказывает  финансовую поддержку в деле модернизации и укрепления центров по оказанию экстренной помощи в государственных больницах в населенных центрах/городах на национальных автомагистралях, которые находятся в наиболее подверженных несчастным случаям районах.</w:t>
      </w:r>
    </w:p>
    <w:p w:rsidR="00000000" w:rsidRDefault="00000000">
      <w:pPr>
        <w:pStyle w:val="112"/>
      </w:pPr>
      <w:r>
        <w:t>508.</w:t>
      </w:r>
      <w:r>
        <w:tab/>
        <w:t xml:space="preserve">Все больницы, даже те, которые предоставляют вторичное или третичное  медико-санитарное обслуживание, оказывают и первичные медико-санитарные услуги сельскому и городскому населению.  Более трех четвертей всех поставщиков медицинских услуг трудятся в частном секторе, и большинство из них удовлетворяет потребности населения в первичных медико-санитарных услугах.  Услуги здравоохранения частного сектора включают в себя как услуги, предоставляемые крупными корпоративными больницами и более мелкими больницами/частными лечебницами,  так и услуги клиник/амбулаторий, которыми руководят квалифицированные специалисты, и услуги неквалифицированных поставщиков.  На частный сектор приходятся 82% всех посещений больных на дому и 52% всех госпитализаций на уровне всей Индии без значительных расхождений между группами с разными уровнями доходов.  По оценкам, помимо исключительно частных поставщиков услуг, в деятельности, связанной со здравоохранением, в частности в таких сферах, как благополучие семей и профилактика таких болезней, как проказа, участвуют более 7000 добровольных </w:t>
      </w:r>
      <w:r>
        <w:br/>
        <w:t>учреждений.</w:t>
      </w:r>
    </w:p>
    <w:p w:rsidR="00000000" w:rsidRDefault="00000000">
      <w:pPr>
        <w:jc w:val="both"/>
        <w:rPr>
          <w:b/>
          <w:sz w:val="24"/>
        </w:rPr>
      </w:pPr>
    </w:p>
    <w:p w:rsidR="00000000" w:rsidRDefault="00000000">
      <w:pPr>
        <w:jc w:val="both"/>
        <w:rPr>
          <w:b/>
          <w:sz w:val="22"/>
          <w:szCs w:val="22"/>
        </w:rPr>
      </w:pPr>
      <w:r>
        <w:rPr>
          <w:b/>
          <w:sz w:val="22"/>
          <w:szCs w:val="22"/>
        </w:rPr>
        <w:t>Вспомогательная система</w:t>
      </w:r>
    </w:p>
    <w:p w:rsidR="00000000" w:rsidRDefault="00000000">
      <w:pPr>
        <w:jc w:val="both"/>
        <w:rPr>
          <w:sz w:val="24"/>
        </w:rPr>
      </w:pPr>
    </w:p>
    <w:p w:rsidR="00000000" w:rsidRDefault="00000000">
      <w:pPr>
        <w:jc w:val="both"/>
        <w:rPr>
          <w:rStyle w:val="111"/>
        </w:rPr>
      </w:pPr>
      <w:r>
        <w:rPr>
          <w:rStyle w:val="111"/>
        </w:rPr>
        <w:t>509.</w:t>
      </w:r>
      <w:r>
        <w:rPr>
          <w:rStyle w:val="111"/>
        </w:rPr>
        <w:tab/>
        <w:t xml:space="preserve">В настоящий момент Индия переживает переходный период в демографической сфере и образе жизни, приводящий ко все большему распространению неинфекционных заболеваний и связанных с образом жизни проблем, для которых не существует эффективных лекарств в современной медицине.  Было признано, что индийская система медицины и гомеопатии, которая включает в себя </w:t>
      </w:r>
      <w:r>
        <w:rPr>
          <w:i/>
          <w:sz w:val="22"/>
        </w:rPr>
        <w:t>аюрведу, сиддху, унани</w:t>
      </w:r>
      <w:r>
        <w:rPr>
          <w:rStyle w:val="111"/>
        </w:rPr>
        <w:t>, гомеопатию и такие терапевтические методы, как йога и натуропатия, может сыграть важную роль в профилактике и борьбе с подобными расстройствами.  Более того, они обеспечивают дешевую и эффективную вспомогательную систему ухода за больными, наряду с системой современной медицины.</w:t>
      </w:r>
    </w:p>
    <w:p w:rsidR="00000000" w:rsidRDefault="00000000">
      <w:pPr>
        <w:pStyle w:val="112"/>
      </w:pPr>
      <w:r>
        <w:t>510.</w:t>
      </w:r>
      <w:r>
        <w:tab/>
        <w:t>Для того чтобы всесторонне учитывать эту проблематику и уделять целенаправленное внимание этому направлению развития, в 1995 году был создан отдельный департамент индийской системы медицины и гомеопатии (ИСМГ) в рамках Министерства здравоохранения и благосостояния семьи.  Под эгидой этого департамента была создана обширная инфраструктура, включающая в себя 3845 больниц, 65 159 койко-мест и 23 630 амбулаторий.  Существуют около 0,69 миллиона зарегистрированных поставщиков этих медицинских услуг.  В некоторых штатах, таких как Западная Бенгалия и Гуджарат, в ЦПМСО в некоторых удаленных и племенных районах работают только специалисты, практикующие ИСМГ. В Керале специалисты по ИСМГ обеспечивают в ЦПМСО вспомогательную систему медицинского обслуживания.</w:t>
      </w:r>
    </w:p>
    <w:p w:rsidR="00000000" w:rsidRDefault="00000000">
      <w:pPr>
        <w:jc w:val="both"/>
        <w:rPr>
          <w:b/>
          <w:sz w:val="24"/>
        </w:rPr>
      </w:pPr>
    </w:p>
    <w:p w:rsidR="00000000" w:rsidRDefault="00000000">
      <w:pPr>
        <w:jc w:val="both"/>
        <w:rPr>
          <w:b/>
          <w:sz w:val="22"/>
          <w:szCs w:val="22"/>
        </w:rPr>
      </w:pPr>
      <w:r>
        <w:rPr>
          <w:b/>
          <w:sz w:val="22"/>
          <w:szCs w:val="22"/>
        </w:rPr>
        <w:t>Медицинское образование и медицинские исследования</w:t>
      </w:r>
    </w:p>
    <w:p w:rsidR="00000000" w:rsidRDefault="00000000">
      <w:pPr>
        <w:jc w:val="both"/>
        <w:rPr>
          <w:sz w:val="24"/>
        </w:rPr>
      </w:pPr>
    </w:p>
    <w:p w:rsidR="00000000" w:rsidRDefault="00000000">
      <w:pPr>
        <w:jc w:val="both"/>
        <w:rPr>
          <w:sz w:val="22"/>
        </w:rPr>
      </w:pPr>
      <w:r>
        <w:rPr>
          <w:sz w:val="22"/>
        </w:rPr>
        <w:t>511.</w:t>
      </w:r>
      <w:r>
        <w:rPr>
          <w:sz w:val="22"/>
        </w:rPr>
        <w:tab/>
        <w:t>Правительство создало различные учреждения и органы для обеспечения медицинского и фармацевтического образования и обучения среднего медицинского персонала, а также проведения медицинских исследований, чтобы обеспечить сектору здравоохранения достаточные кадровые ресурсы.</w:t>
      </w:r>
    </w:p>
    <w:p w:rsidR="00000000" w:rsidRDefault="00000000">
      <w:pPr>
        <w:pStyle w:val="112"/>
        <w:rPr>
          <w:rStyle w:val="111"/>
        </w:rPr>
      </w:pPr>
      <w:r>
        <w:rPr>
          <w:rStyle w:val="111"/>
        </w:rPr>
        <w:t>512.</w:t>
      </w:r>
      <w:r>
        <w:rPr>
          <w:rStyle w:val="111"/>
        </w:rPr>
        <w:tab/>
        <w:t>Согласно законодательным актам парламента Медицинский совет Индии (представляющий систему современной медицины), Совет стоматологов Индии, по одному центральному совету для каждой индийской медицинской системы (</w:t>
      </w:r>
      <w:r>
        <w:rPr>
          <w:i/>
        </w:rPr>
        <w:t>аюрведа, сиддха и уннаи</w:t>
      </w:r>
      <w:r>
        <w:rPr>
          <w:rStyle w:val="111"/>
        </w:rPr>
        <w:t xml:space="preserve">) и центральный совет по вопросам гомеопатии были учреждены в качестве статутных органов, в обязанности которых входит утверждение учебных курсов и учебной программы для поддержания стандартов медицинского образования, а также ведение реестра квалифицированных поставщиков медицинских услуг и регулирование их деятельности.  После 1993 года была принята поправка к этим актам, согласно которой для создания нового медицинского учебного заведения, увеличения числа учащихся медицинского учебного заведения и введения новых учебных курсов необходимо получить санкцию </w:t>
      </w:r>
      <w:r>
        <w:rPr>
          <w:rStyle w:val="111"/>
          <w:caps/>
        </w:rPr>
        <w:t>м</w:t>
      </w:r>
      <w:r>
        <w:rPr>
          <w:rStyle w:val="111"/>
        </w:rPr>
        <w:t>инистерства здравоохранения и благосостояния семьи; это сделано в целях регулирования стандартов медицинского образования в стране.  Кроме того, законодательными актами парламента были учреждены и наделены такими же полномочиями в отношении фармацевтики и среднего медицинского персонала, акушерок, вспомогательных медсестер-акушерок и патронажных сестер Индийский фармацевтический совет и Индийский совет по делам среднего медицинского персонала.</w:t>
      </w:r>
    </w:p>
    <w:p w:rsidR="00000000" w:rsidRDefault="00000000">
      <w:pPr>
        <w:pStyle w:val="112"/>
      </w:pPr>
      <w:r>
        <w:t>513.</w:t>
      </w:r>
      <w:r>
        <w:tab/>
        <w:t>В 1961 году для поощрения развития медицинских наук была учреждена Национальная академия медицинских наук.  С 1982 года Академия вместе с Национальной экзаменационной комиссией, профессиональными органами и ассоциациями осуществляет программу непрерывного медицинского образования (НМО) для того, чтобы позволить профессиональным врачам идти в ногу со временем, узнавать о новых проблемах и обновлять свои знания в соответствующих сферах для предоставления требуемых медико-санитарных услуг.  Центральное управление по вопросам медицинского образования, действующее в рамках Генерального директората услуг в области здравоохранения, также занимается поощрением здорового образа жизни и образовательной деятельностью в области здравоохранения в стране при помощи программ в области здравоохранения и планирования семьи.</w:t>
      </w:r>
    </w:p>
    <w:p w:rsidR="00000000" w:rsidRDefault="00000000">
      <w:pPr>
        <w:pStyle w:val="112"/>
      </w:pPr>
      <w:r>
        <w:t>514.</w:t>
      </w:r>
      <w:r>
        <w:tab/>
        <w:t>Индийский совет медицинских исследований (ИСМИ) занимается вопросами медицинских исследований.  Кроме того, он проводит исследования через различные учреждения и центры, а также путем предоставления стипендий.  ИСМИ стремится увеличить потенциал коренного населения и создать широкую и сбалансированную базу исследовательского персонала и центров, которая позволила бы решать проблемы здравоохранения в настоящем и в будущем.  Его приоритеты совпадают с национальными приоритетами в области здравоохранения, очерченными в различных программах и планах.  Что касается фундаментальных исследований, то были созданы четыре головных  совета для того, чтобы инициировать, оказывать поддержку, руководить, разрабатывать и координировать научные исследования в различных сферах Индийской системы медицины и гомеопатии, финансируемые правительством.  В рамках национальной политики в области здравоохранения 2002 года было предложено увеличить бюджет финансируемых государством исследований до 1% от всех расходов на здравоохранение к 2005 году и до 2% к 2010 году.</w:t>
      </w:r>
    </w:p>
    <w:p w:rsidR="00000000" w:rsidRDefault="00000000">
      <w:pPr>
        <w:jc w:val="both"/>
        <w:rPr>
          <w:b/>
          <w:sz w:val="24"/>
        </w:rPr>
      </w:pPr>
    </w:p>
    <w:p w:rsidR="00000000" w:rsidRDefault="00000000">
      <w:pPr>
        <w:jc w:val="both"/>
        <w:rPr>
          <w:b/>
          <w:sz w:val="22"/>
          <w:szCs w:val="22"/>
        </w:rPr>
      </w:pPr>
      <w:r>
        <w:rPr>
          <w:b/>
          <w:sz w:val="22"/>
          <w:szCs w:val="22"/>
        </w:rPr>
        <w:t xml:space="preserve">Производство лекарств </w:t>
      </w:r>
    </w:p>
    <w:p w:rsidR="00000000" w:rsidRDefault="00000000">
      <w:pPr>
        <w:pStyle w:val="112"/>
      </w:pPr>
      <w:r>
        <w:t>515.</w:t>
      </w:r>
      <w:r>
        <w:tab/>
        <w:t>Индия располагает многочисленным корпусом технически квалифицированных кадров и широкой исследовательской инфраструктурой как в государственном, так и в частном секторе. Фармацевтическая промышленность Индии, насчитывающая примерно 9 000 предприятий, производит значительное количество различных лекарств при очень низких затратах, используя коммерчески рентабельные химические процессы производства.  Кроме того, индийская фармацевтическая промышленность добилась значительного прогресса в разработке и производстве лекарственных средств на основе  метода рекомбинантной ДНК (биотехнологическая продукция).  По оценкам, индийский фармацевтический сектор является 4-м по величине производителем лекарственных и косметических средств в мире и запрещает импорт, производство или продажу не соответствующих стандартам, фальшивых, контрафактных или неправильно  маркированных лекарственных средств.  За последние годы в нормы его деятельности было внесено несколько важных изменений.  Требования в отношении использования передовой производственной практики ("Схема-М") были ужесточены в соответствии с международными нормами.  Были опубликованы нормы по проведению в стране клинических испытаний в рамках исследований по разработке лекарственных средств.  Были введены новые требования относительно регистрации всех импортируемых лекарственных средств и их зарубежных производителей.  Правительство создало независимую Индийскую комиссию по фармакопее, в задачи которой входят обеспечение своевременного опубликования справочных материалов по индийской фармакопее и подготовка стандартов для мониторинга качества лекарственных средств.  Центральная организация по контролю за соответствием лекарственных средств стандартам (ЦОКСЛСС) контролирует импорт лекарственных средств и введение новых лекарств в стране.  Кроме того, ЦОКСЛСС действует как центральная комиссия по лицензированию различных категорий лекарственных средств.  Правительства штатов приводят в исполнение положения, касающиеся производства и продажи лекарственных средств, а также мониторинга их качества, через соответствующие организации по контролю за  лекарственными средствами.  В целях проверки качества лекарственных средств в стране действуют различные контрольные лаборатории и лаборатории штатов, занимающиеся экспертизой лекарственных средств.  Согласно Закону о лекарственных и косметических средствах 1940 года Центральная лаборатория по лекарственным средствам (ЦЛЛС) в Колкате является апелляционным органом и проверяет образцы, поступающие в нее из судов.</w:t>
      </w:r>
    </w:p>
    <w:p w:rsidR="00000000" w:rsidRDefault="00000000">
      <w:pPr>
        <w:pStyle w:val="112"/>
      </w:pPr>
      <w:r>
        <w:t>516.</w:t>
      </w:r>
      <w:r>
        <w:tab/>
        <w:t>Для накопления достаточного объема научных данных о безопасности лекарственных средств, продаваемых в стране, правительство недавно начало Национальную программу фармацевтической бдительности, в которой участвует большое число центров мониторинга в различных медицинских учебных заведениях страны.</w:t>
      </w:r>
    </w:p>
    <w:p w:rsidR="00000000" w:rsidRDefault="00000000">
      <w:pPr>
        <w:jc w:val="both"/>
        <w:rPr>
          <w:rStyle w:val="111"/>
          <w:szCs w:val="22"/>
          <w:lang w:val="en-US"/>
        </w:rPr>
      </w:pPr>
    </w:p>
    <w:p w:rsidR="00000000" w:rsidRDefault="00000000">
      <w:pPr>
        <w:jc w:val="both"/>
        <w:rPr>
          <w:rStyle w:val="111"/>
          <w:szCs w:val="22"/>
        </w:rPr>
      </w:pPr>
      <w:r>
        <w:rPr>
          <w:rStyle w:val="111"/>
          <w:szCs w:val="22"/>
        </w:rPr>
        <w:t>517.</w:t>
      </w:r>
      <w:r>
        <w:rPr>
          <w:rStyle w:val="111"/>
          <w:szCs w:val="22"/>
        </w:rPr>
        <w:tab/>
        <w:t xml:space="preserve">Правительство учредило отдельные </w:t>
      </w:r>
      <w:r>
        <w:rPr>
          <w:i/>
          <w:iCs/>
          <w:sz w:val="22"/>
          <w:szCs w:val="22"/>
        </w:rPr>
        <w:t>комитеты по фармакопии</w:t>
      </w:r>
      <w:r>
        <w:rPr>
          <w:rStyle w:val="111"/>
          <w:szCs w:val="22"/>
        </w:rPr>
        <w:t xml:space="preserve"> для каждой составляющей ИСМГ в целях разработки стандартов лекарственных средств, а также учредило лаборатории по фармакопии, в обязанности которых входит оказание технической поддержки этим комитетам  посредством проверок и составлений формул лекарственных средств.  Согласно Закону о лекарственных и косметических средствах 1940 года были созданы отдельные технические консультативные комитеты по лекарственным средствам для систем современной и индийской медицины, в задачи которых входит консультирование центрального правительства и правительств штатов по техническим вопросам.</w:t>
      </w:r>
    </w:p>
    <w:p w:rsidR="00000000" w:rsidRDefault="00000000">
      <w:pPr>
        <w:pStyle w:val="112"/>
      </w:pPr>
      <w:r>
        <w:t>518.</w:t>
      </w:r>
      <w:r>
        <w:tab/>
        <w:t xml:space="preserve">Отечественное производство всех вакцин, за исключением пероральной противополиомиелитной вакцины, является достаточным для выполнения требований программы вакцинации страны.  Для оценки и мониторинга состояния производства вакцин в 1976 году была создана комиссия по вопросам производства вакцин, которая в 2000 году была реформирована.  Контроль за качеством вакцин осуществляется на основании Закона о лекарственных и косметических средствах 1945 года. Национальная контрольная лаборатория должна признать отвечающими стандартам три взятые последовательно пробы каждой вакцины перед тем, как она будет допущена к употреблению.  </w:t>
      </w:r>
    </w:p>
    <w:p w:rsidR="00000000" w:rsidRDefault="00000000">
      <w:pPr>
        <w:pStyle w:val="112"/>
      </w:pPr>
      <w:r>
        <w:t>519.</w:t>
      </w:r>
      <w:r>
        <w:tab/>
        <w:t>Правительство учредило Национальный совет по лекарственным растениям для регулирования  сектора лекарственных растений и координации связанной с ним видов деятельности, таких как сохранение, культивирование, контроль качества, стандартизация и т. д. лекарственных растений, необходимых для производства лекарственных средств, применяемых в ИСМГ.  Кроме того, с 2000 года правительство сделало обязательным сертификат об использовании передовой практики производства лекарственных средств, применяемых в ИСМГ.  Этот сертификат гарантирует, что при производстве этих лекарственных средств используются подлинные и не содержащие никаких примесей ингредиенты, осуществляет контроль качества, что качество производимых лекарственных средств отвечает стандартам, а процессы их производства будут документированы для последующих справок и проверок.  В рамках разработанной в 2001 году национальной политики в области лекарственных средств были рассмотрены несколько случаев попадания на рынок некачественных лекарственных средств и предложены меры по исправлению ситуации.</w:t>
      </w:r>
    </w:p>
    <w:p w:rsidR="00000000" w:rsidRDefault="00000000">
      <w:pPr>
        <w:pStyle w:val="112"/>
      </w:pPr>
      <w:r>
        <w:t>520.</w:t>
      </w:r>
      <w:r>
        <w:tab/>
        <w:t xml:space="preserve">В целях ускорения роста фармацевтической отрасли с 2003 года объем прямых иностранных инвестиций (ПИИ) в ее предприятия может достигать 100% (за исключением тех случаев, когда необходимо обязательное лицензирование согласно Закону о патентах или речь идет о производстве с использованием метода рекомбинантной ДНК или технологий приготовления лекарственных средств на основе конкретных тканей/клеток).  В Закон о патентах 1970 года дважды вносились поправки – в первый раз в 1999, во второй раз в 2002 году; на рассмотрении находится третий пакет поправок, с 2005 года приводящий законодательство, касающееся патентов на пищевые продукты и лекарственные средства, в соответствие с режимом ВТО-ТАПИС.  В то же время в законодательство были внесены поправки, обеспечивающие достаточные защитные механизмы, чтобы позволить стране справляться с экстренными ситуациями в сфере здравоохранения или с другими ситуациями, угрожающими национальной безопасности, посредством расширения сферы обязательного лицензирования.  Страна активно выполняет условия режима ТАПИС в сфере здравоохранения в развивающихся странах, принимая участие в различных многосторонних форумах и конференциях ВТО на уровне министров.  Декларация о здравоохранении, принятая в Дохе, и последующие решения, принятые на встрече совета ВТО в августе 2003 года в Женеве, создают благоприятную ситуацию, позволяя развивающимся странам производить соответствующую продукцию и для своего использования, и – в некоторых случаях – для экспорта.  </w:t>
      </w:r>
    </w:p>
    <w:p w:rsidR="00000000" w:rsidRDefault="00000000">
      <w:pPr>
        <w:jc w:val="both"/>
        <w:rPr>
          <w:b/>
          <w:sz w:val="22"/>
          <w:szCs w:val="22"/>
        </w:rPr>
      </w:pPr>
    </w:p>
    <w:p w:rsidR="00000000" w:rsidRDefault="00000000">
      <w:pPr>
        <w:keepNext/>
        <w:jc w:val="both"/>
        <w:rPr>
          <w:b/>
          <w:sz w:val="22"/>
          <w:szCs w:val="22"/>
        </w:rPr>
      </w:pPr>
      <w:r>
        <w:rPr>
          <w:b/>
          <w:sz w:val="22"/>
          <w:szCs w:val="22"/>
        </w:rPr>
        <w:t>Охрана окружающей среды</w:t>
      </w:r>
    </w:p>
    <w:p w:rsidR="00000000" w:rsidRDefault="00000000">
      <w:pPr>
        <w:keepNext/>
        <w:jc w:val="both"/>
        <w:rPr>
          <w:sz w:val="22"/>
          <w:szCs w:val="22"/>
        </w:rPr>
      </w:pPr>
    </w:p>
    <w:p w:rsidR="00000000" w:rsidRDefault="00000000">
      <w:pPr>
        <w:keepNext/>
        <w:jc w:val="both"/>
        <w:rPr>
          <w:sz w:val="22"/>
          <w:szCs w:val="22"/>
        </w:rPr>
      </w:pPr>
      <w:r>
        <w:rPr>
          <w:sz w:val="22"/>
          <w:szCs w:val="22"/>
        </w:rPr>
        <w:t>521.</w:t>
      </w:r>
      <w:r>
        <w:rPr>
          <w:sz w:val="22"/>
          <w:szCs w:val="22"/>
        </w:rPr>
        <w:tab/>
        <w:t xml:space="preserve">Страна принимает различные меры, не ограничивающиеся законодательными, нормативными и стратегическими инициативами, для охраны и защиты окружающей среды и для обеспечения здоровых и гигиеничных условий для жизни.  Статья 42 Конституции Индии возлагает на правительства штатов конкретную ответственность за охрану и улучшение состояния окружающей среды и охрану флоры и фауны страны.  Далее, в 7-м перечне различные  законодательные акты классифицируются как входящие в сферу компетенции центрального правительства, правительств штатов или в сферу совместной компетенции.  Закон о профилактике и борьбе с загрязнением водных ресурсов 1974 года, Закон о профилактике и борьбе с загрязнением водных ресурсов 1981 года, Закон об индийских лесах 1927 года, Закон об охране индийских лесов 1980 года, Закон об охране окружающей среды 1986 года, Закон об охране животного мира 1972 года, Закон о страховании публичной ответственности 1991 года, Закон об торговом судоходстве 1958 года, Закон об инсектицидах 1968 года, Правила обработки и удаления биомедицинских отходов согласно закону 1998 года, Закон об охране и борьбе с загрязнением воздуха 1954 года, Закон о фабриках 1948 года, Закон о предотвращении подделки продуктов питания 1954 года – вот несколько из действующих законов, целью которых является защита и охрана окружающей среды.  Приведенные выше законы, касающиеся окружающей среды, и их осуществление не только оказывают непосредственное воздействие на охрану окружающей среды в интересах людей, но и способствуют улучшению обычаев, культуры, привычек и т. п., особенно связанных с окружающей средой.  В 1974 году под эгидой </w:t>
      </w:r>
      <w:r>
        <w:rPr>
          <w:caps/>
          <w:sz w:val="22"/>
          <w:szCs w:val="22"/>
        </w:rPr>
        <w:t>м</w:t>
      </w:r>
      <w:r>
        <w:rPr>
          <w:sz w:val="22"/>
          <w:szCs w:val="22"/>
        </w:rPr>
        <w:t>инистерства охраны окружающей среды и лесов был создан независимый Центральный совет по вопросам загрязнения окружающей среды, в обязанности которого входит предотвращение загрязнения воздуха, воды и земли, а также консультирование центрального  правительства по этим вопросам.  Он занимается координацией деятельности советов и комитетов по борьбе с загрязнением окружающей среды, существующих в штатах.</w:t>
      </w:r>
    </w:p>
    <w:p w:rsidR="00000000" w:rsidRDefault="00000000">
      <w:pPr>
        <w:pStyle w:val="112"/>
        <w:rPr>
          <w:rStyle w:val="111"/>
          <w:szCs w:val="22"/>
        </w:rPr>
      </w:pPr>
      <w:r>
        <w:rPr>
          <w:rStyle w:val="111"/>
          <w:szCs w:val="22"/>
        </w:rPr>
        <w:t>522.</w:t>
      </w:r>
      <w:r>
        <w:rPr>
          <w:rStyle w:val="111"/>
          <w:szCs w:val="22"/>
        </w:rPr>
        <w:tab/>
        <w:t>Министерство наземного транспорта также разработало национальную политику по автомобильному топливу в целях борьбы с загрязнением воздуха и установило нормы выброса вредных веществ для различных условий (</w:t>
      </w:r>
      <w:r>
        <w:rPr>
          <w:i/>
          <w:iCs/>
        </w:rPr>
        <w:t>Бхарат I, Бхарат II</w:t>
      </w:r>
      <w:r>
        <w:rPr>
          <w:rStyle w:val="111"/>
          <w:szCs w:val="22"/>
        </w:rPr>
        <w:t>) на основании норм выброса, действующих в Европе.  В соответствии с решениями, принятыми Верховным судом по ряду дел, с ноября 2002 года на территории национальной столицы Дели в качестве топлива для общественного транспорта используется сжатый природный газ.  Этот режим был также введен в городах Мумбаи, Барода и Сурат и постепенно будет распространяться и на другие города, в которых высок уровень загрязнения.</w:t>
      </w:r>
    </w:p>
    <w:p w:rsidR="00000000" w:rsidRDefault="00000000">
      <w:pPr>
        <w:pStyle w:val="112"/>
      </w:pPr>
      <w:r>
        <w:t>523.</w:t>
      </w:r>
      <w:r>
        <w:tab/>
        <w:t xml:space="preserve">В соответствии с Законом об охране окружающей среды 1986 года были выпущены разнообразные предписания, охватывающие различные области.  Правила относительно регулирования и контроля шумового загрязнения 2000 года, Правила обработки и удаления опасных отходов 1989 года, Правила производства, хранения и импорта опасных химических материалов </w:t>
      </w:r>
      <w:r>
        <w:br/>
        <w:t>1989 года, Правила производства, использования, импорта, экспорта и хранения опасных микроорганизмов/генетически модифицированных микроорганизмов или клеток 1989 года, Правила, касающиеся биомедицинских отходов, 1998 года, Правила  обработки и удаления твердых коммунально-бытовых отходов  2000 года, – все они содержат руководящие принципы и обеспечивают безопасность использования и удаления различных опасных веществ.  В 1998 году под эгидой департамента здравоохранения был создан Национальный комитет по удалению больничных отходов и разработаны соответствующие руководящие принципы, которые были доведены до штатов и союзных территорий.  Предотвращение распространения инфекций в больницах и удаление больничных отходов являются составной частью проектов для системы вторичной медико-санитарной помощи, осуществляемых в штатах при поддержке Всемирного банка.  Существуют планы по работе с речной водой, предназначенные для борьбы с загрязнением рек и озер.</w:t>
      </w:r>
    </w:p>
    <w:p w:rsidR="00000000" w:rsidRDefault="00000000">
      <w:pPr>
        <w:pStyle w:val="112"/>
      </w:pPr>
      <w:r>
        <w:t>524.</w:t>
      </w:r>
      <w:r>
        <w:tab/>
        <w:t xml:space="preserve">Особое внимание в национальной политике в области здравоохранения 2002 года уделялось охране окружающей среды и гигиене труда.  Эта политика поощряет выполнение связанных программ в секторе здравоохранения в той мере, в которой они дополняются соответствующей политикой и программами в других секторах, касающихся окружающей среды. </w:t>
      </w:r>
    </w:p>
    <w:p w:rsidR="00000000" w:rsidRDefault="00000000">
      <w:pPr>
        <w:jc w:val="both"/>
        <w:rPr>
          <w:sz w:val="22"/>
          <w:szCs w:val="22"/>
          <w:lang w:val="en-US"/>
        </w:rPr>
      </w:pPr>
    </w:p>
    <w:p w:rsidR="00000000" w:rsidRDefault="00000000">
      <w:pPr>
        <w:jc w:val="both"/>
        <w:rPr>
          <w:sz w:val="22"/>
          <w:szCs w:val="22"/>
        </w:rPr>
      </w:pPr>
      <w:r>
        <w:rPr>
          <w:sz w:val="22"/>
          <w:szCs w:val="22"/>
        </w:rPr>
        <w:t>Кроме того, были приняты различные законодательные меры для борьбы с профессиональными заболеваниями:</w:t>
      </w:r>
    </w:p>
    <w:p w:rsidR="00000000" w:rsidRDefault="00000000">
      <w:pPr>
        <w:pStyle w:val="112"/>
        <w:spacing w:before="0"/>
        <w:rPr>
          <w:lang w:val="en-US"/>
        </w:rPr>
      </w:pPr>
    </w:p>
    <w:p w:rsidR="00000000" w:rsidRDefault="00000000">
      <w:pPr>
        <w:pStyle w:val="112"/>
        <w:spacing w:before="0"/>
      </w:pPr>
      <w:r>
        <w:t>1.</w:t>
      </w:r>
      <w:r>
        <w:tab/>
        <w:t>Закон о фабриках 1948 года;</w:t>
      </w:r>
    </w:p>
    <w:p w:rsidR="00000000" w:rsidRDefault="00000000">
      <w:pPr>
        <w:pStyle w:val="112"/>
        <w:spacing w:before="0"/>
      </w:pPr>
      <w:r>
        <w:t>2.</w:t>
      </w:r>
      <w:r>
        <w:tab/>
        <w:t>Закон об индийских шахтах 1923 года;</w:t>
      </w:r>
    </w:p>
    <w:p w:rsidR="00000000" w:rsidRDefault="00000000">
      <w:pPr>
        <w:pStyle w:val="112"/>
        <w:spacing w:before="0"/>
      </w:pPr>
      <w:r>
        <w:t xml:space="preserve">3. </w:t>
      </w:r>
      <w:r>
        <w:tab/>
        <w:t>Закон о государственном страховании персонала 1948 года.</w:t>
      </w:r>
    </w:p>
    <w:p w:rsidR="00000000" w:rsidRDefault="00000000">
      <w:pPr>
        <w:pStyle w:val="112"/>
      </w:pPr>
      <w:r>
        <w:t>525.</w:t>
      </w:r>
      <w:r>
        <w:tab/>
        <w:t>В Индии проблемой гигиены труда занимаются также следующие исследовательские институты:</w:t>
      </w:r>
    </w:p>
    <w:p w:rsidR="00000000" w:rsidRDefault="00000000">
      <w:pPr>
        <w:ind w:left="709" w:hanging="709"/>
        <w:jc w:val="both"/>
        <w:rPr>
          <w:sz w:val="22"/>
          <w:szCs w:val="22"/>
          <w:lang w:val="en-US"/>
        </w:rPr>
      </w:pPr>
    </w:p>
    <w:p w:rsidR="00000000" w:rsidRDefault="00000000">
      <w:pPr>
        <w:ind w:left="709" w:hanging="709"/>
        <w:jc w:val="both"/>
        <w:rPr>
          <w:sz w:val="22"/>
          <w:szCs w:val="22"/>
        </w:rPr>
      </w:pPr>
      <w:r>
        <w:rPr>
          <w:sz w:val="22"/>
          <w:szCs w:val="22"/>
        </w:rPr>
        <w:t>1.</w:t>
      </w:r>
      <w:r>
        <w:rPr>
          <w:sz w:val="22"/>
          <w:szCs w:val="22"/>
        </w:rPr>
        <w:tab/>
        <w:t>Центральный институт горного дела и исследований при Совете по научным и социальным исследованиям (СНСИ);</w:t>
      </w:r>
    </w:p>
    <w:p w:rsidR="00000000" w:rsidRDefault="00000000">
      <w:pPr>
        <w:jc w:val="both"/>
        <w:rPr>
          <w:sz w:val="22"/>
          <w:szCs w:val="22"/>
        </w:rPr>
      </w:pPr>
      <w:r>
        <w:rPr>
          <w:sz w:val="22"/>
          <w:szCs w:val="22"/>
        </w:rPr>
        <w:t>2.</w:t>
      </w:r>
      <w:r>
        <w:rPr>
          <w:sz w:val="22"/>
          <w:szCs w:val="22"/>
        </w:rPr>
        <w:tab/>
        <w:t>Промышленный центр токсикологических исследований, Лакнау;</w:t>
      </w:r>
    </w:p>
    <w:p w:rsidR="00000000" w:rsidRDefault="00000000">
      <w:pPr>
        <w:jc w:val="both"/>
        <w:rPr>
          <w:sz w:val="22"/>
          <w:szCs w:val="22"/>
        </w:rPr>
      </w:pPr>
      <w:r>
        <w:rPr>
          <w:sz w:val="22"/>
          <w:szCs w:val="22"/>
        </w:rPr>
        <w:t>3.</w:t>
      </w:r>
      <w:r>
        <w:rPr>
          <w:sz w:val="22"/>
          <w:szCs w:val="22"/>
        </w:rPr>
        <w:tab/>
        <w:t>Национальный институт техники и оборудования для охраны окружающей среды, Нагпур;</w:t>
      </w:r>
    </w:p>
    <w:p w:rsidR="00000000" w:rsidRDefault="00000000">
      <w:pPr>
        <w:jc w:val="both"/>
        <w:rPr>
          <w:sz w:val="22"/>
          <w:szCs w:val="22"/>
        </w:rPr>
      </w:pPr>
      <w:r>
        <w:rPr>
          <w:sz w:val="22"/>
          <w:szCs w:val="22"/>
        </w:rPr>
        <w:t>4.</w:t>
      </w:r>
      <w:r>
        <w:rPr>
          <w:sz w:val="22"/>
          <w:szCs w:val="22"/>
        </w:rPr>
        <w:tab/>
        <w:t>Всеиндийский институт гигиены и здравоохранения, Калькутта;</w:t>
      </w:r>
    </w:p>
    <w:p w:rsidR="00000000" w:rsidRDefault="00000000">
      <w:pPr>
        <w:jc w:val="both"/>
        <w:rPr>
          <w:sz w:val="22"/>
          <w:szCs w:val="22"/>
        </w:rPr>
      </w:pPr>
      <w:r>
        <w:rPr>
          <w:sz w:val="22"/>
          <w:szCs w:val="22"/>
        </w:rPr>
        <w:t>5.</w:t>
      </w:r>
      <w:r>
        <w:rPr>
          <w:sz w:val="22"/>
          <w:szCs w:val="22"/>
        </w:rPr>
        <w:tab/>
        <w:t>Индийский технологический институт, Канпур.</w:t>
      </w:r>
    </w:p>
    <w:p w:rsidR="00000000" w:rsidRDefault="00000000">
      <w:pPr>
        <w:pStyle w:val="112"/>
      </w:pPr>
      <w:r>
        <w:t>526.</w:t>
      </w:r>
      <w:r>
        <w:tab/>
        <w:t xml:space="preserve">Проведение экологической экспертизы (ЭЭ), введенной в Индии в 1978–79 годах для проекта работ в долинах рек, с 1986 года сделано Законом об охране окружающей среды обязательным для более чем 30 категорий деятельности в области развития в промышленном секторе, секторах теплоэнергетики, ядерной энергетики, горного дела, инфраструктуры, туризма и коммуникаций.  В 1997 году в предписание об ЭЭ были внесены поправки, делающие открытые слушания частью процедуры экспертизы.  Кроме того, в 1994 году правительство разработало программу охраны окружающей среды в целях углубления ЭЭ различных проектов при помощи организованной системы  учета природных ресурсов и статистики окружающей среды.  Помимо этого, в 1991 году была инициирована программа "Экомарка", имеющая своей целью поощрение покупки клиентами продуктов, оказывающих менее вредное влияние на окружающую среду. </w:t>
      </w:r>
    </w:p>
    <w:p w:rsidR="00000000" w:rsidRDefault="00000000">
      <w:pPr>
        <w:pStyle w:val="112"/>
        <w:rPr>
          <w:rStyle w:val="111"/>
          <w:szCs w:val="22"/>
        </w:rPr>
      </w:pPr>
      <w:r>
        <w:rPr>
          <w:rStyle w:val="111"/>
          <w:szCs w:val="22"/>
        </w:rPr>
        <w:t>527.</w:t>
      </w:r>
      <w:r>
        <w:rPr>
          <w:rStyle w:val="111"/>
          <w:szCs w:val="22"/>
        </w:rPr>
        <w:tab/>
        <w:t xml:space="preserve">Суды принимают активное участие в расширении правовой практики, касающейся окружающей среды, поощряя лиц, движимых заботой об интересах общества, и форумы потребителей обращаться к закону посредством </w:t>
      </w:r>
      <w:r>
        <w:rPr>
          <w:i/>
        </w:rPr>
        <w:t>отстаивания в судебном порядке общественных и социальных интересов</w:t>
      </w:r>
      <w:r>
        <w:rPr>
          <w:rStyle w:val="111"/>
          <w:szCs w:val="22"/>
        </w:rPr>
        <w:t>, проводя самостоятельные расследования по фактам, сообщающимся в газетах, и разрабатывая новый принцип " загрязнитель платит", а также доктрины "абсолютной ответственности", "общественного доверия" и т. д.</w:t>
      </w:r>
      <w:r>
        <w:rPr>
          <w:rStyle w:val="FootnoteReference"/>
          <w:szCs w:val="22"/>
        </w:rPr>
        <w:footnoteReference w:customMarkFollows="1" w:id="71"/>
        <w:t>70</w:t>
      </w:r>
      <w:r>
        <w:rPr>
          <w:rStyle w:val="111"/>
          <w:szCs w:val="22"/>
        </w:rPr>
        <w:t xml:space="preserve">  Лицо, качество жизни которого страдает или ставится под угрозу из-за загрязнения воздуха, воды или земли, может обратиться в Верховный суд Индии согласно статье 32 Конституции (Право на конституционную защиту) с требованием устранить это загрязнение, причиняющее ущерб качеству жизни</w:t>
      </w:r>
      <w:r>
        <w:rPr>
          <w:rStyle w:val="FootnoteReference"/>
          <w:szCs w:val="22"/>
        </w:rPr>
        <w:footnoteReference w:customMarkFollows="1" w:id="72"/>
        <w:t>71</w:t>
      </w:r>
      <w:r>
        <w:rPr>
          <w:rStyle w:val="111"/>
          <w:szCs w:val="22"/>
        </w:rPr>
        <w:t>.</w:t>
      </w:r>
    </w:p>
    <w:p w:rsidR="00000000" w:rsidRDefault="00000000">
      <w:pPr>
        <w:pStyle w:val="112"/>
        <w:rPr>
          <w:rStyle w:val="111"/>
          <w:szCs w:val="22"/>
        </w:rPr>
      </w:pPr>
      <w:r>
        <w:rPr>
          <w:rStyle w:val="111"/>
          <w:szCs w:val="22"/>
        </w:rPr>
        <w:t>528.</w:t>
      </w:r>
      <w:r>
        <w:rPr>
          <w:rStyle w:val="111"/>
          <w:szCs w:val="22"/>
        </w:rPr>
        <w:tab/>
        <w:t>Употребление табака и сигарет также ограничивается, особенно в общественных местах; табак и сигареты запрещено продавать лицам, не достигшим 18-летнего возраста.  Верховный суд Индии запретил курение в общественных местах во избежание загрязнения воздуха и причинения неудобств некурящим лицам</w:t>
      </w:r>
      <w:r>
        <w:rPr>
          <w:rStyle w:val="FootnoteReference"/>
          <w:szCs w:val="22"/>
        </w:rPr>
        <w:footnoteReference w:customMarkFollows="1" w:id="73"/>
        <w:t>72</w:t>
      </w:r>
      <w:r>
        <w:rPr>
          <w:rStyle w:val="111"/>
          <w:szCs w:val="22"/>
        </w:rPr>
        <w:t>.  В соответствии с этим в 2001 году был принят Закон о сигаретах и других табачных изделиях (Запрет на рекламу, регулирование торговли и коммерческой деятельности, производства, поставок и продаж).  Этот закон запрещает продажу табачных изделий лицам, не достигшим 18-летнего возраста, торговлю табачными изделиями в пределах 100 метров от учебных заведений, курение в общественных местах  и рекламу табачных изделий.</w:t>
      </w:r>
    </w:p>
    <w:p w:rsidR="00000000" w:rsidRDefault="00000000">
      <w:pPr>
        <w:pStyle w:val="112"/>
      </w:pPr>
      <w:r>
        <w:t>529.</w:t>
      </w:r>
      <w:r>
        <w:tab/>
        <w:t>Меры по охране здоровья на рабочем месте и гигиене труда подробно описаны в разделе доклада, касающемся статьи 9 пакта.</w:t>
      </w:r>
    </w:p>
    <w:p w:rsidR="00000000" w:rsidRDefault="00000000">
      <w:pPr>
        <w:keepNext/>
        <w:jc w:val="both"/>
        <w:rPr>
          <w:b/>
          <w:bCs/>
          <w:sz w:val="22"/>
          <w:szCs w:val="22"/>
          <w:lang w:val="en-US"/>
        </w:rPr>
      </w:pPr>
    </w:p>
    <w:p w:rsidR="00000000" w:rsidRDefault="00000000">
      <w:pPr>
        <w:keepNext/>
        <w:jc w:val="both"/>
        <w:rPr>
          <w:b/>
          <w:bCs/>
          <w:sz w:val="22"/>
          <w:szCs w:val="22"/>
        </w:rPr>
      </w:pPr>
      <w:r>
        <w:rPr>
          <w:b/>
          <w:bCs/>
          <w:sz w:val="22"/>
          <w:szCs w:val="22"/>
        </w:rPr>
        <w:t>Программа борьбы с различными заболеваниями</w:t>
      </w:r>
    </w:p>
    <w:p w:rsidR="00000000" w:rsidRDefault="00000000">
      <w:pPr>
        <w:pStyle w:val="112"/>
      </w:pPr>
      <w:r>
        <w:t>530.</w:t>
      </w:r>
      <w:r>
        <w:tab/>
      </w:r>
      <w:r>
        <w:rPr>
          <w:spacing w:val="-2"/>
          <w:szCs w:val="22"/>
        </w:rPr>
        <w:t>Центральное правительство осуществляет национальные программы в области здравоохранения</w:t>
      </w:r>
      <w:r>
        <w:t xml:space="preserve"> в целях борьбы с распространением и искоренения различных инфекционных и неинфекционных заболеваний, а также психических расстройств.</w:t>
      </w:r>
    </w:p>
    <w:p w:rsidR="00000000" w:rsidRDefault="00000000">
      <w:pPr>
        <w:jc w:val="both"/>
        <w:rPr>
          <w:b/>
          <w:bCs/>
          <w:sz w:val="22"/>
          <w:szCs w:val="22"/>
        </w:rPr>
      </w:pPr>
    </w:p>
    <w:p w:rsidR="00000000" w:rsidRDefault="00000000">
      <w:pPr>
        <w:jc w:val="both"/>
        <w:rPr>
          <w:b/>
          <w:bCs/>
          <w:sz w:val="22"/>
          <w:szCs w:val="22"/>
        </w:rPr>
      </w:pPr>
      <w:r>
        <w:rPr>
          <w:b/>
          <w:bCs/>
          <w:sz w:val="22"/>
          <w:szCs w:val="22"/>
        </w:rPr>
        <w:t>Программа борьбы с инфекционными заболеваниями</w:t>
      </w:r>
    </w:p>
    <w:p w:rsidR="00000000" w:rsidRDefault="00000000">
      <w:pPr>
        <w:tabs>
          <w:tab w:val="left" w:pos="708"/>
          <w:tab w:val="left" w:pos="2524"/>
        </w:tabs>
        <w:jc w:val="both"/>
        <w:rPr>
          <w:sz w:val="22"/>
          <w:szCs w:val="22"/>
        </w:rPr>
      </w:pPr>
    </w:p>
    <w:p w:rsidR="00000000" w:rsidRDefault="00000000">
      <w:pPr>
        <w:tabs>
          <w:tab w:val="left" w:pos="708"/>
          <w:tab w:val="left" w:pos="2524"/>
        </w:tabs>
        <w:jc w:val="both"/>
        <w:rPr>
          <w:rStyle w:val="111"/>
          <w:szCs w:val="22"/>
        </w:rPr>
      </w:pPr>
      <w:r>
        <w:rPr>
          <w:rStyle w:val="111"/>
          <w:szCs w:val="22"/>
        </w:rPr>
        <w:t>531.</w:t>
      </w:r>
      <w:r>
        <w:rPr>
          <w:rStyle w:val="111"/>
          <w:szCs w:val="22"/>
        </w:rPr>
        <w:tab/>
        <w:t xml:space="preserve">Существуют программы профилактики и борьбы с распространением таких заболеваний, как малярия, филяриоз, </w:t>
      </w:r>
      <w:r>
        <w:rPr>
          <w:i/>
          <w:iCs/>
          <w:sz w:val="22"/>
          <w:szCs w:val="22"/>
        </w:rPr>
        <w:t>кала-азар</w:t>
      </w:r>
      <w:r>
        <w:rPr>
          <w:rStyle w:val="111"/>
          <w:szCs w:val="22"/>
        </w:rPr>
        <w:t>, японский энцефалит, лихорадка денге, туберкулез, проказа и заболевания, передаваемые половым путем, СПИД и т. д.  Головным учреждением, отвечающим за осуществление этих программ, является Национальный институт  инфекционных заболеваний.  В рамках Программы искоренения ришты страна успешно ликвидировала это заболевание и 15 февраля 2000 года была объявлена страной, свободной от ришты.  Оспа была успешно искоренена в стране в 1977 году.</w:t>
      </w:r>
    </w:p>
    <w:p w:rsidR="00000000" w:rsidRDefault="00000000">
      <w:pPr>
        <w:tabs>
          <w:tab w:val="left" w:pos="708"/>
          <w:tab w:val="left" w:pos="2524"/>
        </w:tabs>
        <w:jc w:val="both"/>
        <w:rPr>
          <w:b/>
          <w:bCs/>
          <w:sz w:val="22"/>
          <w:szCs w:val="22"/>
        </w:rPr>
      </w:pPr>
    </w:p>
    <w:p w:rsidR="00000000" w:rsidRDefault="00000000">
      <w:pPr>
        <w:tabs>
          <w:tab w:val="left" w:pos="708"/>
          <w:tab w:val="left" w:pos="2524"/>
        </w:tabs>
        <w:jc w:val="both"/>
        <w:rPr>
          <w:b/>
          <w:bCs/>
          <w:sz w:val="22"/>
          <w:szCs w:val="22"/>
        </w:rPr>
      </w:pPr>
      <w:r>
        <w:rPr>
          <w:b/>
          <w:bCs/>
          <w:sz w:val="22"/>
          <w:szCs w:val="22"/>
        </w:rPr>
        <w:t>Трансмиссивные заболевания</w:t>
      </w:r>
    </w:p>
    <w:p w:rsidR="00000000" w:rsidRDefault="00000000">
      <w:pPr>
        <w:pStyle w:val="112"/>
      </w:pPr>
      <w:r>
        <w:t>532.</w:t>
      </w:r>
      <w:r>
        <w:tab/>
        <w:t>Национальная программа борьбы с малярией (НПБМ) является крупнейшей в мире программой борьбы с одним инфекционным заболеванием и остается наиболее всеобъемлющей и многогранной инициативой в области здравоохранения.  Удалось добиться резкого сокращения числа случаев заболевания малярией:  с 75 миллионов в 1951 году до 2,7 миллиона в 1981 году.  После этого число случаев заболевания малярией постепенно сокращалось и в 2003 году достигло (согласно предварительным данным) 1,65 миллиона.  С сентября 1997 года Всемирный банк оказывает помощь НПБМ в 100 сложных районах, среди населения которых преобладают племенные народы, и в 19 проблемных городах в различных штатах.  Кроме малярии, в рамках НПБМ ведется борьба с распространением в проблемных зонах японского энцефалита, лихорадки денге/геморрагической формы лихорадки денге.</w:t>
      </w:r>
    </w:p>
    <w:p w:rsidR="00000000" w:rsidRDefault="00000000">
      <w:pPr>
        <w:pStyle w:val="112"/>
      </w:pPr>
      <w:r>
        <w:t>533.</w:t>
      </w:r>
      <w:r>
        <w:tab/>
        <w:t xml:space="preserve">Национальная программа борьбы с распространением филяриоза была начата в 1956 году и пересмотрена в 1997 году.  Экспериментальный проект, в рамках которого жителям нескольких штатов ежегодно делалась инъекция диэтилкарбамазина цитрата, принес прекрасные результаты.  </w:t>
      </w:r>
      <w:r>
        <w:br/>
        <w:t>В штате Тамилнад уровень распространенности инфекции снизился с 13 до 1 процента.</w:t>
      </w:r>
    </w:p>
    <w:p w:rsidR="00000000" w:rsidRDefault="00000000">
      <w:pPr>
        <w:pStyle w:val="112"/>
        <w:rPr>
          <w:rStyle w:val="111"/>
          <w:szCs w:val="22"/>
        </w:rPr>
      </w:pPr>
      <w:r>
        <w:rPr>
          <w:rStyle w:val="111"/>
          <w:szCs w:val="22"/>
        </w:rPr>
        <w:t>534.</w:t>
      </w:r>
      <w:r>
        <w:rPr>
          <w:rStyle w:val="111"/>
          <w:szCs w:val="22"/>
        </w:rPr>
        <w:tab/>
        <w:t xml:space="preserve">Программа борьбы с распространением </w:t>
      </w:r>
      <w:r>
        <w:rPr>
          <w:i/>
          <w:iCs/>
        </w:rPr>
        <w:t>кала-азара</w:t>
      </w:r>
      <w:r>
        <w:rPr>
          <w:rStyle w:val="111"/>
          <w:szCs w:val="22"/>
        </w:rPr>
        <w:t xml:space="preserve"> (висцерального лейшманиоза) с 1990–</w:t>
      </w:r>
      <w:r>
        <w:rPr>
          <w:rStyle w:val="111"/>
          <w:szCs w:val="22"/>
        </w:rPr>
        <w:br/>
        <w:t xml:space="preserve">1991 годов направлена на борьбу с распространением этого заболевания в эндемических районах.  </w:t>
      </w:r>
      <w:r>
        <w:rPr>
          <w:rStyle w:val="111"/>
          <w:szCs w:val="22"/>
        </w:rPr>
        <w:br/>
        <w:t>В рамках этой программы удалось успешно снизить как уровень заболеваемости, так и уровень смертности:  в 2000 году ежегодный уровень заболеваемости снизился по сравнению с 1992 годом на 84 процента, а уровень смертности – на 85 процентов.</w:t>
      </w:r>
    </w:p>
    <w:p w:rsidR="00000000" w:rsidRDefault="00000000">
      <w:pPr>
        <w:pStyle w:val="112"/>
        <w:rPr>
          <w:rStyle w:val="111"/>
          <w:szCs w:val="22"/>
        </w:rPr>
      </w:pPr>
      <w:r>
        <w:rPr>
          <w:rStyle w:val="111"/>
          <w:szCs w:val="22"/>
        </w:rPr>
        <w:t>535.</w:t>
      </w:r>
      <w:r>
        <w:rPr>
          <w:rStyle w:val="111"/>
          <w:szCs w:val="22"/>
        </w:rPr>
        <w:tab/>
        <w:t xml:space="preserve">В рамках концепции согласования действий в 2003–2004 годах была начата национальная программа борьбы с трансмиссивными заболеваниями (НПБТЗ), охватившая все три вышеупомянутые программы, для того чтобы реализовать поставленные в рамках национальной политики в области здравоохранения 2002 года цели искоренения </w:t>
      </w:r>
      <w:r>
        <w:rPr>
          <w:i/>
          <w:iCs/>
        </w:rPr>
        <w:t>кала-азар</w:t>
      </w:r>
      <w:r>
        <w:rPr>
          <w:rStyle w:val="111"/>
          <w:szCs w:val="22"/>
        </w:rPr>
        <w:t xml:space="preserve"> к 2010 году, филяриоза – к 2015 году и снижения уровня смертности от малярии и других трансмиссивных заболеваний на 50% к 2010 году.</w:t>
      </w:r>
    </w:p>
    <w:p w:rsidR="00000000" w:rsidRDefault="00000000">
      <w:pPr>
        <w:tabs>
          <w:tab w:val="left" w:pos="708"/>
          <w:tab w:val="left" w:pos="2524"/>
        </w:tabs>
        <w:jc w:val="both"/>
        <w:rPr>
          <w:b/>
          <w:bCs/>
          <w:sz w:val="22"/>
          <w:szCs w:val="22"/>
        </w:rPr>
      </w:pPr>
    </w:p>
    <w:p w:rsidR="00000000" w:rsidRDefault="00000000">
      <w:pPr>
        <w:tabs>
          <w:tab w:val="left" w:pos="708"/>
          <w:tab w:val="left" w:pos="2524"/>
        </w:tabs>
        <w:jc w:val="both"/>
        <w:rPr>
          <w:b/>
          <w:bCs/>
          <w:sz w:val="22"/>
          <w:szCs w:val="22"/>
        </w:rPr>
      </w:pPr>
      <w:r>
        <w:rPr>
          <w:b/>
          <w:bCs/>
          <w:sz w:val="22"/>
          <w:szCs w:val="22"/>
        </w:rPr>
        <w:t>Проказа</w:t>
      </w:r>
    </w:p>
    <w:p w:rsidR="00000000" w:rsidRDefault="00000000">
      <w:pPr>
        <w:pStyle w:val="112"/>
      </w:pPr>
      <w:r>
        <w:t>536.</w:t>
      </w:r>
      <w:r>
        <w:tab/>
        <w:t>Осуществление при поддержке Всемирного банка национальной программы борьбы с проказой  (ранее – Национальной программы искоренения проказы) было децентрализовано и передано в ведение организаций по борьбе с проказой на уровне штатов/округов, а услуги, оказываемые в рамках программы, были включены в общие медико-санитарные услуги для обеспечения большего охвата.  В 2001 году началось осуществление второго этапа программы с целью уничтожения проказы к концу 2004 – началу 2005 года, посредством достижения ситуации, когда число лиц, страдающих этим заболеванием, составляет менее 1 на 10 000 человек.</w:t>
      </w:r>
    </w:p>
    <w:p w:rsidR="00000000" w:rsidRDefault="00000000">
      <w:pPr>
        <w:pStyle w:val="112"/>
      </w:pPr>
      <w:r>
        <w:t>537.</w:t>
      </w:r>
      <w:r>
        <w:tab/>
        <w:t>Действия в рамках национальной программы искоренения проказы были децентрализованы и переданы в ведение организаций по борьбе с проказой на уровне  штатов/округов, а услуги, оказываемые в рамках программы, были включены в общие медико-санитарные услуги для обеспечения большего охвата.  Второй этап программы, осуществлявшейся при поддержке Всемирного банка, продолжался с 2001 по 2004 год.  В настоящий момент осуществление программы продолжается за счет средств правительства Индии.</w:t>
      </w:r>
    </w:p>
    <w:p w:rsidR="00000000" w:rsidRDefault="00000000">
      <w:pPr>
        <w:pStyle w:val="112"/>
      </w:pPr>
      <w:r>
        <w:t>538.</w:t>
      </w:r>
      <w:r>
        <w:tab/>
        <w:t>Коэффициент распространенности проказы снизился с 57,6 на 10 000 человек в 1981 году до 1,34 на 10 000 человек в марте 2005 года.  В результате напряженной работы и тщательно спланированных и реализованных мер Индия достигла своей цели уничтожения проказы на национальном уровне (т. е. той ситуации, когда коэффициент распространенности заболевания составляет менее 1 на 10 000 человек) в декабре 2005 года, когда коэффициент распространенности составил 0,95 на 10 000 человек.  Важными элементами программы были Модифицированная кампания по борьбе с проказой, продолжавшаяся с 1998 по 2004 год, и Кампания по повышению осведомленности о проказе в территориальных объединениях 2004 и 2005 годов.  На декабрь 2005 года 26 штатов и союзных территорий достигли уровня искоренения проказы.</w:t>
      </w:r>
    </w:p>
    <w:p w:rsidR="00000000" w:rsidRDefault="00000000">
      <w:pPr>
        <w:pStyle w:val="112"/>
        <w:spacing w:after="120"/>
      </w:pPr>
      <w:r>
        <w:t>539.</w:t>
      </w:r>
      <w:r>
        <w:tab/>
        <w:t>Целью программы остается уничтожение проказы в оставшихся девяти штатах и союзных территориях. Пристальное внимание будет уделяться также остающимся эндемическим районам и территориальным объединениям, эндемическим городским поселениям, округам с высоким показателем нетрудоспособности и штатам с высокой долей детей в населении.</w:t>
      </w:r>
    </w:p>
    <w:p w:rsidR="00000000" w:rsidRDefault="00000000">
      <w:pPr>
        <w:tabs>
          <w:tab w:val="left" w:pos="708"/>
          <w:tab w:val="left" w:pos="2524"/>
        </w:tabs>
        <w:jc w:val="both"/>
        <w:rPr>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
        <w:gridCol w:w="2400"/>
        <w:gridCol w:w="1080"/>
        <w:gridCol w:w="1320"/>
        <w:gridCol w:w="1200"/>
        <w:gridCol w:w="1320"/>
        <w:gridCol w:w="1718"/>
      </w:tblGrid>
      <w:tr w:rsidR="00000000">
        <w:tblPrEx>
          <w:tblCellMar>
            <w:top w:w="0" w:type="dxa"/>
            <w:bottom w:w="0" w:type="dxa"/>
          </w:tblCellMar>
        </w:tblPrEx>
        <w:trPr>
          <w:cantSplit/>
          <w:tblHeader/>
          <w:jc w:val="center"/>
        </w:trPr>
        <w:tc>
          <w:tcPr>
            <w:tcW w:w="601"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w:t>
            </w:r>
          </w:p>
        </w:tc>
        <w:tc>
          <w:tcPr>
            <w:tcW w:w="2400"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Инфраструктура здравоохранения</w:t>
            </w:r>
          </w:p>
        </w:tc>
        <w:tc>
          <w:tcPr>
            <w:tcW w:w="1080"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1951</w:t>
            </w:r>
          </w:p>
        </w:tc>
        <w:tc>
          <w:tcPr>
            <w:tcW w:w="1320"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1981</w:t>
            </w:r>
          </w:p>
        </w:tc>
        <w:tc>
          <w:tcPr>
            <w:tcW w:w="1200"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2002</w:t>
            </w:r>
          </w:p>
        </w:tc>
        <w:tc>
          <w:tcPr>
            <w:tcW w:w="1320"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2004</w:t>
            </w:r>
          </w:p>
        </w:tc>
        <w:tc>
          <w:tcPr>
            <w:tcW w:w="1718" w:type="dxa"/>
            <w:tcMar>
              <w:left w:w="57" w:type="dxa"/>
              <w:right w:w="57" w:type="dxa"/>
            </w:tcMar>
            <w:vAlign w:val="center"/>
          </w:tcPr>
          <w:p w:rsidR="00000000" w:rsidRDefault="00000000">
            <w:pPr>
              <w:tabs>
                <w:tab w:val="left" w:pos="708"/>
                <w:tab w:val="left" w:pos="2524"/>
              </w:tabs>
              <w:spacing w:before="40" w:after="40"/>
              <w:jc w:val="center"/>
              <w:rPr>
                <w:sz w:val="20"/>
                <w:szCs w:val="20"/>
              </w:rPr>
            </w:pPr>
            <w:r>
              <w:rPr>
                <w:sz w:val="20"/>
                <w:szCs w:val="20"/>
              </w:rPr>
              <w:t>Период/</w:t>
            </w:r>
            <w:r>
              <w:rPr>
                <w:sz w:val="20"/>
                <w:szCs w:val="20"/>
              </w:rPr>
              <w:br/>
              <w:t>Источник</w:t>
            </w:r>
          </w:p>
        </w:tc>
      </w:tr>
      <w:tr w:rsidR="00000000">
        <w:tblPrEx>
          <w:tblCellMar>
            <w:top w:w="0" w:type="dxa"/>
            <w:bottom w:w="0" w:type="dxa"/>
          </w:tblCellMar>
        </w:tblPrEx>
        <w:trPr>
          <w:jc w:val="center"/>
        </w:trPr>
        <w:tc>
          <w:tcPr>
            <w:tcW w:w="601" w:type="dxa"/>
            <w:tcMar>
              <w:left w:w="57" w:type="dxa"/>
              <w:right w:w="57" w:type="dxa"/>
            </w:tcMar>
          </w:tcPr>
          <w:p w:rsidR="00000000" w:rsidRDefault="00000000">
            <w:pPr>
              <w:tabs>
                <w:tab w:val="left" w:pos="708"/>
                <w:tab w:val="left" w:pos="2524"/>
              </w:tabs>
              <w:spacing w:before="40" w:after="40"/>
              <w:jc w:val="center"/>
              <w:rPr>
                <w:sz w:val="20"/>
                <w:szCs w:val="20"/>
              </w:rPr>
            </w:pPr>
            <w:r>
              <w:rPr>
                <w:sz w:val="20"/>
                <w:szCs w:val="20"/>
              </w:rPr>
              <w:t>1</w:t>
            </w:r>
          </w:p>
        </w:tc>
        <w:tc>
          <w:tcPr>
            <w:tcW w:w="2400"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Амбулатории и больницы (всего)</w:t>
            </w:r>
          </w:p>
        </w:tc>
        <w:tc>
          <w:tcPr>
            <w:tcW w:w="1080" w:type="dxa"/>
            <w:tcMar>
              <w:left w:w="57" w:type="dxa"/>
              <w:right w:w="57" w:type="dxa"/>
            </w:tcMar>
          </w:tcPr>
          <w:p w:rsidR="00000000" w:rsidRDefault="00000000">
            <w:pPr>
              <w:tabs>
                <w:tab w:val="decimal" w:pos="680"/>
              </w:tabs>
              <w:spacing w:before="40" w:after="40"/>
              <w:rPr>
                <w:sz w:val="20"/>
                <w:szCs w:val="20"/>
              </w:rPr>
            </w:pPr>
            <w:r>
              <w:rPr>
                <w:sz w:val="20"/>
                <w:szCs w:val="20"/>
              </w:rPr>
              <w:t>9 209</w:t>
            </w:r>
          </w:p>
        </w:tc>
        <w:tc>
          <w:tcPr>
            <w:tcW w:w="1320" w:type="dxa"/>
            <w:tcMar>
              <w:left w:w="57" w:type="dxa"/>
              <w:right w:w="57" w:type="dxa"/>
            </w:tcMar>
          </w:tcPr>
          <w:p w:rsidR="00000000" w:rsidRDefault="00000000">
            <w:pPr>
              <w:tabs>
                <w:tab w:val="decimal" w:pos="680"/>
              </w:tabs>
              <w:spacing w:before="40" w:after="40"/>
              <w:rPr>
                <w:sz w:val="20"/>
                <w:szCs w:val="20"/>
              </w:rPr>
            </w:pPr>
            <w:r>
              <w:rPr>
                <w:sz w:val="20"/>
                <w:szCs w:val="20"/>
              </w:rPr>
              <w:t>23 555</w:t>
            </w:r>
          </w:p>
        </w:tc>
        <w:tc>
          <w:tcPr>
            <w:tcW w:w="1200" w:type="dxa"/>
            <w:tcMar>
              <w:left w:w="57" w:type="dxa"/>
              <w:right w:w="57" w:type="dxa"/>
            </w:tcMar>
          </w:tcPr>
          <w:p w:rsidR="00000000" w:rsidRDefault="00000000">
            <w:pPr>
              <w:tabs>
                <w:tab w:val="decimal" w:pos="794"/>
              </w:tabs>
              <w:spacing w:before="40" w:after="40"/>
              <w:rPr>
                <w:sz w:val="20"/>
                <w:szCs w:val="20"/>
              </w:rPr>
            </w:pPr>
            <w:r>
              <w:rPr>
                <w:sz w:val="20"/>
                <w:szCs w:val="20"/>
              </w:rPr>
              <w:t>37 684</w:t>
            </w:r>
          </w:p>
        </w:tc>
        <w:tc>
          <w:tcPr>
            <w:tcW w:w="1320" w:type="dxa"/>
            <w:tcMar>
              <w:left w:w="57" w:type="dxa"/>
              <w:right w:w="57" w:type="dxa"/>
            </w:tcMar>
          </w:tcPr>
          <w:p w:rsidR="00000000" w:rsidRDefault="00000000">
            <w:pPr>
              <w:spacing w:before="40" w:after="40"/>
              <w:jc w:val="center"/>
              <w:rPr>
                <w:sz w:val="20"/>
                <w:szCs w:val="20"/>
              </w:rPr>
            </w:pPr>
            <w:r>
              <w:rPr>
                <w:sz w:val="20"/>
                <w:szCs w:val="20"/>
              </w:rPr>
              <w:t>данные отсутствуют</w:t>
            </w:r>
          </w:p>
        </w:tc>
        <w:tc>
          <w:tcPr>
            <w:tcW w:w="1718"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По состоянию на 1 января 2002 года – ИИОЗ, ЦБСЗ</w:t>
            </w:r>
          </w:p>
        </w:tc>
      </w:tr>
      <w:tr w:rsidR="00000000">
        <w:tblPrEx>
          <w:tblCellMar>
            <w:top w:w="0" w:type="dxa"/>
            <w:bottom w:w="0" w:type="dxa"/>
          </w:tblCellMar>
        </w:tblPrEx>
        <w:trPr>
          <w:jc w:val="center"/>
        </w:trPr>
        <w:tc>
          <w:tcPr>
            <w:tcW w:w="601" w:type="dxa"/>
            <w:tcMar>
              <w:left w:w="57" w:type="dxa"/>
              <w:right w:w="57" w:type="dxa"/>
            </w:tcMar>
          </w:tcPr>
          <w:p w:rsidR="00000000" w:rsidRDefault="00000000">
            <w:pPr>
              <w:tabs>
                <w:tab w:val="left" w:pos="708"/>
                <w:tab w:val="left" w:pos="2524"/>
              </w:tabs>
              <w:spacing w:before="40" w:after="40"/>
              <w:jc w:val="center"/>
              <w:rPr>
                <w:sz w:val="20"/>
                <w:szCs w:val="20"/>
              </w:rPr>
            </w:pPr>
            <w:r>
              <w:rPr>
                <w:sz w:val="20"/>
                <w:szCs w:val="20"/>
              </w:rPr>
              <w:t>2</w:t>
            </w:r>
          </w:p>
        </w:tc>
        <w:tc>
          <w:tcPr>
            <w:tcW w:w="2400" w:type="dxa"/>
            <w:tcMar>
              <w:left w:w="57" w:type="dxa"/>
              <w:right w:w="57" w:type="dxa"/>
            </w:tcMar>
          </w:tcPr>
          <w:p w:rsidR="00000000" w:rsidRDefault="00000000">
            <w:pPr>
              <w:tabs>
                <w:tab w:val="left" w:pos="708"/>
                <w:tab w:val="left" w:pos="2524"/>
              </w:tabs>
              <w:spacing w:before="40" w:after="40"/>
              <w:rPr>
                <w:sz w:val="20"/>
                <w:szCs w:val="20"/>
              </w:rPr>
            </w:pPr>
            <w:r>
              <w:rPr>
                <w:sz w:val="20"/>
                <w:szCs w:val="20"/>
              </w:rPr>
              <w:t xml:space="preserve">Койко-места всех типов (государственные </w:t>
            </w:r>
            <w:r>
              <w:rPr>
                <w:sz w:val="20"/>
                <w:szCs w:val="20"/>
              </w:rPr>
              <w:br/>
              <w:t>и частные)</w:t>
            </w:r>
          </w:p>
        </w:tc>
        <w:tc>
          <w:tcPr>
            <w:tcW w:w="1080" w:type="dxa"/>
            <w:tcMar>
              <w:left w:w="57" w:type="dxa"/>
              <w:right w:w="57" w:type="dxa"/>
            </w:tcMar>
          </w:tcPr>
          <w:p w:rsidR="00000000" w:rsidRDefault="00000000">
            <w:pPr>
              <w:tabs>
                <w:tab w:val="decimal" w:pos="680"/>
              </w:tabs>
              <w:spacing w:before="40" w:after="40"/>
              <w:rPr>
                <w:sz w:val="20"/>
                <w:szCs w:val="20"/>
              </w:rPr>
            </w:pPr>
            <w:r>
              <w:rPr>
                <w:sz w:val="20"/>
                <w:szCs w:val="20"/>
              </w:rPr>
              <w:t>117 198</w:t>
            </w:r>
          </w:p>
        </w:tc>
        <w:tc>
          <w:tcPr>
            <w:tcW w:w="1320" w:type="dxa"/>
            <w:tcMar>
              <w:left w:w="57" w:type="dxa"/>
              <w:right w:w="57" w:type="dxa"/>
            </w:tcMar>
          </w:tcPr>
          <w:p w:rsidR="00000000" w:rsidRDefault="00000000">
            <w:pPr>
              <w:tabs>
                <w:tab w:val="decimal" w:pos="680"/>
              </w:tabs>
              <w:spacing w:before="40" w:after="40"/>
              <w:rPr>
                <w:sz w:val="20"/>
                <w:szCs w:val="20"/>
              </w:rPr>
            </w:pPr>
            <w:r>
              <w:rPr>
                <w:sz w:val="20"/>
                <w:szCs w:val="20"/>
              </w:rPr>
              <w:t>569 495</w:t>
            </w:r>
          </w:p>
        </w:tc>
        <w:tc>
          <w:tcPr>
            <w:tcW w:w="1200" w:type="dxa"/>
            <w:tcMar>
              <w:left w:w="57" w:type="dxa"/>
              <w:right w:w="57" w:type="dxa"/>
            </w:tcMar>
          </w:tcPr>
          <w:p w:rsidR="00000000" w:rsidRDefault="00000000">
            <w:pPr>
              <w:tabs>
                <w:tab w:val="decimal" w:pos="794"/>
              </w:tabs>
              <w:spacing w:before="40" w:after="40"/>
              <w:rPr>
                <w:sz w:val="20"/>
                <w:szCs w:val="20"/>
              </w:rPr>
            </w:pPr>
            <w:r>
              <w:rPr>
                <w:sz w:val="20"/>
                <w:szCs w:val="20"/>
              </w:rPr>
              <w:t>914 543</w:t>
            </w:r>
          </w:p>
        </w:tc>
        <w:tc>
          <w:tcPr>
            <w:tcW w:w="1320" w:type="dxa"/>
            <w:tcMar>
              <w:left w:w="57" w:type="dxa"/>
              <w:right w:w="57" w:type="dxa"/>
            </w:tcMar>
          </w:tcPr>
          <w:p w:rsidR="00000000" w:rsidRDefault="00000000">
            <w:pPr>
              <w:tabs>
                <w:tab w:val="decimal" w:pos="794"/>
              </w:tabs>
              <w:spacing w:before="40" w:after="40"/>
              <w:rPr>
                <w:sz w:val="20"/>
                <w:szCs w:val="20"/>
              </w:rPr>
            </w:pPr>
          </w:p>
        </w:tc>
        <w:tc>
          <w:tcPr>
            <w:tcW w:w="1718"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в процессе подготовки</w:t>
            </w:r>
          </w:p>
        </w:tc>
      </w:tr>
      <w:tr w:rsidR="00000000">
        <w:tblPrEx>
          <w:tblCellMar>
            <w:top w:w="0" w:type="dxa"/>
            <w:bottom w:w="0" w:type="dxa"/>
          </w:tblCellMar>
        </w:tblPrEx>
        <w:trPr>
          <w:jc w:val="center"/>
        </w:trPr>
        <w:tc>
          <w:tcPr>
            <w:tcW w:w="601" w:type="dxa"/>
            <w:tcMar>
              <w:left w:w="57" w:type="dxa"/>
              <w:right w:w="57" w:type="dxa"/>
            </w:tcMar>
          </w:tcPr>
          <w:p w:rsidR="00000000" w:rsidRDefault="00000000">
            <w:pPr>
              <w:tabs>
                <w:tab w:val="left" w:pos="708"/>
                <w:tab w:val="left" w:pos="2524"/>
              </w:tabs>
              <w:spacing w:before="40" w:after="40"/>
              <w:jc w:val="center"/>
              <w:rPr>
                <w:sz w:val="20"/>
                <w:szCs w:val="20"/>
              </w:rPr>
            </w:pPr>
            <w:r>
              <w:rPr>
                <w:sz w:val="20"/>
                <w:szCs w:val="20"/>
              </w:rPr>
              <w:t>3</w:t>
            </w:r>
          </w:p>
        </w:tc>
        <w:tc>
          <w:tcPr>
            <w:tcW w:w="2400"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Государственные аллопатические больницы</w:t>
            </w:r>
          </w:p>
        </w:tc>
        <w:tc>
          <w:tcPr>
            <w:tcW w:w="1080" w:type="dxa"/>
            <w:tcMar>
              <w:left w:w="57" w:type="dxa"/>
              <w:right w:w="57" w:type="dxa"/>
            </w:tcMar>
          </w:tcPr>
          <w:p w:rsidR="00000000" w:rsidRDefault="00000000">
            <w:pPr>
              <w:tabs>
                <w:tab w:val="decimal" w:pos="680"/>
              </w:tabs>
              <w:spacing w:before="40" w:after="40"/>
              <w:rPr>
                <w:sz w:val="20"/>
                <w:szCs w:val="20"/>
              </w:rPr>
            </w:pPr>
          </w:p>
        </w:tc>
        <w:tc>
          <w:tcPr>
            <w:tcW w:w="1320" w:type="dxa"/>
            <w:tcMar>
              <w:left w:w="57" w:type="dxa"/>
              <w:right w:w="57" w:type="dxa"/>
            </w:tcMar>
          </w:tcPr>
          <w:p w:rsidR="00000000" w:rsidRDefault="00000000">
            <w:pPr>
              <w:tabs>
                <w:tab w:val="decimal" w:pos="680"/>
              </w:tabs>
              <w:spacing w:before="40" w:after="40"/>
              <w:rPr>
                <w:sz w:val="20"/>
                <w:szCs w:val="20"/>
              </w:rPr>
            </w:pPr>
          </w:p>
        </w:tc>
        <w:tc>
          <w:tcPr>
            <w:tcW w:w="1200" w:type="dxa"/>
            <w:tcMar>
              <w:left w:w="57" w:type="dxa"/>
              <w:right w:w="57" w:type="dxa"/>
            </w:tcMar>
          </w:tcPr>
          <w:p w:rsidR="00000000" w:rsidRDefault="00000000">
            <w:pPr>
              <w:tabs>
                <w:tab w:val="decimal" w:pos="794"/>
              </w:tabs>
              <w:spacing w:before="40" w:after="40"/>
              <w:rPr>
                <w:sz w:val="20"/>
                <w:szCs w:val="20"/>
              </w:rPr>
            </w:pPr>
          </w:p>
        </w:tc>
        <w:tc>
          <w:tcPr>
            <w:tcW w:w="1320" w:type="dxa"/>
            <w:tcMar>
              <w:left w:w="57" w:type="dxa"/>
              <w:right w:w="57" w:type="dxa"/>
            </w:tcMar>
          </w:tcPr>
          <w:p w:rsidR="00000000" w:rsidRDefault="00000000">
            <w:pPr>
              <w:tabs>
                <w:tab w:val="decimal" w:pos="794"/>
              </w:tabs>
              <w:spacing w:before="40" w:after="40"/>
              <w:rPr>
                <w:sz w:val="20"/>
                <w:szCs w:val="20"/>
              </w:rPr>
            </w:pPr>
            <w:r>
              <w:rPr>
                <w:sz w:val="20"/>
                <w:szCs w:val="20"/>
              </w:rPr>
              <w:t>5 479</w:t>
            </w:r>
          </w:p>
        </w:tc>
        <w:tc>
          <w:tcPr>
            <w:tcW w:w="1718"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в процессе подготовки</w:t>
            </w:r>
          </w:p>
        </w:tc>
      </w:tr>
      <w:tr w:rsidR="00000000">
        <w:tblPrEx>
          <w:tblCellMar>
            <w:top w:w="0" w:type="dxa"/>
            <w:bottom w:w="0" w:type="dxa"/>
          </w:tblCellMar>
        </w:tblPrEx>
        <w:trPr>
          <w:jc w:val="center"/>
        </w:trPr>
        <w:tc>
          <w:tcPr>
            <w:tcW w:w="601" w:type="dxa"/>
            <w:tcMar>
              <w:left w:w="57" w:type="dxa"/>
              <w:right w:w="57" w:type="dxa"/>
            </w:tcMar>
          </w:tcPr>
          <w:p w:rsidR="00000000" w:rsidRDefault="00000000">
            <w:pPr>
              <w:tabs>
                <w:tab w:val="left" w:pos="708"/>
                <w:tab w:val="left" w:pos="2524"/>
              </w:tabs>
              <w:spacing w:before="40" w:after="40"/>
              <w:jc w:val="center"/>
              <w:rPr>
                <w:sz w:val="20"/>
                <w:szCs w:val="20"/>
              </w:rPr>
            </w:pPr>
            <w:r>
              <w:rPr>
                <w:sz w:val="20"/>
                <w:szCs w:val="20"/>
              </w:rPr>
              <w:t>4</w:t>
            </w:r>
          </w:p>
        </w:tc>
        <w:tc>
          <w:tcPr>
            <w:tcW w:w="2400"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Государственные аллопатические больницы и койко-места</w:t>
            </w:r>
          </w:p>
        </w:tc>
        <w:tc>
          <w:tcPr>
            <w:tcW w:w="1080" w:type="dxa"/>
            <w:tcMar>
              <w:left w:w="57" w:type="dxa"/>
              <w:right w:w="57" w:type="dxa"/>
            </w:tcMar>
          </w:tcPr>
          <w:p w:rsidR="00000000" w:rsidRDefault="00000000">
            <w:pPr>
              <w:tabs>
                <w:tab w:val="decimal" w:pos="680"/>
              </w:tabs>
              <w:spacing w:before="40" w:after="40"/>
              <w:rPr>
                <w:sz w:val="20"/>
                <w:szCs w:val="20"/>
              </w:rPr>
            </w:pPr>
          </w:p>
        </w:tc>
        <w:tc>
          <w:tcPr>
            <w:tcW w:w="1320" w:type="dxa"/>
            <w:tcMar>
              <w:left w:w="57" w:type="dxa"/>
              <w:right w:w="57" w:type="dxa"/>
            </w:tcMar>
          </w:tcPr>
          <w:p w:rsidR="00000000" w:rsidRDefault="00000000">
            <w:pPr>
              <w:tabs>
                <w:tab w:val="decimal" w:pos="680"/>
              </w:tabs>
              <w:spacing w:before="40" w:after="40"/>
              <w:rPr>
                <w:sz w:val="20"/>
                <w:szCs w:val="20"/>
              </w:rPr>
            </w:pPr>
          </w:p>
        </w:tc>
        <w:tc>
          <w:tcPr>
            <w:tcW w:w="1200" w:type="dxa"/>
            <w:tcMar>
              <w:left w:w="57" w:type="dxa"/>
              <w:right w:w="57" w:type="dxa"/>
            </w:tcMar>
          </w:tcPr>
          <w:p w:rsidR="00000000" w:rsidRDefault="00000000">
            <w:pPr>
              <w:tabs>
                <w:tab w:val="decimal" w:pos="794"/>
              </w:tabs>
              <w:spacing w:before="40" w:after="40"/>
              <w:rPr>
                <w:sz w:val="20"/>
                <w:szCs w:val="20"/>
              </w:rPr>
            </w:pPr>
          </w:p>
        </w:tc>
        <w:tc>
          <w:tcPr>
            <w:tcW w:w="1320" w:type="dxa"/>
            <w:tcMar>
              <w:left w:w="57" w:type="dxa"/>
              <w:right w:w="57" w:type="dxa"/>
            </w:tcMar>
          </w:tcPr>
          <w:p w:rsidR="00000000" w:rsidRDefault="00000000">
            <w:pPr>
              <w:tabs>
                <w:tab w:val="decimal" w:pos="794"/>
              </w:tabs>
              <w:spacing w:before="40" w:after="40"/>
              <w:rPr>
                <w:sz w:val="20"/>
                <w:szCs w:val="20"/>
              </w:rPr>
            </w:pPr>
            <w:r>
              <w:rPr>
                <w:sz w:val="20"/>
                <w:szCs w:val="20"/>
              </w:rPr>
              <w:t>380 993</w:t>
            </w:r>
          </w:p>
        </w:tc>
        <w:tc>
          <w:tcPr>
            <w:tcW w:w="1718" w:type="dxa"/>
            <w:tcMar>
              <w:left w:w="57" w:type="dxa"/>
              <w:right w:w="57" w:type="dxa"/>
            </w:tcMar>
          </w:tcPr>
          <w:p w:rsidR="00000000" w:rsidRDefault="00000000">
            <w:pPr>
              <w:tabs>
                <w:tab w:val="left" w:pos="708"/>
                <w:tab w:val="left" w:pos="2524"/>
              </w:tabs>
              <w:spacing w:before="40" w:after="40"/>
              <w:rPr>
                <w:sz w:val="20"/>
                <w:szCs w:val="20"/>
              </w:rPr>
            </w:pPr>
            <w:r>
              <w:rPr>
                <w:sz w:val="20"/>
                <w:szCs w:val="20"/>
              </w:rPr>
              <w:t>в процессе подготовки</w:t>
            </w:r>
          </w:p>
        </w:tc>
      </w:tr>
    </w:tbl>
    <w:p w:rsidR="00000000" w:rsidRDefault="00000000">
      <w:pPr>
        <w:pStyle w:val="a3"/>
        <w:spacing w:before="120"/>
      </w:pPr>
      <w:r>
        <w:t>ИИОЗ – Индийская информация в области здравоохранения</w:t>
      </w:r>
    </w:p>
    <w:p w:rsidR="00000000" w:rsidRDefault="00000000">
      <w:pPr>
        <w:pStyle w:val="a3"/>
        <w:spacing w:before="120"/>
        <w:rPr>
          <w:szCs w:val="20"/>
        </w:rPr>
      </w:pPr>
      <w:r>
        <w:rPr>
          <w:szCs w:val="20"/>
        </w:rPr>
        <w:t>ЦБСЗ – Центральное бюро сведений в области здравоохранения</w:t>
      </w:r>
    </w:p>
    <w:p w:rsidR="00000000" w:rsidRDefault="00000000">
      <w:pPr>
        <w:pStyle w:val="a3"/>
        <w:spacing w:before="120"/>
        <w:rPr>
          <w:b/>
          <w:bCs/>
          <w:szCs w:val="20"/>
        </w:rPr>
      </w:pPr>
      <w:r>
        <w:rPr>
          <w:b/>
          <w:bCs/>
          <w:szCs w:val="20"/>
        </w:rPr>
        <w:t>Примечание:</w:t>
      </w:r>
    </w:p>
    <w:p w:rsidR="00000000" w:rsidRDefault="00000000">
      <w:pPr>
        <w:pStyle w:val="a3"/>
        <w:tabs>
          <w:tab w:val="left" w:pos="720"/>
          <w:tab w:val="left" w:pos="1080"/>
        </w:tabs>
        <w:spacing w:before="120" w:after="120"/>
        <w:ind w:left="1077" w:hanging="1077"/>
        <w:rPr>
          <w:szCs w:val="20"/>
        </w:rPr>
      </w:pPr>
      <w:r>
        <w:rPr>
          <w:szCs w:val="20"/>
        </w:rPr>
        <w:tab/>
      </w:r>
      <w:r>
        <w:rPr>
          <w:szCs w:val="20"/>
          <w:lang w:val="en-US"/>
        </w:rPr>
        <w:t>i</w:t>
      </w:r>
      <w:r>
        <w:rPr>
          <w:szCs w:val="20"/>
        </w:rPr>
        <w:t xml:space="preserve">) </w:t>
      </w:r>
      <w:r>
        <w:rPr>
          <w:szCs w:val="20"/>
        </w:rPr>
        <w:tab/>
        <w:t>информация об амбулаториях в строках 1 и 2 не охватывает ОЦЗ и ЦПМСО;</w:t>
      </w:r>
    </w:p>
    <w:p w:rsidR="00000000" w:rsidRDefault="00000000">
      <w:pPr>
        <w:pStyle w:val="a3"/>
        <w:tabs>
          <w:tab w:val="left" w:pos="720"/>
          <w:tab w:val="left" w:pos="1080"/>
        </w:tabs>
        <w:spacing w:after="120"/>
        <w:ind w:left="1077" w:hanging="1077"/>
        <w:rPr>
          <w:szCs w:val="20"/>
        </w:rPr>
      </w:pPr>
      <w:r>
        <w:rPr>
          <w:szCs w:val="20"/>
        </w:rPr>
        <w:tab/>
      </w:r>
      <w:r>
        <w:rPr>
          <w:szCs w:val="20"/>
          <w:lang w:val="en-US"/>
        </w:rPr>
        <w:t>ii</w:t>
      </w:r>
      <w:r>
        <w:rPr>
          <w:szCs w:val="20"/>
        </w:rPr>
        <w:t>)</w:t>
      </w:r>
      <w:r>
        <w:rPr>
          <w:szCs w:val="20"/>
        </w:rPr>
        <w:tab/>
        <w:t xml:space="preserve"> койко-места всех типов (государственные и частные) касаются аллопатических учреждений  – больниц, амбулаторий, ОЦЗ, ЦПМСО и субцентров, санаториев и туберкулезных диспансеров, а также других учреждений здравоохранения;</w:t>
      </w:r>
    </w:p>
    <w:p w:rsidR="00000000" w:rsidRDefault="00000000">
      <w:pPr>
        <w:pStyle w:val="a3"/>
        <w:tabs>
          <w:tab w:val="left" w:pos="720"/>
          <w:tab w:val="left" w:pos="1080"/>
        </w:tabs>
        <w:ind w:left="1080" w:hanging="1080"/>
        <w:rPr>
          <w:szCs w:val="20"/>
        </w:rPr>
      </w:pPr>
      <w:r>
        <w:rPr>
          <w:szCs w:val="20"/>
        </w:rPr>
        <w:tab/>
      </w:r>
      <w:r>
        <w:rPr>
          <w:szCs w:val="20"/>
          <w:lang w:val="en-US"/>
        </w:rPr>
        <w:t>iii</w:t>
      </w:r>
      <w:r>
        <w:rPr>
          <w:szCs w:val="20"/>
        </w:rPr>
        <w:t xml:space="preserve">) </w:t>
      </w:r>
      <w:r>
        <w:rPr>
          <w:szCs w:val="20"/>
        </w:rPr>
        <w:tab/>
        <w:t>с 2004 года будет доступна только информация для строк 3 и 4, и это может положить начало новой статистической серии.</w:t>
      </w:r>
    </w:p>
    <w:p w:rsidR="00000000" w:rsidRDefault="00000000">
      <w:pPr>
        <w:tabs>
          <w:tab w:val="left" w:pos="708"/>
          <w:tab w:val="left" w:pos="2524"/>
        </w:tabs>
        <w:jc w:val="both"/>
        <w:rPr>
          <w:b/>
          <w:bCs/>
          <w:sz w:val="22"/>
          <w:szCs w:val="22"/>
        </w:rPr>
      </w:pPr>
    </w:p>
    <w:p w:rsidR="00000000" w:rsidRDefault="00000000">
      <w:pPr>
        <w:keepNext/>
        <w:tabs>
          <w:tab w:val="left" w:pos="708"/>
          <w:tab w:val="left" w:pos="2524"/>
        </w:tabs>
        <w:jc w:val="both"/>
        <w:rPr>
          <w:b/>
          <w:bCs/>
          <w:sz w:val="22"/>
          <w:szCs w:val="22"/>
        </w:rPr>
      </w:pPr>
      <w:r>
        <w:rPr>
          <w:b/>
          <w:bCs/>
          <w:sz w:val="22"/>
          <w:szCs w:val="22"/>
        </w:rPr>
        <w:t>Туберкулез</w:t>
      </w:r>
    </w:p>
    <w:p w:rsidR="00000000" w:rsidRDefault="00000000">
      <w:pPr>
        <w:pStyle w:val="112"/>
        <w:keepNext/>
      </w:pPr>
      <w:r>
        <w:t>540.</w:t>
      </w:r>
      <w:r>
        <w:tab/>
        <w:t>На Индию приходится пятая часть всех случаев заболевания туберкулезом в мире.  Каждый год в Индии заражаются туберкулезом 1,8 миллионов человек, 0,8 миллиона из которых становятся носителями возбудителя инфекции.  Каждый год от туберкулеза умирают более 350 000 человек – почти 1000 человек каждый день.  Туберкулез оказывает также губительное воздействие на общество: исследования показывают, что каждый год более 300 000 детей вынуждены покидать школу, так как у их родителей туберкулез, и семьи отказываются от более чем 100 000 женщин из-за того, что у них туберкулез.  Постоянное бремя болезни тем более трагично, что почти в 100% случаев он излечим.  Пациенты, лишенные должного лечения, могут заражать 10–15 человек ежегодно; у пациентов, подвергающихся неправильному лечению, может развиться устойчивая к лекарствам и, возможно, неизлечимая форма туберкулеза.</w:t>
      </w:r>
    </w:p>
    <w:p w:rsidR="00000000" w:rsidRDefault="00000000">
      <w:pPr>
        <w:pStyle w:val="112"/>
      </w:pPr>
      <w:r>
        <w:t>541.</w:t>
      </w:r>
      <w:r>
        <w:tab/>
        <w:t>Пересмотренная национальная программа противодействия распространению туберкулеза (ПНППРТ), основывающаяся на рекомендованной к повсеместному применению стратегии ДОТС, была начата в 1997 году в целях излечения как минимум 85% новых пациентов – носителей возбудителя инфекции и выявления по меньшей мере 70% таких пациентов.  По состоянию на январь 2006 года более 97% населения страны имеет доступ к услугам ПНППРТ.  Как ожидается, до конца 2005/06 финансового года будет достигнут охват всей страны.  Поддержку ПНППРТ оказывают Всемирный банк, ГФСТМ, ЮСАИД и ГЛФ.  С момента начала программы более 5,1 миллиона пациентов было предоставлено лечение.  Только в 2005 году лечение было предоставлено 1,3 миллиона пациентов.  Показатель эффективности лечения увеличился более чем в два раза, а смертность снизилась в 7 раз по сравнению с результатами действовавшей ранее  национальной программы борьбы с туберкулезом.  С момента начала действия программы были дополнительно спасены 959 000 жизней.</w:t>
      </w:r>
    </w:p>
    <w:p w:rsidR="00000000" w:rsidRDefault="00000000">
      <w:pPr>
        <w:tabs>
          <w:tab w:val="left" w:pos="708"/>
          <w:tab w:val="left" w:pos="2524"/>
        </w:tabs>
        <w:jc w:val="both"/>
        <w:rPr>
          <w:b/>
          <w:bCs/>
          <w:sz w:val="22"/>
          <w:szCs w:val="22"/>
        </w:rPr>
      </w:pPr>
    </w:p>
    <w:p w:rsidR="00000000" w:rsidRDefault="00000000">
      <w:pPr>
        <w:tabs>
          <w:tab w:val="left" w:pos="708"/>
          <w:tab w:val="left" w:pos="2524"/>
        </w:tabs>
        <w:spacing w:before="120"/>
        <w:jc w:val="both"/>
        <w:rPr>
          <w:b/>
          <w:bCs/>
          <w:sz w:val="22"/>
          <w:szCs w:val="22"/>
        </w:rPr>
      </w:pPr>
      <w:r>
        <w:rPr>
          <w:b/>
          <w:bCs/>
          <w:sz w:val="22"/>
          <w:szCs w:val="22"/>
        </w:rPr>
        <w:t>СПИД</w:t>
      </w:r>
    </w:p>
    <w:p w:rsidR="00000000" w:rsidRDefault="00000000">
      <w:pPr>
        <w:pStyle w:val="112"/>
      </w:pPr>
      <w:r>
        <w:t>542.</w:t>
      </w:r>
      <w:r>
        <w:tab/>
        <w:t>Национальная программа борьбы со СПИДом (НПБС) была инициирована в 1987 году при поддержке Всемирного банка и ВОЗ.  Национальная организация по борьбе со СПИДом (НОБС) была создана Министерством здравоохранения и благосостояния семьи для осуществления различных мер в рамках  программы.  В августе 1995 года для руководства программой был создан Совет по борьбе с распространением СПИДа.</w:t>
      </w:r>
    </w:p>
    <w:p w:rsidR="00000000" w:rsidRDefault="00000000">
      <w:pPr>
        <w:pStyle w:val="112"/>
      </w:pPr>
      <w:r>
        <w:t>543.</w:t>
      </w:r>
      <w:r>
        <w:tab/>
        <w:t>В осуществлении программы на первом этапе содействовал Всемирный банк (1992–</w:t>
      </w:r>
      <w:r>
        <w:br/>
        <w:t>1999 годы).  Второй этап (СПИД-</w:t>
      </w:r>
      <w:r>
        <w:rPr>
          <w:lang w:val="en-US"/>
        </w:rPr>
        <w:t>II</w:t>
      </w:r>
      <w:r>
        <w:t>) осуществляется при поддержке Всемирного банка, Агентства США по международному развитию и Министерства по вопросам   международного развития.  Его целью является стабилизация уровня инфицирования ВИЧ/СПИДа среди населения, снижение доли передачи ВИЧ-инфекции при переливании крови до уровня менее 1% от всех случаев передачи ВИЧ-инфекции, достижение уровня осведомленности молодежи и прочих лиц репродуктивного возраста как минимум до 90% и уровня использования презервативов среди категорий повышенного риска, таких как профессиональные работники секс-индустрии, водители грузовых автомобилей и т. д.,  как минимум до 90%.</w:t>
      </w:r>
    </w:p>
    <w:p w:rsidR="00000000" w:rsidRDefault="00000000">
      <w:pPr>
        <w:pStyle w:val="112"/>
      </w:pPr>
      <w:r>
        <w:t>544.</w:t>
      </w:r>
      <w:r>
        <w:tab/>
        <w:t xml:space="preserve">Меры по осуществлению программы были децентрализованы и во всех штатах/союзных территориях были учреждены организации по борьбе с распространением СПИДа, получающие соответствующую поддержку со стороны НОБС.  При разработке национальной политики профилактики СПИДа и борьбы с ним и национальной политики по вопросам переливания крови использовался целостный подход к проблеме профилактики и борьбы с ВИЧ/СПИДом, в рамках которого это заболевание рассматривается как проблема в области развития, а не просто </w:t>
      </w:r>
      <w:r>
        <w:br/>
        <w:t>один из вопросов здравоохранения.  Каждый август – октябрь НОБС проводит широкомасштабное эпидемиологическое исследование в целях отслеживания тенденций в распространении ВИЧ/СПИДа в стране; на основании данных этого обследования производится категоризация штатов.  По оценкам, в конце 2002 года число живущих с ВИЧ/СПИДом мужчин, женщин и детей составляло 4,58 миллиона человек.</w:t>
      </w:r>
    </w:p>
    <w:p w:rsidR="00000000" w:rsidRDefault="00000000">
      <w:pPr>
        <w:pStyle w:val="112"/>
      </w:pPr>
      <w:r>
        <w:t>545.</w:t>
      </w:r>
      <w:r>
        <w:tab/>
        <w:t>Основным компонентом проекта СПИД-II являются целевые акции.  В центрах предотвращения передачи заболевания от родителей ребенку ВИЧ-инфицированным матерям и их детям единовременно предоставляют дозу антиретровирусного препарата ("невирапина").  Правительство привержено цели поэтапного обеспечения бесплатным антиретровирусным лечением приоритетных сегментов населения с ВИЧ/СПИДом, таких как женщины, попадающие в сферу действия программы предотвращения передачи заболевания от родителей ребенку, больные СПИДом дети, еще не достигшие 15 лет, и больные СПИДом лица, лечащиеся в государственных больницах шести штатов, в которых широко распространено это заболевание.</w:t>
      </w:r>
    </w:p>
    <w:p w:rsidR="00000000" w:rsidRDefault="00000000">
      <w:pPr>
        <w:pStyle w:val="112"/>
        <w:rPr>
          <w:rStyle w:val="111"/>
          <w:szCs w:val="22"/>
        </w:rPr>
      </w:pPr>
      <w:r>
        <w:rPr>
          <w:rStyle w:val="111"/>
          <w:szCs w:val="22"/>
        </w:rPr>
        <w:t>546.</w:t>
      </w:r>
      <w:r>
        <w:rPr>
          <w:rStyle w:val="111"/>
          <w:szCs w:val="22"/>
        </w:rPr>
        <w:tab/>
        <w:t>Организована кампания по повышению уровня осведомленности семей (</w:t>
      </w:r>
      <w:r>
        <w:rPr>
          <w:i/>
          <w:iCs/>
        </w:rPr>
        <w:t>Сваст Юван Мела</w:t>
      </w:r>
      <w:r>
        <w:rPr>
          <w:rStyle w:val="111"/>
          <w:szCs w:val="22"/>
        </w:rPr>
        <w:t>) для борьбы с распространением инфекций, передающихся половым путем, и с ВИЧ/СПИДом посредством повышения осведомленности жителей городских и сельских трущоб при помощи социальной мобилизации благодаря участию общин.  Для повышения уровня осведомленности основной массы населения правительство начало разнообразные программы, такие как "Наука выживания"  (учебный модуль в школах), проект "Поговорим о СПИДе" в университетах, телевизионные ток-шоу как для городского, так и для сельского населения, и т. п.  Была создана бесплатная национальная телефонная линия помощи для больных СПИДом, позволяющая получить информацию и проконсультироваться по вопросам, касающимся ВИЧ/СПИДа.</w:t>
      </w:r>
    </w:p>
    <w:p w:rsidR="00000000" w:rsidRDefault="00000000">
      <w:pPr>
        <w:pStyle w:val="112"/>
        <w:rPr>
          <w:rStyle w:val="111"/>
          <w:szCs w:val="22"/>
        </w:rPr>
      </w:pPr>
      <w:r>
        <w:rPr>
          <w:rStyle w:val="111"/>
          <w:szCs w:val="22"/>
        </w:rPr>
        <w:t>547.</w:t>
      </w:r>
      <w:r>
        <w:rPr>
          <w:rStyle w:val="111"/>
          <w:szCs w:val="22"/>
        </w:rPr>
        <w:tab/>
        <w:t>Вынося решение по одному из дел</w:t>
      </w:r>
      <w:r>
        <w:rPr>
          <w:rStyle w:val="FootnoteReference"/>
          <w:szCs w:val="22"/>
        </w:rPr>
        <w:footnoteReference w:customMarkFollows="1" w:id="74"/>
        <w:t>73</w:t>
      </w:r>
      <w:r>
        <w:rPr>
          <w:rStyle w:val="111"/>
          <w:szCs w:val="22"/>
        </w:rPr>
        <w:t xml:space="preserve">, Верховный суд распорядился устранить серьезные изъяны и недостатки, существующие в области забора, хранения и поставок донорской крови через сеть центров переливания крови в стране в контексте распространения ВИЧ-инфекции.  В рамках выполнения этого решения НОБС осуществляет программу безопасного переливания крови.  Начиная с 1 января 1998 года в стране было запрещено функционирование коммерческой системы донорских центров.  С июня 2001 года всю донорскую кровь необходимо проверять на антитела вируса гепатита  С, помимо осуществлявшихся и ранее проверок на гепатит B, ВИЧ-инфекцию, сифилис и малярию. </w:t>
      </w:r>
    </w:p>
    <w:p w:rsidR="00000000" w:rsidRDefault="00000000">
      <w:pPr>
        <w:pStyle w:val="112"/>
      </w:pPr>
      <w:r>
        <w:t>548.</w:t>
      </w:r>
      <w:r>
        <w:tab/>
        <w:t>НОБС усовершенствовала/модернизировала банки крови в нескольких городах и устроила центры хранения донорской крови в тех районах, где функционирование банков крови невозможно.  Центральные лицензирующие органы Центральной организации по контролю за соответствием стандартам лекарственных средств в Нью-Дели, а также лицензирующие органы штатов занимаются лицензированием банков крови, продуктов крови, больших объемов парентеральных средств, сывороток и вакцин.</w:t>
      </w:r>
    </w:p>
    <w:p w:rsidR="00000000" w:rsidRDefault="00000000">
      <w:pPr>
        <w:jc w:val="both"/>
        <w:rPr>
          <w:b/>
          <w:sz w:val="22"/>
          <w:szCs w:val="22"/>
        </w:rPr>
      </w:pPr>
    </w:p>
    <w:p w:rsidR="00000000" w:rsidRDefault="00000000">
      <w:pPr>
        <w:jc w:val="both"/>
        <w:rPr>
          <w:b/>
          <w:sz w:val="22"/>
          <w:szCs w:val="22"/>
        </w:rPr>
      </w:pPr>
      <w:r>
        <w:rPr>
          <w:b/>
          <w:sz w:val="22"/>
          <w:szCs w:val="22"/>
        </w:rPr>
        <w:t xml:space="preserve">Неинфекционные заболевания </w:t>
      </w:r>
    </w:p>
    <w:p w:rsidR="00000000" w:rsidRDefault="00000000">
      <w:pPr>
        <w:pStyle w:val="112"/>
      </w:pPr>
      <w:r>
        <w:t>549.</w:t>
      </w:r>
      <w:r>
        <w:tab/>
        <w:t xml:space="preserve">Снижение уровня смертности и увеличение средней продолжительности жизни, находящие свое выражение в эпидемиологическом и демографическом переходе, привели к повышению распространенности неинфекционных заболеваний.  Отмечается также большее распространение неинфекционных заболеваний среди молодежи, связанное с изменением  образа жизни, нагрузок, связанных с ожирением, воздействием факторов экологического риска и употреблением табачных изделий.  Предпринимаются усилия по улучшению профилактических, лечебных и реабилитационных услуг в случае неинфекционных заболеваний, как это предусмотрено в десятом </w:t>
      </w:r>
      <w:r>
        <w:rPr>
          <w:caps/>
        </w:rPr>
        <w:t>п</w:t>
      </w:r>
      <w:r>
        <w:t>ятилетнем плане (2002–2007 годы).</w:t>
      </w:r>
    </w:p>
    <w:p w:rsidR="00000000" w:rsidRDefault="00000000">
      <w:pPr>
        <w:pStyle w:val="112"/>
      </w:pPr>
      <w:r>
        <w:t>550.</w:t>
      </w:r>
      <w:r>
        <w:tab/>
        <w:t>Наиболее распространенными неинфекционными заболеваниями являются заболевания сердечно-сосудистой системы, сахарный диабет, онкологические заболевания  и хронические обструктивные заболевания легких.  Было установлено, что важными факторами риска, связанными с образом жизни, являются употребление табачных изделий, нездоровое питание и недостаточная физическая активность.  Экономический переход, урбанизация, индустриализация и глобализация привносят в образ жизни изменения, провоцирующие неинфекционные заболевания.  Быстро увеличивающаяся средняя продолжительность жизни приводит к тому, что население подвергается этим факторам риска в течение более продолжительного периода времени, что способствует возникновению неинфекционных заболеваний.  Новые факторы риска заболеваний сердечно-сосудистой системы, такие как рождение с низкой массой тела, недостаток фолиевой кислоты и инфекции, также чаще встречаются среди беднейших слоев населения в странах с низким  и средним уровнем доходов, к которым относится Индия.</w:t>
      </w:r>
    </w:p>
    <w:p w:rsidR="00000000" w:rsidRDefault="00000000">
      <w:pPr>
        <w:pStyle w:val="112"/>
      </w:pPr>
      <w:r>
        <w:t>551.</w:t>
      </w:r>
      <w:r>
        <w:tab/>
        <w:t>Рассматривается вопрос об осуществлении в стране всеобъемлющей национальной программы борьбы с наиболее распространенными неинфекционными заболеваниями, такими как диабет, заболевания сердечно-сосудистой системы и инсульты, которая предоставила бы возможность бороться с распространением этих заболеваний посредством поощрения здорового образа жизни и комплексных стратегических мер.</w:t>
      </w:r>
    </w:p>
    <w:p w:rsidR="00000000" w:rsidRDefault="00000000">
      <w:pPr>
        <w:jc w:val="both"/>
        <w:rPr>
          <w:b/>
          <w:sz w:val="22"/>
          <w:szCs w:val="22"/>
        </w:rPr>
      </w:pPr>
    </w:p>
    <w:p w:rsidR="00000000" w:rsidRDefault="00000000">
      <w:pPr>
        <w:spacing w:before="80"/>
        <w:jc w:val="both"/>
        <w:rPr>
          <w:b/>
          <w:sz w:val="22"/>
          <w:szCs w:val="22"/>
        </w:rPr>
      </w:pPr>
      <w:r>
        <w:rPr>
          <w:b/>
          <w:sz w:val="22"/>
          <w:szCs w:val="22"/>
        </w:rPr>
        <w:t>Рак</w:t>
      </w:r>
    </w:p>
    <w:p w:rsidR="00000000" w:rsidRDefault="00000000">
      <w:pPr>
        <w:pStyle w:val="112"/>
      </w:pPr>
      <w:r>
        <w:t>552.</w:t>
      </w:r>
      <w:r>
        <w:tab/>
        <w:t>Национальная программа борьбы с раком, начатая в 1975 году, периодически пересматривалась для того, чтобы соответствовать меняющимся потребностям/требованиям для борьбы с этой болезнью.  Последний ее пересмотр, при котором основное внимание уделялось исправлению неравномерного географического распределения онкологических центров, был проведен в декабре 2004 года.  Программа уделяет основное внимание расширению/укреплению онкологических центров в стране, а также децентрализованной деятельности по профилактике и раннему выявлению рака.  Финансовая поддержка перечисленным мероприятиям оказывается в рамках пяти различных схем.  В стране существуют 24 региональных онкологических центра, предоставляющих всеобъемлющую онкологическую помощь.  Существует 210 центров, располагающих 345 установками для лучевой терапии.  Уже принято всеобъемлющее законодательство по контролю за употреблением табачных изделий в стране, которое, как ожидается, окажет большое влияние на борьбу с раком и другими неинфекционными заболеваниями.  Кроме того, в Министерстве здравоохранения и благосостояния семьи создано управление по проблеме табачных изделий.</w:t>
      </w:r>
    </w:p>
    <w:p w:rsidR="00000000" w:rsidRDefault="00000000">
      <w:pPr>
        <w:jc w:val="both"/>
        <w:rPr>
          <w:b/>
          <w:sz w:val="22"/>
          <w:szCs w:val="22"/>
        </w:rPr>
      </w:pPr>
    </w:p>
    <w:p w:rsidR="00000000" w:rsidRDefault="00000000">
      <w:pPr>
        <w:keepNext/>
        <w:spacing w:before="80"/>
        <w:jc w:val="both"/>
        <w:rPr>
          <w:b/>
          <w:sz w:val="22"/>
          <w:szCs w:val="22"/>
        </w:rPr>
      </w:pPr>
      <w:r>
        <w:rPr>
          <w:b/>
          <w:sz w:val="22"/>
          <w:szCs w:val="22"/>
        </w:rPr>
        <w:t>Слепота</w:t>
      </w:r>
    </w:p>
    <w:p w:rsidR="00000000" w:rsidRDefault="00000000">
      <w:pPr>
        <w:pStyle w:val="112"/>
        <w:keepNext/>
      </w:pPr>
      <w:r>
        <w:t>553.</w:t>
      </w:r>
      <w:r>
        <w:tab/>
        <w:t>В 1976 году была инициирована Национальная программа борьбы со слепотой.  В рамках этой программы было модернизировано 11 региональных офтальмологических институтов и 82 медицинских учебных заведений, а 445 окружных больниц были оснащены оборудованием для предоставления офтальмологических услуг.  В ходе осуществления проекта по борьбе с распространением слепоты, связанной с катарактой, поддержку которому оказывал Всемирный банк, были построены 307 новых больничных палаты и операционных для людей, страдающих заболеваниями органов зрения.  Более 1000 хирургов прошли обучение по имплантации хрусталика, 80 центральных и 341 окружная мобильная группа организуют лагеря проверки зрения.  На первичном уровне 5633 медико-санитарных центра в ходе модернизации были оснащены офтальмологическим оборудованием и укомплектованы консультантами по офтальмологическим вопросам.  Действуют 580 окружных центров по борьбе со слепотой.  По предварительным данным, за 2002–2003 годы было проведено более 3,8 миллионов операций на катаракту.</w:t>
      </w:r>
    </w:p>
    <w:p w:rsidR="00000000" w:rsidRDefault="00000000">
      <w:pPr>
        <w:jc w:val="both"/>
        <w:rPr>
          <w:b/>
          <w:bCs/>
          <w:sz w:val="22"/>
          <w:szCs w:val="22"/>
        </w:rPr>
      </w:pPr>
    </w:p>
    <w:p w:rsidR="00000000" w:rsidRDefault="00000000">
      <w:pPr>
        <w:spacing w:before="80"/>
        <w:jc w:val="both"/>
        <w:rPr>
          <w:b/>
          <w:bCs/>
          <w:sz w:val="22"/>
          <w:szCs w:val="22"/>
        </w:rPr>
      </w:pPr>
      <w:r>
        <w:rPr>
          <w:b/>
          <w:bCs/>
          <w:sz w:val="22"/>
          <w:szCs w:val="22"/>
        </w:rPr>
        <w:t>Недостаток йода</w:t>
      </w:r>
    </w:p>
    <w:p w:rsidR="00000000" w:rsidRDefault="00000000">
      <w:pPr>
        <w:pStyle w:val="112"/>
      </w:pPr>
      <w:r>
        <w:t>554.</w:t>
      </w:r>
      <w:r>
        <w:tab/>
        <w:t>Привлечением внимания к проблеме и охватом всего спектра расстройств, связанных с недостатком йода, занимается национальная программа борьбы с расстройствами, вызванными недостатком йода, появившаяся в 1992 году в результате реструктурирования осуществлявшейся ранее национальной программы борьбы с зобом.  Для обеспечения сбалансированного потребления йода всем населением страны правительство поощряет йодирование пищевой соли.  На данный момент 31 штат/союзная территория полностью запретили продажу нейодированной пищевой соли; в двух штатах на ее продажу введен частичный запрет.</w:t>
      </w:r>
    </w:p>
    <w:p w:rsidR="00000000" w:rsidRDefault="00000000">
      <w:pPr>
        <w:pStyle w:val="112"/>
      </w:pPr>
      <w:r>
        <w:t>555.</w:t>
      </w:r>
      <w:r>
        <w:tab/>
        <w:t>В рамках Программы искоренения фрамбезии в округе Корапут в штате Орисса в 1996–</w:t>
      </w:r>
      <w:r>
        <w:br/>
        <w:t>1997 годах был начат пробный проект.  Головным учреждением, отвечающим за искоренение фрамбезии в стране, является Национальный институт инфекционных заболеваний.</w:t>
      </w:r>
    </w:p>
    <w:p w:rsidR="00000000" w:rsidRDefault="00000000">
      <w:pPr>
        <w:jc w:val="both"/>
        <w:rPr>
          <w:b/>
          <w:bCs/>
          <w:sz w:val="22"/>
          <w:szCs w:val="22"/>
        </w:rPr>
      </w:pPr>
    </w:p>
    <w:p w:rsidR="00000000" w:rsidRDefault="00000000">
      <w:pPr>
        <w:spacing w:before="80"/>
        <w:jc w:val="both"/>
        <w:rPr>
          <w:b/>
          <w:bCs/>
          <w:sz w:val="22"/>
          <w:szCs w:val="22"/>
        </w:rPr>
      </w:pPr>
      <w:r>
        <w:rPr>
          <w:b/>
          <w:bCs/>
          <w:sz w:val="22"/>
          <w:szCs w:val="22"/>
        </w:rPr>
        <w:t>Психическое здоровье</w:t>
      </w:r>
    </w:p>
    <w:p w:rsidR="00000000" w:rsidRDefault="00000000">
      <w:pPr>
        <w:jc w:val="both"/>
        <w:rPr>
          <w:bCs/>
          <w:sz w:val="22"/>
          <w:szCs w:val="22"/>
        </w:rPr>
      </w:pPr>
    </w:p>
    <w:p w:rsidR="00000000" w:rsidRDefault="00000000">
      <w:pPr>
        <w:jc w:val="both"/>
        <w:rPr>
          <w:bCs/>
          <w:sz w:val="22"/>
          <w:szCs w:val="22"/>
        </w:rPr>
      </w:pPr>
      <w:r>
        <w:rPr>
          <w:bCs/>
          <w:sz w:val="22"/>
          <w:szCs w:val="22"/>
        </w:rPr>
        <w:t>556.</w:t>
      </w:r>
      <w:r>
        <w:rPr>
          <w:bCs/>
          <w:sz w:val="22"/>
          <w:szCs w:val="22"/>
        </w:rPr>
        <w:tab/>
        <w:t>Национальная программа охраны  психического здоровья была начата в 1982 году в целях обеспечения минимального приемлемого уровня психического здоровья для всего населения в обозримом будущем.  В 1996–1997 годах была развернута окружная программа психического здоровья, предполагающая основанный на взаимодействии с общинами подход к решению проблем, связанных с психическим здоровьем в периферийных общинах; эта программа имеет своей целью раннее помещение под надзор и лечение душевнобольных, а также обеспечение дальнейшего ухода за лицами, выписанными из больниц для душевнобольных на общинном уровне.  Для обеспечения выполнения Закона о психическом здоровье 1987 года, защищающего пациентов, страдающих психическими заболевании, от стигматизации и дискриминации, на центральном уровне и на уровне штатов были созданы органы по вопросам психического здоровья.  Кроме того, согласно Закону об обеспечении равных возможностей, защиты прав и полноценного участия в жизни общества инвалидам 1995 года психические заболевания признаются одним из видов инвалидности.  В настоящее время 50% медицинских учебных заведений имеют факультеты психиатрии.  В специализированных больницах для душевнобольных насчитывается 20 000 койко-мест, еще от 2000 до 3000 койко-мест имеются в больницах общей специализации и больницах при учебных заведениях.  НКПЧ совместно с центральным правительством также ведет мониторинг условий содержания в больницах для душевнобольных.  Национальный институт психического здоровья и неврологии (Бангалор) по мере необходимости предоставляет техническую помощь.</w:t>
      </w:r>
    </w:p>
    <w:p w:rsidR="00000000" w:rsidRDefault="00000000">
      <w:pPr>
        <w:jc w:val="both"/>
        <w:rPr>
          <w:b/>
          <w:bCs/>
          <w:sz w:val="22"/>
          <w:szCs w:val="22"/>
        </w:rPr>
      </w:pPr>
    </w:p>
    <w:p w:rsidR="00000000" w:rsidRDefault="00000000">
      <w:pPr>
        <w:keepNext/>
        <w:spacing w:before="80"/>
        <w:jc w:val="both"/>
        <w:rPr>
          <w:b/>
          <w:bCs/>
          <w:sz w:val="22"/>
          <w:szCs w:val="22"/>
        </w:rPr>
      </w:pPr>
      <w:r>
        <w:rPr>
          <w:b/>
          <w:bCs/>
          <w:sz w:val="22"/>
          <w:szCs w:val="22"/>
        </w:rPr>
        <w:t>Механизм наблюдения за распространением заболеваний</w:t>
      </w:r>
    </w:p>
    <w:p w:rsidR="00000000" w:rsidRDefault="00000000">
      <w:pPr>
        <w:keepNext/>
        <w:jc w:val="both"/>
        <w:rPr>
          <w:bCs/>
          <w:sz w:val="22"/>
          <w:szCs w:val="22"/>
        </w:rPr>
      </w:pPr>
    </w:p>
    <w:p w:rsidR="00000000" w:rsidRDefault="00000000">
      <w:pPr>
        <w:keepNext/>
        <w:jc w:val="both"/>
        <w:rPr>
          <w:bCs/>
          <w:sz w:val="22"/>
          <w:szCs w:val="22"/>
        </w:rPr>
      </w:pPr>
      <w:r>
        <w:rPr>
          <w:bCs/>
          <w:sz w:val="22"/>
          <w:szCs w:val="22"/>
        </w:rPr>
        <w:t>557.</w:t>
      </w:r>
      <w:r>
        <w:rPr>
          <w:bCs/>
          <w:sz w:val="22"/>
          <w:szCs w:val="22"/>
        </w:rPr>
        <w:tab/>
        <w:t>Национальная программа наблюдения за распространением инфекционных заболеваний (НПНРИЗ) была объединена с проектом комплексного наблюдения за распространением заболеваний (ПКНРЗ), который в настоящее время распространяется на 23 штата и охватывает 101 округ, изначально включенный в НПНРИЗ.  Еще через год ПКНРЗ, по всей вероятности, будут охвачены все округа страны.  Эта программа предполагает также наблюдение за недавно появившимися заболеваниями и осложнениями, а ее охват значительно превышает охват НПНРИЗ.</w:t>
      </w:r>
    </w:p>
    <w:p w:rsidR="00000000" w:rsidRDefault="00000000">
      <w:pPr>
        <w:jc w:val="both"/>
        <w:rPr>
          <w:b/>
          <w:bCs/>
          <w:sz w:val="22"/>
          <w:szCs w:val="22"/>
        </w:rPr>
      </w:pPr>
    </w:p>
    <w:p w:rsidR="00000000" w:rsidRDefault="00000000">
      <w:pPr>
        <w:jc w:val="both"/>
        <w:rPr>
          <w:b/>
          <w:bCs/>
          <w:sz w:val="22"/>
          <w:szCs w:val="22"/>
        </w:rPr>
      </w:pPr>
      <w:r>
        <w:rPr>
          <w:b/>
          <w:bCs/>
          <w:sz w:val="22"/>
          <w:szCs w:val="22"/>
        </w:rPr>
        <w:t>Охрана здоровья матери и ребенка</w:t>
      </w:r>
    </w:p>
    <w:p w:rsidR="00000000" w:rsidRDefault="00000000">
      <w:pPr>
        <w:jc w:val="both"/>
        <w:rPr>
          <w:bCs/>
          <w:sz w:val="22"/>
          <w:szCs w:val="22"/>
        </w:rPr>
      </w:pPr>
    </w:p>
    <w:p w:rsidR="00000000" w:rsidRDefault="00000000">
      <w:pPr>
        <w:jc w:val="both"/>
        <w:rPr>
          <w:bCs/>
          <w:sz w:val="22"/>
          <w:szCs w:val="22"/>
        </w:rPr>
      </w:pPr>
      <w:r>
        <w:rPr>
          <w:bCs/>
          <w:sz w:val="22"/>
          <w:szCs w:val="22"/>
        </w:rPr>
        <w:t>558.</w:t>
      </w:r>
      <w:r>
        <w:rPr>
          <w:bCs/>
          <w:sz w:val="22"/>
          <w:szCs w:val="22"/>
        </w:rPr>
        <w:tab/>
        <w:t>С 1950-х в стране осуществляются различные программы обеспечения благополучия семьи для контроля за ростом населения и пропаганды планирования семьи и распределения рождений детей по периоду брака.  Услуги, связанные с охраной здоровья матери и ребенка, являются наиболее важной частью программ обеспечения благополучия семьи.  В течение многих лет департамент по делам благополучия семьи осуществлял множество программ, специально предназначенных для снижения уровня смертности матерей и детей.  В 2000 году была разработана национальная демографическая политика, устанавливающая основы политики для постановки целей и определения приоритетных стратегий следующего десятилетия для удовлетворения репродуктивных потребностей и потребностей в области детского здравоохранения индийского народа.  Страна поставила цель снизить уровень детской смертности до 45 на 1000 рождений к 2007 году и до 28 на 1000 рождений к 2012 году, а уровень материнской смертности до 2 на 1000 живорождений к 2007 году и до 1 на 1000 живорождений к 2012 году.</w:t>
      </w:r>
    </w:p>
    <w:p w:rsidR="00000000" w:rsidRDefault="00000000">
      <w:pPr>
        <w:jc w:val="both"/>
        <w:rPr>
          <w:sz w:val="22"/>
          <w:szCs w:val="22"/>
          <w:lang w:val="en-US"/>
        </w:rPr>
      </w:pPr>
    </w:p>
    <w:p w:rsidR="00000000" w:rsidRDefault="00000000">
      <w:pPr>
        <w:jc w:val="both"/>
        <w:rPr>
          <w:sz w:val="22"/>
          <w:szCs w:val="22"/>
        </w:rPr>
      </w:pPr>
      <w:r>
        <w:rPr>
          <w:sz w:val="22"/>
          <w:szCs w:val="22"/>
        </w:rPr>
        <w:t>559.</w:t>
      </w:r>
      <w:r>
        <w:rPr>
          <w:sz w:val="22"/>
          <w:szCs w:val="22"/>
        </w:rPr>
        <w:tab/>
        <w:t>В 1985 году была инициирована Программа всеобщей вакцинации (ПВВ) в целях полного охвата детей и беременных женщин вакцинацией от шести заболеваний, которые можно предупредить при помощи вакцины:  туберкулеза, дифтерии, коклюша, столбняка, полиомиелита и кори.  Как видно из приведенной ниже таблицы, было отмечено значительное улучшение ситуации в плане как  охвата, так и снижения числа этих заболеваний.</w:t>
      </w:r>
    </w:p>
    <w:p w:rsidR="00000000" w:rsidRDefault="00000000">
      <w:pPr>
        <w:pStyle w:val="112"/>
        <w:spacing w:after="120"/>
        <w:rPr>
          <w:b/>
          <w:bCs/>
        </w:rPr>
      </w:pPr>
      <w:r>
        <w:rPr>
          <w:b/>
          <w:bCs/>
        </w:rPr>
        <w:t>Состояние вакцинации (охват в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1"/>
        <w:gridCol w:w="3000"/>
        <w:gridCol w:w="2558"/>
      </w:tblGrid>
      <w:tr w:rsidR="00000000">
        <w:trPr>
          <w:cantSplit/>
          <w:jc w:val="center"/>
        </w:trPr>
        <w:tc>
          <w:tcPr>
            <w:tcW w:w="4081" w:type="dxa"/>
            <w:vMerge w:val="restart"/>
          </w:tcPr>
          <w:p w:rsidR="00000000" w:rsidRDefault="00000000">
            <w:pPr>
              <w:spacing w:before="20" w:after="20"/>
              <w:jc w:val="both"/>
              <w:rPr>
                <w:b/>
                <w:sz w:val="20"/>
                <w:szCs w:val="20"/>
              </w:rPr>
            </w:pPr>
            <w:r>
              <w:rPr>
                <w:b/>
                <w:sz w:val="20"/>
                <w:szCs w:val="20"/>
              </w:rPr>
              <w:t>Заболевание</w:t>
            </w:r>
          </w:p>
        </w:tc>
        <w:tc>
          <w:tcPr>
            <w:tcW w:w="5558" w:type="dxa"/>
            <w:gridSpan w:val="2"/>
          </w:tcPr>
          <w:p w:rsidR="00000000" w:rsidRDefault="00000000">
            <w:pPr>
              <w:spacing w:before="20" w:after="20"/>
              <w:jc w:val="center"/>
              <w:rPr>
                <w:b/>
                <w:sz w:val="20"/>
                <w:szCs w:val="20"/>
              </w:rPr>
            </w:pPr>
            <w:r>
              <w:rPr>
                <w:b/>
                <w:sz w:val="20"/>
                <w:szCs w:val="20"/>
              </w:rPr>
              <w:t>Охват</w:t>
            </w:r>
          </w:p>
        </w:tc>
      </w:tr>
      <w:tr w:rsidR="00000000">
        <w:trPr>
          <w:cantSplit/>
          <w:jc w:val="center"/>
        </w:trPr>
        <w:tc>
          <w:tcPr>
            <w:tcW w:w="4081" w:type="dxa"/>
            <w:vMerge/>
            <w:tcBorders>
              <w:bottom w:val="single" w:sz="4" w:space="0" w:color="auto"/>
            </w:tcBorders>
          </w:tcPr>
          <w:p w:rsidR="00000000" w:rsidRDefault="00000000">
            <w:pPr>
              <w:spacing w:before="20" w:after="20"/>
              <w:jc w:val="both"/>
              <w:rPr>
                <w:b/>
                <w:sz w:val="20"/>
                <w:szCs w:val="20"/>
              </w:rPr>
            </w:pPr>
          </w:p>
        </w:tc>
        <w:tc>
          <w:tcPr>
            <w:tcW w:w="3000" w:type="dxa"/>
            <w:tcBorders>
              <w:bottom w:val="single" w:sz="4" w:space="0" w:color="auto"/>
            </w:tcBorders>
          </w:tcPr>
          <w:p w:rsidR="00000000" w:rsidRDefault="00000000">
            <w:pPr>
              <w:spacing w:before="20" w:after="20"/>
              <w:jc w:val="center"/>
              <w:rPr>
                <w:b/>
                <w:sz w:val="20"/>
                <w:szCs w:val="20"/>
              </w:rPr>
            </w:pPr>
            <w:r>
              <w:rPr>
                <w:b/>
                <w:sz w:val="20"/>
                <w:szCs w:val="20"/>
              </w:rPr>
              <w:t>1985/86 год</w:t>
            </w:r>
          </w:p>
        </w:tc>
        <w:tc>
          <w:tcPr>
            <w:tcW w:w="2558" w:type="dxa"/>
            <w:tcBorders>
              <w:bottom w:val="single" w:sz="4" w:space="0" w:color="auto"/>
            </w:tcBorders>
          </w:tcPr>
          <w:p w:rsidR="00000000" w:rsidRDefault="00000000">
            <w:pPr>
              <w:spacing w:before="20" w:after="20"/>
              <w:jc w:val="center"/>
              <w:rPr>
                <w:b/>
                <w:sz w:val="20"/>
                <w:szCs w:val="20"/>
              </w:rPr>
            </w:pPr>
            <w:r>
              <w:rPr>
                <w:b/>
                <w:sz w:val="20"/>
                <w:szCs w:val="20"/>
              </w:rPr>
              <w:t>2001/02 год</w:t>
            </w:r>
          </w:p>
        </w:tc>
      </w:tr>
      <w:tr w:rsidR="00000000">
        <w:trPr>
          <w:cantSplit/>
          <w:jc w:val="center"/>
        </w:trPr>
        <w:tc>
          <w:tcPr>
            <w:tcW w:w="4081" w:type="dxa"/>
            <w:tcBorders>
              <w:bottom w:val="nil"/>
            </w:tcBorders>
          </w:tcPr>
          <w:p w:rsidR="00000000" w:rsidRDefault="00000000">
            <w:pPr>
              <w:pStyle w:val="112"/>
              <w:spacing w:before="20" w:after="20"/>
              <w:rPr>
                <w:sz w:val="20"/>
              </w:rPr>
            </w:pPr>
            <w:r>
              <w:rPr>
                <w:sz w:val="20"/>
              </w:rPr>
              <w:t>Для беременных женщин:</w:t>
            </w:r>
          </w:p>
        </w:tc>
        <w:tc>
          <w:tcPr>
            <w:tcW w:w="3000" w:type="dxa"/>
            <w:tcBorders>
              <w:bottom w:val="nil"/>
            </w:tcBorders>
          </w:tcPr>
          <w:p w:rsidR="00000000" w:rsidRDefault="00000000">
            <w:pPr>
              <w:pStyle w:val="112"/>
              <w:spacing w:before="20" w:after="20"/>
              <w:rPr>
                <w:sz w:val="20"/>
              </w:rPr>
            </w:pPr>
          </w:p>
        </w:tc>
        <w:tc>
          <w:tcPr>
            <w:tcW w:w="2558" w:type="dxa"/>
            <w:tcBorders>
              <w:bottom w:val="nil"/>
            </w:tcBorders>
          </w:tcPr>
          <w:p w:rsidR="00000000" w:rsidRDefault="00000000">
            <w:pPr>
              <w:pStyle w:val="112"/>
              <w:spacing w:before="20" w:after="20"/>
              <w:rPr>
                <w:sz w:val="20"/>
              </w:rPr>
            </w:pPr>
          </w:p>
        </w:tc>
      </w:tr>
      <w:tr w:rsidR="00000000">
        <w:trPr>
          <w:jc w:val="center"/>
        </w:trPr>
        <w:tc>
          <w:tcPr>
            <w:tcW w:w="4081" w:type="dxa"/>
            <w:tcBorders>
              <w:top w:val="nil"/>
              <w:bottom w:val="single" w:sz="4" w:space="0" w:color="auto"/>
              <w:right w:val="single" w:sz="4" w:space="0" w:color="auto"/>
            </w:tcBorders>
          </w:tcPr>
          <w:p w:rsidR="00000000" w:rsidRDefault="00000000">
            <w:pPr>
              <w:pStyle w:val="112"/>
              <w:spacing w:before="20" w:after="20"/>
              <w:ind w:left="567"/>
              <w:rPr>
                <w:sz w:val="20"/>
              </w:rPr>
            </w:pPr>
            <w:r>
              <w:rPr>
                <w:sz w:val="20"/>
              </w:rPr>
              <w:t>Столбнячный анатоксин</w:t>
            </w:r>
          </w:p>
        </w:tc>
        <w:tc>
          <w:tcPr>
            <w:tcW w:w="3000" w:type="dxa"/>
            <w:tcBorders>
              <w:top w:val="nil"/>
              <w:left w:val="single" w:sz="4" w:space="0" w:color="auto"/>
              <w:bottom w:val="single" w:sz="4" w:space="0" w:color="auto"/>
              <w:right w:val="single" w:sz="4" w:space="0" w:color="auto"/>
            </w:tcBorders>
          </w:tcPr>
          <w:p w:rsidR="00000000" w:rsidRDefault="00000000">
            <w:pPr>
              <w:pStyle w:val="112"/>
              <w:spacing w:before="20" w:after="20"/>
              <w:jc w:val="center"/>
              <w:rPr>
                <w:sz w:val="20"/>
              </w:rPr>
            </w:pPr>
            <w:r>
              <w:rPr>
                <w:sz w:val="20"/>
              </w:rPr>
              <w:t>40</w:t>
            </w:r>
          </w:p>
        </w:tc>
        <w:tc>
          <w:tcPr>
            <w:tcW w:w="2558" w:type="dxa"/>
            <w:tcBorders>
              <w:top w:val="nil"/>
              <w:left w:val="single" w:sz="4" w:space="0" w:color="auto"/>
              <w:bottom w:val="single" w:sz="4" w:space="0" w:color="auto"/>
            </w:tcBorders>
          </w:tcPr>
          <w:p w:rsidR="00000000" w:rsidRDefault="00000000">
            <w:pPr>
              <w:pStyle w:val="112"/>
              <w:tabs>
                <w:tab w:val="clear" w:pos="680"/>
                <w:tab w:val="decimal" w:pos="1134"/>
              </w:tabs>
              <w:spacing w:before="20" w:after="20"/>
              <w:rPr>
                <w:sz w:val="20"/>
              </w:rPr>
            </w:pPr>
            <w:r>
              <w:rPr>
                <w:sz w:val="20"/>
              </w:rPr>
              <w:t>85,6</w:t>
            </w:r>
          </w:p>
        </w:tc>
      </w:tr>
      <w:tr w:rsidR="00000000">
        <w:trPr>
          <w:cantSplit/>
          <w:jc w:val="center"/>
        </w:trPr>
        <w:tc>
          <w:tcPr>
            <w:tcW w:w="4081" w:type="dxa"/>
            <w:tcBorders>
              <w:bottom w:val="nil"/>
            </w:tcBorders>
          </w:tcPr>
          <w:p w:rsidR="00000000" w:rsidRDefault="00000000">
            <w:pPr>
              <w:pStyle w:val="112"/>
              <w:spacing w:before="20" w:after="20"/>
              <w:rPr>
                <w:sz w:val="20"/>
              </w:rPr>
            </w:pPr>
            <w:r>
              <w:rPr>
                <w:sz w:val="20"/>
              </w:rPr>
              <w:t>Для детей:</w:t>
            </w:r>
          </w:p>
        </w:tc>
        <w:tc>
          <w:tcPr>
            <w:tcW w:w="3000" w:type="dxa"/>
            <w:tcBorders>
              <w:bottom w:val="nil"/>
            </w:tcBorders>
          </w:tcPr>
          <w:p w:rsidR="00000000" w:rsidRDefault="00000000">
            <w:pPr>
              <w:pStyle w:val="112"/>
              <w:spacing w:before="20" w:after="20"/>
              <w:rPr>
                <w:sz w:val="20"/>
              </w:rPr>
            </w:pPr>
          </w:p>
        </w:tc>
        <w:tc>
          <w:tcPr>
            <w:tcW w:w="2558" w:type="dxa"/>
            <w:tcBorders>
              <w:bottom w:val="nil"/>
            </w:tcBorders>
          </w:tcPr>
          <w:p w:rsidR="00000000" w:rsidRDefault="00000000">
            <w:pPr>
              <w:pStyle w:val="112"/>
              <w:spacing w:before="20" w:after="20"/>
              <w:rPr>
                <w:sz w:val="20"/>
              </w:rPr>
            </w:pPr>
          </w:p>
        </w:tc>
      </w:tr>
      <w:tr w:rsidR="00000000">
        <w:trPr>
          <w:jc w:val="center"/>
        </w:trPr>
        <w:tc>
          <w:tcPr>
            <w:tcW w:w="4081" w:type="dxa"/>
            <w:tcBorders>
              <w:top w:val="nil"/>
              <w:bottom w:val="nil"/>
              <w:right w:val="single" w:sz="4" w:space="0" w:color="auto"/>
            </w:tcBorders>
          </w:tcPr>
          <w:p w:rsidR="00000000" w:rsidRDefault="00000000">
            <w:pPr>
              <w:pStyle w:val="112"/>
              <w:spacing w:before="20" w:after="20"/>
              <w:ind w:left="567"/>
              <w:rPr>
                <w:sz w:val="20"/>
              </w:rPr>
            </w:pPr>
            <w:r>
              <w:rPr>
                <w:sz w:val="20"/>
              </w:rPr>
              <w:t>БЦЖ</w:t>
            </w:r>
          </w:p>
        </w:tc>
        <w:tc>
          <w:tcPr>
            <w:tcW w:w="3000" w:type="dxa"/>
            <w:tcBorders>
              <w:top w:val="nil"/>
              <w:left w:val="single" w:sz="4" w:space="0" w:color="auto"/>
              <w:bottom w:val="nil"/>
              <w:right w:val="single" w:sz="4" w:space="0" w:color="auto"/>
            </w:tcBorders>
          </w:tcPr>
          <w:p w:rsidR="00000000" w:rsidRDefault="00000000">
            <w:pPr>
              <w:pStyle w:val="112"/>
              <w:spacing w:before="20" w:after="20"/>
              <w:jc w:val="center"/>
              <w:rPr>
                <w:sz w:val="20"/>
              </w:rPr>
            </w:pPr>
            <w:r>
              <w:rPr>
                <w:sz w:val="20"/>
              </w:rPr>
              <w:t>29</w:t>
            </w:r>
          </w:p>
        </w:tc>
        <w:tc>
          <w:tcPr>
            <w:tcW w:w="2558" w:type="dxa"/>
            <w:tcBorders>
              <w:top w:val="nil"/>
              <w:left w:val="single" w:sz="4" w:space="0" w:color="auto"/>
              <w:bottom w:val="nil"/>
            </w:tcBorders>
          </w:tcPr>
          <w:p w:rsidR="00000000" w:rsidRDefault="00000000">
            <w:pPr>
              <w:pStyle w:val="112"/>
              <w:tabs>
                <w:tab w:val="clear" w:pos="680"/>
                <w:tab w:val="decimal" w:pos="1134"/>
              </w:tabs>
              <w:spacing w:before="20" w:after="20"/>
              <w:rPr>
                <w:sz w:val="20"/>
              </w:rPr>
            </w:pPr>
            <w:r>
              <w:rPr>
                <w:sz w:val="20"/>
              </w:rPr>
              <w:t>100,4</w:t>
            </w:r>
          </w:p>
        </w:tc>
      </w:tr>
      <w:tr w:rsidR="00000000">
        <w:trPr>
          <w:jc w:val="center"/>
        </w:trPr>
        <w:tc>
          <w:tcPr>
            <w:tcW w:w="4081" w:type="dxa"/>
            <w:tcBorders>
              <w:top w:val="nil"/>
              <w:bottom w:val="nil"/>
              <w:right w:val="single" w:sz="4" w:space="0" w:color="auto"/>
            </w:tcBorders>
          </w:tcPr>
          <w:p w:rsidR="00000000" w:rsidRDefault="00000000">
            <w:pPr>
              <w:pStyle w:val="112"/>
              <w:spacing w:before="20" w:after="20"/>
              <w:ind w:left="567"/>
              <w:rPr>
                <w:sz w:val="20"/>
              </w:rPr>
            </w:pPr>
            <w:r>
              <w:rPr>
                <w:sz w:val="20"/>
              </w:rPr>
              <w:t>Корь</w:t>
            </w:r>
          </w:p>
        </w:tc>
        <w:tc>
          <w:tcPr>
            <w:tcW w:w="3000" w:type="dxa"/>
            <w:tcBorders>
              <w:top w:val="nil"/>
              <w:left w:val="single" w:sz="4" w:space="0" w:color="auto"/>
              <w:bottom w:val="nil"/>
              <w:right w:val="single" w:sz="4" w:space="0" w:color="auto"/>
            </w:tcBorders>
          </w:tcPr>
          <w:p w:rsidR="00000000" w:rsidRDefault="00000000">
            <w:pPr>
              <w:pStyle w:val="112"/>
              <w:spacing w:before="20" w:after="20"/>
              <w:jc w:val="center"/>
              <w:rPr>
                <w:sz w:val="20"/>
              </w:rPr>
            </w:pPr>
            <w:r>
              <w:rPr>
                <w:sz w:val="20"/>
              </w:rPr>
              <w:t>44</w:t>
            </w:r>
          </w:p>
        </w:tc>
        <w:tc>
          <w:tcPr>
            <w:tcW w:w="2558" w:type="dxa"/>
            <w:tcBorders>
              <w:top w:val="nil"/>
              <w:left w:val="single" w:sz="4" w:space="0" w:color="auto"/>
              <w:bottom w:val="nil"/>
            </w:tcBorders>
          </w:tcPr>
          <w:p w:rsidR="00000000" w:rsidRDefault="00000000">
            <w:pPr>
              <w:pStyle w:val="112"/>
              <w:tabs>
                <w:tab w:val="clear" w:pos="680"/>
                <w:tab w:val="decimal" w:pos="1134"/>
              </w:tabs>
              <w:spacing w:before="20" w:after="20"/>
              <w:rPr>
                <w:sz w:val="20"/>
              </w:rPr>
            </w:pPr>
            <w:r>
              <w:rPr>
                <w:sz w:val="20"/>
              </w:rPr>
              <w:t>90,8</w:t>
            </w:r>
          </w:p>
        </w:tc>
      </w:tr>
      <w:tr w:rsidR="00000000">
        <w:trPr>
          <w:jc w:val="center"/>
        </w:trPr>
        <w:tc>
          <w:tcPr>
            <w:tcW w:w="4081" w:type="dxa"/>
            <w:tcBorders>
              <w:top w:val="nil"/>
              <w:bottom w:val="nil"/>
              <w:right w:val="single" w:sz="4" w:space="0" w:color="auto"/>
            </w:tcBorders>
          </w:tcPr>
          <w:p w:rsidR="00000000" w:rsidRDefault="00000000">
            <w:pPr>
              <w:pStyle w:val="112"/>
              <w:spacing w:before="20" w:after="20"/>
              <w:ind w:left="567"/>
              <w:rPr>
                <w:sz w:val="20"/>
              </w:rPr>
            </w:pPr>
            <w:r>
              <w:rPr>
                <w:sz w:val="20"/>
              </w:rPr>
              <w:t>Дифтерия–коклюш–столбняк</w:t>
            </w:r>
          </w:p>
        </w:tc>
        <w:tc>
          <w:tcPr>
            <w:tcW w:w="3000" w:type="dxa"/>
            <w:tcBorders>
              <w:top w:val="nil"/>
              <w:left w:val="single" w:sz="4" w:space="0" w:color="auto"/>
              <w:bottom w:val="nil"/>
              <w:right w:val="single" w:sz="4" w:space="0" w:color="auto"/>
            </w:tcBorders>
          </w:tcPr>
          <w:p w:rsidR="00000000" w:rsidRDefault="00000000">
            <w:pPr>
              <w:pStyle w:val="112"/>
              <w:spacing w:before="20" w:after="20"/>
              <w:jc w:val="center"/>
              <w:rPr>
                <w:sz w:val="20"/>
              </w:rPr>
            </w:pPr>
            <w:r>
              <w:rPr>
                <w:sz w:val="20"/>
              </w:rPr>
              <w:t>41</w:t>
            </w:r>
          </w:p>
        </w:tc>
        <w:tc>
          <w:tcPr>
            <w:tcW w:w="2558" w:type="dxa"/>
            <w:tcBorders>
              <w:top w:val="nil"/>
              <w:left w:val="single" w:sz="4" w:space="0" w:color="auto"/>
              <w:bottom w:val="nil"/>
            </w:tcBorders>
          </w:tcPr>
          <w:p w:rsidR="00000000" w:rsidRDefault="00000000">
            <w:pPr>
              <w:pStyle w:val="112"/>
              <w:tabs>
                <w:tab w:val="clear" w:pos="680"/>
                <w:tab w:val="decimal" w:pos="1134"/>
              </w:tabs>
              <w:spacing w:before="20" w:after="20"/>
              <w:rPr>
                <w:sz w:val="20"/>
              </w:rPr>
            </w:pPr>
            <w:r>
              <w:rPr>
                <w:sz w:val="20"/>
              </w:rPr>
              <w:t>95,4</w:t>
            </w:r>
          </w:p>
        </w:tc>
      </w:tr>
      <w:tr w:rsidR="00000000">
        <w:trPr>
          <w:jc w:val="center"/>
        </w:trPr>
        <w:tc>
          <w:tcPr>
            <w:tcW w:w="4081" w:type="dxa"/>
            <w:tcBorders>
              <w:top w:val="nil"/>
              <w:right w:val="single" w:sz="4" w:space="0" w:color="auto"/>
            </w:tcBorders>
          </w:tcPr>
          <w:p w:rsidR="00000000" w:rsidRDefault="00000000">
            <w:pPr>
              <w:pStyle w:val="112"/>
              <w:spacing w:before="20" w:after="20"/>
              <w:ind w:left="567"/>
              <w:rPr>
                <w:sz w:val="20"/>
              </w:rPr>
            </w:pPr>
            <w:r>
              <w:rPr>
                <w:sz w:val="20"/>
              </w:rPr>
              <w:t>Полиомиелит</w:t>
            </w:r>
          </w:p>
        </w:tc>
        <w:tc>
          <w:tcPr>
            <w:tcW w:w="3000" w:type="dxa"/>
            <w:tcBorders>
              <w:top w:val="nil"/>
              <w:left w:val="single" w:sz="4" w:space="0" w:color="auto"/>
              <w:right w:val="single" w:sz="4" w:space="0" w:color="auto"/>
            </w:tcBorders>
          </w:tcPr>
          <w:p w:rsidR="00000000" w:rsidRDefault="00000000">
            <w:pPr>
              <w:pStyle w:val="112"/>
              <w:spacing w:before="20" w:after="20"/>
              <w:jc w:val="center"/>
              <w:rPr>
                <w:sz w:val="20"/>
              </w:rPr>
            </w:pPr>
            <w:r>
              <w:rPr>
                <w:sz w:val="20"/>
              </w:rPr>
              <w:t>36</w:t>
            </w:r>
          </w:p>
        </w:tc>
        <w:tc>
          <w:tcPr>
            <w:tcW w:w="2558" w:type="dxa"/>
            <w:tcBorders>
              <w:top w:val="nil"/>
              <w:left w:val="single" w:sz="4" w:space="0" w:color="auto"/>
            </w:tcBorders>
          </w:tcPr>
          <w:p w:rsidR="00000000" w:rsidRDefault="00000000">
            <w:pPr>
              <w:pStyle w:val="112"/>
              <w:tabs>
                <w:tab w:val="clear" w:pos="680"/>
                <w:tab w:val="decimal" w:pos="1134"/>
              </w:tabs>
              <w:spacing w:before="20" w:after="20"/>
              <w:rPr>
                <w:sz w:val="20"/>
              </w:rPr>
            </w:pPr>
            <w:r>
              <w:rPr>
                <w:sz w:val="20"/>
              </w:rPr>
              <w:t>96,0</w:t>
            </w:r>
          </w:p>
        </w:tc>
      </w:tr>
    </w:tbl>
    <w:p w:rsidR="00000000" w:rsidRDefault="00000000">
      <w:pPr>
        <w:pStyle w:val="a3"/>
        <w:spacing w:before="120"/>
      </w:pPr>
      <w:r>
        <w:rPr>
          <w:b/>
          <w:bCs/>
        </w:rPr>
        <w:t>Источник:</w:t>
      </w:r>
      <w:r>
        <w:t xml:space="preserve"> Ежегодный доклад 2002/03 года, Министерство здравоохранения и благосостояния семьи.</w:t>
      </w:r>
    </w:p>
    <w:p w:rsidR="00000000" w:rsidRDefault="00000000">
      <w:pPr>
        <w:jc w:val="both"/>
        <w:rPr>
          <w:sz w:val="22"/>
          <w:szCs w:val="22"/>
        </w:rPr>
      </w:pPr>
    </w:p>
    <w:p w:rsidR="00000000" w:rsidRDefault="00000000">
      <w:pPr>
        <w:pStyle w:val="112"/>
        <w:spacing w:before="180" w:after="80"/>
        <w:rPr>
          <w:b/>
          <w:bCs/>
        </w:rPr>
      </w:pPr>
      <w:r>
        <w:rPr>
          <w:b/>
          <w:bCs/>
        </w:rPr>
        <w:t>Заболеваемость</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6"/>
        <w:gridCol w:w="2045"/>
        <w:gridCol w:w="1785"/>
        <w:gridCol w:w="3173"/>
      </w:tblGrid>
      <w:tr w:rsidR="00000000">
        <w:trPr>
          <w:jc w:val="center"/>
        </w:trPr>
        <w:tc>
          <w:tcPr>
            <w:tcW w:w="2392" w:type="dxa"/>
          </w:tcPr>
          <w:p w:rsidR="00000000" w:rsidRDefault="00000000">
            <w:pPr>
              <w:spacing w:before="40" w:after="40"/>
              <w:jc w:val="both"/>
              <w:rPr>
                <w:b/>
                <w:sz w:val="20"/>
                <w:szCs w:val="20"/>
              </w:rPr>
            </w:pPr>
            <w:r>
              <w:rPr>
                <w:b/>
                <w:sz w:val="20"/>
                <w:szCs w:val="20"/>
              </w:rPr>
              <w:t>Заболевание</w:t>
            </w:r>
          </w:p>
        </w:tc>
        <w:tc>
          <w:tcPr>
            <w:tcW w:w="1856" w:type="dxa"/>
          </w:tcPr>
          <w:p w:rsidR="00000000" w:rsidRDefault="00000000">
            <w:pPr>
              <w:spacing w:before="40" w:after="40"/>
              <w:jc w:val="center"/>
              <w:rPr>
                <w:b/>
                <w:sz w:val="20"/>
                <w:szCs w:val="20"/>
              </w:rPr>
            </w:pPr>
            <w:r>
              <w:rPr>
                <w:b/>
                <w:sz w:val="20"/>
                <w:szCs w:val="20"/>
              </w:rPr>
              <w:t>1987 год</w:t>
            </w:r>
          </w:p>
        </w:tc>
        <w:tc>
          <w:tcPr>
            <w:tcW w:w="1620" w:type="dxa"/>
          </w:tcPr>
          <w:p w:rsidR="00000000" w:rsidRDefault="00000000">
            <w:pPr>
              <w:spacing w:before="40" w:after="40"/>
              <w:jc w:val="center"/>
              <w:rPr>
                <w:b/>
                <w:sz w:val="20"/>
                <w:szCs w:val="20"/>
              </w:rPr>
            </w:pPr>
            <w:r>
              <w:rPr>
                <w:b/>
                <w:sz w:val="20"/>
                <w:szCs w:val="20"/>
              </w:rPr>
              <w:t>2001 год</w:t>
            </w:r>
          </w:p>
        </w:tc>
        <w:tc>
          <w:tcPr>
            <w:tcW w:w="2880" w:type="dxa"/>
          </w:tcPr>
          <w:p w:rsidR="00000000" w:rsidRDefault="00000000">
            <w:pPr>
              <w:spacing w:before="40" w:after="40"/>
              <w:jc w:val="center"/>
              <w:rPr>
                <w:b/>
                <w:sz w:val="20"/>
                <w:szCs w:val="20"/>
              </w:rPr>
            </w:pPr>
            <w:r>
              <w:rPr>
                <w:b/>
                <w:sz w:val="20"/>
                <w:szCs w:val="20"/>
              </w:rPr>
              <w:t>Снижение в %</w:t>
            </w:r>
          </w:p>
        </w:tc>
      </w:tr>
      <w:tr w:rsidR="00000000">
        <w:trPr>
          <w:jc w:val="center"/>
        </w:trPr>
        <w:tc>
          <w:tcPr>
            <w:tcW w:w="2392" w:type="dxa"/>
          </w:tcPr>
          <w:p w:rsidR="00000000" w:rsidRDefault="00000000">
            <w:pPr>
              <w:pStyle w:val="112"/>
              <w:spacing w:before="40" w:after="40"/>
              <w:rPr>
                <w:sz w:val="20"/>
              </w:rPr>
            </w:pPr>
            <w:r>
              <w:rPr>
                <w:sz w:val="20"/>
              </w:rPr>
              <w:t>Полиомиелит</w:t>
            </w:r>
          </w:p>
        </w:tc>
        <w:tc>
          <w:tcPr>
            <w:tcW w:w="1856" w:type="dxa"/>
          </w:tcPr>
          <w:p w:rsidR="00000000" w:rsidRDefault="00000000">
            <w:pPr>
              <w:pStyle w:val="112"/>
              <w:tabs>
                <w:tab w:val="clear" w:pos="680"/>
                <w:tab w:val="decimal" w:pos="1134"/>
              </w:tabs>
              <w:spacing w:before="40" w:after="40"/>
              <w:rPr>
                <w:sz w:val="20"/>
              </w:rPr>
            </w:pPr>
            <w:r>
              <w:rPr>
                <w:sz w:val="20"/>
              </w:rPr>
              <w:t>28 257</w:t>
            </w:r>
          </w:p>
        </w:tc>
        <w:tc>
          <w:tcPr>
            <w:tcW w:w="1620" w:type="dxa"/>
          </w:tcPr>
          <w:p w:rsidR="00000000" w:rsidRDefault="00000000">
            <w:pPr>
              <w:pStyle w:val="112"/>
              <w:tabs>
                <w:tab w:val="clear" w:pos="680"/>
                <w:tab w:val="clear" w:pos="1134"/>
                <w:tab w:val="decimal" w:pos="964"/>
              </w:tabs>
              <w:spacing w:before="40" w:after="40"/>
              <w:rPr>
                <w:sz w:val="20"/>
              </w:rPr>
            </w:pPr>
            <w:r>
              <w:rPr>
                <w:sz w:val="20"/>
              </w:rPr>
              <w:t>268</w:t>
            </w:r>
          </w:p>
        </w:tc>
        <w:tc>
          <w:tcPr>
            <w:tcW w:w="2880" w:type="dxa"/>
          </w:tcPr>
          <w:p w:rsidR="00000000" w:rsidRDefault="00000000">
            <w:pPr>
              <w:pStyle w:val="112"/>
              <w:spacing w:before="40" w:after="40"/>
              <w:jc w:val="center"/>
              <w:rPr>
                <w:sz w:val="20"/>
              </w:rPr>
            </w:pPr>
            <w:r>
              <w:rPr>
                <w:sz w:val="20"/>
              </w:rPr>
              <w:t>99,05</w:t>
            </w:r>
          </w:p>
        </w:tc>
      </w:tr>
      <w:tr w:rsidR="00000000">
        <w:trPr>
          <w:jc w:val="center"/>
        </w:trPr>
        <w:tc>
          <w:tcPr>
            <w:tcW w:w="2392" w:type="dxa"/>
          </w:tcPr>
          <w:p w:rsidR="00000000" w:rsidRDefault="00000000">
            <w:pPr>
              <w:pStyle w:val="112"/>
              <w:spacing w:before="40" w:after="40"/>
              <w:rPr>
                <w:sz w:val="20"/>
              </w:rPr>
            </w:pPr>
            <w:r>
              <w:rPr>
                <w:sz w:val="20"/>
              </w:rPr>
              <w:t>Дифтерия</w:t>
            </w:r>
          </w:p>
        </w:tc>
        <w:tc>
          <w:tcPr>
            <w:tcW w:w="1856" w:type="dxa"/>
          </w:tcPr>
          <w:p w:rsidR="00000000" w:rsidRDefault="00000000">
            <w:pPr>
              <w:pStyle w:val="112"/>
              <w:tabs>
                <w:tab w:val="clear" w:pos="680"/>
                <w:tab w:val="decimal" w:pos="1134"/>
              </w:tabs>
              <w:spacing w:before="40" w:after="40"/>
              <w:rPr>
                <w:sz w:val="20"/>
              </w:rPr>
            </w:pPr>
            <w:r>
              <w:rPr>
                <w:sz w:val="20"/>
              </w:rPr>
              <w:t>12 952</w:t>
            </w:r>
          </w:p>
        </w:tc>
        <w:tc>
          <w:tcPr>
            <w:tcW w:w="1620" w:type="dxa"/>
          </w:tcPr>
          <w:p w:rsidR="00000000" w:rsidRDefault="00000000">
            <w:pPr>
              <w:pStyle w:val="112"/>
              <w:tabs>
                <w:tab w:val="clear" w:pos="680"/>
                <w:tab w:val="clear" w:pos="1134"/>
                <w:tab w:val="decimal" w:pos="964"/>
              </w:tabs>
              <w:spacing w:before="40" w:after="40"/>
              <w:rPr>
                <w:sz w:val="20"/>
              </w:rPr>
            </w:pPr>
            <w:r>
              <w:rPr>
                <w:sz w:val="20"/>
              </w:rPr>
              <w:t>4 954</w:t>
            </w:r>
          </w:p>
        </w:tc>
        <w:tc>
          <w:tcPr>
            <w:tcW w:w="2880" w:type="dxa"/>
          </w:tcPr>
          <w:p w:rsidR="00000000" w:rsidRDefault="00000000">
            <w:pPr>
              <w:pStyle w:val="112"/>
              <w:spacing w:before="40" w:after="40"/>
              <w:jc w:val="center"/>
              <w:rPr>
                <w:sz w:val="20"/>
              </w:rPr>
            </w:pPr>
            <w:r>
              <w:rPr>
                <w:sz w:val="20"/>
              </w:rPr>
              <w:t>61,75</w:t>
            </w:r>
          </w:p>
        </w:tc>
      </w:tr>
      <w:tr w:rsidR="00000000">
        <w:trPr>
          <w:jc w:val="center"/>
        </w:trPr>
        <w:tc>
          <w:tcPr>
            <w:tcW w:w="2392" w:type="dxa"/>
          </w:tcPr>
          <w:p w:rsidR="00000000" w:rsidRDefault="00000000">
            <w:pPr>
              <w:pStyle w:val="112"/>
              <w:spacing w:before="40" w:after="40"/>
              <w:rPr>
                <w:sz w:val="20"/>
              </w:rPr>
            </w:pPr>
            <w:r>
              <w:rPr>
                <w:sz w:val="20"/>
              </w:rPr>
              <w:t>Коклюш</w:t>
            </w:r>
          </w:p>
        </w:tc>
        <w:tc>
          <w:tcPr>
            <w:tcW w:w="1856" w:type="dxa"/>
          </w:tcPr>
          <w:p w:rsidR="00000000" w:rsidRDefault="00000000">
            <w:pPr>
              <w:pStyle w:val="112"/>
              <w:tabs>
                <w:tab w:val="clear" w:pos="680"/>
                <w:tab w:val="decimal" w:pos="1134"/>
              </w:tabs>
              <w:spacing w:before="40" w:after="40"/>
              <w:rPr>
                <w:sz w:val="20"/>
              </w:rPr>
            </w:pPr>
            <w:r>
              <w:rPr>
                <w:sz w:val="20"/>
              </w:rPr>
              <w:t>163 786</w:t>
            </w:r>
          </w:p>
        </w:tc>
        <w:tc>
          <w:tcPr>
            <w:tcW w:w="1620" w:type="dxa"/>
          </w:tcPr>
          <w:p w:rsidR="00000000" w:rsidRDefault="00000000">
            <w:pPr>
              <w:pStyle w:val="112"/>
              <w:tabs>
                <w:tab w:val="clear" w:pos="680"/>
                <w:tab w:val="clear" w:pos="1134"/>
                <w:tab w:val="decimal" w:pos="964"/>
              </w:tabs>
              <w:spacing w:before="40" w:after="40"/>
              <w:rPr>
                <w:sz w:val="20"/>
              </w:rPr>
            </w:pPr>
            <w:r>
              <w:rPr>
                <w:sz w:val="20"/>
              </w:rPr>
              <w:t>28 900</w:t>
            </w:r>
          </w:p>
        </w:tc>
        <w:tc>
          <w:tcPr>
            <w:tcW w:w="2880" w:type="dxa"/>
          </w:tcPr>
          <w:p w:rsidR="00000000" w:rsidRDefault="00000000">
            <w:pPr>
              <w:pStyle w:val="112"/>
              <w:spacing w:before="40" w:after="40"/>
              <w:jc w:val="center"/>
              <w:rPr>
                <w:sz w:val="20"/>
              </w:rPr>
            </w:pPr>
            <w:r>
              <w:rPr>
                <w:sz w:val="20"/>
              </w:rPr>
              <w:t>82,36</w:t>
            </w:r>
          </w:p>
        </w:tc>
      </w:tr>
      <w:tr w:rsidR="00000000">
        <w:trPr>
          <w:jc w:val="center"/>
        </w:trPr>
        <w:tc>
          <w:tcPr>
            <w:tcW w:w="2392" w:type="dxa"/>
          </w:tcPr>
          <w:p w:rsidR="00000000" w:rsidRDefault="00000000">
            <w:pPr>
              <w:pStyle w:val="112"/>
              <w:spacing w:before="40" w:after="40"/>
              <w:rPr>
                <w:sz w:val="20"/>
              </w:rPr>
            </w:pPr>
            <w:r>
              <w:rPr>
                <w:sz w:val="20"/>
              </w:rPr>
              <w:t>Туберкулез</w:t>
            </w:r>
          </w:p>
        </w:tc>
        <w:tc>
          <w:tcPr>
            <w:tcW w:w="1856" w:type="dxa"/>
          </w:tcPr>
          <w:p w:rsidR="00000000" w:rsidRDefault="00000000">
            <w:pPr>
              <w:pStyle w:val="112"/>
              <w:tabs>
                <w:tab w:val="clear" w:pos="680"/>
                <w:tab w:val="decimal" w:pos="1134"/>
              </w:tabs>
              <w:spacing w:before="40" w:after="40"/>
              <w:rPr>
                <w:sz w:val="20"/>
              </w:rPr>
            </w:pPr>
            <w:r>
              <w:rPr>
                <w:sz w:val="20"/>
              </w:rPr>
              <w:t>31 844</w:t>
            </w:r>
          </w:p>
        </w:tc>
        <w:tc>
          <w:tcPr>
            <w:tcW w:w="1620" w:type="dxa"/>
          </w:tcPr>
          <w:p w:rsidR="00000000" w:rsidRDefault="00000000">
            <w:pPr>
              <w:pStyle w:val="112"/>
              <w:tabs>
                <w:tab w:val="clear" w:pos="680"/>
                <w:tab w:val="clear" w:pos="1134"/>
                <w:tab w:val="decimal" w:pos="964"/>
              </w:tabs>
              <w:spacing w:before="40" w:after="40"/>
              <w:rPr>
                <w:sz w:val="20"/>
              </w:rPr>
            </w:pPr>
            <w:r>
              <w:rPr>
                <w:sz w:val="20"/>
              </w:rPr>
              <w:t>1 354</w:t>
            </w:r>
          </w:p>
        </w:tc>
        <w:tc>
          <w:tcPr>
            <w:tcW w:w="2880" w:type="dxa"/>
          </w:tcPr>
          <w:p w:rsidR="00000000" w:rsidRDefault="00000000">
            <w:pPr>
              <w:pStyle w:val="112"/>
              <w:spacing w:before="40" w:after="40"/>
              <w:jc w:val="center"/>
              <w:rPr>
                <w:sz w:val="20"/>
              </w:rPr>
            </w:pPr>
            <w:r>
              <w:rPr>
                <w:sz w:val="20"/>
              </w:rPr>
              <w:t>95,75</w:t>
            </w:r>
          </w:p>
        </w:tc>
      </w:tr>
      <w:tr w:rsidR="00000000">
        <w:trPr>
          <w:jc w:val="center"/>
        </w:trPr>
        <w:tc>
          <w:tcPr>
            <w:tcW w:w="2392" w:type="dxa"/>
          </w:tcPr>
          <w:p w:rsidR="00000000" w:rsidRDefault="00000000">
            <w:pPr>
              <w:pStyle w:val="112"/>
              <w:spacing w:before="40" w:after="40"/>
              <w:rPr>
                <w:sz w:val="20"/>
              </w:rPr>
            </w:pPr>
            <w:r>
              <w:rPr>
                <w:sz w:val="20"/>
              </w:rPr>
              <w:t>Корь</w:t>
            </w:r>
          </w:p>
        </w:tc>
        <w:tc>
          <w:tcPr>
            <w:tcW w:w="1856" w:type="dxa"/>
          </w:tcPr>
          <w:p w:rsidR="00000000" w:rsidRDefault="00000000">
            <w:pPr>
              <w:pStyle w:val="112"/>
              <w:tabs>
                <w:tab w:val="clear" w:pos="680"/>
                <w:tab w:val="decimal" w:pos="1134"/>
              </w:tabs>
              <w:spacing w:before="40" w:after="40"/>
              <w:rPr>
                <w:sz w:val="20"/>
              </w:rPr>
            </w:pPr>
            <w:r>
              <w:rPr>
                <w:sz w:val="20"/>
              </w:rPr>
              <w:t>247 519</w:t>
            </w:r>
          </w:p>
        </w:tc>
        <w:tc>
          <w:tcPr>
            <w:tcW w:w="1620" w:type="dxa"/>
          </w:tcPr>
          <w:p w:rsidR="00000000" w:rsidRDefault="00000000">
            <w:pPr>
              <w:pStyle w:val="112"/>
              <w:tabs>
                <w:tab w:val="clear" w:pos="680"/>
                <w:tab w:val="clear" w:pos="1134"/>
                <w:tab w:val="decimal" w:pos="964"/>
              </w:tabs>
              <w:spacing w:before="40" w:after="40"/>
              <w:rPr>
                <w:sz w:val="20"/>
              </w:rPr>
            </w:pPr>
            <w:r>
              <w:rPr>
                <w:sz w:val="20"/>
              </w:rPr>
              <w:t>45 301</w:t>
            </w:r>
          </w:p>
        </w:tc>
        <w:tc>
          <w:tcPr>
            <w:tcW w:w="2880" w:type="dxa"/>
          </w:tcPr>
          <w:p w:rsidR="00000000" w:rsidRDefault="00000000">
            <w:pPr>
              <w:pStyle w:val="112"/>
              <w:spacing w:before="40" w:after="40"/>
              <w:jc w:val="center"/>
              <w:rPr>
                <w:sz w:val="20"/>
              </w:rPr>
            </w:pPr>
            <w:r>
              <w:rPr>
                <w:sz w:val="20"/>
              </w:rPr>
              <w:t>81,70</w:t>
            </w:r>
          </w:p>
        </w:tc>
      </w:tr>
    </w:tbl>
    <w:p w:rsidR="00000000" w:rsidRDefault="00000000">
      <w:pPr>
        <w:pStyle w:val="112"/>
      </w:pPr>
      <w:r>
        <w:t>560.</w:t>
      </w:r>
      <w:r>
        <w:tab/>
        <w:t>В 1995 году была развернута дополнительная программа циклической вакцинации против полиомиелита, охватывающая всех детей в возрасте 0–5 лет и предусматривающая представление им двух доз пероральной противополиомиелитной вакцины с интервалом в шесть недель во время национального дня вакцинации/субнациональных дней вакцинации каждый год.  В рамках этой программы действует национальный проект наблюдения за заболеваемостью полиомиелитом (НПНЗП), имеющий сеть из 9000 отчетных единиц и 258 сотрудников служб эпиднадзора.  За 2003 год благодаря высококачественным мероприятиям по вакцинации число случаев заболевания полиомиелитом резко сократилось, составив на 31 декабря 2003 года 214.  Страна решительно настроена полностью искоренить полиомиелит к 2007 году.</w:t>
      </w:r>
    </w:p>
    <w:p w:rsidR="00000000" w:rsidRDefault="00000000">
      <w:pPr>
        <w:pStyle w:val="112"/>
      </w:pPr>
      <w:r>
        <w:t>561.</w:t>
      </w:r>
      <w:r>
        <w:tab/>
        <w:t xml:space="preserve">В трущобных зонах 15 столичных городов в 2002–2003 годах и в 32 округах в 2003–2004 годах осуществлялся экспериментальный проект вакцинации детей от гепатита </w:t>
      </w:r>
      <w:r>
        <w:rPr>
          <w:lang w:val="en-US"/>
        </w:rPr>
        <w:t>B</w:t>
      </w:r>
      <w:r>
        <w:t xml:space="preserve"> в рамках ПВВ.  Поддержку этому проекту оказывает Глобальный альянс по проблемам вакцинации и иммунизации (ГАВИ).</w:t>
      </w:r>
    </w:p>
    <w:p w:rsidR="00000000" w:rsidRDefault="00000000">
      <w:pPr>
        <w:pStyle w:val="112"/>
        <w:rPr>
          <w:rStyle w:val="111"/>
          <w:szCs w:val="22"/>
        </w:rPr>
      </w:pPr>
      <w:r>
        <w:rPr>
          <w:rStyle w:val="111"/>
          <w:szCs w:val="22"/>
        </w:rPr>
        <w:t>562.</w:t>
      </w:r>
      <w:r>
        <w:rPr>
          <w:rStyle w:val="111"/>
          <w:szCs w:val="22"/>
        </w:rPr>
        <w:tab/>
        <w:t xml:space="preserve">С 1992–1993 годов ПВВ была расширена и усилена, превратившись в проект по обеспечению выживания детей и безопасного материнства (ОВДБМ).  Этот проект предусматривает поддержание высокого уровня вакцинации в рамках ПВВ и активизацию применения методов перорально-регидрационной терапии для лечения желудочно-кишечных заболеваний, расширение профилактики слепоты и борьбы с распространением острых респираторных инфекций.  К компонентам, касающимся безопасного материнства, относятся подготовка традиционных специалистов по родовспоможению (Программа подготовки </w:t>
      </w:r>
      <w:r>
        <w:rPr>
          <w:i/>
          <w:iCs/>
        </w:rPr>
        <w:t>даи</w:t>
      </w:r>
      <w:r>
        <w:rPr>
          <w:rStyle w:val="111"/>
          <w:szCs w:val="22"/>
        </w:rPr>
        <w:t xml:space="preserve">), снабжение асептическими наборами для родов и усиление потенциала первичных консультационных учреждений, с тем чтобы они могли действовать в условиях высокого риска и чрезвычайных ситуациях. </w:t>
      </w:r>
    </w:p>
    <w:p w:rsidR="00000000" w:rsidRDefault="00000000">
      <w:pPr>
        <w:pStyle w:val="112"/>
      </w:pPr>
      <w:r>
        <w:t>563.</w:t>
      </w:r>
      <w:r>
        <w:tab/>
        <w:t>За период с 1992–1993 по 1998 год было отмечено небольшое снижение уровня материнской смертности – с 437 на 100 000 живорождений до 407 на 100 000 живорождений.  НОЗС-</w:t>
      </w:r>
      <w:r>
        <w:rPr>
          <w:lang w:val="en-US"/>
        </w:rPr>
        <w:t>II</w:t>
      </w:r>
      <w:r>
        <w:t xml:space="preserve"> показывает, что в 37% всех родов за четыре года, предшествовавших  обследованию, дородового наблюдения не осуществлялось, 13% женщин проходили дородовое наблюдение у посещавшего их медицинского работника, 40% – у врача, а 9% – у других профессиональных работников здравоохранения.  Среди тех, кто не проходил дородового наблюдения во время беременности, 13% не знали о подобных услугах, 59% полагали, что в этом нет необходимости, 5% не получили позволения прибегнуть к таким услугам, 6% не могли себе их позволить, а у 5% не было времени.</w:t>
      </w:r>
    </w:p>
    <w:p w:rsidR="00000000" w:rsidRDefault="00000000">
      <w:pPr>
        <w:pStyle w:val="112"/>
      </w:pPr>
      <w:r>
        <w:t>564.</w:t>
      </w:r>
      <w:r>
        <w:tab/>
        <w:t xml:space="preserve">Программа охраны репродуктивного здоровья и здоровья детей (РЗЗД) была развернута в 1997 году в рамках нового подхода, позволившего объединить и усилить услуги/меры под эгидой ОВДБМ и услуги планирования семьи, а также добавить к ним новую сферу услуг, касающуюся инфекций репродуктивного тракта/инфекций, передающихся половым путем (ИРТ/ИППП).  Эта программа обеспечивает ориентированные на реальные потребности, подконтрольные клиентам, основанные на  спросе высококачественные услуги своим бенефициарам в целях повышения качества репродуктивной жизни населения. </w:t>
      </w:r>
    </w:p>
    <w:p w:rsidR="00000000" w:rsidRDefault="00000000">
      <w:pPr>
        <w:pStyle w:val="112"/>
      </w:pPr>
      <w:r>
        <w:t>565.</w:t>
      </w:r>
      <w:r>
        <w:tab/>
        <w:t>Программа охраны здоровья матери, являющаяся одном из компонентов РЗЗД, нацелена на снижение материнской смертности до уровня менее 180 случаев к 2010 году.  Основными мерами, принимаемыми в рамках этой программы, являются:</w:t>
      </w:r>
    </w:p>
    <w:p w:rsidR="00000000" w:rsidRDefault="00000000">
      <w:pPr>
        <w:pStyle w:val="112"/>
        <w:spacing w:after="240"/>
        <w:ind w:left="680" w:hanging="680"/>
      </w:pPr>
      <w:r>
        <w:t>а)</w:t>
      </w:r>
      <w:r>
        <w:tab/>
        <w:t>обеспечение экстренной акушерской помощи посредством создания первичных консультационных учреждений;</w:t>
      </w:r>
    </w:p>
    <w:p w:rsidR="00000000" w:rsidRDefault="00000000">
      <w:pPr>
        <w:pStyle w:val="112"/>
        <w:spacing w:before="0" w:after="240"/>
        <w:ind w:left="680" w:hanging="680"/>
      </w:pPr>
      <w:r>
        <w:t>b)</w:t>
      </w:r>
      <w:r>
        <w:tab/>
        <w:t xml:space="preserve">поощрение родов в медицинских учреждениях посредством обеспечения круглосуточного предоставления родовспомогательных услуг в медико-санитарных центрах; </w:t>
      </w:r>
    </w:p>
    <w:p w:rsidR="00000000" w:rsidRDefault="00000000">
      <w:pPr>
        <w:pStyle w:val="112"/>
        <w:spacing w:before="0" w:after="240"/>
        <w:ind w:left="680" w:hanging="680"/>
      </w:pPr>
      <w:r>
        <w:t>c)</w:t>
      </w:r>
      <w:r>
        <w:tab/>
        <w:t>обеспечение ранней дородовой регистрации беременных женщин для проведения регулярных проверок в целях выявления осложнений и принятия немедленных мер;</w:t>
      </w:r>
    </w:p>
    <w:p w:rsidR="00000000" w:rsidRDefault="00000000">
      <w:pPr>
        <w:pStyle w:val="112"/>
        <w:spacing w:before="0" w:after="240"/>
        <w:ind w:left="680" w:hanging="680"/>
      </w:pPr>
      <w:r>
        <w:t>d)</w:t>
      </w:r>
      <w:r>
        <w:tab/>
        <w:t xml:space="preserve">обеспечение как минимум трех дородовых проверок для наблюдения за протеканием беременности, а также трех послеродовых проверок для наблюдения за ходом послеродового восстановления; и </w:t>
      </w:r>
    </w:p>
    <w:p w:rsidR="00000000" w:rsidRDefault="00000000">
      <w:pPr>
        <w:pStyle w:val="112"/>
        <w:spacing w:before="0"/>
        <w:ind w:left="680" w:hanging="680"/>
        <w:rPr>
          <w:rStyle w:val="111"/>
          <w:szCs w:val="22"/>
        </w:rPr>
      </w:pPr>
      <w:r>
        <w:rPr>
          <w:rStyle w:val="111"/>
          <w:szCs w:val="22"/>
        </w:rPr>
        <w:t>e)</w:t>
      </w:r>
      <w:r>
        <w:rPr>
          <w:rStyle w:val="111"/>
          <w:szCs w:val="22"/>
        </w:rPr>
        <w:tab/>
        <w:t xml:space="preserve">налаживание связей между общинами и системой родовспоможения через </w:t>
      </w:r>
      <w:r>
        <w:rPr>
          <w:i/>
        </w:rPr>
        <w:t>панчаяты</w:t>
      </w:r>
      <w:r>
        <w:rPr>
          <w:rStyle w:val="111"/>
          <w:szCs w:val="22"/>
        </w:rPr>
        <w:t xml:space="preserve"> путем создания целевого фонда для покрытия расходов на транспортировку беременных женщин из бедных семей.</w:t>
      </w:r>
    </w:p>
    <w:p w:rsidR="00000000" w:rsidRDefault="00000000">
      <w:pPr>
        <w:pStyle w:val="112"/>
      </w:pPr>
      <w:r>
        <w:t>566.</w:t>
      </w:r>
      <w:r>
        <w:tab/>
        <w:t>Программа осуществляется главным образом РЗЗД и пользуется поддержкой Всемирного банка, Европейской комиссии, ЮНФПА, ЮНИСНФ и других двусторонних доноров.</w:t>
      </w:r>
    </w:p>
    <w:p w:rsidR="00000000" w:rsidRDefault="00000000">
      <w:pPr>
        <w:pStyle w:val="112"/>
        <w:rPr>
          <w:rStyle w:val="111"/>
          <w:szCs w:val="22"/>
        </w:rPr>
      </w:pPr>
      <w:r>
        <w:rPr>
          <w:rStyle w:val="111"/>
          <w:szCs w:val="22"/>
        </w:rPr>
        <w:t>567.</w:t>
      </w:r>
      <w:r>
        <w:rPr>
          <w:rStyle w:val="111"/>
          <w:szCs w:val="22"/>
        </w:rPr>
        <w:tab/>
        <w:t xml:space="preserve">Согласно данным системы выборочной регистрации Генерального регистратора Индии </w:t>
      </w:r>
      <w:r>
        <w:rPr>
          <w:rStyle w:val="111"/>
          <w:szCs w:val="22"/>
        </w:rPr>
        <w:br/>
        <w:t xml:space="preserve">(1998 год), производимые небезопасными методами аборты являются причиной около 8,9% всех случаев материнской смертности в стране.  Закон о медицинском прерывании беременности  1971 года (МПБ) нацелен на решение проблемы материнской заболеваемости и смертности, связанных с производимыми небезопасными методами абортами.  Этот закон предусматривает возможность прерывания беременности по основаниям состояния здоровья матери, выявления патологий у плода, а также социальных и иных причин, таких как беременность в результате изнасилования или несрабатывания противозачаточных средств.  Однако, по оценкам, в стране ежегодно  осуществляется около миллиона абортов, производимых небезопасными методами.  Для расширения доступа к услугам безопасного раннего прерывания беременности, их децентрализации и предоставления на местном уровне в системе здравоохранения рассматривается проект введения в 8 отобранных штатах техники осуществления абортов методом вакуум-аспирации. Лагеря по подготовке </w:t>
      </w:r>
      <w:r>
        <w:rPr>
          <w:i/>
          <w:iCs/>
        </w:rPr>
        <w:t>даи</w:t>
      </w:r>
      <w:r>
        <w:rPr>
          <w:rStyle w:val="111"/>
          <w:szCs w:val="22"/>
        </w:rPr>
        <w:t xml:space="preserve"> (традиционные специалисты по родовспоможению) были организованы в 156 округах 18 штатов/союзных территорий.  Всего за период с 2001 по 2003 год в 9 штатах, где ситуация не соответствует требованиям, был организован 1971 лагерь РЗЗД.</w:t>
      </w:r>
    </w:p>
    <w:p w:rsidR="00000000" w:rsidRDefault="00000000">
      <w:pPr>
        <w:pStyle w:val="112"/>
        <w:rPr>
          <w:rStyle w:val="111"/>
          <w:szCs w:val="22"/>
        </w:rPr>
      </w:pPr>
      <w:r>
        <w:rPr>
          <w:rStyle w:val="111"/>
          <w:szCs w:val="22"/>
        </w:rPr>
        <w:t>568.</w:t>
      </w:r>
      <w:r>
        <w:rPr>
          <w:rStyle w:val="111"/>
          <w:szCs w:val="22"/>
        </w:rPr>
        <w:tab/>
        <w:t xml:space="preserve">Программа РЗЗД включает в себя также программы первичного ухода за новорожденными, вакцинации, питания и т. п., предполагающие исключительно грудное вскармливание в течение первых шести месяцев, своевременное введение добавок, сдерживание и предупреждение отставания в развитии и – в случае необходимости –  добавки к питанию, содержащие витамин А и железо.  В Закон о заменителях грудного молока, средствах искусственного вскармливания младенцев и детском питании (регулирование производства, поставок и распределения) в 2003 году были внесены поправки с целью поощрения грудного вскармливания детей до шести месяцев. </w:t>
      </w:r>
      <w:r>
        <w:rPr>
          <w:color w:val="FF0000"/>
        </w:rPr>
        <w:t xml:space="preserve"> </w:t>
      </w:r>
      <w:r>
        <w:rPr>
          <w:rStyle w:val="111"/>
          <w:szCs w:val="22"/>
        </w:rPr>
        <w:t xml:space="preserve">Комплексный план оказания услуг в сфере детского развития (КПДР), </w:t>
      </w:r>
      <w:r>
        <w:rPr>
          <w:bCs/>
          <w:i/>
          <w:iCs/>
        </w:rPr>
        <w:t>Кишори Шакти Йоджана</w:t>
      </w:r>
      <w:r>
        <w:rPr>
          <w:color w:val="FF0000"/>
        </w:rPr>
        <w:t xml:space="preserve"> </w:t>
      </w:r>
      <w:r>
        <w:rPr>
          <w:rStyle w:val="111"/>
          <w:szCs w:val="22"/>
        </w:rPr>
        <w:t>и другие программы в области  питания, перечисленные в разделах, касающихся статей 10 и 11 пакта, обеспечивают дополнительные услуги в области здравоохранения и питания новорожденным, кормящим матерям и девочкам.</w:t>
      </w:r>
    </w:p>
    <w:p w:rsidR="00000000" w:rsidRDefault="00000000">
      <w:pPr>
        <w:jc w:val="both"/>
        <w:rPr>
          <w:b/>
          <w:sz w:val="22"/>
          <w:szCs w:val="22"/>
        </w:rPr>
      </w:pPr>
    </w:p>
    <w:p w:rsidR="00000000" w:rsidRDefault="00000000">
      <w:pPr>
        <w:jc w:val="both"/>
        <w:rPr>
          <w:b/>
          <w:sz w:val="22"/>
          <w:szCs w:val="22"/>
        </w:rPr>
      </w:pPr>
      <w:r>
        <w:rPr>
          <w:b/>
          <w:sz w:val="22"/>
          <w:szCs w:val="22"/>
        </w:rPr>
        <w:t xml:space="preserve">Медицинское страхование </w:t>
      </w:r>
    </w:p>
    <w:p w:rsidR="00000000" w:rsidRDefault="00000000">
      <w:pPr>
        <w:jc w:val="both"/>
        <w:rPr>
          <w:sz w:val="22"/>
          <w:szCs w:val="22"/>
        </w:rPr>
      </w:pPr>
    </w:p>
    <w:p w:rsidR="00000000" w:rsidRDefault="00000000">
      <w:pPr>
        <w:jc w:val="both"/>
        <w:rPr>
          <w:sz w:val="22"/>
          <w:szCs w:val="22"/>
        </w:rPr>
      </w:pPr>
      <w:r>
        <w:rPr>
          <w:sz w:val="22"/>
          <w:szCs w:val="22"/>
        </w:rPr>
        <w:t>569.</w:t>
      </w:r>
      <w:r>
        <w:rPr>
          <w:sz w:val="22"/>
          <w:szCs w:val="22"/>
        </w:rPr>
        <w:tab/>
        <w:t>Программы медицинского страхования предусмотрены многими законодательными актами, касающимися служащих/трудящихся в секторе услуг/промышленности.  У компаний частного сектора также существуют программы пособий на медицинские услуги и страхования для их работников.  На этом фоне в июле 2003 года  четырьмя государственными страховыми компаниями общего профиля при поддержке государства была развернута общинная "система всеобщего медицинского страхования" в целях обеспечения семей, находящихся за чертой бедности, доступным медицинским страхованием.  К 31 марта 2004 года этой системой были охвачены 0,41 миллиона семей, или 1,16 миллиона человек.  Правительства некоторых штатов (Керала, Дели, Мадхья-Прадеш, Химачал-Прадеш, Андхра-Прадеш) также приняли меры для оказания помощи семьям, живущим за чертой бедности.</w:t>
      </w:r>
    </w:p>
    <w:p w:rsidR="00000000" w:rsidRDefault="00000000">
      <w:pPr>
        <w:jc w:val="both"/>
        <w:rPr>
          <w:b/>
          <w:sz w:val="22"/>
          <w:szCs w:val="22"/>
        </w:rPr>
      </w:pPr>
    </w:p>
    <w:p w:rsidR="00000000" w:rsidRDefault="00000000">
      <w:pPr>
        <w:keepNext/>
        <w:jc w:val="both"/>
        <w:rPr>
          <w:b/>
          <w:sz w:val="22"/>
          <w:szCs w:val="22"/>
        </w:rPr>
      </w:pPr>
      <w:r>
        <w:rPr>
          <w:b/>
          <w:sz w:val="22"/>
          <w:szCs w:val="22"/>
        </w:rPr>
        <w:t>Национальный фонд помощи при заболеваниях (Растрийя Арогья Нидхи)</w:t>
      </w:r>
    </w:p>
    <w:p w:rsidR="00000000" w:rsidRDefault="00000000">
      <w:pPr>
        <w:keepNext/>
        <w:jc w:val="both"/>
        <w:rPr>
          <w:sz w:val="22"/>
          <w:szCs w:val="22"/>
        </w:rPr>
      </w:pPr>
    </w:p>
    <w:p w:rsidR="00000000" w:rsidRDefault="00000000">
      <w:pPr>
        <w:pStyle w:val="112"/>
        <w:keepNext/>
        <w:tabs>
          <w:tab w:val="clear" w:pos="680"/>
          <w:tab w:val="clear" w:pos="1134"/>
        </w:tabs>
        <w:spacing w:before="0"/>
        <w:rPr>
          <w:szCs w:val="22"/>
        </w:rPr>
      </w:pPr>
      <w:r>
        <w:rPr>
          <w:szCs w:val="22"/>
        </w:rPr>
        <w:t>570.</w:t>
      </w:r>
      <w:r>
        <w:rPr>
          <w:szCs w:val="22"/>
        </w:rPr>
        <w:tab/>
        <w:t>Частные лица, корпорации филантропические организации в Индии и за ее пределами могут вступить в этот фонд, созданный в 1997 году.  Фонд предоставляет  живущим за чертой бедности пациентам, которые страдают от серьезной болезни, представляющей угрозу для жизни, финансовую поддержку с целью позволить им получить медицинскую помощь в любой специализированной больнице/институте или других государственных/частных больницах.  Всем штатам/союзным территориям также было рекомендовано создавать фонды помощи при заболеваниях.</w:t>
      </w:r>
    </w:p>
    <w:p w:rsidR="00000000" w:rsidRDefault="00000000">
      <w:pPr>
        <w:jc w:val="both"/>
        <w:rPr>
          <w:b/>
          <w:sz w:val="22"/>
          <w:szCs w:val="22"/>
        </w:rPr>
      </w:pPr>
    </w:p>
    <w:p w:rsidR="00000000" w:rsidRDefault="00000000">
      <w:pPr>
        <w:jc w:val="both"/>
        <w:rPr>
          <w:b/>
          <w:sz w:val="22"/>
          <w:szCs w:val="22"/>
        </w:rPr>
      </w:pPr>
      <w:r>
        <w:rPr>
          <w:b/>
          <w:sz w:val="22"/>
          <w:szCs w:val="22"/>
        </w:rPr>
        <w:t>Права и обязанности пациентов</w:t>
      </w:r>
    </w:p>
    <w:p w:rsidR="00000000" w:rsidRDefault="00000000">
      <w:pPr>
        <w:jc w:val="both"/>
        <w:rPr>
          <w:sz w:val="22"/>
          <w:szCs w:val="22"/>
        </w:rPr>
      </w:pPr>
    </w:p>
    <w:p w:rsidR="00000000" w:rsidRDefault="00000000">
      <w:pPr>
        <w:jc w:val="both"/>
        <w:rPr>
          <w:rStyle w:val="111"/>
          <w:szCs w:val="22"/>
        </w:rPr>
      </w:pPr>
      <w:r>
        <w:rPr>
          <w:rStyle w:val="111"/>
          <w:szCs w:val="22"/>
        </w:rPr>
        <w:t>571.</w:t>
      </w:r>
      <w:r>
        <w:rPr>
          <w:rStyle w:val="111"/>
          <w:szCs w:val="22"/>
        </w:rPr>
        <w:tab/>
        <w:t>Услуги сектора здравоохранения предоставляются в соответствии с Законом о защите прав потребителей 1986 года; любые недостатки при оказании медицинской услуги/врачебная небрежность дают основание для судебного преследования согласно этому Закону, и по решению суда пострадавшему может быть выплачена компенсация.   Индийская медицинская ассоциация (ИМА) разработала "Хартию прав и обязанностей пациентов" для нормализации портящихся отношений между представителями врачебной профессии и пациентами как государственных, так и в частных медицинских учреждений.  Индийский совет медицинских исследований (ИСМИ) также составил проект этического кодекса проведения исследований, когда в качестве их объекта используются люди</w:t>
      </w:r>
      <w:r>
        <w:rPr>
          <w:rStyle w:val="FootnoteReference"/>
          <w:szCs w:val="22"/>
        </w:rPr>
        <w:footnoteReference w:customMarkFollows="1" w:id="75"/>
        <w:t>74</w:t>
      </w:r>
      <w:r>
        <w:rPr>
          <w:rStyle w:val="111"/>
          <w:szCs w:val="22"/>
        </w:rPr>
        <w:t xml:space="preserve">.  ИСМИ будет пересматривать эти руководящие принципы каждые пять лет в связи с быстрым развитием биомедицинских исследований. </w:t>
      </w:r>
    </w:p>
    <w:p w:rsidR="00000000" w:rsidRDefault="00000000">
      <w:pPr>
        <w:jc w:val="both"/>
        <w:rPr>
          <w:sz w:val="24"/>
        </w:rPr>
      </w:pPr>
    </w:p>
    <w:p w:rsidR="00000000" w:rsidRDefault="00000000">
      <w:pPr>
        <w:keepNext/>
        <w:jc w:val="center"/>
        <w:rPr>
          <w:b/>
          <w:sz w:val="24"/>
          <w:szCs w:val="22"/>
        </w:rPr>
      </w:pPr>
      <w:r>
        <w:rPr>
          <w:b/>
          <w:sz w:val="24"/>
          <w:szCs w:val="22"/>
        </w:rPr>
        <w:t>Статьи 13 и 14</w:t>
      </w:r>
    </w:p>
    <w:p w:rsidR="00000000" w:rsidRDefault="00000000">
      <w:pPr>
        <w:keepNext/>
        <w:jc w:val="center"/>
        <w:rPr>
          <w:b/>
          <w:sz w:val="22"/>
          <w:szCs w:val="22"/>
        </w:rPr>
      </w:pPr>
    </w:p>
    <w:p w:rsidR="00000000" w:rsidRDefault="00000000">
      <w:pPr>
        <w:keepNext/>
        <w:jc w:val="center"/>
        <w:rPr>
          <w:b/>
          <w:sz w:val="22"/>
          <w:szCs w:val="22"/>
        </w:rPr>
      </w:pPr>
      <w:r>
        <w:rPr>
          <w:b/>
          <w:sz w:val="22"/>
          <w:szCs w:val="22"/>
        </w:rPr>
        <w:t>Право на образование</w:t>
      </w:r>
    </w:p>
    <w:p w:rsidR="00000000" w:rsidRDefault="00000000">
      <w:pPr>
        <w:keepNext/>
        <w:jc w:val="center"/>
        <w:rPr>
          <w:b/>
          <w:sz w:val="24"/>
        </w:rPr>
      </w:pPr>
    </w:p>
    <w:p w:rsidR="00000000" w:rsidRDefault="00000000">
      <w:pPr>
        <w:jc w:val="both"/>
        <w:rPr>
          <w:rStyle w:val="111"/>
        </w:rPr>
      </w:pPr>
      <w:r>
        <w:rPr>
          <w:rStyle w:val="111"/>
        </w:rPr>
        <w:t>572.</w:t>
      </w:r>
      <w:r>
        <w:rPr>
          <w:rStyle w:val="111"/>
        </w:rPr>
        <w:tab/>
        <w:t>С момента обретения независимости было отмечено значительное расширение образовательных учреждений и повышение качества образования на всех уровнях.  Значительными достижениями являются национальные стратегии в сфере образования (НСО), принятые в 1968 году и в 1986 году.  Подробная информация об этом праве содержалась в первоначальном докладе, представленном Индией Комитету</w:t>
      </w:r>
      <w:r>
        <w:rPr>
          <w:rStyle w:val="FootnoteReference"/>
        </w:rPr>
        <w:footnoteReference w:customMarkFollows="1" w:id="76"/>
        <w:t>75</w:t>
      </w:r>
      <w:r>
        <w:rPr>
          <w:rStyle w:val="111"/>
        </w:rPr>
        <w:t>.  В настоящем докладе приводится дополнительная информация, касающаяся этого права.</w:t>
      </w:r>
    </w:p>
    <w:p w:rsidR="00000000" w:rsidRDefault="00000000">
      <w:pPr>
        <w:pStyle w:val="112"/>
        <w:rPr>
          <w:b/>
        </w:rPr>
      </w:pPr>
      <w:r>
        <w:rPr>
          <w:b/>
        </w:rPr>
        <w:t>Равный доступ ко всем уровням образования</w:t>
      </w:r>
    </w:p>
    <w:p w:rsidR="00000000" w:rsidRDefault="00000000">
      <w:pPr>
        <w:pStyle w:val="112"/>
        <w:rPr>
          <w:szCs w:val="22"/>
        </w:rPr>
      </w:pPr>
      <w:r>
        <w:t>573.</w:t>
      </w:r>
      <w:r>
        <w:tab/>
        <w:t>П</w:t>
      </w:r>
      <w:r>
        <w:rPr>
          <w:szCs w:val="22"/>
        </w:rPr>
        <w:t>омимо того что Индия является крупнейшим демократическим государством мира, она обладает уникальными характеристиками, будучи многоконфессиональной и многоязычной страной.  В Конституции Индии присутствуют положения, нацеленные на защиту этих особых характеристик страны.</w:t>
      </w:r>
    </w:p>
    <w:p w:rsidR="00000000" w:rsidRDefault="00000000">
      <w:pPr>
        <w:pStyle w:val="112"/>
        <w:rPr>
          <w:rStyle w:val="111"/>
          <w:szCs w:val="22"/>
        </w:rPr>
      </w:pPr>
      <w:r>
        <w:rPr>
          <w:rStyle w:val="111"/>
          <w:szCs w:val="22"/>
        </w:rPr>
        <w:t>574.</w:t>
      </w:r>
      <w:r>
        <w:rPr>
          <w:rStyle w:val="111"/>
          <w:szCs w:val="22"/>
        </w:rPr>
        <w:tab/>
        <w:t>Согласно Конституции Индии, каждое меньшинство, будь то  религиозное или языковое, имеет право создавать и иметь собственные образовательными учреждения</w:t>
      </w:r>
      <w:r>
        <w:rPr>
          <w:rStyle w:val="FootnoteReference"/>
          <w:szCs w:val="22"/>
        </w:rPr>
        <w:footnoteReference w:customMarkFollows="1" w:id="77"/>
        <w:t>76</w:t>
      </w:r>
      <w:r>
        <w:rPr>
          <w:rStyle w:val="111"/>
          <w:szCs w:val="22"/>
        </w:rPr>
        <w:t>.  Кроме того, Конституция Индии предусматривает преференциальный режим для включенных в списки каст и племен, а также социально и образовательно отсталых классов (</w:t>
      </w:r>
      <w:r>
        <w:rPr>
          <w:i/>
        </w:rPr>
        <w:t>Preeti Srivastva v. State of M.P.</w:t>
      </w:r>
      <w:r>
        <w:rPr>
          <w:rStyle w:val="111"/>
          <w:szCs w:val="22"/>
        </w:rPr>
        <w:t>, AIR 1999 SC 2894).</w:t>
      </w:r>
    </w:p>
    <w:p w:rsidR="00000000" w:rsidRDefault="00000000">
      <w:pPr>
        <w:pStyle w:val="112"/>
        <w:rPr>
          <w:color w:val="FF0000"/>
        </w:rPr>
      </w:pPr>
      <w:r>
        <w:rPr>
          <w:rStyle w:val="111"/>
          <w:szCs w:val="22"/>
        </w:rPr>
        <w:t>575.</w:t>
      </w:r>
      <w:r>
        <w:rPr>
          <w:rStyle w:val="111"/>
          <w:szCs w:val="22"/>
        </w:rPr>
        <w:tab/>
        <w:t xml:space="preserve">Ставшее веховым судебное решение по делу </w:t>
      </w:r>
      <w:r>
        <w:rPr>
          <w:i/>
          <w:iCs/>
        </w:rPr>
        <w:t xml:space="preserve">Фонд Т.М.А. Паи против штата </w:t>
      </w:r>
      <w:r>
        <w:rPr>
          <w:rStyle w:val="111"/>
          <w:i/>
          <w:iCs/>
          <w:szCs w:val="22"/>
        </w:rPr>
        <w:t>Карнатака</w:t>
      </w:r>
      <w:r>
        <w:rPr>
          <w:rStyle w:val="FootnoteReference"/>
          <w:szCs w:val="22"/>
        </w:rPr>
        <w:footnoteReference w:customMarkFollows="1" w:id="78"/>
        <w:t>77</w:t>
      </w:r>
      <w:r>
        <w:rPr>
          <w:rStyle w:val="111"/>
          <w:szCs w:val="22"/>
        </w:rPr>
        <w:t xml:space="preserve"> касается различных аспектов создания и руководства образовательными учреждениями в целом и учреждениями, предоставляющими образование представителям меньшинств, в частности.  Верховный суд пересмотрел принятые ранее решения</w:t>
      </w:r>
      <w:r>
        <w:rPr>
          <w:rStyle w:val="FootnoteReference"/>
          <w:szCs w:val="22"/>
        </w:rPr>
        <w:footnoteReference w:customMarkFollows="1" w:id="79"/>
        <w:t>78</w:t>
      </w:r>
      <w:r>
        <w:rPr>
          <w:rStyle w:val="111"/>
          <w:szCs w:val="22"/>
        </w:rPr>
        <w:t xml:space="preserve"> по различным вопросам и постановил, что правительства штатов и университеты не могут регулировать политику приема в образовательные учреждения языковых и религиозных меньшинств, действующие без государственной помощи, однако правительства штатов и университеты могут устанавливать нормы, касающиеся академической квалификации студентов, а также разрабатывать правила и положения для поддержания академических стандартов.  Тот же принцип применяется при назначении преподавателей и других сотрудников.  Не прибегающее к помощи государства учебное заведение меньшинства может нанимать тех лиц по своему усмотрению при условии соблюдения определенных базовых стандартов.  Образовательные учреждения меньшинств должны отвечать условиям, установленным университетами или советами по вопросам образования для того, чтобы добиться признания их дипломов или получения официального статуса.  У них есть право принимать студентов по своему усмотрению при соблюдении объективной, рациональной и прозрачной процедуры отбора студентов, а также выполнении условий (в случае существования таковых), требующих приема небольшой доли студентов, принадлежащих к неблагополучным слоям общества, и предоставлению им бесплатного обучения и стипендий.  Суд заявил, что при приеме студентов руководство не должно игнорировать их заслуги.</w:t>
      </w:r>
    </w:p>
    <w:p w:rsidR="00000000" w:rsidRDefault="00000000">
      <w:pPr>
        <w:pStyle w:val="112"/>
      </w:pPr>
      <w:r>
        <w:t>576.</w:t>
      </w:r>
      <w:r>
        <w:tab/>
        <w:t>Согласно постановлению суда, добиваясь признания своего диплома или получения официального статуса, образовательное учреждение меньшинства должно удовлетворять условиям, установленным для этого университетом или советом по вопросам образования.  Кроме того, образовательное учреждение меньшинства не утрачивает своего статуса, получая государственную помощь, однако, как постановил суд, в этом случае оно будет обязано принимать тех студентов, не принадлежащих к данному меньшинству, чьи права согласно статье 29 2) Конституции не должны нарушаться.</w:t>
      </w:r>
    </w:p>
    <w:p w:rsidR="00000000" w:rsidRDefault="00000000">
      <w:pPr>
        <w:pStyle w:val="112"/>
      </w:pPr>
      <w:r>
        <w:t>577.</w:t>
      </w:r>
      <w:r>
        <w:tab/>
        <w:t>В случае если учебные заведения меньшинства, получающие помощь государства, предлагают курсы профессиональной подготовки, прием в них, согласно постановлению суда, может производиться только в виде единого вступительного экзамена, проводимого штатом или университетом.  "Власти могут также разрабатывать иные меры с целью обеспечить, чтобы прием в учреждение, предлагающее профессиональное образование и получающее помощь государства, производился на основании заслуг поступающих".</w:t>
      </w:r>
    </w:p>
    <w:p w:rsidR="00000000" w:rsidRDefault="00000000">
      <w:pPr>
        <w:pStyle w:val="112"/>
      </w:pPr>
      <w:r>
        <w:t>578.</w:t>
      </w:r>
      <w:r>
        <w:tab/>
        <w:t>По вопросу о том, могут ли группы, не относящиеся к меньшинствам, иметь учебные заведения так же, как меньшинства, суд принял решение, что, согласно статье 19 1) g), все граждане обладают правами создавать и иметь учебные заведения, но эти права ограничиваются положениями Конституции.</w:t>
      </w:r>
    </w:p>
    <w:p w:rsidR="00000000" w:rsidRDefault="00000000">
      <w:pPr>
        <w:pStyle w:val="112"/>
      </w:pPr>
      <w:r>
        <w:t>579.</w:t>
      </w:r>
      <w:r>
        <w:tab/>
        <w:t xml:space="preserve">После получения страной независимости правительство Индии предприняло ряд шагов для укрепления образовательной базы для включенных в списки  каст и племен в соответствии с Конституцией Индии.  Помимо положений Конституции и решений Верховного суда, ключевую роль в улучшении ситуации внесенных в списки каст и племен, а также других отсталых классов и меньшинств сыграло правительство Индии.  </w:t>
      </w:r>
    </w:p>
    <w:p w:rsidR="00000000" w:rsidRDefault="00000000">
      <w:pPr>
        <w:pStyle w:val="112"/>
      </w:pPr>
      <w:r>
        <w:t>580.</w:t>
      </w:r>
      <w:r>
        <w:tab/>
        <w:t>Согласно НСО 1986 года была осуществлена Программа действий 1992 года.  Она предусматривала формирование Национальной миссии по вопросам грамотности в интересах достижения цели всеобщего начального образования (ВНО).  Для этого в существующие программы департаментов начального образования и грамотности и среднего и высшего образования были внесены следующие специальные положения, касающиеся внесенных в списки каст и племен.</w:t>
      </w:r>
    </w:p>
    <w:p w:rsidR="00000000" w:rsidRDefault="00000000">
      <w:pPr>
        <w:pStyle w:val="112"/>
        <w:rPr>
          <w:rStyle w:val="111"/>
          <w:szCs w:val="22"/>
        </w:rPr>
      </w:pPr>
      <w:r>
        <w:rPr>
          <w:rStyle w:val="111"/>
          <w:szCs w:val="22"/>
        </w:rPr>
        <w:t>581.</w:t>
      </w:r>
      <w:r>
        <w:rPr>
          <w:rStyle w:val="111"/>
          <w:szCs w:val="22"/>
        </w:rPr>
        <w:tab/>
        <w:t xml:space="preserve">Правительственный проект "Шикша Карми" (ПШК) направлен на всеобщее распространение начального образования в отдаленных и отсталых деревнях Раджастхана, и особый акцент в нем делается на положении девочек.  В настоящее время этот проект охватывает 3692 деревни в 150 территориальных объединениях.  В рамках этого проекта начальное образование в дневных школах и </w:t>
      </w:r>
      <w:r>
        <w:rPr>
          <w:rStyle w:val="111"/>
          <w:i/>
          <w:iCs/>
          <w:szCs w:val="22"/>
        </w:rPr>
        <w:t>п</w:t>
      </w:r>
      <w:r>
        <w:rPr>
          <w:i/>
        </w:rPr>
        <w:t>рехар патшала</w:t>
      </w:r>
      <w:r>
        <w:rPr>
          <w:rStyle w:val="111"/>
          <w:szCs w:val="22"/>
        </w:rPr>
        <w:t xml:space="preserve"> (школах, действующих в удобное для учащихся время) получают </w:t>
      </w:r>
      <w:r>
        <w:rPr>
          <w:rStyle w:val="111"/>
          <w:szCs w:val="22"/>
        </w:rPr>
        <w:br/>
        <w:t>0,21 миллиона детей.  Успех ПШК привлек внимание на национальном и международном уровнях.</w:t>
      </w:r>
    </w:p>
    <w:p w:rsidR="00000000" w:rsidRDefault="00000000">
      <w:pPr>
        <w:pStyle w:val="112"/>
      </w:pPr>
      <w:r>
        <w:t>582.</w:t>
      </w:r>
      <w:r>
        <w:tab/>
        <w:t>Программа "Махила Самахья" (образование в интересах равенства женщин) является конкретной программой образования и расширения прав и возможностей женщин, живущих в сельской местности, особенно женщин из социально и экономически маргинализированных групп.  Она осуществляется более чем в 9000 деревнях в 56 округах десяти штатов.  Целью этой программы является повышение самооценки и уверенности в собственных силах женщин; создание среды, в которой женщины могли бы получать знания и информацию.</w:t>
      </w:r>
    </w:p>
    <w:p w:rsidR="00000000" w:rsidRDefault="00000000">
      <w:pPr>
        <w:pStyle w:val="112"/>
        <w:rPr>
          <w:rStyle w:val="111"/>
          <w:szCs w:val="22"/>
        </w:rPr>
      </w:pPr>
      <w:r>
        <w:rPr>
          <w:rStyle w:val="111"/>
          <w:szCs w:val="22"/>
        </w:rPr>
        <w:t>583.</w:t>
      </w:r>
      <w:r>
        <w:rPr>
          <w:rStyle w:val="111"/>
          <w:szCs w:val="22"/>
        </w:rPr>
        <w:tab/>
        <w:t>Программа "Джаншала", осуществляемая правительством Индии в сотрудничестве с пятью учреждениями ООН, обеспечивает поддержку усилий по достижению цели ВНО.  Эта программа начального образования основывается на работе с общинами и имеет своей целью обеспечение начального образования девочкам и детям из обездоленных общин, маргинализированных групп, внесенных в списки каст и племен, меньшинств, работающим детям и детям с особыми потребностями.  Работа этой программы ведется по территориальным объединениям</w:t>
      </w:r>
      <w:r>
        <w:rPr>
          <w:rStyle w:val="FootnoteReference"/>
          <w:iCs/>
          <w:szCs w:val="22"/>
        </w:rPr>
        <w:footnoteReference w:customMarkFollows="1" w:id="80"/>
        <w:t>79</w:t>
      </w:r>
      <w:r>
        <w:rPr>
          <w:rStyle w:val="111"/>
          <w:szCs w:val="22"/>
        </w:rPr>
        <w:t>, а особое внимание уделяется участию общин и децентрализации.  Программа, которая изначально должна была осуществляться пять лет с 1998 по 2002 год, была продлена до 2004 года; она охватывает 139 территориальных объединений в девяти штатах.  К настоящему времени в рамках этой программы создано около 1500 альтернативных школ, и 58 000 учителей получили возможность пройти по одному учебному курсу, посвященному различным педагогическим аспектам.</w:t>
      </w:r>
    </w:p>
    <w:p w:rsidR="00000000" w:rsidRDefault="00000000">
      <w:pPr>
        <w:pStyle w:val="112"/>
        <w:spacing w:after="240"/>
        <w:rPr>
          <w:b/>
        </w:rPr>
      </w:pPr>
      <w:r>
        <w:rPr>
          <w:b/>
        </w:rPr>
        <w:t>Школьная система</w:t>
      </w:r>
    </w:p>
    <w:p w:rsidR="00000000" w:rsidRDefault="00000000">
      <w:pPr>
        <w:pStyle w:val="112"/>
      </w:pPr>
      <w:r>
        <w:t>584.</w:t>
      </w:r>
      <w:r>
        <w:tab/>
        <w:t>Школьное образование в Индии имеет четыре уровня: начальное образование первого уровня, начальное образование второго уровня,  среднее образование и полное среднее образование.  Сейчас во всех частях страны принята практически единообразная образовательная система.  Национальные стратегии в сфере образования (1968 и 1986 годов и пересмотренная 1992 года) предусматривают единообразную схему школьного образования (10+2) во всех штатах.  Хотя образование входит в сферу совместной компетенции как штатов, так и центрального правительства, штаты могут разрабатывать свои собственные модели школьного образования.  Восемь лет начального образования состоят из двух этапов: начального образования первого уровня – с 1-го по 5-й классы, и начального образования второго уровня – с 6-го по 8-й классы.  Однако эти восемь лет обязательного образования рассматриваются как единое целое.  Именно это обязательное образование закреплено в качестве руководящего принципа в Конституции.  Официальный возраст поступления в 1-й класс – 6 лет, но в некоторых штатах он установлен в 5 лет.  Недавно правительство внесло на рассмотрение Закон о 86-й поправке к Конституции, согласно которой начальное образование причисляется к основополагающим правам.  Это осуществляется в рамках программы "Сарва Шикша Абхиян" ("Образование для всех").  Большинство штатов и союзных территорий уже сделали начальное образование обязательным.</w:t>
      </w:r>
    </w:p>
    <w:p w:rsidR="00000000" w:rsidRDefault="00000000">
      <w:pPr>
        <w:spacing w:before="240" w:after="240"/>
        <w:jc w:val="both"/>
        <w:rPr>
          <w:rStyle w:val="111"/>
          <w:szCs w:val="22"/>
        </w:rPr>
      </w:pPr>
      <w:r>
        <w:rPr>
          <w:b/>
          <w:sz w:val="22"/>
          <w:szCs w:val="22"/>
        </w:rPr>
        <w:t>Структура образования</w:t>
      </w:r>
    </w:p>
    <w:p w:rsidR="00000000" w:rsidRDefault="00000000">
      <w:pPr>
        <w:jc w:val="both"/>
        <w:rPr>
          <w:sz w:val="22"/>
          <w:szCs w:val="22"/>
        </w:rPr>
      </w:pPr>
      <w:r>
        <w:rPr>
          <w:sz w:val="22"/>
          <w:szCs w:val="22"/>
        </w:rPr>
        <w:t>585.</w:t>
      </w:r>
      <w:r>
        <w:rPr>
          <w:sz w:val="22"/>
          <w:szCs w:val="22"/>
        </w:rPr>
        <w:tab/>
        <w:t>Как и в случае начального образования, классы, составляющие среднее образование, различаются в различных штатах.  Если в 19 штатах среднее образование состоит из классов 9 и 10, то в 13 штатах оно состоит из классов 8, 9 и 10.  Однако в пределах каждого штата преобладает полное единообразие.  Содержанием школ занимаются правительство, местные органы власти и частные организации.  Кроме того,  и в сельской местности, и в городах существует значительное число частных учреждений, не обладающих официальным статусом.</w:t>
      </w:r>
    </w:p>
    <w:p w:rsidR="00000000" w:rsidRDefault="00000000">
      <w:pPr>
        <w:pStyle w:val="112"/>
      </w:pPr>
      <w:r>
        <w:t>586.</w:t>
      </w:r>
      <w:r>
        <w:tab/>
        <w:t>В большинстве штатов после 10 лет школьного обучения преобладает схема 2+3+2, состоящая из двух лет полного среднего образования, трех лет высшего образования и двух лет аспирантуры.</w:t>
      </w:r>
    </w:p>
    <w:p w:rsidR="00000000" w:rsidRDefault="00000000">
      <w:pPr>
        <w:jc w:val="both"/>
      </w:pPr>
    </w:p>
    <w:bookmarkStart w:id="0" w:name="_MON_1249108970"/>
    <w:bookmarkStart w:id="1" w:name="_MON_1249114235"/>
    <w:bookmarkStart w:id="2" w:name="_MON_1249372724"/>
    <w:bookmarkEnd w:id="0"/>
    <w:bookmarkEnd w:id="1"/>
    <w:bookmarkEnd w:id="2"/>
    <w:p w:rsidR="00000000" w:rsidRDefault="00000000">
      <w:pPr>
        <w:jc w:val="both"/>
      </w:pPr>
      <w:r>
        <w:rPr>
          <w:b/>
        </w:rPr>
        <w:object w:dxaOrig="9577" w:dyaOrig="7177">
          <v:shape id="_x0000_i1025" type="#_x0000_t75" alt="Structure of Education in India" style="width:478.5pt;height:358.5pt" o:ole="" fillcolor="window">
            <v:imagedata r:id="rId9" o:title=""/>
          </v:shape>
          <o:OLEObject Type="Embed" ProgID="Word.Picture.8" ShapeID="_x0000_i1025" DrawAspect="Content" ObjectID="_1394900372" r:id="rId10"/>
        </w:object>
      </w:r>
    </w:p>
    <w:p w:rsidR="00000000" w:rsidRDefault="00000000">
      <w:pPr>
        <w:jc w:val="both"/>
      </w:pPr>
    </w:p>
    <w:p w:rsidR="00000000" w:rsidRDefault="00000000">
      <w:pPr>
        <w:jc w:val="both"/>
        <w:rPr>
          <w:b/>
          <w:sz w:val="22"/>
          <w:szCs w:val="22"/>
        </w:rPr>
      </w:pPr>
      <w:r>
        <w:rPr>
          <w:b/>
          <w:sz w:val="22"/>
          <w:szCs w:val="22"/>
        </w:rPr>
        <w:t>Образовательные учреждения</w:t>
      </w:r>
    </w:p>
    <w:p w:rsidR="00000000" w:rsidRDefault="00000000">
      <w:pPr>
        <w:jc w:val="both"/>
        <w:rPr>
          <w:sz w:val="22"/>
          <w:szCs w:val="22"/>
        </w:rPr>
      </w:pPr>
    </w:p>
    <w:p w:rsidR="00000000" w:rsidRDefault="00000000">
      <w:pPr>
        <w:jc w:val="both"/>
        <w:rPr>
          <w:sz w:val="22"/>
          <w:szCs w:val="22"/>
        </w:rPr>
      </w:pPr>
      <w:r>
        <w:rPr>
          <w:sz w:val="22"/>
          <w:szCs w:val="22"/>
        </w:rPr>
        <w:t>587.</w:t>
      </w:r>
      <w:r>
        <w:rPr>
          <w:sz w:val="22"/>
          <w:szCs w:val="22"/>
        </w:rPr>
        <w:tab/>
        <w:t>В Индии существует хорошо организованная система образовательных учреждений.  За период после обретения независимости произошло значительное увеличение числа школ, предоставляющих начальное образование первого и второго уровней (см. таблицу 13.1).  Среднегодовые темпы увеличения числа школ, предоставляющих начальное образования первого и второго уровней, за период 1951–1999 годов составляли, соответственно, 2,30 и 5,58%.  Однако существуют межрегиональные различия в расширении образовательных учреждений.</w:t>
      </w:r>
    </w:p>
    <w:p w:rsidR="00000000" w:rsidRDefault="00000000">
      <w:pPr>
        <w:jc w:val="both"/>
        <w:rPr>
          <w:sz w:val="22"/>
          <w:szCs w:val="22"/>
        </w:rPr>
      </w:pPr>
    </w:p>
    <w:p w:rsidR="00000000" w:rsidRDefault="00000000">
      <w:pPr>
        <w:spacing w:after="120"/>
        <w:rPr>
          <w:b/>
          <w:bCs/>
          <w:sz w:val="22"/>
          <w:szCs w:val="22"/>
        </w:rPr>
      </w:pPr>
      <w:r>
        <w:rPr>
          <w:b/>
          <w:bCs/>
          <w:sz w:val="22"/>
          <w:szCs w:val="22"/>
        </w:rPr>
        <w:t>Таблица 13.1.</w:t>
      </w:r>
      <w:r>
        <w:rPr>
          <w:b/>
          <w:bCs/>
          <w:sz w:val="22"/>
          <w:szCs w:val="22"/>
        </w:rPr>
        <w:tab/>
        <w:t xml:space="preserve"> Количество школ в Индии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49"/>
        <w:gridCol w:w="1735"/>
        <w:gridCol w:w="1735"/>
        <w:gridCol w:w="2562"/>
        <w:gridCol w:w="2258"/>
      </w:tblGrid>
      <w:tr w:rsidR="00000000">
        <w:tblPrEx>
          <w:tblCellMar>
            <w:top w:w="0" w:type="dxa"/>
            <w:bottom w:w="0" w:type="dxa"/>
          </w:tblCellMar>
        </w:tblPrEx>
        <w:trPr>
          <w:jc w:val="center"/>
        </w:trPr>
        <w:tc>
          <w:tcPr>
            <w:tcW w:w="1349" w:type="dxa"/>
          </w:tcPr>
          <w:p w:rsidR="00000000" w:rsidRDefault="00000000">
            <w:pPr>
              <w:spacing w:before="40" w:after="40"/>
              <w:jc w:val="center"/>
              <w:rPr>
                <w:sz w:val="20"/>
                <w:szCs w:val="20"/>
              </w:rPr>
            </w:pPr>
            <w:r>
              <w:rPr>
                <w:sz w:val="20"/>
                <w:szCs w:val="20"/>
              </w:rPr>
              <w:t>Год</w:t>
            </w:r>
          </w:p>
        </w:tc>
        <w:tc>
          <w:tcPr>
            <w:tcW w:w="1735" w:type="dxa"/>
          </w:tcPr>
          <w:p w:rsidR="00000000" w:rsidRDefault="00000000">
            <w:pPr>
              <w:spacing w:before="40" w:after="40"/>
              <w:jc w:val="center"/>
              <w:rPr>
                <w:sz w:val="20"/>
                <w:szCs w:val="20"/>
              </w:rPr>
            </w:pPr>
            <w:r>
              <w:rPr>
                <w:sz w:val="20"/>
                <w:szCs w:val="20"/>
              </w:rPr>
              <w:t>Начальное образование первого уровня</w:t>
            </w:r>
          </w:p>
        </w:tc>
        <w:tc>
          <w:tcPr>
            <w:tcW w:w="1735" w:type="dxa"/>
          </w:tcPr>
          <w:p w:rsidR="00000000" w:rsidRDefault="00000000">
            <w:pPr>
              <w:pStyle w:val="EndnoteText"/>
              <w:spacing w:before="40" w:after="40"/>
              <w:rPr>
                <w:rFonts w:ascii="Times New Roman" w:eastAsia="Times New Roman" w:hAnsi="Times New Roman"/>
                <w:lang w:eastAsia="ru-RU"/>
              </w:rPr>
            </w:pPr>
            <w:r>
              <w:rPr>
                <w:rFonts w:ascii="Times New Roman" w:eastAsia="Times New Roman" w:hAnsi="Times New Roman"/>
                <w:lang w:eastAsia="ru-RU"/>
              </w:rPr>
              <w:t>Начальное образование второго уровня</w:t>
            </w:r>
          </w:p>
        </w:tc>
        <w:tc>
          <w:tcPr>
            <w:tcW w:w="2562" w:type="dxa"/>
          </w:tcPr>
          <w:p w:rsidR="00000000" w:rsidRDefault="00000000">
            <w:pPr>
              <w:spacing w:before="40" w:after="40"/>
              <w:jc w:val="center"/>
              <w:rPr>
                <w:sz w:val="20"/>
                <w:szCs w:val="20"/>
              </w:rPr>
            </w:pPr>
            <w:r>
              <w:rPr>
                <w:sz w:val="20"/>
                <w:szCs w:val="20"/>
              </w:rPr>
              <w:t>Отношение числа начальных школ первого уровня к числу начальных школ второго уровня</w:t>
            </w:r>
          </w:p>
        </w:tc>
        <w:tc>
          <w:tcPr>
            <w:tcW w:w="2258" w:type="dxa"/>
          </w:tcPr>
          <w:p w:rsidR="00000000" w:rsidRDefault="00000000">
            <w:pPr>
              <w:spacing w:before="40" w:after="40"/>
              <w:jc w:val="center"/>
              <w:rPr>
                <w:sz w:val="20"/>
                <w:szCs w:val="20"/>
              </w:rPr>
            </w:pPr>
            <w:r>
              <w:rPr>
                <w:sz w:val="20"/>
                <w:szCs w:val="20"/>
              </w:rPr>
              <w:t>Высшее/Полное среднее/Среднее образование</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1950–51</w:t>
            </w:r>
          </w:p>
        </w:tc>
        <w:tc>
          <w:tcPr>
            <w:tcW w:w="1735" w:type="dxa"/>
          </w:tcPr>
          <w:p w:rsidR="00000000" w:rsidRDefault="00000000">
            <w:pPr>
              <w:tabs>
                <w:tab w:val="decimal" w:pos="1021"/>
              </w:tabs>
              <w:spacing w:before="40" w:after="40"/>
              <w:rPr>
                <w:sz w:val="20"/>
                <w:szCs w:val="20"/>
              </w:rPr>
            </w:pPr>
            <w:r>
              <w:rPr>
                <w:sz w:val="20"/>
                <w:szCs w:val="20"/>
              </w:rPr>
              <w:t>209 671</w:t>
            </w:r>
          </w:p>
        </w:tc>
        <w:tc>
          <w:tcPr>
            <w:tcW w:w="1735" w:type="dxa"/>
          </w:tcPr>
          <w:p w:rsidR="00000000" w:rsidRDefault="00000000">
            <w:pPr>
              <w:tabs>
                <w:tab w:val="decimal" w:pos="1021"/>
              </w:tabs>
              <w:spacing w:before="40" w:after="40"/>
              <w:rPr>
                <w:sz w:val="20"/>
                <w:szCs w:val="20"/>
              </w:rPr>
            </w:pPr>
            <w:r>
              <w:rPr>
                <w:sz w:val="20"/>
                <w:szCs w:val="20"/>
              </w:rPr>
              <w:t>13 596</w:t>
            </w:r>
          </w:p>
        </w:tc>
        <w:tc>
          <w:tcPr>
            <w:tcW w:w="2562" w:type="dxa"/>
          </w:tcPr>
          <w:p w:rsidR="00000000" w:rsidRDefault="00000000">
            <w:pPr>
              <w:tabs>
                <w:tab w:val="decimal" w:pos="1134"/>
              </w:tabs>
              <w:spacing w:before="40" w:after="40"/>
              <w:jc w:val="both"/>
              <w:rPr>
                <w:sz w:val="20"/>
                <w:szCs w:val="20"/>
              </w:rPr>
            </w:pPr>
            <w:r>
              <w:rPr>
                <w:sz w:val="20"/>
                <w:szCs w:val="20"/>
              </w:rPr>
              <w:t>15,4</w:t>
            </w:r>
          </w:p>
        </w:tc>
        <w:tc>
          <w:tcPr>
            <w:tcW w:w="2258" w:type="dxa"/>
          </w:tcPr>
          <w:p w:rsidR="00000000" w:rsidRDefault="00000000">
            <w:pPr>
              <w:tabs>
                <w:tab w:val="decimal" w:pos="1247"/>
              </w:tabs>
              <w:spacing w:before="40" w:after="40"/>
              <w:jc w:val="both"/>
              <w:rPr>
                <w:sz w:val="20"/>
                <w:szCs w:val="20"/>
              </w:rPr>
            </w:pPr>
            <w:r>
              <w:rPr>
                <w:sz w:val="20"/>
                <w:szCs w:val="20"/>
              </w:rPr>
              <w:t>7 416</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1955–56</w:t>
            </w:r>
          </w:p>
        </w:tc>
        <w:tc>
          <w:tcPr>
            <w:tcW w:w="1735" w:type="dxa"/>
          </w:tcPr>
          <w:p w:rsidR="00000000" w:rsidRDefault="00000000">
            <w:pPr>
              <w:tabs>
                <w:tab w:val="decimal" w:pos="1021"/>
              </w:tabs>
              <w:spacing w:before="40" w:after="40"/>
              <w:rPr>
                <w:sz w:val="20"/>
                <w:szCs w:val="20"/>
              </w:rPr>
            </w:pPr>
            <w:r>
              <w:rPr>
                <w:sz w:val="20"/>
                <w:szCs w:val="20"/>
              </w:rPr>
              <w:t>278 135</w:t>
            </w:r>
          </w:p>
        </w:tc>
        <w:tc>
          <w:tcPr>
            <w:tcW w:w="1735" w:type="dxa"/>
          </w:tcPr>
          <w:p w:rsidR="00000000" w:rsidRDefault="00000000">
            <w:pPr>
              <w:tabs>
                <w:tab w:val="decimal" w:pos="1021"/>
              </w:tabs>
              <w:spacing w:before="40" w:after="40"/>
              <w:rPr>
                <w:sz w:val="20"/>
                <w:szCs w:val="20"/>
              </w:rPr>
            </w:pPr>
            <w:r>
              <w:rPr>
                <w:sz w:val="20"/>
                <w:szCs w:val="20"/>
              </w:rPr>
              <w:t>21 730</w:t>
            </w:r>
          </w:p>
        </w:tc>
        <w:tc>
          <w:tcPr>
            <w:tcW w:w="2562" w:type="dxa"/>
          </w:tcPr>
          <w:p w:rsidR="00000000" w:rsidRDefault="00000000">
            <w:pPr>
              <w:tabs>
                <w:tab w:val="decimal" w:pos="1134"/>
              </w:tabs>
              <w:spacing w:before="40" w:after="40"/>
              <w:jc w:val="both"/>
              <w:rPr>
                <w:sz w:val="20"/>
                <w:szCs w:val="20"/>
              </w:rPr>
            </w:pPr>
            <w:r>
              <w:rPr>
                <w:sz w:val="20"/>
                <w:szCs w:val="20"/>
              </w:rPr>
              <w:t>12,8</w:t>
            </w:r>
          </w:p>
        </w:tc>
        <w:tc>
          <w:tcPr>
            <w:tcW w:w="2258" w:type="dxa"/>
          </w:tcPr>
          <w:p w:rsidR="00000000" w:rsidRDefault="00000000">
            <w:pPr>
              <w:tabs>
                <w:tab w:val="decimal" w:pos="1247"/>
              </w:tabs>
              <w:spacing w:before="40" w:after="40"/>
              <w:jc w:val="both"/>
              <w:rPr>
                <w:sz w:val="20"/>
                <w:szCs w:val="20"/>
              </w:rPr>
            </w:pP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1960–61</w:t>
            </w:r>
          </w:p>
        </w:tc>
        <w:tc>
          <w:tcPr>
            <w:tcW w:w="1735" w:type="dxa"/>
          </w:tcPr>
          <w:p w:rsidR="00000000" w:rsidRDefault="00000000">
            <w:pPr>
              <w:tabs>
                <w:tab w:val="decimal" w:pos="1021"/>
              </w:tabs>
              <w:spacing w:before="40" w:after="40"/>
              <w:rPr>
                <w:sz w:val="20"/>
                <w:szCs w:val="20"/>
              </w:rPr>
            </w:pPr>
            <w:r>
              <w:rPr>
                <w:sz w:val="20"/>
                <w:szCs w:val="20"/>
              </w:rPr>
              <w:t>330 399</w:t>
            </w:r>
          </w:p>
        </w:tc>
        <w:tc>
          <w:tcPr>
            <w:tcW w:w="1735" w:type="dxa"/>
          </w:tcPr>
          <w:p w:rsidR="00000000" w:rsidRDefault="00000000">
            <w:pPr>
              <w:tabs>
                <w:tab w:val="decimal" w:pos="1021"/>
              </w:tabs>
              <w:spacing w:before="40" w:after="40"/>
              <w:rPr>
                <w:sz w:val="20"/>
                <w:szCs w:val="20"/>
              </w:rPr>
            </w:pPr>
            <w:r>
              <w:rPr>
                <w:sz w:val="20"/>
                <w:szCs w:val="20"/>
              </w:rPr>
              <w:t>49 663</w:t>
            </w:r>
          </w:p>
        </w:tc>
        <w:tc>
          <w:tcPr>
            <w:tcW w:w="2562" w:type="dxa"/>
          </w:tcPr>
          <w:p w:rsidR="00000000" w:rsidRDefault="00000000">
            <w:pPr>
              <w:tabs>
                <w:tab w:val="decimal" w:pos="1134"/>
              </w:tabs>
              <w:spacing w:before="40" w:after="40"/>
              <w:jc w:val="both"/>
              <w:rPr>
                <w:sz w:val="20"/>
                <w:szCs w:val="20"/>
              </w:rPr>
            </w:pPr>
            <w:r>
              <w:rPr>
                <w:sz w:val="20"/>
                <w:szCs w:val="20"/>
              </w:rPr>
              <w:t>6,7</w:t>
            </w:r>
          </w:p>
        </w:tc>
        <w:tc>
          <w:tcPr>
            <w:tcW w:w="2258" w:type="dxa"/>
          </w:tcPr>
          <w:p w:rsidR="00000000" w:rsidRDefault="00000000">
            <w:pPr>
              <w:tabs>
                <w:tab w:val="decimal" w:pos="1247"/>
              </w:tabs>
              <w:spacing w:before="40" w:after="40"/>
              <w:jc w:val="both"/>
              <w:rPr>
                <w:sz w:val="20"/>
                <w:szCs w:val="20"/>
              </w:rPr>
            </w:pPr>
            <w:r>
              <w:rPr>
                <w:sz w:val="20"/>
                <w:szCs w:val="20"/>
              </w:rPr>
              <w:t>17 257</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1965–66</w:t>
            </w:r>
          </w:p>
        </w:tc>
        <w:tc>
          <w:tcPr>
            <w:tcW w:w="1735" w:type="dxa"/>
          </w:tcPr>
          <w:p w:rsidR="00000000" w:rsidRDefault="00000000">
            <w:pPr>
              <w:tabs>
                <w:tab w:val="decimal" w:pos="1021"/>
              </w:tabs>
              <w:spacing w:before="40" w:after="40"/>
              <w:rPr>
                <w:sz w:val="20"/>
                <w:szCs w:val="20"/>
              </w:rPr>
            </w:pPr>
            <w:r>
              <w:rPr>
                <w:sz w:val="20"/>
                <w:szCs w:val="20"/>
              </w:rPr>
              <w:t>391 064</w:t>
            </w:r>
          </w:p>
        </w:tc>
        <w:tc>
          <w:tcPr>
            <w:tcW w:w="1735" w:type="dxa"/>
          </w:tcPr>
          <w:p w:rsidR="00000000" w:rsidRDefault="00000000">
            <w:pPr>
              <w:tabs>
                <w:tab w:val="decimal" w:pos="1021"/>
              </w:tabs>
              <w:spacing w:before="40" w:after="40"/>
              <w:rPr>
                <w:sz w:val="20"/>
                <w:szCs w:val="20"/>
              </w:rPr>
            </w:pPr>
            <w:r>
              <w:rPr>
                <w:sz w:val="20"/>
                <w:szCs w:val="20"/>
              </w:rPr>
              <w:t>75 798</w:t>
            </w:r>
          </w:p>
        </w:tc>
        <w:tc>
          <w:tcPr>
            <w:tcW w:w="2562" w:type="dxa"/>
          </w:tcPr>
          <w:p w:rsidR="00000000" w:rsidRDefault="00000000">
            <w:pPr>
              <w:tabs>
                <w:tab w:val="decimal" w:pos="1134"/>
              </w:tabs>
              <w:spacing w:before="40" w:after="40"/>
              <w:jc w:val="both"/>
              <w:rPr>
                <w:sz w:val="20"/>
                <w:szCs w:val="20"/>
              </w:rPr>
            </w:pPr>
            <w:r>
              <w:rPr>
                <w:sz w:val="20"/>
                <w:szCs w:val="20"/>
              </w:rPr>
              <w:t>5,2</w:t>
            </w:r>
          </w:p>
        </w:tc>
        <w:tc>
          <w:tcPr>
            <w:tcW w:w="2258" w:type="dxa"/>
          </w:tcPr>
          <w:p w:rsidR="00000000" w:rsidRDefault="00000000">
            <w:pPr>
              <w:tabs>
                <w:tab w:val="decimal" w:pos="1247"/>
              </w:tabs>
              <w:spacing w:before="40" w:after="40"/>
              <w:jc w:val="both"/>
              <w:rPr>
                <w:sz w:val="20"/>
                <w:szCs w:val="20"/>
              </w:rPr>
            </w:pP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1970–71</w:t>
            </w:r>
          </w:p>
        </w:tc>
        <w:tc>
          <w:tcPr>
            <w:tcW w:w="1735" w:type="dxa"/>
          </w:tcPr>
          <w:p w:rsidR="00000000" w:rsidRDefault="00000000">
            <w:pPr>
              <w:tabs>
                <w:tab w:val="decimal" w:pos="1021"/>
              </w:tabs>
              <w:spacing w:before="40" w:after="40"/>
              <w:rPr>
                <w:sz w:val="20"/>
                <w:szCs w:val="20"/>
              </w:rPr>
            </w:pPr>
            <w:r>
              <w:rPr>
                <w:sz w:val="20"/>
                <w:szCs w:val="20"/>
              </w:rPr>
              <w:t>408 378</w:t>
            </w:r>
          </w:p>
        </w:tc>
        <w:tc>
          <w:tcPr>
            <w:tcW w:w="1735" w:type="dxa"/>
          </w:tcPr>
          <w:p w:rsidR="00000000" w:rsidRDefault="00000000">
            <w:pPr>
              <w:tabs>
                <w:tab w:val="decimal" w:pos="1021"/>
              </w:tabs>
              <w:spacing w:before="40" w:after="40"/>
              <w:rPr>
                <w:sz w:val="20"/>
                <w:szCs w:val="20"/>
              </w:rPr>
            </w:pPr>
            <w:r>
              <w:rPr>
                <w:sz w:val="20"/>
                <w:szCs w:val="20"/>
              </w:rPr>
              <w:t>90 621</w:t>
            </w:r>
          </w:p>
        </w:tc>
        <w:tc>
          <w:tcPr>
            <w:tcW w:w="2562" w:type="dxa"/>
          </w:tcPr>
          <w:p w:rsidR="00000000" w:rsidRDefault="00000000">
            <w:pPr>
              <w:tabs>
                <w:tab w:val="decimal" w:pos="1134"/>
              </w:tabs>
              <w:spacing w:before="40" w:after="40"/>
              <w:jc w:val="both"/>
              <w:rPr>
                <w:sz w:val="20"/>
                <w:szCs w:val="20"/>
              </w:rPr>
            </w:pPr>
            <w:r>
              <w:rPr>
                <w:sz w:val="20"/>
                <w:szCs w:val="20"/>
              </w:rPr>
              <w:t>4,5</w:t>
            </w:r>
          </w:p>
        </w:tc>
        <w:tc>
          <w:tcPr>
            <w:tcW w:w="2258" w:type="dxa"/>
          </w:tcPr>
          <w:p w:rsidR="00000000" w:rsidRDefault="00000000">
            <w:pPr>
              <w:tabs>
                <w:tab w:val="decimal" w:pos="1247"/>
              </w:tabs>
              <w:spacing w:before="40" w:after="40"/>
              <w:jc w:val="both"/>
              <w:rPr>
                <w:sz w:val="20"/>
                <w:szCs w:val="20"/>
              </w:rPr>
            </w:pPr>
            <w:r>
              <w:rPr>
                <w:sz w:val="20"/>
                <w:szCs w:val="20"/>
              </w:rPr>
              <w:t>36 738</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1975–76</w:t>
            </w:r>
          </w:p>
        </w:tc>
        <w:tc>
          <w:tcPr>
            <w:tcW w:w="1735" w:type="dxa"/>
          </w:tcPr>
          <w:p w:rsidR="00000000" w:rsidRDefault="00000000">
            <w:pPr>
              <w:tabs>
                <w:tab w:val="decimal" w:pos="1021"/>
              </w:tabs>
              <w:spacing w:before="40" w:after="40"/>
              <w:rPr>
                <w:sz w:val="20"/>
                <w:szCs w:val="20"/>
              </w:rPr>
            </w:pPr>
            <w:r>
              <w:rPr>
                <w:sz w:val="20"/>
                <w:szCs w:val="20"/>
              </w:rPr>
              <w:t>454 270</w:t>
            </w:r>
          </w:p>
        </w:tc>
        <w:tc>
          <w:tcPr>
            <w:tcW w:w="1735" w:type="dxa"/>
          </w:tcPr>
          <w:p w:rsidR="00000000" w:rsidRDefault="00000000">
            <w:pPr>
              <w:tabs>
                <w:tab w:val="decimal" w:pos="1021"/>
              </w:tabs>
              <w:spacing w:before="40" w:after="40"/>
              <w:rPr>
                <w:sz w:val="20"/>
                <w:szCs w:val="20"/>
              </w:rPr>
            </w:pPr>
            <w:r>
              <w:rPr>
                <w:sz w:val="20"/>
                <w:szCs w:val="20"/>
              </w:rPr>
              <w:t>106 571</w:t>
            </w:r>
          </w:p>
        </w:tc>
        <w:tc>
          <w:tcPr>
            <w:tcW w:w="2562" w:type="dxa"/>
          </w:tcPr>
          <w:p w:rsidR="00000000" w:rsidRDefault="00000000">
            <w:pPr>
              <w:tabs>
                <w:tab w:val="decimal" w:pos="1134"/>
              </w:tabs>
              <w:spacing w:before="40" w:after="40"/>
              <w:jc w:val="both"/>
              <w:rPr>
                <w:sz w:val="20"/>
                <w:szCs w:val="20"/>
              </w:rPr>
            </w:pPr>
            <w:r>
              <w:rPr>
                <w:sz w:val="20"/>
                <w:szCs w:val="20"/>
              </w:rPr>
              <w:t>4,3</w:t>
            </w:r>
          </w:p>
        </w:tc>
        <w:tc>
          <w:tcPr>
            <w:tcW w:w="2258" w:type="dxa"/>
          </w:tcPr>
          <w:p w:rsidR="00000000" w:rsidRDefault="00000000">
            <w:pPr>
              <w:tabs>
                <w:tab w:val="decimal" w:pos="1247"/>
              </w:tabs>
              <w:spacing w:before="40" w:after="40"/>
              <w:jc w:val="both"/>
              <w:rPr>
                <w:sz w:val="20"/>
                <w:szCs w:val="20"/>
              </w:rPr>
            </w:pP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1980–81</w:t>
            </w:r>
          </w:p>
        </w:tc>
        <w:tc>
          <w:tcPr>
            <w:tcW w:w="1735" w:type="dxa"/>
          </w:tcPr>
          <w:p w:rsidR="00000000" w:rsidRDefault="00000000">
            <w:pPr>
              <w:tabs>
                <w:tab w:val="decimal" w:pos="1021"/>
              </w:tabs>
              <w:spacing w:before="40" w:after="40"/>
              <w:rPr>
                <w:sz w:val="20"/>
                <w:szCs w:val="20"/>
              </w:rPr>
            </w:pPr>
            <w:r>
              <w:rPr>
                <w:sz w:val="20"/>
                <w:szCs w:val="20"/>
              </w:rPr>
              <w:t>494 503</w:t>
            </w:r>
          </w:p>
        </w:tc>
        <w:tc>
          <w:tcPr>
            <w:tcW w:w="1735" w:type="dxa"/>
          </w:tcPr>
          <w:p w:rsidR="00000000" w:rsidRDefault="00000000">
            <w:pPr>
              <w:tabs>
                <w:tab w:val="decimal" w:pos="1021"/>
              </w:tabs>
              <w:spacing w:before="40" w:after="40"/>
              <w:rPr>
                <w:sz w:val="20"/>
                <w:szCs w:val="20"/>
              </w:rPr>
            </w:pPr>
            <w:r>
              <w:rPr>
                <w:sz w:val="20"/>
                <w:szCs w:val="20"/>
              </w:rPr>
              <w:t>118 555</w:t>
            </w:r>
          </w:p>
        </w:tc>
        <w:tc>
          <w:tcPr>
            <w:tcW w:w="2562" w:type="dxa"/>
          </w:tcPr>
          <w:p w:rsidR="00000000" w:rsidRDefault="00000000">
            <w:pPr>
              <w:tabs>
                <w:tab w:val="decimal" w:pos="1134"/>
              </w:tabs>
              <w:spacing w:before="40" w:after="40"/>
              <w:jc w:val="both"/>
              <w:rPr>
                <w:sz w:val="20"/>
                <w:szCs w:val="20"/>
              </w:rPr>
            </w:pPr>
            <w:r>
              <w:rPr>
                <w:sz w:val="20"/>
                <w:szCs w:val="20"/>
              </w:rPr>
              <w:t>4,2</w:t>
            </w:r>
          </w:p>
        </w:tc>
        <w:tc>
          <w:tcPr>
            <w:tcW w:w="2258" w:type="dxa"/>
          </w:tcPr>
          <w:p w:rsidR="00000000" w:rsidRDefault="00000000">
            <w:pPr>
              <w:tabs>
                <w:tab w:val="decimal" w:pos="1247"/>
              </w:tabs>
              <w:spacing w:before="40" w:after="40"/>
              <w:jc w:val="both"/>
              <w:rPr>
                <w:sz w:val="20"/>
                <w:szCs w:val="20"/>
              </w:rPr>
            </w:pPr>
            <w:r>
              <w:rPr>
                <w:sz w:val="20"/>
                <w:szCs w:val="20"/>
              </w:rPr>
              <w:t>51 006</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1985–86</w:t>
            </w:r>
          </w:p>
        </w:tc>
        <w:tc>
          <w:tcPr>
            <w:tcW w:w="1735" w:type="dxa"/>
          </w:tcPr>
          <w:p w:rsidR="00000000" w:rsidRDefault="00000000">
            <w:pPr>
              <w:tabs>
                <w:tab w:val="decimal" w:pos="1021"/>
              </w:tabs>
              <w:spacing w:before="40" w:after="40"/>
              <w:rPr>
                <w:sz w:val="20"/>
                <w:szCs w:val="20"/>
              </w:rPr>
            </w:pPr>
            <w:r>
              <w:rPr>
                <w:sz w:val="20"/>
                <w:szCs w:val="20"/>
              </w:rPr>
              <w:t>528 872</w:t>
            </w:r>
          </w:p>
        </w:tc>
        <w:tc>
          <w:tcPr>
            <w:tcW w:w="1735" w:type="dxa"/>
          </w:tcPr>
          <w:p w:rsidR="00000000" w:rsidRDefault="00000000">
            <w:pPr>
              <w:tabs>
                <w:tab w:val="decimal" w:pos="1021"/>
              </w:tabs>
              <w:spacing w:before="40" w:after="40"/>
              <w:rPr>
                <w:sz w:val="20"/>
                <w:szCs w:val="20"/>
              </w:rPr>
            </w:pPr>
            <w:r>
              <w:rPr>
                <w:sz w:val="20"/>
                <w:szCs w:val="20"/>
              </w:rPr>
              <w:t>134 846</w:t>
            </w:r>
          </w:p>
        </w:tc>
        <w:tc>
          <w:tcPr>
            <w:tcW w:w="2562" w:type="dxa"/>
          </w:tcPr>
          <w:p w:rsidR="00000000" w:rsidRDefault="00000000">
            <w:pPr>
              <w:tabs>
                <w:tab w:val="decimal" w:pos="1134"/>
              </w:tabs>
              <w:spacing w:before="40" w:after="40"/>
              <w:jc w:val="both"/>
              <w:rPr>
                <w:sz w:val="20"/>
                <w:szCs w:val="20"/>
              </w:rPr>
            </w:pPr>
            <w:r>
              <w:rPr>
                <w:sz w:val="20"/>
                <w:szCs w:val="20"/>
              </w:rPr>
              <w:t>3,9</w:t>
            </w:r>
          </w:p>
        </w:tc>
        <w:tc>
          <w:tcPr>
            <w:tcW w:w="2258" w:type="dxa"/>
          </w:tcPr>
          <w:p w:rsidR="00000000" w:rsidRDefault="00000000">
            <w:pPr>
              <w:tabs>
                <w:tab w:val="decimal" w:pos="1247"/>
              </w:tabs>
              <w:spacing w:before="40" w:after="40"/>
              <w:jc w:val="both"/>
              <w:rPr>
                <w:sz w:val="20"/>
                <w:szCs w:val="20"/>
              </w:rPr>
            </w:pP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1990–91</w:t>
            </w:r>
          </w:p>
        </w:tc>
        <w:tc>
          <w:tcPr>
            <w:tcW w:w="1735" w:type="dxa"/>
          </w:tcPr>
          <w:p w:rsidR="00000000" w:rsidRDefault="00000000">
            <w:pPr>
              <w:tabs>
                <w:tab w:val="decimal" w:pos="1021"/>
              </w:tabs>
              <w:spacing w:before="40" w:after="40"/>
              <w:jc w:val="both"/>
              <w:rPr>
                <w:sz w:val="20"/>
                <w:szCs w:val="20"/>
              </w:rPr>
            </w:pPr>
            <w:r>
              <w:rPr>
                <w:sz w:val="20"/>
                <w:szCs w:val="20"/>
              </w:rPr>
              <w:t>560 935</w:t>
            </w:r>
          </w:p>
        </w:tc>
        <w:tc>
          <w:tcPr>
            <w:tcW w:w="1735" w:type="dxa"/>
          </w:tcPr>
          <w:p w:rsidR="00000000" w:rsidRDefault="00000000">
            <w:pPr>
              <w:tabs>
                <w:tab w:val="decimal" w:pos="1021"/>
              </w:tabs>
              <w:spacing w:before="40" w:after="40"/>
              <w:jc w:val="both"/>
              <w:rPr>
                <w:sz w:val="20"/>
                <w:szCs w:val="20"/>
              </w:rPr>
            </w:pPr>
            <w:r>
              <w:rPr>
                <w:sz w:val="20"/>
                <w:szCs w:val="20"/>
              </w:rPr>
              <w:t>151 456</w:t>
            </w:r>
          </w:p>
        </w:tc>
        <w:tc>
          <w:tcPr>
            <w:tcW w:w="2562" w:type="dxa"/>
          </w:tcPr>
          <w:p w:rsidR="00000000" w:rsidRDefault="00000000">
            <w:pPr>
              <w:tabs>
                <w:tab w:val="decimal" w:pos="1134"/>
              </w:tabs>
              <w:spacing w:before="40" w:after="40"/>
              <w:jc w:val="both"/>
              <w:rPr>
                <w:sz w:val="20"/>
                <w:szCs w:val="20"/>
              </w:rPr>
            </w:pPr>
            <w:r>
              <w:rPr>
                <w:sz w:val="20"/>
                <w:szCs w:val="20"/>
              </w:rPr>
              <w:t>3,7</w:t>
            </w:r>
          </w:p>
        </w:tc>
        <w:tc>
          <w:tcPr>
            <w:tcW w:w="2258" w:type="dxa"/>
          </w:tcPr>
          <w:p w:rsidR="00000000" w:rsidRDefault="00000000">
            <w:pPr>
              <w:tabs>
                <w:tab w:val="decimal" w:pos="1134"/>
              </w:tabs>
              <w:spacing w:before="40" w:after="40"/>
              <w:jc w:val="both"/>
              <w:rPr>
                <w:sz w:val="20"/>
                <w:szCs w:val="20"/>
              </w:rPr>
            </w:pPr>
            <w:r>
              <w:rPr>
                <w:sz w:val="20"/>
                <w:szCs w:val="20"/>
              </w:rPr>
              <w:t>79 796</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1995–96</w:t>
            </w:r>
          </w:p>
        </w:tc>
        <w:tc>
          <w:tcPr>
            <w:tcW w:w="1735" w:type="dxa"/>
          </w:tcPr>
          <w:p w:rsidR="00000000" w:rsidRDefault="00000000">
            <w:pPr>
              <w:tabs>
                <w:tab w:val="decimal" w:pos="1021"/>
              </w:tabs>
              <w:spacing w:before="40" w:after="40"/>
              <w:jc w:val="both"/>
              <w:rPr>
                <w:sz w:val="20"/>
                <w:szCs w:val="20"/>
              </w:rPr>
            </w:pPr>
            <w:r>
              <w:rPr>
                <w:sz w:val="20"/>
                <w:szCs w:val="20"/>
              </w:rPr>
              <w:t>590 421</w:t>
            </w:r>
          </w:p>
        </w:tc>
        <w:tc>
          <w:tcPr>
            <w:tcW w:w="1735" w:type="dxa"/>
          </w:tcPr>
          <w:p w:rsidR="00000000" w:rsidRDefault="00000000">
            <w:pPr>
              <w:tabs>
                <w:tab w:val="decimal" w:pos="1021"/>
              </w:tabs>
              <w:spacing w:before="40" w:after="40"/>
              <w:jc w:val="both"/>
              <w:rPr>
                <w:sz w:val="20"/>
                <w:szCs w:val="20"/>
              </w:rPr>
            </w:pPr>
            <w:r>
              <w:rPr>
                <w:sz w:val="20"/>
                <w:szCs w:val="20"/>
              </w:rPr>
              <w:t>171 216</w:t>
            </w:r>
          </w:p>
        </w:tc>
        <w:tc>
          <w:tcPr>
            <w:tcW w:w="2562" w:type="dxa"/>
          </w:tcPr>
          <w:p w:rsidR="00000000" w:rsidRDefault="00000000">
            <w:pPr>
              <w:tabs>
                <w:tab w:val="decimal" w:pos="1134"/>
              </w:tabs>
              <w:spacing w:before="40" w:after="40"/>
              <w:jc w:val="both"/>
              <w:rPr>
                <w:sz w:val="20"/>
                <w:szCs w:val="20"/>
              </w:rPr>
            </w:pPr>
            <w:r>
              <w:rPr>
                <w:sz w:val="20"/>
                <w:szCs w:val="20"/>
              </w:rPr>
              <w:t>3,4</w:t>
            </w:r>
          </w:p>
        </w:tc>
        <w:tc>
          <w:tcPr>
            <w:tcW w:w="2258" w:type="dxa"/>
          </w:tcPr>
          <w:p w:rsidR="00000000" w:rsidRDefault="00000000">
            <w:pPr>
              <w:tabs>
                <w:tab w:val="decimal" w:pos="1134"/>
              </w:tabs>
              <w:spacing w:before="40" w:after="40"/>
              <w:jc w:val="both"/>
              <w:rPr>
                <w:sz w:val="20"/>
                <w:szCs w:val="20"/>
              </w:rPr>
            </w:pPr>
            <w:r>
              <w:rPr>
                <w:sz w:val="20"/>
                <w:szCs w:val="20"/>
              </w:rPr>
              <w:t>98 134</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1998–99*</w:t>
            </w:r>
          </w:p>
        </w:tc>
        <w:tc>
          <w:tcPr>
            <w:tcW w:w="1735" w:type="dxa"/>
          </w:tcPr>
          <w:p w:rsidR="00000000" w:rsidRDefault="00000000">
            <w:pPr>
              <w:tabs>
                <w:tab w:val="decimal" w:pos="1021"/>
              </w:tabs>
              <w:spacing w:before="40" w:after="40"/>
              <w:jc w:val="both"/>
              <w:rPr>
                <w:sz w:val="20"/>
                <w:szCs w:val="20"/>
              </w:rPr>
            </w:pPr>
            <w:r>
              <w:rPr>
                <w:sz w:val="20"/>
                <w:szCs w:val="20"/>
              </w:rPr>
              <w:t>626 737</w:t>
            </w:r>
          </w:p>
        </w:tc>
        <w:tc>
          <w:tcPr>
            <w:tcW w:w="1735" w:type="dxa"/>
          </w:tcPr>
          <w:p w:rsidR="00000000" w:rsidRDefault="00000000">
            <w:pPr>
              <w:tabs>
                <w:tab w:val="decimal" w:pos="1021"/>
              </w:tabs>
              <w:spacing w:before="40" w:after="40"/>
              <w:jc w:val="both"/>
              <w:rPr>
                <w:sz w:val="20"/>
                <w:szCs w:val="20"/>
              </w:rPr>
            </w:pPr>
            <w:r>
              <w:rPr>
                <w:sz w:val="20"/>
                <w:szCs w:val="20"/>
              </w:rPr>
              <w:t>190 166</w:t>
            </w:r>
          </w:p>
        </w:tc>
        <w:tc>
          <w:tcPr>
            <w:tcW w:w="2562" w:type="dxa"/>
          </w:tcPr>
          <w:p w:rsidR="00000000" w:rsidRDefault="00000000">
            <w:pPr>
              <w:tabs>
                <w:tab w:val="decimal" w:pos="1134"/>
              </w:tabs>
              <w:spacing w:before="40" w:after="40"/>
              <w:jc w:val="both"/>
              <w:rPr>
                <w:sz w:val="20"/>
                <w:szCs w:val="20"/>
              </w:rPr>
            </w:pPr>
            <w:r>
              <w:rPr>
                <w:sz w:val="20"/>
                <w:szCs w:val="20"/>
              </w:rPr>
              <w:t>3,3</w:t>
            </w:r>
          </w:p>
        </w:tc>
        <w:tc>
          <w:tcPr>
            <w:tcW w:w="2258" w:type="dxa"/>
          </w:tcPr>
          <w:p w:rsidR="00000000" w:rsidRDefault="00000000">
            <w:pPr>
              <w:tabs>
                <w:tab w:val="decimal" w:pos="1134"/>
              </w:tabs>
              <w:spacing w:before="40" w:after="40"/>
              <w:jc w:val="both"/>
              <w:rPr>
                <w:sz w:val="20"/>
                <w:szCs w:val="20"/>
              </w:rPr>
            </w:pPr>
            <w:r>
              <w:rPr>
                <w:sz w:val="20"/>
                <w:szCs w:val="20"/>
              </w:rPr>
              <w:t>112 438</w:t>
            </w:r>
          </w:p>
        </w:tc>
      </w:tr>
      <w:tr w:rsidR="00000000">
        <w:tblPrEx>
          <w:tblCellMar>
            <w:top w:w="0" w:type="dxa"/>
            <w:bottom w:w="0" w:type="dxa"/>
          </w:tblCellMar>
        </w:tblPrEx>
        <w:trPr>
          <w:jc w:val="center"/>
        </w:trPr>
        <w:tc>
          <w:tcPr>
            <w:tcW w:w="1349" w:type="dxa"/>
          </w:tcPr>
          <w:p w:rsidR="00000000" w:rsidRDefault="00000000">
            <w:pPr>
              <w:spacing w:before="40" w:after="40"/>
              <w:jc w:val="both"/>
              <w:rPr>
                <w:sz w:val="20"/>
                <w:szCs w:val="20"/>
              </w:rPr>
            </w:pPr>
            <w:r>
              <w:rPr>
                <w:sz w:val="20"/>
                <w:szCs w:val="20"/>
              </w:rPr>
              <w:t>Темпы роста (%) 1990–98</w:t>
            </w:r>
          </w:p>
        </w:tc>
        <w:tc>
          <w:tcPr>
            <w:tcW w:w="1735" w:type="dxa"/>
            <w:vAlign w:val="bottom"/>
          </w:tcPr>
          <w:p w:rsidR="00000000" w:rsidRDefault="00000000">
            <w:pPr>
              <w:tabs>
                <w:tab w:val="decimal" w:pos="1021"/>
              </w:tabs>
              <w:spacing w:before="40" w:after="40"/>
              <w:jc w:val="both"/>
              <w:rPr>
                <w:sz w:val="20"/>
                <w:szCs w:val="20"/>
              </w:rPr>
            </w:pPr>
            <w:r>
              <w:rPr>
                <w:sz w:val="20"/>
                <w:szCs w:val="20"/>
              </w:rPr>
              <w:t>1,40</w:t>
            </w:r>
          </w:p>
        </w:tc>
        <w:tc>
          <w:tcPr>
            <w:tcW w:w="1735" w:type="dxa"/>
            <w:vAlign w:val="bottom"/>
          </w:tcPr>
          <w:p w:rsidR="00000000" w:rsidRDefault="00000000">
            <w:pPr>
              <w:tabs>
                <w:tab w:val="decimal" w:pos="1021"/>
              </w:tabs>
              <w:spacing w:before="40" w:after="40"/>
              <w:jc w:val="both"/>
              <w:rPr>
                <w:sz w:val="20"/>
                <w:szCs w:val="20"/>
              </w:rPr>
            </w:pPr>
            <w:r>
              <w:rPr>
                <w:sz w:val="20"/>
                <w:szCs w:val="20"/>
              </w:rPr>
              <w:t>2,89</w:t>
            </w:r>
          </w:p>
        </w:tc>
        <w:tc>
          <w:tcPr>
            <w:tcW w:w="2562" w:type="dxa"/>
            <w:vAlign w:val="bottom"/>
          </w:tcPr>
          <w:p w:rsidR="00000000" w:rsidRDefault="00000000">
            <w:pPr>
              <w:tabs>
                <w:tab w:val="decimal" w:pos="1134"/>
              </w:tabs>
              <w:spacing w:before="40" w:after="40"/>
              <w:jc w:val="both"/>
              <w:rPr>
                <w:sz w:val="20"/>
                <w:szCs w:val="20"/>
              </w:rPr>
            </w:pPr>
          </w:p>
        </w:tc>
        <w:tc>
          <w:tcPr>
            <w:tcW w:w="2258" w:type="dxa"/>
            <w:vAlign w:val="bottom"/>
          </w:tcPr>
          <w:p w:rsidR="00000000" w:rsidRDefault="00000000">
            <w:pPr>
              <w:tabs>
                <w:tab w:val="decimal" w:pos="1134"/>
              </w:tabs>
              <w:spacing w:before="40" w:after="40"/>
              <w:jc w:val="both"/>
              <w:rPr>
                <w:sz w:val="20"/>
                <w:szCs w:val="20"/>
              </w:rPr>
            </w:pPr>
            <w:r>
              <w:rPr>
                <w:sz w:val="20"/>
                <w:szCs w:val="20"/>
              </w:rPr>
              <w:t>4,4</w:t>
            </w:r>
          </w:p>
        </w:tc>
      </w:tr>
    </w:tbl>
    <w:p w:rsidR="00000000" w:rsidRDefault="00000000">
      <w:pPr>
        <w:pStyle w:val="a3"/>
        <w:spacing w:before="120"/>
      </w:pPr>
      <w:r>
        <w:t>* Предварительные данные</w:t>
      </w:r>
    </w:p>
    <w:p w:rsidR="00000000" w:rsidRDefault="00000000">
      <w:pPr>
        <w:jc w:val="both"/>
        <w:rPr>
          <w:sz w:val="22"/>
          <w:szCs w:val="22"/>
        </w:rPr>
      </w:pPr>
    </w:p>
    <w:p w:rsidR="00000000" w:rsidRDefault="00000000">
      <w:pPr>
        <w:pStyle w:val="112"/>
      </w:pPr>
      <w:r>
        <w:t>588.</w:t>
      </w:r>
      <w:r>
        <w:tab/>
        <w:t>Формальная система образования не охватывает значительное число детей в связи с различными социально-экономическими препятствиями.  В 1979/80 году была введена схема неформального образования, ориентированная на детей от 6 до 14 лет, остающихся неохваченными формальной школьной системой.  За 2000 год на осуществление программы формального образования штатам/союзным территориям было выделено 1172,9 миллиона рупий, а добровольным учреждениям – 394,4 миллиона.  Как центральное правительство, так и правительства штатов инициировали ряд программ в рамках операции "Классная доска", нацеленной на обеспечение школ дополнительными учителями, классными комнатами и оборудованием для преподавания и учебы.</w:t>
      </w:r>
    </w:p>
    <w:p w:rsidR="00000000" w:rsidRDefault="00000000">
      <w:pPr>
        <w:pStyle w:val="112"/>
      </w:pPr>
      <w:r>
        <w:t>589.</w:t>
      </w:r>
      <w:r>
        <w:tab/>
        <w:t xml:space="preserve">Число официально признанных учебных заведений, предоставляющих высшее/полное среднее/среднее/промежуточное образование, в 1950/51 году достигавшее 7416, выросло до 88 411 в </w:t>
      </w:r>
      <w:r>
        <w:br/>
        <w:t>1993/94 году и далее до 112 438 в 1998/99 году (по предварительным данным).</w:t>
      </w:r>
    </w:p>
    <w:p w:rsidR="00000000" w:rsidRDefault="00000000">
      <w:pPr>
        <w:pStyle w:val="112"/>
      </w:pPr>
      <w:r>
        <w:t>590.</w:t>
      </w:r>
      <w:r>
        <w:tab/>
        <w:t xml:space="preserve">Общее число высших учебных заведений общего образования увеличилось с 370 в </w:t>
      </w:r>
      <w:r>
        <w:br/>
        <w:t xml:space="preserve">1950/51 году до 11 089 в 1999/2000 году.  Общее число высших учебных заведений профессионального образования увеличилось с 208 в 1950/51 году до 2113 в 1998/99 году.  </w:t>
      </w:r>
      <w:r>
        <w:br/>
        <w:t xml:space="preserve">В 1950/51 году общее число университетов в стране составляло 27, к 1998/99 году оно выросло до 237.  Средние ежегодные темпы роста числа высших учебных заведений общего и профессионального образования за период с 1950/51 по 1998/99 годы составляли, соответственно, </w:t>
      </w:r>
      <w:r>
        <w:br/>
        <w:t xml:space="preserve">6,5 и 4,9 процента.  За тот же период темпы роста числа университетов в стране составили </w:t>
      </w:r>
      <w:r>
        <w:br/>
        <w:t xml:space="preserve">4,6 процента.  За период после получения независимости был зарегистрирован также значительный рост числа студентов и преподавателей в сфере высшего образования.  </w:t>
      </w:r>
    </w:p>
    <w:p w:rsidR="00000000" w:rsidRDefault="00000000">
      <w:pPr>
        <w:pStyle w:val="112"/>
      </w:pPr>
      <w:r>
        <w:t>591.</w:t>
      </w:r>
      <w:r>
        <w:tab/>
        <w:t xml:space="preserve">Несмотря на рост числа населенных пунктов и численности населения, доля населенных пунктов и сельского населения, обслуживаемого школами начального образования первого и второго уровней или их отделениями, находящимися на расстоянии 1–3 километров от них, значительно выросла.  Доля населения, обслуживаемого начальными школами первого уровня, находящимися непосредственно в населенном пункте или на расстоянии до 1 километра от него, в 1993 году составляла 94 процента.  Из 1 061 000 сельских населенных пунктов в стране в 52 800 (около </w:t>
      </w:r>
      <w:r>
        <w:br/>
        <w:t xml:space="preserve">50 процентов) в 1993/94 году была начальная школа первого уровня/школьное отделение внутри самого населенного пункта.  Около 83,4 процента населенных пунктов располагали начальной школой первого уровня/школьным отделением, находящимся на расстоянии до 1 километра от него. </w:t>
      </w:r>
    </w:p>
    <w:p w:rsidR="00000000" w:rsidRDefault="00000000">
      <w:pPr>
        <w:jc w:val="both"/>
        <w:rPr>
          <w:b/>
          <w:sz w:val="22"/>
          <w:szCs w:val="22"/>
        </w:rPr>
      </w:pPr>
    </w:p>
    <w:p w:rsidR="00000000" w:rsidRDefault="00000000">
      <w:pPr>
        <w:spacing w:before="120"/>
        <w:jc w:val="both"/>
        <w:rPr>
          <w:b/>
          <w:sz w:val="22"/>
          <w:szCs w:val="22"/>
        </w:rPr>
      </w:pPr>
      <w:r>
        <w:rPr>
          <w:b/>
          <w:sz w:val="22"/>
          <w:szCs w:val="22"/>
        </w:rPr>
        <w:t xml:space="preserve">Школьное образование для девочек </w:t>
      </w:r>
    </w:p>
    <w:p w:rsidR="00000000" w:rsidRDefault="00000000">
      <w:pPr>
        <w:jc w:val="both"/>
        <w:rPr>
          <w:sz w:val="22"/>
          <w:szCs w:val="22"/>
        </w:rPr>
      </w:pPr>
    </w:p>
    <w:p w:rsidR="00000000" w:rsidRDefault="00000000">
      <w:pPr>
        <w:jc w:val="both"/>
        <w:rPr>
          <w:sz w:val="22"/>
          <w:szCs w:val="22"/>
        </w:rPr>
      </w:pPr>
      <w:r>
        <w:rPr>
          <w:sz w:val="22"/>
          <w:szCs w:val="22"/>
        </w:rPr>
        <w:t>592.</w:t>
      </w:r>
      <w:r>
        <w:rPr>
          <w:sz w:val="22"/>
          <w:szCs w:val="22"/>
        </w:rPr>
        <w:tab/>
        <w:t xml:space="preserve">За прошедшее десятилетие девочки принимали чрезвычайно активное участие в получении образования. Число девочек, зачисленных в школы, значительно увеличилось. Число зачисленных в школы девочек на каждые 100 зачисленных мальчиков показано в таблице 13.2.  По сравнению с 1950/51 годом число девочек в начальных классах первого уровня увеличилось с 39 до 79, в начальных классах второго уровня – с 18 до 72, в средних классах – с 16 до 65 на каждые </w:t>
      </w:r>
      <w:r>
        <w:rPr>
          <w:sz w:val="22"/>
          <w:szCs w:val="22"/>
        </w:rPr>
        <w:br/>
        <w:t>100 мальчиков.</w:t>
      </w:r>
    </w:p>
    <w:p w:rsidR="00000000" w:rsidRDefault="00000000">
      <w:pPr>
        <w:jc w:val="both"/>
        <w:rPr>
          <w:b/>
          <w:sz w:val="22"/>
          <w:szCs w:val="22"/>
        </w:rPr>
      </w:pPr>
    </w:p>
    <w:p w:rsidR="00000000" w:rsidRDefault="00000000">
      <w:pPr>
        <w:spacing w:after="120"/>
        <w:jc w:val="both"/>
        <w:rPr>
          <w:b/>
          <w:bCs/>
          <w:sz w:val="22"/>
          <w:szCs w:val="22"/>
        </w:rPr>
      </w:pPr>
      <w:r>
        <w:rPr>
          <w:b/>
          <w:bCs/>
          <w:sz w:val="22"/>
          <w:szCs w:val="22"/>
        </w:rPr>
        <w:t>Таблица 13.2. Число обучающихся девочек на каждые 100 обучающихся мальчиков</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8"/>
        <w:gridCol w:w="2670"/>
        <w:gridCol w:w="2670"/>
        <w:gridCol w:w="1631"/>
      </w:tblGrid>
      <w:tr w:rsidR="00000000">
        <w:tblPrEx>
          <w:tblCellMar>
            <w:top w:w="0" w:type="dxa"/>
            <w:bottom w:w="0" w:type="dxa"/>
          </w:tblCellMar>
        </w:tblPrEx>
        <w:trPr>
          <w:jc w:val="center"/>
        </w:trPr>
        <w:tc>
          <w:tcPr>
            <w:tcW w:w="2392" w:type="dxa"/>
          </w:tcPr>
          <w:p w:rsidR="00000000" w:rsidRDefault="00000000">
            <w:pPr>
              <w:spacing w:before="40" w:after="40"/>
              <w:jc w:val="center"/>
              <w:rPr>
                <w:sz w:val="20"/>
                <w:szCs w:val="20"/>
              </w:rPr>
            </w:pPr>
            <w:r>
              <w:rPr>
                <w:sz w:val="20"/>
                <w:szCs w:val="20"/>
              </w:rPr>
              <w:t>Год</w:t>
            </w:r>
          </w:p>
        </w:tc>
        <w:tc>
          <w:tcPr>
            <w:tcW w:w="2393" w:type="dxa"/>
          </w:tcPr>
          <w:p w:rsidR="00000000" w:rsidRDefault="00000000">
            <w:pPr>
              <w:spacing w:before="40" w:after="40"/>
              <w:jc w:val="center"/>
              <w:rPr>
                <w:sz w:val="20"/>
                <w:szCs w:val="20"/>
              </w:rPr>
            </w:pPr>
            <w:r>
              <w:rPr>
                <w:sz w:val="20"/>
                <w:szCs w:val="20"/>
              </w:rPr>
              <w:t xml:space="preserve">Начальное образование первого уровня </w:t>
            </w:r>
            <w:r>
              <w:rPr>
                <w:sz w:val="20"/>
                <w:szCs w:val="20"/>
              </w:rPr>
              <w:br/>
              <w:t>(1–5 классы)</w:t>
            </w:r>
          </w:p>
        </w:tc>
        <w:tc>
          <w:tcPr>
            <w:tcW w:w="2393" w:type="dxa"/>
          </w:tcPr>
          <w:p w:rsidR="00000000" w:rsidRDefault="00000000">
            <w:pPr>
              <w:spacing w:before="40" w:after="40"/>
              <w:jc w:val="center"/>
              <w:rPr>
                <w:sz w:val="20"/>
                <w:szCs w:val="20"/>
              </w:rPr>
            </w:pPr>
            <w:r>
              <w:rPr>
                <w:sz w:val="20"/>
                <w:szCs w:val="20"/>
              </w:rPr>
              <w:t xml:space="preserve">Начальное образование второго уровня </w:t>
            </w:r>
            <w:r>
              <w:rPr>
                <w:sz w:val="20"/>
                <w:szCs w:val="20"/>
              </w:rPr>
              <w:br/>
              <w:t>(6–8 классы)</w:t>
            </w:r>
          </w:p>
        </w:tc>
        <w:tc>
          <w:tcPr>
            <w:tcW w:w="1462" w:type="dxa"/>
          </w:tcPr>
          <w:p w:rsidR="00000000" w:rsidRDefault="00000000">
            <w:pPr>
              <w:pStyle w:val="EndnoteText"/>
              <w:spacing w:before="40" w:after="40"/>
              <w:rPr>
                <w:rFonts w:ascii="Times New Roman" w:eastAsia="Times New Roman" w:hAnsi="Times New Roman"/>
                <w:lang w:eastAsia="ru-RU"/>
              </w:rPr>
            </w:pPr>
            <w:r>
              <w:rPr>
                <w:rFonts w:ascii="Times New Roman" w:eastAsia="Times New Roman" w:hAnsi="Times New Roman"/>
                <w:lang w:eastAsia="ru-RU"/>
              </w:rPr>
              <w:t xml:space="preserve">Среднее образование </w:t>
            </w:r>
            <w:r>
              <w:rPr>
                <w:rFonts w:ascii="Times New Roman" w:eastAsia="Times New Roman" w:hAnsi="Times New Roman"/>
                <w:lang w:eastAsia="ru-RU"/>
              </w:rPr>
              <w:br/>
              <w:t>(9–10 классы)</w:t>
            </w:r>
          </w:p>
        </w:tc>
      </w:tr>
      <w:tr w:rsidR="00000000">
        <w:tblPrEx>
          <w:tblCellMar>
            <w:top w:w="0" w:type="dxa"/>
            <w:bottom w:w="0" w:type="dxa"/>
          </w:tblCellMar>
        </w:tblPrEx>
        <w:trPr>
          <w:jc w:val="center"/>
        </w:trPr>
        <w:tc>
          <w:tcPr>
            <w:tcW w:w="2392" w:type="dxa"/>
          </w:tcPr>
          <w:p w:rsidR="00000000" w:rsidRDefault="00000000">
            <w:pPr>
              <w:spacing w:before="24" w:after="24"/>
              <w:jc w:val="both"/>
              <w:rPr>
                <w:sz w:val="20"/>
                <w:szCs w:val="20"/>
              </w:rPr>
            </w:pPr>
            <w:r>
              <w:rPr>
                <w:sz w:val="20"/>
                <w:szCs w:val="20"/>
              </w:rPr>
              <w:t>1950/51</w:t>
            </w:r>
          </w:p>
        </w:tc>
        <w:tc>
          <w:tcPr>
            <w:tcW w:w="2393" w:type="dxa"/>
          </w:tcPr>
          <w:p w:rsidR="00000000" w:rsidRDefault="00000000">
            <w:pPr>
              <w:spacing w:before="24" w:after="24"/>
              <w:jc w:val="center"/>
              <w:rPr>
                <w:sz w:val="20"/>
                <w:szCs w:val="20"/>
              </w:rPr>
            </w:pPr>
            <w:r>
              <w:rPr>
                <w:sz w:val="20"/>
                <w:szCs w:val="20"/>
              </w:rPr>
              <w:t>39</w:t>
            </w:r>
          </w:p>
        </w:tc>
        <w:tc>
          <w:tcPr>
            <w:tcW w:w="2393" w:type="dxa"/>
          </w:tcPr>
          <w:p w:rsidR="00000000" w:rsidRDefault="00000000">
            <w:pPr>
              <w:spacing w:before="24" w:after="24"/>
              <w:jc w:val="center"/>
              <w:rPr>
                <w:sz w:val="20"/>
                <w:szCs w:val="20"/>
              </w:rPr>
            </w:pPr>
            <w:r>
              <w:rPr>
                <w:sz w:val="20"/>
                <w:szCs w:val="20"/>
              </w:rPr>
              <w:t>18</w:t>
            </w:r>
          </w:p>
        </w:tc>
        <w:tc>
          <w:tcPr>
            <w:tcW w:w="1462" w:type="dxa"/>
          </w:tcPr>
          <w:p w:rsidR="00000000" w:rsidRDefault="00000000">
            <w:pPr>
              <w:spacing w:before="24" w:after="24"/>
              <w:jc w:val="center"/>
              <w:rPr>
                <w:sz w:val="20"/>
                <w:szCs w:val="20"/>
              </w:rPr>
            </w:pPr>
            <w:r>
              <w:rPr>
                <w:sz w:val="20"/>
                <w:szCs w:val="20"/>
              </w:rPr>
              <w:t>16</w:t>
            </w:r>
          </w:p>
        </w:tc>
      </w:tr>
      <w:tr w:rsidR="00000000">
        <w:tblPrEx>
          <w:tblCellMar>
            <w:top w:w="0" w:type="dxa"/>
            <w:bottom w:w="0" w:type="dxa"/>
          </w:tblCellMar>
        </w:tblPrEx>
        <w:trPr>
          <w:jc w:val="center"/>
        </w:trPr>
        <w:tc>
          <w:tcPr>
            <w:tcW w:w="2392" w:type="dxa"/>
          </w:tcPr>
          <w:p w:rsidR="00000000" w:rsidRDefault="00000000">
            <w:pPr>
              <w:spacing w:before="24" w:after="24"/>
              <w:jc w:val="both"/>
              <w:rPr>
                <w:sz w:val="20"/>
                <w:szCs w:val="20"/>
              </w:rPr>
            </w:pPr>
            <w:r>
              <w:rPr>
                <w:sz w:val="20"/>
                <w:szCs w:val="20"/>
              </w:rPr>
              <w:t>1960/61</w:t>
            </w:r>
          </w:p>
        </w:tc>
        <w:tc>
          <w:tcPr>
            <w:tcW w:w="2393" w:type="dxa"/>
            <w:vAlign w:val="center"/>
          </w:tcPr>
          <w:p w:rsidR="00000000" w:rsidRDefault="00000000">
            <w:pPr>
              <w:spacing w:before="24" w:after="24"/>
              <w:jc w:val="center"/>
              <w:rPr>
                <w:sz w:val="20"/>
                <w:szCs w:val="20"/>
              </w:rPr>
            </w:pPr>
            <w:r>
              <w:rPr>
                <w:sz w:val="20"/>
                <w:szCs w:val="20"/>
              </w:rPr>
              <w:t>48</w:t>
            </w:r>
          </w:p>
        </w:tc>
        <w:tc>
          <w:tcPr>
            <w:tcW w:w="2393" w:type="dxa"/>
            <w:vAlign w:val="center"/>
          </w:tcPr>
          <w:p w:rsidR="00000000" w:rsidRDefault="00000000">
            <w:pPr>
              <w:spacing w:before="24" w:after="24"/>
              <w:jc w:val="center"/>
              <w:rPr>
                <w:sz w:val="20"/>
                <w:szCs w:val="20"/>
              </w:rPr>
            </w:pPr>
            <w:r>
              <w:rPr>
                <w:sz w:val="20"/>
                <w:szCs w:val="20"/>
              </w:rPr>
              <w:t>32</w:t>
            </w:r>
          </w:p>
        </w:tc>
        <w:tc>
          <w:tcPr>
            <w:tcW w:w="1462" w:type="dxa"/>
          </w:tcPr>
          <w:p w:rsidR="00000000" w:rsidRDefault="00000000">
            <w:pPr>
              <w:spacing w:before="24" w:after="24"/>
              <w:jc w:val="center"/>
              <w:rPr>
                <w:sz w:val="20"/>
                <w:szCs w:val="20"/>
              </w:rPr>
            </w:pPr>
            <w:r>
              <w:rPr>
                <w:sz w:val="20"/>
                <w:szCs w:val="20"/>
              </w:rPr>
              <w:t>32</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1970/71</w:t>
            </w:r>
          </w:p>
        </w:tc>
        <w:tc>
          <w:tcPr>
            <w:tcW w:w="2393" w:type="dxa"/>
            <w:vAlign w:val="center"/>
          </w:tcPr>
          <w:p w:rsidR="00000000" w:rsidRDefault="00000000">
            <w:pPr>
              <w:spacing w:before="24" w:after="24"/>
              <w:jc w:val="center"/>
              <w:rPr>
                <w:sz w:val="20"/>
                <w:szCs w:val="20"/>
              </w:rPr>
            </w:pPr>
            <w:r>
              <w:rPr>
                <w:sz w:val="20"/>
                <w:szCs w:val="20"/>
              </w:rPr>
              <w:t>60</w:t>
            </w:r>
          </w:p>
        </w:tc>
        <w:tc>
          <w:tcPr>
            <w:tcW w:w="2393" w:type="dxa"/>
            <w:vAlign w:val="center"/>
          </w:tcPr>
          <w:p w:rsidR="00000000" w:rsidRDefault="00000000">
            <w:pPr>
              <w:spacing w:before="24" w:after="24"/>
              <w:jc w:val="center"/>
              <w:rPr>
                <w:sz w:val="20"/>
                <w:szCs w:val="20"/>
              </w:rPr>
            </w:pPr>
            <w:r>
              <w:rPr>
                <w:sz w:val="20"/>
                <w:szCs w:val="20"/>
              </w:rPr>
              <w:t>41</w:t>
            </w:r>
          </w:p>
        </w:tc>
        <w:tc>
          <w:tcPr>
            <w:tcW w:w="1462" w:type="dxa"/>
            <w:vAlign w:val="center"/>
          </w:tcPr>
          <w:p w:rsidR="00000000" w:rsidRDefault="00000000">
            <w:pPr>
              <w:spacing w:before="24" w:after="24"/>
              <w:jc w:val="center"/>
              <w:rPr>
                <w:sz w:val="20"/>
                <w:szCs w:val="20"/>
              </w:rPr>
            </w:pPr>
            <w:r>
              <w:rPr>
                <w:sz w:val="20"/>
                <w:szCs w:val="20"/>
              </w:rPr>
              <w:t>35</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1980/81</w:t>
            </w:r>
          </w:p>
        </w:tc>
        <w:tc>
          <w:tcPr>
            <w:tcW w:w="2393" w:type="dxa"/>
            <w:vAlign w:val="center"/>
          </w:tcPr>
          <w:p w:rsidR="00000000" w:rsidRDefault="00000000">
            <w:pPr>
              <w:spacing w:before="24" w:after="24"/>
              <w:jc w:val="center"/>
              <w:rPr>
                <w:sz w:val="20"/>
                <w:szCs w:val="20"/>
              </w:rPr>
            </w:pPr>
            <w:r>
              <w:rPr>
                <w:sz w:val="20"/>
                <w:szCs w:val="20"/>
              </w:rPr>
              <w:t>63</w:t>
            </w:r>
          </w:p>
        </w:tc>
        <w:tc>
          <w:tcPr>
            <w:tcW w:w="2393" w:type="dxa"/>
            <w:vAlign w:val="center"/>
          </w:tcPr>
          <w:p w:rsidR="00000000" w:rsidRDefault="00000000">
            <w:pPr>
              <w:spacing w:before="24" w:after="24"/>
              <w:jc w:val="center"/>
              <w:rPr>
                <w:sz w:val="20"/>
                <w:szCs w:val="20"/>
              </w:rPr>
            </w:pPr>
            <w:r>
              <w:rPr>
                <w:sz w:val="20"/>
                <w:szCs w:val="20"/>
              </w:rPr>
              <w:t>49</w:t>
            </w:r>
          </w:p>
        </w:tc>
        <w:tc>
          <w:tcPr>
            <w:tcW w:w="1462" w:type="dxa"/>
            <w:vAlign w:val="center"/>
          </w:tcPr>
          <w:p w:rsidR="00000000" w:rsidRDefault="00000000">
            <w:pPr>
              <w:spacing w:before="24" w:after="24"/>
              <w:jc w:val="center"/>
              <w:rPr>
                <w:sz w:val="20"/>
                <w:szCs w:val="20"/>
              </w:rPr>
            </w:pPr>
            <w:r>
              <w:rPr>
                <w:sz w:val="20"/>
                <w:szCs w:val="20"/>
              </w:rPr>
              <w:t>44</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1990/91</w:t>
            </w:r>
          </w:p>
        </w:tc>
        <w:tc>
          <w:tcPr>
            <w:tcW w:w="2393" w:type="dxa"/>
            <w:vAlign w:val="center"/>
          </w:tcPr>
          <w:p w:rsidR="00000000" w:rsidRDefault="00000000">
            <w:pPr>
              <w:spacing w:before="24" w:after="24"/>
              <w:jc w:val="center"/>
              <w:rPr>
                <w:sz w:val="20"/>
                <w:szCs w:val="20"/>
              </w:rPr>
            </w:pPr>
            <w:r>
              <w:rPr>
                <w:sz w:val="20"/>
                <w:szCs w:val="20"/>
              </w:rPr>
              <w:t>71</w:t>
            </w:r>
          </w:p>
        </w:tc>
        <w:tc>
          <w:tcPr>
            <w:tcW w:w="2393" w:type="dxa"/>
            <w:vAlign w:val="center"/>
          </w:tcPr>
          <w:p w:rsidR="00000000" w:rsidRDefault="00000000">
            <w:pPr>
              <w:spacing w:before="24" w:after="24"/>
              <w:jc w:val="center"/>
              <w:rPr>
                <w:sz w:val="20"/>
                <w:szCs w:val="20"/>
              </w:rPr>
            </w:pPr>
            <w:r>
              <w:rPr>
                <w:sz w:val="20"/>
                <w:szCs w:val="20"/>
              </w:rPr>
              <w:t>58</w:t>
            </w:r>
          </w:p>
        </w:tc>
        <w:tc>
          <w:tcPr>
            <w:tcW w:w="1462" w:type="dxa"/>
            <w:vAlign w:val="center"/>
          </w:tcPr>
          <w:p w:rsidR="00000000" w:rsidRDefault="00000000">
            <w:pPr>
              <w:spacing w:before="24" w:after="24"/>
              <w:jc w:val="center"/>
              <w:rPr>
                <w:sz w:val="20"/>
                <w:szCs w:val="20"/>
              </w:rPr>
            </w:pPr>
            <w:r>
              <w:rPr>
                <w:sz w:val="20"/>
                <w:szCs w:val="20"/>
              </w:rPr>
              <w:t>50</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1991/92</w:t>
            </w:r>
          </w:p>
        </w:tc>
        <w:tc>
          <w:tcPr>
            <w:tcW w:w="2393" w:type="dxa"/>
            <w:vAlign w:val="center"/>
          </w:tcPr>
          <w:p w:rsidR="00000000" w:rsidRDefault="00000000">
            <w:pPr>
              <w:spacing w:before="24" w:after="24"/>
              <w:jc w:val="center"/>
              <w:rPr>
                <w:sz w:val="20"/>
                <w:szCs w:val="20"/>
              </w:rPr>
            </w:pPr>
            <w:r>
              <w:rPr>
                <w:sz w:val="20"/>
                <w:szCs w:val="20"/>
              </w:rPr>
              <w:t>72</w:t>
            </w:r>
          </w:p>
        </w:tc>
        <w:tc>
          <w:tcPr>
            <w:tcW w:w="2393" w:type="dxa"/>
            <w:vAlign w:val="center"/>
          </w:tcPr>
          <w:p w:rsidR="00000000" w:rsidRDefault="00000000">
            <w:pPr>
              <w:spacing w:before="24" w:after="24"/>
              <w:jc w:val="center"/>
              <w:rPr>
                <w:sz w:val="20"/>
                <w:szCs w:val="20"/>
              </w:rPr>
            </w:pPr>
            <w:r>
              <w:rPr>
                <w:sz w:val="20"/>
                <w:szCs w:val="20"/>
              </w:rPr>
              <w:t>62</w:t>
            </w:r>
          </w:p>
        </w:tc>
        <w:tc>
          <w:tcPr>
            <w:tcW w:w="1462" w:type="dxa"/>
            <w:vAlign w:val="center"/>
          </w:tcPr>
          <w:p w:rsidR="00000000" w:rsidRDefault="00000000">
            <w:pPr>
              <w:spacing w:before="24" w:after="24"/>
              <w:jc w:val="center"/>
              <w:rPr>
                <w:sz w:val="20"/>
                <w:szCs w:val="20"/>
              </w:rPr>
            </w:pPr>
            <w:r>
              <w:rPr>
                <w:sz w:val="20"/>
                <w:szCs w:val="20"/>
              </w:rPr>
              <w:t>52</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1992/93</w:t>
            </w:r>
          </w:p>
        </w:tc>
        <w:tc>
          <w:tcPr>
            <w:tcW w:w="2393" w:type="dxa"/>
            <w:vAlign w:val="center"/>
          </w:tcPr>
          <w:p w:rsidR="00000000" w:rsidRDefault="00000000">
            <w:pPr>
              <w:spacing w:before="24" w:after="24"/>
              <w:jc w:val="center"/>
              <w:rPr>
                <w:sz w:val="20"/>
                <w:szCs w:val="20"/>
              </w:rPr>
            </w:pPr>
            <w:r>
              <w:rPr>
                <w:sz w:val="20"/>
                <w:szCs w:val="20"/>
              </w:rPr>
              <w:t>72</w:t>
            </w:r>
          </w:p>
        </w:tc>
        <w:tc>
          <w:tcPr>
            <w:tcW w:w="2393" w:type="dxa"/>
            <w:vAlign w:val="center"/>
          </w:tcPr>
          <w:p w:rsidR="00000000" w:rsidRDefault="00000000">
            <w:pPr>
              <w:spacing w:before="24" w:after="24"/>
              <w:jc w:val="center"/>
              <w:rPr>
                <w:sz w:val="20"/>
                <w:szCs w:val="20"/>
              </w:rPr>
            </w:pPr>
            <w:r>
              <w:rPr>
                <w:sz w:val="20"/>
                <w:szCs w:val="20"/>
              </w:rPr>
              <w:t>61</w:t>
            </w:r>
          </w:p>
        </w:tc>
        <w:tc>
          <w:tcPr>
            <w:tcW w:w="1462" w:type="dxa"/>
            <w:vAlign w:val="center"/>
          </w:tcPr>
          <w:p w:rsidR="00000000" w:rsidRDefault="00000000">
            <w:pPr>
              <w:spacing w:before="24" w:after="24"/>
              <w:jc w:val="center"/>
              <w:rPr>
                <w:sz w:val="20"/>
                <w:szCs w:val="20"/>
              </w:rPr>
            </w:pPr>
            <w:r>
              <w:rPr>
                <w:sz w:val="20"/>
                <w:szCs w:val="20"/>
              </w:rPr>
              <w:t>51</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1993/94</w:t>
            </w:r>
          </w:p>
        </w:tc>
        <w:tc>
          <w:tcPr>
            <w:tcW w:w="2393" w:type="dxa"/>
            <w:vAlign w:val="center"/>
          </w:tcPr>
          <w:p w:rsidR="00000000" w:rsidRDefault="00000000">
            <w:pPr>
              <w:spacing w:before="24" w:after="24"/>
              <w:jc w:val="center"/>
              <w:rPr>
                <w:sz w:val="20"/>
                <w:szCs w:val="20"/>
              </w:rPr>
            </w:pPr>
            <w:r>
              <w:rPr>
                <w:sz w:val="20"/>
                <w:szCs w:val="20"/>
              </w:rPr>
              <w:t>76</w:t>
            </w:r>
          </w:p>
        </w:tc>
        <w:tc>
          <w:tcPr>
            <w:tcW w:w="2393" w:type="dxa"/>
            <w:vAlign w:val="center"/>
          </w:tcPr>
          <w:p w:rsidR="00000000" w:rsidRDefault="00000000">
            <w:pPr>
              <w:spacing w:before="24" w:after="24"/>
              <w:jc w:val="center"/>
              <w:rPr>
                <w:sz w:val="20"/>
                <w:szCs w:val="20"/>
              </w:rPr>
            </w:pPr>
            <w:r>
              <w:rPr>
                <w:sz w:val="20"/>
                <w:szCs w:val="20"/>
              </w:rPr>
              <w:t>66</w:t>
            </w:r>
          </w:p>
        </w:tc>
        <w:tc>
          <w:tcPr>
            <w:tcW w:w="1462" w:type="dxa"/>
            <w:vAlign w:val="center"/>
          </w:tcPr>
          <w:p w:rsidR="00000000" w:rsidRDefault="00000000">
            <w:pPr>
              <w:spacing w:before="24" w:after="24"/>
              <w:jc w:val="center"/>
              <w:rPr>
                <w:sz w:val="20"/>
                <w:szCs w:val="20"/>
              </w:rPr>
            </w:pPr>
            <w:r>
              <w:rPr>
                <w:sz w:val="20"/>
                <w:szCs w:val="20"/>
              </w:rPr>
              <w:t>57</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1994/95</w:t>
            </w:r>
          </w:p>
        </w:tc>
        <w:tc>
          <w:tcPr>
            <w:tcW w:w="2393" w:type="dxa"/>
            <w:vAlign w:val="center"/>
          </w:tcPr>
          <w:p w:rsidR="00000000" w:rsidRDefault="00000000">
            <w:pPr>
              <w:spacing w:before="24" w:after="24"/>
              <w:jc w:val="center"/>
              <w:rPr>
                <w:sz w:val="20"/>
                <w:szCs w:val="20"/>
              </w:rPr>
            </w:pPr>
            <w:r>
              <w:rPr>
                <w:sz w:val="20"/>
                <w:szCs w:val="20"/>
              </w:rPr>
              <w:t>75</w:t>
            </w:r>
          </w:p>
        </w:tc>
        <w:tc>
          <w:tcPr>
            <w:tcW w:w="2393" w:type="dxa"/>
            <w:vAlign w:val="center"/>
          </w:tcPr>
          <w:p w:rsidR="00000000" w:rsidRDefault="00000000">
            <w:pPr>
              <w:spacing w:before="24" w:after="24"/>
              <w:jc w:val="center"/>
              <w:rPr>
                <w:sz w:val="20"/>
                <w:szCs w:val="20"/>
              </w:rPr>
            </w:pPr>
            <w:r>
              <w:rPr>
                <w:sz w:val="20"/>
                <w:szCs w:val="20"/>
              </w:rPr>
              <w:t>65</w:t>
            </w:r>
          </w:p>
        </w:tc>
        <w:tc>
          <w:tcPr>
            <w:tcW w:w="1462" w:type="dxa"/>
            <w:vAlign w:val="center"/>
          </w:tcPr>
          <w:p w:rsidR="00000000" w:rsidRDefault="00000000">
            <w:pPr>
              <w:spacing w:before="24" w:after="24"/>
              <w:jc w:val="center"/>
              <w:rPr>
                <w:sz w:val="20"/>
                <w:szCs w:val="20"/>
              </w:rPr>
            </w:pPr>
            <w:r>
              <w:rPr>
                <w:sz w:val="20"/>
                <w:szCs w:val="20"/>
              </w:rPr>
              <w:t>57</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1995/96</w:t>
            </w:r>
          </w:p>
        </w:tc>
        <w:tc>
          <w:tcPr>
            <w:tcW w:w="2393" w:type="dxa"/>
            <w:vAlign w:val="center"/>
          </w:tcPr>
          <w:p w:rsidR="00000000" w:rsidRDefault="00000000">
            <w:pPr>
              <w:spacing w:before="24" w:after="24"/>
              <w:jc w:val="center"/>
              <w:rPr>
                <w:sz w:val="20"/>
                <w:szCs w:val="20"/>
              </w:rPr>
            </w:pPr>
            <w:r>
              <w:rPr>
                <w:sz w:val="20"/>
                <w:szCs w:val="20"/>
              </w:rPr>
              <w:t>76</w:t>
            </w:r>
          </w:p>
        </w:tc>
        <w:tc>
          <w:tcPr>
            <w:tcW w:w="2393" w:type="dxa"/>
            <w:vAlign w:val="center"/>
          </w:tcPr>
          <w:p w:rsidR="00000000" w:rsidRDefault="00000000">
            <w:pPr>
              <w:spacing w:before="24" w:after="24"/>
              <w:jc w:val="center"/>
              <w:rPr>
                <w:sz w:val="20"/>
                <w:szCs w:val="20"/>
              </w:rPr>
            </w:pPr>
            <w:r>
              <w:rPr>
                <w:sz w:val="20"/>
                <w:szCs w:val="20"/>
              </w:rPr>
              <w:t>65</w:t>
            </w:r>
          </w:p>
        </w:tc>
        <w:tc>
          <w:tcPr>
            <w:tcW w:w="1462" w:type="dxa"/>
            <w:vAlign w:val="center"/>
          </w:tcPr>
          <w:p w:rsidR="00000000" w:rsidRDefault="00000000">
            <w:pPr>
              <w:spacing w:before="24" w:after="24"/>
              <w:jc w:val="center"/>
              <w:rPr>
                <w:sz w:val="20"/>
                <w:szCs w:val="20"/>
              </w:rPr>
            </w:pPr>
            <w:r>
              <w:rPr>
                <w:sz w:val="20"/>
                <w:szCs w:val="20"/>
              </w:rPr>
              <w:t>57</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1996/97</w:t>
            </w:r>
          </w:p>
        </w:tc>
        <w:tc>
          <w:tcPr>
            <w:tcW w:w="2393" w:type="dxa"/>
            <w:vAlign w:val="center"/>
          </w:tcPr>
          <w:p w:rsidR="00000000" w:rsidRDefault="00000000">
            <w:pPr>
              <w:spacing w:before="24" w:after="24"/>
              <w:jc w:val="center"/>
              <w:rPr>
                <w:sz w:val="20"/>
                <w:szCs w:val="20"/>
              </w:rPr>
            </w:pPr>
            <w:r>
              <w:rPr>
                <w:sz w:val="20"/>
                <w:szCs w:val="20"/>
              </w:rPr>
              <w:t>76</w:t>
            </w:r>
          </w:p>
        </w:tc>
        <w:tc>
          <w:tcPr>
            <w:tcW w:w="2393" w:type="dxa"/>
            <w:vAlign w:val="center"/>
          </w:tcPr>
          <w:p w:rsidR="00000000" w:rsidRDefault="00000000">
            <w:pPr>
              <w:spacing w:before="24" w:after="24"/>
              <w:jc w:val="center"/>
              <w:rPr>
                <w:sz w:val="20"/>
                <w:szCs w:val="20"/>
              </w:rPr>
            </w:pPr>
            <w:r>
              <w:rPr>
                <w:sz w:val="20"/>
                <w:szCs w:val="20"/>
              </w:rPr>
              <w:t>66</w:t>
            </w:r>
          </w:p>
        </w:tc>
        <w:tc>
          <w:tcPr>
            <w:tcW w:w="1462" w:type="dxa"/>
            <w:vAlign w:val="center"/>
          </w:tcPr>
          <w:p w:rsidR="00000000" w:rsidRDefault="00000000">
            <w:pPr>
              <w:spacing w:before="24" w:after="24"/>
              <w:jc w:val="center"/>
              <w:rPr>
                <w:sz w:val="20"/>
                <w:szCs w:val="20"/>
              </w:rPr>
            </w:pPr>
            <w:r>
              <w:rPr>
                <w:sz w:val="20"/>
                <w:szCs w:val="20"/>
              </w:rPr>
              <w:t>58</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1997/98</w:t>
            </w:r>
          </w:p>
        </w:tc>
        <w:tc>
          <w:tcPr>
            <w:tcW w:w="2393" w:type="dxa"/>
            <w:vAlign w:val="center"/>
          </w:tcPr>
          <w:p w:rsidR="00000000" w:rsidRDefault="00000000">
            <w:pPr>
              <w:spacing w:before="24" w:after="24"/>
              <w:jc w:val="center"/>
              <w:rPr>
                <w:sz w:val="20"/>
                <w:szCs w:val="20"/>
              </w:rPr>
            </w:pPr>
            <w:r>
              <w:rPr>
                <w:sz w:val="20"/>
                <w:szCs w:val="20"/>
              </w:rPr>
              <w:t>77</w:t>
            </w:r>
          </w:p>
        </w:tc>
        <w:tc>
          <w:tcPr>
            <w:tcW w:w="2393" w:type="dxa"/>
            <w:vAlign w:val="center"/>
          </w:tcPr>
          <w:p w:rsidR="00000000" w:rsidRDefault="00000000">
            <w:pPr>
              <w:spacing w:before="24" w:after="24"/>
              <w:jc w:val="center"/>
              <w:rPr>
                <w:sz w:val="20"/>
                <w:szCs w:val="20"/>
              </w:rPr>
            </w:pPr>
            <w:r>
              <w:rPr>
                <w:sz w:val="20"/>
                <w:szCs w:val="20"/>
              </w:rPr>
              <w:t>67</w:t>
            </w:r>
          </w:p>
        </w:tc>
        <w:tc>
          <w:tcPr>
            <w:tcW w:w="1462" w:type="dxa"/>
            <w:vAlign w:val="center"/>
          </w:tcPr>
          <w:p w:rsidR="00000000" w:rsidRDefault="00000000">
            <w:pPr>
              <w:spacing w:before="24" w:after="24"/>
              <w:jc w:val="center"/>
              <w:rPr>
                <w:sz w:val="20"/>
                <w:szCs w:val="20"/>
              </w:rPr>
            </w:pPr>
            <w:r>
              <w:rPr>
                <w:sz w:val="20"/>
                <w:szCs w:val="20"/>
              </w:rPr>
              <w:t>58</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1998/99*</w:t>
            </w:r>
          </w:p>
        </w:tc>
        <w:tc>
          <w:tcPr>
            <w:tcW w:w="2393" w:type="dxa"/>
            <w:vAlign w:val="center"/>
          </w:tcPr>
          <w:p w:rsidR="00000000" w:rsidRDefault="00000000">
            <w:pPr>
              <w:spacing w:before="24" w:after="24"/>
              <w:jc w:val="center"/>
              <w:rPr>
                <w:sz w:val="20"/>
                <w:szCs w:val="20"/>
              </w:rPr>
            </w:pPr>
            <w:r>
              <w:rPr>
                <w:sz w:val="20"/>
                <w:szCs w:val="20"/>
              </w:rPr>
              <w:t>77</w:t>
            </w:r>
          </w:p>
        </w:tc>
        <w:tc>
          <w:tcPr>
            <w:tcW w:w="2393" w:type="dxa"/>
            <w:vAlign w:val="center"/>
          </w:tcPr>
          <w:p w:rsidR="00000000" w:rsidRDefault="00000000">
            <w:pPr>
              <w:spacing w:before="24" w:after="24"/>
              <w:jc w:val="center"/>
              <w:rPr>
                <w:sz w:val="20"/>
                <w:szCs w:val="20"/>
              </w:rPr>
            </w:pPr>
            <w:r>
              <w:rPr>
                <w:sz w:val="20"/>
                <w:szCs w:val="20"/>
              </w:rPr>
              <w:t>68</w:t>
            </w:r>
          </w:p>
        </w:tc>
        <w:tc>
          <w:tcPr>
            <w:tcW w:w="1462" w:type="dxa"/>
            <w:vAlign w:val="center"/>
          </w:tcPr>
          <w:p w:rsidR="00000000" w:rsidRDefault="00000000">
            <w:pPr>
              <w:spacing w:before="24" w:after="24"/>
              <w:jc w:val="center"/>
              <w:rPr>
                <w:sz w:val="20"/>
                <w:szCs w:val="20"/>
              </w:rPr>
            </w:pPr>
            <w:r>
              <w:rPr>
                <w:sz w:val="20"/>
                <w:szCs w:val="20"/>
              </w:rPr>
              <w:t>62</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1999/2000*</w:t>
            </w:r>
          </w:p>
        </w:tc>
        <w:tc>
          <w:tcPr>
            <w:tcW w:w="2393" w:type="dxa"/>
            <w:vAlign w:val="center"/>
          </w:tcPr>
          <w:p w:rsidR="00000000" w:rsidRDefault="00000000">
            <w:pPr>
              <w:spacing w:before="24" w:after="24"/>
              <w:jc w:val="center"/>
              <w:rPr>
                <w:sz w:val="20"/>
                <w:szCs w:val="20"/>
              </w:rPr>
            </w:pPr>
            <w:r>
              <w:rPr>
                <w:sz w:val="20"/>
                <w:szCs w:val="20"/>
              </w:rPr>
              <w:t>77</w:t>
            </w:r>
          </w:p>
        </w:tc>
        <w:tc>
          <w:tcPr>
            <w:tcW w:w="2393" w:type="dxa"/>
            <w:vAlign w:val="center"/>
          </w:tcPr>
          <w:p w:rsidR="00000000" w:rsidRDefault="00000000">
            <w:pPr>
              <w:spacing w:before="24" w:after="24"/>
              <w:jc w:val="center"/>
              <w:rPr>
                <w:sz w:val="20"/>
                <w:szCs w:val="20"/>
              </w:rPr>
            </w:pPr>
            <w:r>
              <w:rPr>
                <w:sz w:val="20"/>
                <w:szCs w:val="20"/>
              </w:rPr>
              <w:t>68</w:t>
            </w:r>
          </w:p>
        </w:tc>
        <w:tc>
          <w:tcPr>
            <w:tcW w:w="1462" w:type="dxa"/>
            <w:vAlign w:val="center"/>
          </w:tcPr>
          <w:p w:rsidR="00000000" w:rsidRDefault="00000000">
            <w:pPr>
              <w:spacing w:before="24" w:after="24"/>
              <w:jc w:val="center"/>
              <w:rPr>
                <w:sz w:val="20"/>
                <w:szCs w:val="20"/>
              </w:rPr>
            </w:pPr>
            <w:r>
              <w:rPr>
                <w:sz w:val="20"/>
                <w:szCs w:val="20"/>
              </w:rPr>
              <w:t>65</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2000/01*</w:t>
            </w:r>
          </w:p>
        </w:tc>
        <w:tc>
          <w:tcPr>
            <w:tcW w:w="2393" w:type="dxa"/>
            <w:vAlign w:val="center"/>
          </w:tcPr>
          <w:p w:rsidR="00000000" w:rsidRDefault="00000000">
            <w:pPr>
              <w:spacing w:before="24" w:after="24"/>
              <w:jc w:val="center"/>
              <w:rPr>
                <w:sz w:val="20"/>
                <w:szCs w:val="20"/>
              </w:rPr>
            </w:pPr>
            <w:r>
              <w:rPr>
                <w:sz w:val="20"/>
                <w:szCs w:val="20"/>
              </w:rPr>
              <w:t>78</w:t>
            </w:r>
          </w:p>
        </w:tc>
        <w:tc>
          <w:tcPr>
            <w:tcW w:w="2393" w:type="dxa"/>
            <w:vAlign w:val="center"/>
          </w:tcPr>
          <w:p w:rsidR="00000000" w:rsidRDefault="00000000">
            <w:pPr>
              <w:spacing w:before="24" w:after="24"/>
              <w:jc w:val="center"/>
              <w:rPr>
                <w:sz w:val="20"/>
                <w:szCs w:val="20"/>
              </w:rPr>
            </w:pPr>
            <w:r>
              <w:rPr>
                <w:sz w:val="20"/>
                <w:szCs w:val="20"/>
              </w:rPr>
              <w:t>69</w:t>
            </w:r>
          </w:p>
        </w:tc>
        <w:tc>
          <w:tcPr>
            <w:tcW w:w="1462" w:type="dxa"/>
            <w:vAlign w:val="center"/>
          </w:tcPr>
          <w:p w:rsidR="00000000" w:rsidRDefault="00000000">
            <w:pPr>
              <w:spacing w:before="24" w:after="24"/>
              <w:jc w:val="center"/>
              <w:rPr>
                <w:sz w:val="20"/>
                <w:szCs w:val="20"/>
              </w:rPr>
            </w:pPr>
            <w:r>
              <w:rPr>
                <w:sz w:val="20"/>
                <w:szCs w:val="20"/>
              </w:rPr>
              <w:t>63</w:t>
            </w:r>
          </w:p>
        </w:tc>
      </w:tr>
      <w:tr w:rsidR="00000000">
        <w:tblPrEx>
          <w:tblCellMar>
            <w:top w:w="0" w:type="dxa"/>
            <w:bottom w:w="0" w:type="dxa"/>
          </w:tblCellMar>
        </w:tblPrEx>
        <w:trPr>
          <w:jc w:val="center"/>
        </w:trPr>
        <w:tc>
          <w:tcPr>
            <w:tcW w:w="2392" w:type="dxa"/>
            <w:vAlign w:val="center"/>
          </w:tcPr>
          <w:p w:rsidR="00000000" w:rsidRDefault="00000000">
            <w:pPr>
              <w:spacing w:before="24" w:after="24"/>
              <w:jc w:val="both"/>
              <w:rPr>
                <w:sz w:val="20"/>
                <w:szCs w:val="20"/>
              </w:rPr>
            </w:pPr>
            <w:r>
              <w:rPr>
                <w:sz w:val="20"/>
                <w:szCs w:val="20"/>
              </w:rPr>
              <w:t>2001/02*</w:t>
            </w:r>
          </w:p>
        </w:tc>
        <w:tc>
          <w:tcPr>
            <w:tcW w:w="2393" w:type="dxa"/>
            <w:vAlign w:val="center"/>
          </w:tcPr>
          <w:p w:rsidR="00000000" w:rsidRDefault="00000000">
            <w:pPr>
              <w:spacing w:before="24" w:after="24"/>
              <w:jc w:val="center"/>
              <w:rPr>
                <w:sz w:val="20"/>
                <w:szCs w:val="20"/>
              </w:rPr>
            </w:pPr>
            <w:r>
              <w:rPr>
                <w:sz w:val="20"/>
                <w:szCs w:val="20"/>
              </w:rPr>
              <w:t>79</w:t>
            </w:r>
          </w:p>
        </w:tc>
        <w:tc>
          <w:tcPr>
            <w:tcW w:w="2393" w:type="dxa"/>
            <w:vAlign w:val="center"/>
          </w:tcPr>
          <w:p w:rsidR="00000000" w:rsidRDefault="00000000">
            <w:pPr>
              <w:spacing w:before="24" w:after="24"/>
              <w:jc w:val="center"/>
              <w:rPr>
                <w:sz w:val="20"/>
                <w:szCs w:val="20"/>
              </w:rPr>
            </w:pPr>
            <w:r>
              <w:rPr>
                <w:sz w:val="20"/>
                <w:szCs w:val="20"/>
              </w:rPr>
              <w:t>72</w:t>
            </w:r>
          </w:p>
        </w:tc>
        <w:tc>
          <w:tcPr>
            <w:tcW w:w="1462" w:type="dxa"/>
            <w:vAlign w:val="center"/>
          </w:tcPr>
          <w:p w:rsidR="00000000" w:rsidRDefault="00000000">
            <w:pPr>
              <w:spacing w:before="24" w:after="24"/>
              <w:jc w:val="center"/>
              <w:rPr>
                <w:sz w:val="20"/>
                <w:szCs w:val="20"/>
              </w:rPr>
            </w:pPr>
            <w:r>
              <w:rPr>
                <w:sz w:val="20"/>
                <w:szCs w:val="20"/>
              </w:rPr>
              <w:t>65</w:t>
            </w:r>
          </w:p>
        </w:tc>
      </w:tr>
    </w:tbl>
    <w:p w:rsidR="00000000" w:rsidRDefault="00000000">
      <w:pPr>
        <w:jc w:val="both"/>
        <w:rPr>
          <w:sz w:val="22"/>
          <w:szCs w:val="22"/>
        </w:rPr>
      </w:pPr>
    </w:p>
    <w:p w:rsidR="00000000" w:rsidRDefault="00000000">
      <w:pPr>
        <w:pStyle w:val="112"/>
        <w:spacing w:before="120"/>
      </w:pPr>
      <w:r>
        <w:t>593.</w:t>
      </w:r>
      <w:r>
        <w:tab/>
        <w:t>Как можно увидеть из таблицы 13.3, доля девочек на всех уровнях образования стабильно растет из года в год.  По сравнению с 1950/51 годом участие девочек в получении начального образования первого уровня, начального образования второго уровня, среднего  и полного среднего образования, а также высшего образования увеличилось во много раз: соответственно, с 28,1% до 44,1%, с 16,1% до 41,8%, с 13,30% до 39,5% и с 10,0% до 39,9%.  Однако ни на одном уровне образования доля девочек пока не превышает 50 процентов.</w:t>
      </w:r>
    </w:p>
    <w:p w:rsidR="00000000" w:rsidRDefault="00000000">
      <w:pPr>
        <w:pStyle w:val="112"/>
        <w:spacing w:after="120"/>
        <w:rPr>
          <w:b/>
          <w:bCs/>
        </w:rPr>
      </w:pPr>
      <w:r>
        <w:rPr>
          <w:b/>
          <w:bCs/>
        </w:rPr>
        <w:br w:type="page"/>
        <w:t>Таблица 13.3. Доля девочек по отношению к общему числу учащихся по уровням образования</w:t>
      </w:r>
    </w:p>
    <w:tbl>
      <w:tblPr>
        <w:tblW w:w="9639" w:type="dxa"/>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876"/>
        <w:gridCol w:w="1614"/>
        <w:gridCol w:w="1432"/>
        <w:gridCol w:w="2346"/>
        <w:gridCol w:w="2371"/>
      </w:tblGrid>
      <w:tr w:rsidR="00000000">
        <w:tblPrEx>
          <w:tblCellMar>
            <w:top w:w="0" w:type="dxa"/>
            <w:bottom w:w="0" w:type="dxa"/>
          </w:tblCellMar>
        </w:tblPrEx>
        <w:trPr>
          <w:trHeight w:val="458"/>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spacing w:line="220" w:lineRule="exact"/>
              <w:jc w:val="center"/>
              <w:rPr>
                <w:sz w:val="18"/>
                <w:szCs w:val="20"/>
              </w:rPr>
            </w:pPr>
            <w:r>
              <w:rPr>
                <w:sz w:val="18"/>
                <w:szCs w:val="20"/>
              </w:rPr>
              <w:t>Год</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spacing w:line="220" w:lineRule="exact"/>
              <w:jc w:val="center"/>
              <w:rPr>
                <w:sz w:val="18"/>
                <w:szCs w:val="20"/>
              </w:rPr>
            </w:pPr>
            <w:r>
              <w:rPr>
                <w:sz w:val="18"/>
                <w:szCs w:val="20"/>
              </w:rPr>
              <w:t>Начальное первого уровня</w:t>
            </w:r>
            <w:r>
              <w:rPr>
                <w:sz w:val="18"/>
                <w:szCs w:val="20"/>
              </w:rPr>
              <w:br/>
            </w:r>
            <w:r>
              <w:rPr>
                <w:sz w:val="18"/>
                <w:szCs w:val="20"/>
                <w:lang w:eastAsia="en-GB"/>
              </w:rPr>
              <w:t>(1–5 классы)</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spacing w:line="220" w:lineRule="exact"/>
              <w:jc w:val="center"/>
              <w:rPr>
                <w:sz w:val="18"/>
                <w:szCs w:val="20"/>
              </w:rPr>
            </w:pPr>
            <w:r>
              <w:rPr>
                <w:sz w:val="18"/>
                <w:szCs w:val="20"/>
              </w:rPr>
              <w:t>Начальное второго уровня</w:t>
            </w:r>
            <w:r>
              <w:rPr>
                <w:sz w:val="18"/>
                <w:szCs w:val="20"/>
              </w:rPr>
              <w:br/>
            </w:r>
            <w:r>
              <w:rPr>
                <w:sz w:val="18"/>
                <w:szCs w:val="20"/>
                <w:lang w:eastAsia="en-GB"/>
              </w:rPr>
              <w:t>(6–8 классы)</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spacing w:line="220" w:lineRule="exact"/>
              <w:jc w:val="center"/>
              <w:rPr>
                <w:sz w:val="18"/>
                <w:szCs w:val="20"/>
              </w:rPr>
            </w:pPr>
            <w:r>
              <w:rPr>
                <w:sz w:val="18"/>
                <w:szCs w:val="20"/>
              </w:rPr>
              <w:t>Среднее/Полное среднее образование</w:t>
            </w:r>
            <w:r>
              <w:rPr>
                <w:sz w:val="18"/>
                <w:szCs w:val="20"/>
              </w:rPr>
              <w:br/>
            </w:r>
            <w:r>
              <w:rPr>
                <w:sz w:val="18"/>
                <w:szCs w:val="20"/>
                <w:lang w:eastAsia="en-GB"/>
              </w:rPr>
              <w:t>(9–12 классы)</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pStyle w:val="EndnoteText"/>
              <w:spacing w:before="0" w:after="0" w:line="220" w:lineRule="exact"/>
              <w:rPr>
                <w:rFonts w:ascii="Times New Roman" w:eastAsia="Times New Roman" w:hAnsi="Times New Roman"/>
                <w:sz w:val="18"/>
                <w:lang w:eastAsia="ru-RU"/>
              </w:rPr>
            </w:pPr>
            <w:r>
              <w:rPr>
                <w:rFonts w:ascii="Times New Roman" w:eastAsia="Times New Roman" w:hAnsi="Times New Roman"/>
                <w:sz w:val="18"/>
                <w:lang w:eastAsia="ru-RU"/>
              </w:rPr>
              <w:t xml:space="preserve">Высшее </w:t>
            </w:r>
            <w:r>
              <w:rPr>
                <w:rFonts w:ascii="Times New Roman" w:eastAsia="Times New Roman" w:hAnsi="Times New Roman"/>
                <w:sz w:val="18"/>
                <w:lang w:eastAsia="ru-RU"/>
              </w:rPr>
              <w:br/>
              <w:t>образование</w:t>
            </w:r>
            <w:r>
              <w:rPr>
                <w:rFonts w:ascii="Times New Roman" w:eastAsia="Times New Roman" w:hAnsi="Times New Roman"/>
                <w:sz w:val="18"/>
                <w:lang w:eastAsia="ru-RU"/>
              </w:rPr>
              <w:br/>
              <w:t>(университет и выше)</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1950/51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28,1</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16,1</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13,3</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10,0</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1955/56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30,5</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20,8</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15,4</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14,6</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1960/61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32,6</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23,9</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20,5</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16,0</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1965/66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36,2</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26,7</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22,0</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20,4</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1970/71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37,4</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29,3</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25,0</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20,0</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1975/76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38,1</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31,3</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26,9</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23,2</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1980/81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38,6</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32,9</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29,6</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26,7</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1985/86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40,3</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35,6</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30,3</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33,0</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1990/91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41,5</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36,7</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32,9</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33,3</w:t>
            </w:r>
          </w:p>
        </w:tc>
      </w:tr>
      <w:tr w:rsidR="00000000">
        <w:tblPrEx>
          <w:tblCellMar>
            <w:top w:w="0" w:type="dxa"/>
            <w:bottom w:w="0" w:type="dxa"/>
          </w:tblCellMar>
        </w:tblPrEx>
        <w:trPr>
          <w:trHeight w:val="285"/>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1995/96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43,1</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39,5</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36,1</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36,0</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1996/97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43,2</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39,9</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36,4</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36,7</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1997/98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43,5</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40,3</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36,6</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37,5</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1998/99*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43,5</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40,5</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37,8</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38,1</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1999/2000*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43,6</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40,4</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38,9</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38,7</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2000/2001*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43,7</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40,9</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38,6</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39,4</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18"/>
                <w:szCs w:val="20"/>
              </w:rPr>
            </w:pPr>
            <w:r>
              <w:rPr>
                <w:sz w:val="18"/>
                <w:szCs w:val="20"/>
              </w:rPr>
              <w:t xml:space="preserve">2001/2002*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44,1</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41,8</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39,5</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szCs w:val="20"/>
              </w:rPr>
            </w:pPr>
            <w:r>
              <w:rPr>
                <w:sz w:val="18"/>
                <w:szCs w:val="20"/>
              </w:rPr>
              <w:t>39,9</w:t>
            </w:r>
          </w:p>
        </w:tc>
      </w:tr>
    </w:tbl>
    <w:p w:rsidR="00000000" w:rsidRDefault="00000000">
      <w:pPr>
        <w:pStyle w:val="112"/>
        <w:keepNext/>
        <w:keepLines/>
        <w:spacing w:after="40"/>
        <w:rPr>
          <w:b/>
          <w:bCs/>
          <w:spacing w:val="-6"/>
        </w:rPr>
      </w:pPr>
      <w:r>
        <w:rPr>
          <w:b/>
          <w:bCs/>
          <w:spacing w:val="-6"/>
        </w:rPr>
        <w:t>Таблица 13.4. Численность зачисленных в школы учащихся из внесенных в списки племен (в тыс.)</w:t>
      </w:r>
    </w:p>
    <w:tbl>
      <w:tblPr>
        <w:tblW w:w="9639" w:type="dxa"/>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345"/>
        <w:gridCol w:w="1064"/>
        <w:gridCol w:w="912"/>
        <w:gridCol w:w="759"/>
        <w:gridCol w:w="1065"/>
        <w:gridCol w:w="911"/>
        <w:gridCol w:w="760"/>
        <w:gridCol w:w="1075"/>
        <w:gridCol w:w="988"/>
        <w:gridCol w:w="760"/>
      </w:tblGrid>
      <w:tr w:rsidR="00000000">
        <w:tblPrEx>
          <w:tblCellMar>
            <w:top w:w="0" w:type="dxa"/>
            <w:bottom w:w="0" w:type="dxa"/>
          </w:tblCellMar>
        </w:tblPrEx>
        <w:trPr>
          <w:cantSplit/>
          <w:trHeight w:val="525"/>
          <w:jc w:val="center"/>
        </w:trPr>
        <w:tc>
          <w:tcPr>
            <w:tcW w:w="1254"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after="40"/>
              <w:jc w:val="center"/>
              <w:rPr>
                <w:sz w:val="20"/>
                <w:szCs w:val="20"/>
                <w:lang w:eastAsia="en-GB"/>
              </w:rPr>
            </w:pPr>
            <w:r>
              <w:rPr>
                <w:sz w:val="20"/>
                <w:szCs w:val="20"/>
                <w:lang w:eastAsia="en-GB"/>
              </w:rPr>
              <w:t>Год</w:t>
            </w:r>
          </w:p>
        </w:tc>
        <w:tc>
          <w:tcPr>
            <w:tcW w:w="2551" w:type="dxa"/>
            <w:gridSpan w:val="3"/>
            <w:tcBorders>
              <w:top w:val="single" w:sz="4" w:space="0" w:color="auto"/>
              <w:left w:val="nil"/>
              <w:bottom w:val="single" w:sz="4" w:space="0" w:color="auto"/>
              <w:right w:val="single" w:sz="4" w:space="0" w:color="auto"/>
            </w:tcBorders>
          </w:tcPr>
          <w:p w:rsidR="00000000" w:rsidRDefault="00000000">
            <w:pPr>
              <w:keepNext/>
              <w:keepLines/>
              <w:spacing w:before="40" w:after="40"/>
              <w:jc w:val="center"/>
              <w:rPr>
                <w:sz w:val="20"/>
                <w:szCs w:val="20"/>
                <w:lang w:eastAsia="en-GB"/>
              </w:rPr>
            </w:pPr>
            <w:r>
              <w:rPr>
                <w:sz w:val="20"/>
                <w:szCs w:val="20"/>
              </w:rPr>
              <w:t>Начальное образование первого уровня</w:t>
            </w:r>
          </w:p>
          <w:p w:rsidR="00000000" w:rsidRDefault="00000000">
            <w:pPr>
              <w:keepNext/>
              <w:keepLines/>
              <w:spacing w:before="40" w:after="40"/>
              <w:jc w:val="center"/>
              <w:rPr>
                <w:sz w:val="20"/>
                <w:szCs w:val="20"/>
                <w:lang w:eastAsia="en-GB"/>
              </w:rPr>
            </w:pPr>
            <w:r>
              <w:rPr>
                <w:sz w:val="20"/>
                <w:szCs w:val="20"/>
                <w:lang w:eastAsia="en-GB"/>
              </w:rPr>
              <w:t>(1–5 классы)</w:t>
            </w:r>
          </w:p>
        </w:tc>
        <w:tc>
          <w:tcPr>
            <w:tcW w:w="2552" w:type="dxa"/>
            <w:gridSpan w:val="3"/>
            <w:tcBorders>
              <w:top w:val="single" w:sz="4" w:space="0" w:color="auto"/>
              <w:left w:val="nil"/>
              <w:bottom w:val="single" w:sz="4" w:space="0" w:color="auto"/>
              <w:right w:val="single" w:sz="4" w:space="0" w:color="auto"/>
            </w:tcBorders>
          </w:tcPr>
          <w:p w:rsidR="00000000" w:rsidRDefault="00000000">
            <w:pPr>
              <w:keepNext/>
              <w:keepLines/>
              <w:spacing w:before="40" w:after="40"/>
              <w:jc w:val="center"/>
              <w:rPr>
                <w:sz w:val="20"/>
                <w:szCs w:val="20"/>
                <w:lang w:eastAsia="en-GB"/>
              </w:rPr>
            </w:pPr>
            <w:r>
              <w:rPr>
                <w:sz w:val="20"/>
                <w:szCs w:val="20"/>
              </w:rPr>
              <w:t>Начальное образование второго уровня</w:t>
            </w:r>
          </w:p>
          <w:p w:rsidR="00000000" w:rsidRDefault="00000000">
            <w:pPr>
              <w:keepNext/>
              <w:keepLines/>
              <w:spacing w:before="40" w:after="40"/>
              <w:jc w:val="center"/>
              <w:rPr>
                <w:sz w:val="20"/>
                <w:szCs w:val="20"/>
                <w:lang w:eastAsia="en-GB"/>
              </w:rPr>
            </w:pPr>
            <w:r>
              <w:rPr>
                <w:sz w:val="20"/>
                <w:szCs w:val="20"/>
                <w:lang w:eastAsia="en-GB"/>
              </w:rPr>
              <w:t>(6–8 классы)</w:t>
            </w:r>
          </w:p>
        </w:tc>
        <w:tc>
          <w:tcPr>
            <w:tcW w:w="2634" w:type="dxa"/>
            <w:gridSpan w:val="3"/>
            <w:tcBorders>
              <w:top w:val="single" w:sz="4" w:space="0" w:color="auto"/>
              <w:left w:val="nil"/>
              <w:bottom w:val="single" w:sz="4" w:space="0" w:color="auto"/>
              <w:right w:val="single" w:sz="4" w:space="0" w:color="auto"/>
            </w:tcBorders>
          </w:tcPr>
          <w:p w:rsidR="00000000" w:rsidRDefault="00000000">
            <w:pPr>
              <w:keepNext/>
              <w:keepLines/>
              <w:spacing w:before="40" w:after="40"/>
              <w:jc w:val="center"/>
              <w:rPr>
                <w:sz w:val="20"/>
                <w:szCs w:val="20"/>
                <w:lang w:eastAsia="en-GB"/>
              </w:rPr>
            </w:pPr>
            <w:r>
              <w:rPr>
                <w:sz w:val="20"/>
                <w:szCs w:val="20"/>
              </w:rPr>
              <w:t>Среднее/Полное среднее образование</w:t>
            </w:r>
          </w:p>
          <w:p w:rsidR="00000000" w:rsidRDefault="00000000">
            <w:pPr>
              <w:keepNext/>
              <w:keepLines/>
              <w:spacing w:before="40" w:after="40"/>
              <w:jc w:val="center"/>
              <w:rPr>
                <w:sz w:val="20"/>
                <w:szCs w:val="20"/>
                <w:lang w:eastAsia="en-GB"/>
              </w:rPr>
            </w:pPr>
            <w:r>
              <w:rPr>
                <w:sz w:val="20"/>
                <w:szCs w:val="20"/>
                <w:lang w:eastAsia="en-GB"/>
              </w:rPr>
              <w:t>(9–12 классы)</w:t>
            </w:r>
          </w:p>
        </w:tc>
      </w:tr>
      <w:tr w:rsidR="00000000">
        <w:tblPrEx>
          <w:tblCellMar>
            <w:top w:w="0" w:type="dxa"/>
            <w:bottom w:w="0" w:type="dxa"/>
          </w:tblCellMar>
        </w:tblPrEx>
        <w:trPr>
          <w:cantSplit/>
          <w:trHeight w:val="255"/>
          <w:jc w:val="center"/>
        </w:trPr>
        <w:tc>
          <w:tcPr>
            <w:tcW w:w="1254" w:type="dxa"/>
            <w:vMerge/>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0"/>
                <w:szCs w:val="20"/>
                <w:lang w:eastAsia="en-GB"/>
              </w:rPr>
            </w:pP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Мальчики</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Девочки</w:t>
            </w:r>
          </w:p>
        </w:tc>
        <w:tc>
          <w:tcPr>
            <w:tcW w:w="708"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Всего</w:t>
            </w:r>
          </w:p>
        </w:tc>
        <w:tc>
          <w:tcPr>
            <w:tcW w:w="993"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Мальчики</w:t>
            </w:r>
          </w:p>
        </w:tc>
        <w:tc>
          <w:tcPr>
            <w:tcW w:w="850"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Девочки</w:t>
            </w:r>
          </w:p>
        </w:tc>
        <w:tc>
          <w:tcPr>
            <w:tcW w:w="709"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Всего</w:t>
            </w:r>
          </w:p>
        </w:tc>
        <w:tc>
          <w:tcPr>
            <w:tcW w:w="1003"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Мальчики</w:t>
            </w:r>
          </w:p>
        </w:tc>
        <w:tc>
          <w:tcPr>
            <w:tcW w:w="92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Девочки</w:t>
            </w:r>
          </w:p>
        </w:tc>
        <w:tc>
          <w:tcPr>
            <w:tcW w:w="709"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Всего</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1</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2</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3</w:t>
            </w:r>
          </w:p>
        </w:tc>
        <w:tc>
          <w:tcPr>
            <w:tcW w:w="708"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w:t>
            </w:r>
          </w:p>
        </w:tc>
        <w:tc>
          <w:tcPr>
            <w:tcW w:w="993"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w:t>
            </w:r>
          </w:p>
        </w:tc>
        <w:tc>
          <w:tcPr>
            <w:tcW w:w="850"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6</w:t>
            </w:r>
          </w:p>
        </w:tc>
        <w:tc>
          <w:tcPr>
            <w:tcW w:w="709"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7</w:t>
            </w:r>
          </w:p>
        </w:tc>
        <w:tc>
          <w:tcPr>
            <w:tcW w:w="1003"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8</w:t>
            </w:r>
          </w:p>
        </w:tc>
        <w:tc>
          <w:tcPr>
            <w:tcW w:w="92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9</w:t>
            </w:r>
          </w:p>
        </w:tc>
        <w:tc>
          <w:tcPr>
            <w:tcW w:w="709"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10</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1980/81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3 133</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1 527</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4 660</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537</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205</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742</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246</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83</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329</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1985/86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4 174</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2 406</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6 580</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893</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390</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1 283</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420</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165</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585</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1990/91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4 958</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2 911</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7 869</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1 131</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576</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1 707</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567</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238</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805</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1995/96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5 589</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3 826</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9 415</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1 448</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837</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2 285</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763</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359</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1 122</w:t>
            </w:r>
          </w:p>
        </w:tc>
      </w:tr>
      <w:tr w:rsidR="00000000">
        <w:tblPrEx>
          <w:tblCellMar>
            <w:top w:w="0" w:type="dxa"/>
            <w:bottom w:w="0" w:type="dxa"/>
          </w:tblCellMar>
        </w:tblPrEx>
        <w:trPr>
          <w:trHeight w:val="330"/>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1996/97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5 896</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4 057</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9 953</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1 508</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894</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2 402</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790</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385</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1 175</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1997/98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5 667</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4 000</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9 667</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1 541</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943</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2 484</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778</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396</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1 174</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1998/99*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5 312</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3 989</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9 301</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1 589</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967</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2 556</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856</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452</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1 308</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1999/2000*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6 139</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4 511</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10 650</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1 804</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1 101</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2 905</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918</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504</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1 422</w:t>
            </w:r>
          </w:p>
        </w:tc>
      </w:tr>
      <w:tr w:rsidR="00000000">
        <w:tblPrEx>
          <w:tblCellMar>
            <w:top w:w="0" w:type="dxa"/>
            <w:bottom w:w="0" w:type="dxa"/>
          </w:tblCellMar>
        </w:tblPrEx>
        <w:trPr>
          <w:trHeight w:val="255"/>
          <w:jc w:val="center"/>
        </w:trPr>
        <w:tc>
          <w:tcPr>
            <w:tcW w:w="1254" w:type="dxa"/>
            <w:tcBorders>
              <w:top w:val="nil"/>
              <w:left w:val="single" w:sz="8" w:space="0" w:color="000000"/>
              <w:bottom w:val="single" w:sz="8" w:space="0" w:color="000000"/>
              <w:right w:val="single" w:sz="4" w:space="0" w:color="auto"/>
            </w:tcBorders>
          </w:tcPr>
          <w:p w:rsidR="00000000" w:rsidRDefault="00000000">
            <w:pPr>
              <w:spacing w:before="40" w:after="40"/>
              <w:rPr>
                <w:sz w:val="20"/>
                <w:szCs w:val="20"/>
                <w:lang w:eastAsia="en-GB"/>
              </w:rPr>
            </w:pPr>
            <w:r>
              <w:rPr>
                <w:sz w:val="20"/>
                <w:szCs w:val="20"/>
                <w:lang w:eastAsia="en-GB"/>
              </w:rPr>
              <w:t xml:space="preserve">2000/01* </w:t>
            </w:r>
          </w:p>
        </w:tc>
        <w:tc>
          <w:tcPr>
            <w:tcW w:w="992" w:type="dxa"/>
            <w:tcBorders>
              <w:top w:val="nil"/>
              <w:left w:val="thickThinLargeGap" w:sz="6" w:space="0" w:color="C0C0C0"/>
              <w:bottom w:val="single" w:sz="8" w:space="0" w:color="000000"/>
              <w:right w:val="single" w:sz="4" w:space="0" w:color="auto"/>
            </w:tcBorders>
          </w:tcPr>
          <w:p w:rsidR="00000000" w:rsidRDefault="00000000">
            <w:pPr>
              <w:spacing w:before="40" w:after="40"/>
              <w:jc w:val="center"/>
              <w:rPr>
                <w:sz w:val="20"/>
                <w:szCs w:val="20"/>
                <w:lang w:eastAsia="en-GB"/>
              </w:rPr>
            </w:pPr>
            <w:r>
              <w:rPr>
                <w:sz w:val="20"/>
                <w:szCs w:val="20"/>
                <w:lang w:eastAsia="en-GB"/>
              </w:rPr>
              <w:t>6 330</w:t>
            </w:r>
          </w:p>
        </w:tc>
        <w:tc>
          <w:tcPr>
            <w:tcW w:w="851" w:type="dxa"/>
            <w:tcBorders>
              <w:top w:val="nil"/>
              <w:left w:val="thickThinLargeGap" w:sz="6" w:space="0" w:color="C0C0C0"/>
              <w:bottom w:val="single" w:sz="8" w:space="0" w:color="000000"/>
              <w:right w:val="single" w:sz="4" w:space="0" w:color="auto"/>
            </w:tcBorders>
          </w:tcPr>
          <w:p w:rsidR="00000000" w:rsidRDefault="00000000">
            <w:pPr>
              <w:spacing w:before="40" w:after="40"/>
              <w:jc w:val="center"/>
              <w:rPr>
                <w:sz w:val="20"/>
                <w:szCs w:val="20"/>
                <w:lang w:eastAsia="en-GB"/>
              </w:rPr>
            </w:pPr>
            <w:r>
              <w:rPr>
                <w:sz w:val="20"/>
                <w:szCs w:val="20"/>
                <w:lang w:eastAsia="en-GB"/>
              </w:rPr>
              <w:t>4 665</w:t>
            </w:r>
          </w:p>
        </w:tc>
        <w:tc>
          <w:tcPr>
            <w:tcW w:w="708"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10 995</w:t>
            </w:r>
          </w:p>
        </w:tc>
        <w:tc>
          <w:tcPr>
            <w:tcW w:w="993"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1 879</w:t>
            </w:r>
          </w:p>
        </w:tc>
        <w:tc>
          <w:tcPr>
            <w:tcW w:w="850"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1 205</w:t>
            </w:r>
          </w:p>
        </w:tc>
        <w:tc>
          <w:tcPr>
            <w:tcW w:w="709"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3 084</w:t>
            </w:r>
          </w:p>
        </w:tc>
        <w:tc>
          <w:tcPr>
            <w:tcW w:w="1003"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955</w:t>
            </w:r>
          </w:p>
        </w:tc>
        <w:tc>
          <w:tcPr>
            <w:tcW w:w="922"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535</w:t>
            </w:r>
          </w:p>
        </w:tc>
        <w:tc>
          <w:tcPr>
            <w:tcW w:w="709" w:type="dxa"/>
            <w:tcBorders>
              <w:top w:val="nil"/>
              <w:left w:val="thickThinLargeGap" w:sz="6" w:space="0" w:color="C0C0C0"/>
              <w:bottom w:val="single" w:sz="8" w:space="0" w:color="000000"/>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1 490</w:t>
            </w:r>
          </w:p>
        </w:tc>
      </w:tr>
      <w:tr w:rsidR="00000000">
        <w:tblPrEx>
          <w:tblCellMar>
            <w:top w:w="0" w:type="dxa"/>
            <w:bottom w:w="0" w:type="dxa"/>
          </w:tblCellMar>
        </w:tblPrEx>
        <w:trPr>
          <w:trHeight w:val="255"/>
          <w:jc w:val="center"/>
        </w:trPr>
        <w:tc>
          <w:tcPr>
            <w:tcW w:w="1254" w:type="dxa"/>
            <w:tcBorders>
              <w:top w:val="nil"/>
              <w:left w:val="single" w:sz="4" w:space="0" w:color="auto"/>
              <w:bottom w:val="single" w:sz="4" w:space="0" w:color="auto"/>
              <w:right w:val="single" w:sz="4" w:space="0" w:color="auto"/>
            </w:tcBorders>
          </w:tcPr>
          <w:p w:rsidR="00000000" w:rsidRDefault="00000000">
            <w:pPr>
              <w:spacing w:before="40" w:after="40"/>
              <w:rPr>
                <w:sz w:val="20"/>
                <w:szCs w:val="20"/>
                <w:lang w:eastAsia="en-GB"/>
              </w:rPr>
            </w:pPr>
            <w:r>
              <w:rPr>
                <w:sz w:val="20"/>
                <w:szCs w:val="20"/>
                <w:lang w:eastAsia="en-GB"/>
              </w:rPr>
              <w:t xml:space="preserve">2001/02* </w:t>
            </w:r>
          </w:p>
        </w:tc>
        <w:tc>
          <w:tcPr>
            <w:tcW w:w="992"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6 691</w:t>
            </w:r>
          </w:p>
        </w:tc>
        <w:tc>
          <w:tcPr>
            <w:tcW w:w="851" w:type="dxa"/>
            <w:tcBorders>
              <w:top w:val="nil"/>
              <w:left w:val="nil"/>
              <w:bottom w:val="single" w:sz="4" w:space="0" w:color="auto"/>
              <w:right w:val="single" w:sz="4" w:space="0" w:color="auto"/>
            </w:tcBorders>
          </w:tcPr>
          <w:p w:rsidR="00000000" w:rsidRDefault="00000000">
            <w:pPr>
              <w:spacing w:before="40" w:after="40"/>
              <w:jc w:val="center"/>
              <w:rPr>
                <w:sz w:val="20"/>
                <w:szCs w:val="20"/>
                <w:lang w:eastAsia="en-GB"/>
              </w:rPr>
            </w:pPr>
            <w:r>
              <w:rPr>
                <w:sz w:val="20"/>
                <w:szCs w:val="20"/>
                <w:lang w:eastAsia="en-GB"/>
              </w:rPr>
              <w:t>5 040</w:t>
            </w:r>
          </w:p>
        </w:tc>
        <w:tc>
          <w:tcPr>
            <w:tcW w:w="708"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11 731</w:t>
            </w:r>
          </w:p>
        </w:tc>
        <w:tc>
          <w:tcPr>
            <w:tcW w:w="99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2 054</w:t>
            </w:r>
          </w:p>
        </w:tc>
        <w:tc>
          <w:tcPr>
            <w:tcW w:w="850"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1 306</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3 360</w:t>
            </w:r>
          </w:p>
        </w:tc>
        <w:tc>
          <w:tcPr>
            <w:tcW w:w="1003"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1 079</w:t>
            </w:r>
          </w:p>
        </w:tc>
        <w:tc>
          <w:tcPr>
            <w:tcW w:w="922"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622</w:t>
            </w:r>
          </w:p>
        </w:tc>
        <w:tc>
          <w:tcPr>
            <w:tcW w:w="709" w:type="dxa"/>
            <w:tcBorders>
              <w:top w:val="nil"/>
              <w:left w:val="nil"/>
              <w:bottom w:val="single" w:sz="4" w:space="0" w:color="auto"/>
              <w:right w:val="single" w:sz="4" w:space="0" w:color="auto"/>
            </w:tcBorders>
          </w:tcPr>
          <w:p w:rsidR="00000000" w:rsidRDefault="00000000">
            <w:pPr>
              <w:tabs>
                <w:tab w:val="decimal" w:pos="567"/>
              </w:tabs>
              <w:spacing w:before="40" w:after="40"/>
              <w:rPr>
                <w:sz w:val="20"/>
                <w:szCs w:val="20"/>
                <w:lang w:eastAsia="en-GB"/>
              </w:rPr>
            </w:pPr>
            <w:r>
              <w:rPr>
                <w:sz w:val="20"/>
                <w:szCs w:val="20"/>
                <w:lang w:eastAsia="en-GB"/>
              </w:rPr>
              <w:t>1 701</w:t>
            </w:r>
          </w:p>
        </w:tc>
      </w:tr>
    </w:tbl>
    <w:p w:rsidR="00000000" w:rsidRDefault="00000000">
      <w:pPr>
        <w:pStyle w:val="a3"/>
        <w:spacing w:before="120"/>
        <w:rPr>
          <w:lang w:eastAsia="en-GB"/>
        </w:rPr>
      </w:pPr>
      <w:r>
        <w:rPr>
          <w:lang w:eastAsia="en-GB"/>
        </w:rPr>
        <w:t>*Предварительные данные</w:t>
      </w:r>
    </w:p>
    <w:p w:rsidR="00000000" w:rsidRDefault="00000000">
      <w:pPr>
        <w:jc w:val="both"/>
        <w:rPr>
          <w:sz w:val="22"/>
          <w:szCs w:val="22"/>
        </w:rPr>
      </w:pPr>
    </w:p>
    <w:p w:rsidR="00000000" w:rsidRDefault="00000000">
      <w:pPr>
        <w:pStyle w:val="112"/>
        <w:spacing w:after="40"/>
        <w:jc w:val="left"/>
        <w:rPr>
          <w:b/>
          <w:bCs/>
        </w:rPr>
      </w:pPr>
      <w:r>
        <w:rPr>
          <w:b/>
          <w:bCs/>
        </w:rPr>
        <w:br w:type="page"/>
        <w:t xml:space="preserve">Таблица 13.5. Распределение учащихся на разных уровнях/в разных классах по признаку пола </w:t>
      </w:r>
      <w:r>
        <w:rPr>
          <w:b/>
          <w:bCs/>
        </w:rPr>
        <w:br/>
        <w:t>с 1950/51 года (в млн.)</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264"/>
        <w:gridCol w:w="1117"/>
        <w:gridCol w:w="950"/>
        <w:gridCol w:w="730"/>
        <w:gridCol w:w="1117"/>
        <w:gridCol w:w="975"/>
        <w:gridCol w:w="697"/>
        <w:gridCol w:w="1117"/>
        <w:gridCol w:w="975"/>
        <w:gridCol w:w="697"/>
      </w:tblGrid>
      <w:tr w:rsidR="00000000">
        <w:tblPrEx>
          <w:tblCellMar>
            <w:top w:w="0" w:type="dxa"/>
            <w:bottom w:w="0" w:type="dxa"/>
          </w:tblCellMar>
        </w:tblPrEx>
        <w:trPr>
          <w:cantSplit/>
          <w:jc w:val="center"/>
        </w:trPr>
        <w:tc>
          <w:tcPr>
            <w:tcW w:w="1276" w:type="dxa"/>
            <w:vMerge w:val="restart"/>
            <w:vAlign w:val="center"/>
          </w:tcPr>
          <w:p w:rsidR="00000000" w:rsidRDefault="00000000">
            <w:pPr>
              <w:spacing w:before="40" w:after="40"/>
              <w:jc w:val="center"/>
              <w:rPr>
                <w:sz w:val="20"/>
                <w:szCs w:val="20"/>
              </w:rPr>
            </w:pPr>
            <w:r>
              <w:rPr>
                <w:sz w:val="20"/>
                <w:szCs w:val="20"/>
              </w:rPr>
              <w:t>Год</w:t>
            </w:r>
          </w:p>
        </w:tc>
        <w:tc>
          <w:tcPr>
            <w:tcW w:w="2835" w:type="dxa"/>
            <w:gridSpan w:val="3"/>
            <w:vAlign w:val="center"/>
          </w:tcPr>
          <w:p w:rsidR="00000000" w:rsidRDefault="00000000">
            <w:pPr>
              <w:spacing w:before="40" w:after="40"/>
              <w:jc w:val="center"/>
              <w:rPr>
                <w:sz w:val="20"/>
                <w:szCs w:val="20"/>
              </w:rPr>
            </w:pPr>
            <w:r>
              <w:rPr>
                <w:sz w:val="20"/>
                <w:szCs w:val="20"/>
              </w:rPr>
              <w:t>Начальное образование первого уровня</w:t>
            </w:r>
            <w:r>
              <w:rPr>
                <w:sz w:val="20"/>
                <w:szCs w:val="20"/>
              </w:rPr>
              <w:br/>
            </w:r>
            <w:r>
              <w:rPr>
                <w:sz w:val="20"/>
                <w:szCs w:val="20"/>
                <w:lang w:eastAsia="en-GB"/>
              </w:rPr>
              <w:t>(1–5 классы)</w:t>
            </w:r>
          </w:p>
        </w:tc>
        <w:tc>
          <w:tcPr>
            <w:tcW w:w="2835" w:type="dxa"/>
            <w:gridSpan w:val="3"/>
            <w:vAlign w:val="center"/>
          </w:tcPr>
          <w:p w:rsidR="00000000" w:rsidRDefault="00000000">
            <w:pPr>
              <w:spacing w:before="40" w:after="40"/>
              <w:jc w:val="center"/>
              <w:rPr>
                <w:sz w:val="20"/>
                <w:szCs w:val="20"/>
              </w:rPr>
            </w:pPr>
            <w:r>
              <w:rPr>
                <w:sz w:val="20"/>
                <w:szCs w:val="20"/>
              </w:rPr>
              <w:t>Начальное образование второго уровня</w:t>
            </w:r>
            <w:r>
              <w:rPr>
                <w:sz w:val="20"/>
                <w:szCs w:val="20"/>
              </w:rPr>
              <w:br/>
            </w:r>
            <w:r>
              <w:rPr>
                <w:sz w:val="20"/>
                <w:szCs w:val="20"/>
                <w:lang w:eastAsia="en-GB"/>
              </w:rPr>
              <w:t>(6–8 классы)</w:t>
            </w:r>
          </w:p>
        </w:tc>
        <w:tc>
          <w:tcPr>
            <w:tcW w:w="2835" w:type="dxa"/>
            <w:gridSpan w:val="3"/>
          </w:tcPr>
          <w:p w:rsidR="00000000" w:rsidRDefault="00000000">
            <w:pPr>
              <w:spacing w:before="40" w:after="40"/>
              <w:jc w:val="center"/>
              <w:rPr>
                <w:sz w:val="20"/>
                <w:szCs w:val="20"/>
              </w:rPr>
            </w:pPr>
            <w:r>
              <w:rPr>
                <w:sz w:val="20"/>
                <w:szCs w:val="20"/>
              </w:rPr>
              <w:t>Среднее/Полное среднее/</w:t>
            </w:r>
            <w:r>
              <w:rPr>
                <w:sz w:val="20"/>
                <w:szCs w:val="20"/>
              </w:rPr>
              <w:br/>
              <w:t>Промежуточное образование/ подготовка к получению высшего образования</w:t>
            </w:r>
            <w:r>
              <w:rPr>
                <w:sz w:val="20"/>
                <w:szCs w:val="20"/>
              </w:rPr>
              <w:br/>
            </w:r>
            <w:r>
              <w:rPr>
                <w:sz w:val="20"/>
                <w:szCs w:val="20"/>
                <w:lang w:eastAsia="en-GB"/>
              </w:rPr>
              <w:t>(9–12 классы)</w:t>
            </w:r>
          </w:p>
        </w:tc>
      </w:tr>
      <w:tr w:rsidR="00000000">
        <w:tblPrEx>
          <w:tblCellMar>
            <w:top w:w="0" w:type="dxa"/>
            <w:bottom w:w="0" w:type="dxa"/>
          </w:tblCellMar>
        </w:tblPrEx>
        <w:trPr>
          <w:cantSplit/>
          <w:jc w:val="center"/>
        </w:trPr>
        <w:tc>
          <w:tcPr>
            <w:tcW w:w="1276" w:type="dxa"/>
            <w:vMerge/>
          </w:tcPr>
          <w:p w:rsidR="00000000" w:rsidRDefault="00000000">
            <w:pPr>
              <w:spacing w:before="40" w:after="40"/>
              <w:jc w:val="center"/>
              <w:rPr>
                <w:sz w:val="20"/>
                <w:szCs w:val="20"/>
              </w:rPr>
            </w:pPr>
          </w:p>
        </w:tc>
        <w:tc>
          <w:tcPr>
            <w:tcW w:w="1134" w:type="dxa"/>
          </w:tcPr>
          <w:p w:rsidR="00000000" w:rsidRDefault="00000000">
            <w:pPr>
              <w:spacing w:before="40" w:after="40"/>
              <w:ind w:left="-57" w:right="-57"/>
              <w:jc w:val="center"/>
              <w:rPr>
                <w:sz w:val="20"/>
                <w:szCs w:val="20"/>
              </w:rPr>
            </w:pPr>
            <w:r>
              <w:rPr>
                <w:sz w:val="20"/>
                <w:szCs w:val="20"/>
              </w:rPr>
              <w:t>Мальчики</w:t>
            </w:r>
          </w:p>
        </w:tc>
        <w:tc>
          <w:tcPr>
            <w:tcW w:w="964" w:type="dxa"/>
          </w:tcPr>
          <w:p w:rsidR="00000000" w:rsidRDefault="00000000">
            <w:pPr>
              <w:spacing w:before="40" w:after="40"/>
              <w:ind w:left="-57" w:right="-57"/>
              <w:jc w:val="center"/>
              <w:rPr>
                <w:sz w:val="20"/>
                <w:szCs w:val="20"/>
              </w:rPr>
            </w:pPr>
            <w:r>
              <w:rPr>
                <w:sz w:val="20"/>
                <w:szCs w:val="20"/>
              </w:rPr>
              <w:t>Девочки</w:t>
            </w:r>
          </w:p>
        </w:tc>
        <w:tc>
          <w:tcPr>
            <w:tcW w:w="737" w:type="dxa"/>
          </w:tcPr>
          <w:p w:rsidR="00000000" w:rsidRDefault="00000000">
            <w:pPr>
              <w:spacing w:before="40" w:after="40"/>
              <w:ind w:left="-57" w:right="-57"/>
              <w:jc w:val="center"/>
              <w:rPr>
                <w:sz w:val="20"/>
                <w:szCs w:val="20"/>
              </w:rPr>
            </w:pPr>
            <w:r>
              <w:rPr>
                <w:sz w:val="20"/>
                <w:szCs w:val="20"/>
              </w:rPr>
              <w:t>Всего</w:t>
            </w:r>
          </w:p>
        </w:tc>
        <w:tc>
          <w:tcPr>
            <w:tcW w:w="1134" w:type="dxa"/>
          </w:tcPr>
          <w:p w:rsidR="00000000" w:rsidRDefault="00000000">
            <w:pPr>
              <w:spacing w:before="40" w:after="40"/>
              <w:ind w:left="-57" w:right="-57"/>
              <w:jc w:val="center"/>
              <w:rPr>
                <w:sz w:val="20"/>
                <w:szCs w:val="20"/>
              </w:rPr>
            </w:pPr>
            <w:r>
              <w:rPr>
                <w:sz w:val="20"/>
                <w:szCs w:val="20"/>
              </w:rPr>
              <w:t>Мальчики</w:t>
            </w:r>
          </w:p>
        </w:tc>
        <w:tc>
          <w:tcPr>
            <w:tcW w:w="992" w:type="dxa"/>
          </w:tcPr>
          <w:p w:rsidR="00000000" w:rsidRDefault="00000000">
            <w:pPr>
              <w:spacing w:before="40" w:after="40"/>
              <w:ind w:left="-57" w:right="-57"/>
              <w:jc w:val="center"/>
              <w:rPr>
                <w:sz w:val="20"/>
                <w:szCs w:val="20"/>
              </w:rPr>
            </w:pPr>
            <w:r>
              <w:rPr>
                <w:sz w:val="20"/>
                <w:szCs w:val="20"/>
              </w:rPr>
              <w:t>Девочки</w:t>
            </w:r>
          </w:p>
        </w:tc>
        <w:tc>
          <w:tcPr>
            <w:tcW w:w="709" w:type="dxa"/>
          </w:tcPr>
          <w:p w:rsidR="00000000" w:rsidRDefault="00000000">
            <w:pPr>
              <w:spacing w:before="40" w:after="40"/>
              <w:ind w:left="-57" w:right="-57"/>
              <w:jc w:val="center"/>
              <w:rPr>
                <w:sz w:val="20"/>
                <w:szCs w:val="20"/>
              </w:rPr>
            </w:pPr>
            <w:r>
              <w:rPr>
                <w:sz w:val="20"/>
                <w:szCs w:val="20"/>
              </w:rPr>
              <w:t>Всего</w:t>
            </w:r>
          </w:p>
        </w:tc>
        <w:tc>
          <w:tcPr>
            <w:tcW w:w="1134" w:type="dxa"/>
          </w:tcPr>
          <w:p w:rsidR="00000000" w:rsidRDefault="00000000">
            <w:pPr>
              <w:spacing w:before="40" w:after="40"/>
              <w:ind w:left="-57" w:right="-57"/>
              <w:jc w:val="center"/>
              <w:rPr>
                <w:sz w:val="20"/>
                <w:szCs w:val="20"/>
              </w:rPr>
            </w:pPr>
            <w:r>
              <w:rPr>
                <w:sz w:val="20"/>
                <w:szCs w:val="20"/>
              </w:rPr>
              <w:t>Мальчики</w:t>
            </w:r>
          </w:p>
        </w:tc>
        <w:tc>
          <w:tcPr>
            <w:tcW w:w="992" w:type="dxa"/>
          </w:tcPr>
          <w:p w:rsidR="00000000" w:rsidRDefault="00000000">
            <w:pPr>
              <w:spacing w:before="40" w:after="40"/>
              <w:ind w:left="-57" w:right="-57"/>
              <w:jc w:val="center"/>
              <w:rPr>
                <w:sz w:val="20"/>
                <w:szCs w:val="20"/>
              </w:rPr>
            </w:pPr>
            <w:r>
              <w:rPr>
                <w:sz w:val="20"/>
                <w:szCs w:val="20"/>
              </w:rPr>
              <w:t>Девочки</w:t>
            </w:r>
          </w:p>
        </w:tc>
        <w:tc>
          <w:tcPr>
            <w:tcW w:w="709" w:type="dxa"/>
          </w:tcPr>
          <w:p w:rsidR="00000000" w:rsidRDefault="00000000">
            <w:pPr>
              <w:spacing w:before="40" w:after="40"/>
              <w:ind w:left="-57" w:right="-57"/>
              <w:jc w:val="center"/>
              <w:rPr>
                <w:sz w:val="20"/>
                <w:szCs w:val="20"/>
              </w:rPr>
            </w:pPr>
            <w:r>
              <w:rPr>
                <w:sz w:val="20"/>
                <w:szCs w:val="20"/>
              </w:rPr>
              <w:t>Всего</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1970/71</w:t>
            </w:r>
          </w:p>
        </w:tc>
        <w:tc>
          <w:tcPr>
            <w:tcW w:w="1134" w:type="dxa"/>
          </w:tcPr>
          <w:p w:rsidR="00000000" w:rsidRDefault="00000000">
            <w:pPr>
              <w:spacing w:before="40" w:after="40"/>
              <w:rPr>
                <w:sz w:val="20"/>
                <w:szCs w:val="20"/>
              </w:rPr>
            </w:pPr>
            <w:r>
              <w:rPr>
                <w:sz w:val="20"/>
                <w:szCs w:val="20"/>
              </w:rPr>
              <w:t>35,7</w:t>
            </w:r>
          </w:p>
        </w:tc>
        <w:tc>
          <w:tcPr>
            <w:tcW w:w="964" w:type="dxa"/>
          </w:tcPr>
          <w:p w:rsidR="00000000" w:rsidRDefault="00000000">
            <w:pPr>
              <w:spacing w:before="40" w:after="40"/>
              <w:rPr>
                <w:sz w:val="20"/>
                <w:szCs w:val="20"/>
              </w:rPr>
            </w:pPr>
            <w:r>
              <w:rPr>
                <w:sz w:val="20"/>
                <w:szCs w:val="20"/>
              </w:rPr>
              <w:t>21,3</w:t>
            </w:r>
          </w:p>
        </w:tc>
        <w:tc>
          <w:tcPr>
            <w:tcW w:w="737" w:type="dxa"/>
          </w:tcPr>
          <w:p w:rsidR="00000000" w:rsidRDefault="00000000">
            <w:pPr>
              <w:spacing w:before="40" w:after="40"/>
              <w:rPr>
                <w:sz w:val="20"/>
                <w:szCs w:val="20"/>
              </w:rPr>
            </w:pPr>
            <w:r>
              <w:rPr>
                <w:sz w:val="20"/>
                <w:szCs w:val="20"/>
              </w:rPr>
              <w:t>57,0</w:t>
            </w:r>
          </w:p>
        </w:tc>
        <w:tc>
          <w:tcPr>
            <w:tcW w:w="1134" w:type="dxa"/>
          </w:tcPr>
          <w:p w:rsidR="00000000" w:rsidRDefault="00000000">
            <w:pPr>
              <w:spacing w:before="40" w:after="40"/>
              <w:rPr>
                <w:sz w:val="20"/>
                <w:szCs w:val="20"/>
              </w:rPr>
            </w:pPr>
            <w:r>
              <w:rPr>
                <w:sz w:val="20"/>
                <w:szCs w:val="20"/>
              </w:rPr>
              <w:t>9,4</w:t>
            </w:r>
          </w:p>
        </w:tc>
        <w:tc>
          <w:tcPr>
            <w:tcW w:w="992" w:type="dxa"/>
          </w:tcPr>
          <w:p w:rsidR="00000000" w:rsidRDefault="00000000">
            <w:pPr>
              <w:spacing w:before="40" w:after="40"/>
              <w:rPr>
                <w:sz w:val="20"/>
                <w:szCs w:val="20"/>
              </w:rPr>
            </w:pPr>
            <w:r>
              <w:rPr>
                <w:sz w:val="20"/>
                <w:szCs w:val="20"/>
              </w:rPr>
              <w:t>3,9</w:t>
            </w:r>
          </w:p>
        </w:tc>
        <w:tc>
          <w:tcPr>
            <w:tcW w:w="709" w:type="dxa"/>
          </w:tcPr>
          <w:p w:rsidR="00000000" w:rsidRDefault="00000000">
            <w:pPr>
              <w:spacing w:before="40" w:after="40"/>
              <w:rPr>
                <w:sz w:val="20"/>
                <w:szCs w:val="20"/>
              </w:rPr>
            </w:pPr>
            <w:r>
              <w:rPr>
                <w:sz w:val="20"/>
                <w:szCs w:val="20"/>
              </w:rPr>
              <w:t>13,3</w:t>
            </w:r>
          </w:p>
        </w:tc>
        <w:tc>
          <w:tcPr>
            <w:tcW w:w="1134" w:type="dxa"/>
          </w:tcPr>
          <w:p w:rsidR="00000000" w:rsidRDefault="00000000">
            <w:pPr>
              <w:spacing w:before="40" w:after="40"/>
              <w:rPr>
                <w:sz w:val="20"/>
                <w:szCs w:val="20"/>
              </w:rPr>
            </w:pPr>
            <w:r>
              <w:rPr>
                <w:sz w:val="20"/>
                <w:szCs w:val="20"/>
              </w:rPr>
              <w:t>5,7</w:t>
            </w:r>
          </w:p>
        </w:tc>
        <w:tc>
          <w:tcPr>
            <w:tcW w:w="992" w:type="dxa"/>
          </w:tcPr>
          <w:p w:rsidR="00000000" w:rsidRDefault="00000000">
            <w:pPr>
              <w:spacing w:before="40" w:after="40"/>
              <w:rPr>
                <w:sz w:val="20"/>
                <w:szCs w:val="20"/>
              </w:rPr>
            </w:pPr>
            <w:r>
              <w:rPr>
                <w:sz w:val="20"/>
                <w:szCs w:val="20"/>
              </w:rPr>
              <w:t>1,9</w:t>
            </w:r>
          </w:p>
        </w:tc>
        <w:tc>
          <w:tcPr>
            <w:tcW w:w="709" w:type="dxa"/>
          </w:tcPr>
          <w:p w:rsidR="00000000" w:rsidRDefault="00000000">
            <w:pPr>
              <w:spacing w:before="40" w:after="40"/>
              <w:rPr>
                <w:sz w:val="20"/>
                <w:szCs w:val="20"/>
              </w:rPr>
            </w:pPr>
            <w:r>
              <w:rPr>
                <w:sz w:val="20"/>
                <w:szCs w:val="20"/>
              </w:rPr>
              <w:t>7,6</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1980/81</w:t>
            </w:r>
          </w:p>
        </w:tc>
        <w:tc>
          <w:tcPr>
            <w:tcW w:w="1134" w:type="dxa"/>
          </w:tcPr>
          <w:p w:rsidR="00000000" w:rsidRDefault="00000000">
            <w:pPr>
              <w:spacing w:before="40" w:after="40"/>
              <w:rPr>
                <w:sz w:val="20"/>
                <w:szCs w:val="20"/>
              </w:rPr>
            </w:pPr>
            <w:r>
              <w:rPr>
                <w:sz w:val="20"/>
                <w:szCs w:val="20"/>
              </w:rPr>
              <w:t>45,3</w:t>
            </w:r>
          </w:p>
        </w:tc>
        <w:tc>
          <w:tcPr>
            <w:tcW w:w="964" w:type="dxa"/>
          </w:tcPr>
          <w:p w:rsidR="00000000" w:rsidRDefault="00000000">
            <w:pPr>
              <w:spacing w:before="40" w:after="40"/>
              <w:rPr>
                <w:sz w:val="20"/>
                <w:szCs w:val="20"/>
              </w:rPr>
            </w:pPr>
            <w:r>
              <w:rPr>
                <w:sz w:val="20"/>
                <w:szCs w:val="20"/>
              </w:rPr>
              <w:t>28,5</w:t>
            </w:r>
          </w:p>
        </w:tc>
        <w:tc>
          <w:tcPr>
            <w:tcW w:w="737" w:type="dxa"/>
          </w:tcPr>
          <w:p w:rsidR="00000000" w:rsidRDefault="00000000">
            <w:pPr>
              <w:spacing w:before="40" w:after="40"/>
              <w:rPr>
                <w:sz w:val="20"/>
                <w:szCs w:val="20"/>
              </w:rPr>
            </w:pPr>
            <w:r>
              <w:rPr>
                <w:sz w:val="20"/>
                <w:szCs w:val="20"/>
              </w:rPr>
              <w:t>73,8</w:t>
            </w:r>
          </w:p>
        </w:tc>
        <w:tc>
          <w:tcPr>
            <w:tcW w:w="1134" w:type="dxa"/>
          </w:tcPr>
          <w:p w:rsidR="00000000" w:rsidRDefault="00000000">
            <w:pPr>
              <w:spacing w:before="40" w:after="40"/>
              <w:rPr>
                <w:sz w:val="20"/>
                <w:szCs w:val="20"/>
              </w:rPr>
            </w:pPr>
            <w:r>
              <w:rPr>
                <w:sz w:val="20"/>
                <w:szCs w:val="20"/>
              </w:rPr>
              <w:t>13,9</w:t>
            </w:r>
          </w:p>
        </w:tc>
        <w:tc>
          <w:tcPr>
            <w:tcW w:w="992" w:type="dxa"/>
          </w:tcPr>
          <w:p w:rsidR="00000000" w:rsidRDefault="00000000">
            <w:pPr>
              <w:spacing w:before="40" w:after="40"/>
              <w:rPr>
                <w:sz w:val="20"/>
                <w:szCs w:val="20"/>
              </w:rPr>
            </w:pPr>
            <w:r>
              <w:rPr>
                <w:sz w:val="20"/>
                <w:szCs w:val="20"/>
              </w:rPr>
              <w:t>6,8</w:t>
            </w:r>
          </w:p>
        </w:tc>
        <w:tc>
          <w:tcPr>
            <w:tcW w:w="709" w:type="dxa"/>
          </w:tcPr>
          <w:p w:rsidR="00000000" w:rsidRDefault="00000000">
            <w:pPr>
              <w:spacing w:before="40" w:after="40"/>
              <w:rPr>
                <w:sz w:val="20"/>
                <w:szCs w:val="20"/>
              </w:rPr>
            </w:pPr>
            <w:r>
              <w:rPr>
                <w:sz w:val="20"/>
                <w:szCs w:val="20"/>
              </w:rPr>
              <w:t>20,7</w:t>
            </w:r>
          </w:p>
        </w:tc>
        <w:tc>
          <w:tcPr>
            <w:tcW w:w="1134" w:type="dxa"/>
          </w:tcPr>
          <w:p w:rsidR="00000000" w:rsidRDefault="00000000">
            <w:pPr>
              <w:spacing w:before="40" w:after="40"/>
              <w:rPr>
                <w:sz w:val="20"/>
                <w:szCs w:val="20"/>
              </w:rPr>
            </w:pPr>
            <w:r>
              <w:rPr>
                <w:sz w:val="20"/>
                <w:szCs w:val="20"/>
              </w:rPr>
              <w:t>7,6</w:t>
            </w:r>
          </w:p>
        </w:tc>
        <w:tc>
          <w:tcPr>
            <w:tcW w:w="992" w:type="dxa"/>
          </w:tcPr>
          <w:p w:rsidR="00000000" w:rsidRDefault="00000000">
            <w:pPr>
              <w:spacing w:before="40" w:after="40"/>
              <w:rPr>
                <w:sz w:val="20"/>
                <w:szCs w:val="20"/>
              </w:rPr>
            </w:pPr>
            <w:r>
              <w:rPr>
                <w:sz w:val="20"/>
                <w:szCs w:val="20"/>
              </w:rPr>
              <w:t>3,4</w:t>
            </w:r>
          </w:p>
        </w:tc>
        <w:tc>
          <w:tcPr>
            <w:tcW w:w="709" w:type="dxa"/>
          </w:tcPr>
          <w:p w:rsidR="00000000" w:rsidRDefault="00000000">
            <w:pPr>
              <w:spacing w:before="40" w:after="40"/>
              <w:rPr>
                <w:sz w:val="20"/>
                <w:szCs w:val="20"/>
              </w:rPr>
            </w:pPr>
            <w:r>
              <w:rPr>
                <w:sz w:val="20"/>
                <w:szCs w:val="20"/>
              </w:rPr>
              <w:t>11,0</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1990/91</w:t>
            </w:r>
          </w:p>
        </w:tc>
        <w:tc>
          <w:tcPr>
            <w:tcW w:w="1134" w:type="dxa"/>
          </w:tcPr>
          <w:p w:rsidR="00000000" w:rsidRDefault="00000000">
            <w:pPr>
              <w:spacing w:before="40" w:after="40"/>
              <w:rPr>
                <w:sz w:val="20"/>
                <w:szCs w:val="20"/>
              </w:rPr>
            </w:pPr>
            <w:r>
              <w:rPr>
                <w:sz w:val="20"/>
                <w:szCs w:val="20"/>
              </w:rPr>
              <w:t>57,0</w:t>
            </w:r>
          </w:p>
        </w:tc>
        <w:tc>
          <w:tcPr>
            <w:tcW w:w="964" w:type="dxa"/>
          </w:tcPr>
          <w:p w:rsidR="00000000" w:rsidRDefault="00000000">
            <w:pPr>
              <w:spacing w:before="40" w:after="40"/>
              <w:rPr>
                <w:sz w:val="20"/>
                <w:szCs w:val="20"/>
              </w:rPr>
            </w:pPr>
            <w:r>
              <w:rPr>
                <w:sz w:val="20"/>
                <w:szCs w:val="20"/>
              </w:rPr>
              <w:t>40,4</w:t>
            </w:r>
          </w:p>
        </w:tc>
        <w:tc>
          <w:tcPr>
            <w:tcW w:w="737" w:type="dxa"/>
          </w:tcPr>
          <w:p w:rsidR="00000000" w:rsidRDefault="00000000">
            <w:pPr>
              <w:spacing w:before="40" w:after="40"/>
              <w:rPr>
                <w:sz w:val="20"/>
                <w:szCs w:val="20"/>
              </w:rPr>
            </w:pPr>
            <w:r>
              <w:rPr>
                <w:sz w:val="20"/>
                <w:szCs w:val="20"/>
              </w:rPr>
              <w:t>97,4</w:t>
            </w:r>
          </w:p>
        </w:tc>
        <w:tc>
          <w:tcPr>
            <w:tcW w:w="1134" w:type="dxa"/>
          </w:tcPr>
          <w:p w:rsidR="00000000" w:rsidRDefault="00000000">
            <w:pPr>
              <w:spacing w:before="40" w:after="40"/>
              <w:rPr>
                <w:sz w:val="20"/>
                <w:szCs w:val="20"/>
              </w:rPr>
            </w:pPr>
            <w:r>
              <w:rPr>
                <w:sz w:val="20"/>
                <w:szCs w:val="20"/>
              </w:rPr>
              <w:t>21,5</w:t>
            </w:r>
          </w:p>
        </w:tc>
        <w:tc>
          <w:tcPr>
            <w:tcW w:w="992" w:type="dxa"/>
          </w:tcPr>
          <w:p w:rsidR="00000000" w:rsidRDefault="00000000">
            <w:pPr>
              <w:spacing w:before="40" w:after="40"/>
              <w:rPr>
                <w:sz w:val="20"/>
                <w:szCs w:val="20"/>
              </w:rPr>
            </w:pPr>
            <w:r>
              <w:rPr>
                <w:sz w:val="20"/>
                <w:szCs w:val="20"/>
              </w:rPr>
              <w:t>12,5</w:t>
            </w:r>
          </w:p>
        </w:tc>
        <w:tc>
          <w:tcPr>
            <w:tcW w:w="709" w:type="dxa"/>
          </w:tcPr>
          <w:p w:rsidR="00000000" w:rsidRDefault="00000000">
            <w:pPr>
              <w:spacing w:before="40" w:after="40"/>
              <w:rPr>
                <w:sz w:val="20"/>
                <w:szCs w:val="20"/>
              </w:rPr>
            </w:pPr>
            <w:r>
              <w:rPr>
                <w:sz w:val="20"/>
                <w:szCs w:val="20"/>
              </w:rPr>
              <w:t>34,0</w:t>
            </w:r>
          </w:p>
        </w:tc>
        <w:tc>
          <w:tcPr>
            <w:tcW w:w="1134" w:type="dxa"/>
          </w:tcPr>
          <w:p w:rsidR="00000000" w:rsidRDefault="00000000">
            <w:pPr>
              <w:spacing w:before="40" w:after="40"/>
              <w:rPr>
                <w:sz w:val="20"/>
                <w:szCs w:val="20"/>
              </w:rPr>
            </w:pPr>
            <w:r>
              <w:rPr>
                <w:sz w:val="20"/>
                <w:szCs w:val="20"/>
              </w:rPr>
              <w:t>12,8</w:t>
            </w:r>
          </w:p>
        </w:tc>
        <w:tc>
          <w:tcPr>
            <w:tcW w:w="992" w:type="dxa"/>
          </w:tcPr>
          <w:p w:rsidR="00000000" w:rsidRDefault="00000000">
            <w:pPr>
              <w:spacing w:before="40" w:after="40"/>
              <w:rPr>
                <w:sz w:val="20"/>
                <w:szCs w:val="20"/>
              </w:rPr>
            </w:pPr>
            <w:r>
              <w:rPr>
                <w:sz w:val="20"/>
                <w:szCs w:val="20"/>
              </w:rPr>
              <w:t>6,3</w:t>
            </w:r>
          </w:p>
        </w:tc>
        <w:tc>
          <w:tcPr>
            <w:tcW w:w="709" w:type="dxa"/>
          </w:tcPr>
          <w:p w:rsidR="00000000" w:rsidRDefault="00000000">
            <w:pPr>
              <w:spacing w:before="40" w:after="40"/>
              <w:rPr>
                <w:sz w:val="20"/>
                <w:szCs w:val="20"/>
              </w:rPr>
            </w:pPr>
            <w:r>
              <w:rPr>
                <w:sz w:val="20"/>
                <w:szCs w:val="20"/>
              </w:rPr>
              <w:t>19,1</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1991/92</w:t>
            </w:r>
          </w:p>
        </w:tc>
        <w:tc>
          <w:tcPr>
            <w:tcW w:w="1134" w:type="dxa"/>
          </w:tcPr>
          <w:p w:rsidR="00000000" w:rsidRDefault="00000000">
            <w:pPr>
              <w:spacing w:before="40" w:after="40"/>
              <w:rPr>
                <w:sz w:val="20"/>
                <w:szCs w:val="20"/>
              </w:rPr>
            </w:pPr>
            <w:r>
              <w:rPr>
                <w:sz w:val="20"/>
                <w:szCs w:val="20"/>
              </w:rPr>
              <w:t>58,6</w:t>
            </w:r>
          </w:p>
        </w:tc>
        <w:tc>
          <w:tcPr>
            <w:tcW w:w="964" w:type="dxa"/>
          </w:tcPr>
          <w:p w:rsidR="00000000" w:rsidRDefault="00000000">
            <w:pPr>
              <w:spacing w:before="40" w:after="40"/>
              <w:rPr>
                <w:sz w:val="20"/>
                <w:szCs w:val="20"/>
              </w:rPr>
            </w:pPr>
            <w:r>
              <w:rPr>
                <w:sz w:val="20"/>
                <w:szCs w:val="20"/>
              </w:rPr>
              <w:t>42,3</w:t>
            </w:r>
          </w:p>
        </w:tc>
        <w:tc>
          <w:tcPr>
            <w:tcW w:w="737" w:type="dxa"/>
          </w:tcPr>
          <w:p w:rsidR="00000000" w:rsidRDefault="00000000">
            <w:pPr>
              <w:spacing w:before="40" w:after="40"/>
              <w:rPr>
                <w:sz w:val="20"/>
                <w:szCs w:val="20"/>
              </w:rPr>
            </w:pPr>
            <w:r>
              <w:rPr>
                <w:sz w:val="20"/>
                <w:szCs w:val="20"/>
              </w:rPr>
              <w:t>100,9</w:t>
            </w:r>
          </w:p>
        </w:tc>
        <w:tc>
          <w:tcPr>
            <w:tcW w:w="1134" w:type="dxa"/>
          </w:tcPr>
          <w:p w:rsidR="00000000" w:rsidRDefault="00000000">
            <w:pPr>
              <w:spacing w:before="40" w:after="40"/>
              <w:rPr>
                <w:sz w:val="20"/>
                <w:szCs w:val="20"/>
              </w:rPr>
            </w:pPr>
            <w:r>
              <w:rPr>
                <w:sz w:val="20"/>
                <w:szCs w:val="20"/>
              </w:rPr>
              <w:t>22,0</w:t>
            </w:r>
          </w:p>
        </w:tc>
        <w:tc>
          <w:tcPr>
            <w:tcW w:w="992" w:type="dxa"/>
          </w:tcPr>
          <w:p w:rsidR="00000000" w:rsidRDefault="00000000">
            <w:pPr>
              <w:spacing w:before="40" w:after="40"/>
              <w:rPr>
                <w:sz w:val="20"/>
                <w:szCs w:val="20"/>
              </w:rPr>
            </w:pPr>
            <w:r>
              <w:rPr>
                <w:sz w:val="20"/>
                <w:szCs w:val="20"/>
              </w:rPr>
              <w:t>13,6</w:t>
            </w:r>
          </w:p>
        </w:tc>
        <w:tc>
          <w:tcPr>
            <w:tcW w:w="709" w:type="dxa"/>
          </w:tcPr>
          <w:p w:rsidR="00000000" w:rsidRDefault="00000000">
            <w:pPr>
              <w:spacing w:before="40" w:after="40"/>
              <w:rPr>
                <w:sz w:val="20"/>
                <w:szCs w:val="20"/>
              </w:rPr>
            </w:pPr>
            <w:r>
              <w:rPr>
                <w:sz w:val="20"/>
                <w:szCs w:val="20"/>
              </w:rPr>
              <w:t>35,6</w:t>
            </w:r>
          </w:p>
        </w:tc>
        <w:tc>
          <w:tcPr>
            <w:tcW w:w="1134" w:type="dxa"/>
          </w:tcPr>
          <w:p w:rsidR="00000000" w:rsidRDefault="00000000">
            <w:pPr>
              <w:spacing w:before="40" w:after="40"/>
              <w:rPr>
                <w:sz w:val="20"/>
                <w:szCs w:val="20"/>
              </w:rPr>
            </w:pPr>
            <w:r>
              <w:rPr>
                <w:sz w:val="20"/>
                <w:szCs w:val="20"/>
              </w:rPr>
              <w:t>13,5</w:t>
            </w:r>
          </w:p>
        </w:tc>
        <w:tc>
          <w:tcPr>
            <w:tcW w:w="992" w:type="dxa"/>
          </w:tcPr>
          <w:p w:rsidR="00000000" w:rsidRDefault="00000000">
            <w:pPr>
              <w:spacing w:before="40" w:after="40"/>
              <w:rPr>
                <w:sz w:val="20"/>
                <w:szCs w:val="20"/>
              </w:rPr>
            </w:pPr>
            <w:r>
              <w:rPr>
                <w:sz w:val="20"/>
                <w:szCs w:val="20"/>
              </w:rPr>
              <w:t>6,9</w:t>
            </w:r>
          </w:p>
        </w:tc>
        <w:tc>
          <w:tcPr>
            <w:tcW w:w="709" w:type="dxa"/>
          </w:tcPr>
          <w:p w:rsidR="00000000" w:rsidRDefault="00000000">
            <w:pPr>
              <w:spacing w:before="40" w:after="40"/>
              <w:rPr>
                <w:sz w:val="20"/>
                <w:szCs w:val="20"/>
              </w:rPr>
            </w:pPr>
            <w:r>
              <w:rPr>
                <w:sz w:val="20"/>
                <w:szCs w:val="20"/>
              </w:rPr>
              <w:t>20,4</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1992/93</w:t>
            </w:r>
          </w:p>
        </w:tc>
        <w:tc>
          <w:tcPr>
            <w:tcW w:w="1134" w:type="dxa"/>
          </w:tcPr>
          <w:p w:rsidR="00000000" w:rsidRDefault="00000000">
            <w:pPr>
              <w:spacing w:before="40" w:after="40"/>
              <w:rPr>
                <w:sz w:val="20"/>
                <w:szCs w:val="20"/>
              </w:rPr>
            </w:pPr>
            <w:r>
              <w:rPr>
                <w:sz w:val="20"/>
                <w:szCs w:val="20"/>
              </w:rPr>
              <w:t>57,9</w:t>
            </w:r>
          </w:p>
        </w:tc>
        <w:tc>
          <w:tcPr>
            <w:tcW w:w="964" w:type="dxa"/>
          </w:tcPr>
          <w:p w:rsidR="00000000" w:rsidRDefault="00000000">
            <w:pPr>
              <w:spacing w:before="40" w:after="40"/>
              <w:rPr>
                <w:sz w:val="20"/>
                <w:szCs w:val="20"/>
              </w:rPr>
            </w:pPr>
            <w:r>
              <w:rPr>
                <w:sz w:val="20"/>
                <w:szCs w:val="20"/>
              </w:rPr>
              <w:t>41,7</w:t>
            </w:r>
          </w:p>
        </w:tc>
        <w:tc>
          <w:tcPr>
            <w:tcW w:w="737" w:type="dxa"/>
          </w:tcPr>
          <w:p w:rsidR="00000000" w:rsidRDefault="00000000">
            <w:pPr>
              <w:spacing w:before="40" w:after="40"/>
              <w:rPr>
                <w:sz w:val="20"/>
                <w:szCs w:val="20"/>
              </w:rPr>
            </w:pPr>
            <w:r>
              <w:rPr>
                <w:sz w:val="20"/>
                <w:szCs w:val="20"/>
              </w:rPr>
              <w:t>99,6</w:t>
            </w:r>
          </w:p>
        </w:tc>
        <w:tc>
          <w:tcPr>
            <w:tcW w:w="1134" w:type="dxa"/>
          </w:tcPr>
          <w:p w:rsidR="00000000" w:rsidRDefault="00000000">
            <w:pPr>
              <w:spacing w:before="40" w:after="40"/>
              <w:rPr>
                <w:sz w:val="20"/>
                <w:szCs w:val="20"/>
              </w:rPr>
            </w:pPr>
            <w:r>
              <w:rPr>
                <w:sz w:val="20"/>
                <w:szCs w:val="20"/>
              </w:rPr>
              <w:t>21,2</w:t>
            </w:r>
          </w:p>
        </w:tc>
        <w:tc>
          <w:tcPr>
            <w:tcW w:w="992" w:type="dxa"/>
          </w:tcPr>
          <w:p w:rsidR="00000000" w:rsidRDefault="00000000">
            <w:pPr>
              <w:spacing w:before="40" w:after="40"/>
              <w:rPr>
                <w:sz w:val="20"/>
                <w:szCs w:val="20"/>
              </w:rPr>
            </w:pPr>
            <w:r>
              <w:rPr>
                <w:sz w:val="20"/>
                <w:szCs w:val="20"/>
              </w:rPr>
              <w:t>12,9</w:t>
            </w:r>
          </w:p>
        </w:tc>
        <w:tc>
          <w:tcPr>
            <w:tcW w:w="709" w:type="dxa"/>
          </w:tcPr>
          <w:p w:rsidR="00000000" w:rsidRDefault="00000000">
            <w:pPr>
              <w:spacing w:before="40" w:after="40"/>
              <w:rPr>
                <w:sz w:val="20"/>
                <w:szCs w:val="20"/>
              </w:rPr>
            </w:pPr>
            <w:r>
              <w:rPr>
                <w:sz w:val="20"/>
                <w:szCs w:val="20"/>
              </w:rPr>
              <w:t>34,1</w:t>
            </w:r>
          </w:p>
        </w:tc>
        <w:tc>
          <w:tcPr>
            <w:tcW w:w="1134" w:type="dxa"/>
          </w:tcPr>
          <w:p w:rsidR="00000000" w:rsidRDefault="00000000">
            <w:pPr>
              <w:spacing w:before="40" w:after="40"/>
              <w:rPr>
                <w:sz w:val="20"/>
                <w:szCs w:val="20"/>
              </w:rPr>
            </w:pPr>
            <w:r>
              <w:rPr>
                <w:sz w:val="20"/>
                <w:szCs w:val="20"/>
              </w:rPr>
              <w:t>13,6</w:t>
            </w:r>
          </w:p>
        </w:tc>
        <w:tc>
          <w:tcPr>
            <w:tcW w:w="992" w:type="dxa"/>
          </w:tcPr>
          <w:p w:rsidR="00000000" w:rsidRDefault="00000000">
            <w:pPr>
              <w:spacing w:before="40" w:after="40"/>
              <w:rPr>
                <w:sz w:val="20"/>
                <w:szCs w:val="20"/>
              </w:rPr>
            </w:pPr>
            <w:r>
              <w:rPr>
                <w:sz w:val="20"/>
                <w:szCs w:val="20"/>
              </w:rPr>
              <w:t>6,9</w:t>
            </w:r>
          </w:p>
        </w:tc>
        <w:tc>
          <w:tcPr>
            <w:tcW w:w="709" w:type="dxa"/>
          </w:tcPr>
          <w:p w:rsidR="00000000" w:rsidRDefault="00000000">
            <w:pPr>
              <w:spacing w:before="40" w:after="40"/>
              <w:rPr>
                <w:sz w:val="20"/>
                <w:szCs w:val="20"/>
              </w:rPr>
            </w:pPr>
            <w:r>
              <w:rPr>
                <w:sz w:val="20"/>
                <w:szCs w:val="20"/>
              </w:rPr>
              <w:t>20,5</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1993/94</w:t>
            </w:r>
          </w:p>
        </w:tc>
        <w:tc>
          <w:tcPr>
            <w:tcW w:w="1134" w:type="dxa"/>
          </w:tcPr>
          <w:p w:rsidR="00000000" w:rsidRDefault="00000000">
            <w:pPr>
              <w:spacing w:before="40" w:after="40"/>
              <w:rPr>
                <w:sz w:val="20"/>
                <w:szCs w:val="20"/>
              </w:rPr>
            </w:pPr>
            <w:r>
              <w:rPr>
                <w:sz w:val="20"/>
                <w:szCs w:val="20"/>
              </w:rPr>
              <w:t>55,1</w:t>
            </w:r>
          </w:p>
        </w:tc>
        <w:tc>
          <w:tcPr>
            <w:tcW w:w="964" w:type="dxa"/>
          </w:tcPr>
          <w:p w:rsidR="00000000" w:rsidRDefault="00000000">
            <w:pPr>
              <w:spacing w:before="40" w:after="40"/>
              <w:rPr>
                <w:sz w:val="20"/>
                <w:szCs w:val="20"/>
              </w:rPr>
            </w:pPr>
            <w:r>
              <w:rPr>
                <w:sz w:val="20"/>
                <w:szCs w:val="20"/>
              </w:rPr>
              <w:t>41,9</w:t>
            </w:r>
          </w:p>
        </w:tc>
        <w:tc>
          <w:tcPr>
            <w:tcW w:w="737" w:type="dxa"/>
          </w:tcPr>
          <w:p w:rsidR="00000000" w:rsidRDefault="00000000">
            <w:pPr>
              <w:spacing w:before="40" w:after="40"/>
              <w:rPr>
                <w:sz w:val="20"/>
                <w:szCs w:val="20"/>
              </w:rPr>
            </w:pPr>
            <w:r>
              <w:rPr>
                <w:sz w:val="20"/>
                <w:szCs w:val="20"/>
              </w:rPr>
              <w:t>97,0</w:t>
            </w:r>
          </w:p>
        </w:tc>
        <w:tc>
          <w:tcPr>
            <w:tcW w:w="1134" w:type="dxa"/>
          </w:tcPr>
          <w:p w:rsidR="00000000" w:rsidRDefault="00000000">
            <w:pPr>
              <w:spacing w:before="40" w:after="40"/>
              <w:rPr>
                <w:sz w:val="20"/>
                <w:szCs w:val="20"/>
              </w:rPr>
            </w:pPr>
            <w:r>
              <w:rPr>
                <w:sz w:val="20"/>
                <w:szCs w:val="20"/>
              </w:rPr>
              <w:t>20,6</w:t>
            </w:r>
          </w:p>
        </w:tc>
        <w:tc>
          <w:tcPr>
            <w:tcW w:w="992" w:type="dxa"/>
          </w:tcPr>
          <w:p w:rsidR="00000000" w:rsidRDefault="00000000">
            <w:pPr>
              <w:spacing w:before="40" w:after="40"/>
              <w:rPr>
                <w:sz w:val="20"/>
                <w:szCs w:val="20"/>
              </w:rPr>
            </w:pPr>
            <w:r>
              <w:rPr>
                <w:sz w:val="20"/>
                <w:szCs w:val="20"/>
              </w:rPr>
              <w:t>13,5</w:t>
            </w:r>
          </w:p>
        </w:tc>
        <w:tc>
          <w:tcPr>
            <w:tcW w:w="709" w:type="dxa"/>
          </w:tcPr>
          <w:p w:rsidR="00000000" w:rsidRDefault="00000000">
            <w:pPr>
              <w:spacing w:before="40" w:after="40"/>
              <w:rPr>
                <w:sz w:val="20"/>
                <w:szCs w:val="20"/>
              </w:rPr>
            </w:pPr>
            <w:r>
              <w:rPr>
                <w:sz w:val="20"/>
                <w:szCs w:val="20"/>
              </w:rPr>
              <w:t>34,1</w:t>
            </w:r>
          </w:p>
        </w:tc>
        <w:tc>
          <w:tcPr>
            <w:tcW w:w="1134" w:type="dxa"/>
          </w:tcPr>
          <w:p w:rsidR="00000000" w:rsidRDefault="00000000">
            <w:pPr>
              <w:spacing w:before="40" w:after="40"/>
              <w:rPr>
                <w:sz w:val="20"/>
                <w:szCs w:val="20"/>
              </w:rPr>
            </w:pPr>
            <w:r>
              <w:rPr>
                <w:sz w:val="20"/>
                <w:szCs w:val="20"/>
              </w:rPr>
              <w:t>13,2</w:t>
            </w:r>
          </w:p>
        </w:tc>
        <w:tc>
          <w:tcPr>
            <w:tcW w:w="992" w:type="dxa"/>
          </w:tcPr>
          <w:p w:rsidR="00000000" w:rsidRDefault="00000000">
            <w:pPr>
              <w:spacing w:before="40" w:after="40"/>
              <w:rPr>
                <w:sz w:val="20"/>
                <w:szCs w:val="20"/>
              </w:rPr>
            </w:pPr>
            <w:r>
              <w:rPr>
                <w:sz w:val="20"/>
                <w:szCs w:val="20"/>
              </w:rPr>
              <w:t>7,5</w:t>
            </w:r>
          </w:p>
        </w:tc>
        <w:tc>
          <w:tcPr>
            <w:tcW w:w="709" w:type="dxa"/>
          </w:tcPr>
          <w:p w:rsidR="00000000" w:rsidRDefault="00000000">
            <w:pPr>
              <w:spacing w:before="40" w:after="40"/>
              <w:rPr>
                <w:sz w:val="20"/>
                <w:szCs w:val="20"/>
              </w:rPr>
            </w:pPr>
            <w:r>
              <w:rPr>
                <w:sz w:val="20"/>
                <w:szCs w:val="20"/>
              </w:rPr>
              <w:t>20,7</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1994/95</w:t>
            </w:r>
          </w:p>
        </w:tc>
        <w:tc>
          <w:tcPr>
            <w:tcW w:w="1134" w:type="dxa"/>
          </w:tcPr>
          <w:p w:rsidR="00000000" w:rsidRDefault="00000000">
            <w:pPr>
              <w:spacing w:before="40" w:after="40"/>
              <w:rPr>
                <w:sz w:val="20"/>
                <w:szCs w:val="20"/>
              </w:rPr>
            </w:pPr>
            <w:r>
              <w:rPr>
                <w:sz w:val="20"/>
                <w:szCs w:val="20"/>
              </w:rPr>
              <w:t>60,1</w:t>
            </w:r>
          </w:p>
        </w:tc>
        <w:tc>
          <w:tcPr>
            <w:tcW w:w="964" w:type="dxa"/>
          </w:tcPr>
          <w:p w:rsidR="00000000" w:rsidRDefault="00000000">
            <w:pPr>
              <w:spacing w:before="40" w:after="40"/>
              <w:rPr>
                <w:sz w:val="20"/>
                <w:szCs w:val="20"/>
              </w:rPr>
            </w:pPr>
            <w:r>
              <w:rPr>
                <w:sz w:val="20"/>
                <w:szCs w:val="20"/>
              </w:rPr>
              <w:t>45,1</w:t>
            </w:r>
          </w:p>
        </w:tc>
        <w:tc>
          <w:tcPr>
            <w:tcW w:w="737" w:type="dxa"/>
          </w:tcPr>
          <w:p w:rsidR="00000000" w:rsidRDefault="00000000">
            <w:pPr>
              <w:spacing w:before="40" w:after="40"/>
              <w:rPr>
                <w:sz w:val="20"/>
                <w:szCs w:val="20"/>
              </w:rPr>
            </w:pPr>
            <w:r>
              <w:rPr>
                <w:sz w:val="20"/>
                <w:szCs w:val="20"/>
              </w:rPr>
              <w:t>105,1</w:t>
            </w:r>
          </w:p>
        </w:tc>
        <w:tc>
          <w:tcPr>
            <w:tcW w:w="1134" w:type="dxa"/>
          </w:tcPr>
          <w:p w:rsidR="00000000" w:rsidRDefault="00000000">
            <w:pPr>
              <w:spacing w:before="40" w:after="40"/>
              <w:rPr>
                <w:sz w:val="20"/>
                <w:szCs w:val="20"/>
              </w:rPr>
            </w:pPr>
            <w:r>
              <w:rPr>
                <w:sz w:val="20"/>
                <w:szCs w:val="20"/>
              </w:rPr>
              <w:t>22,1</w:t>
            </w:r>
          </w:p>
        </w:tc>
        <w:tc>
          <w:tcPr>
            <w:tcW w:w="992" w:type="dxa"/>
          </w:tcPr>
          <w:p w:rsidR="00000000" w:rsidRDefault="00000000">
            <w:pPr>
              <w:spacing w:before="40" w:after="40"/>
              <w:rPr>
                <w:sz w:val="20"/>
                <w:szCs w:val="20"/>
              </w:rPr>
            </w:pPr>
            <w:r>
              <w:rPr>
                <w:sz w:val="20"/>
                <w:szCs w:val="20"/>
              </w:rPr>
              <w:t>14,3</w:t>
            </w:r>
          </w:p>
        </w:tc>
        <w:tc>
          <w:tcPr>
            <w:tcW w:w="709" w:type="dxa"/>
          </w:tcPr>
          <w:p w:rsidR="00000000" w:rsidRDefault="00000000">
            <w:pPr>
              <w:spacing w:before="40" w:after="40"/>
              <w:rPr>
                <w:sz w:val="20"/>
                <w:szCs w:val="20"/>
              </w:rPr>
            </w:pPr>
            <w:r>
              <w:rPr>
                <w:sz w:val="20"/>
                <w:szCs w:val="20"/>
              </w:rPr>
              <w:t>36,4</w:t>
            </w:r>
          </w:p>
        </w:tc>
        <w:tc>
          <w:tcPr>
            <w:tcW w:w="1134" w:type="dxa"/>
          </w:tcPr>
          <w:p w:rsidR="00000000" w:rsidRDefault="00000000">
            <w:pPr>
              <w:spacing w:before="40" w:after="40"/>
              <w:rPr>
                <w:sz w:val="20"/>
                <w:szCs w:val="20"/>
              </w:rPr>
            </w:pPr>
            <w:r>
              <w:rPr>
                <w:sz w:val="20"/>
                <w:szCs w:val="20"/>
              </w:rPr>
              <w:t>14,2</w:t>
            </w:r>
          </w:p>
        </w:tc>
        <w:tc>
          <w:tcPr>
            <w:tcW w:w="992" w:type="dxa"/>
          </w:tcPr>
          <w:p w:rsidR="00000000" w:rsidRDefault="00000000">
            <w:pPr>
              <w:spacing w:before="40" w:after="40"/>
              <w:rPr>
                <w:sz w:val="20"/>
                <w:szCs w:val="20"/>
              </w:rPr>
            </w:pPr>
            <w:r>
              <w:rPr>
                <w:sz w:val="20"/>
                <w:szCs w:val="20"/>
              </w:rPr>
              <w:t>7,9</w:t>
            </w:r>
          </w:p>
        </w:tc>
        <w:tc>
          <w:tcPr>
            <w:tcW w:w="709" w:type="dxa"/>
          </w:tcPr>
          <w:p w:rsidR="00000000" w:rsidRDefault="00000000">
            <w:pPr>
              <w:spacing w:before="40" w:after="40"/>
              <w:rPr>
                <w:sz w:val="20"/>
                <w:szCs w:val="20"/>
              </w:rPr>
            </w:pPr>
            <w:r>
              <w:rPr>
                <w:sz w:val="20"/>
                <w:szCs w:val="20"/>
              </w:rPr>
              <w:t>22,1</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1995/96</w:t>
            </w:r>
          </w:p>
        </w:tc>
        <w:tc>
          <w:tcPr>
            <w:tcW w:w="1134" w:type="dxa"/>
          </w:tcPr>
          <w:p w:rsidR="00000000" w:rsidRDefault="00000000">
            <w:pPr>
              <w:spacing w:before="40" w:after="40"/>
              <w:rPr>
                <w:sz w:val="20"/>
                <w:szCs w:val="20"/>
              </w:rPr>
            </w:pPr>
            <w:r>
              <w:rPr>
                <w:sz w:val="20"/>
                <w:szCs w:val="20"/>
              </w:rPr>
              <w:t>60,9</w:t>
            </w:r>
          </w:p>
        </w:tc>
        <w:tc>
          <w:tcPr>
            <w:tcW w:w="964" w:type="dxa"/>
          </w:tcPr>
          <w:p w:rsidR="00000000" w:rsidRDefault="00000000">
            <w:pPr>
              <w:spacing w:before="40" w:after="40"/>
              <w:rPr>
                <w:sz w:val="20"/>
                <w:szCs w:val="20"/>
              </w:rPr>
            </w:pPr>
            <w:r>
              <w:rPr>
                <w:sz w:val="20"/>
                <w:szCs w:val="20"/>
              </w:rPr>
              <w:t>46,2</w:t>
            </w:r>
          </w:p>
        </w:tc>
        <w:tc>
          <w:tcPr>
            <w:tcW w:w="737" w:type="dxa"/>
          </w:tcPr>
          <w:p w:rsidR="00000000" w:rsidRDefault="00000000">
            <w:pPr>
              <w:spacing w:before="40" w:after="40"/>
              <w:rPr>
                <w:sz w:val="20"/>
                <w:szCs w:val="20"/>
              </w:rPr>
            </w:pPr>
            <w:r>
              <w:rPr>
                <w:sz w:val="20"/>
                <w:szCs w:val="20"/>
              </w:rPr>
              <w:t>107,1</w:t>
            </w:r>
          </w:p>
        </w:tc>
        <w:tc>
          <w:tcPr>
            <w:tcW w:w="1134" w:type="dxa"/>
          </w:tcPr>
          <w:p w:rsidR="00000000" w:rsidRDefault="00000000">
            <w:pPr>
              <w:spacing w:before="40" w:after="40"/>
              <w:rPr>
                <w:sz w:val="20"/>
                <w:szCs w:val="20"/>
              </w:rPr>
            </w:pPr>
            <w:r>
              <w:rPr>
                <w:sz w:val="20"/>
                <w:szCs w:val="20"/>
              </w:rPr>
              <w:t>22,7</w:t>
            </w:r>
          </w:p>
        </w:tc>
        <w:tc>
          <w:tcPr>
            <w:tcW w:w="992" w:type="dxa"/>
          </w:tcPr>
          <w:p w:rsidR="00000000" w:rsidRDefault="00000000">
            <w:pPr>
              <w:spacing w:before="40" w:after="40"/>
              <w:rPr>
                <w:sz w:val="20"/>
                <w:szCs w:val="20"/>
              </w:rPr>
            </w:pPr>
            <w:r>
              <w:rPr>
                <w:sz w:val="20"/>
                <w:szCs w:val="20"/>
              </w:rPr>
              <w:t>14,8</w:t>
            </w:r>
          </w:p>
        </w:tc>
        <w:tc>
          <w:tcPr>
            <w:tcW w:w="709" w:type="dxa"/>
          </w:tcPr>
          <w:p w:rsidR="00000000" w:rsidRDefault="00000000">
            <w:pPr>
              <w:spacing w:before="40" w:after="40"/>
              <w:rPr>
                <w:sz w:val="20"/>
                <w:szCs w:val="20"/>
              </w:rPr>
            </w:pPr>
            <w:r>
              <w:rPr>
                <w:sz w:val="20"/>
                <w:szCs w:val="20"/>
              </w:rPr>
              <w:t>37,5</w:t>
            </w:r>
          </w:p>
        </w:tc>
        <w:tc>
          <w:tcPr>
            <w:tcW w:w="1134" w:type="dxa"/>
          </w:tcPr>
          <w:p w:rsidR="00000000" w:rsidRDefault="00000000">
            <w:pPr>
              <w:spacing w:before="40" w:after="40"/>
              <w:rPr>
                <w:sz w:val="20"/>
                <w:szCs w:val="20"/>
              </w:rPr>
            </w:pPr>
            <w:r>
              <w:rPr>
                <w:sz w:val="20"/>
                <w:szCs w:val="20"/>
              </w:rPr>
              <w:t>14,6</w:t>
            </w:r>
          </w:p>
        </w:tc>
        <w:tc>
          <w:tcPr>
            <w:tcW w:w="992" w:type="dxa"/>
          </w:tcPr>
          <w:p w:rsidR="00000000" w:rsidRDefault="00000000">
            <w:pPr>
              <w:spacing w:before="40" w:after="40"/>
              <w:rPr>
                <w:sz w:val="20"/>
                <w:szCs w:val="20"/>
              </w:rPr>
            </w:pPr>
            <w:r>
              <w:rPr>
                <w:sz w:val="20"/>
                <w:szCs w:val="20"/>
              </w:rPr>
              <w:t>8,3</w:t>
            </w:r>
          </w:p>
        </w:tc>
        <w:tc>
          <w:tcPr>
            <w:tcW w:w="709" w:type="dxa"/>
          </w:tcPr>
          <w:p w:rsidR="00000000" w:rsidRDefault="00000000">
            <w:pPr>
              <w:spacing w:before="40" w:after="40"/>
              <w:rPr>
                <w:sz w:val="20"/>
                <w:szCs w:val="20"/>
              </w:rPr>
            </w:pPr>
            <w:r>
              <w:rPr>
                <w:sz w:val="20"/>
                <w:szCs w:val="20"/>
              </w:rPr>
              <w:t>22,9</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1996/97*</w:t>
            </w:r>
          </w:p>
        </w:tc>
        <w:tc>
          <w:tcPr>
            <w:tcW w:w="1134" w:type="dxa"/>
          </w:tcPr>
          <w:p w:rsidR="00000000" w:rsidRDefault="00000000">
            <w:pPr>
              <w:spacing w:before="40" w:after="40"/>
              <w:rPr>
                <w:sz w:val="20"/>
                <w:szCs w:val="20"/>
              </w:rPr>
            </w:pPr>
            <w:r>
              <w:rPr>
                <w:sz w:val="20"/>
                <w:szCs w:val="20"/>
              </w:rPr>
              <w:t>62,5</w:t>
            </w:r>
          </w:p>
        </w:tc>
        <w:tc>
          <w:tcPr>
            <w:tcW w:w="964" w:type="dxa"/>
          </w:tcPr>
          <w:p w:rsidR="00000000" w:rsidRDefault="00000000">
            <w:pPr>
              <w:spacing w:before="40" w:after="40"/>
              <w:rPr>
                <w:sz w:val="20"/>
                <w:szCs w:val="20"/>
              </w:rPr>
            </w:pPr>
            <w:r>
              <w:rPr>
                <w:sz w:val="20"/>
                <w:szCs w:val="20"/>
              </w:rPr>
              <w:t>47,9</w:t>
            </w:r>
          </w:p>
        </w:tc>
        <w:tc>
          <w:tcPr>
            <w:tcW w:w="737" w:type="dxa"/>
          </w:tcPr>
          <w:p w:rsidR="00000000" w:rsidRDefault="00000000">
            <w:pPr>
              <w:spacing w:before="40" w:after="40"/>
              <w:rPr>
                <w:sz w:val="20"/>
                <w:szCs w:val="20"/>
              </w:rPr>
            </w:pPr>
            <w:r>
              <w:rPr>
                <w:sz w:val="20"/>
                <w:szCs w:val="20"/>
              </w:rPr>
              <w:t>110,4</w:t>
            </w:r>
          </w:p>
        </w:tc>
        <w:tc>
          <w:tcPr>
            <w:tcW w:w="1134" w:type="dxa"/>
          </w:tcPr>
          <w:p w:rsidR="00000000" w:rsidRDefault="00000000">
            <w:pPr>
              <w:spacing w:before="40" w:after="40"/>
              <w:rPr>
                <w:sz w:val="20"/>
                <w:szCs w:val="20"/>
              </w:rPr>
            </w:pPr>
            <w:r>
              <w:rPr>
                <w:sz w:val="20"/>
                <w:szCs w:val="20"/>
              </w:rPr>
              <w:t>24,7</w:t>
            </w:r>
          </w:p>
        </w:tc>
        <w:tc>
          <w:tcPr>
            <w:tcW w:w="992" w:type="dxa"/>
          </w:tcPr>
          <w:p w:rsidR="00000000" w:rsidRDefault="00000000">
            <w:pPr>
              <w:spacing w:before="40" w:after="40"/>
              <w:rPr>
                <w:sz w:val="20"/>
                <w:szCs w:val="20"/>
              </w:rPr>
            </w:pPr>
            <w:r>
              <w:rPr>
                <w:sz w:val="20"/>
                <w:szCs w:val="20"/>
              </w:rPr>
              <w:t>16,3</w:t>
            </w:r>
          </w:p>
        </w:tc>
        <w:tc>
          <w:tcPr>
            <w:tcW w:w="709" w:type="dxa"/>
          </w:tcPr>
          <w:p w:rsidR="00000000" w:rsidRDefault="00000000">
            <w:pPr>
              <w:spacing w:before="40" w:after="40"/>
              <w:rPr>
                <w:sz w:val="20"/>
                <w:szCs w:val="20"/>
              </w:rPr>
            </w:pPr>
            <w:r>
              <w:rPr>
                <w:sz w:val="20"/>
                <w:szCs w:val="20"/>
              </w:rPr>
              <w:t>41,0</w:t>
            </w:r>
          </w:p>
        </w:tc>
        <w:tc>
          <w:tcPr>
            <w:tcW w:w="1134" w:type="dxa"/>
          </w:tcPr>
          <w:p w:rsidR="00000000" w:rsidRDefault="00000000">
            <w:pPr>
              <w:spacing w:before="40" w:after="40"/>
              <w:rPr>
                <w:sz w:val="20"/>
                <w:szCs w:val="20"/>
              </w:rPr>
            </w:pPr>
            <w:r>
              <w:rPr>
                <w:sz w:val="20"/>
                <w:szCs w:val="20"/>
              </w:rPr>
              <w:t>17,2</w:t>
            </w:r>
          </w:p>
        </w:tc>
        <w:tc>
          <w:tcPr>
            <w:tcW w:w="992" w:type="dxa"/>
          </w:tcPr>
          <w:p w:rsidR="00000000" w:rsidRDefault="00000000">
            <w:pPr>
              <w:spacing w:before="40" w:after="40"/>
              <w:rPr>
                <w:sz w:val="20"/>
                <w:szCs w:val="20"/>
              </w:rPr>
            </w:pPr>
            <w:r>
              <w:rPr>
                <w:sz w:val="20"/>
                <w:szCs w:val="20"/>
              </w:rPr>
              <w:t>9,8</w:t>
            </w:r>
          </w:p>
        </w:tc>
        <w:tc>
          <w:tcPr>
            <w:tcW w:w="709" w:type="dxa"/>
          </w:tcPr>
          <w:p w:rsidR="00000000" w:rsidRDefault="00000000">
            <w:pPr>
              <w:spacing w:before="40" w:after="40"/>
              <w:rPr>
                <w:sz w:val="20"/>
                <w:szCs w:val="20"/>
              </w:rPr>
            </w:pPr>
            <w:r>
              <w:rPr>
                <w:sz w:val="20"/>
                <w:szCs w:val="20"/>
              </w:rPr>
              <w:t>27,0</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1997/98*</w:t>
            </w:r>
          </w:p>
        </w:tc>
        <w:tc>
          <w:tcPr>
            <w:tcW w:w="1134" w:type="dxa"/>
          </w:tcPr>
          <w:p w:rsidR="00000000" w:rsidRDefault="00000000">
            <w:pPr>
              <w:spacing w:before="40" w:after="40"/>
              <w:rPr>
                <w:sz w:val="20"/>
                <w:szCs w:val="20"/>
              </w:rPr>
            </w:pPr>
            <w:r>
              <w:rPr>
                <w:sz w:val="20"/>
                <w:szCs w:val="20"/>
              </w:rPr>
              <w:t>61,2</w:t>
            </w:r>
          </w:p>
        </w:tc>
        <w:tc>
          <w:tcPr>
            <w:tcW w:w="964" w:type="dxa"/>
          </w:tcPr>
          <w:p w:rsidR="00000000" w:rsidRDefault="00000000">
            <w:pPr>
              <w:spacing w:before="40" w:after="40"/>
              <w:rPr>
                <w:sz w:val="20"/>
                <w:szCs w:val="20"/>
              </w:rPr>
            </w:pPr>
            <w:r>
              <w:rPr>
                <w:sz w:val="20"/>
                <w:szCs w:val="20"/>
              </w:rPr>
              <w:t>47,5</w:t>
            </w:r>
          </w:p>
        </w:tc>
        <w:tc>
          <w:tcPr>
            <w:tcW w:w="737" w:type="dxa"/>
          </w:tcPr>
          <w:p w:rsidR="00000000" w:rsidRDefault="00000000">
            <w:pPr>
              <w:spacing w:before="40" w:after="40"/>
              <w:rPr>
                <w:sz w:val="20"/>
                <w:szCs w:val="20"/>
              </w:rPr>
            </w:pPr>
            <w:r>
              <w:rPr>
                <w:sz w:val="20"/>
                <w:szCs w:val="20"/>
              </w:rPr>
              <w:t>108,7</w:t>
            </w:r>
          </w:p>
        </w:tc>
        <w:tc>
          <w:tcPr>
            <w:tcW w:w="1134" w:type="dxa"/>
          </w:tcPr>
          <w:p w:rsidR="00000000" w:rsidRDefault="00000000">
            <w:pPr>
              <w:spacing w:before="40" w:after="40"/>
              <w:rPr>
                <w:sz w:val="20"/>
                <w:szCs w:val="20"/>
              </w:rPr>
            </w:pPr>
            <w:r>
              <w:rPr>
                <w:sz w:val="20"/>
                <w:szCs w:val="20"/>
              </w:rPr>
              <w:t>23,7</w:t>
            </w:r>
          </w:p>
        </w:tc>
        <w:tc>
          <w:tcPr>
            <w:tcW w:w="992" w:type="dxa"/>
          </w:tcPr>
          <w:p w:rsidR="00000000" w:rsidRDefault="00000000">
            <w:pPr>
              <w:spacing w:before="40" w:after="40"/>
              <w:rPr>
                <w:sz w:val="20"/>
                <w:szCs w:val="20"/>
              </w:rPr>
            </w:pPr>
            <w:r>
              <w:rPr>
                <w:sz w:val="20"/>
                <w:szCs w:val="20"/>
              </w:rPr>
              <w:t>15,8</w:t>
            </w:r>
          </w:p>
        </w:tc>
        <w:tc>
          <w:tcPr>
            <w:tcW w:w="709" w:type="dxa"/>
          </w:tcPr>
          <w:p w:rsidR="00000000" w:rsidRDefault="00000000">
            <w:pPr>
              <w:spacing w:before="40" w:after="40"/>
              <w:rPr>
                <w:sz w:val="20"/>
                <w:szCs w:val="20"/>
              </w:rPr>
            </w:pPr>
            <w:r>
              <w:rPr>
                <w:sz w:val="20"/>
                <w:szCs w:val="20"/>
              </w:rPr>
              <w:t>39,5</w:t>
            </w:r>
          </w:p>
        </w:tc>
        <w:tc>
          <w:tcPr>
            <w:tcW w:w="1134" w:type="dxa"/>
          </w:tcPr>
          <w:p w:rsidR="00000000" w:rsidRDefault="00000000">
            <w:pPr>
              <w:spacing w:before="40" w:after="40"/>
              <w:rPr>
                <w:sz w:val="20"/>
                <w:szCs w:val="20"/>
              </w:rPr>
            </w:pPr>
            <w:r>
              <w:rPr>
                <w:sz w:val="20"/>
                <w:szCs w:val="20"/>
              </w:rPr>
              <w:t>17,1</w:t>
            </w:r>
          </w:p>
        </w:tc>
        <w:tc>
          <w:tcPr>
            <w:tcW w:w="992" w:type="dxa"/>
          </w:tcPr>
          <w:p w:rsidR="00000000" w:rsidRDefault="00000000">
            <w:pPr>
              <w:spacing w:before="40" w:after="40"/>
              <w:rPr>
                <w:sz w:val="20"/>
                <w:szCs w:val="20"/>
              </w:rPr>
            </w:pPr>
            <w:r>
              <w:rPr>
                <w:sz w:val="20"/>
                <w:szCs w:val="20"/>
              </w:rPr>
              <w:t>10,2</w:t>
            </w:r>
          </w:p>
        </w:tc>
        <w:tc>
          <w:tcPr>
            <w:tcW w:w="709" w:type="dxa"/>
          </w:tcPr>
          <w:p w:rsidR="00000000" w:rsidRDefault="00000000">
            <w:pPr>
              <w:spacing w:before="40" w:after="40"/>
              <w:rPr>
                <w:sz w:val="20"/>
                <w:szCs w:val="20"/>
              </w:rPr>
            </w:pPr>
            <w:r>
              <w:rPr>
                <w:sz w:val="20"/>
                <w:szCs w:val="20"/>
              </w:rPr>
              <w:t>27,2</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1998/99*</w:t>
            </w:r>
          </w:p>
        </w:tc>
        <w:tc>
          <w:tcPr>
            <w:tcW w:w="1134" w:type="dxa"/>
          </w:tcPr>
          <w:p w:rsidR="00000000" w:rsidRDefault="00000000">
            <w:pPr>
              <w:spacing w:before="40" w:after="40"/>
              <w:rPr>
                <w:sz w:val="20"/>
                <w:szCs w:val="20"/>
              </w:rPr>
            </w:pPr>
            <w:r>
              <w:rPr>
                <w:sz w:val="20"/>
                <w:szCs w:val="20"/>
              </w:rPr>
              <w:t>62,7</w:t>
            </w:r>
          </w:p>
        </w:tc>
        <w:tc>
          <w:tcPr>
            <w:tcW w:w="964" w:type="dxa"/>
          </w:tcPr>
          <w:p w:rsidR="00000000" w:rsidRDefault="00000000">
            <w:pPr>
              <w:spacing w:before="40" w:after="40"/>
              <w:rPr>
                <w:sz w:val="20"/>
                <w:szCs w:val="20"/>
              </w:rPr>
            </w:pPr>
            <w:r>
              <w:rPr>
                <w:sz w:val="20"/>
                <w:szCs w:val="20"/>
              </w:rPr>
              <w:t>48,2</w:t>
            </w:r>
          </w:p>
        </w:tc>
        <w:tc>
          <w:tcPr>
            <w:tcW w:w="737" w:type="dxa"/>
          </w:tcPr>
          <w:p w:rsidR="00000000" w:rsidRDefault="00000000">
            <w:pPr>
              <w:spacing w:before="40" w:after="40"/>
              <w:rPr>
                <w:sz w:val="20"/>
                <w:szCs w:val="20"/>
              </w:rPr>
            </w:pPr>
            <w:r>
              <w:rPr>
                <w:sz w:val="20"/>
                <w:szCs w:val="20"/>
              </w:rPr>
              <w:t>110,9</w:t>
            </w:r>
          </w:p>
        </w:tc>
        <w:tc>
          <w:tcPr>
            <w:tcW w:w="1134" w:type="dxa"/>
          </w:tcPr>
          <w:p w:rsidR="00000000" w:rsidRDefault="00000000">
            <w:pPr>
              <w:spacing w:before="40" w:after="40"/>
              <w:rPr>
                <w:sz w:val="20"/>
                <w:szCs w:val="20"/>
              </w:rPr>
            </w:pPr>
            <w:r>
              <w:rPr>
                <w:sz w:val="20"/>
                <w:szCs w:val="20"/>
              </w:rPr>
              <w:t>24,0</w:t>
            </w:r>
          </w:p>
        </w:tc>
        <w:tc>
          <w:tcPr>
            <w:tcW w:w="992" w:type="dxa"/>
          </w:tcPr>
          <w:p w:rsidR="00000000" w:rsidRDefault="00000000">
            <w:pPr>
              <w:spacing w:before="40" w:after="40"/>
              <w:rPr>
                <w:sz w:val="20"/>
                <w:szCs w:val="20"/>
              </w:rPr>
            </w:pPr>
            <w:r>
              <w:rPr>
                <w:sz w:val="20"/>
                <w:szCs w:val="20"/>
              </w:rPr>
              <w:t>16,3</w:t>
            </w:r>
          </w:p>
        </w:tc>
        <w:tc>
          <w:tcPr>
            <w:tcW w:w="709" w:type="dxa"/>
          </w:tcPr>
          <w:p w:rsidR="00000000" w:rsidRDefault="00000000">
            <w:pPr>
              <w:spacing w:before="40" w:after="40"/>
              <w:rPr>
                <w:sz w:val="20"/>
                <w:szCs w:val="20"/>
              </w:rPr>
            </w:pPr>
            <w:r>
              <w:rPr>
                <w:sz w:val="20"/>
                <w:szCs w:val="20"/>
              </w:rPr>
              <w:t>40,3</w:t>
            </w:r>
          </w:p>
        </w:tc>
        <w:tc>
          <w:tcPr>
            <w:tcW w:w="1134" w:type="dxa"/>
          </w:tcPr>
          <w:p w:rsidR="00000000" w:rsidRDefault="00000000">
            <w:pPr>
              <w:spacing w:before="40" w:after="40"/>
              <w:rPr>
                <w:sz w:val="20"/>
                <w:szCs w:val="20"/>
              </w:rPr>
            </w:pPr>
            <w:r>
              <w:rPr>
                <w:sz w:val="20"/>
                <w:szCs w:val="20"/>
              </w:rPr>
              <w:t>17,3</w:t>
            </w:r>
          </w:p>
        </w:tc>
        <w:tc>
          <w:tcPr>
            <w:tcW w:w="992" w:type="dxa"/>
          </w:tcPr>
          <w:p w:rsidR="00000000" w:rsidRDefault="00000000">
            <w:pPr>
              <w:spacing w:before="40" w:after="40"/>
              <w:rPr>
                <w:sz w:val="20"/>
                <w:szCs w:val="20"/>
              </w:rPr>
            </w:pPr>
            <w:r>
              <w:rPr>
                <w:sz w:val="20"/>
                <w:szCs w:val="20"/>
              </w:rPr>
              <w:t>10,5</w:t>
            </w:r>
          </w:p>
        </w:tc>
        <w:tc>
          <w:tcPr>
            <w:tcW w:w="709" w:type="dxa"/>
          </w:tcPr>
          <w:p w:rsidR="00000000" w:rsidRDefault="00000000">
            <w:pPr>
              <w:spacing w:before="40" w:after="40"/>
              <w:rPr>
                <w:sz w:val="20"/>
                <w:szCs w:val="20"/>
              </w:rPr>
            </w:pPr>
            <w:r>
              <w:rPr>
                <w:sz w:val="20"/>
                <w:szCs w:val="20"/>
              </w:rPr>
              <w:t>27,8</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1999/2000*</w:t>
            </w:r>
          </w:p>
        </w:tc>
        <w:tc>
          <w:tcPr>
            <w:tcW w:w="1134" w:type="dxa"/>
          </w:tcPr>
          <w:p w:rsidR="00000000" w:rsidRDefault="00000000">
            <w:pPr>
              <w:spacing w:before="40" w:after="40"/>
              <w:rPr>
                <w:sz w:val="20"/>
                <w:szCs w:val="20"/>
              </w:rPr>
            </w:pPr>
            <w:r>
              <w:rPr>
                <w:sz w:val="20"/>
                <w:szCs w:val="20"/>
              </w:rPr>
              <w:t>64,1</w:t>
            </w:r>
          </w:p>
        </w:tc>
        <w:tc>
          <w:tcPr>
            <w:tcW w:w="964" w:type="dxa"/>
          </w:tcPr>
          <w:p w:rsidR="00000000" w:rsidRDefault="00000000">
            <w:pPr>
              <w:spacing w:before="40" w:after="40"/>
              <w:rPr>
                <w:sz w:val="20"/>
                <w:szCs w:val="20"/>
              </w:rPr>
            </w:pPr>
            <w:r>
              <w:rPr>
                <w:sz w:val="20"/>
                <w:szCs w:val="20"/>
              </w:rPr>
              <w:t>49,5</w:t>
            </w:r>
          </w:p>
        </w:tc>
        <w:tc>
          <w:tcPr>
            <w:tcW w:w="737" w:type="dxa"/>
          </w:tcPr>
          <w:p w:rsidR="00000000" w:rsidRDefault="00000000">
            <w:pPr>
              <w:spacing w:before="40" w:after="40"/>
              <w:rPr>
                <w:sz w:val="20"/>
                <w:szCs w:val="20"/>
              </w:rPr>
            </w:pPr>
            <w:r>
              <w:rPr>
                <w:sz w:val="20"/>
                <w:szCs w:val="20"/>
              </w:rPr>
              <w:t>113,6</w:t>
            </w:r>
          </w:p>
        </w:tc>
        <w:tc>
          <w:tcPr>
            <w:tcW w:w="1134" w:type="dxa"/>
          </w:tcPr>
          <w:p w:rsidR="00000000" w:rsidRDefault="00000000">
            <w:pPr>
              <w:spacing w:before="40" w:after="40"/>
              <w:rPr>
                <w:sz w:val="20"/>
                <w:szCs w:val="20"/>
              </w:rPr>
            </w:pPr>
            <w:r>
              <w:rPr>
                <w:sz w:val="20"/>
                <w:szCs w:val="20"/>
              </w:rPr>
              <w:t>25,1</w:t>
            </w:r>
          </w:p>
        </w:tc>
        <w:tc>
          <w:tcPr>
            <w:tcW w:w="992" w:type="dxa"/>
          </w:tcPr>
          <w:p w:rsidR="00000000" w:rsidRDefault="00000000">
            <w:pPr>
              <w:spacing w:before="40" w:after="40"/>
              <w:rPr>
                <w:sz w:val="20"/>
                <w:szCs w:val="20"/>
              </w:rPr>
            </w:pPr>
            <w:r>
              <w:rPr>
                <w:sz w:val="20"/>
                <w:szCs w:val="20"/>
              </w:rPr>
              <w:t>17,0</w:t>
            </w:r>
          </w:p>
        </w:tc>
        <w:tc>
          <w:tcPr>
            <w:tcW w:w="709" w:type="dxa"/>
          </w:tcPr>
          <w:p w:rsidR="00000000" w:rsidRDefault="00000000">
            <w:pPr>
              <w:spacing w:before="40" w:after="40"/>
              <w:rPr>
                <w:sz w:val="20"/>
                <w:szCs w:val="20"/>
              </w:rPr>
            </w:pPr>
            <w:r>
              <w:rPr>
                <w:sz w:val="20"/>
                <w:szCs w:val="20"/>
              </w:rPr>
              <w:t>42,1</w:t>
            </w:r>
          </w:p>
        </w:tc>
        <w:tc>
          <w:tcPr>
            <w:tcW w:w="1134" w:type="dxa"/>
          </w:tcPr>
          <w:p w:rsidR="00000000" w:rsidRDefault="00000000">
            <w:pPr>
              <w:spacing w:before="40" w:after="40"/>
              <w:rPr>
                <w:sz w:val="20"/>
                <w:szCs w:val="20"/>
              </w:rPr>
            </w:pPr>
            <w:r>
              <w:rPr>
                <w:sz w:val="20"/>
                <w:szCs w:val="20"/>
              </w:rPr>
              <w:t>17,2</w:t>
            </w:r>
          </w:p>
        </w:tc>
        <w:tc>
          <w:tcPr>
            <w:tcW w:w="992" w:type="dxa"/>
          </w:tcPr>
          <w:p w:rsidR="00000000" w:rsidRDefault="00000000">
            <w:pPr>
              <w:spacing w:before="40" w:after="40"/>
              <w:rPr>
                <w:sz w:val="20"/>
                <w:szCs w:val="20"/>
              </w:rPr>
            </w:pPr>
            <w:r>
              <w:rPr>
                <w:sz w:val="20"/>
                <w:szCs w:val="20"/>
              </w:rPr>
              <w:t>11,0</w:t>
            </w:r>
          </w:p>
        </w:tc>
        <w:tc>
          <w:tcPr>
            <w:tcW w:w="709" w:type="dxa"/>
          </w:tcPr>
          <w:p w:rsidR="00000000" w:rsidRDefault="00000000">
            <w:pPr>
              <w:spacing w:before="40" w:after="40"/>
              <w:rPr>
                <w:sz w:val="20"/>
                <w:szCs w:val="20"/>
              </w:rPr>
            </w:pPr>
            <w:r>
              <w:rPr>
                <w:sz w:val="20"/>
                <w:szCs w:val="20"/>
              </w:rPr>
              <w:t>28,2</w:t>
            </w:r>
          </w:p>
        </w:tc>
      </w:tr>
      <w:tr w:rsidR="00000000">
        <w:tblPrEx>
          <w:tblCellMar>
            <w:top w:w="0" w:type="dxa"/>
            <w:bottom w:w="0" w:type="dxa"/>
          </w:tblCellMar>
        </w:tblPrEx>
        <w:trPr>
          <w:jc w:val="center"/>
        </w:trPr>
        <w:tc>
          <w:tcPr>
            <w:tcW w:w="1276" w:type="dxa"/>
          </w:tcPr>
          <w:p w:rsidR="00000000" w:rsidRDefault="00000000">
            <w:pPr>
              <w:spacing w:before="40" w:after="40"/>
              <w:rPr>
                <w:sz w:val="20"/>
                <w:szCs w:val="20"/>
              </w:rPr>
            </w:pPr>
            <w:r>
              <w:rPr>
                <w:sz w:val="20"/>
                <w:szCs w:val="20"/>
              </w:rPr>
              <w:t>2000/01*</w:t>
            </w:r>
          </w:p>
        </w:tc>
        <w:tc>
          <w:tcPr>
            <w:tcW w:w="1134" w:type="dxa"/>
          </w:tcPr>
          <w:p w:rsidR="00000000" w:rsidRDefault="00000000">
            <w:pPr>
              <w:spacing w:before="40" w:after="40"/>
              <w:rPr>
                <w:sz w:val="20"/>
                <w:szCs w:val="20"/>
              </w:rPr>
            </w:pPr>
            <w:r>
              <w:rPr>
                <w:sz w:val="20"/>
                <w:szCs w:val="20"/>
              </w:rPr>
              <w:t>64,0</w:t>
            </w:r>
          </w:p>
        </w:tc>
        <w:tc>
          <w:tcPr>
            <w:tcW w:w="964" w:type="dxa"/>
          </w:tcPr>
          <w:p w:rsidR="00000000" w:rsidRDefault="00000000">
            <w:pPr>
              <w:spacing w:before="40" w:after="40"/>
              <w:rPr>
                <w:sz w:val="20"/>
                <w:szCs w:val="20"/>
              </w:rPr>
            </w:pPr>
            <w:r>
              <w:rPr>
                <w:sz w:val="20"/>
                <w:szCs w:val="20"/>
              </w:rPr>
              <w:t>49,8</w:t>
            </w:r>
          </w:p>
        </w:tc>
        <w:tc>
          <w:tcPr>
            <w:tcW w:w="737" w:type="dxa"/>
          </w:tcPr>
          <w:p w:rsidR="00000000" w:rsidRDefault="00000000">
            <w:pPr>
              <w:spacing w:before="40" w:after="40"/>
              <w:rPr>
                <w:sz w:val="20"/>
                <w:szCs w:val="20"/>
              </w:rPr>
            </w:pPr>
            <w:r>
              <w:rPr>
                <w:sz w:val="20"/>
                <w:szCs w:val="20"/>
              </w:rPr>
              <w:t>113,8</w:t>
            </w:r>
          </w:p>
        </w:tc>
        <w:tc>
          <w:tcPr>
            <w:tcW w:w="1134" w:type="dxa"/>
          </w:tcPr>
          <w:p w:rsidR="00000000" w:rsidRDefault="00000000">
            <w:pPr>
              <w:spacing w:before="40" w:after="40"/>
              <w:rPr>
                <w:sz w:val="20"/>
                <w:szCs w:val="20"/>
              </w:rPr>
            </w:pPr>
            <w:r>
              <w:rPr>
                <w:sz w:val="20"/>
                <w:szCs w:val="20"/>
              </w:rPr>
              <w:t>25,3</w:t>
            </w:r>
          </w:p>
        </w:tc>
        <w:tc>
          <w:tcPr>
            <w:tcW w:w="992" w:type="dxa"/>
          </w:tcPr>
          <w:p w:rsidR="00000000" w:rsidRDefault="00000000">
            <w:pPr>
              <w:spacing w:before="40" w:after="40"/>
              <w:rPr>
                <w:sz w:val="20"/>
                <w:szCs w:val="20"/>
              </w:rPr>
            </w:pPr>
            <w:r>
              <w:rPr>
                <w:sz w:val="20"/>
                <w:szCs w:val="20"/>
              </w:rPr>
              <w:t>17,5</w:t>
            </w:r>
          </w:p>
        </w:tc>
        <w:tc>
          <w:tcPr>
            <w:tcW w:w="709" w:type="dxa"/>
          </w:tcPr>
          <w:p w:rsidR="00000000" w:rsidRDefault="00000000">
            <w:pPr>
              <w:spacing w:before="40" w:after="40"/>
              <w:rPr>
                <w:sz w:val="20"/>
                <w:szCs w:val="20"/>
              </w:rPr>
            </w:pPr>
            <w:r>
              <w:rPr>
                <w:sz w:val="20"/>
                <w:szCs w:val="20"/>
              </w:rPr>
              <w:t>42,8</w:t>
            </w:r>
          </w:p>
        </w:tc>
        <w:tc>
          <w:tcPr>
            <w:tcW w:w="1134" w:type="dxa"/>
          </w:tcPr>
          <w:p w:rsidR="00000000" w:rsidRDefault="00000000">
            <w:pPr>
              <w:spacing w:before="40" w:after="40"/>
              <w:rPr>
                <w:sz w:val="20"/>
                <w:szCs w:val="20"/>
              </w:rPr>
            </w:pPr>
            <w:r>
              <w:rPr>
                <w:sz w:val="20"/>
                <w:szCs w:val="20"/>
              </w:rPr>
              <w:t>16,9</w:t>
            </w:r>
          </w:p>
        </w:tc>
        <w:tc>
          <w:tcPr>
            <w:tcW w:w="992" w:type="dxa"/>
          </w:tcPr>
          <w:p w:rsidR="00000000" w:rsidRDefault="00000000">
            <w:pPr>
              <w:spacing w:before="40" w:after="40"/>
              <w:rPr>
                <w:sz w:val="20"/>
                <w:szCs w:val="20"/>
              </w:rPr>
            </w:pPr>
            <w:r>
              <w:rPr>
                <w:sz w:val="20"/>
                <w:szCs w:val="20"/>
              </w:rPr>
              <w:t>10,7</w:t>
            </w:r>
          </w:p>
        </w:tc>
        <w:tc>
          <w:tcPr>
            <w:tcW w:w="709" w:type="dxa"/>
          </w:tcPr>
          <w:p w:rsidR="00000000" w:rsidRDefault="00000000">
            <w:pPr>
              <w:spacing w:before="40" w:after="40"/>
              <w:rPr>
                <w:sz w:val="20"/>
                <w:szCs w:val="20"/>
              </w:rPr>
            </w:pPr>
            <w:r>
              <w:rPr>
                <w:sz w:val="20"/>
                <w:szCs w:val="20"/>
              </w:rPr>
              <w:t>27,6</w:t>
            </w:r>
          </w:p>
        </w:tc>
      </w:tr>
      <w:tr w:rsidR="00000000">
        <w:tblPrEx>
          <w:tblCellMar>
            <w:top w:w="0" w:type="dxa"/>
            <w:bottom w:w="0" w:type="dxa"/>
          </w:tblCellMar>
        </w:tblPrEx>
        <w:trPr>
          <w:jc w:val="center"/>
        </w:trPr>
        <w:tc>
          <w:tcPr>
            <w:tcW w:w="9781" w:type="dxa"/>
            <w:gridSpan w:val="10"/>
          </w:tcPr>
          <w:p w:rsidR="00000000" w:rsidRDefault="00000000">
            <w:pPr>
              <w:spacing w:before="40" w:after="40"/>
              <w:jc w:val="both"/>
              <w:rPr>
                <w:sz w:val="20"/>
                <w:szCs w:val="20"/>
              </w:rPr>
            </w:pPr>
            <w:r>
              <w:rPr>
                <w:sz w:val="20"/>
                <w:szCs w:val="20"/>
              </w:rPr>
              <w:t>* Предварительные данные</w:t>
            </w:r>
          </w:p>
          <w:p w:rsidR="00000000" w:rsidRDefault="00000000">
            <w:pPr>
              <w:spacing w:before="40" w:after="40"/>
              <w:jc w:val="both"/>
              <w:rPr>
                <w:sz w:val="20"/>
                <w:szCs w:val="20"/>
              </w:rPr>
            </w:pPr>
            <w:r>
              <w:rPr>
                <w:b/>
                <w:bCs/>
                <w:sz w:val="20"/>
                <w:szCs w:val="20"/>
              </w:rPr>
              <w:t>Источник:</w:t>
            </w:r>
            <w:r>
              <w:rPr>
                <w:sz w:val="20"/>
                <w:szCs w:val="20"/>
              </w:rPr>
              <w:t xml:space="preserve"> Отдельные статистические данные в области образования, 2000/01 год, </w:t>
            </w:r>
            <w:r>
              <w:rPr>
                <w:caps/>
                <w:sz w:val="20"/>
                <w:szCs w:val="20"/>
              </w:rPr>
              <w:t>м</w:t>
            </w:r>
            <w:r>
              <w:rPr>
                <w:sz w:val="20"/>
                <w:szCs w:val="20"/>
              </w:rPr>
              <w:t>инистерство развития людских ресурсов</w:t>
            </w:r>
          </w:p>
        </w:tc>
      </w:tr>
    </w:tbl>
    <w:p w:rsidR="00000000" w:rsidRDefault="00000000">
      <w:pPr>
        <w:jc w:val="both"/>
        <w:rPr>
          <w:sz w:val="22"/>
          <w:szCs w:val="22"/>
        </w:rPr>
      </w:pPr>
    </w:p>
    <w:p w:rsidR="00000000" w:rsidRDefault="00000000">
      <w:pPr>
        <w:keepNext/>
        <w:jc w:val="both"/>
        <w:rPr>
          <w:rStyle w:val="111"/>
          <w:szCs w:val="22"/>
        </w:rPr>
      </w:pPr>
      <w:r>
        <w:rPr>
          <w:b/>
          <w:bCs/>
          <w:sz w:val="22"/>
          <w:szCs w:val="22"/>
        </w:rPr>
        <w:t>Начальное образование</w:t>
      </w:r>
    </w:p>
    <w:p w:rsidR="00000000" w:rsidRDefault="00000000">
      <w:pPr>
        <w:pStyle w:val="112"/>
        <w:spacing w:before="200"/>
      </w:pPr>
      <w:r>
        <w:t>594.</w:t>
      </w:r>
      <w:r>
        <w:tab/>
        <w:t>Обеспечение всеобщего начального образования является важной национальной целью с тех пор, когда Индия стала суверенной республикой в 1950 году.  В Конституции Индии, национальных стратегиях в сфере образования (1968 и 1986 годы) и  ряде пятилетних планов, принимавшихся с 1952 года по настоящее время, подчеркивается необходимость распространения начального образования, особенно среди групп, находящихся в неблагоприятном положении, и населения отсталых районов.  Центральное правительство и правительства штатов прилагают согласованные усилия для достижения этой цели.  Наблюдается заметное расширение начального образования в территориальном плане, возросло количество инфраструктурных объектов, расширился охват детей, и увеличилось число начальных школ.</w:t>
      </w:r>
    </w:p>
    <w:p w:rsidR="00000000" w:rsidRDefault="00000000">
      <w:pPr>
        <w:pStyle w:val="112"/>
        <w:spacing w:before="200"/>
        <w:rPr>
          <w:rStyle w:val="111"/>
          <w:szCs w:val="22"/>
        </w:rPr>
      </w:pPr>
      <w:r>
        <w:rPr>
          <w:rStyle w:val="111"/>
          <w:szCs w:val="22"/>
        </w:rPr>
        <w:t>595.</w:t>
      </w:r>
      <w:r>
        <w:rPr>
          <w:rStyle w:val="111"/>
          <w:szCs w:val="22"/>
        </w:rPr>
        <w:tab/>
        <w:t>Содействуя повышению образовательного уровня населения и социальной справедливости, правительство в полной мере привержено достижению цели обеспечения всеобщего начального образования (ВНО).  Стремление правительства достичь этой цели находит свое отражение в принимаемых им различных законах, планах и официальных и неофициальных программах. 13 декабря 2002 года парламент принял Закон о конституционной (86-й) поправке, согласно которой  обязательное бесплатное образование становится одним из основных прав всех детей в возрасте от 6 до14 лет</w:t>
      </w:r>
      <w:r>
        <w:rPr>
          <w:rStyle w:val="FootnoteReference"/>
          <w:szCs w:val="22"/>
        </w:rPr>
        <w:footnoteReference w:customMarkFollows="1" w:id="81"/>
        <w:t>80</w:t>
      </w:r>
      <w:r>
        <w:rPr>
          <w:rStyle w:val="111"/>
          <w:szCs w:val="22"/>
        </w:rPr>
        <w:t xml:space="preserve">.  </w:t>
      </w:r>
    </w:p>
    <w:p w:rsidR="00000000" w:rsidRDefault="00000000">
      <w:pPr>
        <w:pStyle w:val="112"/>
        <w:spacing w:before="0" w:after="240"/>
      </w:pPr>
      <w:r>
        <w:tab/>
        <w:t xml:space="preserve">Статья 45 части </w:t>
      </w:r>
      <w:r>
        <w:rPr>
          <w:lang w:val="en-US"/>
        </w:rPr>
        <w:t>IV</w:t>
      </w:r>
      <w:r>
        <w:t>, касающаяся руководящего принципа, также изменена следующим образом:</w:t>
      </w:r>
    </w:p>
    <w:p w:rsidR="00000000" w:rsidRDefault="00000000">
      <w:pPr>
        <w:pStyle w:val="112"/>
        <w:spacing w:before="0" w:after="240"/>
      </w:pPr>
      <w:r>
        <w:tab/>
        <w:t xml:space="preserve">"Государство стремится обеспечить заботу о всех детях с раннего возраста и их образование с шестилетнего возраста".  </w:t>
      </w:r>
    </w:p>
    <w:p w:rsidR="00000000" w:rsidRDefault="00000000">
      <w:pPr>
        <w:pStyle w:val="112"/>
        <w:spacing w:before="0" w:after="240"/>
      </w:pPr>
      <w:r>
        <w:tab/>
        <w:t>Статья 51 А (</w:t>
      </w:r>
      <w:r>
        <w:rPr>
          <w:lang w:val="en-US"/>
        </w:rPr>
        <w:t>k</w:t>
      </w:r>
      <w:r>
        <w:t>) части </w:t>
      </w:r>
      <w:r>
        <w:rPr>
          <w:lang w:val="en-US"/>
        </w:rPr>
        <w:t>IV A</w:t>
      </w:r>
      <w:r>
        <w:t>, касающаяся новой основной обязанности,  гласит:</w:t>
      </w:r>
    </w:p>
    <w:p w:rsidR="00000000" w:rsidRDefault="00000000">
      <w:pPr>
        <w:pStyle w:val="112"/>
        <w:spacing w:before="0" w:after="240"/>
      </w:pPr>
      <w:r>
        <w:tab/>
        <w:t>"Родитель обеспечивает возможности для обучения своего ребенка, а опекун – своего подопечного в возрасте от 6 до 14 лет".</w:t>
      </w:r>
    </w:p>
    <w:p w:rsidR="00000000" w:rsidRDefault="00000000">
      <w:pPr>
        <w:pStyle w:val="112"/>
        <w:spacing w:before="0"/>
      </w:pPr>
      <w:r>
        <w:tab/>
        <w:t>Эти поправки оказывают существенное влияние на осуществление мер по достижению цели "Образование для всех" (ОДВ).</w:t>
      </w:r>
    </w:p>
    <w:p w:rsidR="00000000" w:rsidRDefault="00000000">
      <w:pPr>
        <w:pStyle w:val="112"/>
        <w:spacing w:before="200"/>
        <w:rPr>
          <w:rStyle w:val="111"/>
          <w:szCs w:val="22"/>
        </w:rPr>
      </w:pPr>
      <w:r>
        <w:rPr>
          <w:rStyle w:val="111"/>
          <w:szCs w:val="22"/>
        </w:rPr>
        <w:t>596.</w:t>
      </w:r>
      <w:r>
        <w:rPr>
          <w:rStyle w:val="111"/>
          <w:szCs w:val="22"/>
        </w:rPr>
        <w:tab/>
        <w:t>В настоящее время в 14 штатах и 4 союзных территориях приняты законы о введении обязательного начального образования в пределах штата или конкретного указанного района</w:t>
      </w:r>
      <w:r>
        <w:rPr>
          <w:rStyle w:val="FootnoteReference"/>
          <w:szCs w:val="22"/>
        </w:rPr>
        <w:footnoteReference w:customMarkFollows="1" w:id="82"/>
        <w:t>81</w:t>
      </w:r>
      <w:r>
        <w:rPr>
          <w:rStyle w:val="111"/>
          <w:szCs w:val="22"/>
        </w:rPr>
        <w:t>.  В то же время правительства всех штатов упразднили плату за обучение в государственных школах до уровня старших классов начальной школы.  Обучение в школах, находящихся в ведении местных органов и частных учреждений, получающих государственную помощь, также преимущественно бесплатное.  Другие расходы на обучение, в частности приобретение учебников, школьной формы и портфелей, а также транспортные расходы, не покрываются из бюджетов штатов, если не считать ряда случаев, касающихся детей из бедных семей и уязвимых слоев населения, в том числе несколько случаев финансирования обучения девочек.</w:t>
      </w:r>
    </w:p>
    <w:p w:rsidR="00000000" w:rsidRDefault="00000000">
      <w:pPr>
        <w:pStyle w:val="112"/>
        <w:spacing w:before="200"/>
      </w:pPr>
      <w:r>
        <w:t>597.</w:t>
      </w:r>
      <w:r>
        <w:tab/>
        <w:t>Система начального образования в Индии по своим масштабам занимает второе место в мире:  ею охвачено 149,4 млн. детей в возрасте от 6 до 14 лет и в ней занято 2,9 млн. учителей.  Это примерно 82% детей данной возрастной группы.</w:t>
      </w:r>
    </w:p>
    <w:p w:rsidR="00000000" w:rsidRDefault="00000000">
      <w:pPr>
        <w:pStyle w:val="112"/>
        <w:spacing w:before="200"/>
      </w:pPr>
      <w:r>
        <w:t>598.</w:t>
      </w:r>
      <w:r>
        <w:tab/>
        <w:t>В настоящее время  департамент осуществляет 130 плановых программ на общую сумму, заложенную в бюджет восьмого плана, в 74 430 млн. рупий.  Общие плановые расходы департамента на 1996/97 учебный год составили 33 827 млн. рупий.</w:t>
      </w:r>
    </w:p>
    <w:p w:rsidR="00000000" w:rsidRDefault="00000000">
      <w:pPr>
        <w:jc w:val="both"/>
        <w:rPr>
          <w:sz w:val="22"/>
          <w:szCs w:val="22"/>
          <w:lang w:val="en-US"/>
        </w:rPr>
      </w:pPr>
    </w:p>
    <w:p w:rsidR="00000000" w:rsidRDefault="00000000">
      <w:pPr>
        <w:jc w:val="both"/>
        <w:rPr>
          <w:sz w:val="22"/>
          <w:szCs w:val="22"/>
        </w:rPr>
      </w:pPr>
      <w:r>
        <w:rPr>
          <w:sz w:val="22"/>
          <w:szCs w:val="22"/>
        </w:rPr>
        <w:t>599.</w:t>
      </w:r>
      <w:r>
        <w:rPr>
          <w:sz w:val="22"/>
          <w:szCs w:val="22"/>
        </w:rPr>
        <w:tab/>
        <w:t xml:space="preserve">В настоящее время осуществляется 18 централизованно финансируемых программ, на которые приходится 65,7% общего объема расходов.  Крупной централизованно финансируемой программой является программа школьных завтраков, расходы на которую в течение </w:t>
      </w:r>
      <w:r>
        <w:rPr>
          <w:sz w:val="22"/>
          <w:szCs w:val="22"/>
        </w:rPr>
        <w:br/>
        <w:t>1996/97 учебного года составили 14 000 млн. рупий.  Другими централизованно финансируемыми программами являются программы неформального обучения, осуществляемые по линии операции "Школьная доска".</w:t>
      </w:r>
    </w:p>
    <w:p w:rsidR="00000000" w:rsidRDefault="00000000">
      <w:pPr>
        <w:jc w:val="both"/>
        <w:rPr>
          <w:b/>
          <w:bCs/>
          <w:sz w:val="22"/>
          <w:szCs w:val="22"/>
        </w:rPr>
      </w:pPr>
    </w:p>
    <w:p w:rsidR="00000000" w:rsidRDefault="00000000">
      <w:pPr>
        <w:spacing w:before="120"/>
        <w:jc w:val="both"/>
        <w:rPr>
          <w:rStyle w:val="111"/>
          <w:szCs w:val="22"/>
        </w:rPr>
      </w:pPr>
      <w:r>
        <w:rPr>
          <w:b/>
          <w:bCs/>
          <w:sz w:val="22"/>
          <w:szCs w:val="22"/>
        </w:rPr>
        <w:t>Официальные программы центрального правительства в области начального образования</w:t>
      </w:r>
    </w:p>
    <w:p w:rsidR="00000000" w:rsidRDefault="00000000">
      <w:pPr>
        <w:jc w:val="both"/>
        <w:rPr>
          <w:sz w:val="22"/>
          <w:szCs w:val="22"/>
        </w:rPr>
      </w:pPr>
    </w:p>
    <w:p w:rsidR="00000000" w:rsidRDefault="00000000">
      <w:pPr>
        <w:jc w:val="both"/>
        <w:rPr>
          <w:rStyle w:val="111"/>
          <w:szCs w:val="22"/>
        </w:rPr>
      </w:pPr>
      <w:r>
        <w:rPr>
          <w:rStyle w:val="111"/>
          <w:szCs w:val="22"/>
        </w:rPr>
        <w:t>600.</w:t>
      </w:r>
      <w:r>
        <w:rPr>
          <w:rStyle w:val="111"/>
          <w:szCs w:val="22"/>
        </w:rPr>
        <w:tab/>
        <w:t>Правительство учредило новую программу под названием "Образование для всех" (ОДВ) ("Сарва Шикша Абхиян")</w:t>
      </w:r>
      <w:r>
        <w:rPr>
          <w:rStyle w:val="FootnoteReference"/>
          <w:bCs/>
          <w:szCs w:val="22"/>
        </w:rPr>
        <w:footnoteReference w:customMarkFollows="1" w:id="83"/>
        <w:t>82</w:t>
      </w:r>
      <w:r>
        <w:rPr>
          <w:rStyle w:val="111"/>
          <w:szCs w:val="22"/>
        </w:rPr>
        <w:t>.  В этой программе особое внимание уделяется девочкам и детям из менее обеспеченных слоев населения.  Для таких детей предусматривается ряд льгот, включая предоставление бесплатных учебников.  Одним из компонентов программы "Образование для всех" является Национальная программа начального образования девочек (НПНОД), которая осуществляется в отстающих в образовательном плане районах, где уровень грамотности среди сельских женщин ниже, а уровень гендерного неравенства выше, чем в среднем по стране.</w:t>
      </w:r>
    </w:p>
    <w:p w:rsidR="00000000" w:rsidRDefault="00000000">
      <w:pPr>
        <w:jc w:val="both"/>
        <w:rPr>
          <w:b/>
          <w:sz w:val="22"/>
          <w:szCs w:val="22"/>
        </w:rPr>
      </w:pPr>
    </w:p>
    <w:p w:rsidR="00000000" w:rsidRDefault="00000000">
      <w:pPr>
        <w:spacing w:before="120"/>
        <w:jc w:val="both"/>
        <w:rPr>
          <w:rStyle w:val="111"/>
          <w:szCs w:val="22"/>
        </w:rPr>
      </w:pPr>
      <w:r>
        <w:rPr>
          <w:b/>
          <w:sz w:val="22"/>
          <w:szCs w:val="22"/>
        </w:rPr>
        <w:t>Другие проекты в рамках программы ОДВ</w:t>
      </w:r>
    </w:p>
    <w:p w:rsidR="00000000" w:rsidRDefault="00000000">
      <w:pPr>
        <w:jc w:val="both"/>
        <w:rPr>
          <w:bCs/>
          <w:sz w:val="22"/>
          <w:szCs w:val="22"/>
        </w:rPr>
      </w:pPr>
    </w:p>
    <w:p w:rsidR="00000000" w:rsidRDefault="00000000">
      <w:pPr>
        <w:jc w:val="both"/>
        <w:rPr>
          <w:rStyle w:val="111"/>
          <w:szCs w:val="22"/>
        </w:rPr>
      </w:pPr>
      <w:r>
        <w:rPr>
          <w:rStyle w:val="111"/>
          <w:szCs w:val="22"/>
        </w:rPr>
        <w:t>601.</w:t>
      </w:r>
      <w:r>
        <w:rPr>
          <w:rStyle w:val="111"/>
          <w:szCs w:val="22"/>
        </w:rPr>
        <w:tab/>
        <w:t>В рамках программы ОДВ в 273 районах и 139 кварталах осуществляется районная программа начального образования (РПНО)</w:t>
      </w:r>
      <w:r>
        <w:rPr>
          <w:rStyle w:val="FootnoteReference"/>
          <w:bCs/>
          <w:szCs w:val="22"/>
        </w:rPr>
        <w:footnoteReference w:customMarkFollows="1" w:id="84"/>
        <w:t>83</w:t>
      </w:r>
      <w:r>
        <w:rPr>
          <w:rStyle w:val="111"/>
          <w:szCs w:val="22"/>
        </w:rPr>
        <w:t>.</w:t>
      </w:r>
    </w:p>
    <w:p w:rsidR="00000000" w:rsidRDefault="00000000">
      <w:pPr>
        <w:jc w:val="both"/>
        <w:rPr>
          <w:bCs/>
          <w:i/>
          <w:iCs/>
          <w:sz w:val="22"/>
          <w:szCs w:val="22"/>
        </w:rPr>
      </w:pPr>
    </w:p>
    <w:p w:rsidR="00000000" w:rsidRDefault="00000000">
      <w:pPr>
        <w:jc w:val="both"/>
        <w:rPr>
          <w:rStyle w:val="111"/>
          <w:szCs w:val="22"/>
        </w:rPr>
      </w:pPr>
      <w:r>
        <w:rPr>
          <w:bCs/>
          <w:i/>
          <w:iCs/>
          <w:sz w:val="22"/>
          <w:szCs w:val="22"/>
        </w:rPr>
        <w:t>Выделение средств в рамках программы РПНО</w:t>
      </w:r>
    </w:p>
    <w:p w:rsidR="00000000" w:rsidRDefault="00000000">
      <w:pPr>
        <w:rPr>
          <w:bCs/>
          <w:sz w:val="22"/>
          <w:szCs w:val="22"/>
        </w:rPr>
      </w:pPr>
      <w:r>
        <w:rPr>
          <w:bCs/>
          <w:sz w:val="22"/>
          <w:szCs w:val="22"/>
        </w:rPr>
        <w:t>Бюджетная смета, пересмотренная смета и фактические расходы за последние три года указаны в приведенной ниже таблице.</w:t>
      </w:r>
    </w:p>
    <w:p w:rsidR="00000000" w:rsidRDefault="00000000">
      <w:pPr>
        <w:jc w:val="both"/>
        <w:rPr>
          <w:bCs/>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0"/>
        <w:gridCol w:w="2391"/>
        <w:gridCol w:w="2880"/>
        <w:gridCol w:w="3278"/>
      </w:tblGrid>
      <w:tr w:rsidR="00000000">
        <w:trPr>
          <w:jc w:val="center"/>
        </w:trPr>
        <w:tc>
          <w:tcPr>
            <w:tcW w:w="1090" w:type="dxa"/>
          </w:tcPr>
          <w:p w:rsidR="00000000" w:rsidRDefault="00000000">
            <w:pPr>
              <w:spacing w:before="40" w:after="40"/>
              <w:jc w:val="center"/>
              <w:rPr>
                <w:sz w:val="20"/>
                <w:szCs w:val="20"/>
              </w:rPr>
            </w:pPr>
            <w:r>
              <w:rPr>
                <w:sz w:val="20"/>
                <w:szCs w:val="20"/>
              </w:rPr>
              <w:t>Год</w:t>
            </w:r>
          </w:p>
        </w:tc>
        <w:tc>
          <w:tcPr>
            <w:tcW w:w="2391" w:type="dxa"/>
          </w:tcPr>
          <w:p w:rsidR="00000000" w:rsidRDefault="00000000">
            <w:pPr>
              <w:spacing w:before="40" w:after="40"/>
              <w:jc w:val="center"/>
              <w:rPr>
                <w:sz w:val="20"/>
                <w:szCs w:val="20"/>
              </w:rPr>
            </w:pPr>
            <w:r>
              <w:rPr>
                <w:sz w:val="20"/>
                <w:szCs w:val="20"/>
              </w:rPr>
              <w:t>Бюджетная смета</w:t>
            </w:r>
          </w:p>
        </w:tc>
        <w:tc>
          <w:tcPr>
            <w:tcW w:w="2880" w:type="dxa"/>
          </w:tcPr>
          <w:p w:rsidR="00000000" w:rsidRDefault="00000000">
            <w:pPr>
              <w:spacing w:before="40" w:after="40"/>
              <w:jc w:val="center"/>
              <w:rPr>
                <w:sz w:val="20"/>
                <w:szCs w:val="20"/>
              </w:rPr>
            </w:pPr>
            <w:r>
              <w:rPr>
                <w:sz w:val="20"/>
                <w:szCs w:val="20"/>
              </w:rPr>
              <w:t>Пересмотренная смета</w:t>
            </w:r>
          </w:p>
        </w:tc>
        <w:tc>
          <w:tcPr>
            <w:tcW w:w="3278" w:type="dxa"/>
          </w:tcPr>
          <w:p w:rsidR="00000000" w:rsidRDefault="00000000">
            <w:pPr>
              <w:spacing w:before="40" w:after="40"/>
              <w:jc w:val="center"/>
              <w:rPr>
                <w:sz w:val="20"/>
                <w:szCs w:val="20"/>
              </w:rPr>
            </w:pPr>
            <w:r>
              <w:rPr>
                <w:sz w:val="20"/>
                <w:szCs w:val="20"/>
              </w:rPr>
              <w:t>Фактические расходы</w:t>
            </w:r>
          </w:p>
        </w:tc>
      </w:tr>
      <w:tr w:rsidR="00000000">
        <w:trPr>
          <w:jc w:val="center"/>
        </w:trPr>
        <w:tc>
          <w:tcPr>
            <w:tcW w:w="1090" w:type="dxa"/>
          </w:tcPr>
          <w:p w:rsidR="00000000" w:rsidRDefault="00000000">
            <w:pPr>
              <w:spacing w:before="40" w:after="40"/>
              <w:jc w:val="both"/>
              <w:rPr>
                <w:sz w:val="20"/>
                <w:szCs w:val="20"/>
              </w:rPr>
            </w:pPr>
            <w:r>
              <w:rPr>
                <w:sz w:val="20"/>
                <w:szCs w:val="20"/>
              </w:rPr>
              <w:t>2000/01</w:t>
            </w:r>
          </w:p>
        </w:tc>
        <w:tc>
          <w:tcPr>
            <w:tcW w:w="2391" w:type="dxa"/>
          </w:tcPr>
          <w:p w:rsidR="00000000" w:rsidRDefault="00000000">
            <w:pPr>
              <w:tabs>
                <w:tab w:val="decimal" w:pos="1134"/>
              </w:tabs>
              <w:spacing w:before="40" w:after="40"/>
              <w:rPr>
                <w:sz w:val="20"/>
                <w:szCs w:val="20"/>
              </w:rPr>
            </w:pPr>
            <w:r>
              <w:rPr>
                <w:sz w:val="20"/>
                <w:szCs w:val="20"/>
              </w:rPr>
              <w:t>969,00</w:t>
            </w:r>
          </w:p>
        </w:tc>
        <w:tc>
          <w:tcPr>
            <w:tcW w:w="2880" w:type="dxa"/>
          </w:tcPr>
          <w:p w:rsidR="00000000" w:rsidRDefault="00000000">
            <w:pPr>
              <w:tabs>
                <w:tab w:val="decimal" w:pos="1418"/>
              </w:tabs>
              <w:spacing w:before="40" w:after="40"/>
              <w:rPr>
                <w:sz w:val="20"/>
                <w:szCs w:val="20"/>
              </w:rPr>
            </w:pPr>
            <w:r>
              <w:rPr>
                <w:sz w:val="20"/>
                <w:szCs w:val="20"/>
              </w:rPr>
              <w:t>820,00</w:t>
            </w:r>
          </w:p>
        </w:tc>
        <w:tc>
          <w:tcPr>
            <w:tcW w:w="3278" w:type="dxa"/>
          </w:tcPr>
          <w:p w:rsidR="00000000" w:rsidRDefault="00000000">
            <w:pPr>
              <w:tabs>
                <w:tab w:val="decimal" w:pos="1418"/>
              </w:tabs>
              <w:spacing w:before="40" w:after="40"/>
              <w:rPr>
                <w:sz w:val="20"/>
                <w:szCs w:val="20"/>
              </w:rPr>
            </w:pPr>
            <w:r>
              <w:rPr>
                <w:sz w:val="20"/>
                <w:szCs w:val="20"/>
              </w:rPr>
              <w:t>856,39</w:t>
            </w:r>
          </w:p>
        </w:tc>
      </w:tr>
      <w:tr w:rsidR="00000000">
        <w:trPr>
          <w:jc w:val="center"/>
        </w:trPr>
        <w:tc>
          <w:tcPr>
            <w:tcW w:w="1090" w:type="dxa"/>
          </w:tcPr>
          <w:p w:rsidR="00000000" w:rsidRDefault="00000000">
            <w:pPr>
              <w:spacing w:before="40" w:after="40"/>
              <w:jc w:val="both"/>
              <w:rPr>
                <w:sz w:val="20"/>
                <w:szCs w:val="20"/>
              </w:rPr>
            </w:pPr>
            <w:r>
              <w:rPr>
                <w:sz w:val="20"/>
                <w:szCs w:val="20"/>
              </w:rPr>
              <w:t>2001/02</w:t>
            </w:r>
          </w:p>
        </w:tc>
        <w:tc>
          <w:tcPr>
            <w:tcW w:w="2391" w:type="dxa"/>
          </w:tcPr>
          <w:p w:rsidR="00000000" w:rsidRDefault="00000000">
            <w:pPr>
              <w:tabs>
                <w:tab w:val="decimal" w:pos="1134"/>
              </w:tabs>
              <w:spacing w:before="40" w:after="40"/>
              <w:rPr>
                <w:sz w:val="20"/>
                <w:szCs w:val="20"/>
              </w:rPr>
            </w:pPr>
            <w:r>
              <w:rPr>
                <w:sz w:val="20"/>
                <w:szCs w:val="20"/>
              </w:rPr>
              <w:t>1 098,00</w:t>
            </w:r>
          </w:p>
        </w:tc>
        <w:tc>
          <w:tcPr>
            <w:tcW w:w="2880" w:type="dxa"/>
          </w:tcPr>
          <w:p w:rsidR="00000000" w:rsidRDefault="00000000">
            <w:pPr>
              <w:tabs>
                <w:tab w:val="decimal" w:pos="1418"/>
              </w:tabs>
              <w:spacing w:before="40" w:after="40"/>
              <w:rPr>
                <w:sz w:val="20"/>
                <w:szCs w:val="20"/>
              </w:rPr>
            </w:pPr>
            <w:r>
              <w:rPr>
                <w:sz w:val="20"/>
                <w:szCs w:val="20"/>
              </w:rPr>
              <w:t>1 198,00</w:t>
            </w:r>
          </w:p>
        </w:tc>
        <w:tc>
          <w:tcPr>
            <w:tcW w:w="3278" w:type="dxa"/>
          </w:tcPr>
          <w:p w:rsidR="00000000" w:rsidRDefault="00000000">
            <w:pPr>
              <w:tabs>
                <w:tab w:val="decimal" w:pos="1418"/>
              </w:tabs>
              <w:spacing w:before="40" w:after="40"/>
              <w:rPr>
                <w:sz w:val="20"/>
                <w:szCs w:val="20"/>
              </w:rPr>
            </w:pPr>
            <w:r>
              <w:rPr>
                <w:sz w:val="20"/>
                <w:szCs w:val="20"/>
              </w:rPr>
              <w:t>1 198,00</w:t>
            </w:r>
          </w:p>
        </w:tc>
      </w:tr>
      <w:tr w:rsidR="00000000">
        <w:trPr>
          <w:jc w:val="center"/>
        </w:trPr>
        <w:tc>
          <w:tcPr>
            <w:tcW w:w="1090" w:type="dxa"/>
          </w:tcPr>
          <w:p w:rsidR="00000000" w:rsidRDefault="00000000">
            <w:pPr>
              <w:spacing w:before="40" w:after="40"/>
              <w:jc w:val="both"/>
              <w:rPr>
                <w:sz w:val="20"/>
                <w:szCs w:val="20"/>
              </w:rPr>
            </w:pPr>
            <w:r>
              <w:rPr>
                <w:sz w:val="20"/>
                <w:szCs w:val="20"/>
              </w:rPr>
              <w:t>2002/03</w:t>
            </w:r>
          </w:p>
        </w:tc>
        <w:tc>
          <w:tcPr>
            <w:tcW w:w="2391" w:type="dxa"/>
          </w:tcPr>
          <w:p w:rsidR="00000000" w:rsidRDefault="00000000">
            <w:pPr>
              <w:tabs>
                <w:tab w:val="decimal" w:pos="1134"/>
              </w:tabs>
              <w:spacing w:before="40" w:after="40"/>
              <w:rPr>
                <w:sz w:val="20"/>
                <w:szCs w:val="20"/>
              </w:rPr>
            </w:pPr>
            <w:r>
              <w:rPr>
                <w:sz w:val="20"/>
                <w:szCs w:val="20"/>
              </w:rPr>
              <w:t>1 380,00</w:t>
            </w:r>
          </w:p>
        </w:tc>
        <w:tc>
          <w:tcPr>
            <w:tcW w:w="2880" w:type="dxa"/>
          </w:tcPr>
          <w:p w:rsidR="00000000" w:rsidRDefault="00000000">
            <w:pPr>
              <w:tabs>
                <w:tab w:val="decimal" w:pos="1418"/>
              </w:tabs>
              <w:spacing w:before="40" w:after="40"/>
              <w:rPr>
                <w:sz w:val="20"/>
                <w:szCs w:val="20"/>
              </w:rPr>
            </w:pPr>
            <w:r>
              <w:rPr>
                <w:sz w:val="20"/>
                <w:szCs w:val="20"/>
              </w:rPr>
              <w:t>1 380,00</w:t>
            </w:r>
          </w:p>
        </w:tc>
        <w:tc>
          <w:tcPr>
            <w:tcW w:w="3278" w:type="dxa"/>
          </w:tcPr>
          <w:p w:rsidR="00000000" w:rsidRDefault="00000000">
            <w:pPr>
              <w:tabs>
                <w:tab w:val="decimal" w:pos="1418"/>
              </w:tabs>
              <w:spacing w:before="40" w:after="40"/>
              <w:rPr>
                <w:sz w:val="20"/>
                <w:szCs w:val="20"/>
              </w:rPr>
            </w:pPr>
            <w:r>
              <w:rPr>
                <w:sz w:val="20"/>
                <w:szCs w:val="20"/>
              </w:rPr>
              <w:t>1 285,03</w:t>
            </w:r>
          </w:p>
        </w:tc>
      </w:tr>
      <w:tr w:rsidR="00000000">
        <w:trPr>
          <w:jc w:val="center"/>
        </w:trPr>
        <w:tc>
          <w:tcPr>
            <w:tcW w:w="1090" w:type="dxa"/>
          </w:tcPr>
          <w:p w:rsidR="00000000" w:rsidRDefault="00000000">
            <w:pPr>
              <w:spacing w:before="40" w:after="40"/>
              <w:jc w:val="both"/>
              <w:rPr>
                <w:sz w:val="20"/>
                <w:szCs w:val="20"/>
              </w:rPr>
            </w:pPr>
            <w:r>
              <w:rPr>
                <w:sz w:val="20"/>
                <w:szCs w:val="20"/>
              </w:rPr>
              <w:t>2003/04</w:t>
            </w:r>
          </w:p>
        </w:tc>
        <w:tc>
          <w:tcPr>
            <w:tcW w:w="2391" w:type="dxa"/>
          </w:tcPr>
          <w:p w:rsidR="00000000" w:rsidRDefault="00000000">
            <w:pPr>
              <w:tabs>
                <w:tab w:val="decimal" w:pos="1134"/>
              </w:tabs>
              <w:spacing w:before="40" w:after="40"/>
              <w:rPr>
                <w:sz w:val="20"/>
                <w:szCs w:val="20"/>
              </w:rPr>
            </w:pPr>
            <w:r>
              <w:rPr>
                <w:sz w:val="20"/>
                <w:szCs w:val="20"/>
              </w:rPr>
              <w:t>1 200,00</w:t>
            </w:r>
          </w:p>
        </w:tc>
        <w:tc>
          <w:tcPr>
            <w:tcW w:w="2880" w:type="dxa"/>
          </w:tcPr>
          <w:p w:rsidR="00000000" w:rsidRDefault="00000000">
            <w:pPr>
              <w:tabs>
                <w:tab w:val="decimal" w:pos="1418"/>
              </w:tabs>
              <w:spacing w:before="40" w:after="40"/>
              <w:rPr>
                <w:sz w:val="20"/>
                <w:szCs w:val="20"/>
              </w:rPr>
            </w:pPr>
            <w:r>
              <w:rPr>
                <w:sz w:val="20"/>
                <w:szCs w:val="20"/>
              </w:rPr>
              <w:t>800,00</w:t>
            </w:r>
          </w:p>
        </w:tc>
        <w:tc>
          <w:tcPr>
            <w:tcW w:w="3278" w:type="dxa"/>
          </w:tcPr>
          <w:p w:rsidR="00000000" w:rsidRDefault="00000000">
            <w:pPr>
              <w:tabs>
                <w:tab w:val="decimal" w:pos="1418"/>
              </w:tabs>
              <w:spacing w:before="40" w:after="40"/>
              <w:rPr>
                <w:sz w:val="20"/>
                <w:szCs w:val="20"/>
              </w:rPr>
            </w:pPr>
            <w:r>
              <w:rPr>
                <w:sz w:val="20"/>
                <w:szCs w:val="20"/>
              </w:rPr>
              <w:t>791,19</w:t>
            </w:r>
          </w:p>
        </w:tc>
      </w:tr>
      <w:tr w:rsidR="00000000">
        <w:trPr>
          <w:jc w:val="center"/>
        </w:trPr>
        <w:tc>
          <w:tcPr>
            <w:tcW w:w="1090" w:type="dxa"/>
          </w:tcPr>
          <w:p w:rsidR="00000000" w:rsidRDefault="00000000">
            <w:pPr>
              <w:spacing w:before="40" w:after="40"/>
              <w:jc w:val="both"/>
              <w:rPr>
                <w:sz w:val="20"/>
                <w:szCs w:val="20"/>
              </w:rPr>
            </w:pPr>
            <w:r>
              <w:rPr>
                <w:sz w:val="20"/>
                <w:szCs w:val="20"/>
              </w:rPr>
              <w:t>2004/05</w:t>
            </w:r>
          </w:p>
        </w:tc>
        <w:tc>
          <w:tcPr>
            <w:tcW w:w="2391" w:type="dxa"/>
          </w:tcPr>
          <w:p w:rsidR="00000000" w:rsidRDefault="00000000">
            <w:pPr>
              <w:tabs>
                <w:tab w:val="decimal" w:pos="1134"/>
              </w:tabs>
              <w:spacing w:before="40" w:after="40"/>
              <w:rPr>
                <w:sz w:val="20"/>
                <w:szCs w:val="20"/>
              </w:rPr>
            </w:pPr>
            <w:r>
              <w:rPr>
                <w:sz w:val="20"/>
                <w:szCs w:val="20"/>
              </w:rPr>
              <w:t>600,00</w:t>
            </w:r>
          </w:p>
        </w:tc>
        <w:tc>
          <w:tcPr>
            <w:tcW w:w="2880" w:type="dxa"/>
          </w:tcPr>
          <w:p w:rsidR="00000000" w:rsidRDefault="00000000">
            <w:pPr>
              <w:tabs>
                <w:tab w:val="decimal" w:pos="1418"/>
              </w:tabs>
              <w:spacing w:before="40" w:after="40"/>
              <w:rPr>
                <w:sz w:val="20"/>
                <w:szCs w:val="20"/>
              </w:rPr>
            </w:pPr>
            <w:r>
              <w:rPr>
                <w:sz w:val="20"/>
                <w:szCs w:val="20"/>
              </w:rPr>
              <w:t>600,00</w:t>
            </w:r>
          </w:p>
        </w:tc>
        <w:tc>
          <w:tcPr>
            <w:tcW w:w="3278" w:type="dxa"/>
          </w:tcPr>
          <w:p w:rsidR="00000000" w:rsidRDefault="00000000">
            <w:pPr>
              <w:tabs>
                <w:tab w:val="decimal" w:pos="1418"/>
              </w:tabs>
              <w:spacing w:before="40" w:after="40"/>
              <w:rPr>
                <w:sz w:val="20"/>
                <w:szCs w:val="20"/>
              </w:rPr>
            </w:pPr>
            <w:r>
              <w:rPr>
                <w:sz w:val="20"/>
                <w:szCs w:val="20"/>
              </w:rPr>
              <w:t>363,00 (31.12.2004)</w:t>
            </w:r>
          </w:p>
        </w:tc>
      </w:tr>
    </w:tbl>
    <w:p w:rsidR="00000000" w:rsidRDefault="00000000">
      <w:pPr>
        <w:jc w:val="both"/>
        <w:rPr>
          <w:sz w:val="22"/>
          <w:szCs w:val="22"/>
        </w:rPr>
      </w:pPr>
    </w:p>
    <w:p w:rsidR="00000000" w:rsidRDefault="00000000">
      <w:pPr>
        <w:pStyle w:val="112"/>
        <w:tabs>
          <w:tab w:val="clear" w:pos="680"/>
          <w:tab w:val="clear" w:pos="1134"/>
        </w:tabs>
        <w:spacing w:before="0"/>
        <w:rPr>
          <w:bCs/>
          <w:szCs w:val="22"/>
        </w:rPr>
      </w:pPr>
      <w:r>
        <w:rPr>
          <w:bCs/>
          <w:szCs w:val="22"/>
        </w:rPr>
        <w:t>602.</w:t>
      </w:r>
      <w:r>
        <w:rPr>
          <w:bCs/>
          <w:szCs w:val="22"/>
        </w:rPr>
        <w:tab/>
        <w:t>Основные достижения РПНО</w:t>
      </w:r>
    </w:p>
    <w:p w:rsidR="00000000" w:rsidRDefault="00000000">
      <w:pPr>
        <w:pStyle w:val="112"/>
      </w:pPr>
      <w:r>
        <w:t>i)</w:t>
      </w:r>
      <w:r>
        <w:tab/>
        <w:t>В рамках программы РПНО открыто более 160 000 новых школ, включая почти 84 000 альтернативных школьных центров.  Альтернативные школьные центры посещает более 3,5 млн. детей, и еще 2 млн. детей посещают курсы по восполнению пробелов в обучении различного рода.</w:t>
      </w:r>
    </w:p>
    <w:p w:rsidR="00000000" w:rsidRDefault="00000000">
      <w:pPr>
        <w:pStyle w:val="112"/>
      </w:pPr>
      <w:r>
        <w:t>ii)</w:t>
      </w:r>
      <w:r>
        <w:tab/>
        <w:t xml:space="preserve">Число учащихся в районах, охваченных первым этапом РПНО, возросло с 7,93 млн. в </w:t>
      </w:r>
      <w:r>
        <w:br/>
        <w:t>1997/98 году до 9,26 млн. в 2001/02 году.  В районах, охваченных в ходе последующих этапов РПНО, общая численность учащихся возросла с 18,53 млн. в 1997/98 году до 60 млн. в 2002/03 году.</w:t>
      </w:r>
    </w:p>
    <w:p w:rsidR="00000000" w:rsidRDefault="00000000">
      <w:pPr>
        <w:pStyle w:val="112"/>
      </w:pPr>
      <w:r>
        <w:t>iii)</w:t>
      </w:r>
      <w:r>
        <w:tab/>
        <w:t>В рамках РПНО создана внушительная школьная инфраструктура.  Завершенные объекты включают в себя 52 758 школьных зданий, 58 604 дополнительных классных помещений, 16 619 методических центров, 29 307 мастерских, 64 592 туалета и 24 909 пунктов водоснабжения.  В 129 районах 9 штатов, где продолжается осуществление этой программы, сооружаются еще 3285 школьных зданий, 5348 дополнительных классных помещений, 1027 методических центров, 2599 туалетов, 2119 пунктов водоснабжения и 766 мастерских.</w:t>
      </w:r>
    </w:p>
    <w:p w:rsidR="00000000" w:rsidRDefault="00000000">
      <w:pPr>
        <w:pStyle w:val="112"/>
      </w:pPr>
      <w:r>
        <w:t>iv)</w:t>
      </w:r>
      <w:r>
        <w:tab/>
        <w:t>Общее число детей-инвалидов, охваченных программой РПНО, составляет 420 203, что соответствует примерно 76% от общего количества (553 844) детей-инвалидов, выявленных в девяти штатах, в которых осуществляется РПНО.  0,6 млн. учителей прошли подготовку по методам обучения инвалидов в рамках различных программ подготовки преподавательского состава по линии РПНО.  На основе объединения различных программ детям-инвалидам предоставляются различные пособия и специальные устройства.  В новых школьных зданиях предпринимаются попытки внедрить концепцию свободной от препятствий среды.  Во всех штатах проводятся информационно-разъяснительные программы с упором на участие населения, в рамках которых 618 508 членов деревенских комитетов по вопросам образования участвуют в оказании помощи учащимся детям с инвалидностью.</w:t>
      </w:r>
    </w:p>
    <w:p w:rsidR="00000000" w:rsidRDefault="00000000">
      <w:pPr>
        <w:pStyle w:val="112"/>
      </w:pPr>
      <w:r>
        <w:t>v)</w:t>
      </w:r>
      <w:r>
        <w:tab/>
        <w:t>Несмотря на то, что за последние годы число детей, посещающих школу, возросло, среднее число учеников в классе в школах, охваченных программой РПНО, составило в 2002/03 году 42 ученика, тогда как в 1996/97 году этот показатель составлял почти 50.</w:t>
      </w:r>
    </w:p>
    <w:p w:rsidR="00000000" w:rsidRDefault="00000000">
      <w:pPr>
        <w:pStyle w:val="112"/>
      </w:pPr>
      <w:r>
        <w:t>vi)</w:t>
      </w:r>
      <w:r>
        <w:tab/>
        <w:t>С помощью метода реконструированных когорт на основе данных информационной системы управления в области образования (ИСУО), касающихся числа детей, посещающих школу и оставшихся на второй год, в январе и феврале 2001 года было проведено исследование для определения доли детей, оставивших школу.  Было установлено, что доля детей, отчисленных в течение первого – последнего класса начальной школы, составляла менее 10% в 20 из 102 районов и менее 20% в одной трети районов.  Разница в отсеве мальчиков и девочек в 62% районов составляла менее 5 процентных пунктов, но большая доля учеников, прекращающих обучение, во многих районах все еще является предметом серьезной обеспокоенности.</w:t>
      </w:r>
    </w:p>
    <w:p w:rsidR="00000000" w:rsidRDefault="00000000">
      <w:pPr>
        <w:pStyle w:val="112"/>
      </w:pPr>
      <w:r>
        <w:t>vii)</w:t>
      </w:r>
      <w:r>
        <w:tab/>
        <w:t>В четырех штатах было проведено исследование по выявлению причин большого отсева детей в школе.  Выяснилось, что такими причинами являются факторы, связанные с обстановкой в доме и  школе.  Родители детей, оставивших школу, – это, как правило, бедные и необразованные люди, которые не могут оказать ребенку помощь в учебе.  Наиболее важными факторами, которые лишают школу привлекательности в глазах ребенка, являются нехватка учителей, их неспособность организовать дополнительные занятия для отстающих, нехватка помещений и неблагоприятная обстановка в школах.</w:t>
      </w:r>
    </w:p>
    <w:p w:rsidR="00000000" w:rsidRDefault="00000000">
      <w:pPr>
        <w:pStyle w:val="112"/>
      </w:pPr>
      <w:r>
        <w:t>viii)</w:t>
      </w:r>
      <w:r>
        <w:tab/>
        <w:t>Доля девочек, посещающих школу, заметно возросла.  В районах, охваченных первым этапом РПНО, доля девочек в общей численности учащихся возросла с 48% до 49%, а в районах, охваченных этой программой на последующих этапах, – с 46% до 47%.</w:t>
      </w:r>
    </w:p>
    <w:p w:rsidR="00000000" w:rsidRDefault="00000000">
      <w:pPr>
        <w:pStyle w:val="112"/>
      </w:pPr>
      <w:r>
        <w:t>iх)</w:t>
      </w:r>
      <w:r>
        <w:tab/>
        <w:t>Почти по всех деревнях, населенных пунктах и школах, в которых осуществлялись проекты по линии этой программы, созданы деревенские комитеты по вопросам образования/комитеты управления школами.</w:t>
      </w:r>
    </w:p>
    <w:p w:rsidR="00000000" w:rsidRDefault="00000000">
      <w:pPr>
        <w:pStyle w:val="112"/>
      </w:pPr>
      <w:r>
        <w:t>х)</w:t>
      </w:r>
      <w:r>
        <w:tab/>
        <w:t>Принято на работу примерно 177 000 новых учителей, в том числе работников системы образования среднего звена (Шикша Кармис).</w:t>
      </w:r>
    </w:p>
    <w:p w:rsidR="00000000" w:rsidRDefault="00000000">
      <w:pPr>
        <w:pStyle w:val="112"/>
      </w:pPr>
      <w:r>
        <w:t>хi)</w:t>
      </w:r>
      <w:r>
        <w:tab/>
        <w:t>Для оказания поддержки в учебных вопросах и создания условий для подготовки учителей было создано примерно 3380 информационно-справочных центров на уровне кварталов и 29 725 центров на низовом уровне.</w:t>
      </w:r>
    </w:p>
    <w:p w:rsidR="00000000" w:rsidRDefault="00000000">
      <w:pPr>
        <w:pStyle w:val="112"/>
      </w:pPr>
      <w:r>
        <w:t>хii)</w:t>
      </w:r>
      <w:r>
        <w:tab/>
        <w:t>В 2001 году в 49 районах, охваченных первым этапом РПНО, и в 2003 году в 83 районах, охваченных вторым этапом, было проведено обследование уровня успеваемости учащихся, которое показало, что более чем в 95% районов средние оценки на экзаменах в первом классе по языкам и математике превысили 60%, тогда как по ученикам третьего и четвертого классов доля районов, в которых средние оценки превысили 60 из 100, составила 43,2% по языкам и 28,8% по математике.</w:t>
      </w:r>
    </w:p>
    <w:p w:rsidR="00000000" w:rsidRDefault="00000000">
      <w:pPr>
        <w:pStyle w:val="112"/>
      </w:pPr>
      <w:r>
        <w:t>хiii)</w:t>
      </w:r>
      <w:r>
        <w:tab/>
        <w:t>Некоторые важные качественные показатели изменений к лучшему, достигнутые в ходе осуществления районной программы начального образования, включают в себя организацию частых децентрализованных учебных программ, как только в этом возникает потребность, разработку удобных для детей учебников при активном участии учителей, предоставление методической поддержки учителям на местах, создание методических центров и предоставление субсидий учителям для подготовки к экзаменам по языкам и математике.</w:t>
      </w:r>
    </w:p>
    <w:p w:rsidR="00000000" w:rsidRDefault="00000000">
      <w:pPr>
        <w:pStyle w:val="112"/>
        <w:spacing w:after="240"/>
      </w:pPr>
      <w:r>
        <w:t>Эта деятельность, естественно, включает в себя целый ряд инициатив, осуществляемых в рамках РПНО, в целях повышения качества образования.  Кроме того, проводится ряд других мероприятий в рамках этой программы, которые вносят вклад в решение этой задачи, в том числе:</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программа создания школьных библиотек в штатах Западная Бенгалия и Андхра-Прадеш, которая осуществляется в сотрудничестве с НБТ и несколькими неправительственными организациями и предусматривает работу передвижных библиотек, организацию книжных фестивалей и семинаров по разработке дополнительных учебных материалов;  штаты Джхаркхенд, Уттар-Прадеш, Раджастхан и Орисса также заинтересовались  формированием у детей привычки читать, чему способствует создание школьных библиотек;</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экспериментирование в ситуациях, когда учителю приходится обучать учеников разных классов и разного уровня:  несколько штатов прилагают усилия по разработке материалов для таких случаев, выявляют соответствующие школы, готовят учителей и проводят в отдельных школах эксперименты, способствующие повышению успеваемости детей;</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в Андхра-Прадеш, Ориссе и других штатах прилагаются усилия по решению проблем, связанных с детьми представителей общин, ведущих племенной образ жизни, на основе разработки контекстуальных материалов;</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в штатах предпринимаются попытки повысить успеваемость учеников и разрабатываются соответствующие стратегии обеспечения учета потребностей учеников, медленно усваивающих материал;</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в большинстве штатов на уровне штатов, районов, кварталов и на местах созданы учебные методические группы, которые способствуют более контекстуальному планированию и учету факторов качества обучения в программах;</w:t>
      </w:r>
    </w:p>
    <w:p w:rsidR="00000000" w:rsidRDefault="00000000">
      <w:pPr>
        <w:numPr>
          <w:ilvl w:val="0"/>
          <w:numId w:val="9"/>
        </w:numPr>
        <w:tabs>
          <w:tab w:val="left" w:pos="567"/>
          <w:tab w:val="left" w:pos="1701"/>
          <w:tab w:val="left" w:pos="2268"/>
          <w:tab w:val="left" w:pos="6237"/>
        </w:tabs>
        <w:spacing w:after="240"/>
        <w:ind w:hanging="296"/>
        <w:jc w:val="both"/>
        <w:rPr>
          <w:sz w:val="22"/>
          <w:szCs w:val="22"/>
        </w:rPr>
      </w:pPr>
      <w:r>
        <w:rPr>
          <w:sz w:val="22"/>
          <w:szCs w:val="22"/>
        </w:rPr>
        <w:t>предпринимаемые на национальном уровне инициативы, подобные программе совершенствования методической работы, в значительной степени способствуют расширению теоретических и практических навыков методистов-консультантов;</w:t>
      </w:r>
    </w:p>
    <w:p w:rsidR="00000000" w:rsidRDefault="00000000">
      <w:pPr>
        <w:numPr>
          <w:ilvl w:val="0"/>
          <w:numId w:val="9"/>
        </w:numPr>
        <w:tabs>
          <w:tab w:val="left" w:pos="567"/>
          <w:tab w:val="left" w:pos="1701"/>
          <w:tab w:val="left" w:pos="2268"/>
          <w:tab w:val="left" w:pos="6237"/>
        </w:tabs>
        <w:ind w:hanging="296"/>
        <w:jc w:val="both"/>
        <w:rPr>
          <w:sz w:val="22"/>
          <w:szCs w:val="22"/>
        </w:rPr>
      </w:pPr>
      <w:r>
        <w:rPr>
          <w:sz w:val="22"/>
          <w:szCs w:val="22"/>
        </w:rPr>
        <w:t>учителям и методистам-консультантам приходится иметь дело с самыми разнообразными методическими материалами и приемами, призванными повышать качество обучения.  Это постоянно оказывало и будет оказывать влияние на рост качества образования.</w:t>
      </w:r>
    </w:p>
    <w:p w:rsidR="00000000" w:rsidRDefault="00000000">
      <w:pPr>
        <w:jc w:val="both"/>
        <w:rPr>
          <w:rStyle w:val="111"/>
          <w:szCs w:val="22"/>
          <w:lang w:val="en-US"/>
        </w:rPr>
      </w:pPr>
    </w:p>
    <w:p w:rsidR="00000000" w:rsidRDefault="00000000">
      <w:pPr>
        <w:jc w:val="both"/>
        <w:rPr>
          <w:rStyle w:val="111"/>
          <w:szCs w:val="22"/>
        </w:rPr>
      </w:pPr>
      <w:r>
        <w:rPr>
          <w:rStyle w:val="111"/>
          <w:szCs w:val="22"/>
        </w:rPr>
        <w:t xml:space="preserve">603. </w:t>
      </w:r>
      <w:r>
        <w:rPr>
          <w:rStyle w:val="111"/>
          <w:szCs w:val="22"/>
        </w:rPr>
        <w:tab/>
        <w:t>Программа "Джаншала" является совместной программой правительства Индии и пяти учреждений системы Организации Объединенных Наций.  ПРООН, ЮНИСЕФ, ЮНЕСКО, МОТ и ЮНФПА оказывают программную поддержку правительству, стремящемуся обеспечить всеобщее начальное образование</w:t>
      </w:r>
      <w:r>
        <w:rPr>
          <w:rStyle w:val="FootnoteReference"/>
          <w:szCs w:val="22"/>
        </w:rPr>
        <w:footnoteReference w:customMarkFollows="1" w:id="85"/>
        <w:t>84</w:t>
      </w:r>
      <w:r>
        <w:rPr>
          <w:rStyle w:val="111"/>
          <w:szCs w:val="22"/>
        </w:rPr>
        <w:t>.</w:t>
      </w:r>
    </w:p>
    <w:p w:rsidR="00000000" w:rsidRDefault="00000000">
      <w:pPr>
        <w:pStyle w:val="112"/>
        <w:rPr>
          <w:rStyle w:val="111"/>
          <w:szCs w:val="22"/>
        </w:rPr>
      </w:pPr>
      <w:r>
        <w:rPr>
          <w:rStyle w:val="111"/>
          <w:szCs w:val="22"/>
        </w:rPr>
        <w:tab/>
        <w:t>Национальная программа организации питания учащихся начальных школ (известная как программа школьных завтраков, или ПШЗ) была развернута в масштабах всей страны 15 августа 1995 года с целью придать импульс введению всеобщего начального образования и одновременно улучшить питание учащихся начальных классов в государственных, местных и субсидируемых правительством школах</w:t>
      </w:r>
      <w:r>
        <w:rPr>
          <w:rStyle w:val="FootnoteReference"/>
          <w:bCs/>
          <w:szCs w:val="22"/>
        </w:rPr>
        <w:footnoteReference w:customMarkFollows="1" w:id="86"/>
        <w:t>85</w:t>
      </w:r>
      <w:r>
        <w:rPr>
          <w:rStyle w:val="111"/>
          <w:szCs w:val="22"/>
        </w:rPr>
        <w:t>.</w:t>
      </w:r>
    </w:p>
    <w:p w:rsidR="00000000" w:rsidRDefault="00000000">
      <w:pPr>
        <w:pStyle w:val="112"/>
        <w:spacing w:after="120"/>
        <w:rPr>
          <w:b/>
          <w:bCs/>
        </w:rPr>
      </w:pPr>
      <w:r>
        <w:rPr>
          <w:b/>
          <w:bCs/>
        </w:rPr>
        <w:t>Таблица 13.6</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3"/>
        <w:gridCol w:w="1676"/>
        <w:gridCol w:w="2545"/>
        <w:gridCol w:w="2046"/>
        <w:gridCol w:w="1929"/>
      </w:tblGrid>
      <w:tr w:rsidR="00000000">
        <w:tblPrEx>
          <w:tblCellMar>
            <w:top w:w="0" w:type="dxa"/>
            <w:bottom w:w="0" w:type="dxa"/>
          </w:tblCellMar>
        </w:tblPrEx>
        <w:trPr>
          <w:jc w:val="center"/>
        </w:trPr>
        <w:tc>
          <w:tcPr>
            <w:tcW w:w="1326" w:type="dxa"/>
            <w:vAlign w:val="center"/>
          </w:tcPr>
          <w:p w:rsidR="00000000" w:rsidRDefault="00000000">
            <w:pPr>
              <w:spacing w:before="40" w:after="40"/>
              <w:ind w:left="-57" w:right="-57"/>
              <w:jc w:val="center"/>
              <w:rPr>
                <w:rStyle w:val="111"/>
                <w:sz w:val="20"/>
                <w:szCs w:val="20"/>
              </w:rPr>
            </w:pPr>
            <w:r>
              <w:rPr>
                <w:rStyle w:val="111"/>
                <w:sz w:val="20"/>
                <w:szCs w:val="20"/>
              </w:rPr>
              <w:t>Год</w:t>
            </w:r>
          </w:p>
        </w:tc>
        <w:tc>
          <w:tcPr>
            <w:tcW w:w="1540" w:type="dxa"/>
            <w:vAlign w:val="center"/>
          </w:tcPr>
          <w:p w:rsidR="00000000" w:rsidRDefault="00000000">
            <w:pPr>
              <w:spacing w:before="40" w:after="40"/>
              <w:ind w:left="-57" w:right="-57"/>
              <w:jc w:val="center"/>
              <w:rPr>
                <w:sz w:val="20"/>
                <w:szCs w:val="20"/>
              </w:rPr>
            </w:pPr>
            <w:r>
              <w:rPr>
                <w:rStyle w:val="111"/>
                <w:sz w:val="20"/>
                <w:szCs w:val="20"/>
              </w:rPr>
              <w:t>Число детей</w:t>
            </w:r>
            <w:r>
              <w:rPr>
                <w:rStyle w:val="111"/>
                <w:sz w:val="20"/>
                <w:szCs w:val="20"/>
              </w:rPr>
              <w:br/>
              <w:t>(млн.)</w:t>
            </w:r>
          </w:p>
        </w:tc>
        <w:tc>
          <w:tcPr>
            <w:tcW w:w="2338" w:type="dxa"/>
            <w:vAlign w:val="center"/>
          </w:tcPr>
          <w:p w:rsidR="00000000" w:rsidRDefault="00000000">
            <w:pPr>
              <w:spacing w:before="40" w:after="40"/>
              <w:ind w:left="-57" w:right="-57"/>
              <w:jc w:val="center"/>
              <w:rPr>
                <w:rStyle w:val="111"/>
                <w:sz w:val="20"/>
                <w:szCs w:val="20"/>
              </w:rPr>
            </w:pPr>
            <w:r>
              <w:rPr>
                <w:rStyle w:val="111"/>
                <w:sz w:val="20"/>
                <w:szCs w:val="20"/>
              </w:rPr>
              <w:t xml:space="preserve">Количество </w:t>
            </w:r>
            <w:r>
              <w:rPr>
                <w:rStyle w:val="111"/>
                <w:sz w:val="20"/>
                <w:szCs w:val="20"/>
              </w:rPr>
              <w:br/>
              <w:t xml:space="preserve">выделенного продовольствия </w:t>
            </w:r>
            <w:r>
              <w:rPr>
                <w:rStyle w:val="111"/>
                <w:sz w:val="20"/>
                <w:szCs w:val="20"/>
              </w:rPr>
              <w:br/>
              <w:t>(метрич. т)</w:t>
            </w:r>
          </w:p>
        </w:tc>
        <w:tc>
          <w:tcPr>
            <w:tcW w:w="1880" w:type="dxa"/>
            <w:vAlign w:val="center"/>
          </w:tcPr>
          <w:p w:rsidR="00000000" w:rsidRDefault="00000000">
            <w:pPr>
              <w:spacing w:before="40" w:after="40"/>
              <w:ind w:left="-57" w:right="-57"/>
              <w:jc w:val="center"/>
              <w:rPr>
                <w:rStyle w:val="111"/>
                <w:sz w:val="20"/>
                <w:szCs w:val="20"/>
              </w:rPr>
            </w:pPr>
            <w:r>
              <w:rPr>
                <w:rStyle w:val="111"/>
                <w:sz w:val="20"/>
                <w:szCs w:val="20"/>
              </w:rPr>
              <w:t>Количество отгруженного продовольствия (метрич. т)</w:t>
            </w:r>
          </w:p>
        </w:tc>
        <w:tc>
          <w:tcPr>
            <w:tcW w:w="1772" w:type="dxa"/>
            <w:vAlign w:val="center"/>
          </w:tcPr>
          <w:p w:rsidR="00000000" w:rsidRDefault="00000000">
            <w:pPr>
              <w:spacing w:before="40" w:after="40"/>
              <w:ind w:left="-57" w:right="-57"/>
              <w:jc w:val="center"/>
              <w:rPr>
                <w:rStyle w:val="111"/>
                <w:sz w:val="20"/>
                <w:szCs w:val="20"/>
              </w:rPr>
            </w:pPr>
            <w:r>
              <w:rPr>
                <w:rStyle w:val="111"/>
                <w:sz w:val="20"/>
                <w:szCs w:val="20"/>
              </w:rPr>
              <w:t xml:space="preserve">Расходы </w:t>
            </w:r>
            <w:r>
              <w:rPr>
                <w:rStyle w:val="111"/>
                <w:sz w:val="20"/>
                <w:szCs w:val="20"/>
              </w:rPr>
              <w:br/>
              <w:t>в млн. рупий</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1995/96</w:t>
            </w:r>
          </w:p>
        </w:tc>
        <w:tc>
          <w:tcPr>
            <w:tcW w:w="1540" w:type="dxa"/>
          </w:tcPr>
          <w:p w:rsidR="00000000" w:rsidRDefault="00000000">
            <w:pPr>
              <w:pStyle w:val="112"/>
              <w:tabs>
                <w:tab w:val="clear" w:pos="680"/>
                <w:tab w:val="clear" w:pos="1134"/>
                <w:tab w:val="decimal" w:pos="737"/>
              </w:tabs>
              <w:spacing w:before="40" w:after="40"/>
              <w:rPr>
                <w:sz w:val="20"/>
              </w:rPr>
            </w:pPr>
            <w:r>
              <w:rPr>
                <w:sz w:val="20"/>
              </w:rPr>
              <w:t>33,4</w:t>
            </w:r>
          </w:p>
        </w:tc>
        <w:tc>
          <w:tcPr>
            <w:tcW w:w="2338" w:type="dxa"/>
          </w:tcPr>
          <w:p w:rsidR="00000000" w:rsidRDefault="00000000">
            <w:pPr>
              <w:pStyle w:val="112"/>
              <w:tabs>
                <w:tab w:val="clear" w:pos="680"/>
                <w:tab w:val="clear" w:pos="1134"/>
                <w:tab w:val="decimal" w:pos="1531"/>
              </w:tabs>
              <w:spacing w:before="40" w:after="40"/>
              <w:rPr>
                <w:sz w:val="20"/>
              </w:rPr>
            </w:pPr>
            <w:r>
              <w:rPr>
                <w:sz w:val="20"/>
              </w:rPr>
              <w:t>713 223</w:t>
            </w:r>
          </w:p>
        </w:tc>
        <w:tc>
          <w:tcPr>
            <w:tcW w:w="1880" w:type="dxa"/>
          </w:tcPr>
          <w:p w:rsidR="00000000" w:rsidRDefault="00000000">
            <w:pPr>
              <w:pStyle w:val="112"/>
              <w:tabs>
                <w:tab w:val="clear" w:pos="680"/>
                <w:tab w:val="clear" w:pos="1134"/>
                <w:tab w:val="decimal" w:pos="1191"/>
              </w:tabs>
              <w:spacing w:before="40" w:after="40"/>
              <w:rPr>
                <w:sz w:val="20"/>
              </w:rPr>
            </w:pPr>
            <w:r>
              <w:rPr>
                <w:sz w:val="20"/>
              </w:rPr>
              <w:t>536 016</w:t>
            </w:r>
          </w:p>
        </w:tc>
        <w:tc>
          <w:tcPr>
            <w:tcW w:w="1772" w:type="dxa"/>
          </w:tcPr>
          <w:p w:rsidR="00000000" w:rsidRDefault="00000000">
            <w:pPr>
              <w:pStyle w:val="112"/>
              <w:tabs>
                <w:tab w:val="clear" w:pos="680"/>
                <w:tab w:val="clear" w:pos="1134"/>
                <w:tab w:val="decimal" w:pos="1021"/>
              </w:tabs>
              <w:spacing w:before="40" w:after="40"/>
              <w:rPr>
                <w:sz w:val="20"/>
              </w:rPr>
            </w:pPr>
            <w:r>
              <w:rPr>
                <w:sz w:val="20"/>
              </w:rPr>
              <w:t>4 412,1</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1996/97</w:t>
            </w:r>
          </w:p>
        </w:tc>
        <w:tc>
          <w:tcPr>
            <w:tcW w:w="1540" w:type="dxa"/>
          </w:tcPr>
          <w:p w:rsidR="00000000" w:rsidRDefault="00000000">
            <w:pPr>
              <w:pStyle w:val="112"/>
              <w:tabs>
                <w:tab w:val="clear" w:pos="680"/>
                <w:tab w:val="clear" w:pos="1134"/>
                <w:tab w:val="decimal" w:pos="737"/>
              </w:tabs>
              <w:spacing w:before="40" w:after="40"/>
              <w:rPr>
                <w:sz w:val="20"/>
              </w:rPr>
            </w:pPr>
            <w:r>
              <w:rPr>
                <w:sz w:val="20"/>
              </w:rPr>
              <w:t>55,7</w:t>
            </w:r>
          </w:p>
        </w:tc>
        <w:tc>
          <w:tcPr>
            <w:tcW w:w="2338" w:type="dxa"/>
          </w:tcPr>
          <w:p w:rsidR="00000000" w:rsidRDefault="00000000">
            <w:pPr>
              <w:pStyle w:val="112"/>
              <w:tabs>
                <w:tab w:val="clear" w:pos="680"/>
                <w:tab w:val="clear" w:pos="1134"/>
                <w:tab w:val="decimal" w:pos="1531"/>
              </w:tabs>
              <w:spacing w:before="40" w:after="40"/>
              <w:rPr>
                <w:sz w:val="20"/>
              </w:rPr>
            </w:pPr>
            <w:r>
              <w:rPr>
                <w:sz w:val="20"/>
              </w:rPr>
              <w:t>1 585 388</w:t>
            </w:r>
          </w:p>
        </w:tc>
        <w:tc>
          <w:tcPr>
            <w:tcW w:w="1880" w:type="dxa"/>
          </w:tcPr>
          <w:p w:rsidR="00000000" w:rsidRDefault="00000000">
            <w:pPr>
              <w:pStyle w:val="112"/>
              <w:tabs>
                <w:tab w:val="clear" w:pos="680"/>
                <w:tab w:val="clear" w:pos="1134"/>
                <w:tab w:val="decimal" w:pos="1191"/>
              </w:tabs>
              <w:spacing w:before="40" w:after="40"/>
              <w:rPr>
                <w:sz w:val="20"/>
              </w:rPr>
            </w:pPr>
            <w:r>
              <w:rPr>
                <w:sz w:val="20"/>
              </w:rPr>
              <w:t>112 489</w:t>
            </w:r>
          </w:p>
        </w:tc>
        <w:tc>
          <w:tcPr>
            <w:tcW w:w="1772" w:type="dxa"/>
          </w:tcPr>
          <w:p w:rsidR="00000000" w:rsidRDefault="00000000">
            <w:pPr>
              <w:pStyle w:val="112"/>
              <w:tabs>
                <w:tab w:val="clear" w:pos="680"/>
                <w:tab w:val="clear" w:pos="1134"/>
                <w:tab w:val="decimal" w:pos="1021"/>
              </w:tabs>
              <w:spacing w:before="40" w:after="40"/>
              <w:rPr>
                <w:sz w:val="20"/>
              </w:rPr>
            </w:pPr>
            <w:r>
              <w:rPr>
                <w:sz w:val="20"/>
              </w:rPr>
              <w:t>8 000,0</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1997/98</w:t>
            </w:r>
          </w:p>
        </w:tc>
        <w:tc>
          <w:tcPr>
            <w:tcW w:w="1540" w:type="dxa"/>
          </w:tcPr>
          <w:p w:rsidR="00000000" w:rsidRDefault="00000000">
            <w:pPr>
              <w:pStyle w:val="112"/>
              <w:tabs>
                <w:tab w:val="clear" w:pos="680"/>
                <w:tab w:val="clear" w:pos="1134"/>
                <w:tab w:val="decimal" w:pos="737"/>
              </w:tabs>
              <w:spacing w:before="40" w:after="40"/>
              <w:rPr>
                <w:sz w:val="20"/>
              </w:rPr>
            </w:pPr>
            <w:r>
              <w:rPr>
                <w:sz w:val="20"/>
              </w:rPr>
              <w:t>91</w:t>
            </w:r>
          </w:p>
        </w:tc>
        <w:tc>
          <w:tcPr>
            <w:tcW w:w="2338" w:type="dxa"/>
          </w:tcPr>
          <w:p w:rsidR="00000000" w:rsidRDefault="00000000">
            <w:pPr>
              <w:pStyle w:val="112"/>
              <w:tabs>
                <w:tab w:val="clear" w:pos="680"/>
                <w:tab w:val="clear" w:pos="1134"/>
                <w:tab w:val="decimal" w:pos="1531"/>
              </w:tabs>
              <w:spacing w:before="40" w:after="40"/>
              <w:rPr>
                <w:sz w:val="20"/>
              </w:rPr>
            </w:pPr>
            <w:r>
              <w:rPr>
                <w:sz w:val="20"/>
              </w:rPr>
              <w:t>2 567 372</w:t>
            </w:r>
          </w:p>
        </w:tc>
        <w:tc>
          <w:tcPr>
            <w:tcW w:w="1880" w:type="dxa"/>
          </w:tcPr>
          <w:p w:rsidR="00000000" w:rsidRDefault="00000000">
            <w:pPr>
              <w:pStyle w:val="112"/>
              <w:tabs>
                <w:tab w:val="clear" w:pos="680"/>
                <w:tab w:val="clear" w:pos="1134"/>
                <w:tab w:val="decimal" w:pos="1191"/>
              </w:tabs>
              <w:spacing w:before="40" w:after="40"/>
              <w:rPr>
                <w:sz w:val="20"/>
              </w:rPr>
            </w:pPr>
            <w:r>
              <w:rPr>
                <w:sz w:val="20"/>
              </w:rPr>
              <w:t>1 810 164</w:t>
            </w:r>
          </w:p>
        </w:tc>
        <w:tc>
          <w:tcPr>
            <w:tcW w:w="1772" w:type="dxa"/>
          </w:tcPr>
          <w:p w:rsidR="00000000" w:rsidRDefault="00000000">
            <w:pPr>
              <w:pStyle w:val="112"/>
              <w:tabs>
                <w:tab w:val="clear" w:pos="680"/>
                <w:tab w:val="clear" w:pos="1134"/>
                <w:tab w:val="decimal" w:pos="1021"/>
              </w:tabs>
              <w:spacing w:before="40" w:after="40"/>
              <w:rPr>
                <w:sz w:val="20"/>
              </w:rPr>
            </w:pPr>
            <w:r>
              <w:rPr>
                <w:sz w:val="20"/>
              </w:rPr>
              <w:t>10 703,8</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1998/99</w:t>
            </w:r>
          </w:p>
        </w:tc>
        <w:tc>
          <w:tcPr>
            <w:tcW w:w="1540" w:type="dxa"/>
          </w:tcPr>
          <w:p w:rsidR="00000000" w:rsidRDefault="00000000">
            <w:pPr>
              <w:pStyle w:val="112"/>
              <w:tabs>
                <w:tab w:val="clear" w:pos="680"/>
                <w:tab w:val="clear" w:pos="1134"/>
                <w:tab w:val="decimal" w:pos="737"/>
              </w:tabs>
              <w:spacing w:before="40" w:after="40"/>
              <w:rPr>
                <w:sz w:val="20"/>
              </w:rPr>
            </w:pPr>
            <w:r>
              <w:rPr>
                <w:sz w:val="20"/>
              </w:rPr>
              <w:t>97,9</w:t>
            </w:r>
          </w:p>
        </w:tc>
        <w:tc>
          <w:tcPr>
            <w:tcW w:w="2338" w:type="dxa"/>
          </w:tcPr>
          <w:p w:rsidR="00000000" w:rsidRDefault="00000000">
            <w:pPr>
              <w:pStyle w:val="112"/>
              <w:tabs>
                <w:tab w:val="clear" w:pos="680"/>
                <w:tab w:val="clear" w:pos="1134"/>
                <w:tab w:val="decimal" w:pos="1531"/>
              </w:tabs>
              <w:spacing w:before="40" w:after="40"/>
              <w:rPr>
                <w:sz w:val="20"/>
              </w:rPr>
            </w:pPr>
            <w:r>
              <w:rPr>
                <w:sz w:val="20"/>
              </w:rPr>
              <w:t>2 706 274</w:t>
            </w:r>
          </w:p>
        </w:tc>
        <w:tc>
          <w:tcPr>
            <w:tcW w:w="1880" w:type="dxa"/>
          </w:tcPr>
          <w:p w:rsidR="00000000" w:rsidRDefault="00000000">
            <w:pPr>
              <w:pStyle w:val="112"/>
              <w:tabs>
                <w:tab w:val="clear" w:pos="680"/>
                <w:tab w:val="clear" w:pos="1134"/>
                <w:tab w:val="decimal" w:pos="1191"/>
              </w:tabs>
              <w:spacing w:before="40" w:after="40"/>
              <w:rPr>
                <w:sz w:val="20"/>
              </w:rPr>
            </w:pPr>
            <w:r>
              <w:rPr>
                <w:sz w:val="20"/>
              </w:rPr>
              <w:t>1 147 917</w:t>
            </w:r>
          </w:p>
        </w:tc>
        <w:tc>
          <w:tcPr>
            <w:tcW w:w="1772" w:type="dxa"/>
          </w:tcPr>
          <w:p w:rsidR="00000000" w:rsidRDefault="00000000">
            <w:pPr>
              <w:pStyle w:val="112"/>
              <w:tabs>
                <w:tab w:val="clear" w:pos="680"/>
                <w:tab w:val="clear" w:pos="1134"/>
                <w:tab w:val="decimal" w:pos="1021"/>
              </w:tabs>
              <w:spacing w:before="40" w:after="40"/>
              <w:rPr>
                <w:sz w:val="20"/>
              </w:rPr>
            </w:pPr>
            <w:r>
              <w:rPr>
                <w:sz w:val="20"/>
              </w:rPr>
              <w:t>16 001,5</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1999/2000</w:t>
            </w:r>
          </w:p>
        </w:tc>
        <w:tc>
          <w:tcPr>
            <w:tcW w:w="1540" w:type="dxa"/>
          </w:tcPr>
          <w:p w:rsidR="00000000" w:rsidRDefault="00000000">
            <w:pPr>
              <w:pStyle w:val="112"/>
              <w:tabs>
                <w:tab w:val="clear" w:pos="680"/>
                <w:tab w:val="clear" w:pos="1134"/>
                <w:tab w:val="decimal" w:pos="737"/>
              </w:tabs>
              <w:spacing w:before="40" w:after="40"/>
              <w:rPr>
                <w:sz w:val="20"/>
              </w:rPr>
            </w:pPr>
            <w:r>
              <w:rPr>
                <w:sz w:val="20"/>
              </w:rPr>
              <w:t>99</w:t>
            </w:r>
          </w:p>
        </w:tc>
        <w:tc>
          <w:tcPr>
            <w:tcW w:w="2338" w:type="dxa"/>
          </w:tcPr>
          <w:p w:rsidR="00000000" w:rsidRDefault="00000000">
            <w:pPr>
              <w:pStyle w:val="112"/>
              <w:tabs>
                <w:tab w:val="clear" w:pos="680"/>
                <w:tab w:val="clear" w:pos="1134"/>
                <w:tab w:val="decimal" w:pos="1531"/>
              </w:tabs>
              <w:spacing w:before="40" w:after="40"/>
              <w:rPr>
                <w:sz w:val="20"/>
              </w:rPr>
            </w:pPr>
            <w:r>
              <w:rPr>
                <w:sz w:val="20"/>
              </w:rPr>
              <w:t>2 767 251</w:t>
            </w:r>
          </w:p>
        </w:tc>
        <w:tc>
          <w:tcPr>
            <w:tcW w:w="1880" w:type="dxa"/>
          </w:tcPr>
          <w:p w:rsidR="00000000" w:rsidRDefault="00000000">
            <w:pPr>
              <w:pStyle w:val="112"/>
              <w:tabs>
                <w:tab w:val="clear" w:pos="680"/>
                <w:tab w:val="clear" w:pos="1134"/>
                <w:tab w:val="decimal" w:pos="1191"/>
              </w:tabs>
              <w:spacing w:before="40" w:after="40"/>
              <w:rPr>
                <w:sz w:val="20"/>
              </w:rPr>
            </w:pPr>
            <w:r>
              <w:rPr>
                <w:sz w:val="20"/>
              </w:rPr>
              <w:t>1 401 765</w:t>
            </w:r>
          </w:p>
        </w:tc>
        <w:tc>
          <w:tcPr>
            <w:tcW w:w="1772" w:type="dxa"/>
          </w:tcPr>
          <w:p w:rsidR="00000000" w:rsidRDefault="00000000">
            <w:pPr>
              <w:pStyle w:val="112"/>
              <w:tabs>
                <w:tab w:val="clear" w:pos="680"/>
                <w:tab w:val="clear" w:pos="1134"/>
                <w:tab w:val="decimal" w:pos="1021"/>
              </w:tabs>
              <w:spacing w:before="40" w:after="40"/>
              <w:rPr>
                <w:sz w:val="20"/>
              </w:rPr>
            </w:pPr>
            <w:r>
              <w:rPr>
                <w:sz w:val="20"/>
              </w:rPr>
              <w:t>15 000</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2000/01</w:t>
            </w:r>
          </w:p>
        </w:tc>
        <w:tc>
          <w:tcPr>
            <w:tcW w:w="1540" w:type="dxa"/>
          </w:tcPr>
          <w:p w:rsidR="00000000" w:rsidRDefault="00000000">
            <w:pPr>
              <w:pStyle w:val="112"/>
              <w:tabs>
                <w:tab w:val="clear" w:pos="680"/>
                <w:tab w:val="clear" w:pos="1134"/>
                <w:tab w:val="decimal" w:pos="737"/>
              </w:tabs>
              <w:spacing w:before="40" w:after="40"/>
              <w:rPr>
                <w:sz w:val="20"/>
              </w:rPr>
            </w:pPr>
            <w:r>
              <w:rPr>
                <w:sz w:val="20"/>
              </w:rPr>
              <w:t>105,4</w:t>
            </w:r>
          </w:p>
        </w:tc>
        <w:tc>
          <w:tcPr>
            <w:tcW w:w="2338" w:type="dxa"/>
          </w:tcPr>
          <w:p w:rsidR="00000000" w:rsidRDefault="00000000">
            <w:pPr>
              <w:pStyle w:val="112"/>
              <w:tabs>
                <w:tab w:val="clear" w:pos="680"/>
                <w:tab w:val="clear" w:pos="1134"/>
                <w:tab w:val="decimal" w:pos="1531"/>
              </w:tabs>
              <w:spacing w:before="40" w:after="40"/>
              <w:rPr>
                <w:sz w:val="20"/>
              </w:rPr>
            </w:pPr>
            <w:r>
              <w:rPr>
                <w:sz w:val="20"/>
              </w:rPr>
              <w:t>2 480 692</w:t>
            </w:r>
          </w:p>
        </w:tc>
        <w:tc>
          <w:tcPr>
            <w:tcW w:w="1880" w:type="dxa"/>
          </w:tcPr>
          <w:p w:rsidR="00000000" w:rsidRDefault="00000000">
            <w:pPr>
              <w:pStyle w:val="112"/>
              <w:tabs>
                <w:tab w:val="clear" w:pos="680"/>
                <w:tab w:val="clear" w:pos="1134"/>
                <w:tab w:val="decimal" w:pos="1191"/>
              </w:tabs>
              <w:spacing w:before="40" w:after="40"/>
              <w:rPr>
                <w:sz w:val="20"/>
              </w:rPr>
            </w:pPr>
            <w:r>
              <w:rPr>
                <w:sz w:val="20"/>
              </w:rPr>
              <w:t>1 517 816</w:t>
            </w:r>
          </w:p>
        </w:tc>
        <w:tc>
          <w:tcPr>
            <w:tcW w:w="1772" w:type="dxa"/>
          </w:tcPr>
          <w:p w:rsidR="00000000" w:rsidRDefault="00000000">
            <w:pPr>
              <w:pStyle w:val="112"/>
              <w:tabs>
                <w:tab w:val="clear" w:pos="680"/>
                <w:tab w:val="clear" w:pos="1134"/>
                <w:tab w:val="decimal" w:pos="1021"/>
              </w:tabs>
              <w:spacing w:before="40" w:after="40"/>
              <w:rPr>
                <w:sz w:val="20"/>
              </w:rPr>
            </w:pPr>
            <w:r>
              <w:rPr>
                <w:sz w:val="20"/>
              </w:rPr>
              <w:t>13 000</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2001/02</w:t>
            </w:r>
          </w:p>
        </w:tc>
        <w:tc>
          <w:tcPr>
            <w:tcW w:w="1540" w:type="dxa"/>
          </w:tcPr>
          <w:p w:rsidR="00000000" w:rsidRDefault="00000000">
            <w:pPr>
              <w:pStyle w:val="112"/>
              <w:tabs>
                <w:tab w:val="clear" w:pos="680"/>
                <w:tab w:val="clear" w:pos="1134"/>
                <w:tab w:val="decimal" w:pos="737"/>
              </w:tabs>
              <w:spacing w:before="40" w:after="40"/>
              <w:rPr>
                <w:sz w:val="20"/>
              </w:rPr>
            </w:pPr>
            <w:r>
              <w:rPr>
                <w:sz w:val="20"/>
              </w:rPr>
              <w:t>103,5</w:t>
            </w:r>
          </w:p>
        </w:tc>
        <w:tc>
          <w:tcPr>
            <w:tcW w:w="2338" w:type="dxa"/>
          </w:tcPr>
          <w:p w:rsidR="00000000" w:rsidRDefault="00000000">
            <w:pPr>
              <w:pStyle w:val="112"/>
              <w:tabs>
                <w:tab w:val="clear" w:pos="680"/>
                <w:tab w:val="clear" w:pos="1134"/>
                <w:tab w:val="decimal" w:pos="1531"/>
              </w:tabs>
              <w:spacing w:before="40" w:after="40"/>
              <w:rPr>
                <w:sz w:val="20"/>
              </w:rPr>
            </w:pPr>
            <w:r>
              <w:rPr>
                <w:sz w:val="20"/>
              </w:rPr>
              <w:t>2 862 475</w:t>
            </w:r>
          </w:p>
        </w:tc>
        <w:tc>
          <w:tcPr>
            <w:tcW w:w="1880" w:type="dxa"/>
          </w:tcPr>
          <w:p w:rsidR="00000000" w:rsidRDefault="00000000">
            <w:pPr>
              <w:pStyle w:val="112"/>
              <w:tabs>
                <w:tab w:val="clear" w:pos="680"/>
                <w:tab w:val="clear" w:pos="1134"/>
                <w:tab w:val="decimal" w:pos="1191"/>
              </w:tabs>
              <w:spacing w:before="40" w:after="40"/>
              <w:rPr>
                <w:sz w:val="20"/>
              </w:rPr>
            </w:pPr>
            <w:r>
              <w:rPr>
                <w:sz w:val="20"/>
              </w:rPr>
              <w:t>2 076 764</w:t>
            </w:r>
          </w:p>
        </w:tc>
        <w:tc>
          <w:tcPr>
            <w:tcW w:w="1772" w:type="dxa"/>
          </w:tcPr>
          <w:p w:rsidR="00000000" w:rsidRDefault="00000000">
            <w:pPr>
              <w:pStyle w:val="112"/>
              <w:tabs>
                <w:tab w:val="clear" w:pos="680"/>
                <w:tab w:val="clear" w:pos="1134"/>
                <w:tab w:val="decimal" w:pos="1021"/>
              </w:tabs>
              <w:spacing w:before="40" w:after="40"/>
              <w:rPr>
                <w:sz w:val="20"/>
              </w:rPr>
            </w:pPr>
            <w:r>
              <w:rPr>
                <w:sz w:val="20"/>
              </w:rPr>
              <w:t>10 302,7</w:t>
            </w:r>
          </w:p>
        </w:tc>
      </w:tr>
      <w:tr w:rsidR="00000000">
        <w:tblPrEx>
          <w:tblCellMar>
            <w:top w:w="0" w:type="dxa"/>
            <w:bottom w:w="0" w:type="dxa"/>
          </w:tblCellMar>
        </w:tblPrEx>
        <w:trPr>
          <w:jc w:val="center"/>
        </w:trPr>
        <w:tc>
          <w:tcPr>
            <w:tcW w:w="1326" w:type="dxa"/>
          </w:tcPr>
          <w:p w:rsidR="00000000" w:rsidRDefault="00000000">
            <w:pPr>
              <w:pStyle w:val="112"/>
              <w:spacing w:before="40" w:after="40"/>
              <w:rPr>
                <w:sz w:val="20"/>
              </w:rPr>
            </w:pPr>
            <w:r>
              <w:rPr>
                <w:sz w:val="20"/>
              </w:rPr>
              <w:t>2002/03</w:t>
            </w:r>
          </w:p>
        </w:tc>
        <w:tc>
          <w:tcPr>
            <w:tcW w:w="1540" w:type="dxa"/>
          </w:tcPr>
          <w:p w:rsidR="00000000" w:rsidRDefault="00000000">
            <w:pPr>
              <w:pStyle w:val="112"/>
              <w:tabs>
                <w:tab w:val="clear" w:pos="680"/>
                <w:tab w:val="clear" w:pos="1134"/>
                <w:tab w:val="decimal" w:pos="737"/>
              </w:tabs>
              <w:spacing w:before="40" w:after="40"/>
              <w:rPr>
                <w:sz w:val="20"/>
              </w:rPr>
            </w:pPr>
            <w:r>
              <w:rPr>
                <w:sz w:val="20"/>
              </w:rPr>
              <w:t>102,6</w:t>
            </w:r>
          </w:p>
        </w:tc>
        <w:tc>
          <w:tcPr>
            <w:tcW w:w="2338" w:type="dxa"/>
          </w:tcPr>
          <w:p w:rsidR="00000000" w:rsidRDefault="00000000">
            <w:pPr>
              <w:pStyle w:val="112"/>
              <w:tabs>
                <w:tab w:val="clear" w:pos="680"/>
                <w:tab w:val="clear" w:pos="1134"/>
                <w:tab w:val="decimal" w:pos="1531"/>
              </w:tabs>
              <w:spacing w:before="40" w:after="40"/>
              <w:rPr>
                <w:sz w:val="20"/>
              </w:rPr>
            </w:pPr>
            <w:r>
              <w:rPr>
                <w:sz w:val="20"/>
              </w:rPr>
              <w:t>2 826 248</w:t>
            </w:r>
          </w:p>
        </w:tc>
        <w:tc>
          <w:tcPr>
            <w:tcW w:w="1880" w:type="dxa"/>
          </w:tcPr>
          <w:p w:rsidR="00000000" w:rsidRDefault="00000000">
            <w:pPr>
              <w:pStyle w:val="112"/>
              <w:tabs>
                <w:tab w:val="clear" w:pos="680"/>
                <w:tab w:val="clear" w:pos="1134"/>
                <w:tab w:val="decimal" w:pos="1191"/>
              </w:tabs>
              <w:spacing w:before="40" w:after="40"/>
              <w:rPr>
                <w:sz w:val="20"/>
              </w:rPr>
            </w:pPr>
            <w:r>
              <w:rPr>
                <w:sz w:val="20"/>
              </w:rPr>
              <w:t>901 756</w:t>
            </w:r>
          </w:p>
        </w:tc>
        <w:tc>
          <w:tcPr>
            <w:tcW w:w="1772" w:type="dxa"/>
          </w:tcPr>
          <w:p w:rsidR="00000000" w:rsidRDefault="00000000">
            <w:pPr>
              <w:pStyle w:val="112"/>
              <w:tabs>
                <w:tab w:val="clear" w:pos="680"/>
                <w:tab w:val="clear" w:pos="1134"/>
                <w:tab w:val="decimal" w:pos="1021"/>
              </w:tabs>
              <w:spacing w:before="40" w:after="40"/>
              <w:rPr>
                <w:sz w:val="20"/>
              </w:rPr>
            </w:pPr>
            <w:r>
              <w:rPr>
                <w:sz w:val="20"/>
              </w:rPr>
              <w:t>9 524,4</w:t>
            </w:r>
          </w:p>
        </w:tc>
      </w:tr>
    </w:tbl>
    <w:p w:rsidR="00000000" w:rsidRDefault="00000000">
      <w:pPr>
        <w:pStyle w:val="a3"/>
        <w:spacing w:before="120"/>
      </w:pPr>
      <w:r>
        <w:t>(до сентября 2002 года)</w:t>
      </w:r>
    </w:p>
    <w:p w:rsidR="00000000" w:rsidRDefault="00000000">
      <w:pPr>
        <w:pStyle w:val="112"/>
        <w:spacing w:before="480" w:after="240"/>
      </w:pPr>
      <w:r>
        <w:tab/>
        <w:t xml:space="preserve">Судебные органы в ряде случаев поддержали эти планы правительства Индии и вынесли рекомендации о повышении их эффективности.  </w:t>
      </w:r>
    </w:p>
    <w:p w:rsidR="00000000" w:rsidRDefault="00000000">
      <w:pPr>
        <w:numPr>
          <w:ilvl w:val="0"/>
          <w:numId w:val="10"/>
        </w:numPr>
        <w:tabs>
          <w:tab w:val="left" w:pos="567"/>
          <w:tab w:val="left" w:pos="1134"/>
          <w:tab w:val="left" w:pos="2268"/>
          <w:tab w:val="left" w:pos="6237"/>
        </w:tabs>
        <w:ind w:left="1134" w:hanging="414"/>
        <w:jc w:val="both"/>
        <w:rPr>
          <w:rStyle w:val="111"/>
          <w:szCs w:val="22"/>
        </w:rPr>
      </w:pPr>
      <w:r>
        <w:rPr>
          <w:rStyle w:val="111"/>
          <w:szCs w:val="22"/>
        </w:rPr>
        <w:t>В качестве неформальной программы правительство приняло систему гарантированного образования и альтернативных и новаторских форм обучения (СГО и АНО)</w:t>
      </w:r>
      <w:r>
        <w:rPr>
          <w:rStyle w:val="FootnoteReference"/>
          <w:szCs w:val="22"/>
        </w:rPr>
        <w:footnoteReference w:customMarkFollows="1" w:id="87"/>
        <w:t>86</w:t>
      </w:r>
      <w:r>
        <w:rPr>
          <w:rStyle w:val="111"/>
          <w:szCs w:val="22"/>
        </w:rPr>
        <w:t>.</w:t>
      </w:r>
    </w:p>
    <w:p w:rsidR="00000000" w:rsidRDefault="00000000">
      <w:pPr>
        <w:spacing w:after="40"/>
        <w:jc w:val="both"/>
        <w:rPr>
          <w:b/>
          <w:bCs/>
          <w:sz w:val="22"/>
          <w:szCs w:val="22"/>
          <w:lang w:val="en-US"/>
        </w:rPr>
      </w:pPr>
    </w:p>
    <w:p w:rsidR="00000000" w:rsidRDefault="00000000">
      <w:pPr>
        <w:spacing w:after="40"/>
        <w:jc w:val="center"/>
        <w:rPr>
          <w:b/>
          <w:bCs/>
          <w:sz w:val="22"/>
          <w:szCs w:val="22"/>
        </w:rPr>
      </w:pPr>
      <w:r>
        <w:rPr>
          <w:b/>
          <w:bCs/>
          <w:sz w:val="22"/>
          <w:szCs w:val="22"/>
        </w:rPr>
        <w:t>Таблица 13.7.</w:t>
      </w:r>
      <w:r>
        <w:rPr>
          <w:b/>
          <w:bCs/>
          <w:sz w:val="22"/>
          <w:szCs w:val="22"/>
        </w:rPr>
        <w:tab/>
        <w:t>Количество центров СГО и АНО</w:t>
      </w: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6"/>
        <w:gridCol w:w="2199"/>
      </w:tblGrid>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Штат</w:t>
            </w:r>
          </w:p>
        </w:tc>
        <w:tc>
          <w:tcPr>
            <w:tcW w:w="2199" w:type="dxa"/>
          </w:tcPr>
          <w:p w:rsidR="00000000" w:rsidRDefault="00000000">
            <w:pPr>
              <w:pStyle w:val="112"/>
              <w:spacing w:before="40" w:after="40"/>
              <w:jc w:val="center"/>
              <w:rPr>
                <w:sz w:val="20"/>
              </w:rPr>
            </w:pPr>
            <w:r>
              <w:rPr>
                <w:sz w:val="20"/>
              </w:rPr>
              <w:t>Количество центров</w:t>
            </w:r>
          </w:p>
        </w:tc>
      </w:tr>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Андхра-Прадеш</w:t>
            </w:r>
          </w:p>
        </w:tc>
        <w:tc>
          <w:tcPr>
            <w:tcW w:w="2199" w:type="dxa"/>
          </w:tcPr>
          <w:p w:rsidR="00000000" w:rsidRDefault="00000000">
            <w:pPr>
              <w:pStyle w:val="112"/>
              <w:tabs>
                <w:tab w:val="clear" w:pos="680"/>
                <w:tab w:val="decimal" w:pos="1134"/>
              </w:tabs>
              <w:spacing w:before="40" w:after="40"/>
              <w:jc w:val="center"/>
              <w:rPr>
                <w:sz w:val="20"/>
              </w:rPr>
            </w:pPr>
            <w:r>
              <w:rPr>
                <w:sz w:val="20"/>
              </w:rPr>
              <w:t>11 011</w:t>
            </w:r>
          </w:p>
        </w:tc>
      </w:tr>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Джамму и Кашмир</w:t>
            </w:r>
          </w:p>
        </w:tc>
        <w:tc>
          <w:tcPr>
            <w:tcW w:w="2199" w:type="dxa"/>
          </w:tcPr>
          <w:p w:rsidR="00000000" w:rsidRDefault="00000000">
            <w:pPr>
              <w:pStyle w:val="112"/>
              <w:tabs>
                <w:tab w:val="clear" w:pos="680"/>
                <w:tab w:val="decimal" w:pos="1134"/>
              </w:tabs>
              <w:spacing w:before="40" w:after="40"/>
              <w:jc w:val="center"/>
              <w:rPr>
                <w:sz w:val="20"/>
              </w:rPr>
            </w:pPr>
            <w:r>
              <w:rPr>
                <w:sz w:val="20"/>
              </w:rPr>
              <w:t>2 273</w:t>
            </w:r>
          </w:p>
        </w:tc>
      </w:tr>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Карнатака</w:t>
            </w:r>
          </w:p>
        </w:tc>
        <w:tc>
          <w:tcPr>
            <w:tcW w:w="2199" w:type="dxa"/>
          </w:tcPr>
          <w:p w:rsidR="00000000" w:rsidRDefault="00000000">
            <w:pPr>
              <w:pStyle w:val="112"/>
              <w:tabs>
                <w:tab w:val="clear" w:pos="680"/>
                <w:tab w:val="decimal" w:pos="1134"/>
              </w:tabs>
              <w:spacing w:before="40" w:after="40"/>
              <w:jc w:val="center"/>
              <w:rPr>
                <w:sz w:val="20"/>
              </w:rPr>
            </w:pPr>
            <w:r>
              <w:rPr>
                <w:sz w:val="20"/>
              </w:rPr>
              <w:t>1 552</w:t>
            </w:r>
          </w:p>
        </w:tc>
      </w:tr>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Мадхья-Прадеш</w:t>
            </w:r>
          </w:p>
        </w:tc>
        <w:tc>
          <w:tcPr>
            <w:tcW w:w="2199" w:type="dxa"/>
          </w:tcPr>
          <w:p w:rsidR="00000000" w:rsidRDefault="00000000">
            <w:pPr>
              <w:pStyle w:val="112"/>
              <w:tabs>
                <w:tab w:val="clear" w:pos="680"/>
                <w:tab w:val="decimal" w:pos="1134"/>
              </w:tabs>
              <w:spacing w:before="40" w:after="40"/>
              <w:jc w:val="center"/>
              <w:rPr>
                <w:sz w:val="20"/>
              </w:rPr>
            </w:pPr>
            <w:r>
              <w:rPr>
                <w:sz w:val="20"/>
              </w:rPr>
              <w:t>20 378</w:t>
            </w:r>
          </w:p>
        </w:tc>
      </w:tr>
      <w:tr w:rsidR="00000000">
        <w:tblPrEx>
          <w:tblCellMar>
            <w:top w:w="0" w:type="dxa"/>
            <w:bottom w:w="0" w:type="dxa"/>
          </w:tblCellMar>
        </w:tblPrEx>
        <w:trPr>
          <w:jc w:val="center"/>
        </w:trPr>
        <w:tc>
          <w:tcPr>
            <w:tcW w:w="2716" w:type="dxa"/>
          </w:tcPr>
          <w:p w:rsidR="00000000" w:rsidRDefault="00000000">
            <w:pPr>
              <w:pStyle w:val="112"/>
              <w:spacing w:before="40" w:after="40"/>
              <w:jc w:val="center"/>
              <w:rPr>
                <w:sz w:val="20"/>
              </w:rPr>
            </w:pPr>
            <w:r>
              <w:rPr>
                <w:sz w:val="20"/>
              </w:rPr>
              <w:t>Махараштра</w:t>
            </w:r>
          </w:p>
        </w:tc>
        <w:tc>
          <w:tcPr>
            <w:tcW w:w="2199" w:type="dxa"/>
          </w:tcPr>
          <w:p w:rsidR="00000000" w:rsidRDefault="00000000">
            <w:pPr>
              <w:pStyle w:val="112"/>
              <w:tabs>
                <w:tab w:val="clear" w:pos="680"/>
                <w:tab w:val="decimal" w:pos="1134"/>
              </w:tabs>
              <w:spacing w:before="40" w:after="40"/>
              <w:jc w:val="center"/>
              <w:rPr>
                <w:sz w:val="20"/>
              </w:rPr>
            </w:pPr>
            <w:r>
              <w:rPr>
                <w:sz w:val="20"/>
              </w:rPr>
              <w:t>4 478</w:t>
            </w:r>
          </w:p>
        </w:tc>
      </w:tr>
      <w:tr w:rsidR="00000000">
        <w:tblPrEx>
          <w:tblCellMar>
            <w:top w:w="0" w:type="dxa"/>
            <w:bottom w:w="0" w:type="dxa"/>
          </w:tblCellMar>
        </w:tblPrEx>
        <w:trPr>
          <w:jc w:val="center"/>
        </w:trPr>
        <w:tc>
          <w:tcPr>
            <w:tcW w:w="2716" w:type="dxa"/>
          </w:tcPr>
          <w:p w:rsidR="00000000" w:rsidRDefault="00000000">
            <w:pPr>
              <w:pStyle w:val="112"/>
              <w:spacing w:before="40" w:after="40"/>
              <w:rPr>
                <w:sz w:val="20"/>
              </w:rPr>
            </w:pPr>
            <w:r>
              <w:rPr>
                <w:sz w:val="20"/>
              </w:rPr>
              <w:t>Орисса</w:t>
            </w:r>
          </w:p>
        </w:tc>
        <w:tc>
          <w:tcPr>
            <w:tcW w:w="2199" w:type="dxa"/>
          </w:tcPr>
          <w:p w:rsidR="00000000" w:rsidRDefault="00000000">
            <w:pPr>
              <w:pStyle w:val="112"/>
              <w:tabs>
                <w:tab w:val="clear" w:pos="680"/>
                <w:tab w:val="decimal" w:pos="1134"/>
              </w:tabs>
              <w:spacing w:before="40" w:after="40"/>
              <w:rPr>
                <w:sz w:val="20"/>
              </w:rPr>
            </w:pPr>
            <w:r>
              <w:rPr>
                <w:sz w:val="20"/>
              </w:rPr>
              <w:t>9 673</w:t>
            </w:r>
          </w:p>
        </w:tc>
      </w:tr>
      <w:tr w:rsidR="00000000">
        <w:tblPrEx>
          <w:tblCellMar>
            <w:top w:w="0" w:type="dxa"/>
            <w:bottom w:w="0" w:type="dxa"/>
          </w:tblCellMar>
        </w:tblPrEx>
        <w:trPr>
          <w:jc w:val="center"/>
        </w:trPr>
        <w:tc>
          <w:tcPr>
            <w:tcW w:w="2716" w:type="dxa"/>
          </w:tcPr>
          <w:p w:rsidR="00000000" w:rsidRDefault="00000000">
            <w:pPr>
              <w:pStyle w:val="112"/>
              <w:spacing w:before="40" w:after="40"/>
              <w:rPr>
                <w:sz w:val="20"/>
              </w:rPr>
            </w:pPr>
            <w:r>
              <w:rPr>
                <w:sz w:val="20"/>
              </w:rPr>
              <w:t>Уттар-Прадеш</w:t>
            </w:r>
          </w:p>
        </w:tc>
        <w:tc>
          <w:tcPr>
            <w:tcW w:w="2199" w:type="dxa"/>
          </w:tcPr>
          <w:p w:rsidR="00000000" w:rsidRDefault="00000000">
            <w:pPr>
              <w:pStyle w:val="112"/>
              <w:tabs>
                <w:tab w:val="clear" w:pos="680"/>
                <w:tab w:val="decimal" w:pos="1134"/>
              </w:tabs>
              <w:spacing w:before="40" w:after="40"/>
              <w:rPr>
                <w:sz w:val="20"/>
              </w:rPr>
            </w:pPr>
            <w:r>
              <w:rPr>
                <w:sz w:val="20"/>
              </w:rPr>
              <w:t>2 179</w:t>
            </w:r>
          </w:p>
        </w:tc>
      </w:tr>
      <w:tr w:rsidR="00000000">
        <w:tblPrEx>
          <w:tblCellMar>
            <w:top w:w="0" w:type="dxa"/>
            <w:bottom w:w="0" w:type="dxa"/>
          </w:tblCellMar>
        </w:tblPrEx>
        <w:trPr>
          <w:jc w:val="center"/>
        </w:trPr>
        <w:tc>
          <w:tcPr>
            <w:tcW w:w="2716" w:type="dxa"/>
          </w:tcPr>
          <w:p w:rsidR="00000000" w:rsidRDefault="00000000">
            <w:pPr>
              <w:pStyle w:val="112"/>
              <w:spacing w:before="40" w:after="40"/>
              <w:rPr>
                <w:sz w:val="20"/>
              </w:rPr>
            </w:pPr>
            <w:r>
              <w:rPr>
                <w:sz w:val="20"/>
              </w:rPr>
              <w:t>Уттаранчал</w:t>
            </w:r>
          </w:p>
        </w:tc>
        <w:tc>
          <w:tcPr>
            <w:tcW w:w="2199" w:type="dxa"/>
          </w:tcPr>
          <w:p w:rsidR="00000000" w:rsidRDefault="00000000">
            <w:pPr>
              <w:pStyle w:val="112"/>
              <w:tabs>
                <w:tab w:val="clear" w:pos="680"/>
                <w:tab w:val="decimal" w:pos="1134"/>
              </w:tabs>
              <w:spacing w:before="40" w:after="40"/>
              <w:rPr>
                <w:sz w:val="20"/>
              </w:rPr>
            </w:pPr>
            <w:r>
              <w:rPr>
                <w:sz w:val="20"/>
              </w:rPr>
              <w:t>373</w:t>
            </w:r>
          </w:p>
        </w:tc>
      </w:tr>
    </w:tbl>
    <w:p w:rsidR="00000000" w:rsidRDefault="00000000">
      <w:pPr>
        <w:jc w:val="both"/>
        <w:rPr>
          <w:sz w:val="22"/>
          <w:szCs w:val="22"/>
        </w:rPr>
      </w:pPr>
    </w:p>
    <w:p w:rsidR="00000000" w:rsidRDefault="00000000">
      <w:pPr>
        <w:pStyle w:val="112"/>
      </w:pPr>
      <w:r>
        <w:tab/>
        <w:t>Расходы на начальное образование в 1990/91 году составили 1,78% ВВП.  Этот процентный показатель по отношению к ВВП в 1994/95 году постепенно снизился до 1,65%, а затем возрос до 2,02% в 2001/02 году.</w:t>
      </w:r>
    </w:p>
    <w:p w:rsidR="00000000" w:rsidRDefault="00000000">
      <w:pPr>
        <w:pStyle w:val="112"/>
      </w:pPr>
      <w:r>
        <w:tab/>
        <w:t>Доля расходов на начальное образование в общем объеме затрат по всем секторам составила в 1990/91 году 6,19%, затем ее величина периодически колебалась и, наконец, в 2001/02 году установилась на уровне 6,61%.</w:t>
      </w:r>
    </w:p>
    <w:p w:rsidR="00000000" w:rsidRDefault="00000000">
      <w:pPr>
        <w:jc w:val="both"/>
        <w:rPr>
          <w:sz w:val="22"/>
          <w:szCs w:val="22"/>
        </w:rPr>
      </w:pPr>
    </w:p>
    <w:p w:rsidR="00000000" w:rsidRDefault="00000000">
      <w:pPr>
        <w:jc w:val="both"/>
        <w:rPr>
          <w:b/>
          <w:bCs/>
          <w:sz w:val="22"/>
          <w:szCs w:val="22"/>
        </w:rPr>
      </w:pPr>
      <w:r>
        <w:rPr>
          <w:rStyle w:val="111"/>
          <w:szCs w:val="22"/>
        </w:rPr>
        <w:t>604</w:t>
      </w:r>
      <w:r>
        <w:rPr>
          <w:b/>
          <w:bCs/>
          <w:sz w:val="22"/>
          <w:szCs w:val="22"/>
        </w:rPr>
        <w:t>.</w:t>
      </w:r>
      <w:r>
        <w:rPr>
          <w:b/>
          <w:bCs/>
          <w:sz w:val="22"/>
          <w:szCs w:val="22"/>
        </w:rPr>
        <w:tab/>
        <w:t>Среднее образование</w:t>
      </w:r>
    </w:p>
    <w:p w:rsidR="00000000" w:rsidRDefault="00000000">
      <w:pPr>
        <w:pStyle w:val="112"/>
        <w:spacing w:after="40"/>
        <w:rPr>
          <w:b/>
          <w:bCs/>
        </w:rPr>
      </w:pPr>
      <w:r>
        <w:rPr>
          <w:b/>
          <w:bCs/>
        </w:rPr>
        <w:t>Таблица 13.8.</w:t>
      </w:r>
      <w:r>
        <w:rPr>
          <w:b/>
          <w:bCs/>
        </w:rPr>
        <w:tab/>
        <w:t>Общее количество средних школ в стране</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418"/>
        <w:gridCol w:w="2419"/>
        <w:gridCol w:w="2419"/>
        <w:gridCol w:w="2383"/>
      </w:tblGrid>
      <w:tr w:rsidR="00000000">
        <w:tblPrEx>
          <w:tblCellMar>
            <w:top w:w="0" w:type="dxa"/>
            <w:bottom w:w="0" w:type="dxa"/>
          </w:tblCellMar>
        </w:tblPrEx>
        <w:trPr>
          <w:jc w:val="center"/>
        </w:trPr>
        <w:tc>
          <w:tcPr>
            <w:tcW w:w="2131" w:type="dxa"/>
          </w:tcPr>
          <w:p w:rsidR="00000000" w:rsidRDefault="00000000">
            <w:pPr>
              <w:pStyle w:val="112"/>
              <w:spacing w:before="40" w:after="40"/>
              <w:jc w:val="center"/>
              <w:rPr>
                <w:sz w:val="20"/>
              </w:rPr>
            </w:pPr>
            <w:r>
              <w:rPr>
                <w:sz w:val="20"/>
              </w:rPr>
              <w:t>Год</w:t>
            </w:r>
          </w:p>
        </w:tc>
        <w:tc>
          <w:tcPr>
            <w:tcW w:w="2131" w:type="dxa"/>
          </w:tcPr>
          <w:p w:rsidR="00000000" w:rsidRDefault="00000000">
            <w:pPr>
              <w:spacing w:before="40" w:after="40"/>
              <w:jc w:val="center"/>
              <w:rPr>
                <w:rStyle w:val="111"/>
                <w:sz w:val="20"/>
                <w:szCs w:val="20"/>
              </w:rPr>
            </w:pPr>
            <w:r>
              <w:rPr>
                <w:rStyle w:val="111"/>
                <w:sz w:val="20"/>
                <w:szCs w:val="20"/>
              </w:rPr>
              <w:t xml:space="preserve">Количество </w:t>
            </w:r>
            <w:r>
              <w:rPr>
                <w:rStyle w:val="111"/>
                <w:sz w:val="20"/>
                <w:szCs w:val="20"/>
              </w:rPr>
              <w:br/>
              <w:t>средних школ</w:t>
            </w:r>
          </w:p>
        </w:tc>
        <w:tc>
          <w:tcPr>
            <w:tcW w:w="2131" w:type="dxa"/>
          </w:tcPr>
          <w:p w:rsidR="00000000" w:rsidRDefault="00000000">
            <w:pPr>
              <w:spacing w:before="40" w:after="40"/>
              <w:jc w:val="center"/>
              <w:rPr>
                <w:rStyle w:val="111"/>
                <w:sz w:val="20"/>
                <w:szCs w:val="20"/>
              </w:rPr>
            </w:pPr>
            <w:r>
              <w:rPr>
                <w:rStyle w:val="111"/>
                <w:sz w:val="20"/>
                <w:szCs w:val="20"/>
              </w:rPr>
              <w:t xml:space="preserve">Число учащихся </w:t>
            </w:r>
            <w:r>
              <w:rPr>
                <w:rStyle w:val="111"/>
                <w:sz w:val="20"/>
                <w:szCs w:val="20"/>
              </w:rPr>
              <w:br/>
              <w:t>(млн.)</w:t>
            </w:r>
          </w:p>
        </w:tc>
        <w:tc>
          <w:tcPr>
            <w:tcW w:w="2100" w:type="dxa"/>
          </w:tcPr>
          <w:p w:rsidR="00000000" w:rsidRDefault="00000000">
            <w:pPr>
              <w:spacing w:before="40" w:after="40"/>
              <w:jc w:val="center"/>
              <w:rPr>
                <w:rStyle w:val="111"/>
                <w:sz w:val="20"/>
                <w:szCs w:val="20"/>
              </w:rPr>
            </w:pPr>
            <w:r>
              <w:rPr>
                <w:rStyle w:val="111"/>
                <w:sz w:val="20"/>
                <w:szCs w:val="20"/>
              </w:rPr>
              <w:t xml:space="preserve">Число учителей </w:t>
            </w:r>
            <w:r>
              <w:rPr>
                <w:rStyle w:val="111"/>
                <w:sz w:val="20"/>
                <w:szCs w:val="20"/>
              </w:rPr>
              <w:br/>
              <w:t>(млн.)</w:t>
            </w:r>
          </w:p>
        </w:tc>
      </w:tr>
      <w:tr w:rsidR="00000000">
        <w:tblPrEx>
          <w:tblCellMar>
            <w:top w:w="0" w:type="dxa"/>
            <w:bottom w:w="0" w:type="dxa"/>
          </w:tblCellMar>
        </w:tblPrEx>
        <w:trPr>
          <w:jc w:val="center"/>
        </w:trPr>
        <w:tc>
          <w:tcPr>
            <w:tcW w:w="2131" w:type="dxa"/>
          </w:tcPr>
          <w:p w:rsidR="00000000" w:rsidRDefault="00000000">
            <w:pPr>
              <w:pStyle w:val="112"/>
              <w:spacing w:before="40" w:after="40"/>
              <w:rPr>
                <w:sz w:val="20"/>
              </w:rPr>
            </w:pPr>
            <w:r>
              <w:rPr>
                <w:sz w:val="20"/>
              </w:rPr>
              <w:t>1950/51</w:t>
            </w:r>
          </w:p>
        </w:tc>
        <w:tc>
          <w:tcPr>
            <w:tcW w:w="2131" w:type="dxa"/>
          </w:tcPr>
          <w:p w:rsidR="00000000" w:rsidRDefault="00000000">
            <w:pPr>
              <w:pStyle w:val="112"/>
              <w:tabs>
                <w:tab w:val="clear" w:pos="680"/>
                <w:tab w:val="clear" w:pos="1134"/>
                <w:tab w:val="decimal" w:pos="1304"/>
              </w:tabs>
              <w:spacing w:before="40" w:after="40"/>
              <w:rPr>
                <w:sz w:val="20"/>
              </w:rPr>
            </w:pPr>
            <w:r>
              <w:rPr>
                <w:sz w:val="20"/>
              </w:rPr>
              <w:t>7 416</w:t>
            </w:r>
          </w:p>
        </w:tc>
        <w:tc>
          <w:tcPr>
            <w:tcW w:w="2131" w:type="dxa"/>
          </w:tcPr>
          <w:p w:rsidR="00000000" w:rsidRDefault="00000000">
            <w:pPr>
              <w:pStyle w:val="112"/>
              <w:tabs>
                <w:tab w:val="clear" w:pos="680"/>
                <w:tab w:val="decimal" w:pos="1134"/>
              </w:tabs>
              <w:spacing w:before="40" w:after="40"/>
              <w:rPr>
                <w:sz w:val="20"/>
              </w:rPr>
            </w:pPr>
            <w:r>
              <w:rPr>
                <w:sz w:val="20"/>
              </w:rPr>
              <w:t>1,5</w:t>
            </w:r>
          </w:p>
        </w:tc>
        <w:tc>
          <w:tcPr>
            <w:tcW w:w="2100" w:type="dxa"/>
          </w:tcPr>
          <w:p w:rsidR="00000000" w:rsidRDefault="00000000">
            <w:pPr>
              <w:pStyle w:val="112"/>
              <w:spacing w:before="40" w:after="40"/>
              <w:jc w:val="center"/>
              <w:rPr>
                <w:sz w:val="20"/>
              </w:rPr>
            </w:pPr>
            <w:r>
              <w:rPr>
                <w:sz w:val="20"/>
              </w:rPr>
              <w:t>0,1</w:t>
            </w:r>
          </w:p>
        </w:tc>
      </w:tr>
      <w:tr w:rsidR="00000000">
        <w:tblPrEx>
          <w:tblCellMar>
            <w:top w:w="0" w:type="dxa"/>
            <w:bottom w:w="0" w:type="dxa"/>
          </w:tblCellMar>
        </w:tblPrEx>
        <w:trPr>
          <w:jc w:val="center"/>
        </w:trPr>
        <w:tc>
          <w:tcPr>
            <w:tcW w:w="2131" w:type="dxa"/>
          </w:tcPr>
          <w:p w:rsidR="00000000" w:rsidRDefault="00000000">
            <w:pPr>
              <w:pStyle w:val="112"/>
              <w:spacing w:before="40" w:after="40"/>
              <w:rPr>
                <w:sz w:val="20"/>
              </w:rPr>
            </w:pPr>
            <w:r>
              <w:rPr>
                <w:sz w:val="20"/>
              </w:rPr>
              <w:t>1990/91</w:t>
            </w:r>
          </w:p>
        </w:tc>
        <w:tc>
          <w:tcPr>
            <w:tcW w:w="2131" w:type="dxa"/>
          </w:tcPr>
          <w:p w:rsidR="00000000" w:rsidRDefault="00000000">
            <w:pPr>
              <w:pStyle w:val="112"/>
              <w:tabs>
                <w:tab w:val="clear" w:pos="680"/>
                <w:tab w:val="clear" w:pos="1134"/>
                <w:tab w:val="decimal" w:pos="1304"/>
              </w:tabs>
              <w:spacing w:before="40" w:after="40"/>
              <w:rPr>
                <w:sz w:val="20"/>
              </w:rPr>
            </w:pPr>
            <w:r>
              <w:rPr>
                <w:sz w:val="20"/>
              </w:rPr>
              <w:t>79 796</w:t>
            </w:r>
          </w:p>
        </w:tc>
        <w:tc>
          <w:tcPr>
            <w:tcW w:w="2131" w:type="dxa"/>
          </w:tcPr>
          <w:p w:rsidR="00000000" w:rsidRDefault="00000000">
            <w:pPr>
              <w:pStyle w:val="112"/>
              <w:tabs>
                <w:tab w:val="clear" w:pos="680"/>
                <w:tab w:val="decimal" w:pos="1134"/>
              </w:tabs>
              <w:spacing w:before="40" w:after="40"/>
              <w:rPr>
                <w:sz w:val="20"/>
              </w:rPr>
            </w:pPr>
            <w:r>
              <w:rPr>
                <w:sz w:val="20"/>
              </w:rPr>
              <w:t>19,1</w:t>
            </w:r>
          </w:p>
        </w:tc>
        <w:tc>
          <w:tcPr>
            <w:tcW w:w="2100" w:type="dxa"/>
          </w:tcPr>
          <w:p w:rsidR="00000000" w:rsidRDefault="00000000">
            <w:pPr>
              <w:pStyle w:val="112"/>
              <w:spacing w:before="40" w:after="40"/>
              <w:jc w:val="center"/>
              <w:rPr>
                <w:sz w:val="20"/>
              </w:rPr>
            </w:pPr>
            <w:r>
              <w:rPr>
                <w:sz w:val="20"/>
              </w:rPr>
              <w:t>1,3</w:t>
            </w:r>
          </w:p>
        </w:tc>
      </w:tr>
      <w:tr w:rsidR="00000000">
        <w:tblPrEx>
          <w:tblCellMar>
            <w:top w:w="0" w:type="dxa"/>
            <w:bottom w:w="0" w:type="dxa"/>
          </w:tblCellMar>
        </w:tblPrEx>
        <w:trPr>
          <w:jc w:val="center"/>
        </w:trPr>
        <w:tc>
          <w:tcPr>
            <w:tcW w:w="2131" w:type="dxa"/>
          </w:tcPr>
          <w:p w:rsidR="00000000" w:rsidRDefault="00000000">
            <w:pPr>
              <w:pStyle w:val="112"/>
              <w:spacing w:before="40" w:after="40"/>
              <w:rPr>
                <w:sz w:val="20"/>
              </w:rPr>
            </w:pPr>
            <w:r>
              <w:rPr>
                <w:sz w:val="20"/>
              </w:rPr>
              <w:t>1995/96</w:t>
            </w:r>
          </w:p>
        </w:tc>
        <w:tc>
          <w:tcPr>
            <w:tcW w:w="2131" w:type="dxa"/>
          </w:tcPr>
          <w:p w:rsidR="00000000" w:rsidRDefault="00000000">
            <w:pPr>
              <w:pStyle w:val="112"/>
              <w:tabs>
                <w:tab w:val="clear" w:pos="680"/>
                <w:tab w:val="clear" w:pos="1134"/>
                <w:tab w:val="decimal" w:pos="1304"/>
              </w:tabs>
              <w:spacing w:before="40" w:after="40"/>
              <w:rPr>
                <w:sz w:val="20"/>
              </w:rPr>
            </w:pPr>
            <w:r>
              <w:rPr>
                <w:sz w:val="20"/>
              </w:rPr>
              <w:t>90 134</w:t>
            </w:r>
          </w:p>
        </w:tc>
        <w:tc>
          <w:tcPr>
            <w:tcW w:w="2131" w:type="dxa"/>
          </w:tcPr>
          <w:p w:rsidR="00000000" w:rsidRDefault="00000000">
            <w:pPr>
              <w:pStyle w:val="112"/>
              <w:tabs>
                <w:tab w:val="clear" w:pos="680"/>
                <w:tab w:val="decimal" w:pos="1134"/>
              </w:tabs>
              <w:spacing w:before="40" w:after="40"/>
              <w:rPr>
                <w:sz w:val="20"/>
              </w:rPr>
            </w:pPr>
            <w:r>
              <w:rPr>
                <w:sz w:val="20"/>
              </w:rPr>
              <w:t>24,9</w:t>
            </w:r>
          </w:p>
        </w:tc>
        <w:tc>
          <w:tcPr>
            <w:tcW w:w="2100" w:type="dxa"/>
          </w:tcPr>
          <w:p w:rsidR="00000000" w:rsidRDefault="00000000">
            <w:pPr>
              <w:pStyle w:val="112"/>
              <w:spacing w:before="40" w:after="40"/>
              <w:jc w:val="center"/>
              <w:rPr>
                <w:sz w:val="20"/>
              </w:rPr>
            </w:pPr>
            <w:r>
              <w:rPr>
                <w:sz w:val="20"/>
              </w:rPr>
              <w:t>1,4</w:t>
            </w:r>
          </w:p>
        </w:tc>
      </w:tr>
      <w:tr w:rsidR="00000000">
        <w:tblPrEx>
          <w:tblCellMar>
            <w:top w:w="0" w:type="dxa"/>
            <w:bottom w:w="0" w:type="dxa"/>
          </w:tblCellMar>
        </w:tblPrEx>
        <w:trPr>
          <w:jc w:val="center"/>
        </w:trPr>
        <w:tc>
          <w:tcPr>
            <w:tcW w:w="2131" w:type="dxa"/>
          </w:tcPr>
          <w:p w:rsidR="00000000" w:rsidRDefault="00000000">
            <w:pPr>
              <w:pStyle w:val="112"/>
              <w:spacing w:before="40" w:after="40"/>
              <w:rPr>
                <w:sz w:val="20"/>
              </w:rPr>
            </w:pPr>
            <w:r>
              <w:rPr>
                <w:sz w:val="20"/>
              </w:rPr>
              <w:t>1998/99</w:t>
            </w:r>
          </w:p>
        </w:tc>
        <w:tc>
          <w:tcPr>
            <w:tcW w:w="2131" w:type="dxa"/>
          </w:tcPr>
          <w:p w:rsidR="00000000" w:rsidRDefault="00000000">
            <w:pPr>
              <w:pStyle w:val="112"/>
              <w:tabs>
                <w:tab w:val="clear" w:pos="680"/>
                <w:tab w:val="clear" w:pos="1134"/>
                <w:tab w:val="decimal" w:pos="1304"/>
              </w:tabs>
              <w:spacing w:before="40" w:after="40"/>
              <w:rPr>
                <w:sz w:val="20"/>
              </w:rPr>
            </w:pPr>
            <w:r>
              <w:rPr>
                <w:sz w:val="20"/>
              </w:rPr>
              <w:t>112 438</w:t>
            </w:r>
          </w:p>
        </w:tc>
        <w:tc>
          <w:tcPr>
            <w:tcW w:w="2131" w:type="dxa"/>
          </w:tcPr>
          <w:p w:rsidR="00000000" w:rsidRDefault="00000000">
            <w:pPr>
              <w:pStyle w:val="112"/>
              <w:tabs>
                <w:tab w:val="clear" w:pos="680"/>
                <w:tab w:val="decimal" w:pos="1134"/>
              </w:tabs>
              <w:spacing w:before="40" w:after="40"/>
              <w:rPr>
                <w:sz w:val="20"/>
              </w:rPr>
            </w:pPr>
            <w:r>
              <w:rPr>
                <w:sz w:val="20"/>
              </w:rPr>
              <w:t>27,7</w:t>
            </w:r>
          </w:p>
        </w:tc>
        <w:tc>
          <w:tcPr>
            <w:tcW w:w="2100" w:type="dxa"/>
          </w:tcPr>
          <w:p w:rsidR="00000000" w:rsidRDefault="00000000">
            <w:pPr>
              <w:pStyle w:val="112"/>
              <w:spacing w:before="40" w:after="40"/>
              <w:jc w:val="center"/>
              <w:rPr>
                <w:sz w:val="20"/>
              </w:rPr>
            </w:pPr>
            <w:r>
              <w:rPr>
                <w:sz w:val="20"/>
              </w:rPr>
              <w:t>1,7</w:t>
            </w:r>
          </w:p>
        </w:tc>
      </w:tr>
      <w:tr w:rsidR="00000000">
        <w:tblPrEx>
          <w:tblCellMar>
            <w:top w:w="0" w:type="dxa"/>
            <w:bottom w:w="0" w:type="dxa"/>
          </w:tblCellMar>
        </w:tblPrEx>
        <w:trPr>
          <w:jc w:val="center"/>
        </w:trPr>
        <w:tc>
          <w:tcPr>
            <w:tcW w:w="2131" w:type="dxa"/>
          </w:tcPr>
          <w:p w:rsidR="00000000" w:rsidRDefault="00000000">
            <w:pPr>
              <w:pStyle w:val="112"/>
              <w:spacing w:before="40" w:after="40"/>
              <w:rPr>
                <w:sz w:val="20"/>
              </w:rPr>
            </w:pPr>
            <w:r>
              <w:rPr>
                <w:sz w:val="20"/>
              </w:rPr>
              <w:t>1999/2000</w:t>
            </w:r>
          </w:p>
        </w:tc>
        <w:tc>
          <w:tcPr>
            <w:tcW w:w="2131" w:type="dxa"/>
          </w:tcPr>
          <w:p w:rsidR="00000000" w:rsidRDefault="00000000">
            <w:pPr>
              <w:pStyle w:val="112"/>
              <w:tabs>
                <w:tab w:val="clear" w:pos="680"/>
                <w:tab w:val="clear" w:pos="1134"/>
                <w:tab w:val="decimal" w:pos="1304"/>
              </w:tabs>
              <w:spacing w:before="40" w:after="40"/>
              <w:rPr>
                <w:sz w:val="20"/>
              </w:rPr>
            </w:pPr>
            <w:r>
              <w:rPr>
                <w:sz w:val="20"/>
              </w:rPr>
              <w:t>116 820</w:t>
            </w:r>
          </w:p>
        </w:tc>
        <w:tc>
          <w:tcPr>
            <w:tcW w:w="2131" w:type="dxa"/>
          </w:tcPr>
          <w:p w:rsidR="00000000" w:rsidRDefault="00000000">
            <w:pPr>
              <w:pStyle w:val="112"/>
              <w:tabs>
                <w:tab w:val="clear" w:pos="680"/>
                <w:tab w:val="decimal" w:pos="1134"/>
              </w:tabs>
              <w:spacing w:before="40" w:after="40"/>
              <w:rPr>
                <w:sz w:val="20"/>
              </w:rPr>
            </w:pPr>
            <w:r>
              <w:rPr>
                <w:sz w:val="20"/>
              </w:rPr>
              <w:t>28,2</w:t>
            </w:r>
          </w:p>
        </w:tc>
        <w:tc>
          <w:tcPr>
            <w:tcW w:w="2100" w:type="dxa"/>
          </w:tcPr>
          <w:p w:rsidR="00000000" w:rsidRDefault="00000000">
            <w:pPr>
              <w:pStyle w:val="112"/>
              <w:spacing w:before="40" w:after="40"/>
              <w:jc w:val="center"/>
              <w:rPr>
                <w:sz w:val="20"/>
              </w:rPr>
            </w:pPr>
            <w:r>
              <w:rPr>
                <w:sz w:val="20"/>
              </w:rPr>
              <w:t>1,7</w:t>
            </w:r>
          </w:p>
        </w:tc>
      </w:tr>
    </w:tbl>
    <w:p w:rsidR="00000000" w:rsidRDefault="00000000">
      <w:pPr>
        <w:pStyle w:val="a3"/>
        <w:spacing w:before="120"/>
      </w:pPr>
      <w:r>
        <w:t>Выборочные статистические данные об образовании, МРЛР, 1999/2000 год.</w:t>
      </w:r>
    </w:p>
    <w:p w:rsidR="00000000" w:rsidRDefault="00000000">
      <w:pPr>
        <w:jc w:val="both"/>
        <w:rPr>
          <w:sz w:val="22"/>
          <w:szCs w:val="22"/>
        </w:rPr>
      </w:pPr>
    </w:p>
    <w:p w:rsidR="00000000" w:rsidRDefault="00000000">
      <w:pPr>
        <w:pStyle w:val="112"/>
      </w:pPr>
      <w:r>
        <w:t>Количество школ младшей и старшей ступеней среднего образования возросло со 116</w:t>
      </w:r>
      <w:r>
        <w:rPr>
          <w:lang w:val="en-US"/>
        </w:rPr>
        <w:t> </w:t>
      </w:r>
      <w:r>
        <w:t xml:space="preserve">000 в 1999/2000 году до 121 951 на 30 сентября 2002 года, и в них обучалось 28,8 млн. школьников.  Признается также участие частного сектора в управлении системой среднего образования.  В настоящее время частные организации содержат примерно 51% школ младшей ступени и 58% школ старшей ступени среднего образования.  </w:t>
      </w:r>
    </w:p>
    <w:p w:rsidR="00000000" w:rsidRDefault="00000000">
      <w:pPr>
        <w:pStyle w:val="112"/>
      </w:pPr>
      <w:r>
        <w:t>605.</w:t>
      </w:r>
      <w:r>
        <w:tab/>
        <w:t>Для удовлетворения потребностей тех, кто не смог обучаться в формальной системе образования, предоставляются возможности получения образования по линии национальных открытых школ и открытых школ штатов.  Национальный институт открытого школьного обучения (НИОС) выступает в качестве учреждения, представляющего крупнейшую систему открытого школьного обучения в мире.  По данным годового доклада за 2002/03 год,  системой открытого обучения в школах младшей и старшей ступеней среднего образования охвачено более 0,7 млн. учащихся.  Институт располагает сетью из 10 региональных центров и примерно 2000</w:t>
      </w:r>
      <w:r>
        <w:rPr>
          <w:lang w:val="en-US"/>
        </w:rPr>
        <w:t> </w:t>
      </w:r>
      <w:r>
        <w:t>учебных центров по конкретным программам.  Для лиц, недавно ставших грамотными, школьников, отчисленных из школ или оставшихся на второй год, и лиц, окончивших неформальные учебные заведения, открытое базовое образование представляет собой наиболее распространенную альтернативную программу.  НИОС организует курсы на 12 языках, а именно хинди, английском, бенгальском, маратхи, тегулу, урду, гуджаратском, каннада, санскрите, пенджабском, асамском и непальском языках, для сдачи экзаменов  в младших классах средней школы и на хинди, английском и урду – для подготовки к  экзаменам в старших классах средней школы.</w:t>
      </w:r>
    </w:p>
    <w:p w:rsidR="00000000" w:rsidRDefault="00000000">
      <w:pPr>
        <w:pStyle w:val="112"/>
      </w:pPr>
      <w:r>
        <w:t>606.</w:t>
      </w:r>
      <w:r>
        <w:tab/>
        <w:t>В целях расширения доступности среднего образования в сельских районах предоставляются различные виды стипендий для обучения в системе среднего образования.  Учащимся было предоставлено в общей сложности 38 000 стипендий.</w:t>
      </w:r>
    </w:p>
    <w:p w:rsidR="00000000" w:rsidRDefault="00000000">
      <w:pPr>
        <w:jc w:val="both"/>
        <w:rPr>
          <w:b/>
          <w:bCs/>
          <w:sz w:val="22"/>
          <w:szCs w:val="22"/>
        </w:rPr>
      </w:pPr>
    </w:p>
    <w:p w:rsidR="00000000" w:rsidRDefault="00000000">
      <w:pPr>
        <w:keepNext/>
        <w:spacing w:before="120"/>
        <w:jc w:val="both"/>
        <w:rPr>
          <w:b/>
          <w:bCs/>
          <w:sz w:val="22"/>
          <w:szCs w:val="22"/>
        </w:rPr>
      </w:pPr>
      <w:r>
        <w:rPr>
          <w:b/>
          <w:bCs/>
          <w:sz w:val="22"/>
          <w:szCs w:val="22"/>
        </w:rPr>
        <w:t xml:space="preserve">Профессионально-техническое образование </w:t>
      </w:r>
    </w:p>
    <w:p w:rsidR="00000000" w:rsidRDefault="00000000">
      <w:pPr>
        <w:keepNext/>
        <w:jc w:val="both"/>
        <w:rPr>
          <w:sz w:val="22"/>
          <w:szCs w:val="22"/>
        </w:rPr>
      </w:pPr>
    </w:p>
    <w:p w:rsidR="00000000" w:rsidRDefault="00000000">
      <w:pPr>
        <w:keepNext/>
        <w:jc w:val="both"/>
        <w:rPr>
          <w:rStyle w:val="111"/>
          <w:szCs w:val="22"/>
        </w:rPr>
      </w:pPr>
      <w:r>
        <w:rPr>
          <w:sz w:val="22"/>
          <w:szCs w:val="22"/>
        </w:rPr>
        <w:t>607.</w:t>
      </w:r>
      <w:r>
        <w:rPr>
          <w:sz w:val="22"/>
          <w:szCs w:val="22"/>
        </w:rPr>
        <w:tab/>
        <w:t xml:space="preserve">В феврале 1988 года была учреждена централизованно финансируемая программа профессионально-технического обучения в рамках системы среднего образования.  За период с 1988 года (программа была пересмотрена в 1992/93 году)  правительство создало широкую инфраструктуру из 19 608 отделений в 6800 школах, что позволяет учащимся, </w:t>
      </w:r>
      <w:r>
        <w:rPr>
          <w:rStyle w:val="111"/>
          <w:szCs w:val="22"/>
        </w:rPr>
        <w:t>окончившим десять классов средней школы, получить специальность, проучившись дополнительно два года</w:t>
      </w:r>
      <w:r>
        <w:rPr>
          <w:rStyle w:val="FootnoteReference"/>
          <w:szCs w:val="22"/>
        </w:rPr>
        <w:footnoteReference w:customMarkFollows="1" w:id="88"/>
        <w:t>87</w:t>
      </w:r>
      <w:r>
        <w:rPr>
          <w:rStyle w:val="111"/>
          <w:szCs w:val="22"/>
        </w:rPr>
        <w:t>.</w:t>
      </w:r>
    </w:p>
    <w:p w:rsidR="00000000" w:rsidRDefault="00000000">
      <w:pPr>
        <w:pStyle w:val="112"/>
      </w:pPr>
      <w:r>
        <w:t>608.</w:t>
      </w:r>
      <w:r>
        <w:tab/>
        <w:t>В 1993/94 году было начато осуществление централизованно финансируемой программы начальной стадии профобучения для учащихся 9 и 10 классов средней школы с целью обеспечить их подготовку по простым специальностям, пользующимся спросом на рынке.  К настоящему времени помощь предоставлена десяти штатам/союзным территориям в организации начальных курсов профобучения в 652 школах.</w:t>
      </w:r>
    </w:p>
    <w:p w:rsidR="00000000" w:rsidRDefault="00000000">
      <w:pPr>
        <w:pStyle w:val="112"/>
        <w:rPr>
          <w:rStyle w:val="111"/>
          <w:szCs w:val="22"/>
        </w:rPr>
      </w:pPr>
      <w:r>
        <w:rPr>
          <w:rStyle w:val="111"/>
          <w:szCs w:val="22"/>
        </w:rPr>
        <w:t>609.</w:t>
      </w:r>
      <w:r>
        <w:rPr>
          <w:rStyle w:val="111"/>
          <w:szCs w:val="22"/>
        </w:rPr>
        <w:tab/>
        <w:t>В 1993 году в Бхопале под общей эгидой Национального совета по вопросам исследований и подготовки в области образования (НСЕРТ) было создано специальное учреждение под названием "Центральный институт профессионально-технического образования имени Пандита Сундерлала Шармы"</w:t>
      </w:r>
      <w:r>
        <w:rPr>
          <w:rStyle w:val="FootnoteReference"/>
          <w:szCs w:val="22"/>
        </w:rPr>
        <w:footnoteReference w:customMarkFollows="1" w:id="89"/>
        <w:t>88</w:t>
      </w:r>
      <w:r>
        <w:rPr>
          <w:rStyle w:val="111"/>
          <w:szCs w:val="22"/>
        </w:rPr>
        <w:t>.</w:t>
      </w:r>
    </w:p>
    <w:p w:rsidR="00000000" w:rsidRDefault="00000000">
      <w:pPr>
        <w:pStyle w:val="112"/>
        <w:rPr>
          <w:rStyle w:val="111"/>
          <w:szCs w:val="22"/>
        </w:rPr>
      </w:pPr>
      <w:r>
        <w:rPr>
          <w:rStyle w:val="111"/>
          <w:szCs w:val="22"/>
        </w:rPr>
        <w:t>610.</w:t>
      </w:r>
      <w:r>
        <w:rPr>
          <w:rStyle w:val="111"/>
          <w:szCs w:val="22"/>
        </w:rPr>
        <w:tab/>
        <w:t>В 2001/02 году началось внедрение программы компьютерной грамотности и исследований в школах, основная задача которой заключалась в подготовке рекомендаций штатам в разработке плана компьютерного обучения и для осуществления которой 25% средств должны были выделить правительства штатов</w:t>
      </w:r>
      <w:r>
        <w:rPr>
          <w:rStyle w:val="FootnoteReference"/>
          <w:szCs w:val="22"/>
        </w:rPr>
        <w:footnoteReference w:customMarkFollows="1" w:id="90"/>
        <w:t>89</w:t>
      </w:r>
      <w:r>
        <w:rPr>
          <w:rStyle w:val="111"/>
          <w:szCs w:val="22"/>
        </w:rPr>
        <w:t>.</w:t>
      </w:r>
    </w:p>
    <w:p w:rsidR="00000000" w:rsidRDefault="00000000">
      <w:pPr>
        <w:pStyle w:val="112"/>
        <w:rPr>
          <w:rStyle w:val="111"/>
          <w:szCs w:val="22"/>
        </w:rPr>
      </w:pPr>
      <w:r>
        <w:rPr>
          <w:rStyle w:val="111"/>
          <w:szCs w:val="22"/>
        </w:rPr>
        <w:t>611.</w:t>
      </w:r>
      <w:r>
        <w:rPr>
          <w:rStyle w:val="111"/>
          <w:szCs w:val="22"/>
        </w:rPr>
        <w:tab/>
        <w:t>Национальная стратегия в сфере образования, принятая в 1986 году, предполагала выделение финансовых средств штатам и союзным территориям на приобретение наборов материалов и инструментов для научной работы в старших классах начальной школы.  Подробная информация о техническом обучении содержится в докладе Индии, представленном Комитету по данному вопросу</w:t>
      </w:r>
      <w:r>
        <w:rPr>
          <w:rStyle w:val="FootnoteReference"/>
          <w:szCs w:val="22"/>
        </w:rPr>
        <w:footnoteReference w:customMarkFollows="1" w:id="91"/>
        <w:t>90</w:t>
      </w:r>
      <w:r>
        <w:rPr>
          <w:rStyle w:val="111"/>
          <w:szCs w:val="22"/>
        </w:rPr>
        <w:t>.</w:t>
      </w:r>
    </w:p>
    <w:p w:rsidR="00000000" w:rsidRDefault="00000000">
      <w:pPr>
        <w:jc w:val="both"/>
        <w:rPr>
          <w:b/>
          <w:bCs/>
          <w:sz w:val="22"/>
          <w:szCs w:val="22"/>
        </w:rPr>
      </w:pPr>
    </w:p>
    <w:p w:rsidR="00000000" w:rsidRDefault="00000000">
      <w:pPr>
        <w:keepNext/>
        <w:jc w:val="both"/>
        <w:rPr>
          <w:b/>
          <w:bCs/>
          <w:sz w:val="22"/>
          <w:szCs w:val="22"/>
        </w:rPr>
      </w:pPr>
      <w:r>
        <w:rPr>
          <w:b/>
          <w:bCs/>
          <w:sz w:val="22"/>
          <w:szCs w:val="22"/>
        </w:rPr>
        <w:t>Высшее образование</w:t>
      </w:r>
    </w:p>
    <w:p w:rsidR="00000000" w:rsidRDefault="00000000">
      <w:pPr>
        <w:pStyle w:val="112"/>
        <w:spacing w:before="140"/>
        <w:rPr>
          <w:rStyle w:val="111"/>
          <w:szCs w:val="22"/>
        </w:rPr>
      </w:pPr>
      <w:r>
        <w:rPr>
          <w:rStyle w:val="111"/>
          <w:szCs w:val="22"/>
        </w:rPr>
        <w:t>612.</w:t>
      </w:r>
      <w:r>
        <w:rPr>
          <w:rStyle w:val="111"/>
          <w:szCs w:val="22"/>
        </w:rPr>
        <w:tab/>
        <w:t>В этом году в стране наметился значительный рост количества новых университетов и высших учебных заведений для специализированного обучения.  Подробная информация о высшем образовании в Индии содержится в докладах, представленных ею Комитету</w:t>
      </w:r>
      <w:r>
        <w:rPr>
          <w:rStyle w:val="FootnoteReference"/>
          <w:szCs w:val="22"/>
        </w:rPr>
        <w:footnoteReference w:customMarkFollows="1" w:id="92"/>
        <w:t>91</w:t>
      </w:r>
      <w:r>
        <w:rPr>
          <w:rStyle w:val="111"/>
          <w:szCs w:val="22"/>
        </w:rPr>
        <w:t>.  В настоящем докладе содержится дополнительная информация, связанная с новыми веяниями глобализации.  В ходе осуществления девятого плана подсектору университетского и высшего образования было выделено ассигнований на сумму 25 206 млн. рупий, из которой было израсходовано 22 709,2 млн. рупий.</w:t>
      </w:r>
    </w:p>
    <w:p w:rsidR="00000000" w:rsidRDefault="00000000">
      <w:pPr>
        <w:pStyle w:val="112"/>
        <w:spacing w:before="140"/>
      </w:pPr>
      <w:r>
        <w:t>613.</w:t>
      </w:r>
      <w:r>
        <w:tab/>
        <w:t xml:space="preserve">Несмотря на серьезную нехватку средств и ресурсов, за последние 50 лет страна создала довольно развитую систему образования и сформировала значительный корпус кадров, вооруженных последними научно-техническими знаниями.  В настоящее время в стране насчитывается 273 университета/высших учебных заведения, приравниваемых к университету (в том числе 18 медицинских и 40 сельскохозяйственных высших учебных заведений), и 12 300 колледжей (в том числе 4683 – в сельских районах).     </w:t>
      </w:r>
    </w:p>
    <w:p w:rsidR="00000000" w:rsidRDefault="00000000">
      <w:pPr>
        <w:pStyle w:val="112"/>
        <w:spacing w:before="140"/>
        <w:rPr>
          <w:rStyle w:val="111"/>
          <w:szCs w:val="22"/>
        </w:rPr>
      </w:pPr>
      <w:r>
        <w:rPr>
          <w:rStyle w:val="111"/>
          <w:szCs w:val="22"/>
        </w:rPr>
        <w:t>614.</w:t>
      </w:r>
      <w:r>
        <w:rPr>
          <w:rStyle w:val="111"/>
          <w:szCs w:val="22"/>
        </w:rPr>
        <w:tab/>
        <w:t>Координацией работы системы высшего образования в Индии занимается несколько учреждений (в том числе Комиссия по университетским грантам (КУГ) и другие)</w:t>
      </w:r>
      <w:r>
        <w:rPr>
          <w:rStyle w:val="FootnoteReference"/>
          <w:szCs w:val="22"/>
        </w:rPr>
        <w:footnoteReference w:customMarkFollows="1" w:id="93"/>
        <w:t>92</w:t>
      </w:r>
      <w:r>
        <w:rPr>
          <w:rStyle w:val="111"/>
          <w:szCs w:val="22"/>
        </w:rPr>
        <w:t>.  Существует еще одно координирующее учреждение под названием Ассоциация индийских университетов, которая раньше называлась Межуниверситетский совет Индии.  В формальной системе высшего образования ведущую роль играет КУГ.  Начата крупная программа профессиональной подготовки по 35 предметам для студентов старших курсов.  КУГ оказывает финансовую помощь всем имеющим на это право центральным университетам, университетам штатов и высшим учебным заведениям, приравниваемым к университетам.  Стремясь улучшить инфраструктуру и основную базу университетов, КУГ следит за обновлением учебных планов по различным дисциплинам.</w:t>
      </w:r>
    </w:p>
    <w:p w:rsidR="00000000" w:rsidRDefault="00000000">
      <w:pPr>
        <w:jc w:val="both"/>
        <w:rPr>
          <w:b/>
          <w:bCs/>
          <w:sz w:val="22"/>
          <w:szCs w:val="22"/>
        </w:rPr>
      </w:pPr>
    </w:p>
    <w:p w:rsidR="00000000" w:rsidRDefault="00000000">
      <w:pPr>
        <w:jc w:val="both"/>
        <w:rPr>
          <w:rStyle w:val="111"/>
          <w:szCs w:val="22"/>
        </w:rPr>
      </w:pPr>
      <w:r>
        <w:rPr>
          <w:b/>
          <w:bCs/>
          <w:sz w:val="22"/>
          <w:szCs w:val="22"/>
        </w:rPr>
        <w:t>Программа дистанционного обучения</w:t>
      </w:r>
    </w:p>
    <w:p w:rsidR="00000000" w:rsidRDefault="00000000">
      <w:pPr>
        <w:jc w:val="both"/>
        <w:rPr>
          <w:sz w:val="22"/>
          <w:szCs w:val="22"/>
        </w:rPr>
      </w:pPr>
    </w:p>
    <w:p w:rsidR="00000000" w:rsidRDefault="00000000">
      <w:pPr>
        <w:jc w:val="both"/>
        <w:rPr>
          <w:rStyle w:val="111"/>
          <w:szCs w:val="22"/>
        </w:rPr>
      </w:pPr>
      <w:r>
        <w:rPr>
          <w:rStyle w:val="111"/>
          <w:szCs w:val="22"/>
        </w:rPr>
        <w:t>615.</w:t>
      </w:r>
      <w:r>
        <w:rPr>
          <w:rStyle w:val="111"/>
          <w:szCs w:val="22"/>
        </w:rPr>
        <w:tab/>
        <w:t>На неформальную систему (дистанционного и открытого обучения) приходится только 13% общего числа учащихся в системе высшего образования</w:t>
      </w:r>
      <w:r>
        <w:rPr>
          <w:rStyle w:val="FootnoteReference"/>
          <w:szCs w:val="22"/>
        </w:rPr>
        <w:footnoteReference w:customMarkFollows="1" w:id="94"/>
        <w:t>93</w:t>
      </w:r>
      <w:r>
        <w:rPr>
          <w:rStyle w:val="111"/>
          <w:szCs w:val="22"/>
        </w:rPr>
        <w:t xml:space="preserve">.  В настоящее время имеется девять государственных открытых университетов и 64 института заочного обучения и кафедр дистанционного обучения в обычных университетах.  Национальный открытый университет имени Индиры Ганди расширил свою региональную сеть, в которую входят 48 региональных и 119 учебных центров.  В университете имеется 82 программы, состоящие из более чем 800 курсов, в том числе программы для получения звания доктора, магистра, дипломов об окончании высших курсов или аспирантуры и т. д.  В течение 2003 года более 0,3 млн. студентов записались для прохождения различных курсов обучения.  Национальный открытый университет имени Индиры Ганди создал 269 учебных центров для женщин, представителей списочных каст и племен и лиц с физическими недостатками.  26 января 2001 года Институт создал свой собственный телевизионный образовательный канал "Гьяндаршан", по которому в настоящее время ведется круглосуточное вещание.  В 2001 году он создал также сеть ЧМ-радиостанций для оказания дополнительной поддержки студентам, и эта сеть в настоящее время объединяет уже 40 ЧМ-станций.  Еще одним важным этапом в развитии и совершенствовании дистанционного обучения является создание 26 января 2003 года нового спутникового канала для технического обучения под названием "Эклавия".  </w:t>
      </w:r>
    </w:p>
    <w:p w:rsidR="00000000" w:rsidRDefault="00000000">
      <w:pPr>
        <w:spacing w:before="180"/>
        <w:jc w:val="both"/>
        <w:rPr>
          <w:sz w:val="22"/>
          <w:szCs w:val="22"/>
        </w:rPr>
      </w:pPr>
      <w:r>
        <w:rPr>
          <w:sz w:val="22"/>
          <w:szCs w:val="22"/>
        </w:rPr>
        <w:t>616.</w:t>
      </w:r>
      <w:r>
        <w:rPr>
          <w:sz w:val="22"/>
          <w:szCs w:val="22"/>
        </w:rPr>
        <w:tab/>
        <w:t>Для представителей обездоленных слоев общества, в частности представителей списочных (зарегистрированных) каст и племен, правительство резервирует места в центральных государственных высших учебных заведениях, в том числе в индийских технологических институтах, индийских институтах управления, региональных инженерных колледжах, центральных университетах и других заведениях.  Помимо резервирования мест для таких лиц, в отношении них допускаются также послабления в соблюдении требования о наборе минимального количества баллов, дающего право на поступление в университеты, колледжи и технические институты.  КУГ создала группы представителей зарегистрированных каст и племен в 109 университетах, включая центральные университеты, для обеспечения надлежащего соблюдения норм резервирования мест в университетах.</w:t>
      </w:r>
    </w:p>
    <w:p w:rsidR="00000000" w:rsidRDefault="00000000">
      <w:pPr>
        <w:pStyle w:val="112"/>
        <w:spacing w:before="180"/>
      </w:pPr>
      <w:r>
        <w:t>617.</w:t>
      </w:r>
      <w:r>
        <w:tab/>
        <w:t xml:space="preserve">В течение первого года десятого плана КУГ подготовила бюджетную смету на сумму 5167,5 млн. рупий для пяти секторов, объединяющих примерно 70 курсов/программ.  Примерно 45% курсов/программ, фигурировавших в девятом плане, были упразднены, и на период действия десятого плана было добавлено 40 новых курсов.  Пятью широкими секторами, подлежащими финансированию в рамках десятого плана, являются общее развитие университетов и колледжей (бюджетная смета в объеме 2190 млн. рупий), повышение доступности и равенство образования (195 млн. рупий), развитие соответствующего образования (700 млн. рупий), качество и высокий уровень образования (992,5 млн. рупий) и укрепление исследовательской деятельности (990 млн. рупий).  </w:t>
      </w:r>
    </w:p>
    <w:p w:rsidR="00000000" w:rsidRDefault="00000000">
      <w:pPr>
        <w:spacing w:before="140"/>
        <w:jc w:val="both"/>
        <w:rPr>
          <w:sz w:val="22"/>
          <w:szCs w:val="22"/>
        </w:rPr>
      </w:pPr>
      <w:r>
        <w:rPr>
          <w:sz w:val="22"/>
          <w:szCs w:val="22"/>
        </w:rPr>
        <w:t>618.</w:t>
      </w:r>
      <w:r>
        <w:rPr>
          <w:sz w:val="22"/>
          <w:szCs w:val="22"/>
        </w:rPr>
        <w:tab/>
        <w:t>Высшее образование в Индии является платным, но довольно недорогим по сравнению с другими развитыми странами.  В случае представителей обездоленных слоев населения правительство представляет дополнительные субсидии.  Помимо резервирования мест для представителей зарегистрированных каст и племен в таких государственных высших учебных заведениях, как индийские технологические институты, индийские институты управления и региональные инженерные институты,  для них допускается послабление в соблюдении требования о наборе минимального количества баллов, дающих право на зачисление в институт.</w:t>
      </w:r>
    </w:p>
    <w:p w:rsidR="00000000" w:rsidRDefault="00000000">
      <w:pPr>
        <w:jc w:val="both"/>
        <w:rPr>
          <w:b/>
          <w:bCs/>
          <w:sz w:val="22"/>
          <w:szCs w:val="22"/>
        </w:rPr>
      </w:pPr>
    </w:p>
    <w:p w:rsidR="00000000" w:rsidRDefault="00000000">
      <w:pPr>
        <w:jc w:val="both"/>
        <w:rPr>
          <w:b/>
          <w:bCs/>
          <w:sz w:val="22"/>
          <w:szCs w:val="22"/>
        </w:rPr>
      </w:pPr>
      <w:r>
        <w:rPr>
          <w:b/>
          <w:bCs/>
          <w:sz w:val="22"/>
          <w:szCs w:val="22"/>
        </w:rPr>
        <w:t xml:space="preserve">Образование для взрослых </w:t>
      </w:r>
    </w:p>
    <w:p w:rsidR="00000000" w:rsidRDefault="00000000">
      <w:pPr>
        <w:jc w:val="both"/>
        <w:rPr>
          <w:sz w:val="22"/>
          <w:szCs w:val="22"/>
        </w:rPr>
      </w:pPr>
    </w:p>
    <w:p w:rsidR="00000000" w:rsidRDefault="00000000">
      <w:pPr>
        <w:jc w:val="both"/>
        <w:rPr>
          <w:sz w:val="22"/>
          <w:szCs w:val="22"/>
        </w:rPr>
      </w:pPr>
      <w:r>
        <w:rPr>
          <w:sz w:val="22"/>
          <w:szCs w:val="22"/>
        </w:rPr>
        <w:t>619.</w:t>
      </w:r>
      <w:r>
        <w:rPr>
          <w:sz w:val="22"/>
          <w:szCs w:val="22"/>
        </w:rPr>
        <w:tab/>
        <w:t>Наряду с программой обеспечения всеобщего начального образования в 1977/78 году правительство приняло решение уделять должное внимание ликвидации неграмотности среди взрослых, и в повестку дня страны был включен вопрос о национальной программе образования для взрослых.</w:t>
      </w:r>
    </w:p>
    <w:p w:rsidR="00000000" w:rsidRDefault="00000000">
      <w:pPr>
        <w:pStyle w:val="112"/>
        <w:spacing w:before="180"/>
      </w:pPr>
      <w:r>
        <w:t>620.</w:t>
      </w:r>
      <w:r>
        <w:tab/>
        <w:t>Учреждена также Национальная миссия в области грамотности (НМГ), цель которой заключается в достижении к 2007 году устойчивого порога 75</w:t>
      </w:r>
      <w:r>
        <w:noBreakHyphen/>
        <w:t>процентной грамотности посредством обеспечения функциональной грамотности для лиц в возрасте 15–35 лет, не умеющих читать и писать.  Принципом, которым руководствуется НМГ в своей работе, является проведение всеобщей кампании по распространению грамотности.  Программы, осуществляемые НМГ, разработаны для конкретных районов, ограничены определенными сроками, предусматривают участие населения, экономичны и ориентированы на достижение конкретных результатов.</w:t>
      </w:r>
    </w:p>
    <w:p w:rsidR="00000000" w:rsidRDefault="00000000">
      <w:pPr>
        <w:pStyle w:val="112"/>
        <w:spacing w:before="180"/>
      </w:pPr>
      <w:r>
        <w:t>621.</w:t>
      </w:r>
      <w:r>
        <w:tab/>
        <w:t>По состоянию на декабрь 2001 года различными программами НМГ по ликвидации неграмотности среди взрослого населения было охвачено 96,64 млн. человек.  В настоящее время из 593 районов страны в 160 районах осуществляется всеобщая кампания по распространению грамотности, в 264 районах – кампания Палли по распространению грамотности (в 30 из них  – программа распространения функциональной грамотности в сельских районах) и в 152 районах – программа непрерывного обучения.  НМГ в настоящее время решает задачу обеспечения функциональной грамотности лиц в возрасте 15–35 лет и поставила перед собой цель достичь 75</w:t>
      </w:r>
      <w:r>
        <w:noBreakHyphen/>
        <w:t>процентного уровня грамотности к 2005 году.</w:t>
      </w:r>
    </w:p>
    <w:p w:rsidR="00000000" w:rsidRDefault="00000000">
      <w:pPr>
        <w:pStyle w:val="112"/>
      </w:pPr>
      <w:r>
        <w:t>622.</w:t>
      </w:r>
      <w:r>
        <w:tab/>
        <w:t>В Индии благодаря созданию центров непрерывного обучения лица, научившиеся недавно читать и писать, в некоторых районах имеют возможность закрепить базовую грамотность, усовершенствовать навыки чтения и письма в рамках программ альтернативного обучения и приобрести профессию, что способствует социальному развитию и повышению уровня занятости.</w:t>
      </w:r>
    </w:p>
    <w:p w:rsidR="00000000" w:rsidRDefault="00000000">
      <w:pPr>
        <w:pStyle w:val="112"/>
        <w:spacing w:after="240"/>
      </w:pPr>
      <w:r>
        <w:t>Национальной миссии в области грамотности оказывает также поддержку в решении методических и технических вопросов Центральное управление по вопросам образования для взрослых.  В десятом плане поставлены следующие задачи в области обучения взрослого населения:</w:t>
      </w:r>
    </w:p>
    <w:p w:rsidR="00000000" w:rsidRDefault="00000000">
      <w:pPr>
        <w:numPr>
          <w:ilvl w:val="0"/>
          <w:numId w:val="11"/>
        </w:numPr>
        <w:tabs>
          <w:tab w:val="clear" w:pos="927"/>
          <w:tab w:val="left" w:pos="567"/>
          <w:tab w:val="left" w:pos="1134"/>
          <w:tab w:val="left" w:pos="1701"/>
          <w:tab w:val="left" w:pos="2268"/>
          <w:tab w:val="left" w:pos="6237"/>
        </w:tabs>
        <w:spacing w:after="240"/>
        <w:ind w:left="1134" w:hanging="414"/>
        <w:jc w:val="both"/>
        <w:rPr>
          <w:sz w:val="22"/>
          <w:szCs w:val="22"/>
        </w:rPr>
      </w:pPr>
      <w:r>
        <w:rPr>
          <w:sz w:val="22"/>
          <w:szCs w:val="22"/>
        </w:rPr>
        <w:t>к 2005 году достичь полной грамотности, т. е. 75</w:t>
      </w:r>
      <w:r>
        <w:rPr>
          <w:sz w:val="22"/>
          <w:szCs w:val="22"/>
        </w:rPr>
        <w:noBreakHyphen/>
        <w:t>процентного устойчивого порогового уровня;</w:t>
      </w:r>
    </w:p>
    <w:p w:rsidR="00000000" w:rsidRDefault="00000000">
      <w:pPr>
        <w:numPr>
          <w:ilvl w:val="0"/>
          <w:numId w:val="11"/>
        </w:numPr>
        <w:tabs>
          <w:tab w:val="clear" w:pos="927"/>
          <w:tab w:val="left" w:pos="567"/>
          <w:tab w:val="left" w:pos="1134"/>
          <w:tab w:val="left" w:pos="1701"/>
          <w:tab w:val="left" w:pos="2268"/>
          <w:tab w:val="left" w:pos="6237"/>
        </w:tabs>
        <w:spacing w:after="240"/>
        <w:ind w:left="1134" w:hanging="414"/>
        <w:jc w:val="both"/>
        <w:rPr>
          <w:sz w:val="22"/>
          <w:szCs w:val="22"/>
        </w:rPr>
      </w:pPr>
      <w:r>
        <w:rPr>
          <w:sz w:val="22"/>
          <w:szCs w:val="22"/>
        </w:rPr>
        <w:t>к 2003/04 году охватить программами обучения все неохваченные районы;</w:t>
      </w:r>
    </w:p>
    <w:p w:rsidR="00000000" w:rsidRDefault="00000000">
      <w:pPr>
        <w:numPr>
          <w:ilvl w:val="0"/>
          <w:numId w:val="11"/>
        </w:numPr>
        <w:tabs>
          <w:tab w:val="clear" w:pos="927"/>
          <w:tab w:val="left" w:pos="567"/>
          <w:tab w:val="left" w:pos="1134"/>
          <w:tab w:val="left" w:pos="1701"/>
          <w:tab w:val="left" w:pos="2268"/>
          <w:tab w:val="left" w:pos="6237"/>
        </w:tabs>
        <w:spacing w:after="240"/>
        <w:ind w:left="1134" w:hanging="414"/>
        <w:jc w:val="both"/>
        <w:rPr>
          <w:sz w:val="22"/>
          <w:szCs w:val="22"/>
        </w:rPr>
      </w:pPr>
      <w:r>
        <w:rPr>
          <w:sz w:val="22"/>
          <w:szCs w:val="22"/>
        </w:rPr>
        <w:t>к 2004/05 году добиться полной ликвидации неграмотности в охваченных районах;</w:t>
      </w:r>
    </w:p>
    <w:p w:rsidR="00000000" w:rsidRDefault="00000000">
      <w:pPr>
        <w:numPr>
          <w:ilvl w:val="0"/>
          <w:numId w:val="11"/>
        </w:numPr>
        <w:tabs>
          <w:tab w:val="clear" w:pos="927"/>
          <w:tab w:val="left" w:pos="567"/>
          <w:tab w:val="left" w:pos="1134"/>
          <w:tab w:val="left" w:pos="1701"/>
          <w:tab w:val="left" w:pos="2268"/>
          <w:tab w:val="left" w:pos="6237"/>
        </w:tabs>
        <w:spacing w:after="240"/>
        <w:ind w:left="1134" w:hanging="414"/>
        <w:jc w:val="both"/>
        <w:rPr>
          <w:sz w:val="22"/>
          <w:szCs w:val="22"/>
        </w:rPr>
      </w:pPr>
      <w:r>
        <w:rPr>
          <w:sz w:val="22"/>
          <w:szCs w:val="22"/>
        </w:rPr>
        <w:t>завершить кампанию после ликвидации неграмотности во всех районах;</w:t>
      </w:r>
    </w:p>
    <w:p w:rsidR="00000000" w:rsidRDefault="00000000">
      <w:pPr>
        <w:numPr>
          <w:ilvl w:val="0"/>
          <w:numId w:val="11"/>
        </w:numPr>
        <w:tabs>
          <w:tab w:val="clear" w:pos="927"/>
          <w:tab w:val="left" w:pos="567"/>
          <w:tab w:val="left" w:pos="1134"/>
          <w:tab w:val="left" w:pos="1701"/>
          <w:tab w:val="left" w:pos="2268"/>
          <w:tab w:val="left" w:pos="6237"/>
        </w:tabs>
        <w:ind w:left="1134" w:hanging="414"/>
        <w:jc w:val="both"/>
        <w:rPr>
          <w:sz w:val="22"/>
          <w:szCs w:val="22"/>
        </w:rPr>
      </w:pPr>
      <w:r>
        <w:rPr>
          <w:sz w:val="22"/>
          <w:szCs w:val="22"/>
        </w:rPr>
        <w:t>к концу планового периода начать в 100 районах осуществление программ непрерывного обучения.</w:t>
      </w:r>
    </w:p>
    <w:p w:rsidR="00000000" w:rsidRDefault="00000000">
      <w:pPr>
        <w:pStyle w:val="112"/>
      </w:pPr>
      <w:r>
        <w:t>623.</w:t>
      </w:r>
      <w:r>
        <w:tab/>
        <w:t>Основной упор в десятом плане делается на уменьшение региональных диспропорций и решение конкретных проблем в таких штатах с низким уровнем грамотности, как Уттар-Прадеш, Бихар, Раджастхан, Мадхья-Прадеш, Андхра-Прадеш, Джамму и Кашмир, Джхаркхенд и Чаттисгарх, которым уделяется повышенное внимание.</w:t>
      </w:r>
    </w:p>
    <w:p w:rsidR="00000000" w:rsidRDefault="00000000">
      <w:pPr>
        <w:jc w:val="both"/>
        <w:rPr>
          <w:sz w:val="22"/>
          <w:szCs w:val="22"/>
        </w:rPr>
      </w:pPr>
    </w:p>
    <w:p w:rsidR="00000000" w:rsidRDefault="00000000">
      <w:pPr>
        <w:jc w:val="both"/>
        <w:rPr>
          <w:b/>
          <w:bCs/>
          <w:sz w:val="22"/>
          <w:szCs w:val="22"/>
        </w:rPr>
      </w:pPr>
      <w:r>
        <w:rPr>
          <w:rStyle w:val="111"/>
          <w:szCs w:val="22"/>
        </w:rPr>
        <w:t>624.</w:t>
      </w:r>
      <w:r>
        <w:rPr>
          <w:rStyle w:val="111"/>
          <w:szCs w:val="22"/>
        </w:rPr>
        <w:tab/>
      </w:r>
      <w:r>
        <w:rPr>
          <w:b/>
          <w:bCs/>
          <w:sz w:val="22"/>
          <w:szCs w:val="22"/>
        </w:rPr>
        <w:t>Расходы на образование</w:t>
      </w:r>
    </w:p>
    <w:p w:rsidR="00000000" w:rsidRDefault="00000000">
      <w:pPr>
        <w:jc w:val="both"/>
        <w:rPr>
          <w:sz w:val="22"/>
          <w:szCs w:val="22"/>
        </w:rPr>
      </w:pPr>
    </w:p>
    <w:p w:rsidR="00000000" w:rsidRDefault="00000000">
      <w:pPr>
        <w:jc w:val="both"/>
        <w:rPr>
          <w:sz w:val="22"/>
          <w:szCs w:val="22"/>
        </w:rPr>
      </w:pPr>
      <w:r>
        <w:rPr>
          <w:sz w:val="22"/>
          <w:szCs w:val="22"/>
        </w:rPr>
        <w:t>Государственные расходы на образование</w:t>
      </w:r>
    </w:p>
    <w:p w:rsidR="00000000" w:rsidRDefault="00000000">
      <w:pPr>
        <w:spacing w:before="180"/>
        <w:jc w:val="both"/>
        <w:rPr>
          <w:sz w:val="22"/>
          <w:szCs w:val="22"/>
        </w:rPr>
      </w:pPr>
      <w:r>
        <w:rPr>
          <w:sz w:val="22"/>
          <w:szCs w:val="22"/>
        </w:rPr>
        <w:t>В таблице 13.9 отражены государственные расходы на образование в Индии за период с 1951/52 по 2001/02 год.</w:t>
      </w:r>
    </w:p>
    <w:p w:rsidR="00000000" w:rsidRDefault="00000000">
      <w:pPr>
        <w:spacing w:before="180"/>
        <w:ind w:left="709" w:hanging="709"/>
        <w:jc w:val="both"/>
        <w:rPr>
          <w:sz w:val="22"/>
          <w:szCs w:val="22"/>
        </w:rPr>
      </w:pPr>
      <w:r>
        <w:rPr>
          <w:sz w:val="22"/>
          <w:szCs w:val="22"/>
          <w:lang w:val="en-US"/>
        </w:rPr>
        <w:t>I</w:t>
      </w:r>
      <w:r>
        <w:rPr>
          <w:sz w:val="22"/>
          <w:szCs w:val="22"/>
        </w:rPr>
        <w:t>)</w:t>
      </w:r>
      <w:r>
        <w:rPr>
          <w:sz w:val="22"/>
          <w:szCs w:val="22"/>
        </w:rPr>
        <w:tab/>
        <w:t>Государственные расходы на образование (плановые и пересмотренные), произведенные департаментом образования и другими департаментами (центрального правительства и штатов)</w:t>
      </w:r>
    </w:p>
    <w:p w:rsidR="00000000" w:rsidRDefault="00000000">
      <w:pPr>
        <w:jc w:val="both"/>
        <w:rPr>
          <w:sz w:val="22"/>
          <w:szCs w:val="22"/>
          <w:lang w:val="en-US"/>
        </w:rPr>
      </w:pPr>
    </w:p>
    <w:p w:rsidR="00000000" w:rsidRDefault="00000000">
      <w:pPr>
        <w:jc w:val="both"/>
        <w:rPr>
          <w:sz w:val="22"/>
          <w:szCs w:val="22"/>
        </w:rPr>
      </w:pPr>
      <w:r>
        <w:rPr>
          <w:sz w:val="22"/>
          <w:szCs w:val="22"/>
          <w:lang w:val="en-US"/>
        </w:rPr>
        <w:t>II</w:t>
      </w:r>
      <w:r>
        <w:rPr>
          <w:sz w:val="22"/>
          <w:szCs w:val="22"/>
        </w:rPr>
        <w:t>)</w:t>
      </w:r>
      <w:r>
        <w:rPr>
          <w:sz w:val="22"/>
          <w:szCs w:val="22"/>
        </w:rPr>
        <w:tab/>
        <w:t>Общий объем государственных расходов по всем секторам (пересмотренный)</w:t>
      </w:r>
    </w:p>
    <w:p w:rsidR="00000000" w:rsidRDefault="00000000">
      <w:pPr>
        <w:jc w:val="both"/>
        <w:rPr>
          <w:sz w:val="22"/>
          <w:szCs w:val="22"/>
          <w:lang w:val="en-US"/>
        </w:rPr>
      </w:pPr>
    </w:p>
    <w:p w:rsidR="00000000" w:rsidRDefault="00000000">
      <w:pPr>
        <w:jc w:val="both"/>
        <w:rPr>
          <w:sz w:val="22"/>
          <w:szCs w:val="22"/>
        </w:rPr>
      </w:pPr>
      <w:r>
        <w:rPr>
          <w:sz w:val="22"/>
          <w:szCs w:val="22"/>
          <w:lang w:val="en-US"/>
        </w:rPr>
        <w:t>III</w:t>
      </w:r>
      <w:r>
        <w:rPr>
          <w:sz w:val="22"/>
          <w:szCs w:val="22"/>
        </w:rPr>
        <w:t>)</w:t>
      </w:r>
      <w:r>
        <w:rPr>
          <w:sz w:val="22"/>
          <w:szCs w:val="22"/>
        </w:rPr>
        <w:tab/>
        <w:t>ВВП в текущих ценах (по факторной стоимости)  базового 1993/94 года</w:t>
      </w:r>
    </w:p>
    <w:p w:rsidR="00000000" w:rsidRDefault="00000000">
      <w:pPr>
        <w:jc w:val="both"/>
        <w:rPr>
          <w:sz w:val="22"/>
          <w:szCs w:val="22"/>
          <w:lang w:val="en-US"/>
        </w:rPr>
      </w:pPr>
    </w:p>
    <w:p w:rsidR="00000000" w:rsidRDefault="00000000">
      <w:pPr>
        <w:jc w:val="both"/>
        <w:rPr>
          <w:sz w:val="22"/>
          <w:szCs w:val="22"/>
        </w:rPr>
      </w:pPr>
      <w:r>
        <w:rPr>
          <w:sz w:val="22"/>
          <w:szCs w:val="22"/>
          <w:lang w:val="en-US"/>
        </w:rPr>
        <w:t>IV</w:t>
      </w:r>
      <w:r>
        <w:rPr>
          <w:sz w:val="22"/>
          <w:szCs w:val="22"/>
        </w:rPr>
        <w:t>)</w:t>
      </w:r>
      <w:r>
        <w:rPr>
          <w:sz w:val="22"/>
          <w:szCs w:val="22"/>
        </w:rPr>
        <w:tab/>
        <w:t>Доля расходов на образование в общем объеме расходов по всем секторам</w:t>
      </w:r>
    </w:p>
    <w:p w:rsidR="00000000" w:rsidRDefault="00000000">
      <w:pPr>
        <w:jc w:val="both"/>
        <w:rPr>
          <w:sz w:val="22"/>
          <w:szCs w:val="22"/>
          <w:lang w:val="en-US"/>
        </w:rPr>
      </w:pPr>
    </w:p>
    <w:p w:rsidR="00000000" w:rsidRDefault="00000000">
      <w:pPr>
        <w:jc w:val="both"/>
        <w:rPr>
          <w:sz w:val="22"/>
          <w:szCs w:val="22"/>
        </w:rPr>
      </w:pPr>
      <w:r>
        <w:rPr>
          <w:sz w:val="22"/>
          <w:szCs w:val="22"/>
          <w:lang w:val="en-US"/>
        </w:rPr>
        <w:t>V</w:t>
      </w:r>
      <w:r>
        <w:rPr>
          <w:sz w:val="22"/>
          <w:szCs w:val="22"/>
        </w:rPr>
        <w:t>)</w:t>
      </w:r>
      <w:r>
        <w:rPr>
          <w:sz w:val="22"/>
          <w:szCs w:val="22"/>
        </w:rPr>
        <w:tab/>
        <w:t>Доля расходов на образование в ВВП</w:t>
      </w:r>
    </w:p>
    <w:p w:rsidR="00000000" w:rsidRDefault="00000000">
      <w:pPr>
        <w:jc w:val="both"/>
        <w:rPr>
          <w:sz w:val="22"/>
          <w:szCs w:val="22"/>
        </w:rPr>
      </w:pPr>
    </w:p>
    <w:p w:rsidR="00000000" w:rsidRDefault="00000000">
      <w:pPr>
        <w:spacing w:after="120"/>
        <w:jc w:val="both"/>
        <w:rPr>
          <w:rStyle w:val="111"/>
          <w:b/>
          <w:bCs/>
          <w:szCs w:val="22"/>
        </w:rPr>
      </w:pPr>
      <w:r>
        <w:rPr>
          <w:b/>
          <w:bCs/>
          <w:sz w:val="22"/>
          <w:szCs w:val="22"/>
        </w:rPr>
        <w:t>Таблица 13.9.  Государственные расходы на образование в Индии (в млн. рупий)</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1115"/>
        <w:gridCol w:w="1115"/>
        <w:gridCol w:w="1115"/>
        <w:gridCol w:w="1114"/>
        <w:gridCol w:w="1114"/>
        <w:gridCol w:w="1114"/>
        <w:gridCol w:w="1114"/>
        <w:gridCol w:w="1114"/>
      </w:tblGrid>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rPr>
            </w:pPr>
            <w:r>
              <w:rPr>
                <w:sz w:val="20"/>
                <w:szCs w:val="20"/>
              </w:rPr>
              <w:t>Год</w:t>
            </w:r>
          </w:p>
        </w:tc>
        <w:tc>
          <w:tcPr>
            <w:tcW w:w="1134" w:type="dxa"/>
            <w:vAlign w:val="center"/>
          </w:tcPr>
          <w:p w:rsidR="00000000" w:rsidRDefault="00000000">
            <w:pPr>
              <w:spacing w:before="40" w:after="40"/>
              <w:rPr>
                <w:sz w:val="20"/>
                <w:szCs w:val="20"/>
                <w:lang w:val="en-US"/>
              </w:rPr>
            </w:pPr>
            <w:r>
              <w:rPr>
                <w:sz w:val="20"/>
                <w:szCs w:val="20"/>
                <w:lang w:val="en-US"/>
              </w:rPr>
              <w:t>1951</w:t>
            </w:r>
            <w:r>
              <w:rPr>
                <w:sz w:val="20"/>
                <w:szCs w:val="20"/>
              </w:rPr>
              <w:t>/</w:t>
            </w:r>
            <w:r>
              <w:rPr>
                <w:sz w:val="20"/>
                <w:szCs w:val="20"/>
                <w:lang w:val="en-US"/>
              </w:rPr>
              <w:t>52</w:t>
            </w:r>
          </w:p>
        </w:tc>
        <w:tc>
          <w:tcPr>
            <w:tcW w:w="1134" w:type="dxa"/>
            <w:vAlign w:val="center"/>
          </w:tcPr>
          <w:p w:rsidR="00000000" w:rsidRDefault="00000000">
            <w:pPr>
              <w:spacing w:before="40" w:after="40"/>
              <w:rPr>
                <w:sz w:val="20"/>
                <w:szCs w:val="20"/>
                <w:lang w:val="en-US"/>
              </w:rPr>
            </w:pPr>
            <w:r>
              <w:rPr>
                <w:sz w:val="20"/>
                <w:szCs w:val="20"/>
                <w:lang w:val="en-US"/>
              </w:rPr>
              <w:t>1955</w:t>
            </w:r>
            <w:r>
              <w:rPr>
                <w:sz w:val="20"/>
                <w:szCs w:val="20"/>
              </w:rPr>
              <w:t>/</w:t>
            </w:r>
            <w:r>
              <w:rPr>
                <w:sz w:val="20"/>
                <w:szCs w:val="20"/>
                <w:lang w:val="en-US"/>
              </w:rPr>
              <w:t>56</w:t>
            </w:r>
          </w:p>
        </w:tc>
        <w:tc>
          <w:tcPr>
            <w:tcW w:w="1134" w:type="dxa"/>
            <w:vAlign w:val="center"/>
          </w:tcPr>
          <w:p w:rsidR="00000000" w:rsidRDefault="00000000">
            <w:pPr>
              <w:spacing w:before="40" w:after="40"/>
              <w:rPr>
                <w:sz w:val="20"/>
                <w:szCs w:val="20"/>
                <w:lang w:val="en-US"/>
              </w:rPr>
            </w:pPr>
            <w:r>
              <w:rPr>
                <w:sz w:val="20"/>
                <w:szCs w:val="20"/>
                <w:lang w:val="en-US"/>
              </w:rPr>
              <w:t>1960</w:t>
            </w:r>
            <w:r>
              <w:rPr>
                <w:sz w:val="20"/>
                <w:szCs w:val="20"/>
              </w:rPr>
              <w:t>/</w:t>
            </w:r>
            <w:r>
              <w:rPr>
                <w:sz w:val="20"/>
                <w:szCs w:val="20"/>
                <w:lang w:val="en-US"/>
              </w:rPr>
              <w:t>61</w:t>
            </w:r>
          </w:p>
        </w:tc>
        <w:tc>
          <w:tcPr>
            <w:tcW w:w="1134" w:type="dxa"/>
            <w:vAlign w:val="center"/>
          </w:tcPr>
          <w:p w:rsidR="00000000" w:rsidRDefault="00000000">
            <w:pPr>
              <w:spacing w:before="40" w:after="40"/>
              <w:rPr>
                <w:sz w:val="20"/>
                <w:szCs w:val="20"/>
                <w:lang w:val="en-US"/>
              </w:rPr>
            </w:pPr>
            <w:r>
              <w:rPr>
                <w:sz w:val="20"/>
                <w:szCs w:val="20"/>
                <w:lang w:val="en-US"/>
              </w:rPr>
              <w:t>1965</w:t>
            </w:r>
            <w:r>
              <w:rPr>
                <w:sz w:val="20"/>
                <w:szCs w:val="20"/>
              </w:rPr>
              <w:t>/</w:t>
            </w:r>
            <w:r>
              <w:rPr>
                <w:sz w:val="20"/>
                <w:szCs w:val="20"/>
                <w:lang w:val="en-US"/>
              </w:rPr>
              <w:t>66</w:t>
            </w:r>
          </w:p>
        </w:tc>
        <w:tc>
          <w:tcPr>
            <w:tcW w:w="1134" w:type="dxa"/>
            <w:vAlign w:val="center"/>
          </w:tcPr>
          <w:p w:rsidR="00000000" w:rsidRDefault="00000000">
            <w:pPr>
              <w:spacing w:before="40" w:after="40"/>
              <w:rPr>
                <w:sz w:val="20"/>
                <w:szCs w:val="20"/>
                <w:lang w:val="en-US"/>
              </w:rPr>
            </w:pPr>
            <w:r>
              <w:rPr>
                <w:sz w:val="20"/>
                <w:szCs w:val="20"/>
                <w:lang w:val="en-US"/>
              </w:rPr>
              <w:t>1970</w:t>
            </w:r>
            <w:r>
              <w:rPr>
                <w:sz w:val="20"/>
                <w:szCs w:val="20"/>
              </w:rPr>
              <w:t>/</w:t>
            </w:r>
            <w:r>
              <w:rPr>
                <w:sz w:val="20"/>
                <w:szCs w:val="20"/>
                <w:lang w:val="en-US"/>
              </w:rPr>
              <w:t>71</w:t>
            </w:r>
          </w:p>
        </w:tc>
        <w:tc>
          <w:tcPr>
            <w:tcW w:w="1134" w:type="dxa"/>
            <w:vAlign w:val="center"/>
          </w:tcPr>
          <w:p w:rsidR="00000000" w:rsidRDefault="00000000">
            <w:pPr>
              <w:spacing w:before="40" w:after="40"/>
              <w:rPr>
                <w:sz w:val="20"/>
                <w:szCs w:val="20"/>
                <w:lang w:val="en-US"/>
              </w:rPr>
            </w:pPr>
            <w:r>
              <w:rPr>
                <w:sz w:val="20"/>
                <w:szCs w:val="20"/>
                <w:lang w:val="en-US"/>
              </w:rPr>
              <w:t>1975</w:t>
            </w:r>
            <w:r>
              <w:rPr>
                <w:sz w:val="20"/>
                <w:szCs w:val="20"/>
              </w:rPr>
              <w:t>/</w:t>
            </w:r>
            <w:r>
              <w:rPr>
                <w:sz w:val="20"/>
                <w:szCs w:val="20"/>
                <w:lang w:val="en-US"/>
              </w:rPr>
              <w:t>76</w:t>
            </w:r>
          </w:p>
        </w:tc>
        <w:tc>
          <w:tcPr>
            <w:tcW w:w="1134" w:type="dxa"/>
            <w:vAlign w:val="center"/>
          </w:tcPr>
          <w:p w:rsidR="00000000" w:rsidRDefault="00000000">
            <w:pPr>
              <w:spacing w:before="40" w:after="40"/>
              <w:rPr>
                <w:sz w:val="20"/>
                <w:szCs w:val="20"/>
                <w:lang w:val="en-US"/>
              </w:rPr>
            </w:pPr>
            <w:r>
              <w:rPr>
                <w:sz w:val="20"/>
                <w:szCs w:val="20"/>
                <w:lang w:val="en-US"/>
              </w:rPr>
              <w:t>1980</w:t>
            </w:r>
            <w:r>
              <w:rPr>
                <w:sz w:val="20"/>
                <w:szCs w:val="20"/>
              </w:rPr>
              <w:t>/</w:t>
            </w:r>
            <w:r>
              <w:rPr>
                <w:sz w:val="20"/>
                <w:szCs w:val="20"/>
                <w:lang w:val="en-US"/>
              </w:rPr>
              <w:t>81</w:t>
            </w:r>
          </w:p>
        </w:tc>
        <w:tc>
          <w:tcPr>
            <w:tcW w:w="1134" w:type="dxa"/>
            <w:vAlign w:val="center"/>
          </w:tcPr>
          <w:p w:rsidR="00000000" w:rsidRDefault="00000000">
            <w:pPr>
              <w:spacing w:before="40" w:after="40"/>
              <w:rPr>
                <w:sz w:val="20"/>
                <w:szCs w:val="20"/>
                <w:lang w:val="en-US"/>
              </w:rPr>
            </w:pPr>
            <w:r>
              <w:rPr>
                <w:sz w:val="20"/>
                <w:szCs w:val="20"/>
                <w:lang w:val="en-US"/>
              </w:rPr>
              <w:t>198</w:t>
            </w:r>
            <w:r>
              <w:rPr>
                <w:sz w:val="20"/>
                <w:szCs w:val="20"/>
              </w:rPr>
              <w:t>5/</w:t>
            </w:r>
            <w:r>
              <w:rPr>
                <w:sz w:val="20"/>
                <w:szCs w:val="20"/>
                <w:lang w:val="en-US"/>
              </w:rPr>
              <w:t>86</w:t>
            </w:r>
          </w:p>
        </w:tc>
      </w:tr>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lang w:val="en-US"/>
              </w:rPr>
            </w:pPr>
            <w:r>
              <w:rPr>
                <w:sz w:val="20"/>
                <w:szCs w:val="20"/>
                <w:lang w:val="en-US"/>
              </w:rPr>
              <w:t>I</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644,6</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1 183,9</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2 395,6</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4 326,1</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8 923,6</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18 494,7</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38 842</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87 130,2</w:t>
            </w:r>
          </w:p>
        </w:tc>
      </w:tr>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lang w:val="en-US"/>
              </w:rPr>
            </w:pPr>
            <w:r>
              <w:rPr>
                <w:sz w:val="20"/>
                <w:szCs w:val="20"/>
                <w:lang w:val="en-US"/>
              </w:rPr>
              <w:t>II</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8 141,3</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11 112,6</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19 979,3</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44 048,2</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87 871,2</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179 590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363 984</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670 914</w:t>
            </w:r>
          </w:p>
        </w:tc>
      </w:tr>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lang w:val="en-US"/>
              </w:rPr>
            </w:pPr>
            <w:r>
              <w:rPr>
                <w:sz w:val="20"/>
                <w:szCs w:val="20"/>
                <w:lang w:val="en-US"/>
              </w:rPr>
              <w:t>III</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100 800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103 320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162 200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255 860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422 22</w:t>
            </w:r>
            <w:r>
              <w:rPr>
                <w:rFonts w:eastAsia="Arial Unicode MS"/>
                <w:sz w:val="20"/>
                <w:szCs w:val="20"/>
                <w:lang w:val="en-US"/>
              </w:rPr>
              <w:t>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757 090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1 301 780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2 495 470</w:t>
            </w:r>
          </w:p>
        </w:tc>
      </w:tr>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lang w:val="en-US"/>
              </w:rPr>
            </w:pPr>
            <w:r>
              <w:rPr>
                <w:sz w:val="20"/>
                <w:szCs w:val="20"/>
                <w:lang w:val="en-US"/>
              </w:rPr>
              <w:t>IV</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7,92</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10,65</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11,99</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9,82</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10,16</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10,30</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10,67</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12,99</w:t>
            </w:r>
          </w:p>
        </w:tc>
      </w:tr>
      <w:tr w:rsidR="00000000">
        <w:tblPrEx>
          <w:tblCellMar>
            <w:top w:w="0" w:type="dxa"/>
            <w:bottom w:w="0" w:type="dxa"/>
          </w:tblCellMar>
        </w:tblPrEx>
        <w:trPr>
          <w:jc w:val="center"/>
        </w:trPr>
        <w:tc>
          <w:tcPr>
            <w:tcW w:w="734" w:type="dxa"/>
            <w:vAlign w:val="center"/>
          </w:tcPr>
          <w:p w:rsidR="00000000" w:rsidRDefault="00000000">
            <w:pPr>
              <w:spacing w:before="40" w:after="40"/>
              <w:rPr>
                <w:sz w:val="20"/>
                <w:szCs w:val="20"/>
                <w:lang w:val="en-US"/>
              </w:rPr>
            </w:pPr>
            <w:r>
              <w:rPr>
                <w:sz w:val="20"/>
                <w:szCs w:val="20"/>
                <w:lang w:val="en-US"/>
              </w:rPr>
              <w:t>V</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0,64</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1,15</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1,48</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1,69</w:t>
            </w:r>
          </w:p>
        </w:tc>
        <w:tc>
          <w:tcPr>
            <w:tcW w:w="1134" w:type="dxa"/>
            <w:vAlign w:val="center"/>
          </w:tcPr>
          <w:p w:rsidR="00000000" w:rsidRDefault="00000000">
            <w:pPr>
              <w:tabs>
                <w:tab w:val="decimal" w:pos="680"/>
              </w:tabs>
              <w:spacing w:before="40" w:after="40"/>
              <w:rPr>
                <w:sz w:val="20"/>
                <w:szCs w:val="20"/>
                <w:lang w:val="en-US"/>
              </w:rPr>
            </w:pPr>
            <w:r>
              <w:rPr>
                <w:snapToGrid w:val="0"/>
                <w:sz w:val="20"/>
                <w:szCs w:val="20"/>
                <w:lang w:val="en-US"/>
              </w:rPr>
              <w:t>2,11</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2,44</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2,98</w:t>
            </w:r>
          </w:p>
        </w:tc>
        <w:tc>
          <w:tcPr>
            <w:tcW w:w="1134" w:type="dxa"/>
            <w:vAlign w:val="center"/>
          </w:tcPr>
          <w:p w:rsidR="00000000" w:rsidRDefault="00000000">
            <w:pPr>
              <w:tabs>
                <w:tab w:val="decimal" w:pos="680"/>
              </w:tabs>
              <w:spacing w:before="40" w:after="40"/>
              <w:rPr>
                <w:sz w:val="20"/>
                <w:szCs w:val="20"/>
                <w:lang w:val="en-US"/>
              </w:rPr>
            </w:pPr>
            <w:r>
              <w:rPr>
                <w:sz w:val="20"/>
                <w:szCs w:val="20"/>
                <w:lang w:val="en-US"/>
              </w:rPr>
              <w:t>3,49</w:t>
            </w:r>
          </w:p>
        </w:tc>
      </w:tr>
    </w:tbl>
    <w:p w:rsidR="00000000" w:rsidRDefault="00000000">
      <w:pPr>
        <w:pStyle w:val="112"/>
        <w:spacing w:before="120"/>
        <w:rPr>
          <w:szCs w:val="22"/>
        </w:rPr>
      </w:pP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26"/>
        <w:gridCol w:w="1117"/>
        <w:gridCol w:w="1117"/>
        <w:gridCol w:w="1117"/>
        <w:gridCol w:w="1111"/>
        <w:gridCol w:w="1111"/>
        <w:gridCol w:w="1111"/>
        <w:gridCol w:w="1111"/>
        <w:gridCol w:w="1111"/>
      </w:tblGrid>
      <w:tr w:rsidR="00000000">
        <w:tblPrEx>
          <w:tblCellMar>
            <w:top w:w="0" w:type="dxa"/>
            <w:bottom w:w="0" w:type="dxa"/>
          </w:tblCellMar>
        </w:tblPrEx>
        <w:trPr>
          <w:jc w:val="center"/>
        </w:trPr>
        <w:tc>
          <w:tcPr>
            <w:tcW w:w="726" w:type="dxa"/>
            <w:vAlign w:val="center"/>
          </w:tcPr>
          <w:p w:rsidR="00000000" w:rsidRDefault="00000000">
            <w:pPr>
              <w:spacing w:before="40" w:after="40"/>
              <w:jc w:val="center"/>
              <w:rPr>
                <w:sz w:val="20"/>
                <w:szCs w:val="20"/>
                <w:lang w:val="en-US"/>
              </w:rPr>
            </w:pPr>
            <w:r>
              <w:rPr>
                <w:sz w:val="20"/>
                <w:szCs w:val="20"/>
              </w:rPr>
              <w:t>Год</w:t>
            </w:r>
          </w:p>
        </w:tc>
        <w:tc>
          <w:tcPr>
            <w:tcW w:w="1117" w:type="dxa"/>
            <w:vAlign w:val="center"/>
          </w:tcPr>
          <w:p w:rsidR="00000000" w:rsidRDefault="00000000">
            <w:pPr>
              <w:spacing w:before="40" w:after="40"/>
              <w:jc w:val="center"/>
              <w:rPr>
                <w:sz w:val="20"/>
                <w:szCs w:val="20"/>
                <w:lang w:val="en-US"/>
              </w:rPr>
            </w:pPr>
            <w:r>
              <w:rPr>
                <w:sz w:val="20"/>
                <w:szCs w:val="20"/>
                <w:lang w:val="en-US"/>
              </w:rPr>
              <w:t>1990</w:t>
            </w:r>
            <w:r>
              <w:rPr>
                <w:sz w:val="20"/>
                <w:szCs w:val="20"/>
              </w:rPr>
              <w:t>/</w:t>
            </w:r>
            <w:r>
              <w:rPr>
                <w:sz w:val="20"/>
                <w:szCs w:val="20"/>
                <w:lang w:val="en-US"/>
              </w:rPr>
              <w:t>91</w:t>
            </w:r>
          </w:p>
        </w:tc>
        <w:tc>
          <w:tcPr>
            <w:tcW w:w="1117" w:type="dxa"/>
            <w:vAlign w:val="center"/>
          </w:tcPr>
          <w:p w:rsidR="00000000" w:rsidRDefault="00000000">
            <w:pPr>
              <w:spacing w:before="40" w:after="40"/>
              <w:jc w:val="center"/>
              <w:rPr>
                <w:sz w:val="20"/>
                <w:szCs w:val="20"/>
                <w:lang w:val="en-US"/>
              </w:rPr>
            </w:pPr>
            <w:r>
              <w:rPr>
                <w:sz w:val="20"/>
                <w:szCs w:val="20"/>
                <w:lang w:val="en-US"/>
              </w:rPr>
              <w:t>1995</w:t>
            </w:r>
            <w:r>
              <w:rPr>
                <w:sz w:val="20"/>
                <w:szCs w:val="20"/>
              </w:rPr>
              <w:t>/</w:t>
            </w:r>
            <w:r>
              <w:rPr>
                <w:sz w:val="20"/>
                <w:szCs w:val="20"/>
                <w:lang w:val="en-US"/>
              </w:rPr>
              <w:t>96</w:t>
            </w:r>
          </w:p>
        </w:tc>
        <w:tc>
          <w:tcPr>
            <w:tcW w:w="1117" w:type="dxa"/>
            <w:vAlign w:val="center"/>
          </w:tcPr>
          <w:p w:rsidR="00000000" w:rsidRDefault="00000000">
            <w:pPr>
              <w:spacing w:before="40" w:after="40"/>
              <w:jc w:val="center"/>
              <w:rPr>
                <w:sz w:val="20"/>
                <w:szCs w:val="20"/>
                <w:lang w:val="en-US"/>
              </w:rPr>
            </w:pPr>
            <w:r>
              <w:rPr>
                <w:sz w:val="20"/>
                <w:szCs w:val="20"/>
                <w:lang w:val="en-US"/>
              </w:rPr>
              <w:t>1996</w:t>
            </w:r>
            <w:r>
              <w:rPr>
                <w:sz w:val="20"/>
                <w:szCs w:val="20"/>
              </w:rPr>
              <w:t>/</w:t>
            </w:r>
            <w:r>
              <w:rPr>
                <w:sz w:val="20"/>
                <w:szCs w:val="20"/>
                <w:lang w:val="en-US"/>
              </w:rPr>
              <w:t>97</w:t>
            </w:r>
          </w:p>
        </w:tc>
        <w:tc>
          <w:tcPr>
            <w:tcW w:w="1111" w:type="dxa"/>
            <w:vAlign w:val="center"/>
          </w:tcPr>
          <w:p w:rsidR="00000000" w:rsidRDefault="00000000">
            <w:pPr>
              <w:spacing w:before="40" w:after="40"/>
              <w:jc w:val="center"/>
              <w:rPr>
                <w:sz w:val="20"/>
                <w:szCs w:val="20"/>
                <w:lang w:val="en-US"/>
              </w:rPr>
            </w:pPr>
            <w:r>
              <w:rPr>
                <w:sz w:val="20"/>
                <w:szCs w:val="20"/>
                <w:lang w:val="en-US"/>
              </w:rPr>
              <w:t>1997</w:t>
            </w:r>
            <w:r>
              <w:rPr>
                <w:sz w:val="20"/>
                <w:szCs w:val="20"/>
              </w:rPr>
              <w:t>/</w:t>
            </w:r>
            <w:r>
              <w:rPr>
                <w:sz w:val="20"/>
                <w:szCs w:val="20"/>
                <w:lang w:val="en-US"/>
              </w:rPr>
              <w:t>98</w:t>
            </w:r>
          </w:p>
        </w:tc>
        <w:tc>
          <w:tcPr>
            <w:tcW w:w="1111" w:type="dxa"/>
            <w:vAlign w:val="center"/>
          </w:tcPr>
          <w:p w:rsidR="00000000" w:rsidRDefault="00000000">
            <w:pPr>
              <w:spacing w:before="40" w:after="40"/>
              <w:jc w:val="center"/>
              <w:rPr>
                <w:sz w:val="20"/>
                <w:szCs w:val="20"/>
                <w:lang w:val="en-US"/>
              </w:rPr>
            </w:pPr>
            <w:r>
              <w:rPr>
                <w:sz w:val="20"/>
                <w:szCs w:val="20"/>
                <w:lang w:val="en-US"/>
              </w:rPr>
              <w:t>1998</w:t>
            </w:r>
            <w:r>
              <w:rPr>
                <w:sz w:val="20"/>
                <w:szCs w:val="20"/>
              </w:rPr>
              <w:t>/</w:t>
            </w:r>
            <w:r>
              <w:rPr>
                <w:sz w:val="20"/>
                <w:szCs w:val="20"/>
                <w:lang w:val="en-US"/>
              </w:rPr>
              <w:t>99</w:t>
            </w:r>
          </w:p>
        </w:tc>
        <w:tc>
          <w:tcPr>
            <w:tcW w:w="1111" w:type="dxa"/>
            <w:vAlign w:val="center"/>
          </w:tcPr>
          <w:p w:rsidR="00000000" w:rsidRDefault="00000000">
            <w:pPr>
              <w:spacing w:before="40" w:after="40"/>
              <w:jc w:val="center"/>
              <w:rPr>
                <w:sz w:val="20"/>
                <w:szCs w:val="20"/>
                <w:lang w:val="en-US"/>
              </w:rPr>
            </w:pPr>
            <w:r>
              <w:rPr>
                <w:sz w:val="20"/>
                <w:szCs w:val="20"/>
                <w:lang w:val="en-US"/>
              </w:rPr>
              <w:t>1999</w:t>
            </w:r>
            <w:r>
              <w:rPr>
                <w:sz w:val="20"/>
                <w:szCs w:val="20"/>
              </w:rPr>
              <w:t>/</w:t>
            </w:r>
            <w:r>
              <w:rPr>
                <w:sz w:val="20"/>
                <w:szCs w:val="20"/>
                <w:lang w:val="en-US"/>
              </w:rPr>
              <w:t>00</w:t>
            </w:r>
          </w:p>
        </w:tc>
        <w:tc>
          <w:tcPr>
            <w:tcW w:w="1111" w:type="dxa"/>
            <w:vAlign w:val="center"/>
          </w:tcPr>
          <w:p w:rsidR="00000000" w:rsidRDefault="00000000">
            <w:pPr>
              <w:spacing w:before="40" w:after="40"/>
              <w:jc w:val="center"/>
              <w:rPr>
                <w:sz w:val="20"/>
                <w:szCs w:val="20"/>
                <w:lang w:val="en-US"/>
              </w:rPr>
            </w:pPr>
            <w:r>
              <w:rPr>
                <w:sz w:val="20"/>
                <w:szCs w:val="20"/>
                <w:lang w:val="en-US"/>
              </w:rPr>
              <w:t>2000</w:t>
            </w:r>
            <w:r>
              <w:rPr>
                <w:sz w:val="20"/>
                <w:szCs w:val="20"/>
              </w:rPr>
              <w:t>/</w:t>
            </w:r>
            <w:r>
              <w:rPr>
                <w:sz w:val="20"/>
                <w:szCs w:val="20"/>
                <w:lang w:val="en-US"/>
              </w:rPr>
              <w:t>01</w:t>
            </w:r>
          </w:p>
        </w:tc>
        <w:tc>
          <w:tcPr>
            <w:tcW w:w="1111" w:type="dxa"/>
            <w:vAlign w:val="center"/>
          </w:tcPr>
          <w:p w:rsidR="00000000" w:rsidRDefault="00000000">
            <w:pPr>
              <w:spacing w:before="40" w:after="40"/>
              <w:jc w:val="center"/>
              <w:rPr>
                <w:sz w:val="20"/>
                <w:szCs w:val="20"/>
                <w:lang w:val="en-US"/>
              </w:rPr>
            </w:pPr>
            <w:r>
              <w:rPr>
                <w:sz w:val="20"/>
                <w:szCs w:val="20"/>
                <w:lang w:val="en-US"/>
              </w:rPr>
              <w:t>2001</w:t>
            </w:r>
            <w:r>
              <w:rPr>
                <w:sz w:val="20"/>
                <w:szCs w:val="20"/>
              </w:rPr>
              <w:t>/</w:t>
            </w:r>
            <w:r>
              <w:rPr>
                <w:sz w:val="20"/>
                <w:szCs w:val="20"/>
                <w:lang w:val="en-US"/>
              </w:rPr>
              <w:t>02</w:t>
            </w:r>
          </w:p>
        </w:tc>
      </w:tr>
      <w:tr w:rsidR="00000000">
        <w:tblPrEx>
          <w:tblCellMar>
            <w:top w:w="0" w:type="dxa"/>
            <w:bottom w:w="0" w:type="dxa"/>
          </w:tblCellMar>
        </w:tblPrEx>
        <w:trPr>
          <w:jc w:val="center"/>
        </w:trPr>
        <w:tc>
          <w:tcPr>
            <w:tcW w:w="726" w:type="dxa"/>
          </w:tcPr>
          <w:p w:rsidR="00000000" w:rsidRDefault="00000000">
            <w:pPr>
              <w:spacing w:before="40" w:after="40"/>
              <w:rPr>
                <w:sz w:val="20"/>
                <w:szCs w:val="20"/>
                <w:lang w:val="en-US"/>
              </w:rPr>
            </w:pPr>
            <w:r>
              <w:rPr>
                <w:sz w:val="20"/>
                <w:szCs w:val="20"/>
                <w:lang w:val="en-US"/>
              </w:rPr>
              <w:t>I</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196 159</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38 178</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43 897</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48 552</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61 579</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74 816</w:t>
            </w:r>
          </w:p>
        </w:tc>
        <w:tc>
          <w:tcPr>
            <w:tcW w:w="1111" w:type="dxa"/>
          </w:tcPr>
          <w:p w:rsidR="00000000" w:rsidRDefault="00000000">
            <w:pPr>
              <w:tabs>
                <w:tab w:val="decimal" w:pos="680"/>
              </w:tabs>
              <w:spacing w:before="40" w:after="40"/>
              <w:ind w:right="57"/>
              <w:jc w:val="right"/>
              <w:rPr>
                <w:sz w:val="20"/>
                <w:szCs w:val="20"/>
                <w:lang w:val="en-US"/>
              </w:rPr>
            </w:pPr>
            <w:r>
              <w:rPr>
                <w:sz w:val="20"/>
                <w:szCs w:val="20"/>
                <w:lang w:val="en-US"/>
              </w:rPr>
              <w:t>82 487</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 xml:space="preserve">84 </w:t>
            </w:r>
            <w:r>
              <w:rPr>
                <w:sz w:val="20"/>
                <w:szCs w:val="20"/>
              </w:rPr>
              <w:t>1</w:t>
            </w:r>
            <w:r>
              <w:rPr>
                <w:sz w:val="20"/>
                <w:szCs w:val="20"/>
                <w:lang w:val="en-US"/>
              </w:rPr>
              <w:t>80</w:t>
            </w:r>
            <w:r>
              <w:rPr>
                <w:sz w:val="20"/>
                <w:szCs w:val="20"/>
              </w:rPr>
              <w:br/>
            </w:r>
            <w:r>
              <w:rPr>
                <w:sz w:val="20"/>
                <w:szCs w:val="20"/>
                <w:lang w:val="en-US"/>
              </w:rPr>
              <w:t>(R</w:t>
            </w:r>
            <w:r>
              <w:rPr>
                <w:sz w:val="20"/>
                <w:szCs w:val="20"/>
              </w:rPr>
              <w:t>.</w:t>
            </w:r>
            <w:r>
              <w:rPr>
                <w:sz w:val="20"/>
                <w:szCs w:val="20"/>
                <w:lang w:val="en-US"/>
              </w:rPr>
              <w:t>E)</w:t>
            </w:r>
          </w:p>
        </w:tc>
      </w:tr>
      <w:tr w:rsidR="00000000">
        <w:tblPrEx>
          <w:tblCellMar>
            <w:top w:w="0" w:type="dxa"/>
            <w:bottom w:w="0" w:type="dxa"/>
          </w:tblCellMar>
        </w:tblPrEx>
        <w:trPr>
          <w:jc w:val="center"/>
        </w:trPr>
        <w:tc>
          <w:tcPr>
            <w:tcW w:w="726" w:type="dxa"/>
          </w:tcPr>
          <w:p w:rsidR="00000000" w:rsidRDefault="00000000">
            <w:pPr>
              <w:spacing w:before="40" w:after="40"/>
              <w:rPr>
                <w:sz w:val="20"/>
                <w:szCs w:val="20"/>
                <w:lang w:val="en-US"/>
              </w:rPr>
            </w:pPr>
            <w:r>
              <w:rPr>
                <w:sz w:val="20"/>
                <w:szCs w:val="20"/>
                <w:lang w:val="en-US"/>
              </w:rPr>
              <w:t>II</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146 712</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28 6195</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329 390</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380 729</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439 768</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512 519</w:t>
            </w:r>
          </w:p>
        </w:tc>
        <w:tc>
          <w:tcPr>
            <w:tcW w:w="1111" w:type="dxa"/>
          </w:tcPr>
          <w:p w:rsidR="00000000" w:rsidRDefault="00000000">
            <w:pPr>
              <w:tabs>
                <w:tab w:val="decimal" w:pos="680"/>
              </w:tabs>
              <w:spacing w:before="40" w:after="40"/>
              <w:ind w:right="57"/>
              <w:jc w:val="right"/>
              <w:rPr>
                <w:sz w:val="20"/>
                <w:szCs w:val="20"/>
                <w:lang w:val="en-US"/>
              </w:rPr>
            </w:pPr>
            <w:r>
              <w:rPr>
                <w:sz w:val="20"/>
                <w:szCs w:val="20"/>
                <w:lang w:val="en-US"/>
              </w:rPr>
              <w:t>572 160</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639 048</w:t>
            </w:r>
          </w:p>
        </w:tc>
      </w:tr>
      <w:tr w:rsidR="00000000">
        <w:tblPrEx>
          <w:tblCellMar>
            <w:top w:w="0" w:type="dxa"/>
            <w:bottom w:w="0" w:type="dxa"/>
          </w:tblCellMar>
        </w:tblPrEx>
        <w:trPr>
          <w:jc w:val="center"/>
        </w:trPr>
        <w:tc>
          <w:tcPr>
            <w:tcW w:w="726" w:type="dxa"/>
          </w:tcPr>
          <w:p w:rsidR="00000000" w:rsidRDefault="00000000">
            <w:pPr>
              <w:spacing w:before="40" w:after="40"/>
              <w:rPr>
                <w:sz w:val="20"/>
                <w:szCs w:val="20"/>
                <w:lang w:val="en-US"/>
              </w:rPr>
            </w:pPr>
            <w:r>
              <w:rPr>
                <w:sz w:val="20"/>
                <w:szCs w:val="20"/>
                <w:lang w:val="en-US"/>
              </w:rPr>
              <w:t>III</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510 954</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1 073 271</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1 243 546</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1 390 148</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1 598 127</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1 761 932</w:t>
            </w:r>
          </w:p>
        </w:tc>
        <w:tc>
          <w:tcPr>
            <w:tcW w:w="1111" w:type="dxa"/>
          </w:tcPr>
          <w:p w:rsidR="00000000" w:rsidRDefault="00000000">
            <w:pPr>
              <w:tabs>
                <w:tab w:val="decimal" w:pos="680"/>
              </w:tabs>
              <w:spacing w:before="40" w:after="40"/>
              <w:ind w:right="57"/>
              <w:jc w:val="right"/>
              <w:rPr>
                <w:sz w:val="20"/>
                <w:szCs w:val="20"/>
                <w:lang w:val="en-US"/>
              </w:rPr>
            </w:pPr>
            <w:r>
              <w:rPr>
                <w:sz w:val="20"/>
                <w:szCs w:val="20"/>
                <w:lang w:val="en-US"/>
              </w:rPr>
              <w:t>1 917 724P</w:t>
            </w:r>
          </w:p>
        </w:tc>
        <w:tc>
          <w:tcPr>
            <w:tcW w:w="1111" w:type="dxa"/>
          </w:tcPr>
          <w:p w:rsidR="00000000" w:rsidRDefault="00000000">
            <w:pPr>
              <w:spacing w:before="40" w:after="40"/>
              <w:ind w:right="85"/>
              <w:jc w:val="right"/>
              <w:rPr>
                <w:sz w:val="20"/>
                <w:szCs w:val="20"/>
              </w:rPr>
            </w:pPr>
            <w:r>
              <w:rPr>
                <w:sz w:val="20"/>
                <w:szCs w:val="20"/>
                <w:lang w:val="en-US"/>
              </w:rPr>
              <w:t>2 094 013</w:t>
            </w:r>
            <w:r>
              <w:rPr>
                <w:sz w:val="20"/>
                <w:szCs w:val="20"/>
              </w:rPr>
              <w:br/>
              <w:t>(</w:t>
            </w:r>
            <w:r>
              <w:rPr>
                <w:sz w:val="20"/>
                <w:szCs w:val="20"/>
                <w:lang w:val="en-US"/>
              </w:rPr>
              <w:t>III</w:t>
            </w:r>
            <w:r>
              <w:rPr>
                <w:sz w:val="20"/>
                <w:szCs w:val="20"/>
              </w:rPr>
              <w:t xml:space="preserve"> кв.)</w:t>
            </w:r>
          </w:p>
        </w:tc>
      </w:tr>
      <w:tr w:rsidR="00000000">
        <w:tblPrEx>
          <w:tblCellMar>
            <w:top w:w="0" w:type="dxa"/>
            <w:bottom w:w="0" w:type="dxa"/>
          </w:tblCellMar>
        </w:tblPrEx>
        <w:trPr>
          <w:jc w:val="center"/>
        </w:trPr>
        <w:tc>
          <w:tcPr>
            <w:tcW w:w="726" w:type="dxa"/>
          </w:tcPr>
          <w:p w:rsidR="00000000" w:rsidRDefault="00000000">
            <w:pPr>
              <w:spacing w:before="40" w:after="40"/>
              <w:rPr>
                <w:sz w:val="20"/>
                <w:szCs w:val="20"/>
                <w:lang w:val="en-US"/>
              </w:rPr>
            </w:pPr>
            <w:r>
              <w:rPr>
                <w:sz w:val="20"/>
                <w:szCs w:val="20"/>
                <w:lang w:val="en-US"/>
              </w:rPr>
              <w:t>IV</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13,37</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13,34</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13,33</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12,75</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14,00</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14,60</w:t>
            </w:r>
          </w:p>
        </w:tc>
        <w:tc>
          <w:tcPr>
            <w:tcW w:w="1111" w:type="dxa"/>
          </w:tcPr>
          <w:p w:rsidR="00000000" w:rsidRDefault="00000000">
            <w:pPr>
              <w:tabs>
                <w:tab w:val="decimal" w:pos="680"/>
              </w:tabs>
              <w:spacing w:before="40" w:after="40"/>
              <w:ind w:right="57"/>
              <w:jc w:val="right"/>
              <w:rPr>
                <w:sz w:val="20"/>
                <w:szCs w:val="20"/>
                <w:lang w:val="en-US"/>
              </w:rPr>
            </w:pPr>
            <w:r>
              <w:rPr>
                <w:sz w:val="20"/>
                <w:szCs w:val="20"/>
                <w:lang w:val="en-US"/>
              </w:rPr>
              <w:t>14,42</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13,17</w:t>
            </w:r>
          </w:p>
        </w:tc>
      </w:tr>
      <w:tr w:rsidR="00000000">
        <w:tblPrEx>
          <w:tblCellMar>
            <w:top w:w="0" w:type="dxa"/>
            <w:bottom w:w="0" w:type="dxa"/>
          </w:tblCellMar>
        </w:tblPrEx>
        <w:trPr>
          <w:jc w:val="center"/>
        </w:trPr>
        <w:tc>
          <w:tcPr>
            <w:tcW w:w="726" w:type="dxa"/>
          </w:tcPr>
          <w:p w:rsidR="00000000" w:rsidRDefault="00000000">
            <w:pPr>
              <w:spacing w:before="40" w:after="40"/>
              <w:rPr>
                <w:sz w:val="20"/>
                <w:szCs w:val="20"/>
                <w:lang w:val="en-US"/>
              </w:rPr>
            </w:pPr>
            <w:r>
              <w:rPr>
                <w:sz w:val="20"/>
                <w:szCs w:val="20"/>
                <w:lang w:val="en-US"/>
              </w:rPr>
              <w:t>V</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3,84</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3,56</w:t>
            </w:r>
          </w:p>
        </w:tc>
        <w:tc>
          <w:tcPr>
            <w:tcW w:w="1117" w:type="dxa"/>
          </w:tcPr>
          <w:p w:rsidR="00000000" w:rsidRDefault="00000000">
            <w:pPr>
              <w:tabs>
                <w:tab w:val="decimal" w:pos="680"/>
              </w:tabs>
              <w:spacing w:before="40" w:after="40"/>
              <w:ind w:right="113"/>
              <w:jc w:val="right"/>
              <w:rPr>
                <w:sz w:val="20"/>
                <w:szCs w:val="20"/>
                <w:lang w:val="en-US"/>
              </w:rPr>
            </w:pPr>
            <w:r>
              <w:rPr>
                <w:sz w:val="20"/>
                <w:szCs w:val="20"/>
                <w:lang w:val="en-US"/>
              </w:rPr>
              <w:t>3,53</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3,49</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3,85</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4,25</w:t>
            </w:r>
          </w:p>
        </w:tc>
        <w:tc>
          <w:tcPr>
            <w:tcW w:w="1111" w:type="dxa"/>
          </w:tcPr>
          <w:p w:rsidR="00000000" w:rsidRDefault="00000000">
            <w:pPr>
              <w:tabs>
                <w:tab w:val="decimal" w:pos="680"/>
              </w:tabs>
              <w:spacing w:before="40" w:after="40"/>
              <w:ind w:right="57"/>
              <w:jc w:val="right"/>
              <w:rPr>
                <w:sz w:val="20"/>
                <w:szCs w:val="20"/>
                <w:lang w:val="en-US"/>
              </w:rPr>
            </w:pPr>
            <w:r>
              <w:rPr>
                <w:sz w:val="20"/>
                <w:szCs w:val="20"/>
                <w:lang w:val="en-US"/>
              </w:rPr>
              <w:t>4,30</w:t>
            </w:r>
          </w:p>
        </w:tc>
        <w:tc>
          <w:tcPr>
            <w:tcW w:w="1111" w:type="dxa"/>
          </w:tcPr>
          <w:p w:rsidR="00000000" w:rsidRDefault="00000000">
            <w:pPr>
              <w:tabs>
                <w:tab w:val="decimal" w:pos="680"/>
              </w:tabs>
              <w:spacing w:before="40" w:after="40"/>
              <w:ind w:right="113"/>
              <w:jc w:val="right"/>
              <w:rPr>
                <w:sz w:val="20"/>
                <w:szCs w:val="20"/>
                <w:lang w:val="en-US"/>
              </w:rPr>
            </w:pPr>
            <w:r>
              <w:rPr>
                <w:sz w:val="20"/>
                <w:szCs w:val="20"/>
                <w:lang w:val="en-US"/>
              </w:rPr>
              <w:t>4,02</w:t>
            </w:r>
          </w:p>
        </w:tc>
      </w:tr>
    </w:tbl>
    <w:p w:rsidR="00000000" w:rsidRDefault="00000000">
      <w:pPr>
        <w:pStyle w:val="112"/>
      </w:pPr>
      <w:r>
        <w:t>625.</w:t>
      </w:r>
      <w:r>
        <w:tab/>
        <w:t>В течение периода с 1980/81 по 1998/99 годы "доля расходов на образование", т. е. процентная доля государственных расходов на образование в общем объеме государственных расходов, постоянно возрастала на уровне как центрального правительства, так и правительств штатов (таблицы 7.5–7.8  статистического приложения).  За этот период доля расходов на уровне центрального правительства возросла с 2,7 до 3,9.  В целом эта доля возросла с 13,89 в 1980/81 году до 17,36 в 1991 году, а затем до 17,39 в 1998/99 году.  В 1990</w:t>
      </w:r>
      <w:r>
        <w:noBreakHyphen/>
        <w:t>х годах эта доля существенно увеличилась в Радажстхане, Ориссе и Бихаре, но существенно уменьшилась в штатах Андхра-Прадеш, Керала и Западная Бенгалия.</w:t>
      </w:r>
    </w:p>
    <w:p w:rsidR="00000000" w:rsidRDefault="00000000">
      <w:pPr>
        <w:pStyle w:val="112"/>
        <w:spacing w:after="140"/>
      </w:pPr>
      <w:r>
        <w:t>626.</w:t>
      </w:r>
      <w:r>
        <w:tab/>
        <w:t>Увеличение доли государственных расходов на образование в общем объеме государственных затрат сопровождается также ростом частных расходов на образование.  За последние два десятилетия, по данным статистики национальных счетов Индии, доля частных расходов на услуги в области образования в общем объеме частных потребительских расходов возросла примерно с 2,5% в начале 1980-х годов до более чем 3,5% в конце 1990-х годов.  Это находит свое отражение в увеличении количества частных и миссионерских учебных заведений в стране, начиная с уровня детских садов до профтехучилищ и специализированных колледжей.</w:t>
      </w:r>
    </w:p>
    <w:p w:rsidR="00000000" w:rsidRDefault="00000000">
      <w:pPr>
        <w:jc w:val="both"/>
        <w:rPr>
          <w:sz w:val="22"/>
          <w:szCs w:val="22"/>
        </w:rPr>
      </w:pPr>
      <w:r>
        <w:rPr>
          <w:sz w:val="22"/>
          <w:szCs w:val="22"/>
        </w:rPr>
        <w:t>Бюджетные ассигнования</w:t>
      </w:r>
    </w:p>
    <w:p w:rsidR="00000000" w:rsidRDefault="00000000">
      <w:pPr>
        <w:pStyle w:val="112"/>
        <w:spacing w:after="120"/>
        <w:jc w:val="left"/>
        <w:rPr>
          <w:b/>
          <w:bCs/>
          <w:szCs w:val="22"/>
        </w:rPr>
      </w:pPr>
      <w:r>
        <w:rPr>
          <w:b/>
          <w:bCs/>
        </w:rPr>
        <w:t>Таблица 13.10.  Государственные расходы на образование в Индии</w:t>
      </w:r>
      <w:r>
        <w:rPr>
          <w:b/>
          <w:bCs/>
        </w:rPr>
        <w:br/>
      </w:r>
      <w:r>
        <w:rPr>
          <w:b/>
          <w:bCs/>
          <w:szCs w:val="22"/>
        </w:rPr>
        <w:t>(1950/51–1997/98 годы)</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09"/>
        <w:gridCol w:w="1317"/>
        <w:gridCol w:w="1313"/>
        <w:gridCol w:w="1312"/>
        <w:gridCol w:w="1730"/>
        <w:gridCol w:w="1312"/>
        <w:gridCol w:w="1346"/>
      </w:tblGrid>
      <w:tr w:rsidR="00000000">
        <w:tblPrEx>
          <w:tblCellMar>
            <w:top w:w="0" w:type="dxa"/>
            <w:bottom w:w="0" w:type="dxa"/>
          </w:tblCellMar>
        </w:tblPrEx>
        <w:trPr>
          <w:cantSplit/>
          <w:jc w:val="center"/>
        </w:trPr>
        <w:tc>
          <w:tcPr>
            <w:tcW w:w="1309" w:type="dxa"/>
            <w:vMerge w:val="restart"/>
            <w:vAlign w:val="center"/>
          </w:tcPr>
          <w:p w:rsidR="00000000" w:rsidRDefault="00000000">
            <w:pPr>
              <w:spacing w:before="40" w:after="40"/>
              <w:jc w:val="center"/>
              <w:rPr>
                <w:sz w:val="20"/>
                <w:szCs w:val="20"/>
              </w:rPr>
            </w:pPr>
            <w:r>
              <w:rPr>
                <w:sz w:val="20"/>
                <w:szCs w:val="20"/>
              </w:rPr>
              <w:t>Год</w:t>
            </w:r>
          </w:p>
        </w:tc>
        <w:tc>
          <w:tcPr>
            <w:tcW w:w="3942" w:type="dxa"/>
            <w:gridSpan w:val="3"/>
          </w:tcPr>
          <w:p w:rsidR="00000000" w:rsidRDefault="00000000">
            <w:pPr>
              <w:pStyle w:val="EndnoteText"/>
              <w:spacing w:before="40" w:after="40"/>
              <w:rPr>
                <w:rFonts w:ascii="Times New Roman" w:eastAsia="Times New Roman" w:hAnsi="Times New Roman"/>
                <w:lang w:eastAsia="ru-RU"/>
              </w:rPr>
            </w:pPr>
            <w:r>
              <w:rPr>
                <w:rFonts w:ascii="Times New Roman" w:eastAsia="Times New Roman" w:hAnsi="Times New Roman"/>
                <w:lang w:eastAsia="ru-RU"/>
              </w:rPr>
              <w:t>Общая сумма расходов в текущих цена</w:t>
            </w:r>
          </w:p>
        </w:tc>
        <w:tc>
          <w:tcPr>
            <w:tcW w:w="4388" w:type="dxa"/>
            <w:gridSpan w:val="3"/>
          </w:tcPr>
          <w:p w:rsidR="00000000" w:rsidRDefault="00000000">
            <w:pPr>
              <w:spacing w:before="40" w:after="40"/>
              <w:jc w:val="center"/>
              <w:rPr>
                <w:sz w:val="20"/>
                <w:szCs w:val="20"/>
              </w:rPr>
            </w:pPr>
            <w:r>
              <w:rPr>
                <w:sz w:val="20"/>
                <w:szCs w:val="20"/>
              </w:rPr>
              <w:t>Общий объем расходов в неизменных ценах</w:t>
            </w:r>
          </w:p>
        </w:tc>
      </w:tr>
      <w:tr w:rsidR="00000000">
        <w:tblPrEx>
          <w:tblCellMar>
            <w:top w:w="0" w:type="dxa"/>
            <w:bottom w:w="0" w:type="dxa"/>
          </w:tblCellMar>
        </w:tblPrEx>
        <w:trPr>
          <w:cantSplit/>
          <w:jc w:val="center"/>
        </w:trPr>
        <w:tc>
          <w:tcPr>
            <w:tcW w:w="1309" w:type="dxa"/>
            <w:vMerge/>
          </w:tcPr>
          <w:p w:rsidR="00000000" w:rsidRDefault="00000000">
            <w:pPr>
              <w:spacing w:before="40" w:after="40"/>
              <w:jc w:val="center"/>
              <w:rPr>
                <w:sz w:val="20"/>
                <w:szCs w:val="20"/>
              </w:rPr>
            </w:pPr>
          </w:p>
        </w:tc>
        <w:tc>
          <w:tcPr>
            <w:tcW w:w="1317" w:type="dxa"/>
          </w:tcPr>
          <w:p w:rsidR="00000000" w:rsidRDefault="00000000">
            <w:pPr>
              <w:spacing w:before="40" w:after="40"/>
              <w:jc w:val="center"/>
              <w:rPr>
                <w:sz w:val="20"/>
                <w:szCs w:val="20"/>
              </w:rPr>
            </w:pPr>
            <w:r>
              <w:rPr>
                <w:sz w:val="20"/>
                <w:szCs w:val="20"/>
              </w:rPr>
              <w:br/>
              <w:t>(10 млн. рупий)</w:t>
            </w:r>
          </w:p>
        </w:tc>
        <w:tc>
          <w:tcPr>
            <w:tcW w:w="1313" w:type="dxa"/>
          </w:tcPr>
          <w:p w:rsidR="00000000" w:rsidRDefault="00000000">
            <w:pPr>
              <w:spacing w:before="40" w:after="40"/>
              <w:jc w:val="center"/>
              <w:rPr>
                <w:sz w:val="20"/>
                <w:szCs w:val="20"/>
              </w:rPr>
            </w:pPr>
            <w:r>
              <w:rPr>
                <w:sz w:val="20"/>
                <w:szCs w:val="20"/>
              </w:rPr>
              <w:t>На душу населения (рупий)</w:t>
            </w:r>
          </w:p>
        </w:tc>
        <w:tc>
          <w:tcPr>
            <w:tcW w:w="1312" w:type="dxa"/>
          </w:tcPr>
          <w:p w:rsidR="00000000" w:rsidRDefault="00000000">
            <w:pPr>
              <w:spacing w:before="40" w:after="40"/>
              <w:jc w:val="center"/>
              <w:rPr>
                <w:sz w:val="20"/>
                <w:szCs w:val="20"/>
              </w:rPr>
            </w:pPr>
            <w:r>
              <w:rPr>
                <w:sz w:val="20"/>
                <w:szCs w:val="20"/>
              </w:rPr>
              <w:t>На одного учащегося (рупий)</w:t>
            </w:r>
          </w:p>
        </w:tc>
        <w:tc>
          <w:tcPr>
            <w:tcW w:w="1730" w:type="dxa"/>
          </w:tcPr>
          <w:p w:rsidR="00000000" w:rsidRDefault="00000000">
            <w:pPr>
              <w:spacing w:before="40" w:after="40"/>
              <w:jc w:val="center"/>
              <w:rPr>
                <w:sz w:val="20"/>
                <w:szCs w:val="20"/>
              </w:rPr>
            </w:pPr>
            <w:r>
              <w:rPr>
                <w:sz w:val="20"/>
                <w:szCs w:val="20"/>
              </w:rPr>
              <w:br/>
              <w:t xml:space="preserve">(10 млн. </w:t>
            </w:r>
            <w:r>
              <w:rPr>
                <w:sz w:val="20"/>
                <w:szCs w:val="20"/>
              </w:rPr>
              <w:br/>
              <w:t>рупий)</w:t>
            </w:r>
          </w:p>
        </w:tc>
        <w:tc>
          <w:tcPr>
            <w:tcW w:w="1312" w:type="dxa"/>
          </w:tcPr>
          <w:p w:rsidR="00000000" w:rsidRDefault="00000000">
            <w:pPr>
              <w:spacing w:before="40" w:after="40"/>
              <w:jc w:val="center"/>
              <w:rPr>
                <w:sz w:val="20"/>
                <w:szCs w:val="20"/>
              </w:rPr>
            </w:pPr>
            <w:r>
              <w:rPr>
                <w:sz w:val="20"/>
                <w:szCs w:val="20"/>
              </w:rPr>
              <w:t>На душу населения (рупий)</w:t>
            </w:r>
          </w:p>
        </w:tc>
        <w:tc>
          <w:tcPr>
            <w:tcW w:w="1346" w:type="dxa"/>
          </w:tcPr>
          <w:p w:rsidR="00000000" w:rsidRDefault="00000000">
            <w:pPr>
              <w:spacing w:before="40" w:after="40"/>
              <w:jc w:val="center"/>
              <w:rPr>
                <w:sz w:val="20"/>
                <w:szCs w:val="20"/>
              </w:rPr>
            </w:pPr>
            <w:r>
              <w:rPr>
                <w:sz w:val="20"/>
                <w:szCs w:val="20"/>
              </w:rPr>
              <w:t>На одного учащегося (рупий)</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1950/51</w:t>
            </w:r>
          </w:p>
        </w:tc>
        <w:tc>
          <w:tcPr>
            <w:tcW w:w="1317" w:type="dxa"/>
          </w:tcPr>
          <w:p w:rsidR="00000000" w:rsidRDefault="00000000">
            <w:pPr>
              <w:spacing w:before="40" w:after="40"/>
              <w:jc w:val="right"/>
              <w:rPr>
                <w:sz w:val="20"/>
                <w:szCs w:val="20"/>
              </w:rPr>
            </w:pPr>
            <w:r>
              <w:rPr>
                <w:sz w:val="20"/>
                <w:szCs w:val="20"/>
              </w:rPr>
              <w:t>114,4</w:t>
            </w:r>
          </w:p>
        </w:tc>
        <w:tc>
          <w:tcPr>
            <w:tcW w:w="1313" w:type="dxa"/>
          </w:tcPr>
          <w:p w:rsidR="00000000" w:rsidRDefault="00000000">
            <w:pPr>
              <w:spacing w:before="40" w:after="40"/>
              <w:jc w:val="right"/>
              <w:rPr>
                <w:sz w:val="20"/>
                <w:szCs w:val="20"/>
              </w:rPr>
            </w:pPr>
            <w:r>
              <w:rPr>
                <w:sz w:val="20"/>
                <w:szCs w:val="20"/>
              </w:rPr>
              <w:t>3,2</w:t>
            </w:r>
          </w:p>
        </w:tc>
        <w:tc>
          <w:tcPr>
            <w:tcW w:w="1312" w:type="dxa"/>
          </w:tcPr>
          <w:p w:rsidR="00000000" w:rsidRDefault="00000000">
            <w:pPr>
              <w:spacing w:before="40" w:after="40"/>
              <w:jc w:val="right"/>
              <w:rPr>
                <w:sz w:val="20"/>
                <w:szCs w:val="20"/>
              </w:rPr>
            </w:pPr>
            <w:r>
              <w:rPr>
                <w:sz w:val="20"/>
                <w:szCs w:val="20"/>
              </w:rPr>
              <w:t>35,6</w:t>
            </w:r>
          </w:p>
        </w:tc>
        <w:tc>
          <w:tcPr>
            <w:tcW w:w="1730" w:type="dxa"/>
          </w:tcPr>
          <w:p w:rsidR="00000000" w:rsidRDefault="00000000">
            <w:pPr>
              <w:spacing w:before="40" w:after="40"/>
              <w:jc w:val="right"/>
              <w:rPr>
                <w:sz w:val="20"/>
                <w:szCs w:val="20"/>
              </w:rPr>
            </w:pPr>
            <w:r>
              <w:rPr>
                <w:sz w:val="20"/>
                <w:szCs w:val="20"/>
              </w:rPr>
              <w:t>558,7</w:t>
            </w:r>
          </w:p>
        </w:tc>
        <w:tc>
          <w:tcPr>
            <w:tcW w:w="1312" w:type="dxa"/>
          </w:tcPr>
          <w:p w:rsidR="00000000" w:rsidRDefault="00000000">
            <w:pPr>
              <w:spacing w:before="40" w:after="40"/>
              <w:jc w:val="right"/>
              <w:rPr>
                <w:sz w:val="20"/>
                <w:szCs w:val="20"/>
              </w:rPr>
            </w:pPr>
            <w:r>
              <w:rPr>
                <w:sz w:val="20"/>
                <w:szCs w:val="20"/>
              </w:rPr>
              <w:t>15,6</w:t>
            </w:r>
          </w:p>
        </w:tc>
        <w:tc>
          <w:tcPr>
            <w:tcW w:w="1346" w:type="dxa"/>
          </w:tcPr>
          <w:p w:rsidR="00000000" w:rsidRDefault="00000000">
            <w:pPr>
              <w:spacing w:before="40" w:after="40"/>
              <w:jc w:val="right"/>
              <w:rPr>
                <w:sz w:val="20"/>
                <w:szCs w:val="20"/>
              </w:rPr>
            </w:pPr>
            <w:r>
              <w:rPr>
                <w:sz w:val="20"/>
                <w:szCs w:val="20"/>
              </w:rPr>
              <w:t>173,9</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1960/61</w:t>
            </w:r>
          </w:p>
        </w:tc>
        <w:tc>
          <w:tcPr>
            <w:tcW w:w="1317" w:type="dxa"/>
          </w:tcPr>
          <w:p w:rsidR="00000000" w:rsidRDefault="00000000">
            <w:pPr>
              <w:spacing w:before="40" w:after="40"/>
              <w:jc w:val="right"/>
              <w:rPr>
                <w:sz w:val="20"/>
                <w:szCs w:val="20"/>
              </w:rPr>
            </w:pPr>
            <w:r>
              <w:rPr>
                <w:sz w:val="20"/>
                <w:szCs w:val="20"/>
              </w:rPr>
              <w:t>334,4</w:t>
            </w:r>
          </w:p>
        </w:tc>
        <w:tc>
          <w:tcPr>
            <w:tcW w:w="1313" w:type="dxa"/>
          </w:tcPr>
          <w:p w:rsidR="00000000" w:rsidRDefault="00000000">
            <w:pPr>
              <w:spacing w:before="40" w:after="40"/>
              <w:jc w:val="right"/>
              <w:rPr>
                <w:sz w:val="20"/>
                <w:szCs w:val="20"/>
              </w:rPr>
            </w:pPr>
            <w:r>
              <w:rPr>
                <w:sz w:val="20"/>
                <w:szCs w:val="20"/>
              </w:rPr>
              <w:t>7,9</w:t>
            </w:r>
          </w:p>
        </w:tc>
        <w:tc>
          <w:tcPr>
            <w:tcW w:w="1312" w:type="dxa"/>
          </w:tcPr>
          <w:p w:rsidR="00000000" w:rsidRDefault="00000000">
            <w:pPr>
              <w:spacing w:before="40" w:after="40"/>
              <w:jc w:val="right"/>
              <w:rPr>
                <w:sz w:val="20"/>
                <w:szCs w:val="20"/>
              </w:rPr>
            </w:pPr>
            <w:r>
              <w:rPr>
                <w:sz w:val="20"/>
                <w:szCs w:val="20"/>
              </w:rPr>
              <w:t>53,7</w:t>
            </w:r>
          </w:p>
        </w:tc>
        <w:tc>
          <w:tcPr>
            <w:tcW w:w="1730" w:type="dxa"/>
          </w:tcPr>
          <w:p w:rsidR="00000000" w:rsidRDefault="00000000">
            <w:pPr>
              <w:spacing w:before="40" w:after="40"/>
              <w:jc w:val="right"/>
              <w:rPr>
                <w:sz w:val="20"/>
                <w:szCs w:val="20"/>
              </w:rPr>
            </w:pPr>
            <w:r>
              <w:rPr>
                <w:sz w:val="20"/>
                <w:szCs w:val="20"/>
              </w:rPr>
              <w:t>1 446,9</w:t>
            </w:r>
          </w:p>
        </w:tc>
        <w:tc>
          <w:tcPr>
            <w:tcW w:w="1312" w:type="dxa"/>
          </w:tcPr>
          <w:p w:rsidR="00000000" w:rsidRDefault="00000000">
            <w:pPr>
              <w:spacing w:before="40" w:after="40"/>
              <w:jc w:val="right"/>
              <w:rPr>
                <w:sz w:val="20"/>
                <w:szCs w:val="20"/>
              </w:rPr>
            </w:pPr>
            <w:r>
              <w:rPr>
                <w:sz w:val="20"/>
                <w:szCs w:val="20"/>
              </w:rPr>
              <w:t>33,2</w:t>
            </w:r>
          </w:p>
        </w:tc>
        <w:tc>
          <w:tcPr>
            <w:tcW w:w="1346" w:type="dxa"/>
          </w:tcPr>
          <w:p w:rsidR="00000000" w:rsidRDefault="00000000">
            <w:pPr>
              <w:spacing w:before="40" w:after="40"/>
              <w:jc w:val="right"/>
              <w:rPr>
                <w:sz w:val="20"/>
                <w:szCs w:val="20"/>
              </w:rPr>
            </w:pPr>
            <w:r>
              <w:rPr>
                <w:sz w:val="20"/>
                <w:szCs w:val="20"/>
              </w:rPr>
              <w:t>225,6</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1970/71</w:t>
            </w:r>
          </w:p>
        </w:tc>
        <w:tc>
          <w:tcPr>
            <w:tcW w:w="1317" w:type="dxa"/>
          </w:tcPr>
          <w:p w:rsidR="00000000" w:rsidRDefault="00000000">
            <w:pPr>
              <w:spacing w:before="40" w:after="40"/>
              <w:jc w:val="right"/>
              <w:rPr>
                <w:sz w:val="20"/>
                <w:szCs w:val="20"/>
              </w:rPr>
            </w:pPr>
            <w:r>
              <w:rPr>
                <w:sz w:val="20"/>
                <w:szCs w:val="20"/>
              </w:rPr>
              <w:t>1 118,3</w:t>
            </w:r>
          </w:p>
        </w:tc>
        <w:tc>
          <w:tcPr>
            <w:tcW w:w="1313" w:type="dxa"/>
          </w:tcPr>
          <w:p w:rsidR="00000000" w:rsidRDefault="00000000">
            <w:pPr>
              <w:spacing w:before="40" w:after="40"/>
              <w:jc w:val="right"/>
              <w:rPr>
                <w:sz w:val="20"/>
                <w:szCs w:val="20"/>
              </w:rPr>
            </w:pPr>
            <w:r>
              <w:rPr>
                <w:sz w:val="20"/>
                <w:szCs w:val="20"/>
              </w:rPr>
              <w:t>20,7</w:t>
            </w:r>
          </w:p>
        </w:tc>
        <w:tc>
          <w:tcPr>
            <w:tcW w:w="1312" w:type="dxa"/>
          </w:tcPr>
          <w:p w:rsidR="00000000" w:rsidRDefault="00000000">
            <w:pPr>
              <w:spacing w:before="40" w:after="40"/>
              <w:jc w:val="right"/>
              <w:rPr>
                <w:sz w:val="20"/>
                <w:szCs w:val="20"/>
              </w:rPr>
            </w:pPr>
            <w:r>
              <w:rPr>
                <w:sz w:val="20"/>
                <w:szCs w:val="20"/>
              </w:rPr>
              <w:t>141,7</w:t>
            </w:r>
          </w:p>
        </w:tc>
        <w:tc>
          <w:tcPr>
            <w:tcW w:w="1730" w:type="dxa"/>
          </w:tcPr>
          <w:p w:rsidR="00000000" w:rsidRDefault="00000000">
            <w:pPr>
              <w:spacing w:before="40" w:after="40"/>
              <w:jc w:val="right"/>
              <w:rPr>
                <w:sz w:val="20"/>
                <w:szCs w:val="20"/>
              </w:rPr>
            </w:pPr>
            <w:r>
              <w:rPr>
                <w:sz w:val="20"/>
                <w:szCs w:val="20"/>
              </w:rPr>
              <w:t>2 626,2</w:t>
            </w:r>
          </w:p>
        </w:tc>
        <w:tc>
          <w:tcPr>
            <w:tcW w:w="1312" w:type="dxa"/>
          </w:tcPr>
          <w:p w:rsidR="00000000" w:rsidRDefault="00000000">
            <w:pPr>
              <w:spacing w:before="40" w:after="40"/>
              <w:jc w:val="right"/>
              <w:rPr>
                <w:sz w:val="20"/>
                <w:szCs w:val="20"/>
              </w:rPr>
            </w:pPr>
            <w:r>
              <w:rPr>
                <w:sz w:val="20"/>
                <w:szCs w:val="20"/>
              </w:rPr>
              <w:t>48,6</w:t>
            </w:r>
          </w:p>
        </w:tc>
        <w:tc>
          <w:tcPr>
            <w:tcW w:w="1346" w:type="dxa"/>
          </w:tcPr>
          <w:p w:rsidR="00000000" w:rsidRDefault="00000000">
            <w:pPr>
              <w:spacing w:before="40" w:after="40"/>
              <w:jc w:val="right"/>
              <w:rPr>
                <w:sz w:val="20"/>
                <w:szCs w:val="20"/>
              </w:rPr>
            </w:pPr>
            <w:r>
              <w:rPr>
                <w:sz w:val="20"/>
                <w:szCs w:val="20"/>
              </w:rPr>
              <w:t>332,8</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1980/81</w:t>
            </w:r>
          </w:p>
        </w:tc>
        <w:tc>
          <w:tcPr>
            <w:tcW w:w="1317" w:type="dxa"/>
          </w:tcPr>
          <w:p w:rsidR="00000000" w:rsidRDefault="00000000">
            <w:pPr>
              <w:spacing w:before="40" w:after="40"/>
              <w:jc w:val="right"/>
              <w:rPr>
                <w:sz w:val="20"/>
                <w:szCs w:val="20"/>
              </w:rPr>
            </w:pPr>
            <w:r>
              <w:rPr>
                <w:sz w:val="20"/>
                <w:szCs w:val="20"/>
              </w:rPr>
              <w:t>3 649,6</w:t>
            </w:r>
          </w:p>
        </w:tc>
        <w:tc>
          <w:tcPr>
            <w:tcW w:w="1313" w:type="dxa"/>
          </w:tcPr>
          <w:p w:rsidR="00000000" w:rsidRDefault="00000000">
            <w:pPr>
              <w:spacing w:before="40" w:after="40"/>
              <w:jc w:val="right"/>
              <w:rPr>
                <w:sz w:val="20"/>
                <w:szCs w:val="20"/>
              </w:rPr>
            </w:pPr>
            <w:r>
              <w:rPr>
                <w:sz w:val="20"/>
                <w:szCs w:val="20"/>
              </w:rPr>
              <w:t>53,2</w:t>
            </w:r>
          </w:p>
        </w:tc>
        <w:tc>
          <w:tcPr>
            <w:tcW w:w="1312" w:type="dxa"/>
          </w:tcPr>
          <w:p w:rsidR="00000000" w:rsidRDefault="00000000">
            <w:pPr>
              <w:spacing w:before="40" w:after="40"/>
              <w:jc w:val="right"/>
              <w:rPr>
                <w:sz w:val="20"/>
                <w:szCs w:val="20"/>
              </w:rPr>
            </w:pPr>
            <w:r>
              <w:rPr>
                <w:sz w:val="20"/>
                <w:szCs w:val="20"/>
              </w:rPr>
              <w:t>319,7</w:t>
            </w:r>
          </w:p>
        </w:tc>
        <w:tc>
          <w:tcPr>
            <w:tcW w:w="1730" w:type="dxa"/>
          </w:tcPr>
          <w:p w:rsidR="00000000" w:rsidRDefault="00000000">
            <w:pPr>
              <w:spacing w:before="40" w:after="40"/>
              <w:jc w:val="right"/>
              <w:rPr>
                <w:sz w:val="20"/>
                <w:szCs w:val="20"/>
              </w:rPr>
            </w:pPr>
            <w:r>
              <w:rPr>
                <w:sz w:val="20"/>
                <w:szCs w:val="20"/>
              </w:rPr>
              <w:t>3 640,6</w:t>
            </w:r>
          </w:p>
        </w:tc>
        <w:tc>
          <w:tcPr>
            <w:tcW w:w="1312" w:type="dxa"/>
          </w:tcPr>
          <w:p w:rsidR="00000000" w:rsidRDefault="00000000">
            <w:pPr>
              <w:spacing w:before="40" w:after="40"/>
              <w:jc w:val="right"/>
              <w:rPr>
                <w:sz w:val="20"/>
                <w:szCs w:val="20"/>
              </w:rPr>
            </w:pPr>
            <w:r>
              <w:rPr>
                <w:sz w:val="20"/>
                <w:szCs w:val="20"/>
              </w:rPr>
              <w:t>53,2</w:t>
            </w:r>
          </w:p>
        </w:tc>
        <w:tc>
          <w:tcPr>
            <w:tcW w:w="1346" w:type="dxa"/>
          </w:tcPr>
          <w:p w:rsidR="00000000" w:rsidRDefault="00000000">
            <w:pPr>
              <w:spacing w:before="40" w:after="40"/>
              <w:jc w:val="right"/>
              <w:rPr>
                <w:sz w:val="20"/>
                <w:szCs w:val="20"/>
              </w:rPr>
            </w:pPr>
            <w:r>
              <w:rPr>
                <w:sz w:val="20"/>
                <w:szCs w:val="20"/>
              </w:rPr>
              <w:t>319,7</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1990/91</w:t>
            </w:r>
          </w:p>
        </w:tc>
        <w:tc>
          <w:tcPr>
            <w:tcW w:w="1317" w:type="dxa"/>
          </w:tcPr>
          <w:p w:rsidR="00000000" w:rsidRDefault="00000000">
            <w:pPr>
              <w:spacing w:before="40" w:after="40"/>
              <w:jc w:val="right"/>
              <w:rPr>
                <w:sz w:val="20"/>
                <w:szCs w:val="20"/>
              </w:rPr>
            </w:pPr>
            <w:r>
              <w:rPr>
                <w:sz w:val="20"/>
                <w:szCs w:val="20"/>
              </w:rPr>
              <w:t>17 193,7</w:t>
            </w:r>
          </w:p>
        </w:tc>
        <w:tc>
          <w:tcPr>
            <w:tcW w:w="1313" w:type="dxa"/>
          </w:tcPr>
          <w:p w:rsidR="00000000" w:rsidRDefault="00000000">
            <w:pPr>
              <w:spacing w:before="40" w:after="40"/>
              <w:jc w:val="right"/>
              <w:rPr>
                <w:sz w:val="20"/>
                <w:szCs w:val="20"/>
              </w:rPr>
            </w:pPr>
            <w:r>
              <w:rPr>
                <w:sz w:val="20"/>
                <w:szCs w:val="20"/>
              </w:rPr>
              <w:t>203,2</w:t>
            </w:r>
          </w:p>
        </w:tc>
        <w:tc>
          <w:tcPr>
            <w:tcW w:w="1312" w:type="dxa"/>
          </w:tcPr>
          <w:p w:rsidR="00000000" w:rsidRDefault="00000000">
            <w:pPr>
              <w:spacing w:before="40" w:after="40"/>
              <w:jc w:val="right"/>
              <w:rPr>
                <w:sz w:val="20"/>
                <w:szCs w:val="20"/>
              </w:rPr>
            </w:pPr>
            <w:r>
              <w:rPr>
                <w:sz w:val="20"/>
                <w:szCs w:val="20"/>
              </w:rPr>
              <w:t>1 071,6</w:t>
            </w:r>
          </w:p>
        </w:tc>
        <w:tc>
          <w:tcPr>
            <w:tcW w:w="1730" w:type="dxa"/>
          </w:tcPr>
          <w:p w:rsidR="00000000" w:rsidRDefault="00000000">
            <w:pPr>
              <w:spacing w:before="40" w:after="40"/>
              <w:jc w:val="right"/>
              <w:rPr>
                <w:sz w:val="20"/>
                <w:szCs w:val="20"/>
              </w:rPr>
            </w:pPr>
            <w:r>
              <w:rPr>
                <w:sz w:val="20"/>
                <w:szCs w:val="20"/>
              </w:rPr>
              <w:t>7 714,0</w:t>
            </w:r>
          </w:p>
        </w:tc>
        <w:tc>
          <w:tcPr>
            <w:tcW w:w="1312" w:type="dxa"/>
          </w:tcPr>
          <w:p w:rsidR="00000000" w:rsidRDefault="00000000">
            <w:pPr>
              <w:spacing w:before="40" w:after="40"/>
              <w:jc w:val="right"/>
              <w:rPr>
                <w:sz w:val="20"/>
                <w:szCs w:val="20"/>
              </w:rPr>
            </w:pPr>
            <w:r>
              <w:rPr>
                <w:sz w:val="20"/>
                <w:szCs w:val="20"/>
              </w:rPr>
              <w:t>91,1</w:t>
            </w:r>
          </w:p>
        </w:tc>
        <w:tc>
          <w:tcPr>
            <w:tcW w:w="1346" w:type="dxa"/>
          </w:tcPr>
          <w:p w:rsidR="00000000" w:rsidRDefault="00000000">
            <w:pPr>
              <w:spacing w:before="40" w:after="40"/>
              <w:jc w:val="right"/>
              <w:rPr>
                <w:sz w:val="20"/>
                <w:szCs w:val="20"/>
              </w:rPr>
            </w:pPr>
            <w:r>
              <w:rPr>
                <w:sz w:val="20"/>
                <w:szCs w:val="20"/>
              </w:rPr>
              <w:t>480,0</w:t>
            </w:r>
          </w:p>
        </w:tc>
      </w:tr>
      <w:tr w:rsidR="00000000">
        <w:tblPrEx>
          <w:tblCellMar>
            <w:top w:w="0" w:type="dxa"/>
            <w:bottom w:w="0" w:type="dxa"/>
          </w:tblCellMar>
        </w:tblPrEx>
        <w:trPr>
          <w:jc w:val="center"/>
        </w:trPr>
        <w:tc>
          <w:tcPr>
            <w:tcW w:w="1309" w:type="dxa"/>
          </w:tcPr>
          <w:p w:rsidR="00000000" w:rsidRDefault="00000000">
            <w:pPr>
              <w:spacing w:before="40" w:after="40"/>
              <w:jc w:val="both"/>
              <w:rPr>
                <w:sz w:val="20"/>
                <w:szCs w:val="20"/>
              </w:rPr>
            </w:pPr>
            <w:r>
              <w:rPr>
                <w:sz w:val="20"/>
                <w:szCs w:val="20"/>
              </w:rPr>
              <w:t>1997/98B</w:t>
            </w:r>
          </w:p>
        </w:tc>
        <w:tc>
          <w:tcPr>
            <w:tcW w:w="1317" w:type="dxa"/>
          </w:tcPr>
          <w:p w:rsidR="00000000" w:rsidRDefault="00000000">
            <w:pPr>
              <w:spacing w:before="40" w:after="40"/>
              <w:jc w:val="right"/>
              <w:rPr>
                <w:sz w:val="20"/>
                <w:szCs w:val="20"/>
              </w:rPr>
            </w:pPr>
            <w:r>
              <w:rPr>
                <w:sz w:val="20"/>
                <w:szCs w:val="20"/>
              </w:rPr>
              <w:t>41 246,0</w:t>
            </w:r>
          </w:p>
        </w:tc>
        <w:tc>
          <w:tcPr>
            <w:tcW w:w="1313" w:type="dxa"/>
          </w:tcPr>
          <w:p w:rsidR="00000000" w:rsidRDefault="00000000">
            <w:pPr>
              <w:spacing w:before="40" w:after="40"/>
              <w:jc w:val="right"/>
              <w:rPr>
                <w:sz w:val="20"/>
                <w:szCs w:val="20"/>
              </w:rPr>
            </w:pPr>
            <w:r>
              <w:rPr>
                <w:sz w:val="20"/>
                <w:szCs w:val="20"/>
              </w:rPr>
              <w:t>419,6</w:t>
            </w:r>
          </w:p>
        </w:tc>
        <w:tc>
          <w:tcPr>
            <w:tcW w:w="1312" w:type="dxa"/>
          </w:tcPr>
          <w:p w:rsidR="00000000" w:rsidRDefault="00000000">
            <w:pPr>
              <w:spacing w:before="40" w:after="40"/>
              <w:jc w:val="right"/>
              <w:rPr>
                <w:sz w:val="20"/>
                <w:szCs w:val="20"/>
              </w:rPr>
            </w:pPr>
            <w:r>
              <w:rPr>
                <w:sz w:val="20"/>
                <w:szCs w:val="20"/>
              </w:rPr>
              <w:t>2 223,8</w:t>
            </w:r>
          </w:p>
        </w:tc>
        <w:tc>
          <w:tcPr>
            <w:tcW w:w="1730" w:type="dxa"/>
          </w:tcPr>
          <w:p w:rsidR="00000000" w:rsidRDefault="00000000">
            <w:pPr>
              <w:spacing w:before="40" w:after="40"/>
              <w:jc w:val="right"/>
              <w:rPr>
                <w:sz w:val="20"/>
                <w:szCs w:val="20"/>
              </w:rPr>
            </w:pPr>
            <w:r>
              <w:rPr>
                <w:sz w:val="20"/>
                <w:szCs w:val="20"/>
              </w:rPr>
              <w:t>10 260,2</w:t>
            </w:r>
          </w:p>
        </w:tc>
        <w:tc>
          <w:tcPr>
            <w:tcW w:w="1312" w:type="dxa"/>
          </w:tcPr>
          <w:p w:rsidR="00000000" w:rsidRDefault="00000000">
            <w:pPr>
              <w:spacing w:before="40" w:after="40"/>
              <w:jc w:val="right"/>
              <w:rPr>
                <w:sz w:val="20"/>
                <w:szCs w:val="20"/>
              </w:rPr>
            </w:pPr>
            <w:r>
              <w:rPr>
                <w:sz w:val="20"/>
                <w:szCs w:val="20"/>
              </w:rPr>
              <w:t>104,4</w:t>
            </w:r>
          </w:p>
        </w:tc>
        <w:tc>
          <w:tcPr>
            <w:tcW w:w="1346" w:type="dxa"/>
          </w:tcPr>
          <w:p w:rsidR="00000000" w:rsidRDefault="00000000">
            <w:pPr>
              <w:spacing w:before="40" w:after="40"/>
              <w:jc w:val="right"/>
              <w:rPr>
                <w:sz w:val="20"/>
                <w:szCs w:val="20"/>
              </w:rPr>
            </w:pPr>
            <w:r>
              <w:rPr>
                <w:sz w:val="20"/>
                <w:szCs w:val="20"/>
              </w:rPr>
              <w:t>553,2</w:t>
            </w:r>
          </w:p>
        </w:tc>
      </w:tr>
    </w:tbl>
    <w:p w:rsidR="00000000" w:rsidRDefault="00000000">
      <w:pPr>
        <w:pStyle w:val="a3"/>
        <w:tabs>
          <w:tab w:val="left" w:pos="1320"/>
        </w:tabs>
        <w:spacing w:before="120"/>
      </w:pPr>
      <w:r>
        <w:rPr>
          <w:b/>
          <w:bCs/>
        </w:rPr>
        <w:t>Примечание:</w:t>
      </w:r>
      <w:r>
        <w:tab/>
        <w:t>1990/91 год – только произведенные государственные затраты</w:t>
      </w:r>
    </w:p>
    <w:p w:rsidR="00000000" w:rsidRDefault="00000000">
      <w:pPr>
        <w:pStyle w:val="a3"/>
        <w:tabs>
          <w:tab w:val="left" w:pos="1320"/>
        </w:tabs>
      </w:pPr>
      <w:r>
        <w:tab/>
        <w:t>В – бюджетная смета</w:t>
      </w:r>
    </w:p>
    <w:p w:rsidR="00000000" w:rsidRDefault="00000000">
      <w:pPr>
        <w:pStyle w:val="a3"/>
        <w:tabs>
          <w:tab w:val="left" w:pos="1320"/>
        </w:tabs>
      </w:pPr>
      <w:r>
        <w:tab/>
        <w:t>1 долл. США = 46,33 индийских рупий</w:t>
      </w:r>
    </w:p>
    <w:p w:rsidR="00000000" w:rsidRDefault="00000000">
      <w:pPr>
        <w:pStyle w:val="112"/>
      </w:pPr>
      <w:r>
        <w:t>627.</w:t>
      </w:r>
      <w:r>
        <w:tab/>
        <w:t xml:space="preserve">Развитие системы образования находит также свое отражение во впечатляющем росте расходов на образование: их объем вырос с 1,1 млрд. рупий в 1950/51 году до 412 млрд. рупий в 1997/98 году (бюджетная смета) – т. е. в 360 раз.  Однако за тот же период объем расходов на одного учащегося возрос в 62 раза (см. таблицу выше).  </w:t>
      </w:r>
    </w:p>
    <w:p w:rsidR="00000000" w:rsidRDefault="00000000">
      <w:pPr>
        <w:pStyle w:val="112"/>
      </w:pPr>
      <w:r>
        <w:t>628.</w:t>
      </w:r>
      <w:r>
        <w:tab/>
        <w:t>Несмотря на столь значительный рост государственных расходов на образование, правительство считает это недостаточным.  Озвученная позиция правительства по этому вопросу состоит в том, что государственные расходы на образование необходимо повысить до 6% ВВП.  Первым шагом на пути к достижению этой цели явилось введение с 2004/05 года двухпроцентного отчисления на образование от общей суммы всех налогов центрального правительства.</w:t>
      </w:r>
    </w:p>
    <w:p w:rsidR="00000000" w:rsidRDefault="00000000">
      <w:pPr>
        <w:jc w:val="both"/>
        <w:rPr>
          <w:b/>
          <w:bCs/>
          <w:sz w:val="22"/>
          <w:szCs w:val="22"/>
        </w:rPr>
      </w:pPr>
    </w:p>
    <w:p w:rsidR="00000000" w:rsidRDefault="00000000">
      <w:pPr>
        <w:jc w:val="both"/>
        <w:rPr>
          <w:b/>
          <w:bCs/>
          <w:sz w:val="22"/>
          <w:szCs w:val="22"/>
        </w:rPr>
      </w:pPr>
      <w:r>
        <w:rPr>
          <w:b/>
          <w:bCs/>
          <w:sz w:val="22"/>
          <w:szCs w:val="22"/>
        </w:rPr>
        <w:t>Уровень грамотности</w:t>
      </w:r>
    </w:p>
    <w:p w:rsidR="00000000" w:rsidRDefault="00000000">
      <w:pPr>
        <w:jc w:val="both"/>
        <w:rPr>
          <w:sz w:val="22"/>
          <w:szCs w:val="22"/>
        </w:rPr>
      </w:pPr>
    </w:p>
    <w:p w:rsidR="00000000" w:rsidRDefault="00000000">
      <w:pPr>
        <w:jc w:val="both"/>
        <w:rPr>
          <w:sz w:val="22"/>
          <w:szCs w:val="22"/>
        </w:rPr>
      </w:pPr>
      <w:r>
        <w:rPr>
          <w:sz w:val="22"/>
          <w:szCs w:val="22"/>
        </w:rPr>
        <w:t>629.</w:t>
      </w:r>
      <w:r>
        <w:rPr>
          <w:sz w:val="22"/>
          <w:szCs w:val="22"/>
        </w:rPr>
        <w:tab/>
        <w:t>При проведении переписей населения в Индии уровень грамотности определяется как доля грамотных в общей численности населения в возрасте от 7 лет и старше.  За последние 50 лет распространение образования в Индии происходило быстрыми темпами.  В 1951 году уровень грамотности составлял лишь 18,3% (в возрастной группе от 5 лет и старше), в 1981 году – 43,6%, а по данным переписи 2001 года – 65,2%.  В течение десятилетия 1991–2001 годов, впервые со времени проведения переписи 1951 года, число неграмотных в стране сократилось почти на 32 млн. в абсолютном выражении.  Однако уровни грамотности в разных штатах страны сильно различаются.  Так, в 2001 году самый высокий уровень грамотности – свыше 90% – был в Керале, а самый низкий – менее 50% – в Бихаре.  Разрыв в уровне грамотности между регионами уменьшился после 1981 года, но с учетом различий между городом и деревней или между уровнем грамотности мужчин и женщин разница все еще существует.  Соответствующие данные по мужчинам составляют 75,8%, а по женщинам 54,16%.  Данные об уровне грамотности приведены в таблице ниже.</w:t>
      </w:r>
    </w:p>
    <w:p w:rsidR="00000000" w:rsidRDefault="00000000">
      <w:pPr>
        <w:pStyle w:val="112"/>
        <w:spacing w:after="120"/>
        <w:rPr>
          <w:b/>
          <w:bCs/>
        </w:rPr>
      </w:pPr>
      <w:r>
        <w:rPr>
          <w:b/>
          <w:bCs/>
        </w:rPr>
        <w:t>Таблица 13.11.  Уровень грамотности (в процентах)</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83"/>
        <w:gridCol w:w="1842"/>
        <w:gridCol w:w="1219"/>
        <w:gridCol w:w="1333"/>
        <w:gridCol w:w="2190"/>
      </w:tblGrid>
      <w:tr w:rsidR="00000000">
        <w:tblPrEx>
          <w:tblCellMar>
            <w:top w:w="0" w:type="dxa"/>
            <w:left w:w="0" w:type="dxa"/>
            <w:bottom w:w="0" w:type="dxa"/>
            <w:right w:w="0" w:type="dxa"/>
          </w:tblCellMar>
        </w:tblPrEx>
        <w:tc>
          <w:tcPr>
            <w:tcW w:w="1483" w:type="dxa"/>
            <w:tcBorders>
              <w:bottom w:val="single" w:sz="4" w:space="0" w:color="auto"/>
              <w:right w:val="single" w:sz="4" w:space="0" w:color="auto"/>
            </w:tcBorders>
            <w:vAlign w:val="bottom"/>
          </w:tcPr>
          <w:p w:rsidR="00000000" w:rsidRDefault="00000000">
            <w:pPr>
              <w:spacing w:before="40" w:after="40"/>
              <w:ind w:left="113"/>
              <w:rPr>
                <w:sz w:val="20"/>
                <w:szCs w:val="20"/>
              </w:rPr>
            </w:pPr>
            <w:r>
              <w:rPr>
                <w:sz w:val="20"/>
                <w:szCs w:val="20"/>
              </w:rPr>
              <w:t>Год проведения переписи</w:t>
            </w:r>
          </w:p>
        </w:tc>
        <w:tc>
          <w:tcPr>
            <w:tcW w:w="184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113"/>
              <w:rPr>
                <w:sz w:val="20"/>
                <w:szCs w:val="20"/>
              </w:rPr>
            </w:pPr>
            <w:r>
              <w:rPr>
                <w:sz w:val="20"/>
                <w:szCs w:val="20"/>
              </w:rPr>
              <w:t>Лица соответствующей возрастной группы</w:t>
            </w:r>
          </w:p>
        </w:tc>
        <w:tc>
          <w:tcPr>
            <w:tcW w:w="12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113"/>
              <w:rPr>
                <w:sz w:val="20"/>
                <w:szCs w:val="20"/>
              </w:rPr>
            </w:pPr>
            <w:r>
              <w:rPr>
                <w:sz w:val="20"/>
                <w:szCs w:val="20"/>
              </w:rPr>
              <w:t>Мужчины</w:t>
            </w:r>
          </w:p>
        </w:tc>
        <w:tc>
          <w:tcPr>
            <w:tcW w:w="133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113"/>
              <w:rPr>
                <w:sz w:val="20"/>
                <w:szCs w:val="20"/>
              </w:rPr>
            </w:pPr>
            <w:r>
              <w:rPr>
                <w:sz w:val="20"/>
                <w:szCs w:val="20"/>
              </w:rPr>
              <w:t>Женщины</w:t>
            </w:r>
          </w:p>
        </w:tc>
        <w:tc>
          <w:tcPr>
            <w:tcW w:w="2190" w:type="dxa"/>
            <w:tcBorders>
              <w:top w:val="single" w:sz="4" w:space="0" w:color="auto"/>
              <w:left w:val="single" w:sz="4" w:space="0" w:color="auto"/>
              <w:bottom w:val="single" w:sz="4" w:space="0" w:color="auto"/>
            </w:tcBorders>
            <w:vAlign w:val="bottom"/>
          </w:tcPr>
          <w:p w:rsidR="00000000" w:rsidRDefault="00000000">
            <w:pPr>
              <w:spacing w:before="40" w:after="40"/>
              <w:ind w:left="113"/>
              <w:rPr>
                <w:sz w:val="20"/>
                <w:szCs w:val="20"/>
              </w:rPr>
            </w:pPr>
            <w:r>
              <w:rPr>
                <w:sz w:val="20"/>
                <w:szCs w:val="20"/>
              </w:rPr>
              <w:t xml:space="preserve">Разрыв в уровнях грамотности мужчин </w:t>
            </w:r>
            <w:r>
              <w:rPr>
                <w:sz w:val="20"/>
                <w:szCs w:val="20"/>
              </w:rPr>
              <w:br/>
              <w:t>и женщин</w:t>
            </w:r>
          </w:p>
        </w:tc>
      </w:tr>
      <w:tr w:rsidR="00000000">
        <w:tblPrEx>
          <w:tblCellMar>
            <w:top w:w="0" w:type="dxa"/>
            <w:left w:w="0" w:type="dxa"/>
            <w:bottom w:w="0" w:type="dxa"/>
            <w:right w:w="0" w:type="dxa"/>
          </w:tblCellMar>
        </w:tblPrEx>
        <w:tc>
          <w:tcPr>
            <w:tcW w:w="1483" w:type="dxa"/>
            <w:tcBorders>
              <w:top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1</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2</w:t>
            </w:r>
          </w:p>
        </w:tc>
        <w:tc>
          <w:tcPr>
            <w:tcW w:w="12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3</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4</w:t>
            </w:r>
          </w:p>
        </w:tc>
        <w:tc>
          <w:tcPr>
            <w:tcW w:w="2190" w:type="dxa"/>
            <w:tcBorders>
              <w:top w:val="single" w:sz="4" w:space="0" w:color="auto"/>
              <w:left w:val="single" w:sz="4" w:space="0" w:color="auto"/>
              <w:bottom w:val="single" w:sz="4" w:space="0" w:color="auto"/>
            </w:tcBorders>
            <w:vAlign w:val="center"/>
          </w:tcPr>
          <w:p w:rsidR="00000000" w:rsidRDefault="00000000">
            <w:pPr>
              <w:spacing w:before="40" w:after="40"/>
              <w:ind w:left="113"/>
              <w:rPr>
                <w:sz w:val="20"/>
                <w:szCs w:val="20"/>
              </w:rPr>
            </w:pPr>
            <w:r>
              <w:rPr>
                <w:sz w:val="20"/>
                <w:szCs w:val="20"/>
              </w:rPr>
              <w:t>5</w:t>
            </w:r>
          </w:p>
        </w:tc>
      </w:tr>
      <w:tr w:rsidR="00000000">
        <w:tblPrEx>
          <w:tblCellMar>
            <w:top w:w="0" w:type="dxa"/>
            <w:left w:w="0" w:type="dxa"/>
            <w:bottom w:w="0" w:type="dxa"/>
            <w:right w:w="0" w:type="dxa"/>
          </w:tblCellMar>
        </w:tblPrEx>
        <w:tc>
          <w:tcPr>
            <w:tcW w:w="1483" w:type="dxa"/>
            <w:tcBorders>
              <w:top w:val="single" w:sz="4" w:space="0" w:color="auto"/>
              <w:bottom w:val="nil"/>
              <w:right w:val="single" w:sz="4" w:space="0" w:color="auto"/>
            </w:tcBorders>
            <w:vAlign w:val="center"/>
          </w:tcPr>
          <w:p w:rsidR="00000000" w:rsidRDefault="00000000">
            <w:pPr>
              <w:spacing w:before="40" w:after="40"/>
              <w:ind w:left="113"/>
              <w:jc w:val="both"/>
              <w:rPr>
                <w:sz w:val="20"/>
                <w:szCs w:val="20"/>
              </w:rPr>
            </w:pPr>
            <w:r>
              <w:rPr>
                <w:sz w:val="20"/>
                <w:szCs w:val="20"/>
              </w:rPr>
              <w:t>1951</w:t>
            </w:r>
          </w:p>
        </w:tc>
        <w:tc>
          <w:tcPr>
            <w:tcW w:w="1842" w:type="dxa"/>
            <w:tcBorders>
              <w:top w:val="single" w:sz="4" w:space="0" w:color="auto"/>
              <w:left w:val="single" w:sz="4" w:space="0" w:color="auto"/>
              <w:bottom w:val="nil"/>
              <w:right w:val="single" w:sz="4" w:space="0" w:color="auto"/>
            </w:tcBorders>
            <w:vAlign w:val="center"/>
          </w:tcPr>
          <w:p w:rsidR="00000000" w:rsidRDefault="00000000">
            <w:pPr>
              <w:spacing w:before="40" w:after="40"/>
              <w:ind w:left="113"/>
              <w:rPr>
                <w:sz w:val="20"/>
                <w:szCs w:val="20"/>
              </w:rPr>
            </w:pPr>
            <w:r>
              <w:rPr>
                <w:sz w:val="20"/>
                <w:szCs w:val="20"/>
              </w:rPr>
              <w:t>18,33</w:t>
            </w:r>
          </w:p>
        </w:tc>
        <w:tc>
          <w:tcPr>
            <w:tcW w:w="1219" w:type="dxa"/>
            <w:tcBorders>
              <w:top w:val="single" w:sz="4" w:space="0" w:color="auto"/>
              <w:left w:val="single" w:sz="4" w:space="0" w:color="auto"/>
              <w:bottom w:val="nil"/>
              <w:right w:val="single" w:sz="4" w:space="0" w:color="auto"/>
            </w:tcBorders>
            <w:vAlign w:val="center"/>
          </w:tcPr>
          <w:p w:rsidR="00000000" w:rsidRDefault="00000000">
            <w:pPr>
              <w:spacing w:before="40" w:after="40"/>
              <w:ind w:left="113"/>
              <w:rPr>
                <w:sz w:val="20"/>
                <w:szCs w:val="20"/>
              </w:rPr>
            </w:pPr>
            <w:r>
              <w:rPr>
                <w:sz w:val="20"/>
                <w:szCs w:val="20"/>
              </w:rPr>
              <w:t>27,16</w:t>
            </w:r>
          </w:p>
        </w:tc>
        <w:tc>
          <w:tcPr>
            <w:tcW w:w="1333" w:type="dxa"/>
            <w:tcBorders>
              <w:top w:val="single" w:sz="4" w:space="0" w:color="auto"/>
              <w:left w:val="single" w:sz="4" w:space="0" w:color="auto"/>
              <w:bottom w:val="nil"/>
              <w:right w:val="single" w:sz="4" w:space="0" w:color="auto"/>
            </w:tcBorders>
            <w:vAlign w:val="center"/>
          </w:tcPr>
          <w:p w:rsidR="00000000" w:rsidRDefault="00000000">
            <w:pPr>
              <w:spacing w:before="40" w:after="40"/>
              <w:ind w:left="113"/>
              <w:rPr>
                <w:sz w:val="20"/>
                <w:szCs w:val="20"/>
              </w:rPr>
            </w:pPr>
            <w:r>
              <w:rPr>
                <w:sz w:val="20"/>
                <w:szCs w:val="20"/>
              </w:rPr>
              <w:t>8,86</w:t>
            </w:r>
          </w:p>
        </w:tc>
        <w:tc>
          <w:tcPr>
            <w:tcW w:w="2190" w:type="dxa"/>
            <w:tcBorders>
              <w:top w:val="single" w:sz="4" w:space="0" w:color="auto"/>
              <w:left w:val="single" w:sz="4" w:space="0" w:color="auto"/>
              <w:bottom w:val="nil"/>
            </w:tcBorders>
            <w:vAlign w:val="center"/>
          </w:tcPr>
          <w:p w:rsidR="00000000" w:rsidRDefault="00000000">
            <w:pPr>
              <w:spacing w:before="40" w:after="40"/>
              <w:ind w:left="113"/>
              <w:rPr>
                <w:sz w:val="20"/>
                <w:szCs w:val="20"/>
              </w:rPr>
            </w:pPr>
            <w:r>
              <w:rPr>
                <w:sz w:val="20"/>
                <w:szCs w:val="20"/>
              </w:rPr>
              <w:t>18,30</w:t>
            </w:r>
          </w:p>
        </w:tc>
      </w:tr>
      <w:tr w:rsidR="00000000">
        <w:tblPrEx>
          <w:tblCellMar>
            <w:top w:w="0" w:type="dxa"/>
            <w:left w:w="0" w:type="dxa"/>
            <w:bottom w:w="0" w:type="dxa"/>
            <w:right w:w="0" w:type="dxa"/>
          </w:tblCellMar>
        </w:tblPrEx>
        <w:tc>
          <w:tcPr>
            <w:tcW w:w="1483" w:type="dxa"/>
            <w:tcBorders>
              <w:top w:val="nil"/>
              <w:right w:val="single" w:sz="4" w:space="0" w:color="auto"/>
            </w:tcBorders>
            <w:vAlign w:val="center"/>
          </w:tcPr>
          <w:p w:rsidR="00000000" w:rsidRDefault="00000000">
            <w:pPr>
              <w:spacing w:before="40" w:after="40"/>
              <w:ind w:left="113"/>
              <w:jc w:val="both"/>
              <w:rPr>
                <w:sz w:val="20"/>
                <w:szCs w:val="20"/>
              </w:rPr>
            </w:pPr>
            <w:r>
              <w:rPr>
                <w:sz w:val="20"/>
                <w:szCs w:val="20"/>
              </w:rPr>
              <w:t>1961</w:t>
            </w:r>
          </w:p>
        </w:tc>
        <w:tc>
          <w:tcPr>
            <w:tcW w:w="1842" w:type="dxa"/>
            <w:tcBorders>
              <w:top w:val="nil"/>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28,30</w:t>
            </w:r>
          </w:p>
        </w:tc>
        <w:tc>
          <w:tcPr>
            <w:tcW w:w="1219" w:type="dxa"/>
            <w:tcBorders>
              <w:top w:val="nil"/>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40,40</w:t>
            </w:r>
          </w:p>
        </w:tc>
        <w:tc>
          <w:tcPr>
            <w:tcW w:w="1333" w:type="dxa"/>
            <w:tcBorders>
              <w:top w:val="nil"/>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15,35</w:t>
            </w:r>
          </w:p>
        </w:tc>
        <w:tc>
          <w:tcPr>
            <w:tcW w:w="2190" w:type="dxa"/>
            <w:tcBorders>
              <w:top w:val="nil"/>
              <w:left w:val="single" w:sz="4" w:space="0" w:color="auto"/>
            </w:tcBorders>
            <w:vAlign w:val="center"/>
          </w:tcPr>
          <w:p w:rsidR="00000000" w:rsidRDefault="00000000">
            <w:pPr>
              <w:spacing w:before="40" w:after="40"/>
              <w:ind w:left="113"/>
              <w:rPr>
                <w:sz w:val="20"/>
                <w:szCs w:val="20"/>
              </w:rPr>
            </w:pPr>
            <w:r>
              <w:rPr>
                <w:sz w:val="20"/>
                <w:szCs w:val="20"/>
              </w:rPr>
              <w:t>25,05</w:t>
            </w:r>
          </w:p>
        </w:tc>
      </w:tr>
      <w:tr w:rsidR="00000000">
        <w:tblPrEx>
          <w:tblCellMar>
            <w:top w:w="0" w:type="dxa"/>
            <w:left w:w="0" w:type="dxa"/>
            <w:bottom w:w="0" w:type="dxa"/>
            <w:right w:w="0" w:type="dxa"/>
          </w:tblCellMar>
        </w:tblPrEx>
        <w:tc>
          <w:tcPr>
            <w:tcW w:w="1483" w:type="dxa"/>
            <w:tcBorders>
              <w:right w:val="single" w:sz="4" w:space="0" w:color="auto"/>
            </w:tcBorders>
            <w:vAlign w:val="center"/>
          </w:tcPr>
          <w:p w:rsidR="00000000" w:rsidRDefault="00000000">
            <w:pPr>
              <w:spacing w:before="40" w:after="40"/>
              <w:ind w:left="113"/>
              <w:jc w:val="both"/>
              <w:rPr>
                <w:sz w:val="20"/>
                <w:szCs w:val="20"/>
              </w:rPr>
            </w:pPr>
            <w:r>
              <w:rPr>
                <w:sz w:val="20"/>
                <w:szCs w:val="20"/>
              </w:rPr>
              <w:t>1971</w:t>
            </w:r>
          </w:p>
        </w:tc>
        <w:tc>
          <w:tcPr>
            <w:tcW w:w="1842"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34,45</w:t>
            </w:r>
          </w:p>
        </w:tc>
        <w:tc>
          <w:tcPr>
            <w:tcW w:w="1219"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45,96</w:t>
            </w:r>
          </w:p>
        </w:tc>
        <w:tc>
          <w:tcPr>
            <w:tcW w:w="1333"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21,97</w:t>
            </w:r>
          </w:p>
        </w:tc>
        <w:tc>
          <w:tcPr>
            <w:tcW w:w="2190" w:type="dxa"/>
            <w:tcBorders>
              <w:left w:val="single" w:sz="4" w:space="0" w:color="auto"/>
            </w:tcBorders>
            <w:vAlign w:val="center"/>
          </w:tcPr>
          <w:p w:rsidR="00000000" w:rsidRDefault="00000000">
            <w:pPr>
              <w:spacing w:before="40" w:after="40"/>
              <w:ind w:left="113"/>
              <w:rPr>
                <w:sz w:val="20"/>
                <w:szCs w:val="20"/>
              </w:rPr>
            </w:pPr>
            <w:r>
              <w:rPr>
                <w:sz w:val="20"/>
                <w:szCs w:val="20"/>
              </w:rPr>
              <w:t>23,98</w:t>
            </w:r>
          </w:p>
        </w:tc>
      </w:tr>
      <w:tr w:rsidR="00000000">
        <w:tblPrEx>
          <w:tblCellMar>
            <w:top w:w="0" w:type="dxa"/>
            <w:left w:w="0" w:type="dxa"/>
            <w:bottom w:w="0" w:type="dxa"/>
            <w:right w:w="0" w:type="dxa"/>
          </w:tblCellMar>
        </w:tblPrEx>
        <w:tc>
          <w:tcPr>
            <w:tcW w:w="1483" w:type="dxa"/>
            <w:tcBorders>
              <w:right w:val="single" w:sz="4" w:space="0" w:color="auto"/>
            </w:tcBorders>
            <w:vAlign w:val="center"/>
          </w:tcPr>
          <w:p w:rsidR="00000000" w:rsidRDefault="00000000">
            <w:pPr>
              <w:spacing w:before="40" w:after="40"/>
              <w:ind w:left="113"/>
              <w:jc w:val="both"/>
              <w:rPr>
                <w:sz w:val="20"/>
                <w:szCs w:val="20"/>
              </w:rPr>
            </w:pPr>
            <w:r>
              <w:rPr>
                <w:sz w:val="20"/>
                <w:szCs w:val="20"/>
              </w:rPr>
              <w:t>1981</w:t>
            </w:r>
          </w:p>
        </w:tc>
        <w:tc>
          <w:tcPr>
            <w:tcW w:w="1842"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43,57</w:t>
            </w:r>
          </w:p>
        </w:tc>
        <w:tc>
          <w:tcPr>
            <w:tcW w:w="1219"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56,38</w:t>
            </w:r>
          </w:p>
        </w:tc>
        <w:tc>
          <w:tcPr>
            <w:tcW w:w="1333"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29,76</w:t>
            </w:r>
          </w:p>
        </w:tc>
        <w:tc>
          <w:tcPr>
            <w:tcW w:w="2190" w:type="dxa"/>
            <w:tcBorders>
              <w:left w:val="single" w:sz="4" w:space="0" w:color="auto"/>
            </w:tcBorders>
            <w:vAlign w:val="center"/>
          </w:tcPr>
          <w:p w:rsidR="00000000" w:rsidRDefault="00000000">
            <w:pPr>
              <w:spacing w:before="40" w:after="40"/>
              <w:ind w:left="113"/>
              <w:rPr>
                <w:sz w:val="20"/>
                <w:szCs w:val="20"/>
              </w:rPr>
            </w:pPr>
            <w:r>
              <w:rPr>
                <w:sz w:val="20"/>
                <w:szCs w:val="20"/>
              </w:rPr>
              <w:t>26,62</w:t>
            </w:r>
          </w:p>
        </w:tc>
      </w:tr>
      <w:tr w:rsidR="00000000">
        <w:tblPrEx>
          <w:tblCellMar>
            <w:top w:w="0" w:type="dxa"/>
            <w:left w:w="0" w:type="dxa"/>
            <w:bottom w:w="0" w:type="dxa"/>
            <w:right w:w="0" w:type="dxa"/>
          </w:tblCellMar>
        </w:tblPrEx>
        <w:tc>
          <w:tcPr>
            <w:tcW w:w="1483" w:type="dxa"/>
            <w:tcBorders>
              <w:right w:val="single" w:sz="4" w:space="0" w:color="auto"/>
            </w:tcBorders>
            <w:vAlign w:val="center"/>
          </w:tcPr>
          <w:p w:rsidR="00000000" w:rsidRDefault="00000000">
            <w:pPr>
              <w:spacing w:before="40" w:after="40"/>
              <w:ind w:left="113"/>
              <w:jc w:val="both"/>
              <w:rPr>
                <w:sz w:val="20"/>
                <w:szCs w:val="20"/>
              </w:rPr>
            </w:pPr>
            <w:r>
              <w:rPr>
                <w:sz w:val="20"/>
                <w:szCs w:val="20"/>
              </w:rPr>
              <w:t>1991</w:t>
            </w:r>
          </w:p>
        </w:tc>
        <w:tc>
          <w:tcPr>
            <w:tcW w:w="1842"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52,21</w:t>
            </w:r>
          </w:p>
        </w:tc>
        <w:tc>
          <w:tcPr>
            <w:tcW w:w="1219"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64,13</w:t>
            </w:r>
          </w:p>
        </w:tc>
        <w:tc>
          <w:tcPr>
            <w:tcW w:w="1333" w:type="dxa"/>
            <w:tcBorders>
              <w:left w:val="single" w:sz="4" w:space="0" w:color="auto"/>
              <w:right w:val="single" w:sz="4" w:space="0" w:color="auto"/>
            </w:tcBorders>
            <w:vAlign w:val="center"/>
          </w:tcPr>
          <w:p w:rsidR="00000000" w:rsidRDefault="00000000">
            <w:pPr>
              <w:spacing w:before="40" w:after="40"/>
              <w:ind w:left="113"/>
              <w:rPr>
                <w:sz w:val="20"/>
                <w:szCs w:val="20"/>
              </w:rPr>
            </w:pPr>
            <w:r>
              <w:rPr>
                <w:sz w:val="20"/>
                <w:szCs w:val="20"/>
              </w:rPr>
              <w:t>39,29</w:t>
            </w:r>
          </w:p>
        </w:tc>
        <w:tc>
          <w:tcPr>
            <w:tcW w:w="2190" w:type="dxa"/>
            <w:tcBorders>
              <w:left w:val="single" w:sz="4" w:space="0" w:color="auto"/>
            </w:tcBorders>
            <w:vAlign w:val="center"/>
          </w:tcPr>
          <w:p w:rsidR="00000000" w:rsidRDefault="00000000">
            <w:pPr>
              <w:spacing w:before="40" w:after="40"/>
              <w:ind w:left="113"/>
              <w:rPr>
                <w:sz w:val="20"/>
                <w:szCs w:val="20"/>
              </w:rPr>
            </w:pPr>
            <w:r>
              <w:rPr>
                <w:sz w:val="20"/>
                <w:szCs w:val="20"/>
              </w:rPr>
              <w:t>24,84</w:t>
            </w:r>
          </w:p>
        </w:tc>
      </w:tr>
      <w:tr w:rsidR="00000000">
        <w:tblPrEx>
          <w:tblCellMar>
            <w:top w:w="0" w:type="dxa"/>
            <w:left w:w="0" w:type="dxa"/>
            <w:bottom w:w="0" w:type="dxa"/>
            <w:right w:w="0" w:type="dxa"/>
          </w:tblCellMar>
        </w:tblPrEx>
        <w:tc>
          <w:tcPr>
            <w:tcW w:w="1483" w:type="dxa"/>
            <w:tcBorders>
              <w:right w:val="single" w:sz="4" w:space="0" w:color="auto"/>
            </w:tcBorders>
            <w:vAlign w:val="center"/>
          </w:tcPr>
          <w:p w:rsidR="00000000" w:rsidRDefault="00000000">
            <w:pPr>
              <w:spacing w:before="40" w:after="40"/>
              <w:ind w:left="113"/>
              <w:jc w:val="both"/>
              <w:rPr>
                <w:sz w:val="20"/>
                <w:szCs w:val="20"/>
              </w:rPr>
            </w:pPr>
            <w:r>
              <w:rPr>
                <w:sz w:val="20"/>
                <w:szCs w:val="20"/>
              </w:rPr>
              <w:t>2001</w:t>
            </w:r>
          </w:p>
        </w:tc>
        <w:tc>
          <w:tcPr>
            <w:tcW w:w="1842" w:type="dxa"/>
            <w:tcBorders>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65,38</w:t>
            </w:r>
          </w:p>
        </w:tc>
        <w:tc>
          <w:tcPr>
            <w:tcW w:w="1219" w:type="dxa"/>
            <w:tcBorders>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75,85</w:t>
            </w:r>
          </w:p>
        </w:tc>
        <w:tc>
          <w:tcPr>
            <w:tcW w:w="1333" w:type="dxa"/>
            <w:tcBorders>
              <w:left w:val="single" w:sz="4" w:space="0" w:color="auto"/>
              <w:bottom w:val="single" w:sz="4" w:space="0" w:color="auto"/>
              <w:right w:val="single" w:sz="4" w:space="0" w:color="auto"/>
            </w:tcBorders>
            <w:vAlign w:val="center"/>
          </w:tcPr>
          <w:p w:rsidR="00000000" w:rsidRDefault="00000000">
            <w:pPr>
              <w:spacing w:before="40" w:after="40"/>
              <w:ind w:left="113"/>
              <w:rPr>
                <w:sz w:val="20"/>
                <w:szCs w:val="20"/>
              </w:rPr>
            </w:pPr>
            <w:r>
              <w:rPr>
                <w:sz w:val="20"/>
                <w:szCs w:val="20"/>
              </w:rPr>
              <w:t>54,16</w:t>
            </w:r>
          </w:p>
        </w:tc>
        <w:tc>
          <w:tcPr>
            <w:tcW w:w="2190" w:type="dxa"/>
            <w:tcBorders>
              <w:left w:val="single" w:sz="4" w:space="0" w:color="auto"/>
              <w:bottom w:val="single" w:sz="4" w:space="0" w:color="auto"/>
            </w:tcBorders>
            <w:vAlign w:val="center"/>
          </w:tcPr>
          <w:p w:rsidR="00000000" w:rsidRDefault="00000000">
            <w:pPr>
              <w:spacing w:before="40" w:after="40"/>
              <w:ind w:left="113"/>
              <w:rPr>
                <w:sz w:val="20"/>
                <w:szCs w:val="20"/>
              </w:rPr>
            </w:pPr>
            <w:r>
              <w:rPr>
                <w:sz w:val="20"/>
                <w:szCs w:val="20"/>
              </w:rPr>
              <w:t>21,70</w:t>
            </w:r>
          </w:p>
        </w:tc>
      </w:tr>
    </w:tbl>
    <w:p w:rsidR="00000000" w:rsidRDefault="00000000">
      <w:pPr>
        <w:pStyle w:val="a3"/>
        <w:spacing w:before="120"/>
      </w:pPr>
      <w:r>
        <w:rPr>
          <w:b/>
          <w:bCs/>
        </w:rPr>
        <w:t>Источник:</w:t>
      </w:r>
      <w:r>
        <w:t xml:space="preserve">  Данные переписи населения в Индии.</w:t>
      </w:r>
    </w:p>
    <w:p w:rsidR="00000000" w:rsidRDefault="00000000">
      <w:pPr>
        <w:pStyle w:val="BodyText2"/>
        <w:tabs>
          <w:tab w:val="left" w:pos="6237"/>
        </w:tabs>
        <w:spacing w:line="240" w:lineRule="auto"/>
        <w:ind w:firstLine="720"/>
        <w:rPr>
          <w:sz w:val="22"/>
          <w:szCs w:val="22"/>
          <w:lang w:val="ru-RU"/>
        </w:rPr>
      </w:pPr>
    </w:p>
    <w:p w:rsidR="00000000" w:rsidRDefault="00000000">
      <w:pPr>
        <w:pStyle w:val="BodyText2"/>
        <w:tabs>
          <w:tab w:val="left" w:pos="6237"/>
        </w:tabs>
        <w:spacing w:line="240" w:lineRule="auto"/>
        <w:ind w:firstLine="720"/>
        <w:rPr>
          <w:sz w:val="22"/>
          <w:szCs w:val="22"/>
          <w:lang w:val="ru-RU"/>
        </w:rPr>
      </w:pPr>
      <w:r>
        <w:rPr>
          <w:noProof/>
          <w:sz w:val="20"/>
          <w:lang w:val="ru-RU" w:eastAsia="ru-RU"/>
        </w:rPr>
        <w:pict>
          <v:shapetype id="_x0000_t202" coordsize="21600,21600" o:spt="202" path="m,l,21600r21600,l21600,xe">
            <v:stroke joinstyle="miter"/>
            <v:path gradientshapeok="t" o:connecttype="rect"/>
          </v:shapetype>
          <v:shape id="_x0000_s2385" type="#_x0000_t202" style="position:absolute;left:0;text-align:left;margin-left:22.45pt;margin-top:3.8pt;width:20.35pt;height:97.2pt;z-index:2" filled="f" stroked="f">
            <v:textbox style="layout-flow:vertical;mso-layout-flow-alt:bottom-to-top" inset="0,0,0,0">
              <w:txbxContent>
                <w:p w:rsidR="00000000" w:rsidRDefault="00000000">
                  <w:pPr>
                    <w:jc w:val="center"/>
                    <w:rPr>
                      <w:rFonts w:ascii="Arial" w:hAnsi="Arial" w:cs="Arial"/>
                      <w:bCs/>
                      <w:sz w:val="14"/>
                    </w:rPr>
                  </w:pPr>
                  <w:r>
                    <w:rPr>
                      <w:rFonts w:ascii="Arial" w:hAnsi="Arial" w:cs="Arial"/>
                      <w:bCs/>
                      <w:sz w:val="14"/>
                    </w:rPr>
                    <w:t>ДОЛЯ ГРАМОТНЫХ</w:t>
                  </w:r>
                </w:p>
              </w:txbxContent>
            </v:textbox>
          </v:shape>
        </w:pict>
      </w:r>
      <w:r>
        <w:object w:dxaOrig="4275" w:dyaOrig="2520">
          <v:shape id="_x0000_i1026" type="#_x0000_t75" style="width:213.75pt;height:126pt" o:ole="">
            <v:imagedata r:id="rId11" o:title=""/>
          </v:shape>
          <o:OLEObject Type="Embed" ProgID="Word.Picture.8" ShapeID="_x0000_i1026" DrawAspect="Content" ObjectID="_1394900373" r:id="rId12"/>
        </w:object>
      </w:r>
    </w:p>
    <w:p w:rsidR="00000000" w:rsidRDefault="00000000">
      <w:pPr>
        <w:pStyle w:val="BodyText2"/>
        <w:tabs>
          <w:tab w:val="left" w:pos="6237"/>
        </w:tabs>
        <w:spacing w:line="240" w:lineRule="auto"/>
        <w:ind w:firstLine="720"/>
        <w:rPr>
          <w:sz w:val="22"/>
          <w:szCs w:val="22"/>
          <w:lang w:val="ru-RU"/>
        </w:rPr>
      </w:pPr>
    </w:p>
    <w:p w:rsidR="00000000" w:rsidRDefault="00000000">
      <w:pPr>
        <w:jc w:val="both"/>
        <w:rPr>
          <w:sz w:val="22"/>
          <w:szCs w:val="22"/>
        </w:rPr>
      </w:pPr>
      <w:r>
        <w:rPr>
          <w:sz w:val="22"/>
          <w:szCs w:val="22"/>
        </w:rPr>
        <w:t>630.</w:t>
      </w:r>
      <w:r>
        <w:rPr>
          <w:sz w:val="22"/>
          <w:szCs w:val="22"/>
        </w:rPr>
        <w:tab/>
        <w:t>Уровень грамотности населения в сельских районах возросла с 36% в 1981 году до 59% в 2001 году.  Соответствующие показатели в городских районах составили 67% в 1981 году и 80% в 2001 году, т. е. разрыв между городом и деревней уменьшился с 31 до 21 процентного пункта.  За этот период уровень грамотности среди мужчин заметно возрос, составив в 2001 году 76%.  По сельским районам разница в уровне грамотности мужчин и женщин уменьшилась с 28 до 24 процентных пунктов, тогда как в городских районах это сокращение было несколько большим – до 7 процентных пунктов.  Различия в уровне грамотности между штатами среди мужчин гораздо меньше, чем среди женщин.  По крупным штатам наиболее высокий уровень грамотности среди как мужчин, так и женщин, зарегистрирован в Керали, а самый низкий по-прежнему остается в Бихаре.</w:t>
      </w:r>
    </w:p>
    <w:p w:rsidR="00000000" w:rsidRDefault="00000000">
      <w:pPr>
        <w:pStyle w:val="112"/>
      </w:pPr>
      <w:r>
        <w:t>631.</w:t>
      </w:r>
      <w:r>
        <w:tab/>
        <w:t xml:space="preserve">Если по всему населению уровень грамотности в 1991 году был зарегистрирован на уровне 52,2%, то соответствующие показатели по зарегистрированным кастам и племенам составили, соответственно, 37,4% и 29,6%.  У остальной части населения уровень грамотности был 57,7%.  Читать и писать умеют менее одной четверти представителей зарегистрированных племен.  В Бихаре в 1991 году читать и писать умели 10% женщин, принадлежащих к зарегистрированным кастам.  </w:t>
      </w:r>
      <w:r>
        <w:br/>
        <w:t xml:space="preserve">В 1981 году ситуация была гораздо хуже: тогда доля грамотных женщин, принадлежащих к зарегистрированным племенам, в Раджастхане составляла лишь около 1%.  С другой стороны, отношение числа грамотных женщин к числу грамотных мужчин составляет почти три четверти, а уровень грамотности среди женщин, принадлежащих к зарегистрированным кастам и племенам, гораздо выше, чем по остальной части населения.  </w:t>
      </w:r>
    </w:p>
    <w:p w:rsidR="00000000" w:rsidRDefault="00000000">
      <w:pPr>
        <w:pStyle w:val="112"/>
      </w:pPr>
      <w:r>
        <w:t>632.</w:t>
      </w:r>
      <w:r>
        <w:tab/>
        <w:t>Общее количество учеников из числа представителей зарегистрированных каст, посещающих начальную школу (1–5 классы), старшие классы начальной школы (6–8 классы) и школы младшей и старшей ступеней среднего образования (9–12 классы), за период с 1980/81 года по 2001/02 год (таблица 13.12) возросло, соответственно, в 1,9, 3.4 и 3,7 раза.  За этот же период количество девочек из числа представителей  зарегистрированных каст, посещающих соответствующие школы, возросло в 2,5, 4,9 и 6,6 раза.</w:t>
      </w:r>
    </w:p>
    <w:p w:rsidR="00000000" w:rsidRDefault="00000000">
      <w:pPr>
        <w:pStyle w:val="112"/>
        <w:spacing w:after="120"/>
        <w:ind w:right="-284"/>
        <w:jc w:val="left"/>
        <w:rPr>
          <w:b/>
          <w:bCs/>
        </w:rPr>
      </w:pPr>
      <w:r>
        <w:rPr>
          <w:b/>
          <w:bCs/>
        </w:rPr>
        <w:t>Таблица 13.12.  Число учеников – представителей зарегистрированных каст в школах (в тыс.)</w:t>
      </w:r>
    </w:p>
    <w:tbl>
      <w:tblPr>
        <w:tblW w:w="9639" w:type="dxa"/>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248"/>
        <w:gridCol w:w="1110"/>
        <w:gridCol w:w="902"/>
        <w:gridCol w:w="776"/>
        <w:gridCol w:w="1148"/>
        <w:gridCol w:w="895"/>
        <w:gridCol w:w="764"/>
        <w:gridCol w:w="1131"/>
        <w:gridCol w:w="955"/>
        <w:gridCol w:w="710"/>
      </w:tblGrid>
      <w:tr w:rsidR="00000000">
        <w:trPr>
          <w:cantSplit/>
          <w:trHeight w:val="525"/>
          <w:jc w:val="center"/>
        </w:trPr>
        <w:tc>
          <w:tcPr>
            <w:tcW w:w="11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Год</w:t>
            </w:r>
          </w:p>
        </w:tc>
        <w:tc>
          <w:tcPr>
            <w:tcW w:w="2658" w:type="dxa"/>
            <w:gridSpan w:val="3"/>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 xml:space="preserve">Начальная школа </w:t>
            </w:r>
            <w:r>
              <w:rPr>
                <w:sz w:val="20"/>
                <w:szCs w:val="20"/>
              </w:rPr>
              <w:br/>
              <w:t>(</w:t>
            </w:r>
            <w:r>
              <w:rPr>
                <w:sz w:val="20"/>
                <w:szCs w:val="20"/>
                <w:lang w:val="en-US"/>
              </w:rPr>
              <w:t>I</w:t>
            </w:r>
            <w:r>
              <w:rPr>
                <w:sz w:val="20"/>
                <w:szCs w:val="20"/>
              </w:rPr>
              <w:t>–</w:t>
            </w:r>
            <w:r>
              <w:rPr>
                <w:sz w:val="20"/>
                <w:szCs w:val="20"/>
                <w:lang w:val="en-US"/>
              </w:rPr>
              <w:t>V</w:t>
            </w:r>
            <w:r>
              <w:rPr>
                <w:sz w:val="20"/>
                <w:szCs w:val="20"/>
              </w:rPr>
              <w:t>)</w:t>
            </w:r>
          </w:p>
        </w:tc>
        <w:tc>
          <w:tcPr>
            <w:tcW w:w="2675" w:type="dxa"/>
            <w:gridSpan w:val="3"/>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Старшие классы начальной школы (</w:t>
            </w:r>
            <w:r>
              <w:rPr>
                <w:sz w:val="20"/>
                <w:szCs w:val="20"/>
                <w:lang w:val="en-US"/>
              </w:rPr>
              <w:t>VI</w:t>
            </w:r>
            <w:r>
              <w:rPr>
                <w:sz w:val="20"/>
                <w:szCs w:val="20"/>
              </w:rPr>
              <w:t>–</w:t>
            </w:r>
            <w:r>
              <w:rPr>
                <w:sz w:val="20"/>
                <w:szCs w:val="20"/>
                <w:lang w:val="en-US"/>
              </w:rPr>
              <w:t>VIII</w:t>
            </w:r>
            <w:r>
              <w:rPr>
                <w:sz w:val="20"/>
                <w:szCs w:val="20"/>
              </w:rPr>
              <w:t>)</w:t>
            </w:r>
          </w:p>
        </w:tc>
        <w:tc>
          <w:tcPr>
            <w:tcW w:w="2665" w:type="dxa"/>
            <w:gridSpan w:val="3"/>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Школы младшей и старшей ступеней среднего образования (</w:t>
            </w:r>
            <w:r>
              <w:rPr>
                <w:sz w:val="20"/>
                <w:szCs w:val="20"/>
                <w:lang w:val="en-US"/>
              </w:rPr>
              <w:t>IX</w:t>
            </w:r>
            <w:r>
              <w:rPr>
                <w:sz w:val="20"/>
                <w:szCs w:val="20"/>
              </w:rPr>
              <w:t>–</w:t>
            </w:r>
            <w:r>
              <w:rPr>
                <w:sz w:val="20"/>
                <w:szCs w:val="20"/>
                <w:lang w:val="en-US"/>
              </w:rPr>
              <w:t>XII</w:t>
            </w:r>
            <w:r>
              <w:rPr>
                <w:sz w:val="20"/>
                <w:szCs w:val="20"/>
              </w:rPr>
              <w:t>)</w:t>
            </w:r>
          </w:p>
        </w:tc>
      </w:tr>
      <w:tr w:rsidR="00000000">
        <w:trPr>
          <w:cantSplit/>
          <w:trHeight w:val="255"/>
          <w:jc w:val="center"/>
        </w:trPr>
        <w:tc>
          <w:tcPr>
            <w:tcW w:w="1191"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 w:val="20"/>
                <w:szCs w:val="20"/>
              </w:rPr>
            </w:pPr>
          </w:p>
        </w:tc>
        <w:tc>
          <w:tcPr>
            <w:tcW w:w="105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Мальчики</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Девочки</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Итого</w:t>
            </w:r>
          </w:p>
        </w:tc>
        <w:tc>
          <w:tcPr>
            <w:tcW w:w="1094"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Мальчики</w:t>
            </w:r>
          </w:p>
        </w:tc>
        <w:tc>
          <w:tcPr>
            <w:tcW w:w="853"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Девочки</w:t>
            </w:r>
          </w:p>
        </w:tc>
        <w:tc>
          <w:tcPr>
            <w:tcW w:w="72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Итого</w:t>
            </w:r>
          </w:p>
        </w:tc>
        <w:tc>
          <w:tcPr>
            <w:tcW w:w="107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Мальчики</w:t>
            </w:r>
          </w:p>
        </w:tc>
        <w:tc>
          <w:tcPr>
            <w:tcW w:w="91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Девочки</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Итого</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w:t>
            </w:r>
          </w:p>
        </w:tc>
        <w:tc>
          <w:tcPr>
            <w:tcW w:w="105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4</w:t>
            </w:r>
          </w:p>
        </w:tc>
        <w:tc>
          <w:tcPr>
            <w:tcW w:w="1094"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5</w:t>
            </w:r>
          </w:p>
        </w:tc>
        <w:tc>
          <w:tcPr>
            <w:tcW w:w="853"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6</w:t>
            </w:r>
          </w:p>
        </w:tc>
        <w:tc>
          <w:tcPr>
            <w:tcW w:w="72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7</w:t>
            </w:r>
          </w:p>
        </w:tc>
        <w:tc>
          <w:tcPr>
            <w:tcW w:w="1078"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8</w:t>
            </w:r>
          </w:p>
        </w:tc>
        <w:tc>
          <w:tcPr>
            <w:tcW w:w="91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9</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10</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1980/81</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7 213</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3 768</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10 981</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1 621</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602</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2 223</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906</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246</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1 152</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1985/86</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8 727</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5 194</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13 921</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2 537</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1 082</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3 619</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1 378</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432</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1 810</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1990/91</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9 737</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6 057</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15 794</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2 747</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1 413</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4 160</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1 703</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635</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2 338</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1995/96</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11 284</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7 892</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19 176</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3 453</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1 992</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5 445</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1 854</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887</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2 741</w:t>
            </w:r>
          </w:p>
        </w:tc>
      </w:tr>
      <w:tr w:rsidR="00000000">
        <w:trPr>
          <w:trHeight w:val="330"/>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1996/97</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11 754</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8 368</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rFonts w:eastAsia="Arial Unicode MS"/>
                <w:sz w:val="20"/>
                <w:szCs w:val="20"/>
              </w:rPr>
              <w:t>20 122</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3 621</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2 176</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5 797</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rFonts w:eastAsia="Arial Unicode MS"/>
                <w:sz w:val="20"/>
                <w:szCs w:val="20"/>
              </w:rPr>
              <w:t>1 952</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975</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2 927</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1997/98</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11 898</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8 659</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rFonts w:eastAsia="Arial Unicode MS"/>
                <w:sz w:val="20"/>
                <w:szCs w:val="20"/>
              </w:rPr>
              <w:t>20 557</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3 786</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2 283</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rFonts w:eastAsia="Arial Unicode MS"/>
                <w:sz w:val="20"/>
                <w:szCs w:val="20"/>
              </w:rPr>
              <w:t>6 069</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2 026</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1 048</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3 074</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1998/99*</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11 123</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8 377</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19 500</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3 748</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2 388</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6 136</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2 068</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1 149</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3 217</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1999/2000*</w:t>
            </w:r>
          </w:p>
        </w:tc>
        <w:tc>
          <w:tcPr>
            <w:tcW w:w="105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11 810</w:t>
            </w:r>
          </w:p>
        </w:tc>
        <w:tc>
          <w:tcPr>
            <w:tcW w:w="86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8 625</w:t>
            </w:r>
          </w:p>
        </w:tc>
        <w:tc>
          <w:tcPr>
            <w:tcW w:w="740"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20 435</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3 881</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2 420</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6 301</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2 385</w:t>
            </w:r>
          </w:p>
        </w:tc>
        <w:tc>
          <w:tcPr>
            <w:tcW w:w="910" w:type="dxa"/>
            <w:tcBorders>
              <w:top w:val="nil"/>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1 399</w:t>
            </w:r>
          </w:p>
        </w:tc>
        <w:tc>
          <w:tcPr>
            <w:tcW w:w="677" w:type="dxa"/>
            <w:tcBorders>
              <w:top w:val="nil"/>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3 784</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2000/01*</w:t>
            </w:r>
          </w:p>
        </w:tc>
        <w:tc>
          <w:tcPr>
            <w:tcW w:w="105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12 059</w:t>
            </w:r>
          </w:p>
        </w:tc>
        <w:tc>
          <w:tcPr>
            <w:tcW w:w="860"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9 136</w:t>
            </w:r>
          </w:p>
        </w:tc>
        <w:tc>
          <w:tcPr>
            <w:tcW w:w="740"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21 195</w:t>
            </w:r>
          </w:p>
        </w:tc>
        <w:tc>
          <w:tcPr>
            <w:tcW w:w="1094"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4 066</w:t>
            </w:r>
          </w:p>
        </w:tc>
        <w:tc>
          <w:tcPr>
            <w:tcW w:w="853"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2 628</w:t>
            </w:r>
          </w:p>
        </w:tc>
        <w:tc>
          <w:tcPr>
            <w:tcW w:w="728"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6 694</w:t>
            </w:r>
          </w:p>
        </w:tc>
        <w:tc>
          <w:tcPr>
            <w:tcW w:w="107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2 418</w:t>
            </w:r>
          </w:p>
        </w:tc>
        <w:tc>
          <w:tcPr>
            <w:tcW w:w="910"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1 394</w:t>
            </w:r>
          </w:p>
        </w:tc>
        <w:tc>
          <w:tcPr>
            <w:tcW w:w="677"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3 812</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20" w:after="20"/>
              <w:jc w:val="both"/>
              <w:rPr>
                <w:sz w:val="20"/>
                <w:szCs w:val="20"/>
              </w:rPr>
            </w:pPr>
            <w:r>
              <w:rPr>
                <w:sz w:val="20"/>
                <w:szCs w:val="20"/>
              </w:rPr>
              <w:t>2001/02*</w:t>
            </w:r>
          </w:p>
        </w:tc>
        <w:tc>
          <w:tcPr>
            <w:tcW w:w="105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12 251</w:t>
            </w:r>
          </w:p>
        </w:tc>
        <w:tc>
          <w:tcPr>
            <w:tcW w:w="860"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9 253</w:t>
            </w:r>
          </w:p>
        </w:tc>
        <w:tc>
          <w:tcPr>
            <w:tcW w:w="740"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21 504</w:t>
            </w:r>
          </w:p>
        </w:tc>
        <w:tc>
          <w:tcPr>
            <w:tcW w:w="1094"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4 551</w:t>
            </w:r>
          </w:p>
        </w:tc>
        <w:tc>
          <w:tcPr>
            <w:tcW w:w="853"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2 945</w:t>
            </w:r>
          </w:p>
        </w:tc>
        <w:tc>
          <w:tcPr>
            <w:tcW w:w="728"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20" w:after="20"/>
              <w:rPr>
                <w:sz w:val="20"/>
                <w:szCs w:val="20"/>
              </w:rPr>
            </w:pPr>
            <w:r>
              <w:rPr>
                <w:sz w:val="20"/>
                <w:szCs w:val="20"/>
              </w:rPr>
              <w:t>7 496</w:t>
            </w:r>
          </w:p>
        </w:tc>
        <w:tc>
          <w:tcPr>
            <w:tcW w:w="107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20" w:after="20"/>
              <w:rPr>
                <w:sz w:val="20"/>
                <w:szCs w:val="20"/>
              </w:rPr>
            </w:pPr>
            <w:r>
              <w:rPr>
                <w:sz w:val="20"/>
                <w:szCs w:val="20"/>
              </w:rPr>
              <w:t>2 693</w:t>
            </w:r>
          </w:p>
        </w:tc>
        <w:tc>
          <w:tcPr>
            <w:tcW w:w="910" w:type="dxa"/>
            <w:tcBorders>
              <w:top w:val="single" w:sz="4" w:space="0" w:color="auto"/>
              <w:left w:val="nil"/>
              <w:bottom w:val="single" w:sz="4" w:space="0" w:color="auto"/>
              <w:right w:val="single" w:sz="4" w:space="0" w:color="auto"/>
            </w:tcBorders>
            <w:vAlign w:val="center"/>
          </w:tcPr>
          <w:p w:rsidR="00000000" w:rsidRDefault="00000000">
            <w:pPr>
              <w:tabs>
                <w:tab w:val="decimal" w:pos="624"/>
              </w:tabs>
              <w:spacing w:before="20" w:after="20"/>
              <w:rPr>
                <w:sz w:val="20"/>
                <w:szCs w:val="20"/>
              </w:rPr>
            </w:pPr>
            <w:r>
              <w:rPr>
                <w:sz w:val="20"/>
                <w:szCs w:val="20"/>
              </w:rPr>
              <w:t>1 622</w:t>
            </w:r>
          </w:p>
        </w:tc>
        <w:tc>
          <w:tcPr>
            <w:tcW w:w="677" w:type="dxa"/>
            <w:tcBorders>
              <w:top w:val="single" w:sz="4" w:space="0" w:color="auto"/>
              <w:left w:val="nil"/>
              <w:bottom w:val="single" w:sz="4" w:space="0" w:color="auto"/>
              <w:right w:val="single" w:sz="4" w:space="0" w:color="auto"/>
            </w:tcBorders>
            <w:vAlign w:val="center"/>
          </w:tcPr>
          <w:p w:rsidR="00000000" w:rsidRDefault="00000000">
            <w:pPr>
              <w:spacing w:before="20" w:after="20"/>
              <w:jc w:val="center"/>
              <w:rPr>
                <w:sz w:val="20"/>
                <w:szCs w:val="20"/>
              </w:rPr>
            </w:pPr>
            <w:r>
              <w:rPr>
                <w:sz w:val="20"/>
                <w:szCs w:val="20"/>
              </w:rPr>
              <w:t>4 314</w:t>
            </w:r>
          </w:p>
        </w:tc>
      </w:tr>
    </w:tbl>
    <w:p w:rsidR="00000000" w:rsidRDefault="00000000">
      <w:pPr>
        <w:pStyle w:val="112"/>
        <w:tabs>
          <w:tab w:val="clear" w:pos="680"/>
          <w:tab w:val="clear" w:pos="1134"/>
        </w:tabs>
        <w:spacing w:before="0"/>
        <w:rPr>
          <w:szCs w:val="22"/>
        </w:rPr>
      </w:pPr>
    </w:p>
    <w:p w:rsidR="00000000" w:rsidRDefault="00000000">
      <w:pPr>
        <w:pStyle w:val="112"/>
        <w:spacing w:before="0" w:after="120"/>
        <w:ind w:right="-284"/>
        <w:jc w:val="left"/>
        <w:rPr>
          <w:b/>
          <w:bCs/>
          <w:spacing w:val="-2"/>
          <w:lang w:eastAsia="en-GB"/>
        </w:rPr>
      </w:pPr>
      <w:r>
        <w:rPr>
          <w:b/>
          <w:bCs/>
          <w:spacing w:val="-2"/>
          <w:lang w:eastAsia="en-GB"/>
        </w:rPr>
        <w:t>Таблица 13.13.  Число школьников – представителей зарегистрированных племен в школах (в тыс.)</w:t>
      </w:r>
    </w:p>
    <w:tbl>
      <w:tblPr>
        <w:tblW w:w="9639" w:type="dxa"/>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248"/>
        <w:gridCol w:w="1110"/>
        <w:gridCol w:w="902"/>
        <w:gridCol w:w="776"/>
        <w:gridCol w:w="1148"/>
        <w:gridCol w:w="895"/>
        <w:gridCol w:w="764"/>
        <w:gridCol w:w="1131"/>
        <w:gridCol w:w="955"/>
        <w:gridCol w:w="710"/>
      </w:tblGrid>
      <w:tr w:rsidR="00000000">
        <w:trPr>
          <w:cantSplit/>
          <w:trHeight w:val="525"/>
          <w:jc w:val="center"/>
        </w:trPr>
        <w:tc>
          <w:tcPr>
            <w:tcW w:w="11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Год</w:t>
            </w:r>
          </w:p>
        </w:tc>
        <w:tc>
          <w:tcPr>
            <w:tcW w:w="2658" w:type="dxa"/>
            <w:gridSpan w:val="3"/>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 xml:space="preserve">Начальная школа </w:t>
            </w:r>
            <w:r>
              <w:rPr>
                <w:sz w:val="20"/>
                <w:szCs w:val="20"/>
              </w:rPr>
              <w:br/>
              <w:t>(</w:t>
            </w:r>
            <w:r>
              <w:rPr>
                <w:sz w:val="20"/>
                <w:szCs w:val="20"/>
                <w:lang w:val="en-US"/>
              </w:rPr>
              <w:t>I</w:t>
            </w:r>
            <w:r>
              <w:rPr>
                <w:sz w:val="20"/>
                <w:szCs w:val="20"/>
              </w:rPr>
              <w:t>–</w:t>
            </w:r>
            <w:r>
              <w:rPr>
                <w:sz w:val="20"/>
                <w:szCs w:val="20"/>
                <w:lang w:val="en-US"/>
              </w:rPr>
              <w:t>V</w:t>
            </w:r>
            <w:r>
              <w:rPr>
                <w:sz w:val="20"/>
                <w:szCs w:val="20"/>
              </w:rPr>
              <w:t>)</w:t>
            </w:r>
          </w:p>
        </w:tc>
        <w:tc>
          <w:tcPr>
            <w:tcW w:w="2675" w:type="dxa"/>
            <w:gridSpan w:val="3"/>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Старшие классы начальной  школы (</w:t>
            </w:r>
            <w:r>
              <w:rPr>
                <w:sz w:val="20"/>
                <w:szCs w:val="20"/>
                <w:lang w:val="en-US"/>
              </w:rPr>
              <w:t>VI</w:t>
            </w:r>
            <w:r>
              <w:rPr>
                <w:sz w:val="20"/>
                <w:szCs w:val="20"/>
              </w:rPr>
              <w:t>–</w:t>
            </w:r>
            <w:r>
              <w:rPr>
                <w:sz w:val="20"/>
                <w:szCs w:val="20"/>
                <w:lang w:val="en-US"/>
              </w:rPr>
              <w:t>VIII</w:t>
            </w:r>
            <w:r>
              <w:rPr>
                <w:sz w:val="20"/>
                <w:szCs w:val="20"/>
              </w:rPr>
              <w:t>)</w:t>
            </w:r>
          </w:p>
        </w:tc>
        <w:tc>
          <w:tcPr>
            <w:tcW w:w="2665" w:type="dxa"/>
            <w:gridSpan w:val="3"/>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Школы младшей и старшей ступеней среднего образования (</w:t>
            </w:r>
            <w:r>
              <w:rPr>
                <w:sz w:val="20"/>
                <w:szCs w:val="20"/>
                <w:lang w:val="en-US"/>
              </w:rPr>
              <w:t>IX</w:t>
            </w:r>
            <w:r>
              <w:rPr>
                <w:sz w:val="20"/>
                <w:szCs w:val="20"/>
              </w:rPr>
              <w:t>–</w:t>
            </w:r>
            <w:r>
              <w:rPr>
                <w:sz w:val="20"/>
                <w:szCs w:val="20"/>
                <w:lang w:val="en-US"/>
              </w:rPr>
              <w:t>XII</w:t>
            </w:r>
            <w:r>
              <w:rPr>
                <w:sz w:val="20"/>
                <w:szCs w:val="20"/>
              </w:rPr>
              <w:t>)</w:t>
            </w:r>
          </w:p>
        </w:tc>
      </w:tr>
      <w:tr w:rsidR="00000000">
        <w:trPr>
          <w:cantSplit/>
          <w:trHeight w:val="255"/>
          <w:jc w:val="center"/>
        </w:trPr>
        <w:tc>
          <w:tcPr>
            <w:tcW w:w="1191"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Мальчики</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Девочки</w:t>
            </w:r>
          </w:p>
        </w:tc>
        <w:tc>
          <w:tcPr>
            <w:tcW w:w="74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Итого</w:t>
            </w:r>
          </w:p>
        </w:tc>
        <w:tc>
          <w:tcPr>
            <w:tcW w:w="1094"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Мальчики</w:t>
            </w:r>
          </w:p>
        </w:tc>
        <w:tc>
          <w:tcPr>
            <w:tcW w:w="853"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Девочки</w:t>
            </w:r>
          </w:p>
        </w:tc>
        <w:tc>
          <w:tcPr>
            <w:tcW w:w="72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Итого</w:t>
            </w:r>
          </w:p>
        </w:tc>
        <w:tc>
          <w:tcPr>
            <w:tcW w:w="107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Мальчики</w:t>
            </w:r>
          </w:p>
        </w:tc>
        <w:tc>
          <w:tcPr>
            <w:tcW w:w="91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Девочки</w:t>
            </w:r>
          </w:p>
        </w:tc>
        <w:tc>
          <w:tcPr>
            <w:tcW w:w="677"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Итого</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1</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2</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3</w:t>
            </w:r>
          </w:p>
        </w:tc>
        <w:tc>
          <w:tcPr>
            <w:tcW w:w="74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p>
        </w:tc>
        <w:tc>
          <w:tcPr>
            <w:tcW w:w="1094"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p>
        </w:tc>
        <w:tc>
          <w:tcPr>
            <w:tcW w:w="853"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6</w:t>
            </w:r>
          </w:p>
        </w:tc>
        <w:tc>
          <w:tcPr>
            <w:tcW w:w="728" w:type="dxa"/>
            <w:tcBorders>
              <w:top w:val="nil"/>
              <w:left w:val="nil"/>
              <w:bottom w:val="single" w:sz="4" w:space="0" w:color="auto"/>
              <w:right w:val="single" w:sz="4" w:space="0" w:color="auto"/>
            </w:tcBorders>
            <w:vAlign w:val="center"/>
          </w:tcPr>
          <w:p w:rsidR="00000000" w:rsidRDefault="00000000">
            <w:pPr>
              <w:spacing w:before="40" w:after="40"/>
              <w:rPr>
                <w:sz w:val="20"/>
                <w:szCs w:val="20"/>
                <w:lang w:eastAsia="en-GB"/>
              </w:rPr>
            </w:pPr>
            <w:r>
              <w:rPr>
                <w:sz w:val="20"/>
                <w:szCs w:val="20"/>
                <w:lang w:eastAsia="en-GB"/>
              </w:rPr>
              <w:t>7</w:t>
            </w:r>
          </w:p>
        </w:tc>
        <w:tc>
          <w:tcPr>
            <w:tcW w:w="107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8</w:t>
            </w:r>
          </w:p>
        </w:tc>
        <w:tc>
          <w:tcPr>
            <w:tcW w:w="91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9</w:t>
            </w:r>
          </w:p>
        </w:tc>
        <w:tc>
          <w:tcPr>
            <w:tcW w:w="677"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10</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1980/81</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3</w:t>
            </w:r>
            <w:r>
              <w:rPr>
                <w:sz w:val="20"/>
                <w:szCs w:val="20"/>
                <w:lang w:val="en-US" w:eastAsia="en-GB"/>
              </w:rPr>
              <w:t> </w:t>
            </w:r>
            <w:r>
              <w:rPr>
                <w:sz w:val="20"/>
                <w:szCs w:val="20"/>
                <w:lang w:eastAsia="en-GB"/>
              </w:rPr>
              <w:t>133</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1</w:t>
            </w:r>
            <w:r>
              <w:rPr>
                <w:sz w:val="20"/>
                <w:szCs w:val="20"/>
                <w:lang w:val="en-US" w:eastAsia="en-GB"/>
              </w:rPr>
              <w:t> </w:t>
            </w:r>
            <w:r>
              <w:rPr>
                <w:sz w:val="20"/>
                <w:szCs w:val="20"/>
                <w:lang w:eastAsia="en-GB"/>
              </w:rPr>
              <w:t>527</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4</w:t>
            </w:r>
            <w:r>
              <w:rPr>
                <w:sz w:val="20"/>
                <w:szCs w:val="20"/>
                <w:lang w:val="en-US" w:eastAsia="en-GB"/>
              </w:rPr>
              <w:t> </w:t>
            </w:r>
            <w:r>
              <w:rPr>
                <w:sz w:val="20"/>
                <w:szCs w:val="20"/>
                <w:lang w:eastAsia="en-GB"/>
              </w:rPr>
              <w:t>660</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537</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205</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742</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246</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83</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329</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1985/86</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174</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2</w:t>
            </w:r>
            <w:r>
              <w:rPr>
                <w:sz w:val="20"/>
                <w:szCs w:val="20"/>
                <w:lang w:val="en-US" w:eastAsia="en-GB"/>
              </w:rPr>
              <w:t> </w:t>
            </w:r>
            <w:r>
              <w:rPr>
                <w:sz w:val="20"/>
                <w:szCs w:val="20"/>
                <w:lang w:eastAsia="en-GB"/>
              </w:rPr>
              <w:t>406</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6</w:t>
            </w:r>
            <w:r>
              <w:rPr>
                <w:sz w:val="20"/>
                <w:szCs w:val="20"/>
                <w:lang w:val="en-US" w:eastAsia="en-GB"/>
              </w:rPr>
              <w:t> </w:t>
            </w:r>
            <w:r>
              <w:rPr>
                <w:sz w:val="20"/>
                <w:szCs w:val="20"/>
                <w:lang w:eastAsia="en-GB"/>
              </w:rPr>
              <w:t>580</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893</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390</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283</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420</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165</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585</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1990/91</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958</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2</w:t>
            </w:r>
            <w:r>
              <w:rPr>
                <w:sz w:val="20"/>
                <w:szCs w:val="20"/>
                <w:lang w:val="en-US" w:eastAsia="en-GB"/>
              </w:rPr>
              <w:t> </w:t>
            </w:r>
            <w:r>
              <w:rPr>
                <w:sz w:val="20"/>
                <w:szCs w:val="20"/>
                <w:lang w:eastAsia="en-GB"/>
              </w:rPr>
              <w:t>911</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7</w:t>
            </w:r>
            <w:r>
              <w:rPr>
                <w:sz w:val="20"/>
                <w:szCs w:val="20"/>
                <w:lang w:val="en-US" w:eastAsia="en-GB"/>
              </w:rPr>
              <w:t> </w:t>
            </w:r>
            <w:r>
              <w:rPr>
                <w:sz w:val="20"/>
                <w:szCs w:val="20"/>
                <w:lang w:eastAsia="en-GB"/>
              </w:rPr>
              <w:t>869</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131</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576</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707</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567</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238</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805</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1995/96</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r>
              <w:rPr>
                <w:sz w:val="20"/>
                <w:szCs w:val="20"/>
                <w:lang w:val="en-US" w:eastAsia="en-GB"/>
              </w:rPr>
              <w:t> </w:t>
            </w:r>
            <w:r>
              <w:rPr>
                <w:sz w:val="20"/>
                <w:szCs w:val="20"/>
                <w:lang w:eastAsia="en-GB"/>
              </w:rPr>
              <w:t>589</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3</w:t>
            </w:r>
            <w:r>
              <w:rPr>
                <w:sz w:val="20"/>
                <w:szCs w:val="20"/>
                <w:lang w:val="en-US" w:eastAsia="en-GB"/>
              </w:rPr>
              <w:t> </w:t>
            </w:r>
            <w:r>
              <w:rPr>
                <w:sz w:val="20"/>
                <w:szCs w:val="20"/>
                <w:lang w:eastAsia="en-GB"/>
              </w:rPr>
              <w:t>826</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w:t>
            </w:r>
            <w:r>
              <w:rPr>
                <w:sz w:val="20"/>
                <w:szCs w:val="20"/>
                <w:lang w:val="en-US" w:eastAsia="en-GB"/>
              </w:rPr>
              <w:t> </w:t>
            </w:r>
            <w:r>
              <w:rPr>
                <w:sz w:val="20"/>
                <w:szCs w:val="20"/>
                <w:lang w:eastAsia="en-GB"/>
              </w:rPr>
              <w:t>415</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448</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837</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285</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 xml:space="preserve">763 </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359</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122</w:t>
            </w:r>
          </w:p>
        </w:tc>
      </w:tr>
      <w:tr w:rsidR="00000000">
        <w:trPr>
          <w:trHeight w:val="330"/>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1996/97</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r>
              <w:rPr>
                <w:sz w:val="20"/>
                <w:szCs w:val="20"/>
                <w:lang w:val="en-US" w:eastAsia="en-GB"/>
              </w:rPr>
              <w:t> </w:t>
            </w:r>
            <w:r>
              <w:rPr>
                <w:sz w:val="20"/>
                <w:szCs w:val="20"/>
                <w:lang w:eastAsia="en-GB"/>
              </w:rPr>
              <w:t>896</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057</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w:t>
            </w:r>
            <w:r>
              <w:rPr>
                <w:sz w:val="20"/>
                <w:szCs w:val="20"/>
                <w:lang w:val="en-US" w:eastAsia="en-GB"/>
              </w:rPr>
              <w:t> </w:t>
            </w:r>
            <w:r>
              <w:rPr>
                <w:sz w:val="20"/>
                <w:szCs w:val="20"/>
                <w:lang w:eastAsia="en-GB"/>
              </w:rPr>
              <w:t>953</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508</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894</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402</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 xml:space="preserve">790 </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385</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175</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1997/98</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r>
              <w:rPr>
                <w:sz w:val="20"/>
                <w:szCs w:val="20"/>
                <w:lang w:val="en-US" w:eastAsia="en-GB"/>
              </w:rPr>
              <w:t> </w:t>
            </w:r>
            <w:r>
              <w:rPr>
                <w:sz w:val="20"/>
                <w:szCs w:val="20"/>
                <w:lang w:eastAsia="en-GB"/>
              </w:rPr>
              <w:t>667</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000</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w:t>
            </w:r>
            <w:r>
              <w:rPr>
                <w:sz w:val="20"/>
                <w:szCs w:val="20"/>
                <w:lang w:val="en-US" w:eastAsia="en-GB"/>
              </w:rPr>
              <w:t> </w:t>
            </w:r>
            <w:r>
              <w:rPr>
                <w:sz w:val="20"/>
                <w:szCs w:val="20"/>
                <w:lang w:eastAsia="en-GB"/>
              </w:rPr>
              <w:t>667</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541</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943</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484</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778</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396</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174</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1998/99</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r>
              <w:rPr>
                <w:sz w:val="20"/>
                <w:szCs w:val="20"/>
                <w:lang w:val="en-US" w:eastAsia="en-GB"/>
              </w:rPr>
              <w:t> </w:t>
            </w:r>
            <w:r>
              <w:rPr>
                <w:sz w:val="20"/>
                <w:szCs w:val="20"/>
                <w:lang w:eastAsia="en-GB"/>
              </w:rPr>
              <w:t>312</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3</w:t>
            </w:r>
            <w:r>
              <w:rPr>
                <w:sz w:val="20"/>
                <w:szCs w:val="20"/>
                <w:lang w:val="en-US" w:eastAsia="en-GB"/>
              </w:rPr>
              <w:t> </w:t>
            </w:r>
            <w:r>
              <w:rPr>
                <w:sz w:val="20"/>
                <w:szCs w:val="20"/>
                <w:lang w:eastAsia="en-GB"/>
              </w:rPr>
              <w:t>989</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w:t>
            </w:r>
            <w:r>
              <w:rPr>
                <w:sz w:val="20"/>
                <w:szCs w:val="20"/>
                <w:lang w:val="en-US" w:eastAsia="en-GB"/>
              </w:rPr>
              <w:t> </w:t>
            </w:r>
            <w:r>
              <w:rPr>
                <w:sz w:val="20"/>
                <w:szCs w:val="20"/>
                <w:lang w:eastAsia="en-GB"/>
              </w:rPr>
              <w:t>301</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589</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967</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556</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856</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452</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308</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1999/2000*</w:t>
            </w:r>
          </w:p>
        </w:tc>
        <w:tc>
          <w:tcPr>
            <w:tcW w:w="1058"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6</w:t>
            </w:r>
            <w:r>
              <w:rPr>
                <w:sz w:val="20"/>
                <w:szCs w:val="20"/>
                <w:lang w:val="en-US" w:eastAsia="en-GB"/>
              </w:rPr>
              <w:t> </w:t>
            </w:r>
            <w:r>
              <w:rPr>
                <w:sz w:val="20"/>
                <w:szCs w:val="20"/>
                <w:lang w:eastAsia="en-GB"/>
              </w:rPr>
              <w:t>139</w:t>
            </w:r>
          </w:p>
        </w:tc>
        <w:tc>
          <w:tcPr>
            <w:tcW w:w="860" w:type="dxa"/>
            <w:tcBorders>
              <w:top w:val="nil"/>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511</w:t>
            </w:r>
          </w:p>
        </w:tc>
        <w:tc>
          <w:tcPr>
            <w:tcW w:w="74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10</w:t>
            </w:r>
            <w:r>
              <w:rPr>
                <w:sz w:val="20"/>
                <w:szCs w:val="20"/>
                <w:lang w:val="en-US" w:eastAsia="en-GB"/>
              </w:rPr>
              <w:t> </w:t>
            </w:r>
            <w:r>
              <w:rPr>
                <w:sz w:val="20"/>
                <w:szCs w:val="20"/>
                <w:lang w:eastAsia="en-GB"/>
              </w:rPr>
              <w:t>650</w:t>
            </w:r>
          </w:p>
        </w:tc>
        <w:tc>
          <w:tcPr>
            <w:tcW w:w="1094"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804</w:t>
            </w:r>
          </w:p>
        </w:tc>
        <w:tc>
          <w:tcPr>
            <w:tcW w:w="853"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101</w:t>
            </w:r>
          </w:p>
        </w:tc>
        <w:tc>
          <w:tcPr>
            <w:tcW w:w="728"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905</w:t>
            </w:r>
          </w:p>
        </w:tc>
        <w:tc>
          <w:tcPr>
            <w:tcW w:w="1078" w:type="dxa"/>
            <w:tcBorders>
              <w:top w:val="nil"/>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918</w:t>
            </w:r>
          </w:p>
        </w:tc>
        <w:tc>
          <w:tcPr>
            <w:tcW w:w="910" w:type="dxa"/>
            <w:tcBorders>
              <w:top w:val="nil"/>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504</w:t>
            </w:r>
          </w:p>
        </w:tc>
        <w:tc>
          <w:tcPr>
            <w:tcW w:w="677" w:type="dxa"/>
            <w:tcBorders>
              <w:top w:val="nil"/>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422</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2000/01*</w:t>
            </w:r>
          </w:p>
        </w:tc>
        <w:tc>
          <w:tcPr>
            <w:tcW w:w="1058" w:type="dxa"/>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6</w:t>
            </w:r>
            <w:r>
              <w:rPr>
                <w:sz w:val="20"/>
                <w:szCs w:val="20"/>
                <w:lang w:val="en-US" w:eastAsia="en-GB"/>
              </w:rPr>
              <w:t> </w:t>
            </w:r>
            <w:r>
              <w:rPr>
                <w:sz w:val="20"/>
                <w:szCs w:val="20"/>
                <w:lang w:eastAsia="en-GB"/>
              </w:rPr>
              <w:t>330</w:t>
            </w:r>
          </w:p>
        </w:tc>
        <w:tc>
          <w:tcPr>
            <w:tcW w:w="860" w:type="dxa"/>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4</w:t>
            </w:r>
            <w:r>
              <w:rPr>
                <w:sz w:val="20"/>
                <w:szCs w:val="20"/>
                <w:lang w:val="en-US" w:eastAsia="en-GB"/>
              </w:rPr>
              <w:t> </w:t>
            </w:r>
            <w:r>
              <w:rPr>
                <w:sz w:val="20"/>
                <w:szCs w:val="20"/>
                <w:lang w:eastAsia="en-GB"/>
              </w:rPr>
              <w:t>665</w:t>
            </w:r>
          </w:p>
        </w:tc>
        <w:tc>
          <w:tcPr>
            <w:tcW w:w="740"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10</w:t>
            </w:r>
            <w:r>
              <w:rPr>
                <w:sz w:val="20"/>
                <w:szCs w:val="20"/>
                <w:lang w:val="en-US" w:eastAsia="en-GB"/>
              </w:rPr>
              <w:t> </w:t>
            </w:r>
            <w:r>
              <w:rPr>
                <w:sz w:val="20"/>
                <w:szCs w:val="20"/>
                <w:lang w:eastAsia="en-GB"/>
              </w:rPr>
              <w:t>995</w:t>
            </w:r>
          </w:p>
        </w:tc>
        <w:tc>
          <w:tcPr>
            <w:tcW w:w="1094"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879</w:t>
            </w:r>
          </w:p>
        </w:tc>
        <w:tc>
          <w:tcPr>
            <w:tcW w:w="853"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205</w:t>
            </w:r>
          </w:p>
        </w:tc>
        <w:tc>
          <w:tcPr>
            <w:tcW w:w="728"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w:t>
            </w:r>
            <w:r>
              <w:rPr>
                <w:sz w:val="20"/>
                <w:szCs w:val="20"/>
                <w:lang w:val="en-US" w:eastAsia="en-GB"/>
              </w:rPr>
              <w:t> </w:t>
            </w:r>
            <w:r>
              <w:rPr>
                <w:sz w:val="20"/>
                <w:szCs w:val="20"/>
                <w:lang w:eastAsia="en-GB"/>
              </w:rPr>
              <w:t>084</w:t>
            </w:r>
          </w:p>
        </w:tc>
        <w:tc>
          <w:tcPr>
            <w:tcW w:w="107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955</w:t>
            </w:r>
          </w:p>
        </w:tc>
        <w:tc>
          <w:tcPr>
            <w:tcW w:w="910"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535</w:t>
            </w:r>
          </w:p>
        </w:tc>
        <w:tc>
          <w:tcPr>
            <w:tcW w:w="677" w:type="dxa"/>
            <w:tcBorders>
              <w:top w:val="single" w:sz="4" w:space="0" w:color="auto"/>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490</w:t>
            </w:r>
          </w:p>
        </w:tc>
      </w:tr>
      <w:tr w:rsidR="00000000">
        <w:trPr>
          <w:trHeight w:val="255"/>
          <w:jc w:val="center"/>
        </w:trPr>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both"/>
              <w:rPr>
                <w:sz w:val="20"/>
                <w:szCs w:val="20"/>
                <w:lang w:eastAsia="en-GB"/>
              </w:rPr>
            </w:pPr>
            <w:r>
              <w:rPr>
                <w:sz w:val="20"/>
                <w:szCs w:val="20"/>
                <w:lang w:eastAsia="en-GB"/>
              </w:rPr>
              <w:t>2001/02*</w:t>
            </w:r>
          </w:p>
        </w:tc>
        <w:tc>
          <w:tcPr>
            <w:tcW w:w="1058" w:type="dxa"/>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6</w:t>
            </w:r>
            <w:r>
              <w:rPr>
                <w:sz w:val="20"/>
                <w:szCs w:val="20"/>
                <w:lang w:val="en-US" w:eastAsia="en-GB"/>
              </w:rPr>
              <w:t> </w:t>
            </w:r>
            <w:r>
              <w:rPr>
                <w:sz w:val="20"/>
                <w:szCs w:val="20"/>
                <w:lang w:eastAsia="en-GB"/>
              </w:rPr>
              <w:t>691</w:t>
            </w:r>
          </w:p>
        </w:tc>
        <w:tc>
          <w:tcPr>
            <w:tcW w:w="860" w:type="dxa"/>
            <w:tcBorders>
              <w:top w:val="single" w:sz="4" w:space="0" w:color="auto"/>
              <w:left w:val="nil"/>
              <w:bottom w:val="single" w:sz="4" w:space="0" w:color="auto"/>
              <w:right w:val="single" w:sz="4" w:space="0" w:color="auto"/>
            </w:tcBorders>
            <w:vAlign w:val="center"/>
          </w:tcPr>
          <w:p w:rsidR="00000000" w:rsidRDefault="00000000">
            <w:pPr>
              <w:spacing w:before="40" w:after="40"/>
              <w:jc w:val="center"/>
              <w:rPr>
                <w:sz w:val="20"/>
                <w:szCs w:val="20"/>
                <w:lang w:eastAsia="en-GB"/>
              </w:rPr>
            </w:pPr>
            <w:r>
              <w:rPr>
                <w:sz w:val="20"/>
                <w:szCs w:val="20"/>
                <w:lang w:eastAsia="en-GB"/>
              </w:rPr>
              <w:t>5</w:t>
            </w:r>
            <w:r>
              <w:rPr>
                <w:sz w:val="20"/>
                <w:szCs w:val="20"/>
                <w:lang w:val="en-US" w:eastAsia="en-GB"/>
              </w:rPr>
              <w:t> </w:t>
            </w:r>
            <w:r>
              <w:rPr>
                <w:sz w:val="20"/>
                <w:szCs w:val="20"/>
                <w:lang w:eastAsia="en-GB"/>
              </w:rPr>
              <w:t>040</w:t>
            </w:r>
          </w:p>
        </w:tc>
        <w:tc>
          <w:tcPr>
            <w:tcW w:w="740"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11</w:t>
            </w:r>
            <w:r>
              <w:rPr>
                <w:sz w:val="20"/>
                <w:szCs w:val="20"/>
                <w:lang w:val="en-US" w:eastAsia="en-GB"/>
              </w:rPr>
              <w:t> </w:t>
            </w:r>
            <w:r>
              <w:rPr>
                <w:sz w:val="20"/>
                <w:szCs w:val="20"/>
                <w:lang w:eastAsia="en-GB"/>
              </w:rPr>
              <w:t>731</w:t>
            </w:r>
          </w:p>
        </w:tc>
        <w:tc>
          <w:tcPr>
            <w:tcW w:w="1094"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2</w:t>
            </w:r>
            <w:r>
              <w:rPr>
                <w:sz w:val="20"/>
                <w:szCs w:val="20"/>
                <w:lang w:val="en-US" w:eastAsia="en-GB"/>
              </w:rPr>
              <w:t> </w:t>
            </w:r>
            <w:r>
              <w:rPr>
                <w:sz w:val="20"/>
                <w:szCs w:val="20"/>
                <w:lang w:eastAsia="en-GB"/>
              </w:rPr>
              <w:t>054</w:t>
            </w:r>
          </w:p>
        </w:tc>
        <w:tc>
          <w:tcPr>
            <w:tcW w:w="853"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306</w:t>
            </w:r>
          </w:p>
        </w:tc>
        <w:tc>
          <w:tcPr>
            <w:tcW w:w="728"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3</w:t>
            </w:r>
            <w:r>
              <w:rPr>
                <w:sz w:val="20"/>
                <w:szCs w:val="20"/>
                <w:lang w:val="en-US" w:eastAsia="en-GB"/>
              </w:rPr>
              <w:t> </w:t>
            </w:r>
            <w:r>
              <w:rPr>
                <w:sz w:val="20"/>
                <w:szCs w:val="20"/>
                <w:lang w:eastAsia="en-GB"/>
              </w:rPr>
              <w:t>360</w:t>
            </w:r>
          </w:p>
        </w:tc>
        <w:tc>
          <w:tcPr>
            <w:tcW w:w="1078" w:type="dxa"/>
            <w:tcBorders>
              <w:top w:val="single" w:sz="4" w:space="0" w:color="auto"/>
              <w:left w:val="nil"/>
              <w:bottom w:val="single" w:sz="4" w:space="0" w:color="auto"/>
              <w:right w:val="single" w:sz="4" w:space="0" w:color="auto"/>
            </w:tcBorders>
            <w:vAlign w:val="center"/>
          </w:tcPr>
          <w:p w:rsidR="00000000" w:rsidRDefault="00000000">
            <w:pPr>
              <w:tabs>
                <w:tab w:val="decimal" w:pos="737"/>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079</w:t>
            </w:r>
          </w:p>
        </w:tc>
        <w:tc>
          <w:tcPr>
            <w:tcW w:w="910" w:type="dxa"/>
            <w:tcBorders>
              <w:top w:val="single" w:sz="4" w:space="0" w:color="auto"/>
              <w:left w:val="nil"/>
              <w:bottom w:val="single" w:sz="4" w:space="0" w:color="auto"/>
              <w:right w:val="single" w:sz="4" w:space="0" w:color="auto"/>
            </w:tcBorders>
            <w:vAlign w:val="center"/>
          </w:tcPr>
          <w:p w:rsidR="00000000" w:rsidRDefault="00000000">
            <w:pPr>
              <w:tabs>
                <w:tab w:val="decimal" w:pos="567"/>
              </w:tabs>
              <w:spacing w:before="40" w:after="40"/>
              <w:rPr>
                <w:sz w:val="20"/>
                <w:szCs w:val="20"/>
                <w:lang w:eastAsia="en-GB"/>
              </w:rPr>
            </w:pPr>
            <w:r>
              <w:rPr>
                <w:sz w:val="20"/>
                <w:szCs w:val="20"/>
                <w:lang w:eastAsia="en-GB"/>
              </w:rPr>
              <w:t>622</w:t>
            </w:r>
          </w:p>
        </w:tc>
        <w:tc>
          <w:tcPr>
            <w:tcW w:w="677" w:type="dxa"/>
            <w:tcBorders>
              <w:top w:val="single" w:sz="4" w:space="0" w:color="auto"/>
              <w:left w:val="nil"/>
              <w:bottom w:val="single" w:sz="4" w:space="0" w:color="auto"/>
              <w:right w:val="single" w:sz="4" w:space="0" w:color="auto"/>
            </w:tcBorders>
            <w:vAlign w:val="center"/>
          </w:tcPr>
          <w:p w:rsidR="00000000" w:rsidRDefault="00000000">
            <w:pPr>
              <w:tabs>
                <w:tab w:val="decimal" w:pos="510"/>
              </w:tabs>
              <w:spacing w:before="40" w:after="40"/>
              <w:rPr>
                <w:sz w:val="20"/>
                <w:szCs w:val="20"/>
                <w:lang w:eastAsia="en-GB"/>
              </w:rPr>
            </w:pPr>
            <w:r>
              <w:rPr>
                <w:sz w:val="20"/>
                <w:szCs w:val="20"/>
                <w:lang w:eastAsia="en-GB"/>
              </w:rPr>
              <w:t>1</w:t>
            </w:r>
            <w:r>
              <w:rPr>
                <w:sz w:val="20"/>
                <w:szCs w:val="20"/>
                <w:lang w:val="en-US" w:eastAsia="en-GB"/>
              </w:rPr>
              <w:t> </w:t>
            </w:r>
            <w:r>
              <w:rPr>
                <w:sz w:val="20"/>
                <w:szCs w:val="20"/>
                <w:lang w:eastAsia="en-GB"/>
              </w:rPr>
              <w:t>701</w:t>
            </w:r>
          </w:p>
        </w:tc>
      </w:tr>
    </w:tbl>
    <w:p w:rsidR="00000000" w:rsidRDefault="00000000">
      <w:pPr>
        <w:pStyle w:val="a3"/>
        <w:spacing w:before="120"/>
      </w:pPr>
      <w:r>
        <w:rPr>
          <w:lang w:eastAsia="en-GB"/>
        </w:rPr>
        <w:t>*</w:t>
      </w:r>
      <w:r>
        <w:t xml:space="preserve"> Предварительные данные</w:t>
      </w:r>
    </w:p>
    <w:p w:rsidR="00000000" w:rsidRDefault="00000000">
      <w:pPr>
        <w:pStyle w:val="112"/>
        <w:rPr>
          <w:lang w:eastAsia="en-GB"/>
        </w:rPr>
      </w:pPr>
      <w:r>
        <w:rPr>
          <w:lang w:eastAsia="en-GB"/>
        </w:rPr>
        <w:t>633.</w:t>
      </w:r>
      <w:r>
        <w:rPr>
          <w:lang w:eastAsia="en-GB"/>
        </w:rPr>
        <w:tab/>
        <w:t>Количество начальных школ</w:t>
      </w:r>
    </w:p>
    <w:p w:rsidR="00000000" w:rsidRDefault="00000000">
      <w:pPr>
        <w:pStyle w:val="112"/>
      </w:pPr>
      <w:r>
        <w:tab/>
        <w:t xml:space="preserve">За период с 1950/51 по 2001/02 год количество начальных школ возросло в три раза.   </w:t>
      </w:r>
    </w:p>
    <w:p w:rsidR="00000000" w:rsidRDefault="00000000">
      <w:pPr>
        <w:pStyle w:val="112"/>
        <w:spacing w:after="40"/>
        <w:rPr>
          <w:b/>
          <w:bCs/>
        </w:rPr>
      </w:pPr>
      <w:r>
        <w:rPr>
          <w:b/>
          <w:bCs/>
        </w:rPr>
        <w:t>Таблица 13.14</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54"/>
        <w:gridCol w:w="2659"/>
        <w:gridCol w:w="4526"/>
      </w:tblGrid>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Год</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Начальная школа</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Старшие классы начальной школы</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1950/51</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209</w:t>
            </w:r>
            <w:r>
              <w:rPr>
                <w:sz w:val="20"/>
                <w:szCs w:val="20"/>
                <w:lang w:val="en-US"/>
              </w:rPr>
              <w:t> </w:t>
            </w:r>
            <w:r>
              <w:rPr>
                <w:sz w:val="20"/>
                <w:szCs w:val="20"/>
              </w:rPr>
              <w:t>671</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13</w:t>
            </w:r>
            <w:r>
              <w:rPr>
                <w:sz w:val="20"/>
                <w:szCs w:val="20"/>
                <w:lang w:val="en-US"/>
              </w:rPr>
              <w:t> </w:t>
            </w:r>
            <w:r>
              <w:rPr>
                <w:sz w:val="20"/>
                <w:szCs w:val="20"/>
              </w:rPr>
              <w:t>596</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1995/96</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593</w:t>
            </w:r>
            <w:r>
              <w:rPr>
                <w:sz w:val="20"/>
                <w:szCs w:val="20"/>
                <w:lang w:val="en-US"/>
              </w:rPr>
              <w:t> </w:t>
            </w:r>
            <w:r>
              <w:rPr>
                <w:sz w:val="20"/>
                <w:szCs w:val="20"/>
              </w:rPr>
              <w:t>410</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174</w:t>
            </w:r>
            <w:r>
              <w:rPr>
                <w:sz w:val="20"/>
                <w:szCs w:val="20"/>
                <w:lang w:val="en-US"/>
              </w:rPr>
              <w:t> </w:t>
            </w:r>
            <w:r>
              <w:rPr>
                <w:sz w:val="20"/>
                <w:szCs w:val="20"/>
              </w:rPr>
              <w:t>145</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1996/97</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603</w:t>
            </w:r>
            <w:r>
              <w:rPr>
                <w:sz w:val="20"/>
                <w:szCs w:val="20"/>
                <w:lang w:val="en-US"/>
              </w:rPr>
              <w:t> </w:t>
            </w:r>
            <w:r>
              <w:rPr>
                <w:sz w:val="20"/>
                <w:szCs w:val="20"/>
              </w:rPr>
              <w:t>646</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180</w:t>
            </w:r>
            <w:r>
              <w:rPr>
                <w:sz w:val="20"/>
                <w:szCs w:val="20"/>
                <w:lang w:val="en-US"/>
              </w:rPr>
              <w:t> </w:t>
            </w:r>
            <w:r>
              <w:rPr>
                <w:sz w:val="20"/>
                <w:szCs w:val="20"/>
              </w:rPr>
              <w:t>293</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1997/98</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619</w:t>
            </w:r>
            <w:r>
              <w:rPr>
                <w:sz w:val="20"/>
                <w:szCs w:val="20"/>
                <w:lang w:val="en-US"/>
              </w:rPr>
              <w:t> </w:t>
            </w:r>
            <w:r>
              <w:rPr>
                <w:sz w:val="20"/>
                <w:szCs w:val="20"/>
              </w:rPr>
              <w:t>222</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185</w:t>
            </w:r>
            <w:r>
              <w:rPr>
                <w:sz w:val="20"/>
                <w:szCs w:val="20"/>
                <w:lang w:val="en-US"/>
              </w:rPr>
              <w:t> </w:t>
            </w:r>
            <w:r>
              <w:rPr>
                <w:sz w:val="20"/>
                <w:szCs w:val="20"/>
              </w:rPr>
              <w:t>961</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1998/99</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626</w:t>
            </w:r>
            <w:r>
              <w:rPr>
                <w:sz w:val="20"/>
                <w:szCs w:val="20"/>
                <w:lang w:val="en-US"/>
              </w:rPr>
              <w:t> </w:t>
            </w:r>
            <w:r>
              <w:rPr>
                <w:sz w:val="20"/>
                <w:szCs w:val="20"/>
              </w:rPr>
              <w:t>737</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190</w:t>
            </w:r>
            <w:r>
              <w:rPr>
                <w:sz w:val="20"/>
                <w:szCs w:val="20"/>
                <w:lang w:val="en-US"/>
              </w:rPr>
              <w:t> </w:t>
            </w:r>
            <w:r>
              <w:rPr>
                <w:sz w:val="20"/>
                <w:szCs w:val="20"/>
              </w:rPr>
              <w:t>166</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340"/>
              <w:rPr>
                <w:sz w:val="20"/>
                <w:szCs w:val="20"/>
              </w:rPr>
            </w:pPr>
            <w:r>
              <w:rPr>
                <w:sz w:val="20"/>
                <w:szCs w:val="20"/>
              </w:rPr>
              <w:t>1999/2000</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641</w:t>
            </w:r>
            <w:r>
              <w:rPr>
                <w:sz w:val="20"/>
                <w:szCs w:val="20"/>
                <w:lang w:val="en-US"/>
              </w:rPr>
              <w:t> </w:t>
            </w:r>
            <w:r>
              <w:rPr>
                <w:sz w:val="20"/>
                <w:szCs w:val="20"/>
              </w:rPr>
              <w:t>695</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198</w:t>
            </w:r>
            <w:r>
              <w:rPr>
                <w:sz w:val="20"/>
                <w:szCs w:val="20"/>
                <w:lang w:val="en-US"/>
              </w:rPr>
              <w:t> </w:t>
            </w:r>
            <w:r>
              <w:rPr>
                <w:sz w:val="20"/>
                <w:szCs w:val="20"/>
              </w:rPr>
              <w:t>004</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2000/01</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638</w:t>
            </w:r>
            <w:r>
              <w:rPr>
                <w:sz w:val="20"/>
                <w:szCs w:val="20"/>
                <w:lang w:val="en-US"/>
              </w:rPr>
              <w:t> </w:t>
            </w:r>
            <w:r>
              <w:rPr>
                <w:sz w:val="20"/>
                <w:szCs w:val="20"/>
              </w:rPr>
              <w:t>738</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206</w:t>
            </w:r>
            <w:r>
              <w:rPr>
                <w:sz w:val="20"/>
                <w:szCs w:val="20"/>
                <w:lang w:val="en-US"/>
              </w:rPr>
              <w:t> </w:t>
            </w:r>
            <w:r>
              <w:rPr>
                <w:sz w:val="20"/>
                <w:szCs w:val="20"/>
              </w:rPr>
              <w:t>269</w:t>
            </w:r>
          </w:p>
        </w:tc>
      </w:tr>
      <w:tr w:rsidR="00000000">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right" w:pos="567"/>
              </w:tabs>
              <w:spacing w:before="40" w:after="40"/>
              <w:ind w:right="510"/>
              <w:rPr>
                <w:sz w:val="20"/>
                <w:szCs w:val="20"/>
              </w:rPr>
            </w:pPr>
            <w:r>
              <w:rPr>
                <w:sz w:val="20"/>
                <w:szCs w:val="20"/>
              </w:rPr>
              <w:t>2001/02</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0"/>
                <w:szCs w:val="20"/>
              </w:rPr>
            </w:pPr>
            <w:r>
              <w:rPr>
                <w:sz w:val="20"/>
                <w:szCs w:val="20"/>
              </w:rPr>
              <w:t>664</w:t>
            </w:r>
            <w:r>
              <w:rPr>
                <w:sz w:val="20"/>
                <w:szCs w:val="20"/>
                <w:lang w:val="en-US"/>
              </w:rPr>
              <w:t> </w:t>
            </w:r>
            <w:r>
              <w:rPr>
                <w:sz w:val="20"/>
                <w:szCs w:val="20"/>
              </w:rPr>
              <w:t>041</w:t>
            </w:r>
          </w:p>
        </w:tc>
        <w:tc>
          <w:tcPr>
            <w:tcW w:w="398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438"/>
              </w:tabs>
              <w:spacing w:before="40" w:after="40"/>
              <w:ind w:right="1304"/>
              <w:rPr>
                <w:sz w:val="20"/>
                <w:szCs w:val="20"/>
              </w:rPr>
            </w:pPr>
            <w:r>
              <w:rPr>
                <w:sz w:val="20"/>
                <w:szCs w:val="20"/>
              </w:rPr>
              <w:t>219</w:t>
            </w:r>
            <w:r>
              <w:rPr>
                <w:sz w:val="20"/>
                <w:szCs w:val="20"/>
                <w:lang w:val="en-US"/>
              </w:rPr>
              <w:t> </w:t>
            </w:r>
            <w:r>
              <w:rPr>
                <w:sz w:val="20"/>
                <w:szCs w:val="20"/>
              </w:rPr>
              <w:t>626</w:t>
            </w:r>
          </w:p>
        </w:tc>
      </w:tr>
    </w:tbl>
    <w:p w:rsidR="00000000" w:rsidRDefault="00000000">
      <w:pPr>
        <w:pStyle w:val="112"/>
        <w:rPr>
          <w:szCs w:val="22"/>
        </w:rPr>
      </w:pPr>
    </w:p>
    <w:p w:rsidR="00000000" w:rsidRDefault="00000000">
      <w:pPr>
        <w:pStyle w:val="112"/>
        <w:spacing w:after="40"/>
        <w:rPr>
          <w:rFonts w:eastAsia="Arial Unicode MS"/>
          <w:b/>
          <w:bCs/>
        </w:rPr>
      </w:pPr>
      <w:r>
        <w:rPr>
          <w:b/>
          <w:bCs/>
        </w:rPr>
        <w:t>Таблица 13.15.  Доля начальных школ с разными формами управления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52"/>
        <w:gridCol w:w="2104"/>
        <w:gridCol w:w="1951"/>
        <w:gridCol w:w="1996"/>
        <w:gridCol w:w="2536"/>
      </w:tblGrid>
      <w:tr w:rsidR="00000000">
        <w:tc>
          <w:tcPr>
            <w:tcW w:w="10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0"/>
                <w:szCs w:val="20"/>
              </w:rPr>
            </w:pPr>
            <w:r>
              <w:rPr>
                <w:sz w:val="20"/>
                <w:szCs w:val="20"/>
              </w:rPr>
              <w:t>Год</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0"/>
                <w:szCs w:val="20"/>
              </w:rPr>
            </w:pPr>
            <w:r>
              <w:rPr>
                <w:sz w:val="20"/>
                <w:szCs w:val="20"/>
              </w:rPr>
              <w:t>Школы, финансируемые правительством</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0"/>
                <w:szCs w:val="20"/>
              </w:rPr>
            </w:pPr>
            <w:r>
              <w:rPr>
                <w:sz w:val="20"/>
                <w:szCs w:val="20"/>
              </w:rPr>
              <w:t xml:space="preserve">Школы, финансируемые местными </w:t>
            </w:r>
            <w:r>
              <w:rPr>
                <w:sz w:val="20"/>
                <w:szCs w:val="20"/>
              </w:rPr>
              <w:br/>
              <w:t>органами</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0"/>
                <w:szCs w:val="20"/>
              </w:rPr>
            </w:pPr>
            <w:r>
              <w:rPr>
                <w:sz w:val="20"/>
                <w:szCs w:val="20"/>
              </w:rPr>
              <w:t>Частные школы, получающие государственную помощь</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sz w:val="20"/>
                <w:szCs w:val="20"/>
              </w:rPr>
            </w:pPr>
            <w:r>
              <w:rPr>
                <w:sz w:val="20"/>
                <w:szCs w:val="20"/>
              </w:rPr>
              <w:t xml:space="preserve">Частные школы, </w:t>
            </w:r>
            <w:r>
              <w:rPr>
                <w:sz w:val="20"/>
                <w:szCs w:val="20"/>
              </w:rPr>
              <w:br/>
              <w:t xml:space="preserve">не получающие государственную </w:t>
            </w:r>
            <w:r>
              <w:rPr>
                <w:sz w:val="20"/>
                <w:szCs w:val="20"/>
              </w:rPr>
              <w:br/>
              <w:t>помощь</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1973/74</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50,88</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42,47</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5,01</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1,64</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1978/79</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38,96</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55,03</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4,42</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1,59</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1986/87</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41,37</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51,71</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4,34</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2,57</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1993/94</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44,63</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47,47</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3,78</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4,12</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1996/97</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47,78</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43,88</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3,34</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5,00</w:t>
            </w:r>
          </w:p>
        </w:tc>
      </w:tr>
      <w:tr w:rsidR="00000000">
        <w:tc>
          <w:tcPr>
            <w:tcW w:w="102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rPr>
                <w:sz w:val="20"/>
              </w:rPr>
            </w:pPr>
            <w:r>
              <w:rPr>
                <w:sz w:val="20"/>
              </w:rPr>
              <w:t>2001/02</w:t>
            </w:r>
          </w:p>
        </w:tc>
        <w:tc>
          <w:tcPr>
            <w:tcW w:w="204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47,45</w:t>
            </w:r>
          </w:p>
        </w:tc>
        <w:tc>
          <w:tcPr>
            <w:tcW w:w="1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43,47</w:t>
            </w:r>
          </w:p>
        </w:tc>
        <w:tc>
          <w:tcPr>
            <w:tcW w:w="19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3,07</w:t>
            </w:r>
          </w:p>
        </w:tc>
        <w:tc>
          <w:tcPr>
            <w:tcW w:w="246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6,01</w:t>
            </w:r>
          </w:p>
        </w:tc>
      </w:tr>
    </w:tbl>
    <w:p w:rsidR="00000000" w:rsidRDefault="00000000">
      <w:pPr>
        <w:jc w:val="both"/>
        <w:rPr>
          <w:sz w:val="22"/>
          <w:szCs w:val="22"/>
        </w:rPr>
      </w:pPr>
    </w:p>
    <w:p w:rsidR="00000000" w:rsidRDefault="00000000">
      <w:pPr>
        <w:pStyle w:val="112"/>
        <w:spacing w:after="40"/>
        <w:rPr>
          <w:rFonts w:eastAsia="Arial Unicode MS"/>
          <w:b/>
          <w:bCs/>
        </w:rPr>
      </w:pPr>
      <w:r>
        <w:rPr>
          <w:b/>
          <w:bCs/>
        </w:rPr>
        <w:t>Таблица 13.16.  Увеличение числа учащихся в разбивке по признаку пола (в млн.)</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24"/>
        <w:gridCol w:w="2472"/>
        <w:gridCol w:w="2224"/>
        <w:gridCol w:w="2719"/>
      </w:tblGrid>
      <w:tr w:rsidR="00000000">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Год</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Мальчики</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Девочки</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Итого</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1950/51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13,8</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5,4</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19,2</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1995/96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60,9</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46,2</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107,1</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1996/97</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61,4</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46,8</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108,2</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1997/98</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62,3</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48,0</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110,3</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1998/99</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62,7</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48,2</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110,9</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1999/2000</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64,1</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49,5</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113,6</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0"/>
                <w:szCs w:val="20"/>
              </w:rPr>
            </w:pPr>
            <w:r>
              <w:rPr>
                <w:sz w:val="20"/>
                <w:szCs w:val="20"/>
              </w:rPr>
              <w:t>2000/2001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rStyle w:val="111"/>
                <w:sz w:val="20"/>
                <w:szCs w:val="20"/>
              </w:rPr>
            </w:pPr>
            <w:r>
              <w:rPr>
                <w:rStyle w:val="111"/>
                <w:sz w:val="20"/>
                <w:szCs w:val="20"/>
              </w:rPr>
              <w:t>64,0</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021"/>
              </w:tabs>
              <w:spacing w:before="40" w:after="40"/>
              <w:rPr>
                <w:rStyle w:val="111"/>
                <w:sz w:val="20"/>
                <w:szCs w:val="20"/>
              </w:rPr>
            </w:pPr>
            <w:r>
              <w:rPr>
                <w:rStyle w:val="111"/>
                <w:sz w:val="20"/>
                <w:szCs w:val="20"/>
              </w:rPr>
              <w:t>49,8</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1361"/>
              </w:tabs>
              <w:spacing w:before="40" w:after="40"/>
              <w:ind w:right="680"/>
              <w:rPr>
                <w:sz w:val="20"/>
                <w:szCs w:val="20"/>
              </w:rPr>
            </w:pPr>
            <w:r>
              <w:rPr>
                <w:sz w:val="20"/>
                <w:szCs w:val="20"/>
              </w:rPr>
              <w:t>113,8</w:t>
            </w:r>
          </w:p>
        </w:tc>
      </w:tr>
      <w:tr w:rsidR="00000000">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2001/2002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63,6</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1"/>
              </w:tabs>
              <w:spacing w:before="40" w:after="40"/>
              <w:rPr>
                <w:rStyle w:val="111"/>
                <w:sz w:val="20"/>
                <w:szCs w:val="20"/>
              </w:rPr>
            </w:pPr>
            <w:r>
              <w:rPr>
                <w:rStyle w:val="111"/>
                <w:sz w:val="20"/>
                <w:szCs w:val="20"/>
              </w:rPr>
              <w:t>50,3</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61"/>
              </w:tabs>
              <w:spacing w:before="40" w:after="40"/>
              <w:ind w:right="680"/>
              <w:rPr>
                <w:sz w:val="20"/>
                <w:szCs w:val="20"/>
              </w:rPr>
            </w:pPr>
            <w:r>
              <w:rPr>
                <w:sz w:val="20"/>
                <w:szCs w:val="20"/>
              </w:rPr>
              <w:t>113,9</w:t>
            </w:r>
          </w:p>
        </w:tc>
      </w:tr>
    </w:tbl>
    <w:p w:rsidR="00000000" w:rsidRDefault="00000000">
      <w:pPr>
        <w:jc w:val="both"/>
        <w:rPr>
          <w:sz w:val="22"/>
          <w:szCs w:val="22"/>
        </w:rPr>
      </w:pPr>
    </w:p>
    <w:p w:rsidR="00000000" w:rsidRDefault="00000000">
      <w:pPr>
        <w:pStyle w:val="112"/>
        <w:pageBreakBefore/>
        <w:spacing w:before="0" w:after="40"/>
        <w:rPr>
          <w:rFonts w:eastAsia="Arial Unicode MS"/>
          <w:b/>
          <w:bCs/>
        </w:rPr>
      </w:pPr>
      <w:r>
        <w:rPr>
          <w:b/>
          <w:bCs/>
        </w:rPr>
        <w:t>Таблица 13.17.  Число учителей в разбивке по видам школ</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31"/>
        <w:gridCol w:w="2885"/>
        <w:gridCol w:w="2644"/>
        <w:gridCol w:w="2079"/>
      </w:tblGrid>
      <w:tr w:rsidR="00000000">
        <w:tc>
          <w:tcPr>
            <w:tcW w:w="203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Год</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Мужские школы</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Женские школы</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Итого</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1950/51</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456</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82</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538</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1995/96</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1 176</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558</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1 734</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1996/97</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1 190</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566</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1 756</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1997/98</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1 226</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597</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1 823</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1998/99</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1 246</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658</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1 904</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1999/2000</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1 236</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683</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1 919</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2000/01</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1 221</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675</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1 896</w:t>
            </w:r>
          </w:p>
        </w:tc>
      </w:tr>
      <w:tr w:rsidR="00000000">
        <w:tc>
          <w:tcPr>
            <w:tcW w:w="203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0"/>
                <w:szCs w:val="20"/>
              </w:rPr>
            </w:pPr>
            <w:r>
              <w:rPr>
                <w:sz w:val="20"/>
                <w:szCs w:val="20"/>
              </w:rPr>
              <w:t>2001/02</w:t>
            </w:r>
          </w:p>
        </w:tc>
        <w:tc>
          <w:tcPr>
            <w:tcW w:w="288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418"/>
              </w:tabs>
              <w:spacing w:before="40" w:after="40"/>
              <w:rPr>
                <w:sz w:val="20"/>
                <w:szCs w:val="20"/>
              </w:rPr>
            </w:pPr>
            <w:r>
              <w:rPr>
                <w:sz w:val="20"/>
                <w:szCs w:val="20"/>
              </w:rPr>
              <w:t>1 213</w:t>
            </w:r>
          </w:p>
        </w:tc>
        <w:tc>
          <w:tcPr>
            <w:tcW w:w="264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304"/>
              </w:tabs>
              <w:spacing w:before="40" w:after="40"/>
              <w:rPr>
                <w:sz w:val="20"/>
                <w:szCs w:val="20"/>
              </w:rPr>
            </w:pPr>
            <w:r>
              <w:rPr>
                <w:sz w:val="20"/>
                <w:szCs w:val="20"/>
              </w:rPr>
              <w:t>215</w:t>
            </w:r>
          </w:p>
        </w:tc>
        <w:tc>
          <w:tcPr>
            <w:tcW w:w="207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134"/>
              </w:tabs>
              <w:spacing w:before="40" w:after="40"/>
              <w:rPr>
                <w:sz w:val="20"/>
                <w:szCs w:val="20"/>
              </w:rPr>
            </w:pPr>
            <w:r>
              <w:rPr>
                <w:sz w:val="20"/>
                <w:szCs w:val="20"/>
              </w:rPr>
              <w:t>1 928</w:t>
            </w:r>
          </w:p>
        </w:tc>
      </w:tr>
    </w:tbl>
    <w:p w:rsidR="00000000" w:rsidRDefault="00000000">
      <w:pPr>
        <w:jc w:val="both"/>
        <w:rPr>
          <w:sz w:val="22"/>
          <w:szCs w:val="22"/>
        </w:rPr>
      </w:pPr>
    </w:p>
    <w:p w:rsidR="00000000" w:rsidRDefault="00000000">
      <w:pPr>
        <w:pStyle w:val="112"/>
      </w:pPr>
      <w:r>
        <w:t>В приведенных выше цифрах не учитывается значительное увеличение количества начальных школ после 2002/03 года благодаря осуществлению программы "Образование для всех", направленной на обеспечение всеобщего начального образования в Индии.  Цель этой программы состоит в обеспечении того, чтобы  каждый ребенок ходил в начальную школу,  расположенную на расстоянии не более 1 километра от его дома.</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Грамотность среди взрослых</w:t>
      </w:r>
    </w:p>
    <w:p w:rsidR="00000000" w:rsidRDefault="00000000">
      <w:pPr>
        <w:jc w:val="both"/>
        <w:rPr>
          <w:sz w:val="22"/>
          <w:szCs w:val="22"/>
        </w:rPr>
      </w:pPr>
    </w:p>
    <w:p w:rsidR="00000000" w:rsidRDefault="00000000">
      <w:pPr>
        <w:jc w:val="both"/>
        <w:rPr>
          <w:sz w:val="22"/>
          <w:szCs w:val="22"/>
        </w:rPr>
      </w:pPr>
      <w:r>
        <w:rPr>
          <w:sz w:val="22"/>
          <w:szCs w:val="22"/>
        </w:rPr>
        <w:t>634.</w:t>
      </w:r>
      <w:r>
        <w:rPr>
          <w:sz w:val="22"/>
          <w:szCs w:val="22"/>
        </w:rPr>
        <w:tab/>
        <w:t>В таблице 13.18 приводятся данные проводимых раз в десятилетие четырех переписей и 52-го и 54-го циклов обследований ОНВО, отражающие ситуацию с грамотностью населения в возрасте от 15 лет и старше.  По данным 52-го цикла обследований, доля грамотных в возрастной группе от 15 лет и старше в 1996 году составила по всему населению 54,32%  (67,25% по мужчинам и 40,67%  по женщинам), а по данным 54-го обследования ОНВО, этот показатель в 1998 году достиг 57% (70% по мужчинам и 44% по женщинам).</w:t>
      </w:r>
    </w:p>
    <w:p w:rsidR="00000000" w:rsidRDefault="00000000">
      <w:pPr>
        <w:jc w:val="both"/>
        <w:rPr>
          <w:sz w:val="22"/>
          <w:szCs w:val="22"/>
        </w:rPr>
      </w:pPr>
    </w:p>
    <w:p w:rsidR="00000000" w:rsidRDefault="00000000">
      <w:pPr>
        <w:pStyle w:val="112"/>
        <w:spacing w:after="40"/>
        <w:jc w:val="left"/>
        <w:rPr>
          <w:b/>
          <w:bCs/>
        </w:rPr>
      </w:pPr>
      <w:r>
        <w:rPr>
          <w:b/>
          <w:bCs/>
        </w:rPr>
        <w:t>Таблица 13.18.  Грамотность среди взрослого населения в возрасте от 15 лет и старше</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76"/>
        <w:gridCol w:w="815"/>
        <w:gridCol w:w="815"/>
        <w:gridCol w:w="815"/>
        <w:gridCol w:w="897"/>
        <w:gridCol w:w="1035"/>
        <w:gridCol w:w="897"/>
      </w:tblGrid>
      <w:tr w:rsidR="00000000">
        <w:tc>
          <w:tcPr>
            <w:tcW w:w="1476" w:type="dxa"/>
            <w:tcBorders>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Население</w:t>
            </w:r>
          </w:p>
        </w:tc>
        <w:tc>
          <w:tcPr>
            <w:tcW w:w="81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1961</w:t>
            </w:r>
          </w:p>
        </w:tc>
        <w:tc>
          <w:tcPr>
            <w:tcW w:w="81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1971</w:t>
            </w:r>
          </w:p>
        </w:tc>
        <w:tc>
          <w:tcPr>
            <w:tcW w:w="81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1981</w:t>
            </w:r>
          </w:p>
        </w:tc>
        <w:tc>
          <w:tcPr>
            <w:tcW w:w="89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1991*</w:t>
            </w:r>
          </w:p>
        </w:tc>
        <w:tc>
          <w:tcPr>
            <w:tcW w:w="103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1996@</w:t>
            </w:r>
          </w:p>
        </w:tc>
        <w:tc>
          <w:tcPr>
            <w:tcW w:w="897" w:type="dxa"/>
            <w:tcBorders>
              <w:top w:val="single" w:sz="4" w:space="0" w:color="auto"/>
              <w:left w:val="single" w:sz="4" w:space="0" w:color="auto"/>
              <w:bottom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1998#</w:t>
            </w:r>
          </w:p>
        </w:tc>
      </w:tr>
      <w:tr w:rsidR="00000000">
        <w:tc>
          <w:tcPr>
            <w:tcW w:w="6750" w:type="dxa"/>
            <w:gridSpan w:val="7"/>
            <w:tcBorders>
              <w:top w:val="single" w:sz="4" w:space="0" w:color="auto"/>
              <w:bottom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lang w:val="en-US"/>
              </w:rPr>
              <w:t>I</w:t>
            </w:r>
            <w:r>
              <w:rPr>
                <w:szCs w:val="22"/>
              </w:rPr>
              <w:t xml:space="preserve"> –  доля неграмотных в %</w:t>
            </w:r>
          </w:p>
        </w:tc>
      </w:tr>
      <w:tr w:rsidR="00000000">
        <w:tc>
          <w:tcPr>
            <w:tcW w:w="1476" w:type="dxa"/>
            <w:tcBorders>
              <w:top w:val="single" w:sz="4" w:space="0" w:color="auto"/>
              <w:bottom w:val="nil"/>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Мужчины</w:t>
            </w:r>
          </w:p>
        </w:tc>
        <w:tc>
          <w:tcPr>
            <w:tcW w:w="81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58,55</w:t>
            </w:r>
          </w:p>
        </w:tc>
        <w:tc>
          <w:tcPr>
            <w:tcW w:w="81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52,31</w:t>
            </w:r>
          </w:p>
        </w:tc>
        <w:tc>
          <w:tcPr>
            <w:tcW w:w="81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45,09</w:t>
            </w:r>
          </w:p>
        </w:tc>
        <w:tc>
          <w:tcPr>
            <w:tcW w:w="897"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38,11</w:t>
            </w:r>
          </w:p>
        </w:tc>
        <w:tc>
          <w:tcPr>
            <w:tcW w:w="103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32,75</w:t>
            </w:r>
          </w:p>
        </w:tc>
        <w:tc>
          <w:tcPr>
            <w:tcW w:w="897" w:type="dxa"/>
            <w:tcBorders>
              <w:top w:val="single" w:sz="4" w:space="0" w:color="auto"/>
              <w:left w:val="single" w:sz="4" w:space="0" w:color="auto"/>
              <w:bottom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30</w:t>
            </w:r>
          </w:p>
        </w:tc>
      </w:tr>
      <w:tr w:rsidR="00000000">
        <w:tc>
          <w:tcPr>
            <w:tcW w:w="1476" w:type="dxa"/>
            <w:tcBorders>
              <w:top w:val="nil"/>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Женщины</w:t>
            </w:r>
          </w:p>
        </w:tc>
        <w:tc>
          <w:tcPr>
            <w:tcW w:w="81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86,85</w:t>
            </w:r>
          </w:p>
        </w:tc>
        <w:tc>
          <w:tcPr>
            <w:tcW w:w="81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80,64</w:t>
            </w:r>
          </w:p>
        </w:tc>
        <w:tc>
          <w:tcPr>
            <w:tcW w:w="81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74,30</w:t>
            </w:r>
          </w:p>
        </w:tc>
        <w:tc>
          <w:tcPr>
            <w:tcW w:w="897"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65,91</w:t>
            </w:r>
          </w:p>
        </w:tc>
        <w:tc>
          <w:tcPr>
            <w:tcW w:w="103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59,33</w:t>
            </w:r>
          </w:p>
        </w:tc>
        <w:tc>
          <w:tcPr>
            <w:tcW w:w="897" w:type="dxa"/>
            <w:tcBorders>
              <w:top w:val="nil"/>
              <w:left w:val="single" w:sz="4" w:space="0" w:color="auto"/>
              <w:bottom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56</w:t>
            </w:r>
          </w:p>
        </w:tc>
      </w:tr>
      <w:tr w:rsidR="00000000">
        <w:tc>
          <w:tcPr>
            <w:tcW w:w="1476" w:type="dxa"/>
            <w:tcBorders>
              <w:bottom w:val="single" w:sz="4" w:space="0" w:color="auto"/>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Итого</w:t>
            </w:r>
          </w:p>
        </w:tc>
        <w:tc>
          <w:tcPr>
            <w:tcW w:w="81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72,24</w:t>
            </w:r>
          </w:p>
        </w:tc>
        <w:tc>
          <w:tcPr>
            <w:tcW w:w="81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65,92</w:t>
            </w:r>
          </w:p>
        </w:tc>
        <w:tc>
          <w:tcPr>
            <w:tcW w:w="81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59,18</w:t>
            </w:r>
          </w:p>
        </w:tc>
        <w:tc>
          <w:tcPr>
            <w:tcW w:w="897"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51,46</w:t>
            </w:r>
          </w:p>
        </w:tc>
        <w:tc>
          <w:tcPr>
            <w:tcW w:w="103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45,48</w:t>
            </w:r>
          </w:p>
        </w:tc>
        <w:tc>
          <w:tcPr>
            <w:tcW w:w="897" w:type="dxa"/>
            <w:tcBorders>
              <w:top w:val="nil"/>
              <w:left w:val="single" w:sz="4" w:space="0" w:color="auto"/>
              <w:bottom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43</w:t>
            </w:r>
          </w:p>
        </w:tc>
      </w:tr>
      <w:tr w:rsidR="00000000">
        <w:tc>
          <w:tcPr>
            <w:tcW w:w="6750" w:type="dxa"/>
            <w:gridSpan w:val="7"/>
            <w:tcBorders>
              <w:top w:val="single" w:sz="4" w:space="0" w:color="auto"/>
              <w:bottom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lang w:val="en-US"/>
              </w:rPr>
              <w:t>II</w:t>
            </w:r>
            <w:r>
              <w:rPr>
                <w:szCs w:val="22"/>
              </w:rPr>
              <w:t xml:space="preserve"> – доля грамотных в %</w:t>
            </w:r>
          </w:p>
        </w:tc>
      </w:tr>
      <w:tr w:rsidR="00000000">
        <w:tc>
          <w:tcPr>
            <w:tcW w:w="1476" w:type="dxa"/>
            <w:tcBorders>
              <w:top w:val="single" w:sz="4" w:space="0" w:color="auto"/>
              <w:bottom w:val="nil"/>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Мужчины</w:t>
            </w:r>
          </w:p>
        </w:tc>
        <w:tc>
          <w:tcPr>
            <w:tcW w:w="81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41,45</w:t>
            </w:r>
          </w:p>
        </w:tc>
        <w:tc>
          <w:tcPr>
            <w:tcW w:w="815" w:type="dxa"/>
            <w:tcBorders>
              <w:top w:val="single" w:sz="4" w:space="0" w:color="auto"/>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47,69</w:t>
            </w:r>
          </w:p>
        </w:tc>
        <w:tc>
          <w:tcPr>
            <w:tcW w:w="815" w:type="dxa"/>
            <w:tcBorders>
              <w:top w:val="single" w:sz="4" w:space="0" w:color="auto"/>
              <w:left w:val="single" w:sz="4" w:space="0" w:color="auto"/>
              <w:bottom w:val="nil"/>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54,91</w:t>
            </w:r>
          </w:p>
        </w:tc>
        <w:tc>
          <w:tcPr>
            <w:tcW w:w="897" w:type="dxa"/>
            <w:tcBorders>
              <w:top w:val="single" w:sz="4" w:space="0" w:color="auto"/>
              <w:left w:val="nil"/>
              <w:bottom w:val="nil"/>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61,89</w:t>
            </w:r>
          </w:p>
        </w:tc>
        <w:tc>
          <w:tcPr>
            <w:tcW w:w="1035" w:type="dxa"/>
            <w:tcBorders>
              <w:top w:val="single" w:sz="4" w:space="0" w:color="auto"/>
              <w:left w:val="nil"/>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67,25</w:t>
            </w:r>
          </w:p>
        </w:tc>
        <w:tc>
          <w:tcPr>
            <w:tcW w:w="897" w:type="dxa"/>
            <w:tcBorders>
              <w:top w:val="single" w:sz="4" w:space="0" w:color="auto"/>
              <w:left w:val="single" w:sz="4" w:space="0" w:color="auto"/>
              <w:bottom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70</w:t>
            </w:r>
          </w:p>
        </w:tc>
      </w:tr>
      <w:tr w:rsidR="00000000">
        <w:tc>
          <w:tcPr>
            <w:tcW w:w="1476" w:type="dxa"/>
            <w:tcBorders>
              <w:top w:val="nil"/>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Женщины</w:t>
            </w:r>
          </w:p>
        </w:tc>
        <w:tc>
          <w:tcPr>
            <w:tcW w:w="81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13,15</w:t>
            </w:r>
          </w:p>
        </w:tc>
        <w:tc>
          <w:tcPr>
            <w:tcW w:w="815" w:type="dxa"/>
            <w:tcBorders>
              <w:top w:val="nil"/>
              <w:left w:val="single" w:sz="4" w:space="0" w:color="auto"/>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19,36</w:t>
            </w:r>
          </w:p>
        </w:tc>
        <w:tc>
          <w:tcPr>
            <w:tcW w:w="815" w:type="dxa"/>
            <w:tcBorders>
              <w:top w:val="nil"/>
              <w:left w:val="single" w:sz="4" w:space="0" w:color="auto"/>
              <w:bottom w:val="nil"/>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25,70</w:t>
            </w:r>
          </w:p>
        </w:tc>
        <w:tc>
          <w:tcPr>
            <w:tcW w:w="897" w:type="dxa"/>
            <w:tcBorders>
              <w:top w:val="nil"/>
              <w:left w:val="nil"/>
              <w:bottom w:val="nil"/>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34,09</w:t>
            </w:r>
          </w:p>
        </w:tc>
        <w:tc>
          <w:tcPr>
            <w:tcW w:w="1035" w:type="dxa"/>
            <w:tcBorders>
              <w:top w:val="nil"/>
              <w:left w:val="nil"/>
              <w:bottom w:val="nil"/>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40,67</w:t>
            </w:r>
          </w:p>
        </w:tc>
        <w:tc>
          <w:tcPr>
            <w:tcW w:w="897" w:type="dxa"/>
            <w:tcBorders>
              <w:top w:val="nil"/>
              <w:left w:val="single" w:sz="4" w:space="0" w:color="auto"/>
              <w:bottom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44</w:t>
            </w:r>
          </w:p>
        </w:tc>
      </w:tr>
      <w:tr w:rsidR="00000000">
        <w:tc>
          <w:tcPr>
            <w:tcW w:w="1476" w:type="dxa"/>
            <w:tcBorders>
              <w:right w:val="single" w:sz="4" w:space="0" w:color="auto"/>
            </w:tcBorders>
            <w:tcMar>
              <w:top w:w="0" w:type="dxa"/>
              <w:left w:w="15" w:type="dxa"/>
              <w:bottom w:w="0" w:type="dxa"/>
              <w:right w:w="15" w:type="dxa"/>
            </w:tcMar>
            <w:vAlign w:val="center"/>
          </w:tcPr>
          <w:p w:rsidR="00000000" w:rsidRDefault="00000000">
            <w:pPr>
              <w:pStyle w:val="112"/>
              <w:spacing w:before="60" w:after="60"/>
              <w:ind w:left="85"/>
              <w:rPr>
                <w:szCs w:val="22"/>
              </w:rPr>
            </w:pPr>
            <w:r>
              <w:rPr>
                <w:szCs w:val="22"/>
              </w:rPr>
              <w:t>Итого</w:t>
            </w:r>
          </w:p>
        </w:tc>
        <w:tc>
          <w:tcPr>
            <w:tcW w:w="81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27,76</w:t>
            </w:r>
          </w:p>
        </w:tc>
        <w:tc>
          <w:tcPr>
            <w:tcW w:w="815" w:type="dxa"/>
            <w:tcBorders>
              <w:top w:val="nil"/>
              <w:left w:val="single" w:sz="4" w:space="0" w:color="auto"/>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34,08</w:t>
            </w:r>
          </w:p>
        </w:tc>
        <w:tc>
          <w:tcPr>
            <w:tcW w:w="815" w:type="dxa"/>
            <w:tcBorders>
              <w:top w:val="nil"/>
              <w:left w:val="single" w:sz="4" w:space="0" w:color="auto"/>
              <w:bottom w:val="single" w:sz="4" w:space="0" w:color="auto"/>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40,82</w:t>
            </w:r>
          </w:p>
        </w:tc>
        <w:tc>
          <w:tcPr>
            <w:tcW w:w="897" w:type="dxa"/>
            <w:tcBorders>
              <w:top w:val="nil"/>
              <w:left w:val="nil"/>
              <w:bottom w:val="single" w:sz="4" w:space="0" w:color="auto"/>
              <w:right w:val="nil"/>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48,54</w:t>
            </w:r>
          </w:p>
        </w:tc>
        <w:tc>
          <w:tcPr>
            <w:tcW w:w="1035" w:type="dxa"/>
            <w:tcBorders>
              <w:top w:val="nil"/>
              <w:left w:val="nil"/>
              <w:bottom w:val="single" w:sz="4" w:space="0" w:color="auto"/>
              <w:right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54,32</w:t>
            </w:r>
          </w:p>
        </w:tc>
        <w:tc>
          <w:tcPr>
            <w:tcW w:w="897" w:type="dxa"/>
            <w:tcBorders>
              <w:top w:val="nil"/>
              <w:left w:val="single" w:sz="4" w:space="0" w:color="auto"/>
              <w:bottom w:val="single" w:sz="4" w:space="0" w:color="auto"/>
            </w:tcBorders>
            <w:tcMar>
              <w:top w:w="0" w:type="dxa"/>
              <w:left w:w="15" w:type="dxa"/>
              <w:bottom w:w="0" w:type="dxa"/>
              <w:right w:w="15" w:type="dxa"/>
            </w:tcMar>
            <w:vAlign w:val="center"/>
          </w:tcPr>
          <w:p w:rsidR="00000000" w:rsidRDefault="00000000">
            <w:pPr>
              <w:keepNext/>
              <w:spacing w:before="60" w:after="60"/>
              <w:ind w:left="85"/>
              <w:rPr>
                <w:rStyle w:val="111"/>
                <w:szCs w:val="22"/>
              </w:rPr>
            </w:pPr>
            <w:r>
              <w:rPr>
                <w:rStyle w:val="111"/>
                <w:szCs w:val="22"/>
              </w:rPr>
              <w:t>57</w:t>
            </w:r>
          </w:p>
        </w:tc>
      </w:tr>
    </w:tbl>
    <w:p w:rsidR="00000000" w:rsidRDefault="00000000">
      <w:pPr>
        <w:pStyle w:val="a3"/>
        <w:tabs>
          <w:tab w:val="left" w:pos="360"/>
        </w:tabs>
      </w:pPr>
      <w:r>
        <w:t>*</w:t>
      </w:r>
      <w:r>
        <w:tab/>
        <w:t>Исключая Джамму и Кашмир.</w:t>
      </w:r>
    </w:p>
    <w:p w:rsidR="00000000" w:rsidRDefault="00000000">
      <w:pPr>
        <w:pStyle w:val="a3"/>
        <w:tabs>
          <w:tab w:val="left" w:pos="360"/>
        </w:tabs>
      </w:pPr>
      <w:r>
        <w:tab/>
        <w:t>@</w:t>
      </w:r>
      <w:r>
        <w:tab/>
        <w:t>52-ой цикл обследований ОНВО, 1995/96 год.</w:t>
      </w:r>
    </w:p>
    <w:p w:rsidR="00000000" w:rsidRDefault="00000000">
      <w:pPr>
        <w:pStyle w:val="a3"/>
        <w:tabs>
          <w:tab w:val="left" w:pos="360"/>
        </w:tabs>
      </w:pPr>
      <w:r>
        <w:tab/>
        <w:t>#</w:t>
      </w:r>
      <w:r>
        <w:tab/>
        <w:t>54-ый цикл обследований ОНВО, 1998 год.</w:t>
      </w:r>
    </w:p>
    <w:p w:rsidR="00000000" w:rsidRDefault="00000000">
      <w:pPr>
        <w:pStyle w:val="112"/>
        <w:spacing w:before="120"/>
        <w:rPr>
          <w:szCs w:val="22"/>
        </w:rPr>
      </w:pPr>
    </w:p>
    <w:p w:rsidR="00000000" w:rsidRDefault="00000000">
      <w:pPr>
        <w:jc w:val="both"/>
        <w:rPr>
          <w:sz w:val="22"/>
          <w:szCs w:val="22"/>
        </w:rPr>
      </w:pPr>
      <w:r>
        <w:rPr>
          <w:sz w:val="22"/>
          <w:szCs w:val="22"/>
        </w:rPr>
        <w:t>635.</w:t>
      </w:r>
      <w:r>
        <w:rPr>
          <w:sz w:val="22"/>
          <w:szCs w:val="22"/>
        </w:rPr>
        <w:tab/>
        <w:t>В сельских районах уровень грамотности составил 50%, а в городских районах – 78%.  Доля грамотных женщин в городских районах достигла почти 68%, что вдвое выше показателя по сельским районам.  Разница между городскими и сельскими районами в случае мужчин гораздо меньше.  Уровень грамотности мужчин в городских районах достигает 86%, тогда как в сельских районах этот показатель находится на уровне 64%.  В ряде штатов в сельских районах уровень грамотности женщин составляет 25% и ниже.  Среди крупных штатов низкий уровень грамотности отмечается в штатах Бихар, Мадхья-Прадеш, Уттар-Прадеш и Раджастхан.  В целом в штатах Андхра-Прадеш, Бихар, Мадхья-Прадеш, Раджастхан и Уттар-Прадеш в первой половине 1998 года грамотность среди взрослого населения составляла менее 50%.</w:t>
      </w:r>
    </w:p>
    <w:p w:rsidR="00000000" w:rsidRDefault="00000000">
      <w:pPr>
        <w:pStyle w:val="112"/>
        <w:rPr>
          <w:b/>
        </w:rPr>
      </w:pPr>
      <w:r>
        <w:rPr>
          <w:b/>
        </w:rPr>
        <w:t>Отсев учащихся</w:t>
      </w:r>
    </w:p>
    <w:p w:rsidR="00000000" w:rsidRDefault="00000000">
      <w:pPr>
        <w:pStyle w:val="112"/>
      </w:pPr>
      <w:r>
        <w:t>636.</w:t>
      </w:r>
      <w:r>
        <w:tab/>
        <w:t xml:space="preserve">Благодаря осуществлению целого ряда программ правительство Индии добилось значительного сокращения числа учеников, бросающих школу.  Существенно уменьшились также различия в величине этого показателя по регионам.  По последним расчетным данным, полученным в </w:t>
      </w:r>
      <w:r>
        <w:rPr>
          <w:caps/>
        </w:rPr>
        <w:t>м</w:t>
      </w:r>
      <w:r>
        <w:t>инистерстве развития людских ресурсов, из общего числа учащихся первого–пятого классов в 1999/2000 году отсеялось свыше 40%, тогда как в 1980/81 году этот показатель составлял 58,7%, а в 1960/61 году – 65%.  Аналогичным образом, в 1999/2000 году отсеялось почти 55% учащихся шестых–восьмых классов, тогда как в 1980/81  и  1960/61 годах эти показатели составляли 73% и 78%.  Сократилось также число девочек, бросающих школу.  Соответствующие показатели в 1990/2000 году составляли 42,3% по первому–пятому классам и 58% по шестому–восьмому классам, тогда как в 1980/81 году соответствующие показатели были 62,5% и 79,4%.   На уровне штатов в 1999/2000 году применительно к первому–пятому классам доля учениц, оставивших школу, была довольно высока в штатах Бихар, Джамму и Кашмир, Орисса, Раджастхан, Уттар-Прадеш, Западная Бенгалия и в большинстве штатов на северо-востоке страны, а применительно к первому–восьмому классам – в штатах Андхра-Прадеш, Ассам, Бихар, Гуджарат, Карнатака, Орисса и Западная Бенгалия, не считая северо-восточных штатов.  В первом–десятом классах отсев учащихся по стране превысил 68%.</w:t>
      </w:r>
    </w:p>
    <w:p w:rsidR="00000000" w:rsidRDefault="00000000">
      <w:pPr>
        <w:jc w:val="both"/>
        <w:rPr>
          <w:sz w:val="22"/>
          <w:szCs w:val="22"/>
        </w:rPr>
      </w:pPr>
    </w:p>
    <w:p w:rsidR="00000000" w:rsidRDefault="00000000">
      <w:pPr>
        <w:jc w:val="both"/>
        <w:rPr>
          <w:sz w:val="22"/>
          <w:szCs w:val="22"/>
        </w:rPr>
      </w:pPr>
      <w:r>
        <w:rPr>
          <w:sz w:val="22"/>
          <w:szCs w:val="22"/>
        </w:rPr>
        <w:t>637.</w:t>
      </w:r>
      <w:r>
        <w:rPr>
          <w:sz w:val="22"/>
          <w:szCs w:val="22"/>
        </w:rPr>
        <w:tab/>
        <w:t>Показатели отсева учеников начальной школы уменьшились с 64,9% в 1960/61 году до 39,0% в 2001/02 году.  В старших классах начальной школы в 1960/61 году отсев составлял 78,3%, а в 2001/02 году сократился до 54,6%;  уменьшился также отсев в средней школе (в 1980/81 году он составлял 82,5%, а в 2001/02 году – 66,0%), что говорит об улучшении положения в этом плане, о чем также свидетельствуют данные, приведенные в таблице 13.19.  Чтобы удержать учеников первых классов начальной школы, правительство организовало программу школьных завтраков.  В следующем году предлагается распространить эту программу на учеников старших классов начальной школы.</w:t>
      </w:r>
    </w:p>
    <w:p w:rsidR="00000000" w:rsidRDefault="00000000">
      <w:pPr>
        <w:pStyle w:val="112"/>
        <w:spacing w:after="40"/>
        <w:rPr>
          <w:b/>
          <w:bCs/>
          <w:spacing w:val="-4"/>
        </w:rPr>
      </w:pPr>
      <w:r>
        <w:rPr>
          <w:b/>
          <w:bCs/>
          <w:spacing w:val="-4"/>
        </w:rPr>
        <w:t>Таблица 13.19.  Отсев учащихся младших и старших классов начальной школы и средней школы</w:t>
      </w:r>
    </w:p>
    <w:tbl>
      <w:tblPr>
        <w:tblW w:w="9639" w:type="dxa"/>
        <w:jc w:val="center"/>
        <w:tblLayout w:type="fixed"/>
        <w:tblCellMar>
          <w:left w:w="0" w:type="dxa"/>
          <w:right w:w="0" w:type="dxa"/>
        </w:tblCellMar>
        <w:tblLook w:val="0000" w:firstRow="0" w:lastRow="0" w:firstColumn="0" w:lastColumn="0" w:noHBand="0" w:noVBand="0"/>
      </w:tblPr>
      <w:tblGrid>
        <w:gridCol w:w="2100"/>
        <w:gridCol w:w="995"/>
        <w:gridCol w:w="917"/>
        <w:gridCol w:w="932"/>
        <w:gridCol w:w="901"/>
        <w:gridCol w:w="946"/>
        <w:gridCol w:w="144"/>
        <w:gridCol w:w="1162"/>
        <w:gridCol w:w="1542"/>
      </w:tblGrid>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rPr>
            </w:pPr>
          </w:p>
        </w:tc>
        <w:tc>
          <w:tcPr>
            <w:tcW w:w="897"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1960</w:t>
            </w:r>
            <w:r>
              <w:rPr>
                <w:sz w:val="20"/>
              </w:rPr>
              <w:t>/</w:t>
            </w:r>
            <w:r>
              <w:rPr>
                <w:sz w:val="20"/>
                <w:lang w:val="en-US"/>
              </w:rPr>
              <w:t>61</w:t>
            </w:r>
          </w:p>
        </w:tc>
        <w:tc>
          <w:tcPr>
            <w:tcW w:w="826"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1970</w:t>
            </w:r>
            <w:r>
              <w:rPr>
                <w:sz w:val="20"/>
              </w:rPr>
              <w:t>/</w:t>
            </w:r>
            <w:r>
              <w:rPr>
                <w:sz w:val="20"/>
                <w:lang w:val="en-US"/>
              </w:rPr>
              <w:t>71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1980</w:t>
            </w:r>
            <w:r>
              <w:rPr>
                <w:sz w:val="20"/>
              </w:rPr>
              <w:t>/</w:t>
            </w:r>
            <w:r>
              <w:rPr>
                <w:sz w:val="20"/>
                <w:lang w:val="en-US"/>
              </w:rPr>
              <w:t>81</w:t>
            </w:r>
          </w:p>
        </w:tc>
        <w:tc>
          <w:tcPr>
            <w:tcW w:w="81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1990</w:t>
            </w:r>
            <w:r>
              <w:rPr>
                <w:sz w:val="20"/>
              </w:rPr>
              <w:t>/</w:t>
            </w:r>
            <w:r>
              <w:rPr>
                <w:sz w:val="20"/>
                <w:lang w:val="en-US"/>
              </w:rPr>
              <w:t>91</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1992</w:t>
            </w:r>
            <w:r>
              <w:rPr>
                <w:sz w:val="20"/>
              </w:rPr>
              <w:t>/</w:t>
            </w:r>
            <w:r>
              <w:rPr>
                <w:sz w:val="20"/>
                <w:lang w:val="en-US"/>
              </w:rPr>
              <w:t>93</w:t>
            </w:r>
          </w:p>
        </w:tc>
        <w:tc>
          <w:tcPr>
            <w:tcW w:w="1177" w:type="dxa"/>
            <w:gridSpan w:val="2"/>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1999</w:t>
            </w:r>
            <w:r>
              <w:rPr>
                <w:sz w:val="20"/>
              </w:rPr>
              <w:t>/</w:t>
            </w:r>
            <w:r>
              <w:rPr>
                <w:sz w:val="20"/>
                <w:lang w:val="en-US"/>
              </w:rPr>
              <w:t>2000*</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jc w:val="center"/>
              <w:rPr>
                <w:sz w:val="20"/>
                <w:lang w:val="en-US"/>
              </w:rPr>
            </w:pPr>
            <w:r>
              <w:rPr>
                <w:sz w:val="20"/>
                <w:lang w:val="en-US"/>
              </w:rPr>
              <w:t>2001</w:t>
            </w:r>
            <w:r>
              <w:rPr>
                <w:sz w:val="20"/>
              </w:rPr>
              <w:t>/</w:t>
            </w:r>
            <w:r>
              <w:rPr>
                <w:sz w:val="20"/>
                <w:lang w:val="en-US"/>
              </w:rPr>
              <w:t>2002*</w:t>
            </w:r>
          </w:p>
        </w:tc>
      </w:tr>
      <w:tr w:rsidR="00000000">
        <w:tblPrEx>
          <w:tblCellMar>
            <w:top w:w="0" w:type="dxa"/>
            <w:left w:w="0" w:type="dxa"/>
            <w:bottom w:w="0" w:type="dxa"/>
            <w:right w:w="0" w:type="dxa"/>
          </w:tblCellMar>
        </w:tblPrEx>
        <w:trPr>
          <w:jc w:val="center"/>
        </w:trPr>
        <w:tc>
          <w:tcPr>
            <w:tcW w:w="8687" w:type="dxa"/>
            <w:gridSpan w:val="9"/>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lang w:val="en-US"/>
              </w:rPr>
              <w:t>I</w:t>
            </w:r>
            <w:r>
              <w:rPr>
                <w:sz w:val="20"/>
              </w:rPr>
              <w:t>–</w:t>
            </w:r>
            <w:r>
              <w:rPr>
                <w:sz w:val="20"/>
                <w:lang w:val="en-US"/>
              </w:rPr>
              <w:t>V</w:t>
            </w:r>
            <w:r>
              <w:rPr>
                <w:sz w:val="20"/>
              </w:rPr>
              <w:t xml:space="preserve"> классы</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Мальчики</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61,7</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64,5</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56,2</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40,1</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43,8</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38,7</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38,4</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nil"/>
              <w:right w:val="single" w:sz="4" w:space="0" w:color="auto"/>
            </w:tcBorders>
          </w:tcPr>
          <w:p w:rsidR="00000000" w:rsidRDefault="00000000">
            <w:pPr>
              <w:pStyle w:val="112"/>
              <w:spacing w:before="40" w:after="40"/>
              <w:ind w:left="113"/>
              <w:rPr>
                <w:sz w:val="20"/>
              </w:rPr>
            </w:pPr>
            <w:r>
              <w:rPr>
                <w:sz w:val="20"/>
              </w:rPr>
              <w:t>Девочки</w:t>
            </w:r>
          </w:p>
        </w:tc>
        <w:tc>
          <w:tcPr>
            <w:tcW w:w="897"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70,9</w:t>
            </w:r>
          </w:p>
        </w:tc>
        <w:tc>
          <w:tcPr>
            <w:tcW w:w="826"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70,9</w:t>
            </w:r>
          </w:p>
        </w:tc>
        <w:tc>
          <w:tcPr>
            <w:tcW w:w="840"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62,5</w:t>
            </w:r>
          </w:p>
        </w:tc>
        <w:tc>
          <w:tcPr>
            <w:tcW w:w="812"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46,0</w:t>
            </w:r>
          </w:p>
        </w:tc>
        <w:tc>
          <w:tcPr>
            <w:tcW w:w="983" w:type="dxa"/>
            <w:gridSpan w:val="2"/>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46,7</w:t>
            </w:r>
          </w:p>
        </w:tc>
        <w:tc>
          <w:tcPr>
            <w:tcW w:w="1047"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42,3</w:t>
            </w:r>
          </w:p>
        </w:tc>
        <w:tc>
          <w:tcPr>
            <w:tcW w:w="1390"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39,9</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Итого</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64,9</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67,0</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58,7</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42,6</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45,0</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40,3</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39,0</w:t>
            </w:r>
          </w:p>
        </w:tc>
      </w:tr>
      <w:tr w:rsidR="00000000">
        <w:tblPrEx>
          <w:tblCellMar>
            <w:top w:w="0" w:type="dxa"/>
            <w:left w:w="0" w:type="dxa"/>
            <w:bottom w:w="0" w:type="dxa"/>
            <w:right w:w="0" w:type="dxa"/>
          </w:tblCellMar>
        </w:tblPrEx>
        <w:trPr>
          <w:jc w:val="center"/>
        </w:trPr>
        <w:tc>
          <w:tcPr>
            <w:tcW w:w="8687" w:type="dxa"/>
            <w:gridSpan w:val="9"/>
            <w:tcBorders>
              <w:top w:val="nil"/>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lang w:val="en-US"/>
              </w:rPr>
              <w:t>I</w:t>
            </w:r>
            <w:r>
              <w:rPr>
                <w:sz w:val="20"/>
              </w:rPr>
              <w:t>–</w:t>
            </w:r>
            <w:r>
              <w:rPr>
                <w:sz w:val="20"/>
                <w:lang w:val="en-US"/>
              </w:rPr>
              <w:t>VIII</w:t>
            </w:r>
            <w:r>
              <w:rPr>
                <w:sz w:val="20"/>
              </w:rPr>
              <w:t xml:space="preserve"> классы</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Мальчики</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75,0</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74,6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68,0</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59,1</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58,2</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52,0</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52,9</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nil"/>
              <w:right w:val="single" w:sz="4" w:space="0" w:color="auto"/>
            </w:tcBorders>
          </w:tcPr>
          <w:p w:rsidR="00000000" w:rsidRDefault="00000000">
            <w:pPr>
              <w:pStyle w:val="112"/>
              <w:spacing w:before="40" w:after="40"/>
              <w:ind w:left="113"/>
              <w:rPr>
                <w:sz w:val="20"/>
              </w:rPr>
            </w:pPr>
            <w:r>
              <w:rPr>
                <w:sz w:val="20"/>
              </w:rPr>
              <w:t>Девочки</w:t>
            </w:r>
          </w:p>
        </w:tc>
        <w:tc>
          <w:tcPr>
            <w:tcW w:w="897"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85,0</w:t>
            </w:r>
          </w:p>
        </w:tc>
        <w:tc>
          <w:tcPr>
            <w:tcW w:w="826"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83,4</w:t>
            </w:r>
          </w:p>
        </w:tc>
        <w:tc>
          <w:tcPr>
            <w:tcW w:w="840"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79,4</w:t>
            </w:r>
          </w:p>
        </w:tc>
        <w:tc>
          <w:tcPr>
            <w:tcW w:w="812"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65,1</w:t>
            </w:r>
          </w:p>
        </w:tc>
        <w:tc>
          <w:tcPr>
            <w:tcW w:w="983" w:type="dxa"/>
            <w:gridSpan w:val="2"/>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65,2</w:t>
            </w:r>
          </w:p>
        </w:tc>
        <w:tc>
          <w:tcPr>
            <w:tcW w:w="1047"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58,0</w:t>
            </w:r>
          </w:p>
        </w:tc>
        <w:tc>
          <w:tcPr>
            <w:tcW w:w="1390" w:type="dxa"/>
            <w:tcBorders>
              <w:top w:val="single" w:sz="4" w:space="0" w:color="auto"/>
              <w:left w:val="single" w:sz="4" w:space="0" w:color="auto"/>
              <w:bottom w:val="nil"/>
              <w:right w:val="single" w:sz="4" w:space="0" w:color="auto"/>
            </w:tcBorders>
            <w:vAlign w:val="center"/>
          </w:tcPr>
          <w:p w:rsidR="00000000" w:rsidRDefault="00000000">
            <w:pPr>
              <w:spacing w:before="40" w:after="40"/>
              <w:jc w:val="center"/>
              <w:rPr>
                <w:rStyle w:val="111"/>
                <w:sz w:val="20"/>
                <w:szCs w:val="20"/>
              </w:rPr>
            </w:pPr>
            <w:r>
              <w:rPr>
                <w:rStyle w:val="111"/>
                <w:sz w:val="20"/>
                <w:szCs w:val="20"/>
              </w:rPr>
              <w:t>56,9</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Итого</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78,3</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77,9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72,7</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60,9</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61,1</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54,5</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54,6</w:t>
            </w:r>
          </w:p>
        </w:tc>
      </w:tr>
      <w:tr w:rsidR="00000000">
        <w:tblPrEx>
          <w:tblCellMar>
            <w:top w:w="0" w:type="dxa"/>
            <w:left w:w="0" w:type="dxa"/>
            <w:bottom w:w="0" w:type="dxa"/>
            <w:right w:w="0" w:type="dxa"/>
          </w:tblCellMar>
        </w:tblPrEx>
        <w:trPr>
          <w:jc w:val="center"/>
        </w:trPr>
        <w:tc>
          <w:tcPr>
            <w:tcW w:w="8687" w:type="dxa"/>
            <w:gridSpan w:val="9"/>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lang w:val="en-US"/>
              </w:rPr>
              <w:t>I</w:t>
            </w:r>
            <w:r>
              <w:rPr>
                <w:sz w:val="20"/>
              </w:rPr>
              <w:t>–</w:t>
            </w:r>
            <w:r>
              <w:rPr>
                <w:sz w:val="20"/>
                <w:lang w:val="en-US"/>
              </w:rPr>
              <w:t>X</w:t>
            </w:r>
            <w:r>
              <w:rPr>
                <w:sz w:val="20"/>
              </w:rPr>
              <w:t xml:space="preserve"> классы</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Мальчики</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79,8</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67,5</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70,0</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66,6</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64,2</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Девочки</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86,6</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76,9</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77,3</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70,6</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68,6</w:t>
            </w:r>
          </w:p>
        </w:tc>
      </w:tr>
      <w:tr w:rsidR="00000000">
        <w:tblPrEx>
          <w:tblCellMar>
            <w:top w:w="0" w:type="dxa"/>
            <w:left w:w="0" w:type="dxa"/>
            <w:bottom w:w="0" w:type="dxa"/>
            <w:right w:w="0" w:type="dxa"/>
          </w:tblCellMar>
        </w:tblPrEx>
        <w:trPr>
          <w:jc w:val="center"/>
        </w:trPr>
        <w:tc>
          <w:tcPr>
            <w:tcW w:w="1892" w:type="dxa"/>
            <w:tcBorders>
              <w:top w:val="single" w:sz="4" w:space="0" w:color="auto"/>
              <w:left w:val="single" w:sz="4" w:space="0" w:color="auto"/>
              <w:bottom w:val="single" w:sz="4" w:space="0" w:color="auto"/>
              <w:right w:val="single" w:sz="4" w:space="0" w:color="auto"/>
            </w:tcBorders>
          </w:tcPr>
          <w:p w:rsidR="00000000" w:rsidRDefault="00000000">
            <w:pPr>
              <w:pStyle w:val="112"/>
              <w:spacing w:before="40" w:after="40"/>
              <w:ind w:left="113"/>
              <w:rPr>
                <w:sz w:val="20"/>
              </w:rPr>
            </w:pPr>
            <w:r>
              <w:rPr>
                <w:sz w:val="20"/>
              </w:rPr>
              <w:t>Итого</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д.о.</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82,5</w:t>
            </w:r>
          </w:p>
        </w:tc>
        <w:tc>
          <w:tcPr>
            <w:tcW w:w="8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71,3</w:t>
            </w:r>
          </w:p>
        </w:tc>
        <w:tc>
          <w:tcPr>
            <w:tcW w:w="98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72,9</w:t>
            </w:r>
          </w:p>
        </w:tc>
        <w:tc>
          <w:tcPr>
            <w:tcW w:w="10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68,3</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rStyle w:val="111"/>
                <w:sz w:val="20"/>
                <w:szCs w:val="20"/>
              </w:rPr>
            </w:pPr>
            <w:r>
              <w:rPr>
                <w:rStyle w:val="111"/>
                <w:sz w:val="20"/>
                <w:szCs w:val="20"/>
              </w:rPr>
              <w:t>66,0</w:t>
            </w:r>
          </w:p>
        </w:tc>
      </w:tr>
    </w:tbl>
    <w:p w:rsidR="00000000" w:rsidRDefault="00000000">
      <w:pPr>
        <w:pStyle w:val="a3"/>
        <w:tabs>
          <w:tab w:val="left" w:pos="240"/>
        </w:tabs>
        <w:spacing w:before="60"/>
      </w:pPr>
      <w:r>
        <w:rPr>
          <w:rStyle w:val="111"/>
          <w:szCs w:val="22"/>
        </w:rPr>
        <w:t>*</w:t>
      </w:r>
      <w:r>
        <w:rPr>
          <w:rStyle w:val="111"/>
          <w:szCs w:val="22"/>
        </w:rPr>
        <w:tab/>
      </w:r>
      <w:r>
        <w:t>Предварительные данные</w:t>
      </w:r>
    </w:p>
    <w:p w:rsidR="00000000" w:rsidRDefault="00000000">
      <w:pPr>
        <w:jc w:val="both"/>
        <w:rPr>
          <w:b/>
          <w:bCs/>
          <w:sz w:val="22"/>
          <w:szCs w:val="22"/>
        </w:rPr>
      </w:pPr>
      <w:r>
        <w:rPr>
          <w:b/>
          <w:bCs/>
          <w:sz w:val="22"/>
          <w:szCs w:val="22"/>
        </w:rPr>
        <w:t>Языки и средства преподавания в школах</w:t>
      </w:r>
    </w:p>
    <w:p w:rsidR="00000000" w:rsidRDefault="00000000">
      <w:pPr>
        <w:jc w:val="both"/>
        <w:rPr>
          <w:sz w:val="22"/>
          <w:szCs w:val="22"/>
        </w:rPr>
      </w:pPr>
    </w:p>
    <w:p w:rsidR="00000000" w:rsidRDefault="00000000">
      <w:pPr>
        <w:jc w:val="both"/>
        <w:rPr>
          <w:rStyle w:val="111"/>
          <w:szCs w:val="22"/>
        </w:rPr>
      </w:pPr>
      <w:r>
        <w:rPr>
          <w:rStyle w:val="111"/>
          <w:szCs w:val="22"/>
        </w:rPr>
        <w:t>638.</w:t>
      </w:r>
      <w:r>
        <w:rPr>
          <w:rStyle w:val="111"/>
          <w:szCs w:val="22"/>
        </w:rPr>
        <w:tab/>
        <w:t>Индия – многоязычная страна, где, как свидетельствуют данные переписи населения  Индии 1961 года, насчитывается 1652 языка, которые ее жители считают родными.  В восьмом разделе Конституции Индии упомянуты 15 современных индийских языков</w:t>
      </w:r>
      <w:r>
        <w:rPr>
          <w:rStyle w:val="FootnoteReference"/>
          <w:szCs w:val="22"/>
        </w:rPr>
        <w:footnoteReference w:customMarkFollows="1" w:id="95"/>
        <w:t>94</w:t>
      </w:r>
      <w:r>
        <w:rPr>
          <w:rStyle w:val="111"/>
          <w:szCs w:val="22"/>
        </w:rPr>
        <w:t>.  Из этих языков хинди имеет статус официального языка Индии, а английский – статус второго языка.</w:t>
      </w:r>
    </w:p>
    <w:p w:rsidR="00000000" w:rsidRDefault="00000000">
      <w:pPr>
        <w:pStyle w:val="112"/>
      </w:pPr>
      <w:r>
        <w:t>639.</w:t>
      </w:r>
      <w:r>
        <w:tab/>
        <w:t>Политика Индии в области языков в основном сформулирована в части </w:t>
      </w:r>
      <w:r>
        <w:rPr>
          <w:lang w:val="en-US"/>
        </w:rPr>
        <w:t>XVII</w:t>
      </w:r>
      <w:r>
        <w:t xml:space="preserve"> Конституции Индии, а также в восьмом разделе (статьи 344 и 351) и в статьях, посвященных основным правам.</w:t>
      </w:r>
    </w:p>
    <w:p w:rsidR="00000000" w:rsidRDefault="00000000">
      <w:pPr>
        <w:pStyle w:val="112"/>
      </w:pPr>
      <w:r>
        <w:t>640.</w:t>
      </w:r>
      <w:r>
        <w:tab/>
        <w:t>Со времени обретения страной независимости правительство Индии учреждало различные комитеты и комиссии для анализа политики в области языков исключительно в связи с общей системой образования или в рамках этой системы.   Эти комитеты и комиссии рекомендовали применять различные формулы изучения языков в разных классах школы.  В конечном счете было сочтено, что в стране следует применить трехъязычный подход.</w:t>
      </w:r>
    </w:p>
    <w:p w:rsidR="00000000" w:rsidRDefault="00000000">
      <w:pPr>
        <w:pStyle w:val="112"/>
      </w:pPr>
      <w:r>
        <w:t>641.</w:t>
      </w:r>
      <w:r>
        <w:tab/>
        <w:t xml:space="preserve">Согласно пересмотренной трехъязычной формуле, </w:t>
      </w:r>
      <w:r>
        <w:rPr>
          <w:lang w:val="en-US"/>
        </w:rPr>
        <w:t>i</w:t>
      </w:r>
      <w:r>
        <w:t xml:space="preserve">) родной язык или региональный язык необходимо изучать с первого по десятый класс в качестве первого языка;  </w:t>
      </w:r>
      <w:r>
        <w:rPr>
          <w:lang w:val="en-US"/>
        </w:rPr>
        <w:t>ii</w:t>
      </w:r>
      <w:r>
        <w:t xml:space="preserve">) хинди или английский могут быть вторым языком, который изучается в обязательном порядке с пятого по десятый класс;  на этом этапе учащимся может быть предложено изучать либо английский, либо хинди (не являющийся для них обязательным языком) в качестве факультативного языка, и </w:t>
      </w:r>
      <w:r>
        <w:rPr>
          <w:lang w:val="en-US"/>
        </w:rPr>
        <w:t>iii</w:t>
      </w:r>
      <w:r>
        <w:t>) третьим языком, который должен изучаться с восьмого по десятый класс, может быть хинди или английский, если этот язык не изучался ранее.</w:t>
      </w:r>
    </w:p>
    <w:p w:rsidR="00000000" w:rsidRDefault="00000000">
      <w:pPr>
        <w:pStyle w:val="112"/>
        <w:spacing w:after="240"/>
      </w:pPr>
      <w:r>
        <w:t>642.</w:t>
      </w:r>
      <w:r>
        <w:tab/>
        <w:t>В течение этих трех лет учащийся может также факультативно изучать один или несколько современных индийских языков.  В старших классах средней школы учащийся должен в обязательном порядке изучать любые два из тех языков, которые он изучал ранее, или любые два из перечисленных ниже языков либо один или два индийских языка в факультативном порядке:</w:t>
      </w:r>
    </w:p>
    <w:p w:rsidR="00000000" w:rsidRDefault="00000000">
      <w:pPr>
        <w:pStyle w:val="112"/>
        <w:spacing w:before="0" w:after="240"/>
      </w:pPr>
      <w:r>
        <w:tab/>
      </w:r>
      <w:r>
        <w:rPr>
          <w:lang w:val="en-US"/>
        </w:rPr>
        <w:t>i</w:t>
      </w:r>
      <w:r>
        <w:t>.</w:t>
      </w:r>
      <w:r>
        <w:tab/>
        <w:t>современные индийские языки;</w:t>
      </w:r>
    </w:p>
    <w:p w:rsidR="00000000" w:rsidRDefault="00000000">
      <w:pPr>
        <w:pStyle w:val="112"/>
        <w:spacing w:before="0" w:after="240"/>
      </w:pPr>
      <w:r>
        <w:tab/>
      </w:r>
      <w:r>
        <w:rPr>
          <w:lang w:val="en-US"/>
        </w:rPr>
        <w:t>ii</w:t>
      </w:r>
      <w:r>
        <w:t>.</w:t>
      </w:r>
      <w:r>
        <w:tab/>
        <w:t>классический язык (индийский или иностранный);</w:t>
      </w:r>
    </w:p>
    <w:p w:rsidR="00000000" w:rsidRDefault="00000000">
      <w:pPr>
        <w:pStyle w:val="112"/>
        <w:spacing w:before="0"/>
      </w:pPr>
      <w:r>
        <w:tab/>
      </w:r>
      <w:r>
        <w:rPr>
          <w:lang w:val="en-US"/>
        </w:rPr>
        <w:t>iii</w:t>
      </w:r>
      <w:r>
        <w:t>.</w:t>
      </w:r>
      <w:r>
        <w:tab/>
        <w:t>современные иностранные языки.</w:t>
      </w:r>
    </w:p>
    <w:p w:rsidR="00000000" w:rsidRDefault="00000000">
      <w:pPr>
        <w:pStyle w:val="112"/>
      </w:pPr>
      <w:r>
        <w:tab/>
        <w:t>Национальный совет исследований в области образования и профессиональной подготовки (НСИПП) провел пять общеиндийских обследований в области образования.  Как показали результаты пятого обследования НСИПП, число языков, используемых в качестве средства преподавания, составляет в младших классах 43, в старших классах начальной школы – 31, в младших классах средней школы – 22 и в старших классах средней школы – 20.</w:t>
      </w:r>
    </w:p>
    <w:p w:rsidR="00000000" w:rsidRDefault="00000000">
      <w:pPr>
        <w:pStyle w:val="112"/>
      </w:pPr>
      <w:r>
        <w:t>643.</w:t>
      </w:r>
      <w:r>
        <w:tab/>
        <w:t>По данным последнего обследования, в младших и старших классах начальной школы в качестве первого языка используется 27, а в средней школе – 28 языков.</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Языки, изучаемые в школе</w:t>
      </w:r>
    </w:p>
    <w:p w:rsidR="00000000" w:rsidRDefault="00000000">
      <w:pPr>
        <w:jc w:val="both"/>
        <w:rPr>
          <w:sz w:val="22"/>
          <w:szCs w:val="22"/>
        </w:rPr>
      </w:pPr>
    </w:p>
    <w:p w:rsidR="00000000" w:rsidRDefault="00000000">
      <w:pPr>
        <w:jc w:val="both"/>
        <w:rPr>
          <w:sz w:val="22"/>
          <w:szCs w:val="22"/>
        </w:rPr>
      </w:pPr>
      <w:r>
        <w:rPr>
          <w:sz w:val="22"/>
          <w:szCs w:val="22"/>
        </w:rPr>
        <w:t>644.</w:t>
      </w:r>
      <w:r>
        <w:rPr>
          <w:sz w:val="22"/>
          <w:szCs w:val="22"/>
        </w:rPr>
        <w:tab/>
        <w:t>В соответствии с национальной политикой в области языков ребенок в школе  должен изучить три языка.  Их называют первый язык, второй язык и третий язык в том порядке, в каком они изучаются в школах.</w:t>
      </w:r>
    </w:p>
    <w:p w:rsidR="00000000" w:rsidRDefault="00000000">
      <w:pPr>
        <w:pStyle w:val="112"/>
      </w:pPr>
      <w:r>
        <w:t>645.</w:t>
      </w:r>
      <w:r>
        <w:tab/>
        <w:t>В общей сложности в школах в качестве первого, второго или третьего языков используются 44 языка.  Список таких языков приводится в таблице 13.20.</w:t>
      </w:r>
    </w:p>
    <w:p w:rsidR="00000000" w:rsidRDefault="00000000">
      <w:pPr>
        <w:pStyle w:val="112"/>
        <w:spacing w:before="0" w:after="40"/>
        <w:rPr>
          <w:b/>
          <w:bCs/>
          <w:lang w:val="en-US"/>
        </w:rPr>
      </w:pPr>
    </w:p>
    <w:p w:rsidR="00000000" w:rsidRDefault="00000000">
      <w:pPr>
        <w:pStyle w:val="112"/>
        <w:spacing w:before="0" w:after="40"/>
        <w:rPr>
          <w:b/>
          <w:bCs/>
        </w:rPr>
      </w:pPr>
      <w:r>
        <w:rPr>
          <w:b/>
          <w:bCs/>
        </w:rPr>
        <w:t>Таблица 13.20.  Языки, используемые в школах</w:t>
      </w:r>
    </w:p>
    <w:tbl>
      <w:tblPr>
        <w:tblW w:w="0" w:type="auto"/>
        <w:tblLayout w:type="fixed"/>
        <w:tblLook w:val="0000" w:firstRow="0" w:lastRow="0" w:firstColumn="0" w:lastColumn="0" w:noHBand="0" w:noVBand="0"/>
      </w:tblPr>
      <w:tblGrid>
        <w:gridCol w:w="2508"/>
        <w:gridCol w:w="7063"/>
      </w:tblGrid>
      <w:tr w:rsidR="00000000">
        <w:tblPrEx>
          <w:tblCellMar>
            <w:top w:w="0" w:type="dxa"/>
            <w:bottom w:w="0" w:type="dxa"/>
          </w:tblCellMar>
        </w:tblPrEx>
        <w:tc>
          <w:tcPr>
            <w:tcW w:w="2508" w:type="dxa"/>
            <w:tcMar>
              <w:right w:w="108" w:type="dxa"/>
            </w:tcMar>
          </w:tcPr>
          <w:p w:rsidR="00000000" w:rsidRDefault="00000000">
            <w:pPr>
              <w:spacing w:before="120"/>
              <w:rPr>
                <w:rStyle w:val="111"/>
                <w:szCs w:val="22"/>
              </w:rPr>
            </w:pPr>
            <w:r>
              <w:rPr>
                <w:rStyle w:val="111"/>
                <w:szCs w:val="22"/>
              </w:rPr>
              <w:t>Порядковый номер</w:t>
            </w:r>
          </w:p>
        </w:tc>
        <w:tc>
          <w:tcPr>
            <w:tcW w:w="7063" w:type="dxa"/>
          </w:tcPr>
          <w:p w:rsidR="00000000" w:rsidRDefault="00000000">
            <w:pPr>
              <w:spacing w:before="120"/>
              <w:rPr>
                <w:rStyle w:val="111"/>
                <w:szCs w:val="22"/>
              </w:rPr>
            </w:pPr>
            <w:r>
              <w:rPr>
                <w:rStyle w:val="111"/>
                <w:szCs w:val="22"/>
              </w:rPr>
              <w:t>Язык</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w:t>
            </w:r>
          </w:p>
        </w:tc>
        <w:tc>
          <w:tcPr>
            <w:tcW w:w="7063" w:type="dxa"/>
          </w:tcPr>
          <w:p w:rsidR="00000000" w:rsidRDefault="00000000">
            <w:pPr>
              <w:spacing w:after="40"/>
              <w:rPr>
                <w:rStyle w:val="111"/>
                <w:szCs w:val="22"/>
              </w:rPr>
            </w:pPr>
            <w:r>
              <w:rPr>
                <w:rStyle w:val="111"/>
                <w:szCs w:val="22"/>
              </w:rPr>
              <w:t>Ангами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w:t>
            </w:r>
          </w:p>
        </w:tc>
        <w:tc>
          <w:tcPr>
            <w:tcW w:w="7063" w:type="dxa"/>
          </w:tcPr>
          <w:p w:rsidR="00000000" w:rsidRDefault="00000000">
            <w:pPr>
              <w:spacing w:after="40"/>
              <w:rPr>
                <w:rStyle w:val="111"/>
                <w:szCs w:val="22"/>
              </w:rPr>
            </w:pPr>
            <w:r>
              <w:rPr>
                <w:rStyle w:val="111"/>
                <w:szCs w:val="22"/>
              </w:rPr>
              <w:t>Ао</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w:t>
            </w:r>
          </w:p>
        </w:tc>
        <w:tc>
          <w:tcPr>
            <w:tcW w:w="7063" w:type="dxa"/>
          </w:tcPr>
          <w:p w:rsidR="00000000" w:rsidRDefault="00000000">
            <w:pPr>
              <w:spacing w:after="40"/>
              <w:rPr>
                <w:rStyle w:val="111"/>
                <w:szCs w:val="22"/>
              </w:rPr>
            </w:pPr>
            <w:r>
              <w:rPr>
                <w:rStyle w:val="111"/>
                <w:szCs w:val="22"/>
              </w:rPr>
              <w:t>арабский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w:t>
            </w:r>
          </w:p>
        </w:tc>
        <w:tc>
          <w:tcPr>
            <w:tcW w:w="7063" w:type="dxa"/>
          </w:tcPr>
          <w:p w:rsidR="00000000" w:rsidRDefault="00000000">
            <w:pPr>
              <w:spacing w:after="40"/>
              <w:rPr>
                <w:rStyle w:val="111"/>
                <w:szCs w:val="22"/>
              </w:rPr>
            </w:pPr>
            <w:r>
              <w:rPr>
                <w:rStyle w:val="111"/>
                <w:szCs w:val="22"/>
              </w:rPr>
              <w:t>ассамский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5.</w:t>
            </w:r>
          </w:p>
        </w:tc>
        <w:tc>
          <w:tcPr>
            <w:tcW w:w="7063" w:type="dxa"/>
          </w:tcPr>
          <w:p w:rsidR="00000000" w:rsidRDefault="00000000">
            <w:pPr>
              <w:spacing w:after="40"/>
              <w:rPr>
                <w:rStyle w:val="111"/>
                <w:szCs w:val="22"/>
              </w:rPr>
            </w:pPr>
            <w:r>
              <w:rPr>
                <w:rStyle w:val="111"/>
                <w:szCs w:val="22"/>
              </w:rPr>
              <w:t>бенгальский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6.</w:t>
            </w:r>
          </w:p>
        </w:tc>
        <w:tc>
          <w:tcPr>
            <w:tcW w:w="7063" w:type="dxa"/>
          </w:tcPr>
          <w:p w:rsidR="00000000" w:rsidRDefault="00000000">
            <w:pPr>
              <w:spacing w:after="40"/>
              <w:rPr>
                <w:rStyle w:val="111"/>
                <w:szCs w:val="22"/>
              </w:rPr>
            </w:pPr>
            <w:r>
              <w:rPr>
                <w:rStyle w:val="111"/>
                <w:szCs w:val="22"/>
              </w:rPr>
              <w:t>бхутия</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7.</w:t>
            </w:r>
          </w:p>
        </w:tc>
        <w:tc>
          <w:tcPr>
            <w:tcW w:w="7063" w:type="dxa"/>
          </w:tcPr>
          <w:p w:rsidR="00000000" w:rsidRDefault="00000000">
            <w:pPr>
              <w:spacing w:after="40"/>
              <w:rPr>
                <w:rStyle w:val="111"/>
                <w:szCs w:val="22"/>
              </w:rPr>
            </w:pPr>
            <w:r>
              <w:rPr>
                <w:rStyle w:val="111"/>
                <w:szCs w:val="22"/>
              </w:rPr>
              <w:t>бодхи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8.</w:t>
            </w:r>
          </w:p>
        </w:tc>
        <w:tc>
          <w:tcPr>
            <w:tcW w:w="7063" w:type="dxa"/>
          </w:tcPr>
          <w:p w:rsidR="00000000" w:rsidRDefault="00000000">
            <w:pPr>
              <w:spacing w:after="40"/>
              <w:rPr>
                <w:rStyle w:val="111"/>
                <w:szCs w:val="22"/>
              </w:rPr>
            </w:pPr>
            <w:r>
              <w:rPr>
                <w:rStyle w:val="111"/>
                <w:szCs w:val="22"/>
              </w:rPr>
              <w:t>бодо</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9.</w:t>
            </w:r>
          </w:p>
        </w:tc>
        <w:tc>
          <w:tcPr>
            <w:tcW w:w="7063" w:type="dxa"/>
          </w:tcPr>
          <w:p w:rsidR="00000000" w:rsidRDefault="00000000">
            <w:pPr>
              <w:spacing w:after="40"/>
              <w:rPr>
                <w:rStyle w:val="111"/>
                <w:szCs w:val="22"/>
              </w:rPr>
            </w:pPr>
            <w:r>
              <w:rPr>
                <w:rStyle w:val="111"/>
                <w:szCs w:val="22"/>
              </w:rPr>
              <w:t>догри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10.</w:t>
            </w:r>
          </w:p>
        </w:tc>
        <w:tc>
          <w:tcPr>
            <w:tcW w:w="7063" w:type="dxa"/>
          </w:tcPr>
          <w:p w:rsidR="00000000" w:rsidRDefault="00000000">
            <w:pPr>
              <w:spacing w:after="40"/>
              <w:rPr>
                <w:rStyle w:val="111"/>
                <w:szCs w:val="22"/>
              </w:rPr>
            </w:pPr>
            <w:r>
              <w:rPr>
                <w:rStyle w:val="111"/>
                <w:szCs w:val="22"/>
              </w:rPr>
              <w:t>английский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11.</w:t>
            </w:r>
          </w:p>
        </w:tc>
        <w:tc>
          <w:tcPr>
            <w:tcW w:w="7063" w:type="dxa"/>
          </w:tcPr>
          <w:p w:rsidR="00000000" w:rsidRDefault="00000000">
            <w:pPr>
              <w:spacing w:after="40"/>
              <w:rPr>
                <w:rStyle w:val="111"/>
                <w:szCs w:val="22"/>
              </w:rPr>
            </w:pPr>
            <w:r>
              <w:rPr>
                <w:rStyle w:val="111"/>
                <w:szCs w:val="22"/>
              </w:rPr>
              <w:t>французский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12.</w:t>
            </w:r>
          </w:p>
        </w:tc>
        <w:tc>
          <w:tcPr>
            <w:tcW w:w="7063" w:type="dxa"/>
          </w:tcPr>
          <w:p w:rsidR="00000000" w:rsidRDefault="00000000">
            <w:pPr>
              <w:spacing w:after="40"/>
              <w:rPr>
                <w:rStyle w:val="111"/>
                <w:szCs w:val="22"/>
              </w:rPr>
            </w:pPr>
            <w:r>
              <w:rPr>
                <w:rStyle w:val="111"/>
                <w:szCs w:val="22"/>
              </w:rPr>
              <w:t xml:space="preserve">гаро </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13.</w:t>
            </w:r>
          </w:p>
        </w:tc>
        <w:tc>
          <w:tcPr>
            <w:tcW w:w="7063" w:type="dxa"/>
          </w:tcPr>
          <w:p w:rsidR="00000000" w:rsidRDefault="00000000">
            <w:pPr>
              <w:spacing w:after="40"/>
              <w:rPr>
                <w:rStyle w:val="111"/>
                <w:szCs w:val="22"/>
              </w:rPr>
            </w:pPr>
            <w:r>
              <w:rPr>
                <w:rStyle w:val="111"/>
                <w:szCs w:val="22"/>
              </w:rPr>
              <w:t>гуджаратский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14.</w:t>
            </w:r>
          </w:p>
        </w:tc>
        <w:tc>
          <w:tcPr>
            <w:tcW w:w="7063" w:type="dxa"/>
          </w:tcPr>
          <w:p w:rsidR="00000000" w:rsidRDefault="00000000">
            <w:pPr>
              <w:spacing w:after="40"/>
              <w:rPr>
                <w:rStyle w:val="111"/>
                <w:szCs w:val="22"/>
              </w:rPr>
            </w:pPr>
            <w:r>
              <w:rPr>
                <w:rStyle w:val="111"/>
                <w:szCs w:val="22"/>
              </w:rPr>
              <w:t>немецкий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15.</w:t>
            </w:r>
          </w:p>
        </w:tc>
        <w:tc>
          <w:tcPr>
            <w:tcW w:w="7063" w:type="dxa"/>
          </w:tcPr>
          <w:p w:rsidR="00000000" w:rsidRDefault="00000000">
            <w:pPr>
              <w:spacing w:after="40"/>
              <w:rPr>
                <w:rStyle w:val="111"/>
                <w:szCs w:val="22"/>
              </w:rPr>
            </w:pPr>
            <w:r>
              <w:rPr>
                <w:rStyle w:val="111"/>
                <w:szCs w:val="22"/>
              </w:rPr>
              <w:t>хинди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16.</w:t>
            </w:r>
          </w:p>
        </w:tc>
        <w:tc>
          <w:tcPr>
            <w:tcW w:w="7063" w:type="dxa"/>
          </w:tcPr>
          <w:p w:rsidR="00000000" w:rsidRDefault="00000000">
            <w:pPr>
              <w:spacing w:after="40"/>
              <w:rPr>
                <w:rStyle w:val="111"/>
                <w:szCs w:val="22"/>
              </w:rPr>
            </w:pPr>
            <w:r>
              <w:rPr>
                <w:rStyle w:val="111"/>
                <w:szCs w:val="22"/>
              </w:rPr>
              <w:t>каннада</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17.</w:t>
            </w:r>
          </w:p>
        </w:tc>
        <w:tc>
          <w:tcPr>
            <w:tcW w:w="7063" w:type="dxa"/>
          </w:tcPr>
          <w:p w:rsidR="00000000" w:rsidRDefault="00000000">
            <w:pPr>
              <w:spacing w:after="40"/>
              <w:rPr>
                <w:rStyle w:val="111"/>
                <w:szCs w:val="22"/>
              </w:rPr>
            </w:pPr>
            <w:r>
              <w:rPr>
                <w:rStyle w:val="111"/>
                <w:szCs w:val="22"/>
              </w:rPr>
              <w:t>кашмирский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18.</w:t>
            </w:r>
          </w:p>
        </w:tc>
        <w:tc>
          <w:tcPr>
            <w:tcW w:w="7063" w:type="dxa"/>
          </w:tcPr>
          <w:p w:rsidR="00000000" w:rsidRDefault="00000000">
            <w:pPr>
              <w:spacing w:after="40"/>
              <w:rPr>
                <w:rStyle w:val="111"/>
                <w:szCs w:val="22"/>
              </w:rPr>
            </w:pPr>
            <w:r>
              <w:rPr>
                <w:rStyle w:val="111"/>
                <w:szCs w:val="22"/>
              </w:rPr>
              <w:t>кхаси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19.</w:t>
            </w:r>
          </w:p>
        </w:tc>
        <w:tc>
          <w:tcPr>
            <w:tcW w:w="7063" w:type="dxa"/>
          </w:tcPr>
          <w:p w:rsidR="00000000" w:rsidRDefault="00000000">
            <w:pPr>
              <w:spacing w:after="40"/>
              <w:rPr>
                <w:rStyle w:val="111"/>
                <w:szCs w:val="22"/>
              </w:rPr>
            </w:pPr>
            <w:r>
              <w:rPr>
                <w:rStyle w:val="111"/>
                <w:szCs w:val="22"/>
              </w:rPr>
              <w:t>конкани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20.</w:t>
            </w:r>
          </w:p>
        </w:tc>
        <w:tc>
          <w:tcPr>
            <w:tcW w:w="7063" w:type="dxa"/>
          </w:tcPr>
          <w:p w:rsidR="00000000" w:rsidRDefault="00000000">
            <w:pPr>
              <w:spacing w:after="40"/>
              <w:rPr>
                <w:rStyle w:val="111"/>
                <w:szCs w:val="22"/>
              </w:rPr>
            </w:pPr>
            <w:r>
              <w:rPr>
                <w:rStyle w:val="111"/>
                <w:szCs w:val="22"/>
              </w:rPr>
              <w:t>коньяк</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21.</w:t>
            </w:r>
          </w:p>
        </w:tc>
        <w:tc>
          <w:tcPr>
            <w:tcW w:w="7063" w:type="dxa"/>
          </w:tcPr>
          <w:p w:rsidR="00000000" w:rsidRDefault="00000000">
            <w:pPr>
              <w:spacing w:after="40"/>
              <w:rPr>
                <w:rStyle w:val="111"/>
                <w:szCs w:val="22"/>
              </w:rPr>
            </w:pPr>
            <w:r>
              <w:rPr>
                <w:rStyle w:val="111"/>
                <w:szCs w:val="22"/>
              </w:rPr>
              <w:t>ладдакхи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22.</w:t>
            </w:r>
          </w:p>
        </w:tc>
        <w:tc>
          <w:tcPr>
            <w:tcW w:w="7063" w:type="dxa"/>
          </w:tcPr>
          <w:p w:rsidR="00000000" w:rsidRDefault="00000000">
            <w:pPr>
              <w:spacing w:after="40"/>
              <w:rPr>
                <w:rStyle w:val="111"/>
                <w:szCs w:val="22"/>
              </w:rPr>
            </w:pPr>
            <w:r>
              <w:rPr>
                <w:rStyle w:val="111"/>
                <w:szCs w:val="22"/>
              </w:rPr>
              <w:t>лепча</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23.</w:t>
            </w:r>
          </w:p>
        </w:tc>
        <w:tc>
          <w:tcPr>
            <w:tcW w:w="7063" w:type="dxa"/>
          </w:tcPr>
          <w:p w:rsidR="00000000" w:rsidRDefault="00000000">
            <w:pPr>
              <w:spacing w:after="40"/>
              <w:rPr>
                <w:rStyle w:val="111"/>
                <w:szCs w:val="22"/>
              </w:rPr>
            </w:pPr>
            <w:r>
              <w:rPr>
                <w:rStyle w:val="111"/>
                <w:szCs w:val="22"/>
              </w:rPr>
              <w:t>лимбу</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24.</w:t>
            </w:r>
          </w:p>
        </w:tc>
        <w:tc>
          <w:tcPr>
            <w:tcW w:w="7063" w:type="dxa"/>
          </w:tcPr>
          <w:p w:rsidR="00000000" w:rsidRDefault="00000000">
            <w:pPr>
              <w:spacing w:after="40"/>
              <w:rPr>
                <w:rStyle w:val="111"/>
                <w:szCs w:val="22"/>
              </w:rPr>
            </w:pPr>
            <w:r>
              <w:rPr>
                <w:rStyle w:val="111"/>
                <w:szCs w:val="22"/>
              </w:rPr>
              <w:t>лотха</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25.</w:t>
            </w:r>
          </w:p>
        </w:tc>
        <w:tc>
          <w:tcPr>
            <w:tcW w:w="7063" w:type="dxa"/>
          </w:tcPr>
          <w:p w:rsidR="00000000" w:rsidRDefault="00000000">
            <w:pPr>
              <w:spacing w:after="40"/>
              <w:rPr>
                <w:rStyle w:val="111"/>
                <w:szCs w:val="22"/>
              </w:rPr>
            </w:pPr>
            <w:r>
              <w:rPr>
                <w:rStyle w:val="111"/>
                <w:szCs w:val="22"/>
              </w:rPr>
              <w:t>малайялам</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26.</w:t>
            </w:r>
          </w:p>
        </w:tc>
        <w:tc>
          <w:tcPr>
            <w:tcW w:w="7063" w:type="dxa"/>
          </w:tcPr>
          <w:p w:rsidR="00000000" w:rsidRDefault="00000000">
            <w:pPr>
              <w:spacing w:after="40"/>
              <w:rPr>
                <w:rStyle w:val="111"/>
                <w:szCs w:val="22"/>
              </w:rPr>
            </w:pPr>
            <w:r>
              <w:rPr>
                <w:rStyle w:val="111"/>
                <w:szCs w:val="22"/>
              </w:rPr>
              <w:t>манипури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27.</w:t>
            </w:r>
          </w:p>
        </w:tc>
        <w:tc>
          <w:tcPr>
            <w:tcW w:w="7063" w:type="dxa"/>
          </w:tcPr>
          <w:p w:rsidR="00000000" w:rsidRDefault="00000000">
            <w:pPr>
              <w:spacing w:after="40"/>
              <w:rPr>
                <w:rStyle w:val="111"/>
                <w:szCs w:val="22"/>
              </w:rPr>
            </w:pPr>
            <w:r>
              <w:rPr>
                <w:rStyle w:val="111"/>
                <w:szCs w:val="22"/>
              </w:rPr>
              <w:t>маратхи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28.</w:t>
            </w:r>
          </w:p>
        </w:tc>
        <w:tc>
          <w:tcPr>
            <w:tcW w:w="7063" w:type="dxa"/>
          </w:tcPr>
          <w:p w:rsidR="00000000" w:rsidRDefault="00000000">
            <w:pPr>
              <w:spacing w:after="40"/>
              <w:rPr>
                <w:rStyle w:val="111"/>
                <w:szCs w:val="22"/>
              </w:rPr>
            </w:pPr>
            <w:r>
              <w:rPr>
                <w:rStyle w:val="111"/>
                <w:szCs w:val="22"/>
              </w:rPr>
              <w:t>майтхили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29.</w:t>
            </w:r>
          </w:p>
        </w:tc>
        <w:tc>
          <w:tcPr>
            <w:tcW w:w="7063" w:type="dxa"/>
          </w:tcPr>
          <w:p w:rsidR="00000000" w:rsidRDefault="00000000">
            <w:pPr>
              <w:spacing w:after="40"/>
              <w:rPr>
                <w:rStyle w:val="111"/>
                <w:szCs w:val="22"/>
              </w:rPr>
            </w:pPr>
            <w:r>
              <w:rPr>
                <w:rStyle w:val="111"/>
                <w:szCs w:val="22"/>
              </w:rPr>
              <w:t>мизо</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30.</w:t>
            </w:r>
          </w:p>
        </w:tc>
        <w:tc>
          <w:tcPr>
            <w:tcW w:w="7063" w:type="dxa"/>
          </w:tcPr>
          <w:p w:rsidR="00000000" w:rsidRDefault="00000000">
            <w:pPr>
              <w:spacing w:after="40"/>
              <w:rPr>
                <w:rStyle w:val="111"/>
                <w:szCs w:val="22"/>
              </w:rPr>
            </w:pPr>
            <w:r>
              <w:rPr>
                <w:rStyle w:val="111"/>
                <w:szCs w:val="22"/>
              </w:rPr>
              <w:t>непальский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31.</w:t>
            </w:r>
          </w:p>
        </w:tc>
        <w:tc>
          <w:tcPr>
            <w:tcW w:w="7063" w:type="dxa"/>
          </w:tcPr>
          <w:p w:rsidR="00000000" w:rsidRDefault="00000000">
            <w:pPr>
              <w:spacing w:after="40"/>
              <w:rPr>
                <w:rStyle w:val="111"/>
                <w:szCs w:val="22"/>
              </w:rPr>
            </w:pPr>
            <w:r>
              <w:rPr>
                <w:rStyle w:val="111"/>
                <w:szCs w:val="22"/>
              </w:rPr>
              <w:t>никобарский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32.</w:t>
            </w:r>
          </w:p>
        </w:tc>
        <w:tc>
          <w:tcPr>
            <w:tcW w:w="7063" w:type="dxa"/>
          </w:tcPr>
          <w:p w:rsidR="00000000" w:rsidRDefault="00000000">
            <w:pPr>
              <w:spacing w:after="40"/>
              <w:rPr>
                <w:rStyle w:val="111"/>
                <w:szCs w:val="22"/>
              </w:rPr>
            </w:pPr>
            <w:r>
              <w:rPr>
                <w:rStyle w:val="111"/>
                <w:szCs w:val="22"/>
              </w:rPr>
              <w:t>орийя</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33.</w:t>
            </w:r>
          </w:p>
        </w:tc>
        <w:tc>
          <w:tcPr>
            <w:tcW w:w="7063" w:type="dxa"/>
          </w:tcPr>
          <w:p w:rsidR="00000000" w:rsidRDefault="00000000">
            <w:pPr>
              <w:spacing w:after="40"/>
              <w:rPr>
                <w:rStyle w:val="111"/>
                <w:szCs w:val="22"/>
              </w:rPr>
            </w:pPr>
            <w:r>
              <w:rPr>
                <w:rStyle w:val="111"/>
                <w:szCs w:val="22"/>
              </w:rPr>
              <w:t>орийя (нижний диалект)</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34.</w:t>
            </w:r>
          </w:p>
        </w:tc>
        <w:tc>
          <w:tcPr>
            <w:tcW w:w="7063" w:type="dxa"/>
          </w:tcPr>
          <w:p w:rsidR="00000000" w:rsidRDefault="00000000">
            <w:pPr>
              <w:spacing w:after="40"/>
              <w:rPr>
                <w:rStyle w:val="111"/>
                <w:szCs w:val="22"/>
              </w:rPr>
            </w:pPr>
            <w:r>
              <w:rPr>
                <w:rStyle w:val="111"/>
                <w:szCs w:val="22"/>
              </w:rPr>
              <w:t>персидский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35.</w:t>
            </w:r>
          </w:p>
        </w:tc>
        <w:tc>
          <w:tcPr>
            <w:tcW w:w="7063" w:type="dxa"/>
          </w:tcPr>
          <w:p w:rsidR="00000000" w:rsidRDefault="00000000">
            <w:pPr>
              <w:spacing w:after="40"/>
              <w:rPr>
                <w:rStyle w:val="111"/>
                <w:szCs w:val="22"/>
              </w:rPr>
            </w:pPr>
            <w:r>
              <w:rPr>
                <w:rStyle w:val="111"/>
                <w:szCs w:val="22"/>
              </w:rPr>
              <w:t>португальский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36.</w:t>
            </w:r>
          </w:p>
        </w:tc>
        <w:tc>
          <w:tcPr>
            <w:tcW w:w="7063" w:type="dxa"/>
          </w:tcPr>
          <w:p w:rsidR="00000000" w:rsidRDefault="00000000">
            <w:pPr>
              <w:spacing w:after="40"/>
              <w:rPr>
                <w:rStyle w:val="111"/>
                <w:szCs w:val="22"/>
              </w:rPr>
            </w:pPr>
            <w:r>
              <w:rPr>
                <w:rStyle w:val="111"/>
                <w:szCs w:val="22"/>
              </w:rPr>
              <w:t>пенджабский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37.</w:t>
            </w:r>
          </w:p>
        </w:tc>
        <w:tc>
          <w:tcPr>
            <w:tcW w:w="7063" w:type="dxa"/>
          </w:tcPr>
          <w:p w:rsidR="00000000" w:rsidRDefault="00000000">
            <w:pPr>
              <w:spacing w:after="40"/>
              <w:rPr>
                <w:rStyle w:val="111"/>
                <w:szCs w:val="22"/>
              </w:rPr>
            </w:pPr>
            <w:r>
              <w:rPr>
                <w:rStyle w:val="111"/>
                <w:szCs w:val="22"/>
              </w:rPr>
              <w:t>раджастани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38.</w:t>
            </w:r>
          </w:p>
        </w:tc>
        <w:tc>
          <w:tcPr>
            <w:tcW w:w="7063" w:type="dxa"/>
          </w:tcPr>
          <w:p w:rsidR="00000000" w:rsidRDefault="00000000">
            <w:pPr>
              <w:spacing w:after="40"/>
              <w:rPr>
                <w:rStyle w:val="111"/>
                <w:szCs w:val="22"/>
              </w:rPr>
            </w:pPr>
            <w:r>
              <w:rPr>
                <w:rStyle w:val="111"/>
                <w:szCs w:val="22"/>
              </w:rPr>
              <w:t>санскрит</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39.</w:t>
            </w:r>
          </w:p>
        </w:tc>
        <w:tc>
          <w:tcPr>
            <w:tcW w:w="7063" w:type="dxa"/>
          </w:tcPr>
          <w:p w:rsidR="00000000" w:rsidRDefault="00000000">
            <w:pPr>
              <w:spacing w:after="40"/>
              <w:rPr>
                <w:rStyle w:val="111"/>
                <w:szCs w:val="22"/>
              </w:rPr>
            </w:pPr>
            <w:r>
              <w:rPr>
                <w:rStyle w:val="111"/>
                <w:szCs w:val="22"/>
              </w:rPr>
              <w:t>сема</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40.</w:t>
            </w:r>
          </w:p>
        </w:tc>
        <w:tc>
          <w:tcPr>
            <w:tcW w:w="7063" w:type="dxa"/>
          </w:tcPr>
          <w:p w:rsidR="00000000" w:rsidRDefault="00000000">
            <w:pPr>
              <w:spacing w:after="40"/>
              <w:rPr>
                <w:rStyle w:val="111"/>
                <w:szCs w:val="22"/>
              </w:rPr>
            </w:pPr>
            <w:r>
              <w:rPr>
                <w:rStyle w:val="111"/>
                <w:szCs w:val="22"/>
              </w:rPr>
              <w:t>синдхи</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41.</w:t>
            </w:r>
          </w:p>
        </w:tc>
        <w:tc>
          <w:tcPr>
            <w:tcW w:w="7063" w:type="dxa"/>
          </w:tcPr>
          <w:p w:rsidR="00000000" w:rsidRDefault="00000000">
            <w:pPr>
              <w:spacing w:after="40"/>
              <w:rPr>
                <w:rStyle w:val="111"/>
                <w:szCs w:val="22"/>
              </w:rPr>
            </w:pPr>
            <w:r>
              <w:rPr>
                <w:rStyle w:val="111"/>
                <w:szCs w:val="22"/>
              </w:rPr>
              <w:t>тамильский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42.</w:t>
            </w:r>
          </w:p>
        </w:tc>
        <w:tc>
          <w:tcPr>
            <w:tcW w:w="7063" w:type="dxa"/>
          </w:tcPr>
          <w:p w:rsidR="00000000" w:rsidRDefault="00000000">
            <w:pPr>
              <w:spacing w:after="40"/>
              <w:rPr>
                <w:rStyle w:val="111"/>
                <w:szCs w:val="22"/>
              </w:rPr>
            </w:pPr>
            <w:r>
              <w:rPr>
                <w:rStyle w:val="111"/>
                <w:szCs w:val="22"/>
              </w:rPr>
              <w:t>тибетский</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43.</w:t>
            </w:r>
          </w:p>
        </w:tc>
        <w:tc>
          <w:tcPr>
            <w:tcW w:w="7063" w:type="dxa"/>
          </w:tcPr>
          <w:p w:rsidR="00000000" w:rsidRDefault="00000000">
            <w:pPr>
              <w:spacing w:after="40"/>
              <w:rPr>
                <w:rStyle w:val="111"/>
                <w:szCs w:val="22"/>
              </w:rPr>
            </w:pPr>
            <w:r>
              <w:rPr>
                <w:rStyle w:val="111"/>
                <w:szCs w:val="22"/>
              </w:rPr>
              <w:t>урду</w:t>
            </w:r>
          </w:p>
        </w:tc>
      </w:tr>
      <w:tr w:rsidR="00000000">
        <w:tblPrEx>
          <w:tblCellMar>
            <w:top w:w="0" w:type="dxa"/>
            <w:bottom w:w="0" w:type="dxa"/>
          </w:tblCellMar>
        </w:tblPrEx>
        <w:tc>
          <w:tcPr>
            <w:tcW w:w="2508" w:type="dxa"/>
            <w:tcMar>
              <w:right w:w="567" w:type="dxa"/>
            </w:tcMar>
          </w:tcPr>
          <w:p w:rsidR="00000000" w:rsidRDefault="00000000">
            <w:pPr>
              <w:spacing w:after="40" w:line="240" w:lineRule="exact"/>
              <w:ind w:left="680"/>
              <w:rPr>
                <w:sz w:val="22"/>
                <w:szCs w:val="22"/>
              </w:rPr>
            </w:pPr>
            <w:r>
              <w:rPr>
                <w:sz w:val="22"/>
                <w:szCs w:val="22"/>
              </w:rPr>
              <w:t>44.</w:t>
            </w:r>
          </w:p>
        </w:tc>
        <w:tc>
          <w:tcPr>
            <w:tcW w:w="7063" w:type="dxa"/>
          </w:tcPr>
          <w:p w:rsidR="00000000" w:rsidRDefault="00000000">
            <w:pPr>
              <w:spacing w:after="40"/>
              <w:rPr>
                <w:rStyle w:val="111"/>
                <w:szCs w:val="22"/>
              </w:rPr>
            </w:pPr>
            <w:r>
              <w:rPr>
                <w:rStyle w:val="111"/>
                <w:szCs w:val="22"/>
              </w:rPr>
              <w:t>зельянг</w:t>
            </w:r>
          </w:p>
        </w:tc>
      </w:tr>
    </w:tbl>
    <w:p w:rsidR="00000000" w:rsidRDefault="00000000">
      <w:pPr>
        <w:spacing w:after="40"/>
        <w:jc w:val="both"/>
        <w:rPr>
          <w:b/>
          <w:bCs/>
          <w:sz w:val="22"/>
          <w:szCs w:val="22"/>
          <w:lang w:val="en-US"/>
        </w:rPr>
      </w:pPr>
    </w:p>
    <w:p w:rsidR="00000000" w:rsidRDefault="00000000">
      <w:pPr>
        <w:spacing w:after="40"/>
        <w:jc w:val="both"/>
        <w:rPr>
          <w:b/>
          <w:bCs/>
          <w:sz w:val="22"/>
          <w:szCs w:val="22"/>
        </w:rPr>
      </w:pPr>
      <w:r>
        <w:rPr>
          <w:b/>
          <w:bCs/>
          <w:sz w:val="22"/>
          <w:szCs w:val="22"/>
        </w:rPr>
        <w:t>Таблица 13.21.  Школы в разбивке по количеству изучаемых языков</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30"/>
        <w:gridCol w:w="1507"/>
        <w:gridCol w:w="1556"/>
        <w:gridCol w:w="1619"/>
        <w:gridCol w:w="1619"/>
        <w:gridCol w:w="1808"/>
      </w:tblGrid>
      <w:tr w:rsidR="00000000">
        <w:tblPrEx>
          <w:tblCellMar>
            <w:top w:w="0" w:type="dxa"/>
            <w:bottom w:w="0" w:type="dxa"/>
          </w:tblCellMar>
        </w:tblPrEx>
        <w:trPr>
          <w:jc w:val="center"/>
        </w:trPr>
        <w:tc>
          <w:tcPr>
            <w:tcW w:w="1389" w:type="dxa"/>
          </w:tcPr>
          <w:p w:rsidR="00000000" w:rsidRDefault="00000000">
            <w:pPr>
              <w:pStyle w:val="112"/>
              <w:spacing w:before="40" w:after="40"/>
              <w:jc w:val="center"/>
              <w:rPr>
                <w:sz w:val="20"/>
              </w:rPr>
            </w:pPr>
            <w:r>
              <w:rPr>
                <w:sz w:val="20"/>
              </w:rPr>
              <w:t>Школа</w:t>
            </w:r>
          </w:p>
        </w:tc>
        <w:tc>
          <w:tcPr>
            <w:tcW w:w="1368" w:type="dxa"/>
          </w:tcPr>
          <w:p w:rsidR="00000000" w:rsidRDefault="00000000">
            <w:pPr>
              <w:pStyle w:val="112"/>
              <w:spacing w:before="40" w:after="40"/>
              <w:jc w:val="center"/>
              <w:rPr>
                <w:sz w:val="20"/>
              </w:rPr>
            </w:pPr>
            <w:r>
              <w:rPr>
                <w:sz w:val="20"/>
              </w:rPr>
              <w:t>Район</w:t>
            </w:r>
          </w:p>
        </w:tc>
        <w:tc>
          <w:tcPr>
            <w:tcW w:w="1412" w:type="dxa"/>
          </w:tcPr>
          <w:p w:rsidR="00000000" w:rsidRDefault="00000000">
            <w:pPr>
              <w:pStyle w:val="112"/>
              <w:spacing w:before="40" w:after="40"/>
              <w:jc w:val="center"/>
              <w:rPr>
                <w:sz w:val="20"/>
              </w:rPr>
            </w:pPr>
            <w:r>
              <w:rPr>
                <w:sz w:val="20"/>
              </w:rPr>
              <w:t>Один язык</w:t>
            </w:r>
          </w:p>
        </w:tc>
        <w:tc>
          <w:tcPr>
            <w:tcW w:w="1469" w:type="dxa"/>
          </w:tcPr>
          <w:p w:rsidR="00000000" w:rsidRDefault="00000000">
            <w:pPr>
              <w:pStyle w:val="112"/>
              <w:spacing w:before="40" w:after="40"/>
              <w:jc w:val="center"/>
              <w:rPr>
                <w:sz w:val="20"/>
              </w:rPr>
            </w:pPr>
            <w:r>
              <w:rPr>
                <w:sz w:val="20"/>
              </w:rPr>
              <w:t>Два языка</w:t>
            </w:r>
          </w:p>
        </w:tc>
        <w:tc>
          <w:tcPr>
            <w:tcW w:w="1469" w:type="dxa"/>
          </w:tcPr>
          <w:p w:rsidR="00000000" w:rsidRDefault="00000000">
            <w:pPr>
              <w:pStyle w:val="112"/>
              <w:spacing w:before="40" w:after="40"/>
              <w:jc w:val="center"/>
              <w:rPr>
                <w:sz w:val="20"/>
              </w:rPr>
            </w:pPr>
            <w:r>
              <w:rPr>
                <w:sz w:val="20"/>
              </w:rPr>
              <w:t>Три языка</w:t>
            </w:r>
          </w:p>
        </w:tc>
        <w:tc>
          <w:tcPr>
            <w:tcW w:w="1641" w:type="dxa"/>
          </w:tcPr>
          <w:p w:rsidR="00000000" w:rsidRDefault="00000000">
            <w:pPr>
              <w:pStyle w:val="112"/>
              <w:spacing w:before="40" w:after="40"/>
              <w:jc w:val="center"/>
              <w:rPr>
                <w:sz w:val="20"/>
              </w:rPr>
            </w:pPr>
            <w:r>
              <w:rPr>
                <w:sz w:val="20"/>
              </w:rPr>
              <w:t>Более трех языков</w:t>
            </w:r>
          </w:p>
        </w:tc>
      </w:tr>
      <w:tr w:rsidR="00000000">
        <w:tblPrEx>
          <w:tblCellMar>
            <w:top w:w="0" w:type="dxa"/>
            <w:bottom w:w="0" w:type="dxa"/>
          </w:tblCellMar>
        </w:tblPrEx>
        <w:trPr>
          <w:jc w:val="center"/>
        </w:trPr>
        <w:tc>
          <w:tcPr>
            <w:tcW w:w="1389" w:type="dxa"/>
          </w:tcPr>
          <w:p w:rsidR="00000000" w:rsidRDefault="00000000">
            <w:pPr>
              <w:pStyle w:val="112"/>
              <w:spacing w:before="40" w:after="40"/>
              <w:rPr>
                <w:sz w:val="20"/>
              </w:rPr>
            </w:pPr>
            <w:r>
              <w:rPr>
                <w:sz w:val="20"/>
              </w:rPr>
              <w:t>Начальные школы младшей ступени</w:t>
            </w:r>
          </w:p>
        </w:tc>
        <w:tc>
          <w:tcPr>
            <w:tcW w:w="1368" w:type="dxa"/>
          </w:tcPr>
          <w:p w:rsidR="00000000" w:rsidRDefault="00000000">
            <w:pPr>
              <w:pStyle w:val="112"/>
              <w:spacing w:before="40" w:after="40"/>
              <w:rPr>
                <w:sz w:val="20"/>
              </w:rPr>
            </w:pPr>
            <w:r>
              <w:rPr>
                <w:sz w:val="20"/>
              </w:rPr>
              <w:t>Село</w:t>
            </w:r>
          </w:p>
        </w:tc>
        <w:tc>
          <w:tcPr>
            <w:tcW w:w="1412" w:type="dxa"/>
          </w:tcPr>
          <w:p w:rsidR="00000000" w:rsidRDefault="00000000">
            <w:pPr>
              <w:spacing w:before="40" w:after="40"/>
              <w:rPr>
                <w:sz w:val="20"/>
                <w:szCs w:val="20"/>
              </w:rPr>
            </w:pPr>
            <w:r>
              <w:rPr>
                <w:sz w:val="20"/>
                <w:szCs w:val="20"/>
              </w:rPr>
              <w:t>548 593</w:t>
            </w:r>
          </w:p>
          <w:p w:rsidR="00000000" w:rsidRDefault="00000000">
            <w:pPr>
              <w:spacing w:before="40" w:after="40"/>
              <w:rPr>
                <w:sz w:val="20"/>
                <w:szCs w:val="20"/>
              </w:rPr>
            </w:pPr>
            <w:r>
              <w:rPr>
                <w:sz w:val="20"/>
                <w:szCs w:val="20"/>
              </w:rPr>
              <w:t>(98,55%)</w:t>
            </w:r>
          </w:p>
        </w:tc>
        <w:tc>
          <w:tcPr>
            <w:tcW w:w="1469" w:type="dxa"/>
          </w:tcPr>
          <w:p w:rsidR="00000000" w:rsidRDefault="00000000">
            <w:pPr>
              <w:spacing w:before="40" w:after="40"/>
              <w:rPr>
                <w:sz w:val="20"/>
                <w:szCs w:val="20"/>
              </w:rPr>
            </w:pPr>
            <w:r>
              <w:rPr>
                <w:sz w:val="20"/>
                <w:szCs w:val="20"/>
              </w:rPr>
              <w:t>7 699</w:t>
            </w:r>
          </w:p>
          <w:p w:rsidR="00000000" w:rsidRDefault="00000000">
            <w:pPr>
              <w:spacing w:before="40" w:after="40"/>
              <w:rPr>
                <w:sz w:val="20"/>
                <w:szCs w:val="20"/>
              </w:rPr>
            </w:pPr>
            <w:r>
              <w:rPr>
                <w:sz w:val="20"/>
                <w:szCs w:val="20"/>
              </w:rPr>
              <w:t>(1,38%)</w:t>
            </w:r>
          </w:p>
        </w:tc>
        <w:tc>
          <w:tcPr>
            <w:tcW w:w="1469" w:type="dxa"/>
          </w:tcPr>
          <w:p w:rsidR="00000000" w:rsidRDefault="00000000">
            <w:pPr>
              <w:spacing w:before="40" w:after="40"/>
              <w:rPr>
                <w:sz w:val="20"/>
                <w:szCs w:val="20"/>
              </w:rPr>
            </w:pPr>
            <w:r>
              <w:rPr>
                <w:sz w:val="20"/>
                <w:szCs w:val="20"/>
              </w:rPr>
              <w:t>356</w:t>
            </w:r>
          </w:p>
          <w:p w:rsidR="00000000" w:rsidRDefault="00000000">
            <w:pPr>
              <w:spacing w:before="40" w:after="40"/>
              <w:rPr>
                <w:sz w:val="20"/>
                <w:szCs w:val="20"/>
              </w:rPr>
            </w:pPr>
            <w:r>
              <w:rPr>
                <w:sz w:val="20"/>
                <w:szCs w:val="20"/>
              </w:rPr>
              <w:t>(0,06%)</w:t>
            </w:r>
          </w:p>
        </w:tc>
        <w:tc>
          <w:tcPr>
            <w:tcW w:w="1641" w:type="dxa"/>
          </w:tcPr>
          <w:p w:rsidR="00000000" w:rsidRDefault="00000000">
            <w:pPr>
              <w:spacing w:before="40" w:after="40"/>
              <w:rPr>
                <w:sz w:val="20"/>
                <w:szCs w:val="20"/>
              </w:rPr>
            </w:pPr>
            <w:r>
              <w:rPr>
                <w:sz w:val="20"/>
                <w:szCs w:val="20"/>
              </w:rPr>
              <w:t>4</w:t>
            </w:r>
          </w:p>
          <w:p w:rsidR="00000000" w:rsidRDefault="00000000">
            <w:pPr>
              <w:spacing w:before="40" w:after="40"/>
              <w:rPr>
                <w:sz w:val="20"/>
                <w:szCs w:val="20"/>
              </w:rPr>
            </w:pPr>
            <w:r>
              <w:rPr>
                <w:sz w:val="20"/>
                <w:szCs w:val="20"/>
              </w:rPr>
              <w:t>(0,00%)</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Город</w:t>
            </w:r>
          </w:p>
        </w:tc>
        <w:tc>
          <w:tcPr>
            <w:tcW w:w="1412" w:type="dxa"/>
          </w:tcPr>
          <w:p w:rsidR="00000000" w:rsidRDefault="00000000">
            <w:pPr>
              <w:spacing w:before="40" w:after="40"/>
              <w:rPr>
                <w:sz w:val="20"/>
                <w:szCs w:val="20"/>
              </w:rPr>
            </w:pPr>
            <w:r>
              <w:rPr>
                <w:sz w:val="20"/>
                <w:szCs w:val="20"/>
              </w:rPr>
              <w:t>72 207</w:t>
            </w:r>
          </w:p>
          <w:p w:rsidR="00000000" w:rsidRDefault="00000000">
            <w:pPr>
              <w:spacing w:before="40" w:after="40"/>
              <w:rPr>
                <w:sz w:val="20"/>
                <w:szCs w:val="20"/>
              </w:rPr>
            </w:pPr>
            <w:r>
              <w:rPr>
                <w:sz w:val="20"/>
                <w:szCs w:val="20"/>
              </w:rPr>
              <w:t>(96,72%)</w:t>
            </w:r>
          </w:p>
        </w:tc>
        <w:tc>
          <w:tcPr>
            <w:tcW w:w="1469" w:type="dxa"/>
          </w:tcPr>
          <w:p w:rsidR="00000000" w:rsidRDefault="00000000">
            <w:pPr>
              <w:spacing w:before="40" w:after="40"/>
              <w:rPr>
                <w:sz w:val="20"/>
                <w:szCs w:val="20"/>
              </w:rPr>
            </w:pPr>
            <w:r>
              <w:rPr>
                <w:sz w:val="20"/>
                <w:szCs w:val="20"/>
              </w:rPr>
              <w:t>2 306</w:t>
            </w:r>
          </w:p>
          <w:p w:rsidR="00000000" w:rsidRDefault="00000000">
            <w:pPr>
              <w:spacing w:before="40" w:after="40"/>
              <w:rPr>
                <w:sz w:val="20"/>
                <w:szCs w:val="20"/>
              </w:rPr>
            </w:pPr>
            <w:r>
              <w:rPr>
                <w:sz w:val="20"/>
                <w:szCs w:val="20"/>
              </w:rPr>
              <w:t>(3,09%)</w:t>
            </w:r>
          </w:p>
        </w:tc>
        <w:tc>
          <w:tcPr>
            <w:tcW w:w="1469" w:type="dxa"/>
          </w:tcPr>
          <w:p w:rsidR="00000000" w:rsidRDefault="00000000">
            <w:pPr>
              <w:spacing w:before="40" w:after="40"/>
              <w:rPr>
                <w:sz w:val="20"/>
                <w:szCs w:val="20"/>
              </w:rPr>
            </w:pPr>
            <w:r>
              <w:rPr>
                <w:sz w:val="20"/>
                <w:szCs w:val="20"/>
              </w:rPr>
              <w:t>137</w:t>
            </w:r>
          </w:p>
          <w:p w:rsidR="00000000" w:rsidRDefault="00000000">
            <w:pPr>
              <w:spacing w:before="40" w:after="40"/>
              <w:rPr>
                <w:sz w:val="20"/>
                <w:szCs w:val="20"/>
              </w:rPr>
            </w:pPr>
            <w:r>
              <w:rPr>
                <w:sz w:val="20"/>
                <w:szCs w:val="20"/>
              </w:rPr>
              <w:t>(0,18%)</w:t>
            </w:r>
          </w:p>
        </w:tc>
        <w:tc>
          <w:tcPr>
            <w:tcW w:w="1641" w:type="dxa"/>
          </w:tcPr>
          <w:p w:rsidR="00000000" w:rsidRDefault="00000000">
            <w:pPr>
              <w:spacing w:before="40" w:after="40"/>
              <w:rPr>
                <w:sz w:val="20"/>
                <w:szCs w:val="20"/>
              </w:rPr>
            </w:pPr>
            <w:r>
              <w:rPr>
                <w:sz w:val="20"/>
                <w:szCs w:val="20"/>
              </w:rPr>
              <w:t>6</w:t>
            </w:r>
          </w:p>
          <w:p w:rsidR="00000000" w:rsidRDefault="00000000">
            <w:pPr>
              <w:spacing w:before="40" w:after="40"/>
              <w:rPr>
                <w:sz w:val="20"/>
                <w:szCs w:val="20"/>
              </w:rPr>
            </w:pPr>
            <w:r>
              <w:rPr>
                <w:sz w:val="20"/>
                <w:szCs w:val="20"/>
              </w:rPr>
              <w:t>(0,01%)</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Итого</w:t>
            </w:r>
          </w:p>
        </w:tc>
        <w:tc>
          <w:tcPr>
            <w:tcW w:w="1412" w:type="dxa"/>
          </w:tcPr>
          <w:p w:rsidR="00000000" w:rsidRDefault="00000000">
            <w:pPr>
              <w:spacing w:before="40" w:after="40"/>
              <w:rPr>
                <w:sz w:val="20"/>
                <w:szCs w:val="20"/>
              </w:rPr>
            </w:pPr>
            <w:r>
              <w:rPr>
                <w:sz w:val="20"/>
                <w:szCs w:val="20"/>
              </w:rPr>
              <w:t>620 800</w:t>
            </w:r>
          </w:p>
          <w:p w:rsidR="00000000" w:rsidRDefault="00000000">
            <w:pPr>
              <w:spacing w:before="40" w:after="40"/>
              <w:rPr>
                <w:sz w:val="20"/>
                <w:szCs w:val="20"/>
              </w:rPr>
            </w:pPr>
            <w:r>
              <w:rPr>
                <w:sz w:val="20"/>
                <w:szCs w:val="20"/>
              </w:rPr>
              <w:t>(98,33%)</w:t>
            </w:r>
          </w:p>
        </w:tc>
        <w:tc>
          <w:tcPr>
            <w:tcW w:w="1469" w:type="dxa"/>
          </w:tcPr>
          <w:p w:rsidR="00000000" w:rsidRDefault="00000000">
            <w:pPr>
              <w:spacing w:before="40" w:after="40"/>
              <w:rPr>
                <w:sz w:val="20"/>
                <w:szCs w:val="20"/>
              </w:rPr>
            </w:pPr>
            <w:r>
              <w:rPr>
                <w:sz w:val="20"/>
                <w:szCs w:val="20"/>
              </w:rPr>
              <w:t>10 005</w:t>
            </w:r>
          </w:p>
          <w:p w:rsidR="00000000" w:rsidRDefault="00000000">
            <w:pPr>
              <w:spacing w:before="40" w:after="40"/>
              <w:rPr>
                <w:sz w:val="20"/>
                <w:szCs w:val="20"/>
              </w:rPr>
            </w:pPr>
            <w:r>
              <w:rPr>
                <w:sz w:val="20"/>
                <w:szCs w:val="20"/>
              </w:rPr>
              <w:t>(1,58%)</w:t>
            </w:r>
          </w:p>
        </w:tc>
        <w:tc>
          <w:tcPr>
            <w:tcW w:w="1469" w:type="dxa"/>
          </w:tcPr>
          <w:p w:rsidR="00000000" w:rsidRDefault="00000000">
            <w:pPr>
              <w:spacing w:before="40" w:after="40"/>
              <w:rPr>
                <w:sz w:val="20"/>
                <w:szCs w:val="20"/>
              </w:rPr>
            </w:pPr>
            <w:r>
              <w:rPr>
                <w:sz w:val="20"/>
                <w:szCs w:val="20"/>
              </w:rPr>
              <w:t>493</w:t>
            </w:r>
          </w:p>
          <w:p w:rsidR="00000000" w:rsidRDefault="00000000">
            <w:pPr>
              <w:spacing w:before="40" w:after="40"/>
              <w:rPr>
                <w:sz w:val="20"/>
                <w:szCs w:val="20"/>
              </w:rPr>
            </w:pPr>
            <w:r>
              <w:rPr>
                <w:sz w:val="20"/>
                <w:szCs w:val="20"/>
              </w:rPr>
              <w:t>(0,08%)</w:t>
            </w:r>
          </w:p>
        </w:tc>
        <w:tc>
          <w:tcPr>
            <w:tcW w:w="1641" w:type="dxa"/>
          </w:tcPr>
          <w:p w:rsidR="00000000" w:rsidRDefault="00000000">
            <w:pPr>
              <w:spacing w:before="40" w:after="40"/>
              <w:rPr>
                <w:sz w:val="20"/>
                <w:szCs w:val="20"/>
              </w:rPr>
            </w:pPr>
            <w:r>
              <w:rPr>
                <w:sz w:val="20"/>
                <w:szCs w:val="20"/>
              </w:rPr>
              <w:t>10</w:t>
            </w:r>
          </w:p>
          <w:p w:rsidR="00000000" w:rsidRDefault="00000000">
            <w:pPr>
              <w:spacing w:before="40" w:after="40"/>
              <w:rPr>
                <w:sz w:val="20"/>
                <w:szCs w:val="20"/>
              </w:rPr>
            </w:pPr>
            <w:r>
              <w:rPr>
                <w:sz w:val="20"/>
                <w:szCs w:val="20"/>
              </w:rPr>
              <w:t>(0,00%)</w:t>
            </w:r>
          </w:p>
        </w:tc>
      </w:tr>
      <w:tr w:rsidR="00000000">
        <w:tblPrEx>
          <w:tblCellMar>
            <w:top w:w="0" w:type="dxa"/>
            <w:bottom w:w="0" w:type="dxa"/>
          </w:tblCellMar>
        </w:tblPrEx>
        <w:trPr>
          <w:jc w:val="center"/>
        </w:trPr>
        <w:tc>
          <w:tcPr>
            <w:tcW w:w="1389" w:type="dxa"/>
          </w:tcPr>
          <w:p w:rsidR="00000000" w:rsidRDefault="00000000">
            <w:pPr>
              <w:pStyle w:val="112"/>
              <w:spacing w:before="40" w:after="40"/>
              <w:rPr>
                <w:sz w:val="20"/>
              </w:rPr>
            </w:pPr>
            <w:r>
              <w:rPr>
                <w:sz w:val="20"/>
              </w:rPr>
              <w:t>Начальные школы старшей ступени</w:t>
            </w:r>
          </w:p>
        </w:tc>
        <w:tc>
          <w:tcPr>
            <w:tcW w:w="1368" w:type="dxa"/>
          </w:tcPr>
          <w:p w:rsidR="00000000" w:rsidRDefault="00000000">
            <w:pPr>
              <w:pStyle w:val="112"/>
              <w:spacing w:before="40" w:after="40"/>
              <w:rPr>
                <w:sz w:val="20"/>
              </w:rPr>
            </w:pPr>
            <w:r>
              <w:rPr>
                <w:sz w:val="20"/>
              </w:rPr>
              <w:t>Село</w:t>
            </w:r>
          </w:p>
        </w:tc>
        <w:tc>
          <w:tcPr>
            <w:tcW w:w="1412" w:type="dxa"/>
          </w:tcPr>
          <w:p w:rsidR="00000000" w:rsidRDefault="00000000">
            <w:pPr>
              <w:spacing w:before="40" w:after="40"/>
              <w:rPr>
                <w:sz w:val="20"/>
                <w:szCs w:val="20"/>
              </w:rPr>
            </w:pPr>
            <w:r>
              <w:rPr>
                <w:sz w:val="20"/>
                <w:szCs w:val="20"/>
              </w:rPr>
              <w:t>141 119</w:t>
            </w:r>
          </w:p>
          <w:p w:rsidR="00000000" w:rsidRDefault="00000000">
            <w:pPr>
              <w:spacing w:before="40" w:after="40"/>
              <w:rPr>
                <w:sz w:val="20"/>
                <w:szCs w:val="20"/>
              </w:rPr>
            </w:pPr>
            <w:r>
              <w:rPr>
                <w:sz w:val="20"/>
                <w:szCs w:val="20"/>
              </w:rPr>
              <w:t>(97,03%)</w:t>
            </w:r>
          </w:p>
        </w:tc>
        <w:tc>
          <w:tcPr>
            <w:tcW w:w="1469" w:type="dxa"/>
          </w:tcPr>
          <w:p w:rsidR="00000000" w:rsidRDefault="00000000">
            <w:pPr>
              <w:spacing w:before="40" w:after="40"/>
              <w:rPr>
                <w:sz w:val="20"/>
                <w:szCs w:val="20"/>
              </w:rPr>
            </w:pPr>
            <w:r>
              <w:rPr>
                <w:sz w:val="20"/>
                <w:szCs w:val="20"/>
              </w:rPr>
              <w:t>2 399</w:t>
            </w:r>
          </w:p>
          <w:p w:rsidR="00000000" w:rsidRDefault="00000000">
            <w:pPr>
              <w:spacing w:before="40" w:after="40"/>
              <w:rPr>
                <w:sz w:val="20"/>
                <w:szCs w:val="20"/>
              </w:rPr>
            </w:pPr>
            <w:r>
              <w:rPr>
                <w:sz w:val="20"/>
                <w:szCs w:val="20"/>
              </w:rPr>
              <w:t>(1,65%)</w:t>
            </w:r>
          </w:p>
        </w:tc>
        <w:tc>
          <w:tcPr>
            <w:tcW w:w="1469" w:type="dxa"/>
          </w:tcPr>
          <w:p w:rsidR="00000000" w:rsidRDefault="00000000">
            <w:pPr>
              <w:spacing w:before="40" w:after="40"/>
              <w:rPr>
                <w:sz w:val="20"/>
                <w:szCs w:val="20"/>
              </w:rPr>
            </w:pPr>
            <w:r>
              <w:rPr>
                <w:sz w:val="20"/>
                <w:szCs w:val="20"/>
              </w:rPr>
              <w:t>1 509</w:t>
            </w:r>
          </w:p>
          <w:p w:rsidR="00000000" w:rsidRDefault="00000000">
            <w:pPr>
              <w:spacing w:before="40" w:after="40"/>
              <w:rPr>
                <w:sz w:val="20"/>
                <w:szCs w:val="20"/>
              </w:rPr>
            </w:pPr>
            <w:r>
              <w:rPr>
                <w:sz w:val="20"/>
                <w:szCs w:val="20"/>
              </w:rPr>
              <w:t>(1,04%)</w:t>
            </w:r>
          </w:p>
        </w:tc>
        <w:tc>
          <w:tcPr>
            <w:tcW w:w="1641" w:type="dxa"/>
          </w:tcPr>
          <w:p w:rsidR="00000000" w:rsidRDefault="00000000">
            <w:pPr>
              <w:spacing w:before="40" w:after="40"/>
              <w:rPr>
                <w:sz w:val="20"/>
                <w:szCs w:val="20"/>
              </w:rPr>
            </w:pPr>
            <w:r>
              <w:rPr>
                <w:sz w:val="20"/>
                <w:szCs w:val="20"/>
              </w:rPr>
              <w:t>2</w:t>
            </w:r>
          </w:p>
          <w:p w:rsidR="00000000" w:rsidRDefault="00000000">
            <w:pPr>
              <w:spacing w:before="40" w:after="40"/>
              <w:rPr>
                <w:sz w:val="20"/>
                <w:szCs w:val="20"/>
              </w:rPr>
            </w:pPr>
            <w:r>
              <w:rPr>
                <w:sz w:val="20"/>
                <w:szCs w:val="20"/>
              </w:rPr>
              <w:t>(0,00%)</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Город</w:t>
            </w:r>
          </w:p>
        </w:tc>
        <w:tc>
          <w:tcPr>
            <w:tcW w:w="1412" w:type="dxa"/>
          </w:tcPr>
          <w:p w:rsidR="00000000" w:rsidRDefault="00000000">
            <w:pPr>
              <w:spacing w:before="40" w:after="40"/>
              <w:rPr>
                <w:sz w:val="20"/>
                <w:szCs w:val="20"/>
              </w:rPr>
            </w:pPr>
            <w:r>
              <w:rPr>
                <w:sz w:val="20"/>
                <w:szCs w:val="20"/>
              </w:rPr>
              <w:t>39 981</w:t>
            </w:r>
          </w:p>
          <w:p w:rsidR="00000000" w:rsidRDefault="00000000">
            <w:pPr>
              <w:spacing w:before="40" w:after="40"/>
              <w:rPr>
                <w:sz w:val="20"/>
                <w:szCs w:val="20"/>
              </w:rPr>
            </w:pPr>
            <w:r>
              <w:rPr>
                <w:sz w:val="20"/>
                <w:szCs w:val="20"/>
              </w:rPr>
              <w:t>(93,91%)</w:t>
            </w:r>
          </w:p>
        </w:tc>
        <w:tc>
          <w:tcPr>
            <w:tcW w:w="1469" w:type="dxa"/>
          </w:tcPr>
          <w:p w:rsidR="00000000" w:rsidRDefault="00000000">
            <w:pPr>
              <w:spacing w:before="40" w:after="40"/>
              <w:rPr>
                <w:sz w:val="20"/>
                <w:szCs w:val="20"/>
              </w:rPr>
            </w:pPr>
            <w:r>
              <w:rPr>
                <w:sz w:val="20"/>
                <w:szCs w:val="20"/>
              </w:rPr>
              <w:t>2 224</w:t>
            </w:r>
          </w:p>
          <w:p w:rsidR="00000000" w:rsidRDefault="00000000">
            <w:pPr>
              <w:spacing w:before="40" w:after="40"/>
              <w:rPr>
                <w:sz w:val="20"/>
                <w:szCs w:val="20"/>
              </w:rPr>
            </w:pPr>
            <w:r>
              <w:rPr>
                <w:sz w:val="20"/>
                <w:szCs w:val="20"/>
              </w:rPr>
              <w:t>(5,23%)</w:t>
            </w:r>
          </w:p>
        </w:tc>
        <w:tc>
          <w:tcPr>
            <w:tcW w:w="1469" w:type="dxa"/>
          </w:tcPr>
          <w:p w:rsidR="00000000" w:rsidRDefault="00000000">
            <w:pPr>
              <w:spacing w:before="40" w:after="40"/>
              <w:rPr>
                <w:sz w:val="20"/>
                <w:szCs w:val="20"/>
              </w:rPr>
            </w:pPr>
            <w:r>
              <w:rPr>
                <w:sz w:val="20"/>
                <w:szCs w:val="20"/>
              </w:rPr>
              <w:t>334</w:t>
            </w:r>
          </w:p>
          <w:p w:rsidR="00000000" w:rsidRDefault="00000000">
            <w:pPr>
              <w:spacing w:before="40" w:after="40"/>
              <w:rPr>
                <w:sz w:val="20"/>
                <w:szCs w:val="20"/>
              </w:rPr>
            </w:pPr>
            <w:r>
              <w:rPr>
                <w:sz w:val="20"/>
                <w:szCs w:val="20"/>
              </w:rPr>
              <w:t>(0,78%)</w:t>
            </w:r>
          </w:p>
        </w:tc>
        <w:tc>
          <w:tcPr>
            <w:tcW w:w="1641" w:type="dxa"/>
          </w:tcPr>
          <w:p w:rsidR="00000000" w:rsidRDefault="00000000">
            <w:pPr>
              <w:spacing w:before="40" w:after="40"/>
              <w:rPr>
                <w:sz w:val="20"/>
                <w:szCs w:val="20"/>
              </w:rPr>
            </w:pPr>
            <w:r>
              <w:rPr>
                <w:sz w:val="20"/>
                <w:szCs w:val="20"/>
              </w:rPr>
              <w:t>34</w:t>
            </w:r>
          </w:p>
          <w:p w:rsidR="00000000" w:rsidRDefault="00000000">
            <w:pPr>
              <w:spacing w:before="40" w:after="40"/>
              <w:rPr>
                <w:sz w:val="20"/>
                <w:szCs w:val="20"/>
              </w:rPr>
            </w:pPr>
            <w:r>
              <w:rPr>
                <w:sz w:val="20"/>
                <w:szCs w:val="20"/>
              </w:rPr>
              <w:t>(0,07%)</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Итого</w:t>
            </w:r>
          </w:p>
        </w:tc>
        <w:tc>
          <w:tcPr>
            <w:tcW w:w="1412" w:type="dxa"/>
          </w:tcPr>
          <w:p w:rsidR="00000000" w:rsidRDefault="00000000">
            <w:pPr>
              <w:spacing w:before="40" w:after="40"/>
              <w:rPr>
                <w:sz w:val="20"/>
                <w:szCs w:val="20"/>
              </w:rPr>
            </w:pPr>
            <w:r>
              <w:rPr>
                <w:sz w:val="20"/>
                <w:szCs w:val="20"/>
              </w:rPr>
              <w:t>181 100</w:t>
            </w:r>
          </w:p>
          <w:p w:rsidR="00000000" w:rsidRDefault="00000000">
            <w:pPr>
              <w:spacing w:before="40" w:after="40"/>
              <w:rPr>
                <w:sz w:val="20"/>
                <w:szCs w:val="20"/>
              </w:rPr>
            </w:pPr>
            <w:r>
              <w:rPr>
                <w:sz w:val="20"/>
                <w:szCs w:val="20"/>
              </w:rPr>
              <w:t>(2,46%)</w:t>
            </w:r>
          </w:p>
        </w:tc>
        <w:tc>
          <w:tcPr>
            <w:tcW w:w="1469" w:type="dxa"/>
          </w:tcPr>
          <w:p w:rsidR="00000000" w:rsidRDefault="00000000">
            <w:pPr>
              <w:spacing w:before="40" w:after="40"/>
              <w:rPr>
                <w:sz w:val="20"/>
                <w:szCs w:val="20"/>
              </w:rPr>
            </w:pPr>
            <w:r>
              <w:rPr>
                <w:sz w:val="20"/>
                <w:szCs w:val="20"/>
              </w:rPr>
              <w:t>4 623</w:t>
            </w:r>
          </w:p>
          <w:p w:rsidR="00000000" w:rsidRDefault="00000000">
            <w:pPr>
              <w:spacing w:before="40" w:after="40"/>
              <w:rPr>
                <w:sz w:val="20"/>
                <w:szCs w:val="20"/>
              </w:rPr>
            </w:pPr>
            <w:r>
              <w:rPr>
                <w:sz w:val="20"/>
                <w:szCs w:val="20"/>
              </w:rPr>
              <w:t>(2,46%)</w:t>
            </w:r>
          </w:p>
        </w:tc>
        <w:tc>
          <w:tcPr>
            <w:tcW w:w="1469" w:type="dxa"/>
          </w:tcPr>
          <w:p w:rsidR="00000000" w:rsidRDefault="00000000">
            <w:pPr>
              <w:spacing w:before="40" w:after="40"/>
              <w:rPr>
                <w:sz w:val="20"/>
                <w:szCs w:val="20"/>
              </w:rPr>
            </w:pPr>
            <w:r>
              <w:rPr>
                <w:sz w:val="20"/>
                <w:szCs w:val="20"/>
              </w:rPr>
              <w:t>1843</w:t>
            </w:r>
          </w:p>
          <w:p w:rsidR="00000000" w:rsidRDefault="00000000">
            <w:pPr>
              <w:spacing w:before="40" w:after="40"/>
              <w:rPr>
                <w:sz w:val="20"/>
                <w:szCs w:val="20"/>
              </w:rPr>
            </w:pPr>
            <w:r>
              <w:rPr>
                <w:sz w:val="20"/>
                <w:szCs w:val="20"/>
              </w:rPr>
              <w:t>(0,98%)</w:t>
            </w:r>
          </w:p>
        </w:tc>
        <w:tc>
          <w:tcPr>
            <w:tcW w:w="1641" w:type="dxa"/>
          </w:tcPr>
          <w:p w:rsidR="00000000" w:rsidRDefault="00000000">
            <w:pPr>
              <w:spacing w:before="40" w:after="40"/>
              <w:rPr>
                <w:sz w:val="20"/>
                <w:szCs w:val="20"/>
              </w:rPr>
            </w:pPr>
            <w:r>
              <w:rPr>
                <w:sz w:val="20"/>
                <w:szCs w:val="20"/>
              </w:rPr>
              <w:t>36</w:t>
            </w:r>
          </w:p>
          <w:p w:rsidR="00000000" w:rsidRDefault="00000000">
            <w:pPr>
              <w:spacing w:before="40" w:after="40"/>
              <w:rPr>
                <w:sz w:val="20"/>
                <w:szCs w:val="20"/>
              </w:rPr>
            </w:pPr>
            <w:r>
              <w:rPr>
                <w:sz w:val="20"/>
                <w:szCs w:val="20"/>
              </w:rPr>
              <w:t>(0,02%)</w:t>
            </w:r>
          </w:p>
        </w:tc>
      </w:tr>
      <w:tr w:rsidR="00000000">
        <w:tblPrEx>
          <w:tblCellMar>
            <w:top w:w="0" w:type="dxa"/>
            <w:bottom w:w="0" w:type="dxa"/>
          </w:tblCellMar>
        </w:tblPrEx>
        <w:trPr>
          <w:jc w:val="center"/>
        </w:trPr>
        <w:tc>
          <w:tcPr>
            <w:tcW w:w="1389" w:type="dxa"/>
          </w:tcPr>
          <w:p w:rsidR="00000000" w:rsidRDefault="00000000">
            <w:pPr>
              <w:pStyle w:val="112"/>
              <w:spacing w:before="40" w:after="40"/>
              <w:rPr>
                <w:sz w:val="20"/>
              </w:rPr>
            </w:pPr>
            <w:r>
              <w:rPr>
                <w:sz w:val="20"/>
              </w:rPr>
              <w:t>Средние школы</w:t>
            </w:r>
          </w:p>
        </w:tc>
        <w:tc>
          <w:tcPr>
            <w:tcW w:w="1368" w:type="dxa"/>
          </w:tcPr>
          <w:p w:rsidR="00000000" w:rsidRDefault="00000000">
            <w:pPr>
              <w:pStyle w:val="112"/>
              <w:spacing w:before="40" w:after="40"/>
              <w:rPr>
                <w:sz w:val="20"/>
              </w:rPr>
            </w:pPr>
            <w:r>
              <w:rPr>
                <w:sz w:val="20"/>
              </w:rPr>
              <w:t>Село</w:t>
            </w:r>
          </w:p>
        </w:tc>
        <w:tc>
          <w:tcPr>
            <w:tcW w:w="1412" w:type="dxa"/>
          </w:tcPr>
          <w:p w:rsidR="00000000" w:rsidRDefault="00000000">
            <w:pPr>
              <w:spacing w:before="40" w:after="40"/>
              <w:rPr>
                <w:sz w:val="20"/>
                <w:szCs w:val="20"/>
              </w:rPr>
            </w:pPr>
            <w:r>
              <w:rPr>
                <w:sz w:val="20"/>
                <w:szCs w:val="20"/>
              </w:rPr>
              <w:t>43 971</w:t>
            </w:r>
          </w:p>
          <w:p w:rsidR="00000000" w:rsidRDefault="00000000">
            <w:pPr>
              <w:spacing w:before="40" w:after="40"/>
              <w:rPr>
                <w:sz w:val="20"/>
                <w:szCs w:val="20"/>
              </w:rPr>
            </w:pPr>
            <w:r>
              <w:rPr>
                <w:sz w:val="20"/>
                <w:szCs w:val="20"/>
              </w:rPr>
              <w:t>(96,25%)</w:t>
            </w:r>
          </w:p>
        </w:tc>
        <w:tc>
          <w:tcPr>
            <w:tcW w:w="1469" w:type="dxa"/>
          </w:tcPr>
          <w:p w:rsidR="00000000" w:rsidRDefault="00000000">
            <w:pPr>
              <w:spacing w:before="40" w:after="40"/>
              <w:rPr>
                <w:sz w:val="20"/>
                <w:szCs w:val="20"/>
              </w:rPr>
            </w:pPr>
            <w:r>
              <w:rPr>
                <w:sz w:val="20"/>
                <w:szCs w:val="20"/>
              </w:rPr>
              <w:t>1 210</w:t>
            </w:r>
          </w:p>
          <w:p w:rsidR="00000000" w:rsidRDefault="00000000">
            <w:pPr>
              <w:spacing w:before="40" w:after="40"/>
              <w:rPr>
                <w:sz w:val="20"/>
                <w:szCs w:val="20"/>
              </w:rPr>
            </w:pPr>
            <w:r>
              <w:rPr>
                <w:sz w:val="20"/>
                <w:szCs w:val="20"/>
              </w:rPr>
              <w:t>(2,65%)</w:t>
            </w:r>
          </w:p>
        </w:tc>
        <w:tc>
          <w:tcPr>
            <w:tcW w:w="1469" w:type="dxa"/>
          </w:tcPr>
          <w:p w:rsidR="00000000" w:rsidRDefault="00000000">
            <w:pPr>
              <w:spacing w:before="40" w:after="40"/>
              <w:rPr>
                <w:sz w:val="20"/>
                <w:szCs w:val="20"/>
              </w:rPr>
            </w:pPr>
            <w:r>
              <w:rPr>
                <w:sz w:val="20"/>
                <w:szCs w:val="20"/>
              </w:rPr>
              <w:t>500</w:t>
            </w:r>
          </w:p>
          <w:p w:rsidR="00000000" w:rsidRDefault="00000000">
            <w:pPr>
              <w:spacing w:before="40" w:after="40"/>
              <w:rPr>
                <w:sz w:val="20"/>
                <w:szCs w:val="20"/>
              </w:rPr>
            </w:pPr>
            <w:r>
              <w:rPr>
                <w:sz w:val="20"/>
                <w:szCs w:val="20"/>
              </w:rPr>
              <w:t>(1,09%)</w:t>
            </w:r>
          </w:p>
        </w:tc>
        <w:tc>
          <w:tcPr>
            <w:tcW w:w="1641" w:type="dxa"/>
          </w:tcPr>
          <w:p w:rsidR="00000000" w:rsidRDefault="00000000">
            <w:pPr>
              <w:spacing w:before="40" w:after="40"/>
              <w:rPr>
                <w:sz w:val="20"/>
                <w:szCs w:val="20"/>
              </w:rPr>
            </w:pPr>
            <w:r>
              <w:rPr>
                <w:sz w:val="20"/>
                <w:szCs w:val="20"/>
              </w:rPr>
              <w:t>3</w:t>
            </w:r>
          </w:p>
          <w:p w:rsidR="00000000" w:rsidRDefault="00000000">
            <w:pPr>
              <w:spacing w:before="40" w:after="40"/>
              <w:rPr>
                <w:sz w:val="20"/>
                <w:szCs w:val="20"/>
              </w:rPr>
            </w:pPr>
            <w:r>
              <w:rPr>
                <w:sz w:val="20"/>
                <w:szCs w:val="20"/>
              </w:rPr>
              <w:t>(0,00%)</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Город</w:t>
            </w:r>
          </w:p>
        </w:tc>
        <w:tc>
          <w:tcPr>
            <w:tcW w:w="1412" w:type="dxa"/>
          </w:tcPr>
          <w:p w:rsidR="00000000" w:rsidRDefault="00000000">
            <w:pPr>
              <w:spacing w:before="40" w:after="40"/>
              <w:rPr>
                <w:sz w:val="20"/>
                <w:szCs w:val="20"/>
              </w:rPr>
            </w:pPr>
            <w:r>
              <w:rPr>
                <w:sz w:val="20"/>
                <w:szCs w:val="20"/>
              </w:rPr>
              <w:t>19 361</w:t>
            </w:r>
          </w:p>
          <w:p w:rsidR="00000000" w:rsidRDefault="00000000">
            <w:pPr>
              <w:spacing w:before="40" w:after="40"/>
              <w:rPr>
                <w:sz w:val="20"/>
                <w:szCs w:val="20"/>
              </w:rPr>
            </w:pPr>
            <w:r>
              <w:rPr>
                <w:sz w:val="20"/>
                <w:szCs w:val="20"/>
              </w:rPr>
              <w:t>(89,81%)</w:t>
            </w:r>
          </w:p>
        </w:tc>
        <w:tc>
          <w:tcPr>
            <w:tcW w:w="1469" w:type="dxa"/>
          </w:tcPr>
          <w:p w:rsidR="00000000" w:rsidRDefault="00000000">
            <w:pPr>
              <w:spacing w:before="40" w:after="40"/>
              <w:rPr>
                <w:sz w:val="20"/>
                <w:szCs w:val="20"/>
              </w:rPr>
            </w:pPr>
            <w:r>
              <w:rPr>
                <w:sz w:val="20"/>
                <w:szCs w:val="20"/>
              </w:rPr>
              <w:t>1 813</w:t>
            </w:r>
          </w:p>
          <w:p w:rsidR="00000000" w:rsidRDefault="00000000">
            <w:pPr>
              <w:spacing w:before="40" w:after="40"/>
              <w:rPr>
                <w:sz w:val="20"/>
                <w:szCs w:val="20"/>
              </w:rPr>
            </w:pPr>
            <w:r>
              <w:rPr>
                <w:sz w:val="20"/>
                <w:szCs w:val="20"/>
              </w:rPr>
              <w:t>(8,41%)</w:t>
            </w:r>
          </w:p>
        </w:tc>
        <w:tc>
          <w:tcPr>
            <w:tcW w:w="1469" w:type="dxa"/>
          </w:tcPr>
          <w:p w:rsidR="00000000" w:rsidRDefault="00000000">
            <w:pPr>
              <w:spacing w:before="40" w:after="40"/>
              <w:rPr>
                <w:sz w:val="20"/>
                <w:szCs w:val="20"/>
              </w:rPr>
            </w:pPr>
            <w:r>
              <w:rPr>
                <w:sz w:val="20"/>
                <w:szCs w:val="20"/>
              </w:rPr>
              <w:t>349</w:t>
            </w:r>
          </w:p>
          <w:p w:rsidR="00000000" w:rsidRDefault="00000000">
            <w:pPr>
              <w:spacing w:before="40" w:after="40"/>
              <w:rPr>
                <w:sz w:val="20"/>
                <w:szCs w:val="20"/>
              </w:rPr>
            </w:pPr>
            <w:r>
              <w:rPr>
                <w:sz w:val="20"/>
                <w:szCs w:val="20"/>
              </w:rPr>
              <w:t>(1,62%)</w:t>
            </w:r>
          </w:p>
        </w:tc>
        <w:tc>
          <w:tcPr>
            <w:tcW w:w="1641" w:type="dxa"/>
          </w:tcPr>
          <w:p w:rsidR="00000000" w:rsidRDefault="00000000">
            <w:pPr>
              <w:spacing w:before="40" w:after="40"/>
              <w:rPr>
                <w:sz w:val="20"/>
                <w:szCs w:val="20"/>
              </w:rPr>
            </w:pPr>
            <w:r>
              <w:rPr>
                <w:sz w:val="20"/>
                <w:szCs w:val="20"/>
              </w:rPr>
              <w:t>34</w:t>
            </w:r>
          </w:p>
          <w:p w:rsidR="00000000" w:rsidRDefault="00000000">
            <w:pPr>
              <w:spacing w:before="40" w:after="40"/>
              <w:rPr>
                <w:sz w:val="20"/>
                <w:szCs w:val="20"/>
              </w:rPr>
            </w:pPr>
            <w:r>
              <w:rPr>
                <w:sz w:val="20"/>
                <w:szCs w:val="20"/>
              </w:rPr>
              <w:t>(0,16%)</w:t>
            </w:r>
          </w:p>
        </w:tc>
      </w:tr>
      <w:tr w:rsidR="00000000">
        <w:tblPrEx>
          <w:tblCellMar>
            <w:top w:w="0" w:type="dxa"/>
            <w:bottom w:w="0" w:type="dxa"/>
          </w:tblCellMar>
        </w:tblPrEx>
        <w:trPr>
          <w:jc w:val="center"/>
        </w:trPr>
        <w:tc>
          <w:tcPr>
            <w:tcW w:w="1389" w:type="dxa"/>
          </w:tcPr>
          <w:p w:rsidR="00000000" w:rsidRDefault="00000000">
            <w:pPr>
              <w:spacing w:before="40" w:after="40"/>
              <w:jc w:val="both"/>
              <w:rPr>
                <w:sz w:val="20"/>
                <w:szCs w:val="20"/>
              </w:rPr>
            </w:pPr>
          </w:p>
        </w:tc>
        <w:tc>
          <w:tcPr>
            <w:tcW w:w="1368" w:type="dxa"/>
          </w:tcPr>
          <w:p w:rsidR="00000000" w:rsidRDefault="00000000">
            <w:pPr>
              <w:pStyle w:val="112"/>
              <w:spacing w:before="40" w:after="40"/>
              <w:rPr>
                <w:sz w:val="20"/>
              </w:rPr>
            </w:pPr>
            <w:r>
              <w:rPr>
                <w:sz w:val="20"/>
              </w:rPr>
              <w:t>Итого</w:t>
            </w:r>
          </w:p>
        </w:tc>
        <w:tc>
          <w:tcPr>
            <w:tcW w:w="1412" w:type="dxa"/>
          </w:tcPr>
          <w:p w:rsidR="00000000" w:rsidRDefault="00000000">
            <w:pPr>
              <w:spacing w:before="40" w:after="40"/>
              <w:rPr>
                <w:sz w:val="20"/>
                <w:szCs w:val="20"/>
              </w:rPr>
            </w:pPr>
            <w:r>
              <w:rPr>
                <w:sz w:val="20"/>
                <w:szCs w:val="20"/>
              </w:rPr>
              <w:t>63 332</w:t>
            </w:r>
          </w:p>
          <w:p w:rsidR="00000000" w:rsidRDefault="00000000">
            <w:pPr>
              <w:spacing w:before="40" w:after="40"/>
              <w:rPr>
                <w:sz w:val="20"/>
                <w:szCs w:val="20"/>
              </w:rPr>
            </w:pPr>
            <w:r>
              <w:rPr>
                <w:sz w:val="20"/>
                <w:szCs w:val="20"/>
              </w:rPr>
              <w:t>(94,19%)</w:t>
            </w:r>
          </w:p>
        </w:tc>
        <w:tc>
          <w:tcPr>
            <w:tcW w:w="1469" w:type="dxa"/>
          </w:tcPr>
          <w:p w:rsidR="00000000" w:rsidRDefault="00000000">
            <w:pPr>
              <w:spacing w:before="40" w:after="40"/>
              <w:rPr>
                <w:sz w:val="20"/>
                <w:szCs w:val="20"/>
              </w:rPr>
            </w:pPr>
            <w:r>
              <w:rPr>
                <w:sz w:val="20"/>
                <w:szCs w:val="20"/>
              </w:rPr>
              <w:t>3 023</w:t>
            </w:r>
          </w:p>
          <w:p w:rsidR="00000000" w:rsidRDefault="00000000">
            <w:pPr>
              <w:spacing w:before="40" w:after="40"/>
              <w:rPr>
                <w:sz w:val="20"/>
                <w:szCs w:val="20"/>
              </w:rPr>
            </w:pPr>
            <w:r>
              <w:rPr>
                <w:sz w:val="20"/>
                <w:szCs w:val="20"/>
              </w:rPr>
              <w:t>(1,62%)</w:t>
            </w:r>
          </w:p>
        </w:tc>
        <w:tc>
          <w:tcPr>
            <w:tcW w:w="1469" w:type="dxa"/>
          </w:tcPr>
          <w:p w:rsidR="00000000" w:rsidRDefault="00000000">
            <w:pPr>
              <w:spacing w:before="40" w:after="40"/>
              <w:rPr>
                <w:sz w:val="20"/>
                <w:szCs w:val="20"/>
              </w:rPr>
            </w:pPr>
            <w:r>
              <w:rPr>
                <w:sz w:val="20"/>
                <w:szCs w:val="20"/>
              </w:rPr>
              <w:t>849</w:t>
            </w:r>
          </w:p>
          <w:p w:rsidR="00000000" w:rsidRDefault="00000000">
            <w:pPr>
              <w:spacing w:before="40" w:after="40"/>
              <w:rPr>
                <w:sz w:val="20"/>
                <w:szCs w:val="20"/>
              </w:rPr>
            </w:pPr>
            <w:r>
              <w:rPr>
                <w:sz w:val="20"/>
                <w:szCs w:val="20"/>
              </w:rPr>
              <w:t>(1,26%)</w:t>
            </w:r>
          </w:p>
        </w:tc>
        <w:tc>
          <w:tcPr>
            <w:tcW w:w="1641" w:type="dxa"/>
          </w:tcPr>
          <w:p w:rsidR="00000000" w:rsidRDefault="00000000">
            <w:pPr>
              <w:spacing w:before="40" w:after="40"/>
              <w:rPr>
                <w:sz w:val="20"/>
                <w:szCs w:val="20"/>
              </w:rPr>
            </w:pPr>
            <w:r>
              <w:rPr>
                <w:sz w:val="20"/>
                <w:szCs w:val="20"/>
              </w:rPr>
              <w:t>37</w:t>
            </w:r>
          </w:p>
          <w:p w:rsidR="00000000" w:rsidRDefault="00000000">
            <w:pPr>
              <w:spacing w:before="40" w:after="40"/>
              <w:rPr>
                <w:sz w:val="20"/>
                <w:szCs w:val="20"/>
              </w:rPr>
            </w:pPr>
            <w:r>
              <w:rPr>
                <w:sz w:val="20"/>
                <w:szCs w:val="20"/>
              </w:rPr>
              <w:t>(0,05%)</w:t>
            </w:r>
          </w:p>
        </w:tc>
      </w:tr>
    </w:tbl>
    <w:p w:rsidR="00000000" w:rsidRDefault="00000000">
      <w:pPr>
        <w:pStyle w:val="112"/>
        <w:rPr>
          <w:szCs w:val="22"/>
        </w:rPr>
      </w:pPr>
    </w:p>
    <w:p w:rsidR="00000000" w:rsidRDefault="00000000">
      <w:pPr>
        <w:jc w:val="both"/>
        <w:rPr>
          <w:sz w:val="22"/>
          <w:szCs w:val="22"/>
        </w:rPr>
      </w:pPr>
      <w:r>
        <w:rPr>
          <w:sz w:val="22"/>
          <w:szCs w:val="22"/>
        </w:rPr>
        <w:t>646.</w:t>
      </w:r>
      <w:r>
        <w:rPr>
          <w:sz w:val="22"/>
          <w:szCs w:val="22"/>
        </w:rPr>
        <w:tab/>
        <w:t xml:space="preserve">Согласно результатам пятого обследования, в качестве второго языка в начальных школах младшей ступени используются 24 языка, а в начальных школах старшей ступени и в средней школе – 26 языков. </w:t>
      </w:r>
    </w:p>
    <w:p w:rsidR="00000000" w:rsidRDefault="00000000">
      <w:pPr>
        <w:pStyle w:val="112"/>
      </w:pPr>
      <w:r>
        <w:tab/>
        <w:t>Это обследование показало также, что в 173</w:t>
      </w:r>
      <w:r>
        <w:rPr>
          <w:lang w:val="en-US"/>
        </w:rPr>
        <w:t> </w:t>
      </w:r>
      <w:r>
        <w:t>756 (27,52%) начальных школах младшей ступени, 187</w:t>
      </w:r>
      <w:r>
        <w:rPr>
          <w:lang w:val="en-US"/>
        </w:rPr>
        <w:t> </w:t>
      </w:r>
      <w:r>
        <w:t>482 (99,94%) начальных школах старшей ступени и 67 045 (99,71%) средних школах преподается второй язык.</w:t>
      </w:r>
    </w:p>
    <w:p w:rsidR="00000000" w:rsidRDefault="00000000">
      <w:pPr>
        <w:pStyle w:val="112"/>
        <w:spacing w:after="40"/>
        <w:rPr>
          <w:b/>
          <w:bCs/>
        </w:rPr>
      </w:pPr>
      <w:r>
        <w:rPr>
          <w:b/>
          <w:bCs/>
        </w:rPr>
        <w:t>Таблица 13.22.  Изучение второго языка в школах в разбивке по районам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2107"/>
        <w:gridCol w:w="1254"/>
        <w:gridCol w:w="1256"/>
        <w:gridCol w:w="1255"/>
        <w:gridCol w:w="1256"/>
        <w:gridCol w:w="1255"/>
        <w:gridCol w:w="1256"/>
      </w:tblGrid>
      <w:tr w:rsidR="00000000">
        <w:tblPrEx>
          <w:tblCellMar>
            <w:top w:w="0" w:type="dxa"/>
            <w:bottom w:w="0" w:type="dxa"/>
          </w:tblCellMar>
        </w:tblPrEx>
        <w:trPr>
          <w:cantSplit/>
          <w:jc w:val="center"/>
        </w:trPr>
        <w:tc>
          <w:tcPr>
            <w:tcW w:w="2058" w:type="dxa"/>
            <w:vMerge w:val="restart"/>
          </w:tcPr>
          <w:p w:rsidR="00000000" w:rsidRDefault="00000000">
            <w:pPr>
              <w:spacing w:before="40" w:after="40"/>
              <w:jc w:val="center"/>
              <w:rPr>
                <w:sz w:val="20"/>
                <w:szCs w:val="20"/>
              </w:rPr>
            </w:pPr>
            <w:r>
              <w:rPr>
                <w:sz w:val="20"/>
                <w:szCs w:val="20"/>
              </w:rPr>
              <w:t>Район</w:t>
            </w:r>
          </w:p>
        </w:tc>
        <w:tc>
          <w:tcPr>
            <w:tcW w:w="7353" w:type="dxa"/>
            <w:gridSpan w:val="6"/>
          </w:tcPr>
          <w:p w:rsidR="00000000" w:rsidRDefault="00000000">
            <w:pPr>
              <w:spacing w:before="40" w:after="40"/>
              <w:jc w:val="center"/>
              <w:rPr>
                <w:sz w:val="20"/>
                <w:szCs w:val="20"/>
              </w:rPr>
            </w:pPr>
            <w:r>
              <w:rPr>
                <w:sz w:val="20"/>
                <w:szCs w:val="20"/>
              </w:rPr>
              <w:t>Количество школ</w:t>
            </w:r>
          </w:p>
        </w:tc>
      </w:tr>
      <w:tr w:rsidR="00000000">
        <w:tblPrEx>
          <w:tblCellMar>
            <w:top w:w="0" w:type="dxa"/>
            <w:bottom w:w="0" w:type="dxa"/>
          </w:tblCellMar>
        </w:tblPrEx>
        <w:trPr>
          <w:cantSplit/>
          <w:jc w:val="center"/>
        </w:trPr>
        <w:tc>
          <w:tcPr>
            <w:tcW w:w="2058" w:type="dxa"/>
            <w:vMerge/>
          </w:tcPr>
          <w:p w:rsidR="00000000" w:rsidRDefault="00000000">
            <w:pPr>
              <w:spacing w:before="40" w:after="40"/>
              <w:jc w:val="center"/>
              <w:rPr>
                <w:sz w:val="20"/>
                <w:szCs w:val="20"/>
              </w:rPr>
            </w:pPr>
          </w:p>
        </w:tc>
        <w:tc>
          <w:tcPr>
            <w:tcW w:w="1225" w:type="dxa"/>
          </w:tcPr>
          <w:p w:rsidR="00000000" w:rsidRDefault="00000000">
            <w:pPr>
              <w:spacing w:before="40" w:after="40"/>
              <w:jc w:val="center"/>
              <w:rPr>
                <w:sz w:val="20"/>
                <w:szCs w:val="20"/>
              </w:rPr>
            </w:pPr>
            <w:r>
              <w:rPr>
                <w:sz w:val="20"/>
                <w:szCs w:val="20"/>
              </w:rPr>
              <w:t>Начальные школы младшей ступени</w:t>
            </w:r>
          </w:p>
        </w:tc>
        <w:tc>
          <w:tcPr>
            <w:tcW w:w="1226" w:type="dxa"/>
          </w:tcPr>
          <w:p w:rsidR="00000000" w:rsidRDefault="00000000">
            <w:pPr>
              <w:spacing w:before="40" w:after="40"/>
              <w:jc w:val="center"/>
              <w:rPr>
                <w:sz w:val="20"/>
                <w:szCs w:val="20"/>
              </w:rPr>
            </w:pPr>
            <w:r>
              <w:rPr>
                <w:sz w:val="20"/>
                <w:szCs w:val="20"/>
              </w:rPr>
              <w:t>%</w:t>
            </w:r>
          </w:p>
        </w:tc>
        <w:tc>
          <w:tcPr>
            <w:tcW w:w="1225" w:type="dxa"/>
          </w:tcPr>
          <w:p w:rsidR="00000000" w:rsidRDefault="00000000">
            <w:pPr>
              <w:spacing w:before="40" w:after="40"/>
              <w:jc w:val="center"/>
              <w:rPr>
                <w:sz w:val="20"/>
                <w:szCs w:val="20"/>
              </w:rPr>
            </w:pPr>
            <w:r>
              <w:rPr>
                <w:sz w:val="20"/>
                <w:szCs w:val="20"/>
              </w:rPr>
              <w:t>Начальные школы старшей ступени</w:t>
            </w:r>
          </w:p>
        </w:tc>
        <w:tc>
          <w:tcPr>
            <w:tcW w:w="1226" w:type="dxa"/>
          </w:tcPr>
          <w:p w:rsidR="00000000" w:rsidRDefault="00000000">
            <w:pPr>
              <w:spacing w:before="40" w:after="40"/>
              <w:jc w:val="center"/>
              <w:rPr>
                <w:sz w:val="20"/>
                <w:szCs w:val="20"/>
              </w:rPr>
            </w:pPr>
            <w:r>
              <w:rPr>
                <w:sz w:val="20"/>
                <w:szCs w:val="20"/>
              </w:rPr>
              <w:t>%</w:t>
            </w:r>
          </w:p>
        </w:tc>
        <w:tc>
          <w:tcPr>
            <w:tcW w:w="1225" w:type="dxa"/>
          </w:tcPr>
          <w:p w:rsidR="00000000" w:rsidRDefault="00000000">
            <w:pPr>
              <w:spacing w:before="40" w:after="40"/>
              <w:jc w:val="center"/>
              <w:rPr>
                <w:sz w:val="20"/>
                <w:szCs w:val="20"/>
              </w:rPr>
            </w:pPr>
            <w:r>
              <w:rPr>
                <w:sz w:val="20"/>
                <w:szCs w:val="20"/>
              </w:rPr>
              <w:t>Средние школы</w:t>
            </w:r>
          </w:p>
        </w:tc>
        <w:tc>
          <w:tcPr>
            <w:tcW w:w="1226" w:type="dxa"/>
          </w:tcPr>
          <w:p w:rsidR="00000000" w:rsidRDefault="00000000">
            <w:pPr>
              <w:spacing w:before="40" w:after="40"/>
              <w:jc w:val="center"/>
              <w:rPr>
                <w:sz w:val="20"/>
                <w:szCs w:val="20"/>
              </w:rPr>
            </w:pPr>
            <w:r>
              <w:rPr>
                <w:sz w:val="20"/>
                <w:szCs w:val="20"/>
              </w:rPr>
              <w:t>%</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 xml:space="preserve">Село </w:t>
            </w:r>
          </w:p>
        </w:tc>
        <w:tc>
          <w:tcPr>
            <w:tcW w:w="1225" w:type="dxa"/>
          </w:tcPr>
          <w:p w:rsidR="00000000" w:rsidRDefault="00000000">
            <w:pPr>
              <w:spacing w:before="40" w:after="40"/>
              <w:ind w:right="284"/>
              <w:jc w:val="right"/>
              <w:rPr>
                <w:sz w:val="20"/>
                <w:szCs w:val="20"/>
              </w:rPr>
            </w:pPr>
            <w:r>
              <w:rPr>
                <w:sz w:val="20"/>
                <w:szCs w:val="20"/>
              </w:rPr>
              <w:t>153 551</w:t>
            </w:r>
          </w:p>
        </w:tc>
        <w:tc>
          <w:tcPr>
            <w:tcW w:w="1226" w:type="dxa"/>
          </w:tcPr>
          <w:p w:rsidR="00000000" w:rsidRDefault="00000000">
            <w:pPr>
              <w:spacing w:before="40" w:after="40"/>
              <w:ind w:right="340"/>
              <w:jc w:val="right"/>
              <w:rPr>
                <w:sz w:val="20"/>
                <w:szCs w:val="20"/>
              </w:rPr>
            </w:pPr>
            <w:r>
              <w:rPr>
                <w:sz w:val="20"/>
                <w:szCs w:val="20"/>
              </w:rPr>
              <w:t>27,58</w:t>
            </w:r>
          </w:p>
        </w:tc>
        <w:tc>
          <w:tcPr>
            <w:tcW w:w="1225" w:type="dxa"/>
          </w:tcPr>
          <w:p w:rsidR="00000000" w:rsidRDefault="00000000">
            <w:pPr>
              <w:spacing w:before="40" w:after="40"/>
              <w:ind w:right="284"/>
              <w:jc w:val="right"/>
              <w:rPr>
                <w:sz w:val="20"/>
                <w:szCs w:val="20"/>
              </w:rPr>
            </w:pPr>
            <w:r>
              <w:rPr>
                <w:sz w:val="20"/>
                <w:szCs w:val="20"/>
              </w:rPr>
              <w:t>144 917</w:t>
            </w:r>
          </w:p>
        </w:tc>
        <w:tc>
          <w:tcPr>
            <w:tcW w:w="1226" w:type="dxa"/>
          </w:tcPr>
          <w:p w:rsidR="00000000" w:rsidRDefault="00000000">
            <w:pPr>
              <w:spacing w:before="40" w:after="40"/>
              <w:ind w:right="340"/>
              <w:jc w:val="right"/>
              <w:rPr>
                <w:sz w:val="20"/>
                <w:szCs w:val="20"/>
              </w:rPr>
            </w:pPr>
            <w:r>
              <w:rPr>
                <w:sz w:val="20"/>
                <w:szCs w:val="20"/>
              </w:rPr>
              <w:t>99,92</w:t>
            </w:r>
          </w:p>
        </w:tc>
        <w:tc>
          <w:tcPr>
            <w:tcW w:w="1225" w:type="dxa"/>
          </w:tcPr>
          <w:p w:rsidR="00000000" w:rsidRDefault="00000000">
            <w:pPr>
              <w:spacing w:before="40" w:after="40"/>
              <w:ind w:right="284"/>
              <w:jc w:val="right"/>
              <w:rPr>
                <w:sz w:val="20"/>
                <w:szCs w:val="20"/>
              </w:rPr>
            </w:pPr>
            <w:r>
              <w:rPr>
                <w:sz w:val="20"/>
                <w:szCs w:val="20"/>
              </w:rPr>
              <w:t>45 543</w:t>
            </w:r>
          </w:p>
        </w:tc>
        <w:tc>
          <w:tcPr>
            <w:tcW w:w="1226" w:type="dxa"/>
          </w:tcPr>
          <w:p w:rsidR="00000000" w:rsidRDefault="00000000">
            <w:pPr>
              <w:spacing w:before="40" w:after="40"/>
              <w:ind w:right="397"/>
              <w:jc w:val="right"/>
              <w:rPr>
                <w:sz w:val="20"/>
                <w:szCs w:val="20"/>
              </w:rPr>
            </w:pPr>
            <w:r>
              <w:rPr>
                <w:sz w:val="20"/>
                <w:szCs w:val="20"/>
              </w:rPr>
              <w:t>99,69</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 xml:space="preserve">Город </w:t>
            </w:r>
          </w:p>
        </w:tc>
        <w:tc>
          <w:tcPr>
            <w:tcW w:w="1225" w:type="dxa"/>
          </w:tcPr>
          <w:p w:rsidR="00000000" w:rsidRDefault="00000000">
            <w:pPr>
              <w:spacing w:before="40" w:after="40"/>
              <w:ind w:right="284"/>
              <w:jc w:val="right"/>
              <w:rPr>
                <w:sz w:val="20"/>
                <w:szCs w:val="20"/>
              </w:rPr>
            </w:pPr>
            <w:r>
              <w:rPr>
                <w:sz w:val="20"/>
                <w:szCs w:val="20"/>
              </w:rPr>
              <w:t>20 205</w:t>
            </w:r>
          </w:p>
        </w:tc>
        <w:tc>
          <w:tcPr>
            <w:tcW w:w="1226" w:type="dxa"/>
          </w:tcPr>
          <w:p w:rsidR="00000000" w:rsidRDefault="00000000">
            <w:pPr>
              <w:spacing w:before="40" w:after="40"/>
              <w:ind w:right="340"/>
              <w:jc w:val="right"/>
              <w:rPr>
                <w:sz w:val="20"/>
                <w:szCs w:val="20"/>
              </w:rPr>
            </w:pPr>
            <w:r>
              <w:rPr>
                <w:sz w:val="20"/>
                <w:szCs w:val="20"/>
              </w:rPr>
              <w:t>27,06</w:t>
            </w:r>
          </w:p>
        </w:tc>
        <w:tc>
          <w:tcPr>
            <w:tcW w:w="1225" w:type="dxa"/>
          </w:tcPr>
          <w:p w:rsidR="00000000" w:rsidRDefault="00000000">
            <w:pPr>
              <w:spacing w:before="40" w:after="40"/>
              <w:ind w:right="284"/>
              <w:jc w:val="right"/>
              <w:rPr>
                <w:sz w:val="20"/>
                <w:szCs w:val="20"/>
              </w:rPr>
            </w:pPr>
            <w:r>
              <w:rPr>
                <w:sz w:val="20"/>
                <w:szCs w:val="20"/>
              </w:rPr>
              <w:t>42 565</w:t>
            </w:r>
          </w:p>
        </w:tc>
        <w:tc>
          <w:tcPr>
            <w:tcW w:w="1226" w:type="dxa"/>
          </w:tcPr>
          <w:p w:rsidR="00000000" w:rsidRDefault="00000000">
            <w:pPr>
              <w:spacing w:before="40" w:after="40"/>
              <w:ind w:right="340"/>
              <w:jc w:val="right"/>
              <w:rPr>
                <w:sz w:val="20"/>
                <w:szCs w:val="20"/>
              </w:rPr>
            </w:pPr>
            <w:r>
              <w:rPr>
                <w:sz w:val="20"/>
                <w:szCs w:val="20"/>
              </w:rPr>
              <w:t>99,98</w:t>
            </w:r>
          </w:p>
        </w:tc>
        <w:tc>
          <w:tcPr>
            <w:tcW w:w="1225" w:type="dxa"/>
          </w:tcPr>
          <w:p w:rsidR="00000000" w:rsidRDefault="00000000">
            <w:pPr>
              <w:spacing w:before="40" w:after="40"/>
              <w:ind w:right="284"/>
              <w:jc w:val="right"/>
              <w:rPr>
                <w:sz w:val="20"/>
                <w:szCs w:val="20"/>
              </w:rPr>
            </w:pPr>
            <w:r>
              <w:rPr>
                <w:sz w:val="20"/>
                <w:szCs w:val="20"/>
              </w:rPr>
              <w:t>21 502</w:t>
            </w:r>
          </w:p>
        </w:tc>
        <w:tc>
          <w:tcPr>
            <w:tcW w:w="1226" w:type="dxa"/>
          </w:tcPr>
          <w:p w:rsidR="00000000" w:rsidRDefault="00000000">
            <w:pPr>
              <w:spacing w:before="40" w:after="40"/>
              <w:ind w:right="397"/>
              <w:jc w:val="right"/>
              <w:rPr>
                <w:sz w:val="20"/>
                <w:szCs w:val="20"/>
              </w:rPr>
            </w:pPr>
            <w:r>
              <w:rPr>
                <w:sz w:val="20"/>
                <w:szCs w:val="20"/>
              </w:rPr>
              <w:t>99,74</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Итого</w:t>
            </w:r>
          </w:p>
        </w:tc>
        <w:tc>
          <w:tcPr>
            <w:tcW w:w="1225" w:type="dxa"/>
          </w:tcPr>
          <w:p w:rsidR="00000000" w:rsidRDefault="00000000">
            <w:pPr>
              <w:spacing w:before="40" w:after="40"/>
              <w:ind w:right="284"/>
              <w:jc w:val="right"/>
              <w:rPr>
                <w:sz w:val="20"/>
                <w:szCs w:val="20"/>
              </w:rPr>
            </w:pPr>
            <w:r>
              <w:rPr>
                <w:sz w:val="20"/>
                <w:szCs w:val="20"/>
              </w:rPr>
              <w:t>173 756</w:t>
            </w:r>
          </w:p>
        </w:tc>
        <w:tc>
          <w:tcPr>
            <w:tcW w:w="1226" w:type="dxa"/>
          </w:tcPr>
          <w:p w:rsidR="00000000" w:rsidRDefault="00000000">
            <w:pPr>
              <w:spacing w:before="40" w:after="40"/>
              <w:ind w:right="340"/>
              <w:jc w:val="right"/>
              <w:rPr>
                <w:sz w:val="20"/>
                <w:szCs w:val="20"/>
              </w:rPr>
            </w:pPr>
            <w:r>
              <w:rPr>
                <w:sz w:val="20"/>
                <w:szCs w:val="20"/>
              </w:rPr>
              <w:t>27,52</w:t>
            </w:r>
          </w:p>
        </w:tc>
        <w:tc>
          <w:tcPr>
            <w:tcW w:w="1225" w:type="dxa"/>
          </w:tcPr>
          <w:p w:rsidR="00000000" w:rsidRDefault="00000000">
            <w:pPr>
              <w:spacing w:before="40" w:after="40"/>
              <w:ind w:right="284"/>
              <w:jc w:val="right"/>
              <w:rPr>
                <w:sz w:val="20"/>
                <w:szCs w:val="20"/>
              </w:rPr>
            </w:pPr>
            <w:r>
              <w:rPr>
                <w:sz w:val="20"/>
                <w:szCs w:val="20"/>
              </w:rPr>
              <w:t>187 482</w:t>
            </w:r>
          </w:p>
        </w:tc>
        <w:tc>
          <w:tcPr>
            <w:tcW w:w="1226" w:type="dxa"/>
          </w:tcPr>
          <w:p w:rsidR="00000000" w:rsidRDefault="00000000">
            <w:pPr>
              <w:spacing w:before="40" w:after="40"/>
              <w:ind w:right="340"/>
              <w:jc w:val="right"/>
              <w:rPr>
                <w:sz w:val="20"/>
                <w:szCs w:val="20"/>
              </w:rPr>
            </w:pPr>
            <w:r>
              <w:rPr>
                <w:sz w:val="20"/>
                <w:szCs w:val="20"/>
              </w:rPr>
              <w:t>99,94</w:t>
            </w:r>
          </w:p>
        </w:tc>
        <w:tc>
          <w:tcPr>
            <w:tcW w:w="1225" w:type="dxa"/>
          </w:tcPr>
          <w:p w:rsidR="00000000" w:rsidRDefault="00000000">
            <w:pPr>
              <w:spacing w:before="40" w:after="40"/>
              <w:ind w:right="284"/>
              <w:jc w:val="right"/>
              <w:rPr>
                <w:sz w:val="20"/>
                <w:szCs w:val="20"/>
              </w:rPr>
            </w:pPr>
            <w:r>
              <w:rPr>
                <w:sz w:val="20"/>
                <w:szCs w:val="20"/>
              </w:rPr>
              <w:t>67 045</w:t>
            </w:r>
          </w:p>
        </w:tc>
        <w:tc>
          <w:tcPr>
            <w:tcW w:w="1226" w:type="dxa"/>
          </w:tcPr>
          <w:p w:rsidR="00000000" w:rsidRDefault="00000000">
            <w:pPr>
              <w:spacing w:before="40" w:after="40"/>
              <w:ind w:right="397"/>
              <w:jc w:val="right"/>
              <w:rPr>
                <w:sz w:val="20"/>
                <w:szCs w:val="20"/>
              </w:rPr>
            </w:pPr>
            <w:r>
              <w:rPr>
                <w:sz w:val="20"/>
                <w:szCs w:val="20"/>
              </w:rPr>
              <w:t>99,71</w:t>
            </w:r>
          </w:p>
        </w:tc>
      </w:tr>
    </w:tbl>
    <w:p w:rsidR="00000000" w:rsidRDefault="00000000">
      <w:pPr>
        <w:jc w:val="both"/>
        <w:rPr>
          <w:sz w:val="22"/>
          <w:szCs w:val="22"/>
        </w:rPr>
      </w:pPr>
    </w:p>
    <w:p w:rsidR="00000000" w:rsidRDefault="00000000">
      <w:pPr>
        <w:pStyle w:val="112"/>
      </w:pPr>
      <w:r>
        <w:t>647.</w:t>
      </w:r>
      <w:r>
        <w:tab/>
        <w:t xml:space="preserve">Если рассматривать школы в разбивке по форме управления, то наибольшая доля школ, в которых преподается второй язык, приходится на начальные школы младшей ступени, находящиеся в частном управлении и получающие господдержку, и начальные школы старшей ступени и средние школы, находящиеся в ведении местных органов.  </w:t>
      </w:r>
    </w:p>
    <w:p w:rsidR="00000000" w:rsidRDefault="00000000">
      <w:pPr>
        <w:keepNext/>
        <w:jc w:val="both"/>
        <w:rPr>
          <w:b/>
          <w:bCs/>
          <w:sz w:val="22"/>
          <w:szCs w:val="22"/>
          <w:lang w:val="en-US"/>
        </w:rPr>
      </w:pPr>
    </w:p>
    <w:p w:rsidR="00000000" w:rsidRDefault="00000000">
      <w:pPr>
        <w:keepNext/>
        <w:jc w:val="both"/>
        <w:rPr>
          <w:b/>
          <w:bCs/>
          <w:sz w:val="22"/>
          <w:szCs w:val="22"/>
        </w:rPr>
      </w:pPr>
      <w:r>
        <w:rPr>
          <w:b/>
          <w:bCs/>
          <w:sz w:val="22"/>
          <w:szCs w:val="22"/>
        </w:rPr>
        <w:t>Третий язык</w:t>
      </w:r>
    </w:p>
    <w:p w:rsidR="00000000" w:rsidRDefault="00000000">
      <w:pPr>
        <w:keepNext/>
        <w:jc w:val="both"/>
        <w:rPr>
          <w:sz w:val="22"/>
          <w:szCs w:val="22"/>
        </w:rPr>
      </w:pPr>
    </w:p>
    <w:p w:rsidR="00000000" w:rsidRDefault="00000000">
      <w:pPr>
        <w:keepNext/>
        <w:jc w:val="both"/>
        <w:rPr>
          <w:sz w:val="22"/>
          <w:szCs w:val="22"/>
        </w:rPr>
      </w:pPr>
      <w:r>
        <w:rPr>
          <w:sz w:val="22"/>
          <w:szCs w:val="22"/>
        </w:rPr>
        <w:t>648.</w:t>
      </w:r>
      <w:r>
        <w:rPr>
          <w:sz w:val="22"/>
          <w:szCs w:val="22"/>
        </w:rPr>
        <w:tab/>
        <w:t xml:space="preserve">Упомянутое обследование выявило, что в качестве третьего языка в индийских школах используется в общей сложности 29 языков.  В качестве третьего языка в младших классах начальной школы используется 16 языков, в старших классах начальной школы – 23 языка и в средней школе – 23 языка.  </w:t>
      </w:r>
    </w:p>
    <w:p w:rsidR="00000000" w:rsidRDefault="00000000">
      <w:pPr>
        <w:pStyle w:val="112"/>
      </w:pPr>
      <w:r>
        <w:t>649.</w:t>
      </w:r>
      <w:r>
        <w:tab/>
        <w:t>Обследование показало, что в 1337 (0,21%) начальных школах младшей ступени, 171</w:t>
      </w:r>
      <w:r>
        <w:rPr>
          <w:lang w:val="en-US"/>
        </w:rPr>
        <w:t> </w:t>
      </w:r>
      <w:r>
        <w:t>273 (91,30%) начальных школах старшей ступени и 49 457 (73,55%) средних школах преподается третий язык.</w:t>
      </w:r>
    </w:p>
    <w:p w:rsidR="00000000" w:rsidRDefault="00000000">
      <w:pPr>
        <w:pStyle w:val="112"/>
      </w:pPr>
      <w:r>
        <w:t>650.</w:t>
      </w:r>
      <w:r>
        <w:tab/>
        <w:t xml:space="preserve">В разбивке по формам управления наибольшая доля школ, в которых преподается третий язык, приходится на государственные начальные школы младшей ступени и местные начальные школы младшей ступени и средние школы.  </w:t>
      </w:r>
    </w:p>
    <w:p w:rsidR="00000000" w:rsidRDefault="00000000">
      <w:pPr>
        <w:pStyle w:val="112"/>
        <w:spacing w:after="40"/>
        <w:rPr>
          <w:b/>
          <w:bCs/>
        </w:rPr>
      </w:pPr>
      <w:r>
        <w:rPr>
          <w:b/>
          <w:bCs/>
        </w:rPr>
        <w:t>Таблица 13.23.  Изучение третьего языка в школах в разбивке по районам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2107"/>
        <w:gridCol w:w="1254"/>
        <w:gridCol w:w="1256"/>
        <w:gridCol w:w="1255"/>
        <w:gridCol w:w="1256"/>
        <w:gridCol w:w="1255"/>
        <w:gridCol w:w="1256"/>
      </w:tblGrid>
      <w:tr w:rsidR="00000000">
        <w:tblPrEx>
          <w:tblCellMar>
            <w:top w:w="0" w:type="dxa"/>
            <w:bottom w:w="0" w:type="dxa"/>
          </w:tblCellMar>
        </w:tblPrEx>
        <w:trPr>
          <w:cantSplit/>
          <w:jc w:val="center"/>
        </w:trPr>
        <w:tc>
          <w:tcPr>
            <w:tcW w:w="2058" w:type="dxa"/>
            <w:vMerge w:val="restart"/>
          </w:tcPr>
          <w:p w:rsidR="00000000" w:rsidRDefault="00000000">
            <w:pPr>
              <w:spacing w:before="40" w:after="40"/>
              <w:jc w:val="center"/>
              <w:rPr>
                <w:sz w:val="20"/>
                <w:szCs w:val="20"/>
              </w:rPr>
            </w:pPr>
            <w:r>
              <w:rPr>
                <w:sz w:val="20"/>
                <w:szCs w:val="20"/>
              </w:rPr>
              <w:t>Район</w:t>
            </w:r>
          </w:p>
        </w:tc>
        <w:tc>
          <w:tcPr>
            <w:tcW w:w="7353" w:type="dxa"/>
            <w:gridSpan w:val="6"/>
          </w:tcPr>
          <w:p w:rsidR="00000000" w:rsidRDefault="00000000">
            <w:pPr>
              <w:spacing w:before="40" w:after="40"/>
              <w:jc w:val="center"/>
              <w:rPr>
                <w:sz w:val="20"/>
                <w:szCs w:val="20"/>
              </w:rPr>
            </w:pPr>
            <w:r>
              <w:rPr>
                <w:sz w:val="20"/>
                <w:szCs w:val="20"/>
              </w:rPr>
              <w:t>Количество школ</w:t>
            </w:r>
          </w:p>
        </w:tc>
      </w:tr>
      <w:tr w:rsidR="00000000">
        <w:tblPrEx>
          <w:tblCellMar>
            <w:top w:w="0" w:type="dxa"/>
            <w:bottom w:w="0" w:type="dxa"/>
          </w:tblCellMar>
        </w:tblPrEx>
        <w:trPr>
          <w:cantSplit/>
          <w:jc w:val="center"/>
        </w:trPr>
        <w:tc>
          <w:tcPr>
            <w:tcW w:w="2058" w:type="dxa"/>
            <w:vMerge/>
          </w:tcPr>
          <w:p w:rsidR="00000000" w:rsidRDefault="00000000">
            <w:pPr>
              <w:spacing w:before="40" w:after="40"/>
              <w:jc w:val="center"/>
              <w:rPr>
                <w:sz w:val="20"/>
                <w:szCs w:val="20"/>
              </w:rPr>
            </w:pPr>
          </w:p>
        </w:tc>
        <w:tc>
          <w:tcPr>
            <w:tcW w:w="1225" w:type="dxa"/>
          </w:tcPr>
          <w:p w:rsidR="00000000" w:rsidRDefault="00000000">
            <w:pPr>
              <w:spacing w:before="40" w:after="40"/>
              <w:jc w:val="center"/>
              <w:rPr>
                <w:sz w:val="20"/>
                <w:szCs w:val="20"/>
              </w:rPr>
            </w:pPr>
            <w:r>
              <w:rPr>
                <w:sz w:val="20"/>
                <w:szCs w:val="20"/>
              </w:rPr>
              <w:t>Начальные школы младшей ступени</w:t>
            </w:r>
          </w:p>
        </w:tc>
        <w:tc>
          <w:tcPr>
            <w:tcW w:w="1226" w:type="dxa"/>
          </w:tcPr>
          <w:p w:rsidR="00000000" w:rsidRDefault="00000000">
            <w:pPr>
              <w:spacing w:before="40" w:after="40"/>
              <w:jc w:val="center"/>
              <w:rPr>
                <w:sz w:val="20"/>
                <w:szCs w:val="20"/>
              </w:rPr>
            </w:pPr>
            <w:r>
              <w:rPr>
                <w:sz w:val="20"/>
                <w:szCs w:val="20"/>
              </w:rPr>
              <w:t>%</w:t>
            </w:r>
          </w:p>
        </w:tc>
        <w:tc>
          <w:tcPr>
            <w:tcW w:w="1225" w:type="dxa"/>
          </w:tcPr>
          <w:p w:rsidR="00000000" w:rsidRDefault="00000000">
            <w:pPr>
              <w:spacing w:before="40" w:after="40"/>
              <w:jc w:val="center"/>
              <w:rPr>
                <w:sz w:val="20"/>
                <w:szCs w:val="20"/>
              </w:rPr>
            </w:pPr>
            <w:r>
              <w:rPr>
                <w:sz w:val="20"/>
                <w:szCs w:val="20"/>
              </w:rPr>
              <w:t>Начальные школы старшей ступени</w:t>
            </w:r>
          </w:p>
        </w:tc>
        <w:tc>
          <w:tcPr>
            <w:tcW w:w="1226" w:type="dxa"/>
          </w:tcPr>
          <w:p w:rsidR="00000000" w:rsidRDefault="00000000">
            <w:pPr>
              <w:spacing w:before="40" w:after="40"/>
              <w:jc w:val="center"/>
              <w:rPr>
                <w:sz w:val="20"/>
                <w:szCs w:val="20"/>
              </w:rPr>
            </w:pPr>
            <w:r>
              <w:rPr>
                <w:sz w:val="20"/>
                <w:szCs w:val="20"/>
              </w:rPr>
              <w:t>%</w:t>
            </w:r>
          </w:p>
        </w:tc>
        <w:tc>
          <w:tcPr>
            <w:tcW w:w="1225" w:type="dxa"/>
          </w:tcPr>
          <w:p w:rsidR="00000000" w:rsidRDefault="00000000">
            <w:pPr>
              <w:spacing w:before="40" w:after="40"/>
              <w:jc w:val="center"/>
              <w:rPr>
                <w:sz w:val="20"/>
                <w:szCs w:val="20"/>
              </w:rPr>
            </w:pPr>
            <w:r>
              <w:rPr>
                <w:sz w:val="20"/>
                <w:szCs w:val="20"/>
              </w:rPr>
              <w:t>Средние школы</w:t>
            </w:r>
          </w:p>
        </w:tc>
        <w:tc>
          <w:tcPr>
            <w:tcW w:w="1226" w:type="dxa"/>
          </w:tcPr>
          <w:p w:rsidR="00000000" w:rsidRDefault="00000000">
            <w:pPr>
              <w:spacing w:before="40" w:after="40"/>
              <w:jc w:val="center"/>
              <w:rPr>
                <w:sz w:val="20"/>
                <w:szCs w:val="20"/>
              </w:rPr>
            </w:pPr>
            <w:r>
              <w:rPr>
                <w:sz w:val="20"/>
                <w:szCs w:val="20"/>
              </w:rPr>
              <w:t>%</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 xml:space="preserve">Село </w:t>
            </w:r>
          </w:p>
        </w:tc>
        <w:tc>
          <w:tcPr>
            <w:tcW w:w="1225" w:type="dxa"/>
          </w:tcPr>
          <w:p w:rsidR="00000000" w:rsidRDefault="00000000">
            <w:pPr>
              <w:tabs>
                <w:tab w:val="decimal" w:pos="737"/>
              </w:tabs>
              <w:spacing w:before="40" w:after="40"/>
              <w:rPr>
                <w:sz w:val="20"/>
                <w:szCs w:val="20"/>
              </w:rPr>
            </w:pPr>
            <w:r>
              <w:rPr>
                <w:sz w:val="20"/>
                <w:szCs w:val="20"/>
              </w:rPr>
              <w:t>687</w:t>
            </w:r>
          </w:p>
        </w:tc>
        <w:tc>
          <w:tcPr>
            <w:tcW w:w="1226" w:type="dxa"/>
          </w:tcPr>
          <w:p w:rsidR="00000000" w:rsidRDefault="00000000">
            <w:pPr>
              <w:spacing w:before="40" w:after="40"/>
              <w:jc w:val="center"/>
              <w:rPr>
                <w:sz w:val="20"/>
                <w:szCs w:val="20"/>
              </w:rPr>
            </w:pPr>
            <w:r>
              <w:rPr>
                <w:sz w:val="20"/>
                <w:szCs w:val="20"/>
              </w:rPr>
              <w:t>0,12</w:t>
            </w:r>
          </w:p>
        </w:tc>
        <w:tc>
          <w:tcPr>
            <w:tcW w:w="1225" w:type="dxa"/>
          </w:tcPr>
          <w:p w:rsidR="00000000" w:rsidRDefault="00000000">
            <w:pPr>
              <w:tabs>
                <w:tab w:val="decimal" w:pos="851"/>
              </w:tabs>
              <w:spacing w:before="40" w:after="40"/>
              <w:rPr>
                <w:sz w:val="20"/>
                <w:szCs w:val="20"/>
              </w:rPr>
            </w:pPr>
            <w:r>
              <w:rPr>
                <w:sz w:val="20"/>
                <w:szCs w:val="20"/>
              </w:rPr>
              <w:t>132 548</w:t>
            </w:r>
          </w:p>
        </w:tc>
        <w:tc>
          <w:tcPr>
            <w:tcW w:w="1226" w:type="dxa"/>
          </w:tcPr>
          <w:p w:rsidR="00000000" w:rsidRDefault="00000000">
            <w:pPr>
              <w:spacing w:before="40" w:after="40"/>
              <w:jc w:val="center"/>
              <w:rPr>
                <w:sz w:val="20"/>
                <w:szCs w:val="20"/>
              </w:rPr>
            </w:pPr>
            <w:r>
              <w:rPr>
                <w:sz w:val="20"/>
                <w:szCs w:val="20"/>
              </w:rPr>
              <w:t>91,39</w:t>
            </w:r>
          </w:p>
        </w:tc>
        <w:tc>
          <w:tcPr>
            <w:tcW w:w="1225" w:type="dxa"/>
          </w:tcPr>
          <w:p w:rsidR="00000000" w:rsidRDefault="00000000">
            <w:pPr>
              <w:spacing w:before="40" w:after="40"/>
              <w:jc w:val="center"/>
              <w:rPr>
                <w:sz w:val="20"/>
                <w:szCs w:val="20"/>
              </w:rPr>
            </w:pPr>
            <w:r>
              <w:rPr>
                <w:sz w:val="20"/>
                <w:szCs w:val="20"/>
              </w:rPr>
              <w:t>34 541</w:t>
            </w:r>
          </w:p>
        </w:tc>
        <w:tc>
          <w:tcPr>
            <w:tcW w:w="1226" w:type="dxa"/>
          </w:tcPr>
          <w:p w:rsidR="00000000" w:rsidRDefault="00000000">
            <w:pPr>
              <w:spacing w:before="40" w:after="40"/>
              <w:jc w:val="center"/>
              <w:rPr>
                <w:sz w:val="20"/>
                <w:szCs w:val="20"/>
              </w:rPr>
            </w:pPr>
            <w:r>
              <w:rPr>
                <w:sz w:val="20"/>
                <w:szCs w:val="20"/>
              </w:rPr>
              <w:t>75,61</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 xml:space="preserve">Город </w:t>
            </w:r>
          </w:p>
        </w:tc>
        <w:tc>
          <w:tcPr>
            <w:tcW w:w="1225" w:type="dxa"/>
          </w:tcPr>
          <w:p w:rsidR="00000000" w:rsidRDefault="00000000">
            <w:pPr>
              <w:tabs>
                <w:tab w:val="decimal" w:pos="737"/>
              </w:tabs>
              <w:spacing w:before="40" w:after="40"/>
              <w:rPr>
                <w:sz w:val="20"/>
                <w:szCs w:val="20"/>
              </w:rPr>
            </w:pPr>
            <w:r>
              <w:rPr>
                <w:sz w:val="20"/>
                <w:szCs w:val="20"/>
              </w:rPr>
              <w:t>650</w:t>
            </w:r>
          </w:p>
        </w:tc>
        <w:tc>
          <w:tcPr>
            <w:tcW w:w="1226" w:type="dxa"/>
          </w:tcPr>
          <w:p w:rsidR="00000000" w:rsidRDefault="00000000">
            <w:pPr>
              <w:spacing w:before="40" w:after="40"/>
              <w:jc w:val="center"/>
              <w:rPr>
                <w:sz w:val="20"/>
                <w:szCs w:val="20"/>
              </w:rPr>
            </w:pPr>
            <w:r>
              <w:rPr>
                <w:sz w:val="20"/>
                <w:szCs w:val="20"/>
              </w:rPr>
              <w:t>0,87</w:t>
            </w:r>
          </w:p>
        </w:tc>
        <w:tc>
          <w:tcPr>
            <w:tcW w:w="1225" w:type="dxa"/>
          </w:tcPr>
          <w:p w:rsidR="00000000" w:rsidRDefault="00000000">
            <w:pPr>
              <w:tabs>
                <w:tab w:val="decimal" w:pos="851"/>
              </w:tabs>
              <w:spacing w:before="40" w:after="40"/>
              <w:rPr>
                <w:sz w:val="20"/>
                <w:szCs w:val="20"/>
              </w:rPr>
            </w:pPr>
            <w:r>
              <w:rPr>
                <w:sz w:val="20"/>
                <w:szCs w:val="20"/>
              </w:rPr>
              <w:t>38 725</w:t>
            </w:r>
          </w:p>
        </w:tc>
        <w:tc>
          <w:tcPr>
            <w:tcW w:w="1226" w:type="dxa"/>
          </w:tcPr>
          <w:p w:rsidR="00000000" w:rsidRDefault="00000000">
            <w:pPr>
              <w:spacing w:before="40" w:after="40"/>
              <w:jc w:val="center"/>
              <w:rPr>
                <w:sz w:val="20"/>
                <w:szCs w:val="20"/>
              </w:rPr>
            </w:pPr>
            <w:r>
              <w:rPr>
                <w:sz w:val="20"/>
                <w:szCs w:val="20"/>
              </w:rPr>
              <w:t>90,96</w:t>
            </w:r>
          </w:p>
        </w:tc>
        <w:tc>
          <w:tcPr>
            <w:tcW w:w="1225" w:type="dxa"/>
          </w:tcPr>
          <w:p w:rsidR="00000000" w:rsidRDefault="00000000">
            <w:pPr>
              <w:spacing w:before="40" w:after="40"/>
              <w:jc w:val="center"/>
              <w:rPr>
                <w:sz w:val="20"/>
                <w:szCs w:val="20"/>
              </w:rPr>
            </w:pPr>
            <w:r>
              <w:rPr>
                <w:sz w:val="20"/>
                <w:szCs w:val="20"/>
              </w:rPr>
              <w:t>14 916</w:t>
            </w:r>
          </w:p>
        </w:tc>
        <w:tc>
          <w:tcPr>
            <w:tcW w:w="1226" w:type="dxa"/>
          </w:tcPr>
          <w:p w:rsidR="00000000" w:rsidRDefault="00000000">
            <w:pPr>
              <w:spacing w:before="40" w:after="40"/>
              <w:jc w:val="center"/>
              <w:rPr>
                <w:sz w:val="20"/>
                <w:szCs w:val="20"/>
              </w:rPr>
            </w:pPr>
            <w:r>
              <w:rPr>
                <w:sz w:val="20"/>
                <w:szCs w:val="20"/>
              </w:rPr>
              <w:t>69,19</w:t>
            </w:r>
          </w:p>
        </w:tc>
      </w:tr>
      <w:tr w:rsidR="00000000">
        <w:tblPrEx>
          <w:tblCellMar>
            <w:top w:w="0" w:type="dxa"/>
            <w:bottom w:w="0" w:type="dxa"/>
          </w:tblCellMar>
        </w:tblPrEx>
        <w:trPr>
          <w:cantSplit/>
          <w:jc w:val="center"/>
        </w:trPr>
        <w:tc>
          <w:tcPr>
            <w:tcW w:w="2058" w:type="dxa"/>
          </w:tcPr>
          <w:p w:rsidR="00000000" w:rsidRDefault="00000000">
            <w:pPr>
              <w:spacing w:before="40" w:after="40"/>
              <w:ind w:left="113"/>
              <w:rPr>
                <w:sz w:val="20"/>
                <w:szCs w:val="20"/>
              </w:rPr>
            </w:pPr>
            <w:r>
              <w:rPr>
                <w:sz w:val="20"/>
                <w:szCs w:val="20"/>
              </w:rPr>
              <w:t>Итого</w:t>
            </w:r>
          </w:p>
        </w:tc>
        <w:tc>
          <w:tcPr>
            <w:tcW w:w="1225" w:type="dxa"/>
          </w:tcPr>
          <w:p w:rsidR="00000000" w:rsidRDefault="00000000">
            <w:pPr>
              <w:tabs>
                <w:tab w:val="decimal" w:pos="737"/>
              </w:tabs>
              <w:spacing w:before="40" w:after="40"/>
              <w:rPr>
                <w:sz w:val="20"/>
                <w:szCs w:val="20"/>
              </w:rPr>
            </w:pPr>
            <w:r>
              <w:rPr>
                <w:sz w:val="20"/>
                <w:szCs w:val="20"/>
              </w:rPr>
              <w:t>1 337</w:t>
            </w:r>
          </w:p>
        </w:tc>
        <w:tc>
          <w:tcPr>
            <w:tcW w:w="1226" w:type="dxa"/>
          </w:tcPr>
          <w:p w:rsidR="00000000" w:rsidRDefault="00000000">
            <w:pPr>
              <w:spacing w:before="40" w:after="40"/>
              <w:jc w:val="center"/>
              <w:rPr>
                <w:sz w:val="20"/>
                <w:szCs w:val="20"/>
              </w:rPr>
            </w:pPr>
            <w:r>
              <w:rPr>
                <w:sz w:val="20"/>
                <w:szCs w:val="20"/>
              </w:rPr>
              <w:t>0,21</w:t>
            </w:r>
          </w:p>
        </w:tc>
        <w:tc>
          <w:tcPr>
            <w:tcW w:w="1225" w:type="dxa"/>
          </w:tcPr>
          <w:p w:rsidR="00000000" w:rsidRDefault="00000000">
            <w:pPr>
              <w:tabs>
                <w:tab w:val="decimal" w:pos="851"/>
              </w:tabs>
              <w:spacing w:before="40" w:after="40"/>
              <w:rPr>
                <w:sz w:val="20"/>
                <w:szCs w:val="20"/>
              </w:rPr>
            </w:pPr>
            <w:r>
              <w:rPr>
                <w:sz w:val="20"/>
                <w:szCs w:val="20"/>
              </w:rPr>
              <w:t>171 273</w:t>
            </w:r>
          </w:p>
        </w:tc>
        <w:tc>
          <w:tcPr>
            <w:tcW w:w="1226" w:type="dxa"/>
          </w:tcPr>
          <w:p w:rsidR="00000000" w:rsidRDefault="00000000">
            <w:pPr>
              <w:spacing w:before="40" w:after="40"/>
              <w:jc w:val="center"/>
              <w:rPr>
                <w:sz w:val="20"/>
                <w:szCs w:val="20"/>
              </w:rPr>
            </w:pPr>
            <w:r>
              <w:rPr>
                <w:sz w:val="20"/>
                <w:szCs w:val="20"/>
              </w:rPr>
              <w:t>91,30</w:t>
            </w:r>
          </w:p>
        </w:tc>
        <w:tc>
          <w:tcPr>
            <w:tcW w:w="1225" w:type="dxa"/>
          </w:tcPr>
          <w:p w:rsidR="00000000" w:rsidRDefault="00000000">
            <w:pPr>
              <w:spacing w:before="40" w:after="40"/>
              <w:jc w:val="center"/>
              <w:rPr>
                <w:sz w:val="20"/>
                <w:szCs w:val="20"/>
              </w:rPr>
            </w:pPr>
            <w:r>
              <w:rPr>
                <w:sz w:val="20"/>
                <w:szCs w:val="20"/>
              </w:rPr>
              <w:t>49 457</w:t>
            </w:r>
          </w:p>
        </w:tc>
        <w:tc>
          <w:tcPr>
            <w:tcW w:w="1226" w:type="dxa"/>
          </w:tcPr>
          <w:p w:rsidR="00000000" w:rsidRDefault="00000000">
            <w:pPr>
              <w:spacing w:before="40" w:after="40"/>
              <w:jc w:val="center"/>
              <w:rPr>
                <w:sz w:val="20"/>
                <w:szCs w:val="20"/>
              </w:rPr>
            </w:pPr>
            <w:r>
              <w:rPr>
                <w:sz w:val="20"/>
                <w:szCs w:val="20"/>
              </w:rPr>
              <w:t>73,55</w:t>
            </w:r>
          </w:p>
        </w:tc>
      </w:tr>
    </w:tbl>
    <w:p w:rsidR="00000000" w:rsidRDefault="00000000">
      <w:pPr>
        <w:jc w:val="both"/>
        <w:rPr>
          <w:sz w:val="22"/>
          <w:szCs w:val="22"/>
        </w:rPr>
      </w:pPr>
    </w:p>
    <w:p w:rsidR="00000000" w:rsidRDefault="00000000">
      <w:pPr>
        <w:spacing w:before="60"/>
        <w:jc w:val="both"/>
        <w:rPr>
          <w:b/>
          <w:bCs/>
          <w:sz w:val="22"/>
          <w:szCs w:val="22"/>
        </w:rPr>
      </w:pPr>
      <w:r>
        <w:rPr>
          <w:b/>
          <w:bCs/>
          <w:sz w:val="22"/>
          <w:szCs w:val="22"/>
        </w:rPr>
        <w:t>Материальное положение учителей</w:t>
      </w:r>
    </w:p>
    <w:p w:rsidR="00000000" w:rsidRDefault="00000000">
      <w:pPr>
        <w:jc w:val="both"/>
        <w:rPr>
          <w:sz w:val="22"/>
          <w:szCs w:val="22"/>
        </w:rPr>
      </w:pPr>
    </w:p>
    <w:p w:rsidR="00000000" w:rsidRDefault="00000000">
      <w:pPr>
        <w:spacing w:after="120"/>
        <w:jc w:val="both"/>
        <w:rPr>
          <w:sz w:val="22"/>
          <w:szCs w:val="22"/>
        </w:rPr>
      </w:pPr>
      <w:r>
        <w:rPr>
          <w:sz w:val="22"/>
          <w:szCs w:val="22"/>
        </w:rPr>
        <w:t>651.</w:t>
      </w:r>
      <w:r>
        <w:rPr>
          <w:sz w:val="22"/>
          <w:szCs w:val="22"/>
        </w:rPr>
        <w:tab/>
        <w:t>Правительство Индии уделяет серьезное внимание материальному положению учителей.  Шкалы окладов учителей начальных школ в различных штатах страны после рекомендации пятой комиссии по оплате труда приведены в таблице ниже.</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3092"/>
        <w:gridCol w:w="1636"/>
        <w:gridCol w:w="1637"/>
        <w:gridCol w:w="1637"/>
        <w:gridCol w:w="1637"/>
      </w:tblGrid>
      <w:tr w:rsidR="00000000">
        <w:tblPrEx>
          <w:tblCellMar>
            <w:top w:w="0" w:type="dxa"/>
            <w:bottom w:w="0" w:type="dxa"/>
          </w:tblCellMar>
        </w:tblPrEx>
        <w:trPr>
          <w:cantSplit/>
          <w:jc w:val="center"/>
        </w:trPr>
        <w:tc>
          <w:tcPr>
            <w:tcW w:w="3092" w:type="dxa"/>
          </w:tcPr>
          <w:p w:rsidR="00000000" w:rsidRDefault="00000000">
            <w:pPr>
              <w:spacing w:before="40" w:after="40"/>
              <w:jc w:val="center"/>
              <w:rPr>
                <w:sz w:val="20"/>
                <w:szCs w:val="20"/>
              </w:rPr>
            </w:pPr>
          </w:p>
        </w:tc>
        <w:tc>
          <w:tcPr>
            <w:tcW w:w="1636" w:type="dxa"/>
          </w:tcPr>
          <w:p w:rsidR="00000000" w:rsidRDefault="00000000">
            <w:pPr>
              <w:spacing w:before="40" w:after="40"/>
              <w:jc w:val="center"/>
              <w:rPr>
                <w:sz w:val="20"/>
                <w:szCs w:val="20"/>
              </w:rPr>
            </w:pPr>
            <w:r>
              <w:rPr>
                <w:sz w:val="20"/>
                <w:szCs w:val="20"/>
              </w:rPr>
              <w:t>До пересмотра</w:t>
            </w:r>
          </w:p>
        </w:tc>
        <w:tc>
          <w:tcPr>
            <w:tcW w:w="1637" w:type="dxa"/>
          </w:tcPr>
          <w:p w:rsidR="00000000" w:rsidRDefault="00000000">
            <w:pPr>
              <w:spacing w:before="40" w:after="40"/>
              <w:jc w:val="center"/>
              <w:rPr>
                <w:sz w:val="20"/>
                <w:szCs w:val="20"/>
              </w:rPr>
            </w:pPr>
            <w:r>
              <w:rPr>
                <w:sz w:val="20"/>
                <w:szCs w:val="20"/>
              </w:rPr>
              <w:t>После пересмотра в 1997 году</w:t>
            </w:r>
          </w:p>
        </w:tc>
        <w:tc>
          <w:tcPr>
            <w:tcW w:w="1637" w:type="dxa"/>
          </w:tcPr>
          <w:p w:rsidR="00000000" w:rsidRDefault="00000000">
            <w:pPr>
              <w:spacing w:before="40" w:after="40"/>
              <w:jc w:val="center"/>
              <w:rPr>
                <w:sz w:val="20"/>
                <w:szCs w:val="20"/>
              </w:rPr>
            </w:pPr>
            <w:r>
              <w:rPr>
                <w:sz w:val="20"/>
                <w:szCs w:val="20"/>
              </w:rPr>
              <w:t>До пересмотра</w:t>
            </w:r>
          </w:p>
        </w:tc>
        <w:tc>
          <w:tcPr>
            <w:tcW w:w="1637" w:type="dxa"/>
          </w:tcPr>
          <w:p w:rsidR="00000000" w:rsidRDefault="00000000">
            <w:pPr>
              <w:spacing w:before="40" w:after="40"/>
              <w:jc w:val="center"/>
              <w:rPr>
                <w:sz w:val="20"/>
                <w:szCs w:val="20"/>
              </w:rPr>
            </w:pPr>
            <w:r>
              <w:rPr>
                <w:sz w:val="20"/>
                <w:szCs w:val="20"/>
              </w:rPr>
              <w:t>После пересмотра в 1997 году</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Центральное правительство</w:t>
            </w:r>
          </w:p>
        </w:tc>
        <w:tc>
          <w:tcPr>
            <w:tcW w:w="1636" w:type="dxa"/>
          </w:tcPr>
          <w:p w:rsidR="00000000" w:rsidRDefault="00000000">
            <w:pPr>
              <w:spacing w:before="40" w:after="40"/>
              <w:ind w:left="113"/>
              <w:rPr>
                <w:sz w:val="20"/>
                <w:szCs w:val="20"/>
              </w:rPr>
            </w:pPr>
            <w:r>
              <w:rPr>
                <w:sz w:val="20"/>
                <w:szCs w:val="20"/>
              </w:rPr>
              <w:t>1 200–2 040</w:t>
            </w:r>
          </w:p>
        </w:tc>
        <w:tc>
          <w:tcPr>
            <w:tcW w:w="1637" w:type="dxa"/>
          </w:tcPr>
          <w:p w:rsidR="00000000" w:rsidRDefault="00000000">
            <w:pPr>
              <w:spacing w:before="40" w:after="40"/>
              <w:ind w:left="113"/>
              <w:rPr>
                <w:sz w:val="20"/>
                <w:szCs w:val="20"/>
              </w:rPr>
            </w:pPr>
            <w:r>
              <w:rPr>
                <w:sz w:val="20"/>
                <w:szCs w:val="20"/>
              </w:rPr>
              <w:t>4 500–7 000</w:t>
            </w:r>
          </w:p>
        </w:tc>
        <w:tc>
          <w:tcPr>
            <w:tcW w:w="1637" w:type="dxa"/>
          </w:tcPr>
          <w:p w:rsidR="00000000" w:rsidRDefault="00000000">
            <w:pPr>
              <w:spacing w:before="40" w:after="40"/>
              <w:ind w:left="113"/>
              <w:rPr>
                <w:sz w:val="20"/>
                <w:szCs w:val="20"/>
              </w:rPr>
            </w:pPr>
            <w:r>
              <w:rPr>
                <w:sz w:val="20"/>
                <w:szCs w:val="20"/>
              </w:rPr>
              <w:t>1 400–2 600</w:t>
            </w:r>
          </w:p>
        </w:tc>
        <w:tc>
          <w:tcPr>
            <w:tcW w:w="1637" w:type="dxa"/>
          </w:tcPr>
          <w:p w:rsidR="00000000" w:rsidRDefault="00000000">
            <w:pPr>
              <w:spacing w:before="40" w:after="40"/>
              <w:ind w:left="113"/>
              <w:rPr>
                <w:sz w:val="20"/>
                <w:szCs w:val="20"/>
              </w:rPr>
            </w:pPr>
            <w:r>
              <w:rPr>
                <w:sz w:val="20"/>
                <w:szCs w:val="20"/>
              </w:rPr>
              <w:t>6 500–10 500</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Штат Тамилнад</w:t>
            </w:r>
          </w:p>
        </w:tc>
        <w:tc>
          <w:tcPr>
            <w:tcW w:w="1636" w:type="dxa"/>
          </w:tcPr>
          <w:p w:rsidR="00000000" w:rsidRDefault="00000000">
            <w:pPr>
              <w:spacing w:before="40" w:after="40"/>
              <w:ind w:left="113"/>
              <w:rPr>
                <w:sz w:val="20"/>
                <w:szCs w:val="20"/>
              </w:rPr>
            </w:pPr>
            <w:r>
              <w:rPr>
                <w:sz w:val="20"/>
                <w:szCs w:val="20"/>
              </w:rPr>
              <w:t>1 200–2 040</w:t>
            </w:r>
          </w:p>
        </w:tc>
        <w:tc>
          <w:tcPr>
            <w:tcW w:w="1637" w:type="dxa"/>
          </w:tcPr>
          <w:p w:rsidR="00000000" w:rsidRDefault="00000000">
            <w:pPr>
              <w:spacing w:before="40" w:after="40"/>
              <w:ind w:left="113"/>
              <w:rPr>
                <w:sz w:val="20"/>
                <w:szCs w:val="20"/>
              </w:rPr>
            </w:pPr>
            <w:r>
              <w:rPr>
                <w:sz w:val="20"/>
                <w:szCs w:val="20"/>
              </w:rPr>
              <w:t>4 500–7 000</w:t>
            </w:r>
          </w:p>
        </w:tc>
        <w:tc>
          <w:tcPr>
            <w:tcW w:w="1637" w:type="dxa"/>
          </w:tcPr>
          <w:p w:rsidR="00000000" w:rsidRDefault="00000000">
            <w:pPr>
              <w:spacing w:before="40" w:after="40"/>
              <w:ind w:left="113"/>
              <w:rPr>
                <w:sz w:val="20"/>
                <w:szCs w:val="20"/>
              </w:rPr>
            </w:pPr>
            <w:r>
              <w:rPr>
                <w:sz w:val="20"/>
                <w:szCs w:val="20"/>
              </w:rPr>
              <w:t>1 400–2 600</w:t>
            </w:r>
          </w:p>
        </w:tc>
        <w:tc>
          <w:tcPr>
            <w:tcW w:w="1637" w:type="dxa"/>
          </w:tcPr>
          <w:p w:rsidR="00000000" w:rsidRDefault="00000000">
            <w:pPr>
              <w:spacing w:before="40" w:after="40"/>
              <w:ind w:left="113"/>
              <w:rPr>
                <w:sz w:val="20"/>
                <w:szCs w:val="20"/>
              </w:rPr>
            </w:pPr>
            <w:r>
              <w:rPr>
                <w:sz w:val="20"/>
                <w:szCs w:val="20"/>
              </w:rPr>
              <w:t>5 900–9 900</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Штат Махараштра</w:t>
            </w:r>
          </w:p>
        </w:tc>
        <w:tc>
          <w:tcPr>
            <w:tcW w:w="1636" w:type="dxa"/>
          </w:tcPr>
          <w:p w:rsidR="00000000" w:rsidRDefault="00000000">
            <w:pPr>
              <w:spacing w:before="40" w:after="40"/>
              <w:ind w:left="113"/>
              <w:rPr>
                <w:sz w:val="20"/>
                <w:szCs w:val="20"/>
              </w:rPr>
            </w:pPr>
            <w:r>
              <w:rPr>
                <w:sz w:val="20"/>
                <w:szCs w:val="20"/>
              </w:rPr>
              <w:t>1 700–2 040</w:t>
            </w:r>
          </w:p>
        </w:tc>
        <w:tc>
          <w:tcPr>
            <w:tcW w:w="1637" w:type="dxa"/>
          </w:tcPr>
          <w:p w:rsidR="00000000" w:rsidRDefault="00000000">
            <w:pPr>
              <w:spacing w:before="40" w:after="40"/>
              <w:ind w:left="113"/>
              <w:rPr>
                <w:sz w:val="20"/>
                <w:szCs w:val="20"/>
              </w:rPr>
            </w:pPr>
            <w:r>
              <w:rPr>
                <w:sz w:val="20"/>
                <w:szCs w:val="20"/>
              </w:rPr>
              <w:t>4 500–7 000</w:t>
            </w:r>
          </w:p>
        </w:tc>
        <w:tc>
          <w:tcPr>
            <w:tcW w:w="1637" w:type="dxa"/>
          </w:tcPr>
          <w:p w:rsidR="00000000" w:rsidRDefault="00000000">
            <w:pPr>
              <w:spacing w:before="40" w:after="40"/>
              <w:ind w:left="113"/>
              <w:rPr>
                <w:sz w:val="20"/>
                <w:szCs w:val="20"/>
              </w:rPr>
            </w:pPr>
            <w:r>
              <w:rPr>
                <w:sz w:val="20"/>
                <w:szCs w:val="20"/>
              </w:rPr>
              <w:t>2 000–3 500</w:t>
            </w:r>
          </w:p>
        </w:tc>
        <w:tc>
          <w:tcPr>
            <w:tcW w:w="1637" w:type="dxa"/>
          </w:tcPr>
          <w:p w:rsidR="00000000" w:rsidRDefault="00000000">
            <w:pPr>
              <w:spacing w:before="40" w:after="40"/>
              <w:ind w:left="113"/>
              <w:rPr>
                <w:sz w:val="20"/>
                <w:szCs w:val="20"/>
              </w:rPr>
            </w:pPr>
            <w:r>
              <w:rPr>
                <w:sz w:val="20"/>
                <w:szCs w:val="20"/>
              </w:rPr>
              <w:t>7 500–12 000</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Штат Гоа</w:t>
            </w:r>
          </w:p>
        </w:tc>
        <w:tc>
          <w:tcPr>
            <w:tcW w:w="1636" w:type="dxa"/>
          </w:tcPr>
          <w:p w:rsidR="00000000" w:rsidRDefault="00000000">
            <w:pPr>
              <w:spacing w:before="40" w:after="40"/>
              <w:ind w:left="113"/>
              <w:rPr>
                <w:sz w:val="20"/>
                <w:szCs w:val="20"/>
              </w:rPr>
            </w:pPr>
            <w:r>
              <w:rPr>
                <w:sz w:val="20"/>
                <w:szCs w:val="20"/>
              </w:rPr>
              <w:t>1 200–1 800</w:t>
            </w:r>
          </w:p>
        </w:tc>
        <w:tc>
          <w:tcPr>
            <w:tcW w:w="1637" w:type="dxa"/>
          </w:tcPr>
          <w:p w:rsidR="00000000" w:rsidRDefault="00000000">
            <w:pPr>
              <w:spacing w:before="40" w:after="40"/>
              <w:ind w:left="113"/>
              <w:rPr>
                <w:sz w:val="20"/>
                <w:szCs w:val="20"/>
              </w:rPr>
            </w:pPr>
            <w:r>
              <w:rPr>
                <w:sz w:val="20"/>
                <w:szCs w:val="20"/>
              </w:rPr>
              <w:t>4 000–6 000</w:t>
            </w:r>
          </w:p>
        </w:tc>
        <w:tc>
          <w:tcPr>
            <w:tcW w:w="1637" w:type="dxa"/>
          </w:tcPr>
          <w:p w:rsidR="00000000" w:rsidRDefault="00000000">
            <w:pPr>
              <w:spacing w:before="40" w:after="40"/>
              <w:ind w:left="113"/>
              <w:rPr>
                <w:sz w:val="20"/>
                <w:szCs w:val="20"/>
              </w:rPr>
            </w:pPr>
            <w:r>
              <w:rPr>
                <w:sz w:val="20"/>
                <w:szCs w:val="20"/>
              </w:rPr>
              <w:t>1 400–2 600</w:t>
            </w:r>
          </w:p>
        </w:tc>
        <w:tc>
          <w:tcPr>
            <w:tcW w:w="1637" w:type="dxa"/>
          </w:tcPr>
          <w:p w:rsidR="00000000" w:rsidRDefault="00000000">
            <w:pPr>
              <w:spacing w:before="40" w:after="40"/>
              <w:ind w:left="113"/>
              <w:rPr>
                <w:sz w:val="20"/>
                <w:szCs w:val="20"/>
              </w:rPr>
            </w:pPr>
            <w:r>
              <w:rPr>
                <w:sz w:val="20"/>
                <w:szCs w:val="20"/>
              </w:rPr>
              <w:t>5 000–8 000</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Штат Керала</w:t>
            </w:r>
          </w:p>
        </w:tc>
        <w:tc>
          <w:tcPr>
            <w:tcW w:w="1636" w:type="dxa"/>
          </w:tcPr>
          <w:p w:rsidR="00000000" w:rsidRDefault="00000000">
            <w:pPr>
              <w:spacing w:before="40" w:after="40"/>
              <w:ind w:left="113"/>
              <w:rPr>
                <w:sz w:val="20"/>
                <w:szCs w:val="20"/>
              </w:rPr>
            </w:pPr>
            <w:r>
              <w:rPr>
                <w:sz w:val="20"/>
                <w:szCs w:val="20"/>
              </w:rPr>
              <w:t>1 125–1 725</w:t>
            </w:r>
          </w:p>
        </w:tc>
        <w:tc>
          <w:tcPr>
            <w:tcW w:w="1637" w:type="dxa"/>
          </w:tcPr>
          <w:p w:rsidR="00000000" w:rsidRDefault="00000000">
            <w:pPr>
              <w:spacing w:before="40" w:after="40"/>
              <w:ind w:left="113"/>
              <w:rPr>
                <w:sz w:val="20"/>
                <w:szCs w:val="20"/>
              </w:rPr>
            </w:pPr>
            <w:r>
              <w:rPr>
                <w:sz w:val="20"/>
                <w:szCs w:val="20"/>
              </w:rPr>
              <w:t>4 000–6 090</w:t>
            </w:r>
          </w:p>
        </w:tc>
        <w:tc>
          <w:tcPr>
            <w:tcW w:w="1637" w:type="dxa"/>
          </w:tcPr>
          <w:p w:rsidR="00000000" w:rsidRDefault="00000000">
            <w:pPr>
              <w:spacing w:before="40" w:after="40"/>
              <w:ind w:left="113"/>
              <w:rPr>
                <w:sz w:val="20"/>
                <w:szCs w:val="20"/>
              </w:rPr>
            </w:pPr>
            <w:r>
              <w:rPr>
                <w:sz w:val="20"/>
                <w:szCs w:val="20"/>
              </w:rPr>
              <w:t>1 640–2 900</w:t>
            </w:r>
          </w:p>
        </w:tc>
        <w:tc>
          <w:tcPr>
            <w:tcW w:w="1637" w:type="dxa"/>
          </w:tcPr>
          <w:p w:rsidR="00000000" w:rsidRDefault="00000000">
            <w:pPr>
              <w:spacing w:before="40" w:after="40"/>
              <w:ind w:left="113"/>
              <w:rPr>
                <w:sz w:val="20"/>
                <w:szCs w:val="20"/>
              </w:rPr>
            </w:pPr>
            <w:r>
              <w:rPr>
                <w:sz w:val="20"/>
                <w:szCs w:val="20"/>
              </w:rPr>
              <w:t>5 500–9 075</w:t>
            </w:r>
          </w:p>
        </w:tc>
      </w:tr>
      <w:tr w:rsidR="00000000">
        <w:tblPrEx>
          <w:tblCellMar>
            <w:top w:w="0" w:type="dxa"/>
            <w:bottom w:w="0" w:type="dxa"/>
          </w:tblCellMar>
        </w:tblPrEx>
        <w:trPr>
          <w:cantSplit/>
          <w:jc w:val="center"/>
        </w:trPr>
        <w:tc>
          <w:tcPr>
            <w:tcW w:w="3092" w:type="dxa"/>
          </w:tcPr>
          <w:p w:rsidR="00000000" w:rsidRDefault="00000000">
            <w:pPr>
              <w:spacing w:before="40" w:after="40"/>
              <w:ind w:left="113"/>
              <w:rPr>
                <w:sz w:val="20"/>
                <w:szCs w:val="20"/>
              </w:rPr>
            </w:pPr>
            <w:r>
              <w:rPr>
                <w:sz w:val="20"/>
                <w:szCs w:val="20"/>
              </w:rPr>
              <w:t>Штат Карнатака</w:t>
            </w:r>
          </w:p>
        </w:tc>
        <w:tc>
          <w:tcPr>
            <w:tcW w:w="1636" w:type="dxa"/>
          </w:tcPr>
          <w:p w:rsidR="00000000" w:rsidRDefault="00000000">
            <w:pPr>
              <w:spacing w:before="40" w:after="40"/>
              <w:ind w:left="113"/>
              <w:rPr>
                <w:sz w:val="20"/>
                <w:szCs w:val="20"/>
              </w:rPr>
            </w:pPr>
            <w:r>
              <w:rPr>
                <w:sz w:val="20"/>
                <w:szCs w:val="20"/>
              </w:rPr>
              <w:t>1 130–2 110</w:t>
            </w:r>
          </w:p>
        </w:tc>
        <w:tc>
          <w:tcPr>
            <w:tcW w:w="1637" w:type="dxa"/>
          </w:tcPr>
          <w:p w:rsidR="00000000" w:rsidRDefault="00000000">
            <w:pPr>
              <w:spacing w:before="40" w:after="40"/>
              <w:ind w:left="113"/>
              <w:rPr>
                <w:sz w:val="20"/>
                <w:szCs w:val="20"/>
              </w:rPr>
            </w:pPr>
            <w:r>
              <w:rPr>
                <w:sz w:val="20"/>
                <w:szCs w:val="20"/>
              </w:rPr>
              <w:t>3 300–6 300</w:t>
            </w:r>
          </w:p>
        </w:tc>
        <w:tc>
          <w:tcPr>
            <w:tcW w:w="1637" w:type="dxa"/>
          </w:tcPr>
          <w:p w:rsidR="00000000" w:rsidRDefault="00000000">
            <w:pPr>
              <w:spacing w:before="40" w:after="40"/>
              <w:ind w:left="113"/>
              <w:rPr>
                <w:sz w:val="20"/>
                <w:szCs w:val="20"/>
              </w:rPr>
            </w:pPr>
            <w:r>
              <w:rPr>
                <w:sz w:val="20"/>
                <w:szCs w:val="20"/>
              </w:rPr>
              <w:t>1 400–2 675</w:t>
            </w:r>
          </w:p>
        </w:tc>
        <w:tc>
          <w:tcPr>
            <w:tcW w:w="1637" w:type="dxa"/>
          </w:tcPr>
          <w:p w:rsidR="00000000" w:rsidRDefault="00000000">
            <w:pPr>
              <w:spacing w:before="40" w:after="40"/>
              <w:ind w:left="113"/>
              <w:rPr>
                <w:sz w:val="20"/>
                <w:szCs w:val="20"/>
              </w:rPr>
            </w:pPr>
            <w:r>
              <w:rPr>
                <w:sz w:val="20"/>
                <w:szCs w:val="20"/>
              </w:rPr>
              <w:t>4 150–7 800</w:t>
            </w:r>
          </w:p>
        </w:tc>
      </w:tr>
    </w:tbl>
    <w:p w:rsidR="00000000" w:rsidRDefault="00000000">
      <w:pPr>
        <w:jc w:val="both"/>
        <w:rPr>
          <w:sz w:val="22"/>
          <w:szCs w:val="22"/>
        </w:rPr>
      </w:pPr>
    </w:p>
    <w:p w:rsidR="00000000" w:rsidRDefault="00000000">
      <w:pPr>
        <w:jc w:val="both"/>
        <w:rPr>
          <w:sz w:val="22"/>
          <w:szCs w:val="22"/>
        </w:rPr>
      </w:pPr>
      <w:r>
        <w:rPr>
          <w:sz w:val="22"/>
          <w:szCs w:val="22"/>
        </w:rPr>
        <w:t>В то же время шкала оплаты труда гражданских служащих является следующей</w:t>
      </w:r>
    </w:p>
    <w:p w:rsidR="00000000" w:rsidRDefault="00000000">
      <w:pPr>
        <w:tabs>
          <w:tab w:val="left" w:pos="567"/>
          <w:tab w:val="left" w:pos="3960"/>
          <w:tab w:val="center" w:pos="4536"/>
          <w:tab w:val="left" w:pos="6480"/>
          <w:tab w:val="center" w:pos="7371"/>
        </w:tabs>
        <w:jc w:val="both"/>
        <w:rPr>
          <w:sz w:val="22"/>
          <w:szCs w:val="22"/>
        </w:rPr>
      </w:pPr>
      <w:r>
        <w:rPr>
          <w:sz w:val="22"/>
          <w:szCs w:val="22"/>
        </w:rPr>
        <w:t>Гражданские служащие</w:t>
      </w:r>
      <w:r>
        <w:rPr>
          <w:sz w:val="22"/>
          <w:szCs w:val="22"/>
        </w:rPr>
        <w:tab/>
        <w:t>До 1997 года</w:t>
      </w:r>
      <w:r>
        <w:rPr>
          <w:sz w:val="22"/>
          <w:szCs w:val="22"/>
        </w:rPr>
        <w:tab/>
        <w:t>После 1997 года</w:t>
      </w:r>
    </w:p>
    <w:p w:rsidR="00000000" w:rsidRDefault="00000000">
      <w:pPr>
        <w:tabs>
          <w:tab w:val="left" w:pos="3960"/>
          <w:tab w:val="center" w:pos="4536"/>
          <w:tab w:val="left" w:pos="6480"/>
          <w:tab w:val="center" w:pos="7371"/>
        </w:tabs>
        <w:rPr>
          <w:sz w:val="22"/>
          <w:szCs w:val="22"/>
        </w:rPr>
      </w:pPr>
      <w:r>
        <w:rPr>
          <w:sz w:val="22"/>
          <w:szCs w:val="22"/>
        </w:rPr>
        <w:t>ИАС/ИДС</w:t>
      </w:r>
      <w:r>
        <w:rPr>
          <w:sz w:val="22"/>
          <w:szCs w:val="22"/>
        </w:rPr>
        <w:tab/>
        <w:t>3 200–4 750</w:t>
      </w:r>
      <w:r>
        <w:rPr>
          <w:sz w:val="22"/>
          <w:szCs w:val="22"/>
        </w:rPr>
        <w:tab/>
        <w:t>10 650–325–15 850</w:t>
      </w:r>
    </w:p>
    <w:p w:rsidR="00000000" w:rsidRDefault="00000000">
      <w:pPr>
        <w:tabs>
          <w:tab w:val="left" w:pos="3960"/>
          <w:tab w:val="center" w:pos="4536"/>
          <w:tab w:val="left" w:pos="6480"/>
          <w:tab w:val="center" w:pos="7371"/>
        </w:tabs>
        <w:rPr>
          <w:sz w:val="22"/>
          <w:szCs w:val="22"/>
        </w:rPr>
      </w:pPr>
      <w:r>
        <w:rPr>
          <w:sz w:val="22"/>
          <w:szCs w:val="22"/>
        </w:rPr>
        <w:t>ИПС</w:t>
      </w:r>
      <w:r>
        <w:rPr>
          <w:sz w:val="22"/>
          <w:szCs w:val="22"/>
        </w:rPr>
        <w:tab/>
        <w:t>3 000–4 500</w:t>
      </w:r>
      <w:r>
        <w:rPr>
          <w:sz w:val="22"/>
          <w:szCs w:val="22"/>
        </w:rPr>
        <w:tab/>
        <w:t>10 000–325–15 200</w:t>
      </w:r>
    </w:p>
    <w:p w:rsidR="00000000" w:rsidRDefault="00000000">
      <w:pPr>
        <w:tabs>
          <w:tab w:val="left" w:pos="3960"/>
          <w:tab w:val="center" w:pos="4536"/>
          <w:tab w:val="left" w:pos="6480"/>
          <w:tab w:val="center" w:pos="7371"/>
        </w:tabs>
        <w:rPr>
          <w:sz w:val="22"/>
          <w:szCs w:val="22"/>
        </w:rPr>
      </w:pPr>
      <w:r>
        <w:rPr>
          <w:sz w:val="22"/>
          <w:szCs w:val="22"/>
        </w:rPr>
        <w:t>Индийская лесная служба</w:t>
      </w:r>
      <w:r>
        <w:rPr>
          <w:sz w:val="22"/>
          <w:szCs w:val="22"/>
        </w:rPr>
        <w:tab/>
        <w:t>3 000–4 500</w:t>
      </w:r>
      <w:r>
        <w:rPr>
          <w:sz w:val="22"/>
          <w:szCs w:val="22"/>
        </w:rPr>
        <w:tab/>
        <w:t>10 000–325–15 000</w:t>
      </w:r>
    </w:p>
    <w:p w:rsidR="00000000" w:rsidRDefault="00000000">
      <w:pPr>
        <w:tabs>
          <w:tab w:val="left" w:pos="3960"/>
          <w:tab w:val="center" w:pos="4536"/>
          <w:tab w:val="left" w:pos="6480"/>
          <w:tab w:val="center" w:pos="7371"/>
        </w:tabs>
        <w:rPr>
          <w:sz w:val="22"/>
          <w:szCs w:val="22"/>
        </w:rPr>
      </w:pPr>
      <w:r>
        <w:rPr>
          <w:sz w:val="22"/>
          <w:szCs w:val="22"/>
        </w:rPr>
        <w:t>Центральные службы</w:t>
      </w:r>
      <w:r>
        <w:rPr>
          <w:sz w:val="22"/>
          <w:szCs w:val="22"/>
        </w:rPr>
        <w:tab/>
        <w:t>3 000–4 500</w:t>
      </w:r>
      <w:r>
        <w:rPr>
          <w:sz w:val="22"/>
          <w:szCs w:val="22"/>
        </w:rPr>
        <w:tab/>
        <w:t>10 000–325–15 000</w:t>
      </w:r>
    </w:p>
    <w:p w:rsidR="00000000" w:rsidRDefault="00000000">
      <w:pPr>
        <w:tabs>
          <w:tab w:val="left" w:pos="3960"/>
          <w:tab w:val="center" w:pos="4536"/>
          <w:tab w:val="left" w:pos="6480"/>
          <w:tab w:val="center" w:pos="7371"/>
        </w:tabs>
        <w:jc w:val="both"/>
        <w:rPr>
          <w:sz w:val="22"/>
          <w:szCs w:val="22"/>
        </w:rPr>
      </w:pPr>
      <w:r>
        <w:rPr>
          <w:sz w:val="22"/>
          <w:szCs w:val="22"/>
        </w:rPr>
        <w:t>ИАГ</w:t>
      </w:r>
    </w:p>
    <w:p w:rsidR="00000000" w:rsidRDefault="00000000">
      <w:pPr>
        <w:tabs>
          <w:tab w:val="left" w:pos="3960"/>
          <w:tab w:val="center" w:pos="4536"/>
          <w:tab w:val="left" w:pos="6480"/>
          <w:tab w:val="center" w:pos="7371"/>
        </w:tabs>
        <w:rPr>
          <w:sz w:val="22"/>
          <w:szCs w:val="22"/>
        </w:rPr>
      </w:pPr>
      <w:r>
        <w:rPr>
          <w:sz w:val="22"/>
          <w:szCs w:val="22"/>
        </w:rPr>
        <w:t>ИАС/ИДС</w:t>
      </w:r>
      <w:r>
        <w:rPr>
          <w:sz w:val="22"/>
          <w:szCs w:val="22"/>
        </w:rPr>
        <w:tab/>
        <w:t>3 950–5 000</w:t>
      </w:r>
      <w:r>
        <w:rPr>
          <w:sz w:val="22"/>
          <w:szCs w:val="22"/>
        </w:rPr>
        <w:tab/>
        <w:t>12 750–375–16 500</w:t>
      </w:r>
    </w:p>
    <w:p w:rsidR="00000000" w:rsidRDefault="00000000">
      <w:pPr>
        <w:tabs>
          <w:tab w:val="left" w:pos="3960"/>
          <w:tab w:val="center" w:pos="4536"/>
          <w:tab w:val="left" w:pos="6480"/>
          <w:tab w:val="center" w:pos="7371"/>
        </w:tabs>
        <w:rPr>
          <w:sz w:val="22"/>
          <w:szCs w:val="22"/>
        </w:rPr>
      </w:pPr>
      <w:r>
        <w:rPr>
          <w:sz w:val="22"/>
          <w:szCs w:val="22"/>
        </w:rPr>
        <w:t>ИПС</w:t>
      </w:r>
      <w:r>
        <w:rPr>
          <w:sz w:val="22"/>
          <w:szCs w:val="22"/>
        </w:rPr>
        <w:tab/>
        <w:t>3 700–5 000</w:t>
      </w:r>
      <w:r>
        <w:rPr>
          <w:sz w:val="22"/>
          <w:szCs w:val="22"/>
        </w:rPr>
        <w:tab/>
        <w:t>12 000–375–16 500</w:t>
      </w:r>
    </w:p>
    <w:p w:rsidR="00000000" w:rsidRDefault="00000000">
      <w:pPr>
        <w:tabs>
          <w:tab w:val="left" w:pos="3960"/>
          <w:tab w:val="center" w:pos="4536"/>
          <w:tab w:val="left" w:pos="6480"/>
          <w:tab w:val="center" w:pos="7371"/>
        </w:tabs>
        <w:rPr>
          <w:sz w:val="22"/>
          <w:szCs w:val="22"/>
        </w:rPr>
      </w:pPr>
      <w:r>
        <w:rPr>
          <w:sz w:val="22"/>
          <w:szCs w:val="22"/>
        </w:rPr>
        <w:t>Индийская лесная служба</w:t>
      </w:r>
      <w:r>
        <w:rPr>
          <w:sz w:val="22"/>
          <w:szCs w:val="22"/>
        </w:rPr>
        <w:tab/>
        <w:t>3 700–5 000</w:t>
      </w:r>
      <w:r>
        <w:rPr>
          <w:sz w:val="22"/>
          <w:szCs w:val="22"/>
        </w:rPr>
        <w:tab/>
        <w:t>12 000–375–16 500</w:t>
      </w:r>
    </w:p>
    <w:p w:rsidR="00000000" w:rsidRDefault="00000000">
      <w:pPr>
        <w:tabs>
          <w:tab w:val="left" w:pos="3960"/>
          <w:tab w:val="center" w:pos="4536"/>
          <w:tab w:val="left" w:pos="6480"/>
          <w:tab w:val="center" w:pos="7371"/>
        </w:tabs>
        <w:rPr>
          <w:sz w:val="22"/>
          <w:szCs w:val="22"/>
        </w:rPr>
      </w:pPr>
      <w:r>
        <w:rPr>
          <w:sz w:val="22"/>
          <w:szCs w:val="22"/>
        </w:rPr>
        <w:t>Центральные службы</w:t>
      </w:r>
      <w:r>
        <w:rPr>
          <w:sz w:val="22"/>
          <w:szCs w:val="22"/>
        </w:rPr>
        <w:tab/>
        <w:t>3 700–5 000</w:t>
      </w:r>
      <w:r>
        <w:rPr>
          <w:sz w:val="22"/>
          <w:szCs w:val="22"/>
        </w:rPr>
        <w:tab/>
        <w:t>12 000–375–16 500</w:t>
      </w:r>
    </w:p>
    <w:p w:rsidR="00000000" w:rsidRDefault="00000000">
      <w:pPr>
        <w:jc w:val="both"/>
        <w:rPr>
          <w:b/>
          <w:bCs/>
          <w:sz w:val="22"/>
          <w:szCs w:val="22"/>
          <w:lang w:val="en-US"/>
        </w:rPr>
      </w:pPr>
    </w:p>
    <w:p w:rsidR="00000000" w:rsidRDefault="00000000">
      <w:pPr>
        <w:jc w:val="both"/>
        <w:rPr>
          <w:b/>
          <w:bCs/>
          <w:sz w:val="22"/>
          <w:szCs w:val="22"/>
        </w:rPr>
      </w:pPr>
      <w:r>
        <w:rPr>
          <w:b/>
          <w:bCs/>
          <w:sz w:val="22"/>
          <w:szCs w:val="22"/>
        </w:rPr>
        <w:t>Возможности роста</w:t>
      </w:r>
    </w:p>
    <w:p w:rsidR="00000000" w:rsidRDefault="00000000">
      <w:pPr>
        <w:jc w:val="both"/>
        <w:rPr>
          <w:sz w:val="22"/>
          <w:szCs w:val="22"/>
        </w:rPr>
      </w:pPr>
    </w:p>
    <w:p w:rsidR="00000000" w:rsidRDefault="00000000">
      <w:pPr>
        <w:jc w:val="both"/>
        <w:rPr>
          <w:sz w:val="22"/>
          <w:szCs w:val="22"/>
        </w:rPr>
      </w:pPr>
      <w:r>
        <w:rPr>
          <w:sz w:val="22"/>
          <w:szCs w:val="22"/>
        </w:rPr>
        <w:t>652.</w:t>
      </w:r>
      <w:r>
        <w:rPr>
          <w:sz w:val="22"/>
          <w:szCs w:val="22"/>
        </w:rPr>
        <w:tab/>
        <w:t>У учителей имеются возможности для карьерного роста.  При наличии определенного стажа и опыта работы учителя могут стать директорами начальных школ.  Учитель может занять должность школьного инспектора.  Количество таких должностей значительно.  В</w:t>
      </w:r>
      <w:r>
        <w:rPr>
          <w:sz w:val="22"/>
          <w:szCs w:val="22"/>
          <w:lang w:val="en-US"/>
        </w:rPr>
        <w:t> </w:t>
      </w:r>
      <w:r>
        <w:rPr>
          <w:sz w:val="22"/>
          <w:szCs w:val="22"/>
        </w:rPr>
        <w:t>1995</w:t>
      </w:r>
      <w:r>
        <w:rPr>
          <w:sz w:val="22"/>
          <w:szCs w:val="22"/>
          <w:lang w:val="en-US"/>
        </w:rPr>
        <w:t> </w:t>
      </w:r>
      <w:r>
        <w:rPr>
          <w:sz w:val="22"/>
          <w:szCs w:val="22"/>
        </w:rPr>
        <w:t>году на 200</w:t>
      </w:r>
      <w:r>
        <w:rPr>
          <w:sz w:val="22"/>
          <w:szCs w:val="22"/>
          <w:lang w:val="en-US"/>
        </w:rPr>
        <w:t> </w:t>
      </w:r>
      <w:r>
        <w:rPr>
          <w:sz w:val="22"/>
          <w:szCs w:val="22"/>
        </w:rPr>
        <w:t>000 учителей начальных школ приходилось примерно 400 школьных инспекторов.  В</w:t>
      </w:r>
      <w:r>
        <w:rPr>
          <w:sz w:val="22"/>
          <w:szCs w:val="22"/>
          <w:lang w:val="en-US"/>
        </w:rPr>
        <w:t> </w:t>
      </w:r>
      <w:r>
        <w:rPr>
          <w:sz w:val="22"/>
          <w:szCs w:val="22"/>
        </w:rPr>
        <w:t>некоторых штатах учреждены должности методистов для оказания помощи в вопросах образования  на уровне кварталов, зарплата у которых выше, чем у директора начальной школы.  Однако количество таких должностей довольно ограничено.</w:t>
      </w:r>
    </w:p>
    <w:p w:rsidR="00000000" w:rsidRDefault="00000000">
      <w:pPr>
        <w:pStyle w:val="112"/>
      </w:pPr>
      <w:r>
        <w:t>653.</w:t>
      </w:r>
      <w:r>
        <w:tab/>
        <w:t>Из общего числа учителей начальных школ 25% располагают возможностями карьерного роста.  У</w:t>
      </w:r>
      <w:r>
        <w:rPr>
          <w:lang w:val="en-US"/>
        </w:rPr>
        <w:t> </w:t>
      </w:r>
      <w:r>
        <w:t xml:space="preserve">остальных учителей зарплата повышается по мере увеличения стажа работы.  </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Социальное обеспечение учителей начальных школ</w:t>
      </w:r>
    </w:p>
    <w:p w:rsidR="00000000" w:rsidRDefault="00000000">
      <w:pPr>
        <w:jc w:val="both"/>
        <w:rPr>
          <w:sz w:val="22"/>
          <w:szCs w:val="22"/>
        </w:rPr>
      </w:pPr>
    </w:p>
    <w:p w:rsidR="00000000" w:rsidRDefault="00000000">
      <w:pPr>
        <w:jc w:val="both"/>
        <w:rPr>
          <w:sz w:val="22"/>
          <w:szCs w:val="22"/>
        </w:rPr>
      </w:pPr>
      <w:r>
        <w:rPr>
          <w:sz w:val="22"/>
          <w:szCs w:val="22"/>
        </w:rPr>
        <w:t>654.</w:t>
      </w:r>
      <w:r>
        <w:rPr>
          <w:sz w:val="22"/>
          <w:szCs w:val="22"/>
        </w:rPr>
        <w:tab/>
        <w:t>В</w:t>
      </w:r>
      <w:r>
        <w:rPr>
          <w:sz w:val="22"/>
          <w:szCs w:val="22"/>
          <w:lang w:val="en-US"/>
        </w:rPr>
        <w:t> </w:t>
      </w:r>
      <w:r>
        <w:rPr>
          <w:sz w:val="22"/>
          <w:szCs w:val="22"/>
        </w:rPr>
        <w:t xml:space="preserve">соответствии с </w:t>
      </w:r>
      <w:r>
        <w:rPr>
          <w:caps/>
          <w:sz w:val="22"/>
          <w:szCs w:val="22"/>
        </w:rPr>
        <w:t>з</w:t>
      </w:r>
      <w:r>
        <w:rPr>
          <w:sz w:val="22"/>
          <w:szCs w:val="22"/>
        </w:rPr>
        <w:t>аконом № 1890 о благотворительных фондах в 1962 году был создан национальный фонд социального обеспечения учителей (НФСОУ), который находится в Нью-Дели.  Задача НФСОУ состоит в оказании помощи нуждающимся учителям.  Каждый год 5</w:t>
      </w:r>
      <w:r>
        <w:rPr>
          <w:sz w:val="22"/>
          <w:szCs w:val="22"/>
          <w:lang w:val="en-US"/>
        </w:rPr>
        <w:t> </w:t>
      </w:r>
      <w:r>
        <w:rPr>
          <w:sz w:val="22"/>
          <w:szCs w:val="22"/>
        </w:rPr>
        <w:t xml:space="preserve">сентября отмечается в Индии День учителя в память Сарвепалли Радхакришнана, который за время своей творческой жизни от университетского преподавателя вырос до президента Индии.  НФСОУ осуществляет сбор средств ко Дню учителя посредством продажи яркого дюймового флажка.  Помощь НФСОУ в сборе средств оказывают Центральный совет социального обеспечения Индии, Всеиндийская конференция женщин, Национальный совет по вопросам образования женщин, университеты, колледжи, школы и другие организации и известные граждане.  НФСОУ оставляет 80% собранных средств штатам и союзным территориям, а остальные 20% перечисляет в свой основной фонд.  </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655.</w:t>
      </w:r>
      <w:r>
        <w:rPr>
          <w:b/>
          <w:bCs/>
          <w:sz w:val="22"/>
          <w:szCs w:val="22"/>
        </w:rPr>
        <w:tab/>
        <w:t>Роль неправительственных организаций</w:t>
      </w:r>
    </w:p>
    <w:p w:rsidR="00000000" w:rsidRDefault="00000000">
      <w:pPr>
        <w:jc w:val="both"/>
        <w:rPr>
          <w:sz w:val="22"/>
          <w:szCs w:val="22"/>
        </w:rPr>
      </w:pPr>
    </w:p>
    <w:p w:rsidR="00000000" w:rsidRDefault="00000000">
      <w:pPr>
        <w:jc w:val="both"/>
        <w:rPr>
          <w:sz w:val="22"/>
          <w:szCs w:val="22"/>
        </w:rPr>
      </w:pPr>
      <w:r>
        <w:rPr>
          <w:sz w:val="22"/>
          <w:szCs w:val="22"/>
        </w:rPr>
        <w:t>Начальные школы в разбивке по формам управления</w:t>
      </w:r>
    </w:p>
    <w:p w:rsidR="00000000" w:rsidRDefault="00000000">
      <w:pPr>
        <w:pStyle w:val="112"/>
        <w:spacing w:after="40"/>
        <w:rPr>
          <w:b/>
          <w:bCs/>
        </w:rPr>
      </w:pPr>
      <w:r>
        <w:rPr>
          <w:b/>
          <w:bCs/>
        </w:rPr>
        <w:t xml:space="preserve">Таблица 13.24.  Начальные школы младшей ступени </w:t>
      </w:r>
    </w:p>
    <w:tbl>
      <w:tblPr>
        <w:tblW w:w="961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1900"/>
        <w:gridCol w:w="1927"/>
        <w:gridCol w:w="1928"/>
        <w:gridCol w:w="1928"/>
        <w:gridCol w:w="1928"/>
      </w:tblGrid>
      <w:tr w:rsidR="00000000">
        <w:tblPrEx>
          <w:tblCellMar>
            <w:top w:w="0" w:type="dxa"/>
            <w:bottom w:w="0" w:type="dxa"/>
          </w:tblCellMar>
        </w:tblPrEx>
        <w:trPr>
          <w:cantSplit/>
        </w:trPr>
        <w:tc>
          <w:tcPr>
            <w:tcW w:w="1900" w:type="dxa"/>
          </w:tcPr>
          <w:p w:rsidR="00000000" w:rsidRDefault="00000000">
            <w:pPr>
              <w:spacing w:before="40" w:after="40"/>
              <w:jc w:val="center"/>
              <w:rPr>
                <w:sz w:val="20"/>
                <w:szCs w:val="20"/>
              </w:rPr>
            </w:pPr>
            <w:r>
              <w:rPr>
                <w:sz w:val="20"/>
                <w:szCs w:val="20"/>
              </w:rPr>
              <w:t>Год</w:t>
            </w:r>
          </w:p>
        </w:tc>
        <w:tc>
          <w:tcPr>
            <w:tcW w:w="1927" w:type="dxa"/>
          </w:tcPr>
          <w:p w:rsidR="00000000" w:rsidRDefault="00000000">
            <w:pPr>
              <w:spacing w:before="40" w:after="40"/>
              <w:jc w:val="center"/>
              <w:rPr>
                <w:sz w:val="20"/>
                <w:szCs w:val="20"/>
              </w:rPr>
            </w:pPr>
            <w:r>
              <w:rPr>
                <w:sz w:val="20"/>
                <w:szCs w:val="20"/>
              </w:rPr>
              <w:t>Школы, финансируемые центральным правительством</w:t>
            </w:r>
          </w:p>
        </w:tc>
        <w:tc>
          <w:tcPr>
            <w:tcW w:w="1928" w:type="dxa"/>
          </w:tcPr>
          <w:p w:rsidR="00000000" w:rsidRDefault="00000000">
            <w:pPr>
              <w:spacing w:before="40" w:after="40"/>
              <w:jc w:val="center"/>
              <w:rPr>
                <w:sz w:val="20"/>
                <w:szCs w:val="20"/>
              </w:rPr>
            </w:pPr>
            <w:r>
              <w:rPr>
                <w:sz w:val="20"/>
                <w:szCs w:val="20"/>
              </w:rPr>
              <w:t xml:space="preserve">Школы, финансируемые местными </w:t>
            </w:r>
            <w:r>
              <w:rPr>
                <w:sz w:val="20"/>
                <w:szCs w:val="20"/>
              </w:rPr>
              <w:br/>
              <w:t>органами</w:t>
            </w:r>
          </w:p>
        </w:tc>
        <w:tc>
          <w:tcPr>
            <w:tcW w:w="1928" w:type="dxa"/>
          </w:tcPr>
          <w:p w:rsidR="00000000" w:rsidRDefault="00000000">
            <w:pPr>
              <w:spacing w:before="40" w:after="40"/>
              <w:jc w:val="center"/>
              <w:rPr>
                <w:sz w:val="20"/>
                <w:szCs w:val="20"/>
              </w:rPr>
            </w:pPr>
            <w:r>
              <w:rPr>
                <w:sz w:val="20"/>
                <w:szCs w:val="20"/>
              </w:rPr>
              <w:t>Частные школы, пользующиеся государственной помощью</w:t>
            </w:r>
          </w:p>
        </w:tc>
        <w:tc>
          <w:tcPr>
            <w:tcW w:w="1928" w:type="dxa"/>
          </w:tcPr>
          <w:p w:rsidR="00000000" w:rsidRDefault="00000000">
            <w:pPr>
              <w:spacing w:before="40" w:after="40"/>
              <w:jc w:val="center"/>
              <w:rPr>
                <w:sz w:val="20"/>
                <w:szCs w:val="20"/>
              </w:rPr>
            </w:pPr>
            <w:r>
              <w:rPr>
                <w:sz w:val="20"/>
                <w:szCs w:val="20"/>
              </w:rPr>
              <w:t xml:space="preserve">Частные школы, </w:t>
            </w:r>
            <w:r>
              <w:rPr>
                <w:sz w:val="20"/>
                <w:szCs w:val="20"/>
              </w:rPr>
              <w:br/>
              <w:t>не пользующиеся государственной помощью</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1973/74</w:t>
            </w:r>
          </w:p>
        </w:tc>
        <w:tc>
          <w:tcPr>
            <w:tcW w:w="1927" w:type="dxa"/>
          </w:tcPr>
          <w:p w:rsidR="00000000" w:rsidRDefault="00000000">
            <w:pPr>
              <w:spacing w:before="40" w:after="40"/>
              <w:jc w:val="center"/>
              <w:rPr>
                <w:sz w:val="20"/>
                <w:szCs w:val="20"/>
              </w:rPr>
            </w:pPr>
            <w:r>
              <w:rPr>
                <w:sz w:val="20"/>
                <w:szCs w:val="20"/>
              </w:rPr>
              <w:t>50,88</w:t>
            </w:r>
          </w:p>
        </w:tc>
        <w:tc>
          <w:tcPr>
            <w:tcW w:w="1928" w:type="dxa"/>
          </w:tcPr>
          <w:p w:rsidR="00000000" w:rsidRDefault="00000000">
            <w:pPr>
              <w:spacing w:before="40" w:after="40"/>
              <w:jc w:val="center"/>
              <w:rPr>
                <w:sz w:val="20"/>
                <w:szCs w:val="20"/>
              </w:rPr>
            </w:pPr>
            <w:r>
              <w:rPr>
                <w:sz w:val="20"/>
                <w:szCs w:val="20"/>
              </w:rPr>
              <w:t>42,47</w:t>
            </w:r>
          </w:p>
        </w:tc>
        <w:tc>
          <w:tcPr>
            <w:tcW w:w="1928" w:type="dxa"/>
          </w:tcPr>
          <w:p w:rsidR="00000000" w:rsidRDefault="00000000">
            <w:pPr>
              <w:spacing w:before="40" w:after="40"/>
              <w:jc w:val="center"/>
              <w:rPr>
                <w:sz w:val="20"/>
                <w:szCs w:val="20"/>
              </w:rPr>
            </w:pPr>
            <w:r>
              <w:rPr>
                <w:sz w:val="20"/>
                <w:szCs w:val="20"/>
              </w:rPr>
              <w:t>5,01</w:t>
            </w:r>
          </w:p>
        </w:tc>
        <w:tc>
          <w:tcPr>
            <w:tcW w:w="1928" w:type="dxa"/>
          </w:tcPr>
          <w:p w:rsidR="00000000" w:rsidRDefault="00000000">
            <w:pPr>
              <w:spacing w:before="40" w:after="40"/>
              <w:jc w:val="center"/>
              <w:rPr>
                <w:sz w:val="20"/>
                <w:szCs w:val="20"/>
              </w:rPr>
            </w:pPr>
            <w:r>
              <w:rPr>
                <w:sz w:val="20"/>
                <w:szCs w:val="20"/>
              </w:rPr>
              <w:t>1,64</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1978/79</w:t>
            </w:r>
          </w:p>
        </w:tc>
        <w:tc>
          <w:tcPr>
            <w:tcW w:w="1927" w:type="dxa"/>
          </w:tcPr>
          <w:p w:rsidR="00000000" w:rsidRDefault="00000000">
            <w:pPr>
              <w:spacing w:before="40" w:after="40"/>
              <w:jc w:val="center"/>
              <w:rPr>
                <w:sz w:val="20"/>
                <w:szCs w:val="20"/>
              </w:rPr>
            </w:pPr>
            <w:r>
              <w:rPr>
                <w:sz w:val="20"/>
                <w:szCs w:val="20"/>
              </w:rPr>
              <w:t>38,96</w:t>
            </w:r>
          </w:p>
        </w:tc>
        <w:tc>
          <w:tcPr>
            <w:tcW w:w="1928" w:type="dxa"/>
          </w:tcPr>
          <w:p w:rsidR="00000000" w:rsidRDefault="00000000">
            <w:pPr>
              <w:spacing w:before="40" w:after="40"/>
              <w:jc w:val="center"/>
              <w:rPr>
                <w:sz w:val="20"/>
                <w:szCs w:val="20"/>
              </w:rPr>
            </w:pPr>
            <w:r>
              <w:rPr>
                <w:sz w:val="20"/>
                <w:szCs w:val="20"/>
              </w:rPr>
              <w:t>55,03</w:t>
            </w:r>
          </w:p>
        </w:tc>
        <w:tc>
          <w:tcPr>
            <w:tcW w:w="1928" w:type="dxa"/>
          </w:tcPr>
          <w:p w:rsidR="00000000" w:rsidRDefault="00000000">
            <w:pPr>
              <w:spacing w:before="40" w:after="40"/>
              <w:jc w:val="center"/>
              <w:rPr>
                <w:sz w:val="20"/>
                <w:szCs w:val="20"/>
              </w:rPr>
            </w:pPr>
            <w:r>
              <w:rPr>
                <w:sz w:val="20"/>
                <w:szCs w:val="20"/>
              </w:rPr>
              <w:t>4,42</w:t>
            </w:r>
          </w:p>
        </w:tc>
        <w:tc>
          <w:tcPr>
            <w:tcW w:w="1928" w:type="dxa"/>
          </w:tcPr>
          <w:p w:rsidR="00000000" w:rsidRDefault="00000000">
            <w:pPr>
              <w:spacing w:before="40" w:after="40"/>
              <w:jc w:val="center"/>
              <w:rPr>
                <w:sz w:val="20"/>
                <w:szCs w:val="20"/>
              </w:rPr>
            </w:pPr>
            <w:r>
              <w:rPr>
                <w:sz w:val="20"/>
                <w:szCs w:val="20"/>
              </w:rPr>
              <w:t>1,59</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1986/87</w:t>
            </w:r>
          </w:p>
        </w:tc>
        <w:tc>
          <w:tcPr>
            <w:tcW w:w="1927" w:type="dxa"/>
          </w:tcPr>
          <w:p w:rsidR="00000000" w:rsidRDefault="00000000">
            <w:pPr>
              <w:spacing w:before="40" w:after="40"/>
              <w:jc w:val="center"/>
              <w:rPr>
                <w:sz w:val="20"/>
                <w:szCs w:val="20"/>
              </w:rPr>
            </w:pPr>
            <w:r>
              <w:rPr>
                <w:sz w:val="20"/>
                <w:szCs w:val="20"/>
              </w:rPr>
              <w:t>41,37</w:t>
            </w:r>
          </w:p>
        </w:tc>
        <w:tc>
          <w:tcPr>
            <w:tcW w:w="1928" w:type="dxa"/>
          </w:tcPr>
          <w:p w:rsidR="00000000" w:rsidRDefault="00000000">
            <w:pPr>
              <w:spacing w:before="40" w:after="40"/>
              <w:jc w:val="center"/>
              <w:rPr>
                <w:sz w:val="20"/>
                <w:szCs w:val="20"/>
              </w:rPr>
            </w:pPr>
            <w:r>
              <w:rPr>
                <w:sz w:val="20"/>
                <w:szCs w:val="20"/>
              </w:rPr>
              <w:t>51,71</w:t>
            </w:r>
          </w:p>
        </w:tc>
        <w:tc>
          <w:tcPr>
            <w:tcW w:w="1928" w:type="dxa"/>
          </w:tcPr>
          <w:p w:rsidR="00000000" w:rsidRDefault="00000000">
            <w:pPr>
              <w:spacing w:before="40" w:after="40"/>
              <w:jc w:val="center"/>
              <w:rPr>
                <w:sz w:val="20"/>
                <w:szCs w:val="20"/>
              </w:rPr>
            </w:pPr>
            <w:r>
              <w:rPr>
                <w:sz w:val="20"/>
                <w:szCs w:val="20"/>
              </w:rPr>
              <w:t>4,34</w:t>
            </w:r>
          </w:p>
        </w:tc>
        <w:tc>
          <w:tcPr>
            <w:tcW w:w="1928" w:type="dxa"/>
          </w:tcPr>
          <w:p w:rsidR="00000000" w:rsidRDefault="00000000">
            <w:pPr>
              <w:spacing w:before="40" w:after="40"/>
              <w:jc w:val="center"/>
              <w:rPr>
                <w:sz w:val="20"/>
                <w:szCs w:val="20"/>
              </w:rPr>
            </w:pPr>
            <w:r>
              <w:rPr>
                <w:sz w:val="20"/>
                <w:szCs w:val="20"/>
              </w:rPr>
              <w:t>2,57</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1993/94</w:t>
            </w:r>
          </w:p>
        </w:tc>
        <w:tc>
          <w:tcPr>
            <w:tcW w:w="1927" w:type="dxa"/>
          </w:tcPr>
          <w:p w:rsidR="00000000" w:rsidRDefault="00000000">
            <w:pPr>
              <w:spacing w:before="40" w:after="40"/>
              <w:jc w:val="center"/>
              <w:rPr>
                <w:sz w:val="20"/>
                <w:szCs w:val="20"/>
              </w:rPr>
            </w:pPr>
            <w:r>
              <w:rPr>
                <w:sz w:val="20"/>
                <w:szCs w:val="20"/>
              </w:rPr>
              <w:t>44,63</w:t>
            </w:r>
          </w:p>
        </w:tc>
        <w:tc>
          <w:tcPr>
            <w:tcW w:w="1928" w:type="dxa"/>
          </w:tcPr>
          <w:p w:rsidR="00000000" w:rsidRDefault="00000000">
            <w:pPr>
              <w:spacing w:before="40" w:after="40"/>
              <w:jc w:val="center"/>
              <w:rPr>
                <w:sz w:val="20"/>
                <w:szCs w:val="20"/>
              </w:rPr>
            </w:pPr>
            <w:r>
              <w:rPr>
                <w:sz w:val="20"/>
                <w:szCs w:val="20"/>
              </w:rPr>
              <w:t>47,47</w:t>
            </w:r>
          </w:p>
        </w:tc>
        <w:tc>
          <w:tcPr>
            <w:tcW w:w="1928" w:type="dxa"/>
          </w:tcPr>
          <w:p w:rsidR="00000000" w:rsidRDefault="00000000">
            <w:pPr>
              <w:spacing w:before="40" w:after="40"/>
              <w:jc w:val="center"/>
              <w:rPr>
                <w:sz w:val="20"/>
                <w:szCs w:val="20"/>
              </w:rPr>
            </w:pPr>
            <w:r>
              <w:rPr>
                <w:sz w:val="20"/>
                <w:szCs w:val="20"/>
              </w:rPr>
              <w:t>3,78</w:t>
            </w:r>
          </w:p>
        </w:tc>
        <w:tc>
          <w:tcPr>
            <w:tcW w:w="1928" w:type="dxa"/>
          </w:tcPr>
          <w:p w:rsidR="00000000" w:rsidRDefault="00000000">
            <w:pPr>
              <w:spacing w:before="40" w:after="40"/>
              <w:jc w:val="center"/>
              <w:rPr>
                <w:sz w:val="20"/>
                <w:szCs w:val="20"/>
              </w:rPr>
            </w:pPr>
            <w:r>
              <w:rPr>
                <w:sz w:val="20"/>
                <w:szCs w:val="20"/>
              </w:rPr>
              <w:t>4,12</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1996/97</w:t>
            </w:r>
          </w:p>
        </w:tc>
        <w:tc>
          <w:tcPr>
            <w:tcW w:w="1927" w:type="dxa"/>
          </w:tcPr>
          <w:p w:rsidR="00000000" w:rsidRDefault="00000000">
            <w:pPr>
              <w:spacing w:before="40" w:after="40"/>
              <w:jc w:val="center"/>
              <w:rPr>
                <w:sz w:val="20"/>
                <w:szCs w:val="20"/>
              </w:rPr>
            </w:pPr>
            <w:r>
              <w:rPr>
                <w:sz w:val="20"/>
                <w:szCs w:val="20"/>
              </w:rPr>
              <w:t>47,78</w:t>
            </w:r>
          </w:p>
        </w:tc>
        <w:tc>
          <w:tcPr>
            <w:tcW w:w="1928" w:type="dxa"/>
          </w:tcPr>
          <w:p w:rsidR="00000000" w:rsidRDefault="00000000">
            <w:pPr>
              <w:spacing w:before="40" w:after="40"/>
              <w:jc w:val="center"/>
              <w:rPr>
                <w:sz w:val="20"/>
                <w:szCs w:val="20"/>
              </w:rPr>
            </w:pPr>
            <w:r>
              <w:rPr>
                <w:sz w:val="20"/>
                <w:szCs w:val="20"/>
              </w:rPr>
              <w:t>43,88</w:t>
            </w:r>
          </w:p>
        </w:tc>
        <w:tc>
          <w:tcPr>
            <w:tcW w:w="1928" w:type="dxa"/>
          </w:tcPr>
          <w:p w:rsidR="00000000" w:rsidRDefault="00000000">
            <w:pPr>
              <w:spacing w:before="40" w:after="40"/>
              <w:jc w:val="center"/>
              <w:rPr>
                <w:sz w:val="20"/>
                <w:szCs w:val="20"/>
              </w:rPr>
            </w:pPr>
            <w:r>
              <w:rPr>
                <w:sz w:val="20"/>
                <w:szCs w:val="20"/>
              </w:rPr>
              <w:t>3,34</w:t>
            </w:r>
          </w:p>
        </w:tc>
        <w:tc>
          <w:tcPr>
            <w:tcW w:w="1928" w:type="dxa"/>
          </w:tcPr>
          <w:p w:rsidR="00000000" w:rsidRDefault="00000000">
            <w:pPr>
              <w:spacing w:before="40" w:after="40"/>
              <w:jc w:val="center"/>
              <w:rPr>
                <w:sz w:val="20"/>
                <w:szCs w:val="20"/>
              </w:rPr>
            </w:pPr>
            <w:r>
              <w:rPr>
                <w:sz w:val="20"/>
                <w:szCs w:val="20"/>
              </w:rPr>
              <w:t>5,00</w:t>
            </w:r>
          </w:p>
        </w:tc>
      </w:tr>
      <w:tr w:rsidR="00000000">
        <w:tblPrEx>
          <w:tblCellMar>
            <w:top w:w="0" w:type="dxa"/>
            <w:bottom w:w="0" w:type="dxa"/>
          </w:tblCellMar>
        </w:tblPrEx>
        <w:trPr>
          <w:cantSplit/>
        </w:trPr>
        <w:tc>
          <w:tcPr>
            <w:tcW w:w="1900" w:type="dxa"/>
          </w:tcPr>
          <w:p w:rsidR="00000000" w:rsidRDefault="00000000">
            <w:pPr>
              <w:spacing w:before="40" w:after="40"/>
              <w:ind w:left="113"/>
              <w:rPr>
                <w:sz w:val="20"/>
                <w:szCs w:val="20"/>
              </w:rPr>
            </w:pPr>
            <w:r>
              <w:rPr>
                <w:sz w:val="20"/>
                <w:szCs w:val="20"/>
              </w:rPr>
              <w:t>2001/02</w:t>
            </w:r>
          </w:p>
        </w:tc>
        <w:tc>
          <w:tcPr>
            <w:tcW w:w="1927" w:type="dxa"/>
          </w:tcPr>
          <w:p w:rsidR="00000000" w:rsidRDefault="00000000">
            <w:pPr>
              <w:spacing w:before="40" w:after="40"/>
              <w:jc w:val="center"/>
              <w:rPr>
                <w:sz w:val="20"/>
                <w:szCs w:val="20"/>
              </w:rPr>
            </w:pPr>
            <w:r>
              <w:rPr>
                <w:sz w:val="20"/>
                <w:szCs w:val="20"/>
              </w:rPr>
              <w:t>47,45</w:t>
            </w:r>
          </w:p>
        </w:tc>
        <w:tc>
          <w:tcPr>
            <w:tcW w:w="1928" w:type="dxa"/>
          </w:tcPr>
          <w:p w:rsidR="00000000" w:rsidRDefault="00000000">
            <w:pPr>
              <w:spacing w:before="40" w:after="40"/>
              <w:jc w:val="center"/>
              <w:rPr>
                <w:sz w:val="20"/>
                <w:szCs w:val="20"/>
              </w:rPr>
            </w:pPr>
            <w:r>
              <w:rPr>
                <w:sz w:val="20"/>
                <w:szCs w:val="20"/>
              </w:rPr>
              <w:t>43,47</w:t>
            </w:r>
          </w:p>
        </w:tc>
        <w:tc>
          <w:tcPr>
            <w:tcW w:w="1928" w:type="dxa"/>
          </w:tcPr>
          <w:p w:rsidR="00000000" w:rsidRDefault="00000000">
            <w:pPr>
              <w:spacing w:before="40" w:after="40"/>
              <w:jc w:val="center"/>
              <w:rPr>
                <w:sz w:val="20"/>
                <w:szCs w:val="20"/>
              </w:rPr>
            </w:pPr>
            <w:r>
              <w:rPr>
                <w:sz w:val="20"/>
                <w:szCs w:val="20"/>
              </w:rPr>
              <w:t>3,07</w:t>
            </w:r>
          </w:p>
        </w:tc>
        <w:tc>
          <w:tcPr>
            <w:tcW w:w="1928" w:type="dxa"/>
          </w:tcPr>
          <w:p w:rsidR="00000000" w:rsidRDefault="00000000">
            <w:pPr>
              <w:spacing w:before="40" w:after="40"/>
              <w:jc w:val="center"/>
              <w:rPr>
                <w:sz w:val="20"/>
                <w:szCs w:val="20"/>
              </w:rPr>
            </w:pPr>
            <w:r>
              <w:rPr>
                <w:sz w:val="20"/>
                <w:szCs w:val="20"/>
              </w:rPr>
              <w:t>6,01</w:t>
            </w:r>
          </w:p>
        </w:tc>
      </w:tr>
    </w:tbl>
    <w:p w:rsidR="00000000" w:rsidRDefault="00000000">
      <w:pPr>
        <w:jc w:val="both"/>
        <w:rPr>
          <w:sz w:val="22"/>
          <w:szCs w:val="22"/>
        </w:rPr>
      </w:pPr>
    </w:p>
    <w:p w:rsidR="00000000" w:rsidRDefault="00000000">
      <w:pPr>
        <w:spacing w:after="40"/>
        <w:jc w:val="both"/>
        <w:rPr>
          <w:b/>
          <w:bCs/>
          <w:sz w:val="22"/>
          <w:szCs w:val="22"/>
        </w:rPr>
      </w:pPr>
      <w:r>
        <w:rPr>
          <w:b/>
          <w:bCs/>
          <w:sz w:val="22"/>
          <w:szCs w:val="22"/>
        </w:rPr>
        <w:br w:type="page"/>
        <w:t>Таблица 13.25.  Начальные школы старшей ступени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28"/>
        <w:gridCol w:w="1927"/>
        <w:gridCol w:w="1928"/>
        <w:gridCol w:w="1928"/>
        <w:gridCol w:w="1928"/>
      </w:tblGrid>
      <w:tr w:rsidR="00000000">
        <w:tblPrEx>
          <w:tblCellMar>
            <w:top w:w="0" w:type="dxa"/>
            <w:bottom w:w="0" w:type="dxa"/>
          </w:tblCellMar>
        </w:tblPrEx>
        <w:trPr>
          <w:cantSplit/>
          <w:jc w:val="center"/>
        </w:trPr>
        <w:tc>
          <w:tcPr>
            <w:tcW w:w="1883" w:type="dxa"/>
          </w:tcPr>
          <w:p w:rsidR="00000000" w:rsidRDefault="00000000">
            <w:pPr>
              <w:spacing w:before="40" w:after="40"/>
              <w:jc w:val="center"/>
              <w:rPr>
                <w:sz w:val="20"/>
                <w:szCs w:val="20"/>
              </w:rPr>
            </w:pPr>
            <w:r>
              <w:rPr>
                <w:sz w:val="20"/>
                <w:szCs w:val="20"/>
              </w:rPr>
              <w:t>Год</w:t>
            </w:r>
          </w:p>
        </w:tc>
        <w:tc>
          <w:tcPr>
            <w:tcW w:w="1882" w:type="dxa"/>
          </w:tcPr>
          <w:p w:rsidR="00000000" w:rsidRDefault="00000000">
            <w:pPr>
              <w:spacing w:before="40" w:after="40"/>
              <w:jc w:val="center"/>
              <w:rPr>
                <w:sz w:val="20"/>
                <w:szCs w:val="20"/>
              </w:rPr>
            </w:pPr>
            <w:r>
              <w:rPr>
                <w:sz w:val="20"/>
                <w:szCs w:val="20"/>
              </w:rPr>
              <w:t>Школы, финансируемые центральным правительством</w:t>
            </w:r>
          </w:p>
        </w:tc>
        <w:tc>
          <w:tcPr>
            <w:tcW w:w="1882" w:type="dxa"/>
          </w:tcPr>
          <w:p w:rsidR="00000000" w:rsidRDefault="00000000">
            <w:pPr>
              <w:spacing w:before="40" w:after="40"/>
              <w:jc w:val="center"/>
              <w:rPr>
                <w:sz w:val="20"/>
                <w:szCs w:val="20"/>
              </w:rPr>
            </w:pPr>
            <w:r>
              <w:rPr>
                <w:sz w:val="20"/>
                <w:szCs w:val="20"/>
              </w:rPr>
              <w:t xml:space="preserve">Школы, финансируемые местными </w:t>
            </w:r>
            <w:r>
              <w:rPr>
                <w:sz w:val="20"/>
                <w:szCs w:val="20"/>
              </w:rPr>
              <w:br/>
              <w:t>органами</w:t>
            </w:r>
          </w:p>
        </w:tc>
        <w:tc>
          <w:tcPr>
            <w:tcW w:w="1882" w:type="dxa"/>
          </w:tcPr>
          <w:p w:rsidR="00000000" w:rsidRDefault="00000000">
            <w:pPr>
              <w:spacing w:before="40" w:after="40"/>
              <w:jc w:val="center"/>
              <w:rPr>
                <w:sz w:val="20"/>
                <w:szCs w:val="20"/>
              </w:rPr>
            </w:pPr>
            <w:r>
              <w:rPr>
                <w:sz w:val="20"/>
                <w:szCs w:val="20"/>
              </w:rPr>
              <w:t>Частные школы, пользующиеся государственной помощью</w:t>
            </w:r>
          </w:p>
        </w:tc>
        <w:tc>
          <w:tcPr>
            <w:tcW w:w="1882" w:type="dxa"/>
          </w:tcPr>
          <w:p w:rsidR="00000000" w:rsidRDefault="00000000">
            <w:pPr>
              <w:spacing w:before="40" w:after="40"/>
              <w:jc w:val="center"/>
              <w:rPr>
                <w:sz w:val="20"/>
                <w:szCs w:val="20"/>
              </w:rPr>
            </w:pPr>
            <w:r>
              <w:rPr>
                <w:sz w:val="20"/>
                <w:szCs w:val="20"/>
              </w:rPr>
              <w:t xml:space="preserve">Частные школы, </w:t>
            </w:r>
            <w:r>
              <w:rPr>
                <w:sz w:val="20"/>
                <w:szCs w:val="20"/>
              </w:rPr>
              <w:br/>
              <w:t>не пользующиеся государственной помощью</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1973/74</w:t>
            </w:r>
          </w:p>
        </w:tc>
        <w:tc>
          <w:tcPr>
            <w:tcW w:w="1882" w:type="dxa"/>
          </w:tcPr>
          <w:p w:rsidR="00000000" w:rsidRDefault="00000000">
            <w:pPr>
              <w:spacing w:before="40" w:after="40"/>
              <w:jc w:val="center"/>
              <w:rPr>
                <w:sz w:val="20"/>
                <w:szCs w:val="20"/>
              </w:rPr>
            </w:pPr>
            <w:r>
              <w:rPr>
                <w:sz w:val="20"/>
                <w:szCs w:val="20"/>
              </w:rPr>
              <w:t>50,71</w:t>
            </w:r>
          </w:p>
        </w:tc>
        <w:tc>
          <w:tcPr>
            <w:tcW w:w="1882" w:type="dxa"/>
          </w:tcPr>
          <w:p w:rsidR="00000000" w:rsidRDefault="00000000">
            <w:pPr>
              <w:spacing w:before="40" w:after="40"/>
              <w:jc w:val="center"/>
              <w:rPr>
                <w:sz w:val="20"/>
                <w:szCs w:val="20"/>
              </w:rPr>
            </w:pPr>
            <w:r>
              <w:rPr>
                <w:sz w:val="20"/>
                <w:szCs w:val="20"/>
              </w:rPr>
              <w:t>26,86</w:t>
            </w:r>
          </w:p>
        </w:tc>
        <w:tc>
          <w:tcPr>
            <w:tcW w:w="1882" w:type="dxa"/>
          </w:tcPr>
          <w:p w:rsidR="00000000" w:rsidRDefault="00000000">
            <w:pPr>
              <w:spacing w:before="40" w:after="40"/>
              <w:jc w:val="center"/>
              <w:rPr>
                <w:sz w:val="20"/>
                <w:szCs w:val="20"/>
              </w:rPr>
            </w:pPr>
            <w:r>
              <w:rPr>
                <w:sz w:val="20"/>
                <w:szCs w:val="20"/>
              </w:rPr>
              <w:t>17,75</w:t>
            </w:r>
          </w:p>
        </w:tc>
        <w:tc>
          <w:tcPr>
            <w:tcW w:w="1882" w:type="dxa"/>
          </w:tcPr>
          <w:p w:rsidR="00000000" w:rsidRDefault="00000000">
            <w:pPr>
              <w:spacing w:before="40" w:after="40"/>
              <w:jc w:val="center"/>
              <w:rPr>
                <w:sz w:val="20"/>
                <w:szCs w:val="20"/>
              </w:rPr>
            </w:pPr>
            <w:r>
              <w:rPr>
                <w:sz w:val="20"/>
                <w:szCs w:val="20"/>
              </w:rPr>
              <w:t>4,67</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1978/79</w:t>
            </w:r>
          </w:p>
        </w:tc>
        <w:tc>
          <w:tcPr>
            <w:tcW w:w="1882" w:type="dxa"/>
          </w:tcPr>
          <w:p w:rsidR="00000000" w:rsidRDefault="00000000">
            <w:pPr>
              <w:spacing w:before="40" w:after="40"/>
              <w:jc w:val="center"/>
              <w:rPr>
                <w:sz w:val="20"/>
                <w:szCs w:val="20"/>
              </w:rPr>
            </w:pPr>
            <w:r>
              <w:rPr>
                <w:sz w:val="20"/>
                <w:szCs w:val="20"/>
              </w:rPr>
              <w:t>40,31</w:t>
            </w:r>
          </w:p>
        </w:tc>
        <w:tc>
          <w:tcPr>
            <w:tcW w:w="1882" w:type="dxa"/>
          </w:tcPr>
          <w:p w:rsidR="00000000" w:rsidRDefault="00000000">
            <w:pPr>
              <w:spacing w:before="40" w:after="40"/>
              <w:jc w:val="center"/>
              <w:rPr>
                <w:sz w:val="20"/>
                <w:szCs w:val="20"/>
              </w:rPr>
            </w:pPr>
            <w:r>
              <w:rPr>
                <w:sz w:val="20"/>
                <w:szCs w:val="20"/>
              </w:rPr>
              <w:t>38,13</w:t>
            </w:r>
          </w:p>
        </w:tc>
        <w:tc>
          <w:tcPr>
            <w:tcW w:w="1882" w:type="dxa"/>
          </w:tcPr>
          <w:p w:rsidR="00000000" w:rsidRDefault="00000000">
            <w:pPr>
              <w:spacing w:before="40" w:after="40"/>
              <w:jc w:val="center"/>
              <w:rPr>
                <w:sz w:val="20"/>
                <w:szCs w:val="20"/>
              </w:rPr>
            </w:pPr>
            <w:r>
              <w:rPr>
                <w:sz w:val="20"/>
                <w:szCs w:val="20"/>
              </w:rPr>
              <w:t>16,90</w:t>
            </w:r>
          </w:p>
        </w:tc>
        <w:tc>
          <w:tcPr>
            <w:tcW w:w="1882" w:type="dxa"/>
          </w:tcPr>
          <w:p w:rsidR="00000000" w:rsidRDefault="00000000">
            <w:pPr>
              <w:spacing w:before="40" w:after="40"/>
              <w:jc w:val="center"/>
              <w:rPr>
                <w:sz w:val="20"/>
                <w:szCs w:val="20"/>
              </w:rPr>
            </w:pPr>
            <w:r>
              <w:rPr>
                <w:sz w:val="20"/>
                <w:szCs w:val="20"/>
              </w:rPr>
              <w:t>4,66</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1986/87</w:t>
            </w:r>
          </w:p>
        </w:tc>
        <w:tc>
          <w:tcPr>
            <w:tcW w:w="1882" w:type="dxa"/>
          </w:tcPr>
          <w:p w:rsidR="00000000" w:rsidRDefault="00000000">
            <w:pPr>
              <w:spacing w:before="40" w:after="40"/>
              <w:jc w:val="center"/>
              <w:rPr>
                <w:sz w:val="20"/>
                <w:szCs w:val="20"/>
              </w:rPr>
            </w:pPr>
            <w:r>
              <w:rPr>
                <w:sz w:val="20"/>
                <w:szCs w:val="20"/>
              </w:rPr>
              <w:t>42,79</w:t>
            </w:r>
          </w:p>
        </w:tc>
        <w:tc>
          <w:tcPr>
            <w:tcW w:w="1882" w:type="dxa"/>
          </w:tcPr>
          <w:p w:rsidR="00000000" w:rsidRDefault="00000000">
            <w:pPr>
              <w:spacing w:before="40" w:after="40"/>
              <w:jc w:val="center"/>
              <w:rPr>
                <w:sz w:val="20"/>
                <w:szCs w:val="20"/>
              </w:rPr>
            </w:pPr>
            <w:r>
              <w:rPr>
                <w:sz w:val="20"/>
                <w:szCs w:val="20"/>
              </w:rPr>
              <w:t>32,33</w:t>
            </w:r>
          </w:p>
        </w:tc>
        <w:tc>
          <w:tcPr>
            <w:tcW w:w="1882" w:type="dxa"/>
          </w:tcPr>
          <w:p w:rsidR="00000000" w:rsidRDefault="00000000">
            <w:pPr>
              <w:spacing w:before="40" w:after="40"/>
              <w:jc w:val="center"/>
              <w:rPr>
                <w:sz w:val="20"/>
                <w:szCs w:val="20"/>
              </w:rPr>
            </w:pPr>
            <w:r>
              <w:rPr>
                <w:sz w:val="20"/>
                <w:szCs w:val="20"/>
              </w:rPr>
              <w:t>16,30</w:t>
            </w:r>
          </w:p>
        </w:tc>
        <w:tc>
          <w:tcPr>
            <w:tcW w:w="1882" w:type="dxa"/>
          </w:tcPr>
          <w:p w:rsidR="00000000" w:rsidRDefault="00000000">
            <w:pPr>
              <w:spacing w:before="40" w:after="40"/>
              <w:jc w:val="center"/>
              <w:rPr>
                <w:sz w:val="20"/>
                <w:szCs w:val="20"/>
              </w:rPr>
            </w:pPr>
            <w:r>
              <w:rPr>
                <w:sz w:val="20"/>
                <w:szCs w:val="20"/>
              </w:rPr>
              <w:t>8,58</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1993/94</w:t>
            </w:r>
          </w:p>
        </w:tc>
        <w:tc>
          <w:tcPr>
            <w:tcW w:w="1882" w:type="dxa"/>
          </w:tcPr>
          <w:p w:rsidR="00000000" w:rsidRDefault="00000000">
            <w:pPr>
              <w:spacing w:before="40" w:after="40"/>
              <w:jc w:val="center"/>
              <w:rPr>
                <w:sz w:val="20"/>
                <w:szCs w:val="20"/>
              </w:rPr>
            </w:pPr>
            <w:r>
              <w:rPr>
                <w:sz w:val="20"/>
                <w:szCs w:val="20"/>
              </w:rPr>
              <w:t>45,94</w:t>
            </w:r>
          </w:p>
        </w:tc>
        <w:tc>
          <w:tcPr>
            <w:tcW w:w="1882" w:type="dxa"/>
          </w:tcPr>
          <w:p w:rsidR="00000000" w:rsidRDefault="00000000">
            <w:pPr>
              <w:spacing w:before="40" w:after="40"/>
              <w:jc w:val="center"/>
              <w:rPr>
                <w:sz w:val="20"/>
                <w:szCs w:val="20"/>
              </w:rPr>
            </w:pPr>
            <w:r>
              <w:rPr>
                <w:sz w:val="20"/>
                <w:szCs w:val="20"/>
              </w:rPr>
              <w:t>33,51</w:t>
            </w:r>
          </w:p>
        </w:tc>
        <w:tc>
          <w:tcPr>
            <w:tcW w:w="1882" w:type="dxa"/>
          </w:tcPr>
          <w:p w:rsidR="00000000" w:rsidRDefault="00000000">
            <w:pPr>
              <w:spacing w:before="40" w:after="40"/>
              <w:jc w:val="center"/>
              <w:rPr>
                <w:sz w:val="20"/>
                <w:szCs w:val="20"/>
              </w:rPr>
            </w:pPr>
            <w:r>
              <w:rPr>
                <w:sz w:val="20"/>
                <w:szCs w:val="20"/>
              </w:rPr>
              <w:t>9,53</w:t>
            </w:r>
          </w:p>
        </w:tc>
        <w:tc>
          <w:tcPr>
            <w:tcW w:w="1882" w:type="dxa"/>
          </w:tcPr>
          <w:p w:rsidR="00000000" w:rsidRDefault="00000000">
            <w:pPr>
              <w:spacing w:before="40" w:after="40"/>
              <w:jc w:val="center"/>
              <w:rPr>
                <w:sz w:val="20"/>
                <w:szCs w:val="20"/>
              </w:rPr>
            </w:pPr>
            <w:r>
              <w:rPr>
                <w:sz w:val="20"/>
                <w:szCs w:val="20"/>
              </w:rPr>
              <w:t>11,02</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1996/97</w:t>
            </w:r>
          </w:p>
        </w:tc>
        <w:tc>
          <w:tcPr>
            <w:tcW w:w="1882" w:type="dxa"/>
          </w:tcPr>
          <w:p w:rsidR="00000000" w:rsidRDefault="00000000">
            <w:pPr>
              <w:spacing w:before="40" w:after="40"/>
              <w:jc w:val="center"/>
              <w:rPr>
                <w:sz w:val="20"/>
                <w:szCs w:val="20"/>
              </w:rPr>
            </w:pPr>
            <w:r>
              <w:rPr>
                <w:sz w:val="20"/>
                <w:szCs w:val="20"/>
              </w:rPr>
              <w:t>46,41</w:t>
            </w:r>
          </w:p>
        </w:tc>
        <w:tc>
          <w:tcPr>
            <w:tcW w:w="1882" w:type="dxa"/>
          </w:tcPr>
          <w:p w:rsidR="00000000" w:rsidRDefault="00000000">
            <w:pPr>
              <w:spacing w:before="40" w:after="40"/>
              <w:jc w:val="center"/>
              <w:rPr>
                <w:sz w:val="20"/>
                <w:szCs w:val="20"/>
              </w:rPr>
            </w:pPr>
            <w:r>
              <w:rPr>
                <w:sz w:val="20"/>
                <w:szCs w:val="20"/>
              </w:rPr>
              <w:t>29,13</w:t>
            </w:r>
          </w:p>
        </w:tc>
        <w:tc>
          <w:tcPr>
            <w:tcW w:w="1882" w:type="dxa"/>
          </w:tcPr>
          <w:p w:rsidR="00000000" w:rsidRDefault="00000000">
            <w:pPr>
              <w:spacing w:before="40" w:after="40"/>
              <w:jc w:val="center"/>
              <w:rPr>
                <w:sz w:val="20"/>
                <w:szCs w:val="20"/>
              </w:rPr>
            </w:pPr>
            <w:r>
              <w:rPr>
                <w:sz w:val="20"/>
                <w:szCs w:val="20"/>
              </w:rPr>
              <w:t>10,25</w:t>
            </w:r>
          </w:p>
        </w:tc>
        <w:tc>
          <w:tcPr>
            <w:tcW w:w="1882" w:type="dxa"/>
          </w:tcPr>
          <w:p w:rsidR="00000000" w:rsidRDefault="00000000">
            <w:pPr>
              <w:spacing w:before="40" w:after="40"/>
              <w:jc w:val="center"/>
              <w:rPr>
                <w:sz w:val="20"/>
                <w:szCs w:val="20"/>
              </w:rPr>
            </w:pPr>
            <w:r>
              <w:rPr>
                <w:sz w:val="20"/>
                <w:szCs w:val="20"/>
              </w:rPr>
              <w:t>14,20</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2001/02</w:t>
            </w:r>
          </w:p>
        </w:tc>
        <w:tc>
          <w:tcPr>
            <w:tcW w:w="1882" w:type="dxa"/>
          </w:tcPr>
          <w:p w:rsidR="00000000" w:rsidRDefault="00000000">
            <w:pPr>
              <w:spacing w:before="40" w:after="40"/>
              <w:jc w:val="center"/>
              <w:rPr>
                <w:sz w:val="20"/>
                <w:szCs w:val="20"/>
              </w:rPr>
            </w:pPr>
            <w:r>
              <w:rPr>
                <w:sz w:val="20"/>
                <w:szCs w:val="20"/>
              </w:rPr>
              <w:t>47,36</w:t>
            </w:r>
          </w:p>
        </w:tc>
        <w:tc>
          <w:tcPr>
            <w:tcW w:w="1882" w:type="dxa"/>
          </w:tcPr>
          <w:p w:rsidR="00000000" w:rsidRDefault="00000000">
            <w:pPr>
              <w:spacing w:before="40" w:after="40"/>
              <w:jc w:val="center"/>
              <w:rPr>
                <w:sz w:val="20"/>
                <w:szCs w:val="20"/>
              </w:rPr>
            </w:pPr>
            <w:r>
              <w:rPr>
                <w:sz w:val="20"/>
                <w:szCs w:val="20"/>
              </w:rPr>
              <w:t>29,05</w:t>
            </w:r>
          </w:p>
        </w:tc>
        <w:tc>
          <w:tcPr>
            <w:tcW w:w="1882" w:type="dxa"/>
          </w:tcPr>
          <w:p w:rsidR="00000000" w:rsidRDefault="00000000">
            <w:pPr>
              <w:spacing w:before="40" w:after="40"/>
              <w:jc w:val="center"/>
              <w:rPr>
                <w:sz w:val="20"/>
                <w:szCs w:val="20"/>
              </w:rPr>
            </w:pPr>
            <w:r>
              <w:rPr>
                <w:sz w:val="20"/>
                <w:szCs w:val="20"/>
              </w:rPr>
              <w:t>7,81</w:t>
            </w:r>
          </w:p>
        </w:tc>
        <w:tc>
          <w:tcPr>
            <w:tcW w:w="1882" w:type="dxa"/>
          </w:tcPr>
          <w:p w:rsidR="00000000" w:rsidRDefault="00000000">
            <w:pPr>
              <w:spacing w:before="40" w:after="40"/>
              <w:jc w:val="center"/>
              <w:rPr>
                <w:sz w:val="20"/>
                <w:szCs w:val="20"/>
              </w:rPr>
            </w:pPr>
            <w:r>
              <w:rPr>
                <w:sz w:val="20"/>
                <w:szCs w:val="20"/>
              </w:rPr>
              <w:t>15,77</w:t>
            </w:r>
          </w:p>
        </w:tc>
      </w:tr>
    </w:tbl>
    <w:p w:rsidR="00000000" w:rsidRDefault="00000000">
      <w:pPr>
        <w:jc w:val="both"/>
        <w:rPr>
          <w:sz w:val="22"/>
          <w:szCs w:val="22"/>
        </w:rPr>
      </w:pPr>
    </w:p>
    <w:p w:rsidR="00000000" w:rsidRDefault="00000000">
      <w:pPr>
        <w:spacing w:after="40"/>
        <w:jc w:val="both"/>
        <w:rPr>
          <w:b/>
          <w:bCs/>
          <w:sz w:val="22"/>
          <w:szCs w:val="22"/>
        </w:rPr>
      </w:pPr>
      <w:r>
        <w:rPr>
          <w:b/>
          <w:bCs/>
          <w:sz w:val="22"/>
          <w:szCs w:val="22"/>
        </w:rPr>
        <w:t>Таблица 13.26.  Средние школы младшей и старшей ступеней</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1928"/>
        <w:gridCol w:w="1927"/>
        <w:gridCol w:w="1928"/>
        <w:gridCol w:w="1928"/>
        <w:gridCol w:w="1928"/>
      </w:tblGrid>
      <w:tr w:rsidR="00000000">
        <w:tblPrEx>
          <w:tblCellMar>
            <w:top w:w="0" w:type="dxa"/>
            <w:bottom w:w="0" w:type="dxa"/>
          </w:tblCellMar>
        </w:tblPrEx>
        <w:trPr>
          <w:cantSplit/>
          <w:jc w:val="center"/>
        </w:trPr>
        <w:tc>
          <w:tcPr>
            <w:tcW w:w="1883" w:type="dxa"/>
          </w:tcPr>
          <w:p w:rsidR="00000000" w:rsidRDefault="00000000">
            <w:pPr>
              <w:spacing w:before="40" w:after="40"/>
              <w:jc w:val="center"/>
              <w:rPr>
                <w:sz w:val="20"/>
                <w:szCs w:val="20"/>
              </w:rPr>
            </w:pPr>
            <w:r>
              <w:rPr>
                <w:sz w:val="20"/>
                <w:szCs w:val="20"/>
              </w:rPr>
              <w:t>Год</w:t>
            </w:r>
          </w:p>
        </w:tc>
        <w:tc>
          <w:tcPr>
            <w:tcW w:w="1882" w:type="dxa"/>
          </w:tcPr>
          <w:p w:rsidR="00000000" w:rsidRDefault="00000000">
            <w:pPr>
              <w:spacing w:before="40" w:after="40"/>
              <w:jc w:val="center"/>
              <w:rPr>
                <w:sz w:val="20"/>
                <w:szCs w:val="20"/>
              </w:rPr>
            </w:pPr>
            <w:r>
              <w:rPr>
                <w:sz w:val="20"/>
                <w:szCs w:val="20"/>
              </w:rPr>
              <w:t>Школы, финансируемые центральным правительством</w:t>
            </w:r>
          </w:p>
        </w:tc>
        <w:tc>
          <w:tcPr>
            <w:tcW w:w="1882" w:type="dxa"/>
          </w:tcPr>
          <w:p w:rsidR="00000000" w:rsidRDefault="00000000">
            <w:pPr>
              <w:spacing w:before="40" w:after="40"/>
              <w:jc w:val="center"/>
              <w:rPr>
                <w:sz w:val="20"/>
                <w:szCs w:val="20"/>
              </w:rPr>
            </w:pPr>
            <w:r>
              <w:rPr>
                <w:sz w:val="20"/>
                <w:szCs w:val="20"/>
              </w:rPr>
              <w:t xml:space="preserve">Школы, финансируемые местными </w:t>
            </w:r>
            <w:r>
              <w:rPr>
                <w:sz w:val="20"/>
                <w:szCs w:val="20"/>
              </w:rPr>
              <w:br/>
              <w:t>органами</w:t>
            </w:r>
          </w:p>
        </w:tc>
        <w:tc>
          <w:tcPr>
            <w:tcW w:w="1882" w:type="dxa"/>
          </w:tcPr>
          <w:p w:rsidR="00000000" w:rsidRDefault="00000000">
            <w:pPr>
              <w:spacing w:before="40" w:after="40"/>
              <w:jc w:val="center"/>
              <w:rPr>
                <w:sz w:val="20"/>
                <w:szCs w:val="20"/>
              </w:rPr>
            </w:pPr>
            <w:r>
              <w:rPr>
                <w:sz w:val="20"/>
                <w:szCs w:val="20"/>
              </w:rPr>
              <w:t>Частные школы, пользующиеся государственной помощью</w:t>
            </w:r>
          </w:p>
        </w:tc>
        <w:tc>
          <w:tcPr>
            <w:tcW w:w="1882" w:type="dxa"/>
          </w:tcPr>
          <w:p w:rsidR="00000000" w:rsidRDefault="00000000">
            <w:pPr>
              <w:spacing w:before="40" w:after="40"/>
              <w:jc w:val="center"/>
              <w:rPr>
                <w:sz w:val="20"/>
                <w:szCs w:val="20"/>
              </w:rPr>
            </w:pPr>
            <w:r>
              <w:rPr>
                <w:sz w:val="20"/>
                <w:szCs w:val="20"/>
              </w:rPr>
              <w:t xml:space="preserve">Частные школы, </w:t>
            </w:r>
            <w:r>
              <w:rPr>
                <w:sz w:val="20"/>
                <w:szCs w:val="20"/>
              </w:rPr>
              <w:br/>
              <w:t>не пользующиеся государственной помощью</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1973/74</w:t>
            </w:r>
          </w:p>
        </w:tc>
        <w:tc>
          <w:tcPr>
            <w:tcW w:w="1882" w:type="dxa"/>
          </w:tcPr>
          <w:p w:rsidR="00000000" w:rsidRDefault="00000000">
            <w:pPr>
              <w:spacing w:before="40" w:after="40"/>
              <w:jc w:val="center"/>
              <w:rPr>
                <w:sz w:val="20"/>
                <w:szCs w:val="20"/>
              </w:rPr>
            </w:pPr>
            <w:r>
              <w:rPr>
                <w:sz w:val="20"/>
                <w:szCs w:val="20"/>
              </w:rPr>
              <w:t>26,54</w:t>
            </w:r>
          </w:p>
        </w:tc>
        <w:tc>
          <w:tcPr>
            <w:tcW w:w="1882" w:type="dxa"/>
          </w:tcPr>
          <w:p w:rsidR="00000000" w:rsidRDefault="00000000">
            <w:pPr>
              <w:spacing w:before="40" w:after="40"/>
              <w:jc w:val="center"/>
              <w:rPr>
                <w:sz w:val="20"/>
                <w:szCs w:val="20"/>
              </w:rPr>
            </w:pPr>
            <w:r>
              <w:rPr>
                <w:sz w:val="20"/>
                <w:szCs w:val="20"/>
              </w:rPr>
              <w:t>10,85</w:t>
            </w:r>
          </w:p>
        </w:tc>
        <w:tc>
          <w:tcPr>
            <w:tcW w:w="1882" w:type="dxa"/>
          </w:tcPr>
          <w:p w:rsidR="00000000" w:rsidRDefault="00000000">
            <w:pPr>
              <w:spacing w:before="40" w:after="40"/>
              <w:jc w:val="center"/>
              <w:rPr>
                <w:sz w:val="20"/>
                <w:szCs w:val="20"/>
              </w:rPr>
            </w:pPr>
            <w:r>
              <w:rPr>
                <w:sz w:val="20"/>
                <w:szCs w:val="20"/>
              </w:rPr>
              <w:t>57,02</w:t>
            </w:r>
          </w:p>
        </w:tc>
        <w:tc>
          <w:tcPr>
            <w:tcW w:w="1882" w:type="dxa"/>
          </w:tcPr>
          <w:p w:rsidR="00000000" w:rsidRDefault="00000000">
            <w:pPr>
              <w:spacing w:before="40" w:after="40"/>
              <w:jc w:val="center"/>
              <w:rPr>
                <w:sz w:val="20"/>
                <w:szCs w:val="20"/>
              </w:rPr>
            </w:pPr>
            <w:r>
              <w:rPr>
                <w:sz w:val="20"/>
                <w:szCs w:val="20"/>
              </w:rPr>
              <w:t>5,59</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1978/79</w:t>
            </w:r>
          </w:p>
        </w:tc>
        <w:tc>
          <w:tcPr>
            <w:tcW w:w="1882" w:type="dxa"/>
          </w:tcPr>
          <w:p w:rsidR="00000000" w:rsidRDefault="00000000">
            <w:pPr>
              <w:spacing w:before="40" w:after="40"/>
              <w:jc w:val="center"/>
              <w:rPr>
                <w:sz w:val="20"/>
                <w:szCs w:val="20"/>
              </w:rPr>
            </w:pPr>
            <w:r>
              <w:rPr>
                <w:sz w:val="20"/>
                <w:szCs w:val="20"/>
              </w:rPr>
              <w:t>30,44</w:t>
            </w:r>
          </w:p>
        </w:tc>
        <w:tc>
          <w:tcPr>
            <w:tcW w:w="1882" w:type="dxa"/>
          </w:tcPr>
          <w:p w:rsidR="00000000" w:rsidRDefault="00000000">
            <w:pPr>
              <w:spacing w:before="40" w:after="40"/>
              <w:jc w:val="center"/>
              <w:rPr>
                <w:sz w:val="20"/>
                <w:szCs w:val="20"/>
              </w:rPr>
            </w:pPr>
            <w:r>
              <w:rPr>
                <w:sz w:val="20"/>
                <w:szCs w:val="20"/>
              </w:rPr>
              <w:t>8,71</w:t>
            </w:r>
          </w:p>
        </w:tc>
        <w:tc>
          <w:tcPr>
            <w:tcW w:w="1882" w:type="dxa"/>
          </w:tcPr>
          <w:p w:rsidR="00000000" w:rsidRDefault="00000000">
            <w:pPr>
              <w:spacing w:before="40" w:after="40"/>
              <w:jc w:val="center"/>
              <w:rPr>
                <w:sz w:val="20"/>
                <w:szCs w:val="20"/>
              </w:rPr>
            </w:pPr>
            <w:r>
              <w:rPr>
                <w:sz w:val="20"/>
                <w:szCs w:val="20"/>
              </w:rPr>
              <w:t>57,30</w:t>
            </w:r>
          </w:p>
        </w:tc>
        <w:tc>
          <w:tcPr>
            <w:tcW w:w="1882" w:type="dxa"/>
          </w:tcPr>
          <w:p w:rsidR="00000000" w:rsidRDefault="00000000">
            <w:pPr>
              <w:spacing w:before="40" w:after="40"/>
              <w:jc w:val="center"/>
              <w:rPr>
                <w:sz w:val="20"/>
                <w:szCs w:val="20"/>
              </w:rPr>
            </w:pPr>
            <w:r>
              <w:rPr>
                <w:sz w:val="20"/>
                <w:szCs w:val="20"/>
              </w:rPr>
              <w:t>3,55</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1986/87</w:t>
            </w:r>
          </w:p>
        </w:tc>
        <w:tc>
          <w:tcPr>
            <w:tcW w:w="1882" w:type="dxa"/>
          </w:tcPr>
          <w:p w:rsidR="00000000" w:rsidRDefault="00000000">
            <w:pPr>
              <w:spacing w:before="40" w:after="40"/>
              <w:jc w:val="center"/>
              <w:rPr>
                <w:sz w:val="20"/>
                <w:szCs w:val="20"/>
              </w:rPr>
            </w:pPr>
            <w:r>
              <w:rPr>
                <w:sz w:val="20"/>
                <w:szCs w:val="20"/>
              </w:rPr>
              <w:t>37,49</w:t>
            </w:r>
          </w:p>
        </w:tc>
        <w:tc>
          <w:tcPr>
            <w:tcW w:w="1882" w:type="dxa"/>
          </w:tcPr>
          <w:p w:rsidR="00000000" w:rsidRDefault="00000000">
            <w:pPr>
              <w:spacing w:before="40" w:after="40"/>
              <w:jc w:val="center"/>
              <w:rPr>
                <w:sz w:val="20"/>
                <w:szCs w:val="20"/>
              </w:rPr>
            </w:pPr>
            <w:r>
              <w:rPr>
                <w:sz w:val="20"/>
                <w:szCs w:val="20"/>
              </w:rPr>
              <w:t>7,73</w:t>
            </w:r>
          </w:p>
        </w:tc>
        <w:tc>
          <w:tcPr>
            <w:tcW w:w="1882" w:type="dxa"/>
          </w:tcPr>
          <w:p w:rsidR="00000000" w:rsidRDefault="00000000">
            <w:pPr>
              <w:spacing w:before="40" w:after="40"/>
              <w:jc w:val="center"/>
              <w:rPr>
                <w:sz w:val="20"/>
                <w:szCs w:val="20"/>
              </w:rPr>
            </w:pPr>
            <w:r>
              <w:rPr>
                <w:sz w:val="20"/>
                <w:szCs w:val="20"/>
              </w:rPr>
              <w:t>44,79</w:t>
            </w:r>
          </w:p>
        </w:tc>
        <w:tc>
          <w:tcPr>
            <w:tcW w:w="1882" w:type="dxa"/>
          </w:tcPr>
          <w:p w:rsidR="00000000" w:rsidRDefault="00000000">
            <w:pPr>
              <w:spacing w:before="40" w:after="40"/>
              <w:jc w:val="center"/>
              <w:rPr>
                <w:sz w:val="20"/>
                <w:szCs w:val="20"/>
              </w:rPr>
            </w:pPr>
            <w:r>
              <w:rPr>
                <w:sz w:val="20"/>
                <w:szCs w:val="20"/>
              </w:rPr>
              <w:t>9,99</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1993/94</w:t>
            </w:r>
          </w:p>
        </w:tc>
        <w:tc>
          <w:tcPr>
            <w:tcW w:w="1882" w:type="dxa"/>
          </w:tcPr>
          <w:p w:rsidR="00000000" w:rsidRDefault="00000000">
            <w:pPr>
              <w:spacing w:before="40" w:after="40"/>
              <w:jc w:val="center"/>
              <w:rPr>
                <w:sz w:val="20"/>
                <w:szCs w:val="20"/>
              </w:rPr>
            </w:pPr>
            <w:r>
              <w:rPr>
                <w:sz w:val="20"/>
                <w:szCs w:val="20"/>
              </w:rPr>
              <w:t>37,76</w:t>
            </w:r>
          </w:p>
        </w:tc>
        <w:tc>
          <w:tcPr>
            <w:tcW w:w="1882" w:type="dxa"/>
          </w:tcPr>
          <w:p w:rsidR="00000000" w:rsidRDefault="00000000">
            <w:pPr>
              <w:spacing w:before="40" w:after="40"/>
              <w:jc w:val="center"/>
              <w:rPr>
                <w:sz w:val="20"/>
                <w:szCs w:val="20"/>
              </w:rPr>
            </w:pPr>
            <w:r>
              <w:rPr>
                <w:sz w:val="20"/>
                <w:szCs w:val="20"/>
              </w:rPr>
              <w:t>9,29</w:t>
            </w:r>
          </w:p>
        </w:tc>
        <w:tc>
          <w:tcPr>
            <w:tcW w:w="1882" w:type="dxa"/>
          </w:tcPr>
          <w:p w:rsidR="00000000" w:rsidRDefault="00000000">
            <w:pPr>
              <w:spacing w:before="40" w:after="40"/>
              <w:jc w:val="center"/>
              <w:rPr>
                <w:sz w:val="20"/>
                <w:szCs w:val="20"/>
              </w:rPr>
            </w:pPr>
            <w:r>
              <w:rPr>
                <w:sz w:val="20"/>
                <w:szCs w:val="20"/>
              </w:rPr>
              <w:t>37,78</w:t>
            </w:r>
          </w:p>
        </w:tc>
        <w:tc>
          <w:tcPr>
            <w:tcW w:w="1882" w:type="dxa"/>
          </w:tcPr>
          <w:p w:rsidR="00000000" w:rsidRDefault="00000000">
            <w:pPr>
              <w:spacing w:before="40" w:after="40"/>
              <w:jc w:val="center"/>
              <w:rPr>
                <w:sz w:val="20"/>
                <w:szCs w:val="20"/>
              </w:rPr>
            </w:pPr>
            <w:r>
              <w:rPr>
                <w:sz w:val="20"/>
                <w:szCs w:val="20"/>
              </w:rPr>
              <w:t>15,17</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1996/97</w:t>
            </w:r>
          </w:p>
        </w:tc>
        <w:tc>
          <w:tcPr>
            <w:tcW w:w="1882" w:type="dxa"/>
          </w:tcPr>
          <w:p w:rsidR="00000000" w:rsidRDefault="00000000">
            <w:pPr>
              <w:spacing w:before="40" w:after="40"/>
              <w:jc w:val="center"/>
              <w:rPr>
                <w:sz w:val="20"/>
                <w:szCs w:val="20"/>
              </w:rPr>
            </w:pPr>
            <w:r>
              <w:rPr>
                <w:sz w:val="20"/>
                <w:szCs w:val="20"/>
              </w:rPr>
              <w:t>38,96</w:t>
            </w:r>
          </w:p>
        </w:tc>
        <w:tc>
          <w:tcPr>
            <w:tcW w:w="1882" w:type="dxa"/>
          </w:tcPr>
          <w:p w:rsidR="00000000" w:rsidRDefault="00000000">
            <w:pPr>
              <w:spacing w:before="40" w:after="40"/>
              <w:jc w:val="center"/>
              <w:rPr>
                <w:sz w:val="20"/>
                <w:szCs w:val="20"/>
              </w:rPr>
            </w:pPr>
            <w:r>
              <w:rPr>
                <w:sz w:val="20"/>
                <w:szCs w:val="20"/>
              </w:rPr>
              <w:t>6,74</w:t>
            </w:r>
          </w:p>
        </w:tc>
        <w:tc>
          <w:tcPr>
            <w:tcW w:w="1882" w:type="dxa"/>
          </w:tcPr>
          <w:p w:rsidR="00000000" w:rsidRDefault="00000000">
            <w:pPr>
              <w:spacing w:before="40" w:after="40"/>
              <w:jc w:val="center"/>
              <w:rPr>
                <w:sz w:val="20"/>
                <w:szCs w:val="20"/>
              </w:rPr>
            </w:pPr>
            <w:r>
              <w:rPr>
                <w:sz w:val="20"/>
                <w:szCs w:val="20"/>
              </w:rPr>
              <w:t>36,20</w:t>
            </w:r>
          </w:p>
        </w:tc>
        <w:tc>
          <w:tcPr>
            <w:tcW w:w="1882" w:type="dxa"/>
          </w:tcPr>
          <w:p w:rsidR="00000000" w:rsidRDefault="00000000">
            <w:pPr>
              <w:spacing w:before="40" w:after="40"/>
              <w:jc w:val="center"/>
              <w:rPr>
                <w:sz w:val="20"/>
                <w:szCs w:val="20"/>
              </w:rPr>
            </w:pPr>
            <w:r>
              <w:rPr>
                <w:sz w:val="20"/>
                <w:szCs w:val="20"/>
              </w:rPr>
              <w:t>18,10</w:t>
            </w:r>
          </w:p>
        </w:tc>
      </w:tr>
      <w:tr w:rsidR="00000000">
        <w:tblPrEx>
          <w:tblCellMar>
            <w:top w:w="0" w:type="dxa"/>
            <w:bottom w:w="0" w:type="dxa"/>
          </w:tblCellMar>
        </w:tblPrEx>
        <w:trPr>
          <w:cantSplit/>
          <w:jc w:val="center"/>
        </w:trPr>
        <w:tc>
          <w:tcPr>
            <w:tcW w:w="1883" w:type="dxa"/>
          </w:tcPr>
          <w:p w:rsidR="00000000" w:rsidRDefault="00000000">
            <w:pPr>
              <w:spacing w:before="40" w:after="40"/>
              <w:ind w:left="113"/>
              <w:rPr>
                <w:sz w:val="20"/>
                <w:szCs w:val="20"/>
              </w:rPr>
            </w:pPr>
            <w:r>
              <w:rPr>
                <w:sz w:val="20"/>
                <w:szCs w:val="20"/>
              </w:rPr>
              <w:t>2001/02</w:t>
            </w:r>
          </w:p>
        </w:tc>
        <w:tc>
          <w:tcPr>
            <w:tcW w:w="1882" w:type="dxa"/>
          </w:tcPr>
          <w:p w:rsidR="00000000" w:rsidRDefault="00000000">
            <w:pPr>
              <w:spacing w:before="40" w:after="40"/>
              <w:jc w:val="center"/>
              <w:rPr>
                <w:sz w:val="20"/>
                <w:szCs w:val="20"/>
              </w:rPr>
            </w:pPr>
            <w:r>
              <w:rPr>
                <w:sz w:val="20"/>
                <w:szCs w:val="20"/>
              </w:rPr>
              <w:t>36,16</w:t>
            </w:r>
          </w:p>
        </w:tc>
        <w:tc>
          <w:tcPr>
            <w:tcW w:w="1882" w:type="dxa"/>
          </w:tcPr>
          <w:p w:rsidR="00000000" w:rsidRDefault="00000000">
            <w:pPr>
              <w:spacing w:before="40" w:after="40"/>
              <w:jc w:val="center"/>
              <w:rPr>
                <w:sz w:val="20"/>
                <w:szCs w:val="20"/>
              </w:rPr>
            </w:pPr>
            <w:r>
              <w:rPr>
                <w:sz w:val="20"/>
                <w:szCs w:val="20"/>
              </w:rPr>
              <w:t>6,29</w:t>
            </w:r>
          </w:p>
        </w:tc>
        <w:tc>
          <w:tcPr>
            <w:tcW w:w="1882" w:type="dxa"/>
          </w:tcPr>
          <w:p w:rsidR="00000000" w:rsidRDefault="00000000">
            <w:pPr>
              <w:spacing w:before="40" w:after="40"/>
              <w:jc w:val="center"/>
              <w:rPr>
                <w:sz w:val="20"/>
                <w:szCs w:val="20"/>
              </w:rPr>
            </w:pPr>
            <w:r>
              <w:rPr>
                <w:sz w:val="20"/>
                <w:szCs w:val="20"/>
              </w:rPr>
              <w:t>33,99</w:t>
            </w:r>
          </w:p>
        </w:tc>
        <w:tc>
          <w:tcPr>
            <w:tcW w:w="1882" w:type="dxa"/>
          </w:tcPr>
          <w:p w:rsidR="00000000" w:rsidRDefault="00000000">
            <w:pPr>
              <w:spacing w:before="40" w:after="40"/>
              <w:jc w:val="center"/>
              <w:rPr>
                <w:sz w:val="20"/>
                <w:szCs w:val="20"/>
              </w:rPr>
            </w:pPr>
            <w:r>
              <w:rPr>
                <w:sz w:val="20"/>
                <w:szCs w:val="20"/>
              </w:rPr>
              <w:t>23,56</w:t>
            </w:r>
          </w:p>
        </w:tc>
      </w:tr>
    </w:tbl>
    <w:p w:rsidR="00000000" w:rsidRDefault="00000000">
      <w:pPr>
        <w:jc w:val="both"/>
        <w:rPr>
          <w:sz w:val="22"/>
          <w:szCs w:val="22"/>
        </w:rPr>
      </w:pPr>
    </w:p>
    <w:p w:rsidR="00000000" w:rsidRDefault="00000000">
      <w:pPr>
        <w:pStyle w:val="112"/>
        <w:spacing w:after="240"/>
        <w:rPr>
          <w:lang w:val="en-US"/>
        </w:rPr>
      </w:pPr>
      <w:r>
        <w:t>656.</w:t>
      </w:r>
      <w:r>
        <w:tab/>
        <w:t>В целях обеспечения всеобщего начального образования десятый план предусматривает активное взаимодействие государственного и частного секторов.  В десятом плане намечены следующие шаги:</w:t>
      </w:r>
    </w:p>
    <w:p w:rsidR="00000000" w:rsidRDefault="00000000">
      <w:pPr>
        <w:numPr>
          <w:ilvl w:val="0"/>
          <w:numId w:val="13"/>
        </w:numPr>
        <w:tabs>
          <w:tab w:val="left" w:pos="1701"/>
          <w:tab w:val="left" w:pos="2268"/>
          <w:tab w:val="left" w:pos="6237"/>
        </w:tabs>
        <w:spacing w:before="240" w:after="240"/>
        <w:ind w:left="0" w:firstLine="0"/>
        <w:jc w:val="both"/>
        <w:rPr>
          <w:sz w:val="22"/>
          <w:szCs w:val="22"/>
        </w:rPr>
      </w:pPr>
      <w:r>
        <w:rPr>
          <w:sz w:val="22"/>
          <w:szCs w:val="22"/>
        </w:rPr>
        <w:t>более активное сотрудничество с частным сектором и повышение роли частных инициатив;</w:t>
      </w:r>
    </w:p>
    <w:p w:rsidR="00000000" w:rsidRDefault="00000000">
      <w:pPr>
        <w:numPr>
          <w:ilvl w:val="0"/>
          <w:numId w:val="13"/>
        </w:numPr>
        <w:tabs>
          <w:tab w:val="left" w:pos="1701"/>
          <w:tab w:val="left" w:pos="2268"/>
          <w:tab w:val="left" w:pos="6237"/>
        </w:tabs>
        <w:spacing w:before="240" w:after="240"/>
        <w:jc w:val="both"/>
        <w:rPr>
          <w:sz w:val="22"/>
          <w:szCs w:val="22"/>
        </w:rPr>
      </w:pPr>
      <w:r>
        <w:rPr>
          <w:sz w:val="22"/>
          <w:szCs w:val="22"/>
        </w:rPr>
        <w:t>улучшение работы государственных школ в партнерстве с частным сектором в соответствии с общими направлениями государственной политики;</w:t>
      </w:r>
    </w:p>
    <w:p w:rsidR="00000000" w:rsidRDefault="00000000">
      <w:pPr>
        <w:numPr>
          <w:ilvl w:val="0"/>
          <w:numId w:val="13"/>
        </w:numPr>
        <w:tabs>
          <w:tab w:val="left" w:pos="1701"/>
          <w:tab w:val="left" w:pos="2268"/>
          <w:tab w:val="left" w:pos="6237"/>
        </w:tabs>
        <w:spacing w:before="240" w:after="240"/>
        <w:ind w:left="0" w:firstLine="0"/>
        <w:jc w:val="both"/>
        <w:rPr>
          <w:sz w:val="22"/>
          <w:szCs w:val="22"/>
        </w:rPr>
      </w:pPr>
      <w:r>
        <w:rPr>
          <w:sz w:val="22"/>
          <w:szCs w:val="22"/>
        </w:rPr>
        <w:t xml:space="preserve">поддержка инициатив частных школ в интересах нуждающихся детей; </w:t>
      </w:r>
    </w:p>
    <w:p w:rsidR="00000000" w:rsidRDefault="00000000">
      <w:pPr>
        <w:numPr>
          <w:ilvl w:val="0"/>
          <w:numId w:val="13"/>
        </w:numPr>
        <w:tabs>
          <w:tab w:val="left" w:pos="1701"/>
          <w:tab w:val="left" w:pos="2268"/>
          <w:tab w:val="left" w:pos="6237"/>
        </w:tabs>
        <w:spacing w:before="240" w:after="240"/>
        <w:ind w:left="0" w:firstLine="0"/>
        <w:jc w:val="both"/>
        <w:rPr>
          <w:sz w:val="22"/>
          <w:szCs w:val="22"/>
        </w:rPr>
      </w:pPr>
      <w:r>
        <w:rPr>
          <w:sz w:val="22"/>
          <w:szCs w:val="22"/>
        </w:rPr>
        <w:t>содействие открытию частных школ без ущерба для равенства;</w:t>
      </w:r>
    </w:p>
    <w:p w:rsidR="00000000" w:rsidRDefault="00000000">
      <w:pPr>
        <w:numPr>
          <w:ilvl w:val="0"/>
          <w:numId w:val="13"/>
        </w:numPr>
        <w:tabs>
          <w:tab w:val="left" w:pos="1701"/>
          <w:tab w:val="left" w:pos="2268"/>
          <w:tab w:val="left" w:pos="6237"/>
        </w:tabs>
        <w:jc w:val="both"/>
        <w:rPr>
          <w:sz w:val="22"/>
          <w:szCs w:val="22"/>
        </w:rPr>
      </w:pPr>
      <w:r>
        <w:rPr>
          <w:sz w:val="22"/>
          <w:szCs w:val="22"/>
        </w:rPr>
        <w:t>поощрение компьютерного обучения детей с использованием опыта и ресурсов частного сектора.</w:t>
      </w:r>
    </w:p>
    <w:p w:rsidR="00000000" w:rsidRDefault="00000000">
      <w:pPr>
        <w:ind w:left="567"/>
        <w:jc w:val="both"/>
        <w:rPr>
          <w:b/>
          <w:bCs/>
          <w:sz w:val="22"/>
          <w:szCs w:val="22"/>
        </w:rPr>
      </w:pPr>
    </w:p>
    <w:p w:rsidR="00000000" w:rsidRDefault="00000000">
      <w:pPr>
        <w:pStyle w:val="112"/>
        <w:jc w:val="left"/>
        <w:rPr>
          <w:b/>
        </w:rPr>
      </w:pPr>
      <w:r>
        <w:rPr>
          <w:b/>
        </w:rPr>
        <w:t xml:space="preserve">Трудности, с которыми сталкивается правительство Индии в деле реализации права </w:t>
      </w:r>
      <w:r>
        <w:rPr>
          <w:b/>
        </w:rPr>
        <w:br/>
        <w:t>на образование</w:t>
      </w:r>
    </w:p>
    <w:p w:rsidR="00000000" w:rsidRDefault="00000000">
      <w:pPr>
        <w:pStyle w:val="112"/>
        <w:rPr>
          <w:rStyle w:val="111"/>
          <w:szCs w:val="22"/>
        </w:rPr>
      </w:pPr>
      <w:r>
        <w:rPr>
          <w:rStyle w:val="111"/>
          <w:szCs w:val="22"/>
        </w:rPr>
        <w:t>657.</w:t>
      </w:r>
      <w:r>
        <w:rPr>
          <w:rStyle w:val="111"/>
          <w:szCs w:val="22"/>
        </w:rPr>
        <w:tab/>
        <w:t>В 2003 году в результате принятия поправки к Конституции  право на обязательное образование было закреплено в основном законе страны. Однако реализация этого права зависит от государственных приоритетов.  До принятия этой поправки статья 45 Конституции гласила, что государство стремится обеспечить в течение 10 лет с момента вступления в силу Конституции обязательное бесплатное образование для всех детей до достижения ими возраста 14 лет,  но реализация этого конституционного обязательства переносилась сначала на 1970, затем 1980, 1990 и, наконец, 2000 год.  Без закрепления соответствующего обязательства в конституции бесплатному обязательному начальному образованию не уделялось достаточно внимания по причине социально-экономических факторов.  Теперь законодательный орган страны наглядно продемонстрировал стремление достичь этой цели, провозгласив обязательное бесплатное начальное образование конституционным правом граждан</w:t>
      </w:r>
      <w:r>
        <w:rPr>
          <w:rStyle w:val="FootnoteReference"/>
          <w:szCs w:val="22"/>
        </w:rPr>
        <w:footnoteReference w:customMarkFollows="1" w:id="96"/>
        <w:t>95</w:t>
      </w:r>
      <w:r>
        <w:rPr>
          <w:rStyle w:val="111"/>
          <w:szCs w:val="22"/>
        </w:rPr>
        <w:t>.</w:t>
      </w:r>
    </w:p>
    <w:p w:rsidR="00000000" w:rsidRDefault="00000000">
      <w:pPr>
        <w:pStyle w:val="112"/>
      </w:pPr>
      <w:r>
        <w:t>658.</w:t>
      </w:r>
      <w:r>
        <w:tab/>
        <w:t>Предыдущие программы правительства, как правило, носили централизованный характер.  Поэтому на низовом уровне их результаты ощущались в меньшей степени.  Осознав это, правительство приняло программу "Образование для всех" (ОДВ) ("Сарва Шикша Абхиян"), которая децентрализована и ориентирована на общины.  Еще одной трудностью является то, что финансирование большинства проектов осуществляется центральным правительством.</w:t>
      </w:r>
    </w:p>
    <w:p w:rsidR="00000000" w:rsidRDefault="00000000">
      <w:pPr>
        <w:pStyle w:val="112"/>
        <w:rPr>
          <w:rStyle w:val="111"/>
          <w:szCs w:val="22"/>
        </w:rPr>
      </w:pPr>
      <w:r>
        <w:rPr>
          <w:rStyle w:val="111"/>
          <w:szCs w:val="22"/>
        </w:rPr>
        <w:t>659.</w:t>
      </w:r>
      <w:r>
        <w:rPr>
          <w:rStyle w:val="111"/>
          <w:szCs w:val="22"/>
        </w:rPr>
        <w:tab/>
        <w:t>Приняв ограниченную по времени программу ОДВ, правительство в партнерстве со штатами, местными органами управления и общинами намерено обеспечить к 2010 году начальное образование для всех детей в возрасте от 6 до 14 лет.  Оно признает важность создания общинного механизма, действующего в виде миссии в интересах расширения охвата и повышения эффективности школьной системы</w:t>
      </w:r>
      <w:r>
        <w:rPr>
          <w:rStyle w:val="FootnoteReference"/>
          <w:szCs w:val="22"/>
        </w:rPr>
        <w:footnoteReference w:customMarkFollows="1" w:id="97"/>
        <w:t>96</w:t>
      </w:r>
      <w:r>
        <w:rPr>
          <w:rStyle w:val="111"/>
          <w:szCs w:val="22"/>
        </w:rPr>
        <w:t>.</w:t>
      </w:r>
    </w:p>
    <w:p w:rsidR="00000000" w:rsidRDefault="00000000">
      <w:pPr>
        <w:pStyle w:val="112"/>
      </w:pPr>
      <w:r>
        <w:t>660.</w:t>
      </w:r>
      <w:r>
        <w:tab/>
        <w:t>По приблизительной оценке департамента начального образования и грамотности при правительстве Индии, для осуществления этой инициативы в течение следующего десятилетия центральному правительству и правительствам штатов необходимо будет выделить из бюджета дополнительно 600 000 млн. рупий.</w:t>
      </w:r>
    </w:p>
    <w:p w:rsidR="00000000" w:rsidRDefault="00000000">
      <w:pPr>
        <w:pStyle w:val="112"/>
      </w:pPr>
      <w:r>
        <w:t>661.</w:t>
      </w:r>
      <w:r>
        <w:tab/>
        <w:t>В новом положении Конституции в виде 86</w:t>
      </w:r>
      <w:r>
        <w:noBreakHyphen/>
        <w:t>й поправки подчеркивается важное значение обеспечения обязательного бесплатного образования на всей территории Индии.</w:t>
      </w:r>
    </w:p>
    <w:p w:rsidR="00000000" w:rsidRDefault="00000000">
      <w:pPr>
        <w:ind w:left="567"/>
        <w:jc w:val="both"/>
        <w:rPr>
          <w:b/>
          <w:bCs/>
          <w:sz w:val="22"/>
          <w:szCs w:val="22"/>
        </w:rPr>
      </w:pPr>
    </w:p>
    <w:p w:rsidR="00000000" w:rsidRDefault="00000000">
      <w:pPr>
        <w:pStyle w:val="112"/>
        <w:spacing w:before="120"/>
        <w:rPr>
          <w:b/>
        </w:rPr>
      </w:pPr>
      <w:r>
        <w:rPr>
          <w:b/>
        </w:rPr>
        <w:t>Роль международной помощи</w:t>
      </w:r>
    </w:p>
    <w:p w:rsidR="00000000" w:rsidRDefault="00000000">
      <w:pPr>
        <w:pStyle w:val="112"/>
      </w:pPr>
      <w:r>
        <w:t>662.</w:t>
      </w:r>
      <w:r>
        <w:tab/>
        <w:t>Международная помощь в области образования может принимать форму культурного обмена или финансовой поддержки.  В ЮНЕСКО имеется группа по международному сотрудничеству, которая координирует работу, связанную с двусторонним и международным сотрудничеством в сфере образования и разработкой и осуществлением программ обмена в этой области.</w:t>
      </w:r>
    </w:p>
    <w:p w:rsidR="00000000" w:rsidRDefault="00000000">
      <w:pPr>
        <w:pStyle w:val="112"/>
      </w:pPr>
      <w:r>
        <w:t>663.</w:t>
      </w:r>
      <w:r>
        <w:tab/>
        <w:t>В свете с бурного развития транспорта и связи глобальная деревня все больше нуждается в международном сотрудничестве и действиях по поиску удовлетворительных решений проблем глобального характера.  Индия в числе первых стран стала использовать новые информационные технологии, в частности дистанционное обучение, и заинтересована в предотвращении дальнейшего расширения разрыва между нею и развитыми странами.  Международное сотрудничество в области образования следует рассматривать в контексте не столько помощи, сколько партнерства, когда страны помогают друг другу, обмениваясь успешным опытом, технологиями, материальными и финансовыми ресурсами, и учатся ценить культурное наследие друг друга.</w:t>
      </w:r>
    </w:p>
    <w:p w:rsidR="00000000" w:rsidRDefault="00000000">
      <w:pPr>
        <w:pStyle w:val="112"/>
      </w:pPr>
      <w:r>
        <w:t>664.</w:t>
      </w:r>
      <w:r>
        <w:tab/>
        <w:t xml:space="preserve">В 1949 году была создана Индийская национальная комиссия  ЮНЕСКО (ИНК).  С тех пор Индия играет активную роль в деятельности ЮНЕСКО.  В Индии создано девять отделений ЮНЕСКО в таких различных областях, как развитие культуры, экотехнологии, преподавание естественных наук, мир, права человека и демократия, энергетика, малые предприятия и педагогическое образование.  ИНК реализует международную купонную программу ЮНЕСКО, которая предусматривает оказание помощи отдельным лицам и учреждениям, занятым в областях образования, науки, культуры и связи и отвечающим ее </w:t>
      </w:r>
      <w:r>
        <w:rPr>
          <w:lang w:val="en-US"/>
        </w:rPr>
        <w:t>bona</w:t>
      </w:r>
      <w:r>
        <w:t xml:space="preserve"> </w:t>
      </w:r>
      <w:r>
        <w:rPr>
          <w:lang w:val="en-US"/>
        </w:rPr>
        <w:t>fide</w:t>
      </w:r>
      <w:r>
        <w:t xml:space="preserve"> требованию о подготовке учебных публикаций, разработке научных приборов и т. д.</w:t>
      </w:r>
    </w:p>
    <w:p w:rsidR="00000000" w:rsidRDefault="00000000">
      <w:pPr>
        <w:pStyle w:val="112"/>
      </w:pPr>
      <w:r>
        <w:t>665.</w:t>
      </w:r>
      <w:r>
        <w:tab/>
        <w:t xml:space="preserve">Департамент образования в </w:t>
      </w:r>
      <w:r>
        <w:rPr>
          <w:caps/>
        </w:rPr>
        <w:t>м</w:t>
      </w:r>
      <w:r>
        <w:t>инистерстве развития людских ресурсов также поддерживает отношения с такими международными организациями, как Секретариат Содружества, организация "Содружество в целях обучения", Ассоциация регионального сотрудничества стран Южной Азии (СААРК), организации системы Организации Объединенных Наций, Движение неприсоединения, индийско-канадские институты и т. д.  Сектор этого департамента по внешним академическим связям занимается стратегическими вопросами, связанными с развитием внешних академических связей Индии более чем с 97 странами, с которыми Индия осуществляет двусторонние программы культурных обменов и другие совместные мероприятия, и следит за реализацией образовательного компонента двусторонних и многосторонних программ с другими странами.</w:t>
      </w:r>
    </w:p>
    <w:p w:rsidR="00000000" w:rsidRDefault="00000000">
      <w:pPr>
        <w:pStyle w:val="112"/>
      </w:pPr>
      <w:r>
        <w:t>666.</w:t>
      </w:r>
      <w:r>
        <w:tab/>
        <w:t>КУГ от имени правительства Индии осуществляет программу двусторонних обменов в университетском секторе между Индией и другими странами.  В 1996/97 году такие программы имелись с 70 странами.</w:t>
      </w:r>
    </w:p>
    <w:p w:rsidR="00000000" w:rsidRDefault="00000000">
      <w:pPr>
        <w:pStyle w:val="112"/>
      </w:pPr>
      <w:r>
        <w:t>667.</w:t>
      </w:r>
      <w:r>
        <w:tab/>
        <w:t>Помимо программ культурных обменов, различные международные организации оказывают помощь ряду мероприятий, осуществляемых правительством.  В рамках районной программы начального образования (РПНО) правительство Индии выделяет средства для покрытия 85% расходов по проектам в виде субсидий штатам, осуществляющим РПНО.  Затраты центрального правительства покрываются за счет внешнего финансирования.  В рамках первого и второго этапов РПНО Международная ассоциация развития утвердила кредиты на суммы 260 млн. долл. и 425 млн. долл. США, соответственно.  Европейский совет (ЕС) предоставил грант в размере 150 млн. экю.  Грант в форме ОПР, предоставленный Соединенным Королевством, составляет 80,21 млн. долл. США. Нидерланды предоставили грант в 25,8 млн. долл. США.  Нынешняя ситуация с внешней помощью на осуществление РПНО отражена в приведенной ниже таблице.</w:t>
      </w:r>
    </w:p>
    <w:p w:rsidR="00000000" w:rsidRDefault="00000000">
      <w:pPr>
        <w:ind w:left="567"/>
        <w:jc w:val="both"/>
        <w:rPr>
          <w:b/>
          <w:bCs/>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409"/>
        <w:gridCol w:w="2410"/>
        <w:gridCol w:w="2410"/>
        <w:gridCol w:w="2410"/>
      </w:tblGrid>
      <w:tr w:rsidR="00000000">
        <w:tblPrEx>
          <w:tblCellMar>
            <w:top w:w="0" w:type="dxa"/>
            <w:bottom w:w="0" w:type="dxa"/>
          </w:tblCellMar>
        </w:tblPrEx>
        <w:trPr>
          <w:cantSplit/>
          <w:tblHeader/>
          <w:jc w:val="center"/>
        </w:trPr>
        <w:tc>
          <w:tcPr>
            <w:tcW w:w="2352" w:type="dxa"/>
          </w:tcPr>
          <w:p w:rsidR="00000000" w:rsidRDefault="00000000">
            <w:pPr>
              <w:spacing w:before="40" w:after="40"/>
              <w:rPr>
                <w:rStyle w:val="111"/>
                <w:sz w:val="20"/>
                <w:szCs w:val="20"/>
              </w:rPr>
            </w:pPr>
            <w:r>
              <w:rPr>
                <w:rStyle w:val="111"/>
                <w:sz w:val="20"/>
                <w:szCs w:val="20"/>
              </w:rPr>
              <w:t>Финансирующее учреждение</w:t>
            </w:r>
          </w:p>
        </w:tc>
        <w:tc>
          <w:tcPr>
            <w:tcW w:w="2353" w:type="dxa"/>
          </w:tcPr>
          <w:p w:rsidR="00000000" w:rsidRDefault="00000000">
            <w:pPr>
              <w:spacing w:before="40" w:after="40"/>
              <w:rPr>
                <w:rStyle w:val="111"/>
                <w:sz w:val="20"/>
                <w:szCs w:val="20"/>
              </w:rPr>
            </w:pPr>
            <w:r>
              <w:rPr>
                <w:rStyle w:val="111"/>
                <w:sz w:val="20"/>
                <w:szCs w:val="20"/>
              </w:rPr>
              <w:t xml:space="preserve">Предоставленная </w:t>
            </w:r>
            <w:r>
              <w:rPr>
                <w:rStyle w:val="111"/>
                <w:sz w:val="20"/>
                <w:szCs w:val="20"/>
              </w:rPr>
              <w:br/>
              <w:t>сумма</w:t>
            </w:r>
          </w:p>
        </w:tc>
        <w:tc>
          <w:tcPr>
            <w:tcW w:w="2353" w:type="dxa"/>
          </w:tcPr>
          <w:p w:rsidR="00000000" w:rsidRDefault="00000000">
            <w:pPr>
              <w:spacing w:before="40" w:after="40"/>
              <w:rPr>
                <w:rStyle w:val="111"/>
                <w:sz w:val="20"/>
                <w:szCs w:val="20"/>
              </w:rPr>
            </w:pPr>
            <w:r>
              <w:rPr>
                <w:rStyle w:val="111"/>
                <w:sz w:val="20"/>
                <w:szCs w:val="20"/>
              </w:rPr>
              <w:t>Период</w:t>
            </w:r>
          </w:p>
        </w:tc>
        <w:tc>
          <w:tcPr>
            <w:tcW w:w="2353" w:type="dxa"/>
          </w:tcPr>
          <w:p w:rsidR="00000000" w:rsidRDefault="00000000">
            <w:pPr>
              <w:spacing w:before="40" w:after="40"/>
              <w:rPr>
                <w:rStyle w:val="111"/>
                <w:sz w:val="20"/>
                <w:szCs w:val="20"/>
              </w:rPr>
            </w:pPr>
            <w:r>
              <w:rPr>
                <w:rStyle w:val="111"/>
                <w:sz w:val="20"/>
                <w:szCs w:val="20"/>
              </w:rPr>
              <w:t>Штаты и количество охваченных районов</w:t>
            </w:r>
          </w:p>
        </w:tc>
      </w:tr>
      <w:tr w:rsidR="00000000">
        <w:tblPrEx>
          <w:tblCellMar>
            <w:top w:w="0" w:type="dxa"/>
            <w:bottom w:w="0" w:type="dxa"/>
          </w:tblCellMar>
        </w:tblPrEx>
        <w:trPr>
          <w:cantSplit/>
          <w:jc w:val="center"/>
        </w:trPr>
        <w:tc>
          <w:tcPr>
            <w:tcW w:w="2352" w:type="dxa"/>
            <w:vMerge w:val="restart"/>
          </w:tcPr>
          <w:p w:rsidR="00000000" w:rsidRDefault="00000000">
            <w:pPr>
              <w:spacing w:before="40" w:after="40"/>
              <w:rPr>
                <w:sz w:val="20"/>
                <w:szCs w:val="20"/>
              </w:rPr>
            </w:pPr>
            <w:r>
              <w:rPr>
                <w:rStyle w:val="111"/>
                <w:sz w:val="20"/>
                <w:szCs w:val="20"/>
              </w:rPr>
              <w:t>ДВМР (Соединенное Королевство)</w:t>
            </w:r>
            <w:r>
              <w:rPr>
                <w:rStyle w:val="111"/>
                <w:sz w:val="20"/>
                <w:szCs w:val="20"/>
              </w:rPr>
              <w:br/>
              <w:t>(</w:t>
            </w:r>
            <w:r>
              <w:rPr>
                <w:rStyle w:val="111"/>
                <w:i/>
                <w:sz w:val="20"/>
                <w:szCs w:val="20"/>
              </w:rPr>
              <w:t>Грант</w:t>
            </w:r>
            <w:r>
              <w:rPr>
                <w:rStyle w:val="111"/>
                <w:sz w:val="20"/>
                <w:szCs w:val="20"/>
              </w:rPr>
              <w:t>)</w:t>
            </w:r>
          </w:p>
        </w:tc>
        <w:tc>
          <w:tcPr>
            <w:tcW w:w="2353" w:type="dxa"/>
          </w:tcPr>
          <w:p w:rsidR="00000000" w:rsidRDefault="00000000">
            <w:pPr>
              <w:spacing w:before="40" w:after="40"/>
              <w:rPr>
                <w:sz w:val="20"/>
                <w:szCs w:val="20"/>
              </w:rPr>
            </w:pPr>
            <w:r>
              <w:rPr>
                <w:rStyle w:val="111"/>
                <w:sz w:val="20"/>
                <w:szCs w:val="20"/>
              </w:rPr>
              <w:t xml:space="preserve">42,5 млн. фунтов стерлингов </w:t>
            </w:r>
            <w:r>
              <w:rPr>
                <w:rStyle w:val="111"/>
                <w:sz w:val="20"/>
                <w:szCs w:val="20"/>
              </w:rPr>
              <w:br/>
              <w:t>(2 200 млн. рупий)</w:t>
            </w:r>
          </w:p>
        </w:tc>
        <w:tc>
          <w:tcPr>
            <w:tcW w:w="2353" w:type="dxa"/>
          </w:tcPr>
          <w:p w:rsidR="00000000" w:rsidRDefault="00000000">
            <w:pPr>
              <w:spacing w:before="40" w:after="40"/>
              <w:rPr>
                <w:rStyle w:val="111"/>
                <w:sz w:val="20"/>
                <w:szCs w:val="20"/>
              </w:rPr>
            </w:pPr>
            <w:r>
              <w:rPr>
                <w:rStyle w:val="111"/>
                <w:sz w:val="20"/>
                <w:szCs w:val="20"/>
              </w:rPr>
              <w:t>С августа 1999 года по 2005 год</w:t>
            </w:r>
          </w:p>
        </w:tc>
        <w:tc>
          <w:tcPr>
            <w:tcW w:w="2353" w:type="dxa"/>
          </w:tcPr>
          <w:p w:rsidR="00000000" w:rsidRDefault="00000000">
            <w:pPr>
              <w:spacing w:before="40" w:after="40"/>
              <w:rPr>
                <w:rStyle w:val="111"/>
                <w:sz w:val="20"/>
                <w:szCs w:val="20"/>
              </w:rPr>
            </w:pPr>
            <w:r>
              <w:rPr>
                <w:rStyle w:val="111"/>
                <w:sz w:val="20"/>
                <w:szCs w:val="20"/>
              </w:rPr>
              <w:t>Первый этап РПНО, Андхра-</w:t>
            </w:r>
            <w:r>
              <w:rPr>
                <w:rStyle w:val="111"/>
                <w:caps/>
                <w:sz w:val="20"/>
                <w:szCs w:val="20"/>
              </w:rPr>
              <w:t>п</w:t>
            </w:r>
            <w:r>
              <w:rPr>
                <w:rStyle w:val="111"/>
                <w:sz w:val="20"/>
                <w:szCs w:val="20"/>
              </w:rPr>
              <w:t>радеш (5)</w:t>
            </w:r>
          </w:p>
        </w:tc>
      </w:tr>
      <w:tr w:rsidR="00000000">
        <w:tblPrEx>
          <w:tblCellMar>
            <w:top w:w="0" w:type="dxa"/>
            <w:bottom w:w="0" w:type="dxa"/>
          </w:tblCellMar>
        </w:tblPrEx>
        <w:trPr>
          <w:cantSplit/>
          <w:jc w:val="center"/>
        </w:trPr>
        <w:tc>
          <w:tcPr>
            <w:tcW w:w="2352" w:type="dxa"/>
            <w:vMerge/>
          </w:tcPr>
          <w:p w:rsidR="00000000" w:rsidRDefault="00000000">
            <w:pPr>
              <w:spacing w:before="40" w:after="40"/>
              <w:rPr>
                <w:sz w:val="20"/>
                <w:szCs w:val="20"/>
              </w:rPr>
            </w:pPr>
          </w:p>
        </w:tc>
        <w:tc>
          <w:tcPr>
            <w:tcW w:w="2353" w:type="dxa"/>
          </w:tcPr>
          <w:p w:rsidR="00000000" w:rsidRDefault="00000000">
            <w:pPr>
              <w:spacing w:before="40" w:after="40"/>
              <w:rPr>
                <w:sz w:val="20"/>
                <w:szCs w:val="20"/>
              </w:rPr>
            </w:pPr>
            <w:r>
              <w:rPr>
                <w:rStyle w:val="111"/>
                <w:sz w:val="20"/>
                <w:szCs w:val="20"/>
              </w:rPr>
              <w:t>37,71 млн. фунтов стерлингов</w:t>
            </w:r>
            <w:r>
              <w:rPr>
                <w:rStyle w:val="111"/>
                <w:sz w:val="20"/>
                <w:szCs w:val="20"/>
              </w:rPr>
              <w:br/>
              <w:t>(2 070 млн. рупий)</w:t>
            </w:r>
          </w:p>
        </w:tc>
        <w:tc>
          <w:tcPr>
            <w:tcW w:w="2353" w:type="dxa"/>
          </w:tcPr>
          <w:p w:rsidR="00000000" w:rsidRDefault="00000000">
            <w:pPr>
              <w:spacing w:before="40" w:after="40"/>
              <w:rPr>
                <w:rStyle w:val="111"/>
                <w:sz w:val="20"/>
                <w:szCs w:val="20"/>
              </w:rPr>
            </w:pPr>
            <w:r>
              <w:rPr>
                <w:rStyle w:val="111"/>
                <w:sz w:val="20"/>
                <w:szCs w:val="20"/>
              </w:rPr>
              <w:t>С апреля 1997 года по 2004 год (рассматривается вопрос о продлении)</w:t>
            </w:r>
          </w:p>
        </w:tc>
        <w:tc>
          <w:tcPr>
            <w:tcW w:w="2353" w:type="dxa"/>
          </w:tcPr>
          <w:p w:rsidR="00000000" w:rsidRDefault="00000000">
            <w:pPr>
              <w:spacing w:before="40" w:after="40"/>
              <w:rPr>
                <w:rStyle w:val="111"/>
                <w:sz w:val="20"/>
                <w:szCs w:val="20"/>
              </w:rPr>
            </w:pPr>
            <w:r>
              <w:rPr>
                <w:rStyle w:val="111"/>
                <w:sz w:val="20"/>
                <w:szCs w:val="20"/>
              </w:rPr>
              <w:t>Третий этап РПНО, Западная Бенгалия (5)</w:t>
            </w:r>
          </w:p>
        </w:tc>
      </w:tr>
      <w:tr w:rsidR="00000000">
        <w:tblPrEx>
          <w:tblCellMar>
            <w:top w:w="0" w:type="dxa"/>
            <w:bottom w:w="0" w:type="dxa"/>
          </w:tblCellMar>
        </w:tblPrEx>
        <w:trPr>
          <w:jc w:val="center"/>
        </w:trPr>
        <w:tc>
          <w:tcPr>
            <w:tcW w:w="2352" w:type="dxa"/>
          </w:tcPr>
          <w:p w:rsidR="00000000" w:rsidRDefault="00000000">
            <w:pPr>
              <w:spacing w:before="40" w:after="40"/>
              <w:rPr>
                <w:sz w:val="20"/>
                <w:szCs w:val="20"/>
              </w:rPr>
            </w:pPr>
            <w:r>
              <w:rPr>
                <w:rStyle w:val="111"/>
                <w:sz w:val="20"/>
                <w:szCs w:val="20"/>
              </w:rPr>
              <w:t>Всемирный банк</w:t>
            </w:r>
            <w:r>
              <w:rPr>
                <w:rStyle w:val="111"/>
                <w:sz w:val="20"/>
                <w:szCs w:val="20"/>
              </w:rPr>
              <w:br/>
              <w:t>(</w:t>
            </w:r>
            <w:r>
              <w:rPr>
                <w:i/>
                <w:sz w:val="20"/>
                <w:szCs w:val="20"/>
              </w:rPr>
              <w:t>Льготный кредит</w:t>
            </w:r>
            <w:r>
              <w:rPr>
                <w:rStyle w:val="111"/>
                <w:sz w:val="20"/>
                <w:szCs w:val="20"/>
              </w:rPr>
              <w:t>)</w:t>
            </w:r>
            <w:r>
              <w:rPr>
                <w:rStyle w:val="111"/>
                <w:sz w:val="20"/>
                <w:szCs w:val="20"/>
              </w:rPr>
              <w:br/>
              <w:t>+</w:t>
            </w:r>
            <w:r>
              <w:rPr>
                <w:rStyle w:val="111"/>
                <w:sz w:val="20"/>
                <w:szCs w:val="20"/>
              </w:rPr>
              <w:br/>
              <w:t>ЮНИСЕФ</w:t>
            </w:r>
          </w:p>
        </w:tc>
        <w:tc>
          <w:tcPr>
            <w:tcW w:w="2353" w:type="dxa"/>
          </w:tcPr>
          <w:p w:rsidR="00000000" w:rsidRDefault="00000000">
            <w:pPr>
              <w:spacing w:before="40" w:after="40"/>
              <w:rPr>
                <w:sz w:val="20"/>
                <w:szCs w:val="20"/>
              </w:rPr>
            </w:pPr>
            <w:r>
              <w:rPr>
                <w:rStyle w:val="111"/>
                <w:sz w:val="20"/>
                <w:szCs w:val="20"/>
              </w:rPr>
              <w:t xml:space="preserve">152,4 млн. долл. США </w:t>
            </w:r>
            <w:r>
              <w:rPr>
                <w:rStyle w:val="111"/>
                <w:sz w:val="20"/>
                <w:szCs w:val="20"/>
              </w:rPr>
              <w:br/>
              <w:t>(5 300 млн. рупий)</w:t>
            </w:r>
            <w:r>
              <w:rPr>
                <w:rStyle w:val="111"/>
                <w:sz w:val="20"/>
                <w:szCs w:val="20"/>
              </w:rPr>
              <w:br/>
              <w:t>+</w:t>
            </w:r>
            <w:r>
              <w:rPr>
                <w:rStyle w:val="111"/>
                <w:sz w:val="20"/>
                <w:szCs w:val="20"/>
              </w:rPr>
              <w:br/>
              <w:t xml:space="preserve">10 млн. долл. США </w:t>
            </w:r>
            <w:r>
              <w:rPr>
                <w:rStyle w:val="111"/>
                <w:sz w:val="20"/>
                <w:szCs w:val="20"/>
              </w:rPr>
              <w:br/>
              <w:t>(360 млн. рупий)</w:t>
            </w:r>
          </w:p>
        </w:tc>
        <w:tc>
          <w:tcPr>
            <w:tcW w:w="2353" w:type="dxa"/>
          </w:tcPr>
          <w:p w:rsidR="00000000" w:rsidRDefault="00000000">
            <w:pPr>
              <w:spacing w:before="40" w:after="40"/>
              <w:rPr>
                <w:rStyle w:val="111"/>
                <w:sz w:val="20"/>
                <w:szCs w:val="20"/>
              </w:rPr>
            </w:pPr>
            <w:r>
              <w:rPr>
                <w:rStyle w:val="111"/>
                <w:sz w:val="20"/>
                <w:szCs w:val="20"/>
              </w:rPr>
              <w:t>С февраля 1998 года по сентябрь 2004 года</w:t>
            </w:r>
          </w:p>
        </w:tc>
        <w:tc>
          <w:tcPr>
            <w:tcW w:w="2353" w:type="dxa"/>
          </w:tcPr>
          <w:p w:rsidR="00000000" w:rsidRDefault="00000000">
            <w:pPr>
              <w:spacing w:before="40" w:after="40"/>
              <w:rPr>
                <w:rStyle w:val="111"/>
                <w:sz w:val="20"/>
                <w:szCs w:val="20"/>
              </w:rPr>
            </w:pPr>
            <w:r>
              <w:rPr>
                <w:rStyle w:val="111"/>
                <w:sz w:val="20"/>
                <w:szCs w:val="20"/>
              </w:rPr>
              <w:t xml:space="preserve">Третий этап РПНО, </w:t>
            </w:r>
            <w:r>
              <w:rPr>
                <w:rStyle w:val="111"/>
                <w:sz w:val="20"/>
                <w:szCs w:val="20"/>
              </w:rPr>
              <w:br/>
              <w:t xml:space="preserve">Бихар (20), </w:t>
            </w:r>
            <w:r>
              <w:rPr>
                <w:rStyle w:val="111"/>
                <w:sz w:val="20"/>
                <w:szCs w:val="20"/>
              </w:rPr>
              <w:br/>
              <w:t>Джхаркхенд (9)</w:t>
            </w:r>
          </w:p>
        </w:tc>
      </w:tr>
      <w:tr w:rsidR="00000000">
        <w:tblPrEx>
          <w:tblCellMar>
            <w:top w:w="0" w:type="dxa"/>
            <w:bottom w:w="0" w:type="dxa"/>
          </w:tblCellMar>
        </w:tblPrEx>
        <w:trPr>
          <w:cantSplit/>
          <w:jc w:val="center"/>
        </w:trPr>
        <w:tc>
          <w:tcPr>
            <w:tcW w:w="2352" w:type="dxa"/>
          </w:tcPr>
          <w:p w:rsidR="00000000" w:rsidRDefault="00000000">
            <w:pPr>
              <w:spacing w:before="40" w:after="40"/>
              <w:rPr>
                <w:sz w:val="20"/>
                <w:szCs w:val="20"/>
              </w:rPr>
            </w:pPr>
            <w:r>
              <w:rPr>
                <w:rStyle w:val="111"/>
                <w:sz w:val="20"/>
                <w:szCs w:val="20"/>
              </w:rPr>
              <w:t>Всемирный банк</w:t>
            </w:r>
            <w:r>
              <w:rPr>
                <w:rStyle w:val="111"/>
                <w:sz w:val="20"/>
                <w:szCs w:val="20"/>
              </w:rPr>
              <w:br/>
              <w:t>(</w:t>
            </w:r>
            <w:r>
              <w:rPr>
                <w:i/>
                <w:sz w:val="20"/>
                <w:szCs w:val="20"/>
              </w:rPr>
              <w:t>МАР</w:t>
            </w:r>
            <w:r>
              <w:rPr>
                <w:rStyle w:val="111"/>
                <w:sz w:val="20"/>
                <w:szCs w:val="20"/>
              </w:rPr>
              <w:t>)</w:t>
            </w:r>
          </w:p>
        </w:tc>
        <w:tc>
          <w:tcPr>
            <w:tcW w:w="2353" w:type="dxa"/>
          </w:tcPr>
          <w:p w:rsidR="00000000" w:rsidRDefault="00000000">
            <w:pPr>
              <w:spacing w:before="40" w:after="40"/>
              <w:rPr>
                <w:sz w:val="20"/>
                <w:szCs w:val="20"/>
              </w:rPr>
            </w:pPr>
            <w:r>
              <w:rPr>
                <w:rStyle w:val="111"/>
                <w:sz w:val="20"/>
                <w:szCs w:val="20"/>
              </w:rPr>
              <w:t xml:space="preserve">137,4 млн. долл. США </w:t>
            </w:r>
            <w:r>
              <w:rPr>
                <w:rStyle w:val="111"/>
                <w:sz w:val="20"/>
                <w:szCs w:val="20"/>
              </w:rPr>
              <w:br/>
              <w:t>(570 млн. рупий)</w:t>
            </w:r>
          </w:p>
        </w:tc>
        <w:tc>
          <w:tcPr>
            <w:tcW w:w="2353" w:type="dxa"/>
          </w:tcPr>
          <w:p w:rsidR="00000000" w:rsidRDefault="00000000">
            <w:pPr>
              <w:spacing w:before="40" w:after="40"/>
              <w:rPr>
                <w:rStyle w:val="111"/>
                <w:sz w:val="20"/>
                <w:szCs w:val="20"/>
              </w:rPr>
            </w:pPr>
            <w:r>
              <w:rPr>
                <w:rStyle w:val="111"/>
                <w:sz w:val="20"/>
                <w:szCs w:val="20"/>
              </w:rPr>
              <w:t>С февраля 1999 года по 30 сентября 2005 года</w:t>
            </w:r>
          </w:p>
        </w:tc>
        <w:tc>
          <w:tcPr>
            <w:tcW w:w="2353" w:type="dxa"/>
          </w:tcPr>
          <w:p w:rsidR="00000000" w:rsidRDefault="00000000">
            <w:pPr>
              <w:spacing w:before="40" w:after="40"/>
              <w:rPr>
                <w:rStyle w:val="111"/>
                <w:sz w:val="20"/>
                <w:szCs w:val="20"/>
              </w:rPr>
            </w:pPr>
            <w:r>
              <w:rPr>
                <w:rStyle w:val="111"/>
                <w:sz w:val="20"/>
                <w:szCs w:val="20"/>
              </w:rPr>
              <w:t xml:space="preserve">РПНО-АПРЕП: </w:t>
            </w:r>
            <w:r>
              <w:rPr>
                <w:rStyle w:val="111"/>
                <w:sz w:val="20"/>
                <w:szCs w:val="20"/>
              </w:rPr>
              <w:br/>
              <w:t>Андхра-Прадеш (14)</w:t>
            </w:r>
          </w:p>
        </w:tc>
      </w:tr>
      <w:tr w:rsidR="00000000">
        <w:tblPrEx>
          <w:tblCellMar>
            <w:top w:w="0" w:type="dxa"/>
            <w:bottom w:w="0" w:type="dxa"/>
          </w:tblCellMar>
        </w:tblPrEx>
        <w:trPr>
          <w:cantSplit/>
          <w:jc w:val="center"/>
        </w:trPr>
        <w:tc>
          <w:tcPr>
            <w:tcW w:w="2352" w:type="dxa"/>
          </w:tcPr>
          <w:p w:rsidR="00000000" w:rsidRDefault="00000000">
            <w:pPr>
              <w:spacing w:before="40" w:after="40"/>
              <w:rPr>
                <w:sz w:val="20"/>
                <w:szCs w:val="20"/>
              </w:rPr>
            </w:pPr>
            <w:r>
              <w:rPr>
                <w:rStyle w:val="111"/>
                <w:sz w:val="20"/>
                <w:szCs w:val="20"/>
              </w:rPr>
              <w:t>МАР</w:t>
            </w:r>
            <w:r>
              <w:rPr>
                <w:rStyle w:val="111"/>
                <w:sz w:val="20"/>
                <w:szCs w:val="20"/>
              </w:rPr>
              <w:br/>
              <w:t>(</w:t>
            </w:r>
            <w:r>
              <w:rPr>
                <w:i/>
                <w:sz w:val="20"/>
                <w:szCs w:val="20"/>
              </w:rPr>
              <w:t>Льготный кредит</w:t>
            </w:r>
            <w:r>
              <w:rPr>
                <w:rStyle w:val="111"/>
                <w:sz w:val="20"/>
                <w:szCs w:val="20"/>
              </w:rPr>
              <w:t>)</w:t>
            </w:r>
          </w:p>
        </w:tc>
        <w:tc>
          <w:tcPr>
            <w:tcW w:w="2353" w:type="dxa"/>
          </w:tcPr>
          <w:p w:rsidR="00000000" w:rsidRDefault="00000000">
            <w:pPr>
              <w:spacing w:before="40" w:after="40"/>
              <w:rPr>
                <w:sz w:val="20"/>
                <w:szCs w:val="20"/>
              </w:rPr>
            </w:pPr>
            <w:r>
              <w:rPr>
                <w:rStyle w:val="111"/>
                <w:sz w:val="20"/>
                <w:szCs w:val="20"/>
              </w:rPr>
              <w:t>85,7 млн. долл. США</w:t>
            </w:r>
            <w:r>
              <w:rPr>
                <w:rStyle w:val="111"/>
                <w:sz w:val="20"/>
                <w:szCs w:val="20"/>
              </w:rPr>
              <w:br/>
              <w:t>(3 600 млн. рупий)</w:t>
            </w:r>
          </w:p>
        </w:tc>
        <w:tc>
          <w:tcPr>
            <w:tcW w:w="2353" w:type="dxa"/>
          </w:tcPr>
          <w:p w:rsidR="00000000" w:rsidRDefault="00000000">
            <w:pPr>
              <w:spacing w:before="40" w:after="40"/>
              <w:rPr>
                <w:rStyle w:val="111"/>
                <w:sz w:val="20"/>
                <w:szCs w:val="20"/>
              </w:rPr>
            </w:pPr>
            <w:r>
              <w:rPr>
                <w:rStyle w:val="111"/>
                <w:sz w:val="20"/>
                <w:szCs w:val="20"/>
              </w:rPr>
              <w:t xml:space="preserve">С июля 1999 года по </w:t>
            </w:r>
            <w:r>
              <w:rPr>
                <w:rStyle w:val="111"/>
                <w:sz w:val="20"/>
                <w:szCs w:val="20"/>
              </w:rPr>
              <w:br/>
              <w:t xml:space="preserve">31 декабря 2004 года (рассматривается вопрос о продлении до </w:t>
            </w:r>
            <w:r>
              <w:rPr>
                <w:rStyle w:val="111"/>
                <w:sz w:val="20"/>
                <w:szCs w:val="20"/>
              </w:rPr>
              <w:br/>
              <w:t>31 декабря 2005 года)</w:t>
            </w:r>
          </w:p>
        </w:tc>
        <w:tc>
          <w:tcPr>
            <w:tcW w:w="2353" w:type="dxa"/>
          </w:tcPr>
          <w:p w:rsidR="00000000" w:rsidRDefault="00000000">
            <w:pPr>
              <w:spacing w:before="40" w:after="40"/>
              <w:rPr>
                <w:rStyle w:val="111"/>
                <w:sz w:val="20"/>
                <w:szCs w:val="20"/>
              </w:rPr>
            </w:pPr>
            <w:r>
              <w:rPr>
                <w:rStyle w:val="111"/>
                <w:sz w:val="20"/>
                <w:szCs w:val="20"/>
              </w:rPr>
              <w:t>Четвертый этап РПНО:  Раджастхан (10)</w:t>
            </w:r>
          </w:p>
        </w:tc>
      </w:tr>
      <w:tr w:rsidR="00000000">
        <w:tblPrEx>
          <w:tblCellMar>
            <w:top w:w="0" w:type="dxa"/>
            <w:bottom w:w="0" w:type="dxa"/>
          </w:tblCellMar>
        </w:tblPrEx>
        <w:trPr>
          <w:cantSplit/>
          <w:jc w:val="center"/>
        </w:trPr>
        <w:tc>
          <w:tcPr>
            <w:tcW w:w="2352" w:type="dxa"/>
          </w:tcPr>
          <w:p w:rsidR="00000000" w:rsidRDefault="00000000">
            <w:pPr>
              <w:spacing w:before="40" w:after="40"/>
              <w:rPr>
                <w:sz w:val="20"/>
                <w:szCs w:val="20"/>
              </w:rPr>
            </w:pPr>
            <w:r>
              <w:rPr>
                <w:rStyle w:val="111"/>
                <w:sz w:val="20"/>
                <w:szCs w:val="20"/>
              </w:rPr>
              <w:t>Всемирный банк</w:t>
            </w:r>
            <w:r>
              <w:rPr>
                <w:rStyle w:val="111"/>
                <w:sz w:val="20"/>
                <w:szCs w:val="20"/>
              </w:rPr>
              <w:br/>
              <w:t>(</w:t>
            </w:r>
            <w:r>
              <w:rPr>
                <w:i/>
                <w:sz w:val="20"/>
                <w:szCs w:val="20"/>
              </w:rPr>
              <w:t>МАР</w:t>
            </w:r>
            <w:r>
              <w:rPr>
                <w:rStyle w:val="111"/>
                <w:sz w:val="20"/>
                <w:szCs w:val="20"/>
              </w:rPr>
              <w:t>)</w:t>
            </w:r>
          </w:p>
        </w:tc>
        <w:tc>
          <w:tcPr>
            <w:tcW w:w="2353" w:type="dxa"/>
          </w:tcPr>
          <w:p w:rsidR="00000000" w:rsidRDefault="00000000">
            <w:pPr>
              <w:spacing w:before="40" w:after="40"/>
              <w:rPr>
                <w:sz w:val="20"/>
                <w:szCs w:val="20"/>
              </w:rPr>
            </w:pPr>
            <w:r>
              <w:rPr>
                <w:rStyle w:val="111"/>
                <w:sz w:val="20"/>
                <w:szCs w:val="20"/>
              </w:rPr>
              <w:t xml:space="preserve">182,4 млн. долл. США </w:t>
            </w:r>
            <w:r>
              <w:rPr>
                <w:rStyle w:val="111"/>
                <w:sz w:val="20"/>
                <w:szCs w:val="20"/>
              </w:rPr>
              <w:br/>
              <w:t>(примерно 8 000 млн. рупий)</w:t>
            </w:r>
          </w:p>
        </w:tc>
        <w:tc>
          <w:tcPr>
            <w:tcW w:w="2353" w:type="dxa"/>
          </w:tcPr>
          <w:p w:rsidR="00000000" w:rsidRDefault="00000000">
            <w:pPr>
              <w:spacing w:before="40" w:after="40"/>
              <w:rPr>
                <w:rStyle w:val="111"/>
                <w:sz w:val="20"/>
                <w:szCs w:val="20"/>
              </w:rPr>
            </w:pPr>
            <w:r>
              <w:rPr>
                <w:rStyle w:val="111"/>
                <w:sz w:val="20"/>
                <w:szCs w:val="20"/>
              </w:rPr>
              <w:t>С февраля 1999 года по 30 сентября 2005 года</w:t>
            </w:r>
          </w:p>
        </w:tc>
        <w:tc>
          <w:tcPr>
            <w:tcW w:w="2353" w:type="dxa"/>
          </w:tcPr>
          <w:p w:rsidR="00000000" w:rsidRDefault="00000000">
            <w:pPr>
              <w:spacing w:before="40" w:after="40"/>
              <w:rPr>
                <w:sz w:val="20"/>
                <w:szCs w:val="20"/>
              </w:rPr>
            </w:pPr>
            <w:r>
              <w:rPr>
                <w:rStyle w:val="111"/>
                <w:sz w:val="20"/>
                <w:szCs w:val="20"/>
              </w:rPr>
              <w:t>Второй этап РПНО,</w:t>
            </w:r>
            <w:r>
              <w:rPr>
                <w:rStyle w:val="111"/>
                <w:sz w:val="20"/>
                <w:szCs w:val="20"/>
              </w:rPr>
              <w:br/>
              <w:t>Уттар-Прадеш (36), Уттаранчал (6)</w:t>
            </w:r>
          </w:p>
        </w:tc>
      </w:tr>
      <w:tr w:rsidR="00000000">
        <w:tblPrEx>
          <w:tblCellMar>
            <w:top w:w="0" w:type="dxa"/>
            <w:bottom w:w="0" w:type="dxa"/>
          </w:tblCellMar>
        </w:tblPrEx>
        <w:trPr>
          <w:cantSplit/>
          <w:jc w:val="center"/>
        </w:trPr>
        <w:tc>
          <w:tcPr>
            <w:tcW w:w="2352" w:type="dxa"/>
          </w:tcPr>
          <w:p w:rsidR="00000000" w:rsidRDefault="00000000">
            <w:pPr>
              <w:spacing w:before="40" w:after="40"/>
              <w:rPr>
                <w:rStyle w:val="111"/>
                <w:sz w:val="20"/>
                <w:szCs w:val="20"/>
              </w:rPr>
            </w:pPr>
            <w:r>
              <w:rPr>
                <w:rStyle w:val="111"/>
                <w:sz w:val="20"/>
                <w:szCs w:val="20"/>
              </w:rPr>
              <w:t>ДВМР (Соединенное Королевство)</w:t>
            </w:r>
          </w:p>
        </w:tc>
        <w:tc>
          <w:tcPr>
            <w:tcW w:w="2353" w:type="dxa"/>
          </w:tcPr>
          <w:p w:rsidR="00000000" w:rsidRDefault="00000000">
            <w:pPr>
              <w:spacing w:before="40" w:after="40"/>
              <w:rPr>
                <w:sz w:val="20"/>
                <w:szCs w:val="20"/>
              </w:rPr>
            </w:pPr>
            <w:r>
              <w:rPr>
                <w:rStyle w:val="111"/>
                <w:sz w:val="20"/>
                <w:szCs w:val="20"/>
              </w:rPr>
              <w:t xml:space="preserve">30 млн. фунтов стерлингов </w:t>
            </w:r>
            <w:r>
              <w:rPr>
                <w:rStyle w:val="111"/>
                <w:sz w:val="20"/>
                <w:szCs w:val="20"/>
              </w:rPr>
              <w:br/>
              <w:t>(примерно 2 000 млн. рупий)</w:t>
            </w:r>
          </w:p>
        </w:tc>
        <w:tc>
          <w:tcPr>
            <w:tcW w:w="2353" w:type="dxa"/>
          </w:tcPr>
          <w:p w:rsidR="00000000" w:rsidRDefault="00000000">
            <w:pPr>
              <w:spacing w:before="40" w:after="40"/>
              <w:rPr>
                <w:rStyle w:val="111"/>
                <w:sz w:val="20"/>
                <w:szCs w:val="20"/>
              </w:rPr>
            </w:pPr>
            <w:r>
              <w:rPr>
                <w:rStyle w:val="111"/>
                <w:sz w:val="20"/>
                <w:szCs w:val="20"/>
              </w:rPr>
              <w:t>С февраля 1999 года по сентябрь 2006 года</w:t>
            </w:r>
          </w:p>
        </w:tc>
        <w:tc>
          <w:tcPr>
            <w:tcW w:w="2353" w:type="dxa"/>
          </w:tcPr>
          <w:p w:rsidR="00000000" w:rsidRDefault="00000000">
            <w:pPr>
              <w:spacing w:before="40" w:after="40"/>
              <w:rPr>
                <w:rStyle w:val="111"/>
                <w:sz w:val="20"/>
                <w:szCs w:val="20"/>
              </w:rPr>
            </w:pPr>
            <w:r>
              <w:rPr>
                <w:rStyle w:val="111"/>
                <w:sz w:val="20"/>
                <w:szCs w:val="20"/>
              </w:rPr>
              <w:t>Расширение РПНО, Западная Бенгалия</w:t>
            </w:r>
          </w:p>
        </w:tc>
      </w:tr>
      <w:tr w:rsidR="00000000">
        <w:tblPrEx>
          <w:tblCellMar>
            <w:top w:w="0" w:type="dxa"/>
            <w:bottom w:w="0" w:type="dxa"/>
          </w:tblCellMar>
        </w:tblPrEx>
        <w:trPr>
          <w:cantSplit/>
          <w:jc w:val="center"/>
        </w:trPr>
        <w:tc>
          <w:tcPr>
            <w:tcW w:w="2352" w:type="dxa"/>
          </w:tcPr>
          <w:p w:rsidR="00000000" w:rsidRDefault="00000000">
            <w:pPr>
              <w:spacing w:before="40" w:after="40"/>
              <w:rPr>
                <w:rStyle w:val="111"/>
                <w:sz w:val="20"/>
                <w:szCs w:val="20"/>
              </w:rPr>
            </w:pPr>
            <w:r>
              <w:rPr>
                <w:rStyle w:val="111"/>
                <w:sz w:val="20"/>
                <w:szCs w:val="20"/>
              </w:rPr>
              <w:t>ДВМР (Соединенное Королевство)</w:t>
            </w:r>
          </w:p>
        </w:tc>
        <w:tc>
          <w:tcPr>
            <w:tcW w:w="2353" w:type="dxa"/>
          </w:tcPr>
          <w:p w:rsidR="00000000" w:rsidRDefault="00000000">
            <w:pPr>
              <w:spacing w:before="40" w:after="40"/>
              <w:rPr>
                <w:sz w:val="20"/>
                <w:szCs w:val="20"/>
              </w:rPr>
            </w:pPr>
            <w:r>
              <w:rPr>
                <w:rStyle w:val="111"/>
                <w:sz w:val="20"/>
                <w:szCs w:val="20"/>
              </w:rPr>
              <w:t xml:space="preserve">41,21 млн. фунтов стерлингов </w:t>
            </w:r>
            <w:r>
              <w:rPr>
                <w:rStyle w:val="111"/>
                <w:sz w:val="20"/>
                <w:szCs w:val="20"/>
              </w:rPr>
              <w:br/>
              <w:t>(примерно 3 000 млн. рупий)</w:t>
            </w:r>
          </w:p>
        </w:tc>
        <w:tc>
          <w:tcPr>
            <w:tcW w:w="2353" w:type="dxa"/>
          </w:tcPr>
          <w:p w:rsidR="00000000" w:rsidRDefault="00000000">
            <w:pPr>
              <w:spacing w:before="40" w:after="40"/>
              <w:rPr>
                <w:rStyle w:val="111"/>
                <w:sz w:val="20"/>
                <w:szCs w:val="20"/>
              </w:rPr>
            </w:pPr>
            <w:r>
              <w:rPr>
                <w:rStyle w:val="111"/>
                <w:sz w:val="20"/>
                <w:szCs w:val="20"/>
              </w:rPr>
              <w:t>По январь 2008 года</w:t>
            </w:r>
          </w:p>
        </w:tc>
        <w:tc>
          <w:tcPr>
            <w:tcW w:w="2353" w:type="dxa"/>
          </w:tcPr>
          <w:p w:rsidR="00000000" w:rsidRDefault="00000000">
            <w:pPr>
              <w:spacing w:before="40" w:after="40"/>
              <w:rPr>
                <w:rStyle w:val="111"/>
                <w:sz w:val="20"/>
                <w:szCs w:val="20"/>
              </w:rPr>
            </w:pPr>
            <w:r>
              <w:rPr>
                <w:rStyle w:val="111"/>
                <w:sz w:val="20"/>
                <w:szCs w:val="20"/>
              </w:rPr>
              <w:t>Расширение РПНО, Орисса (8)</w:t>
            </w:r>
          </w:p>
        </w:tc>
      </w:tr>
      <w:tr w:rsidR="00000000">
        <w:tblPrEx>
          <w:tblCellMar>
            <w:top w:w="0" w:type="dxa"/>
            <w:bottom w:w="0" w:type="dxa"/>
          </w:tblCellMar>
        </w:tblPrEx>
        <w:trPr>
          <w:cantSplit/>
          <w:jc w:val="center"/>
        </w:trPr>
        <w:tc>
          <w:tcPr>
            <w:tcW w:w="2352" w:type="dxa"/>
          </w:tcPr>
          <w:p w:rsidR="00000000" w:rsidRDefault="00000000">
            <w:pPr>
              <w:spacing w:before="40" w:after="40"/>
              <w:rPr>
                <w:sz w:val="20"/>
                <w:szCs w:val="20"/>
              </w:rPr>
            </w:pPr>
            <w:r>
              <w:rPr>
                <w:rStyle w:val="111"/>
                <w:sz w:val="20"/>
                <w:szCs w:val="20"/>
              </w:rPr>
              <w:t xml:space="preserve">МАР </w:t>
            </w:r>
            <w:r>
              <w:rPr>
                <w:rStyle w:val="111"/>
                <w:sz w:val="20"/>
                <w:szCs w:val="20"/>
              </w:rPr>
              <w:br/>
              <w:t>(</w:t>
            </w:r>
            <w:r>
              <w:rPr>
                <w:i/>
                <w:sz w:val="20"/>
                <w:szCs w:val="20"/>
              </w:rPr>
              <w:t>Льготный кредит</w:t>
            </w:r>
            <w:r>
              <w:rPr>
                <w:rStyle w:val="111"/>
                <w:sz w:val="20"/>
                <w:szCs w:val="20"/>
              </w:rPr>
              <w:t>)</w:t>
            </w:r>
          </w:p>
        </w:tc>
        <w:tc>
          <w:tcPr>
            <w:tcW w:w="2353" w:type="dxa"/>
          </w:tcPr>
          <w:p w:rsidR="00000000" w:rsidRDefault="00000000">
            <w:pPr>
              <w:spacing w:before="40" w:after="40"/>
              <w:rPr>
                <w:sz w:val="20"/>
                <w:szCs w:val="20"/>
              </w:rPr>
            </w:pPr>
            <w:r>
              <w:rPr>
                <w:rStyle w:val="111"/>
                <w:sz w:val="20"/>
                <w:szCs w:val="20"/>
              </w:rPr>
              <w:t xml:space="preserve">74,34 млн. долл. США </w:t>
            </w:r>
            <w:r>
              <w:rPr>
                <w:rStyle w:val="111"/>
                <w:sz w:val="20"/>
                <w:szCs w:val="20"/>
              </w:rPr>
              <w:br/>
              <w:t>(примерно 3 700 млн. рупий)</w:t>
            </w:r>
          </w:p>
        </w:tc>
        <w:tc>
          <w:tcPr>
            <w:tcW w:w="2353" w:type="dxa"/>
          </w:tcPr>
          <w:p w:rsidR="00000000" w:rsidRDefault="00000000">
            <w:pPr>
              <w:spacing w:before="40" w:after="40"/>
              <w:rPr>
                <w:rStyle w:val="111"/>
                <w:sz w:val="20"/>
                <w:szCs w:val="20"/>
              </w:rPr>
            </w:pPr>
            <w:r>
              <w:rPr>
                <w:rStyle w:val="111"/>
                <w:sz w:val="20"/>
                <w:szCs w:val="20"/>
              </w:rPr>
              <w:t xml:space="preserve">С июля 2001 года по </w:t>
            </w:r>
            <w:r>
              <w:rPr>
                <w:rStyle w:val="111"/>
                <w:sz w:val="20"/>
                <w:szCs w:val="20"/>
              </w:rPr>
              <w:br/>
              <w:t>31 декабря 2005 года</w:t>
            </w:r>
          </w:p>
        </w:tc>
        <w:tc>
          <w:tcPr>
            <w:tcW w:w="2353" w:type="dxa"/>
          </w:tcPr>
          <w:p w:rsidR="00000000" w:rsidRDefault="00000000">
            <w:pPr>
              <w:spacing w:before="40" w:after="40"/>
              <w:rPr>
                <w:rStyle w:val="111"/>
                <w:sz w:val="20"/>
                <w:szCs w:val="20"/>
              </w:rPr>
            </w:pPr>
            <w:r>
              <w:rPr>
                <w:rStyle w:val="111"/>
                <w:sz w:val="20"/>
                <w:szCs w:val="20"/>
              </w:rPr>
              <w:t>Расширение РПНО, Раджастхан (9)</w:t>
            </w:r>
          </w:p>
        </w:tc>
      </w:tr>
      <w:tr w:rsidR="00000000">
        <w:tblPrEx>
          <w:tblCellMar>
            <w:top w:w="0" w:type="dxa"/>
            <w:bottom w:w="0" w:type="dxa"/>
          </w:tblCellMar>
        </w:tblPrEx>
        <w:trPr>
          <w:cantSplit/>
          <w:jc w:val="center"/>
        </w:trPr>
        <w:tc>
          <w:tcPr>
            <w:tcW w:w="2352" w:type="dxa"/>
          </w:tcPr>
          <w:p w:rsidR="00000000" w:rsidRDefault="00000000">
            <w:pPr>
              <w:spacing w:before="40" w:after="40"/>
              <w:rPr>
                <w:sz w:val="20"/>
                <w:szCs w:val="20"/>
              </w:rPr>
            </w:pPr>
            <w:r>
              <w:rPr>
                <w:rStyle w:val="111"/>
                <w:sz w:val="20"/>
                <w:szCs w:val="20"/>
              </w:rPr>
              <w:t>Нидерланды</w:t>
            </w:r>
            <w:r>
              <w:rPr>
                <w:rStyle w:val="111"/>
                <w:sz w:val="20"/>
                <w:szCs w:val="20"/>
              </w:rPr>
              <w:br/>
              <w:t>(</w:t>
            </w:r>
            <w:r>
              <w:rPr>
                <w:i/>
                <w:sz w:val="20"/>
                <w:szCs w:val="20"/>
              </w:rPr>
              <w:t>Грант</w:t>
            </w:r>
            <w:r>
              <w:rPr>
                <w:rStyle w:val="111"/>
                <w:sz w:val="20"/>
                <w:szCs w:val="20"/>
              </w:rPr>
              <w:t>)</w:t>
            </w:r>
          </w:p>
        </w:tc>
        <w:tc>
          <w:tcPr>
            <w:tcW w:w="2353" w:type="dxa"/>
          </w:tcPr>
          <w:p w:rsidR="00000000" w:rsidRDefault="00000000">
            <w:pPr>
              <w:spacing w:before="40" w:after="40"/>
              <w:rPr>
                <w:sz w:val="20"/>
                <w:szCs w:val="20"/>
              </w:rPr>
            </w:pPr>
            <w:r>
              <w:rPr>
                <w:rStyle w:val="111"/>
                <w:sz w:val="20"/>
                <w:szCs w:val="20"/>
              </w:rPr>
              <w:t>1 250 млн. рупий</w:t>
            </w:r>
            <w:r>
              <w:rPr>
                <w:rStyle w:val="111"/>
                <w:sz w:val="20"/>
                <w:szCs w:val="20"/>
              </w:rPr>
              <w:br/>
              <w:t>(26,47 млн. долл. США)</w:t>
            </w:r>
          </w:p>
        </w:tc>
        <w:tc>
          <w:tcPr>
            <w:tcW w:w="2353" w:type="dxa"/>
          </w:tcPr>
          <w:p w:rsidR="00000000" w:rsidRDefault="00000000">
            <w:pPr>
              <w:spacing w:before="40" w:after="40"/>
              <w:rPr>
                <w:rStyle w:val="111"/>
                <w:sz w:val="20"/>
                <w:szCs w:val="20"/>
              </w:rPr>
            </w:pPr>
            <w:r>
              <w:rPr>
                <w:rStyle w:val="111"/>
                <w:sz w:val="20"/>
                <w:szCs w:val="20"/>
              </w:rPr>
              <w:t>С февраля 2001 года по 2005 год</w:t>
            </w:r>
          </w:p>
        </w:tc>
        <w:tc>
          <w:tcPr>
            <w:tcW w:w="2353" w:type="dxa"/>
          </w:tcPr>
          <w:p w:rsidR="00000000" w:rsidRDefault="00000000">
            <w:pPr>
              <w:spacing w:before="40" w:after="40"/>
              <w:rPr>
                <w:rStyle w:val="111"/>
                <w:sz w:val="20"/>
                <w:szCs w:val="20"/>
              </w:rPr>
            </w:pPr>
            <w:r>
              <w:rPr>
                <w:rStyle w:val="111"/>
                <w:sz w:val="20"/>
                <w:szCs w:val="20"/>
              </w:rPr>
              <w:t xml:space="preserve">Расширение РПНО, Гуджарат (6), четыре </w:t>
            </w:r>
            <w:r>
              <w:rPr>
                <w:rStyle w:val="111"/>
                <w:sz w:val="20"/>
                <w:szCs w:val="20"/>
              </w:rPr>
              <w:br/>
              <w:t>из шести районов будут финансироваться штатом</w:t>
            </w:r>
          </w:p>
        </w:tc>
      </w:tr>
      <w:tr w:rsidR="00000000">
        <w:tblPrEx>
          <w:tblCellMar>
            <w:top w:w="0" w:type="dxa"/>
            <w:bottom w:w="0" w:type="dxa"/>
          </w:tblCellMar>
        </w:tblPrEx>
        <w:trPr>
          <w:cantSplit/>
          <w:jc w:val="center"/>
        </w:trPr>
        <w:tc>
          <w:tcPr>
            <w:tcW w:w="2352" w:type="dxa"/>
          </w:tcPr>
          <w:p w:rsidR="00000000" w:rsidRDefault="00000000">
            <w:pPr>
              <w:spacing w:before="40" w:after="40"/>
              <w:rPr>
                <w:rStyle w:val="111"/>
                <w:sz w:val="20"/>
                <w:szCs w:val="20"/>
              </w:rPr>
            </w:pPr>
            <w:r>
              <w:rPr>
                <w:rStyle w:val="111"/>
                <w:sz w:val="20"/>
                <w:szCs w:val="20"/>
              </w:rPr>
              <w:t>Итого, внешняя помощь на осуществление РПНО</w:t>
            </w:r>
          </w:p>
        </w:tc>
        <w:tc>
          <w:tcPr>
            <w:tcW w:w="2353" w:type="dxa"/>
          </w:tcPr>
          <w:p w:rsidR="00000000" w:rsidRDefault="00000000">
            <w:pPr>
              <w:spacing w:before="40" w:after="40"/>
              <w:rPr>
                <w:rStyle w:val="111"/>
                <w:sz w:val="20"/>
                <w:szCs w:val="20"/>
              </w:rPr>
            </w:pPr>
            <w:r>
              <w:rPr>
                <w:rStyle w:val="111"/>
                <w:sz w:val="20"/>
                <w:szCs w:val="20"/>
              </w:rPr>
              <w:t>Примерно 69 380 млн. рупий</w:t>
            </w:r>
          </w:p>
        </w:tc>
        <w:tc>
          <w:tcPr>
            <w:tcW w:w="2353" w:type="dxa"/>
          </w:tcPr>
          <w:p w:rsidR="00000000" w:rsidRDefault="00000000">
            <w:pPr>
              <w:spacing w:before="40" w:after="40"/>
              <w:rPr>
                <w:sz w:val="20"/>
                <w:szCs w:val="20"/>
              </w:rPr>
            </w:pPr>
          </w:p>
        </w:tc>
        <w:tc>
          <w:tcPr>
            <w:tcW w:w="2353" w:type="dxa"/>
          </w:tcPr>
          <w:p w:rsidR="00000000" w:rsidRDefault="00000000">
            <w:pPr>
              <w:spacing w:before="40" w:after="40"/>
              <w:rPr>
                <w:sz w:val="20"/>
                <w:szCs w:val="20"/>
              </w:rPr>
            </w:pPr>
            <w:r>
              <w:rPr>
                <w:rStyle w:val="111"/>
                <w:sz w:val="20"/>
                <w:szCs w:val="20"/>
              </w:rPr>
              <w:t xml:space="preserve">Кредит МАР:  </w:t>
            </w:r>
            <w:r>
              <w:rPr>
                <w:rStyle w:val="111"/>
                <w:sz w:val="20"/>
                <w:szCs w:val="20"/>
              </w:rPr>
              <w:br/>
              <w:t>51 370 млн. рупий</w:t>
            </w:r>
            <w:r>
              <w:rPr>
                <w:rStyle w:val="111"/>
                <w:sz w:val="20"/>
                <w:szCs w:val="20"/>
              </w:rPr>
              <w:br/>
              <w:t>Грант:  18 010 млн.</w:t>
            </w:r>
          </w:p>
        </w:tc>
      </w:tr>
    </w:tbl>
    <w:p w:rsidR="00000000" w:rsidRDefault="00000000">
      <w:pPr>
        <w:jc w:val="both"/>
        <w:rPr>
          <w:sz w:val="22"/>
          <w:szCs w:val="22"/>
        </w:rPr>
      </w:pPr>
    </w:p>
    <w:p w:rsidR="00000000" w:rsidRDefault="00000000">
      <w:pPr>
        <w:pStyle w:val="112"/>
      </w:pPr>
      <w:r>
        <w:t>668.</w:t>
      </w:r>
      <w:r>
        <w:tab/>
        <w:t>Общий объем расходов на второй этап (1996–1998 годы) осуществления проекта развития образования в Бихаре (который был начат в 1991 году), по оценке, составил 613 млн. рупий, которые были покрыты ЮНИСЕФ, правительством Индии и правительством штата Бихар в соотношении 3:2:1.  Всемирным банком был также утвержден проект "Образование для всех", представленный правительством штата Уттар-Прадеш.  Второй этап осуществляемого при содействии Всемирного банка проекта ИКДС охватывает 210 кварталов в Бихаре и 244 квартала в Мадхья-Прадеш.</w:t>
      </w:r>
    </w:p>
    <w:p w:rsidR="00000000" w:rsidRDefault="00000000">
      <w:pPr>
        <w:pStyle w:val="112"/>
      </w:pPr>
      <w:r>
        <w:t>669.</w:t>
      </w:r>
      <w:r>
        <w:tab/>
        <w:t>Международное агентство развития – механизм льготного финансирования Всемирного банка – предоставило кредит в размере 163,1 млн. долл. США.</w:t>
      </w:r>
    </w:p>
    <w:p w:rsidR="00000000" w:rsidRDefault="00000000">
      <w:pPr>
        <w:pStyle w:val="112"/>
      </w:pPr>
      <w:r>
        <w:t>670.</w:t>
      </w:r>
      <w:r>
        <w:tab/>
        <w:t>С 1987 года при содействии Шведского агентства по сотрудничеству в области международного развития (СИДА) осуществляется проект "Шикша Карми".  Этот проект направлен на обеспечение всеобщего характера начального образования и повышение его качества в удаленных и отсталых в социально-экономическом отношении деревнях Раджастхана с уделением повышенного внимания обучению девочек.  Проект осуществляется благодаря внешней помощи при том понимании, что СИДА возмещает 90% расходов на первом этапе и 50% расходов на втором этапе проекта.  Расходы по проекту на первом этапе составили 212 млн. рупий, а на втором – 490 млн. рупий.</w:t>
      </w:r>
    </w:p>
    <w:p w:rsidR="00000000" w:rsidRDefault="00000000">
      <w:pPr>
        <w:pStyle w:val="112"/>
      </w:pPr>
      <w:r>
        <w:t>671.</w:t>
      </w:r>
      <w:r>
        <w:tab/>
        <w:t>Успешным проектом в области начального образования, которым было охвачено большое число школьников Раджастхана, является проект "Лок Джумбиш".  Продолжительность первого этапа этого проекта составила два года, с 1992 по 1997 год, а в его финансировании участвовали СИДА, правительство Индии и правительство Раджастхана, доли участия которых составили 3:2:1.  Второй этап проекта приходился на 1998 год, и долевой механизм финансирования остался прежним.  Норвегия также предоставила грант в размере 200 млн. рупий.</w:t>
      </w:r>
    </w:p>
    <w:p w:rsidR="00000000" w:rsidRDefault="00000000">
      <w:pPr>
        <w:pStyle w:val="112"/>
      </w:pPr>
      <w:r>
        <w:t>672.</w:t>
      </w:r>
      <w:r>
        <w:tab/>
        <w:t>Европейское сообщество (ЕС) оказывает экономическую помощь Индии с 1976 года.  Приоритетными секторами помощи ЕС являются образование, здравоохранение и охрана окружающей среды.  В настоящее время на центральном уровне осуществляется два проекта:  в секторе образования (районная программа начального образования) и в секторе здравоохранения (программа развития социального обеспечения в области охраны здоровья и поддержки семей), при этом помощь ЕС в рамках первого проекта составляет 150 млн. евро, а в рамках второго – 200 млн. евро.  ЕС выделило 200 млн. евро (примерно 9000 млн. рупий) на новую программу "Образование для всех".</w:t>
      </w:r>
    </w:p>
    <w:p w:rsidR="00000000" w:rsidRDefault="00000000">
      <w:pPr>
        <w:pStyle w:val="112"/>
      </w:pPr>
      <w:r>
        <w:t>673.</w:t>
      </w:r>
      <w:r>
        <w:tab/>
        <w:t>В ходе состоявшегося в мае 2002 года совещания совместной подкомиссии Индии и ЕС была достигнута договоренность о том, что ЕС выберет один или два штата из семи (Чхаттисгарх, Уттаранчал, Джхаркхенд, Ассам, Сикким, Раджастхан и Джамму и Кашмир) для осуществления партнерской программы.</w:t>
      </w:r>
    </w:p>
    <w:p w:rsidR="00000000" w:rsidRDefault="00000000">
      <w:pPr>
        <w:pStyle w:val="112"/>
      </w:pPr>
      <w:r>
        <w:t>674.</w:t>
      </w:r>
      <w:r>
        <w:tab/>
        <w:t>Помощь Международной ассоциации развития (МАР) начала поступать в Индию в июне 1961 года и является важным компонентом программы внешней поддержки.  По состоянию на 31 июня 2002 года МАР представила Индии кредиты на общую сумму 28 844,60 млн. долл. США для осуществления проектов в различных областях, включая образование, здравоохранение, улучшение питания и т. д.</w:t>
      </w:r>
    </w:p>
    <w:p w:rsidR="00000000" w:rsidRDefault="00000000">
      <w:pPr>
        <w:jc w:val="both"/>
        <w:rPr>
          <w:b/>
          <w:bCs/>
          <w:sz w:val="22"/>
          <w:szCs w:val="22"/>
        </w:rPr>
      </w:pPr>
    </w:p>
    <w:p w:rsidR="00000000" w:rsidRDefault="00000000">
      <w:pPr>
        <w:jc w:val="both"/>
        <w:rPr>
          <w:b/>
          <w:bCs/>
          <w:sz w:val="22"/>
          <w:szCs w:val="22"/>
        </w:rPr>
      </w:pPr>
      <w:r>
        <w:rPr>
          <w:b/>
          <w:bCs/>
          <w:sz w:val="22"/>
          <w:szCs w:val="22"/>
        </w:rPr>
        <w:t>Соединенное Королевство</w:t>
      </w:r>
    </w:p>
    <w:p w:rsidR="00000000" w:rsidRDefault="00000000">
      <w:pPr>
        <w:jc w:val="both"/>
        <w:rPr>
          <w:sz w:val="22"/>
          <w:szCs w:val="22"/>
        </w:rPr>
      </w:pPr>
    </w:p>
    <w:p w:rsidR="00000000" w:rsidRDefault="00000000">
      <w:pPr>
        <w:jc w:val="both"/>
        <w:rPr>
          <w:sz w:val="22"/>
          <w:szCs w:val="22"/>
        </w:rPr>
      </w:pPr>
      <w:r>
        <w:rPr>
          <w:sz w:val="22"/>
          <w:szCs w:val="22"/>
        </w:rPr>
        <w:tab/>
        <w:t xml:space="preserve">Индия является крупнейшим получателем помощи Великобритании в области развития.  Помощь, поступающая от Соединенного Королевства, используется для осуществления согласованных на взаимной основе проектов в таких секторах, как образование, улучшение условий жизни в трущобах, здравоохранение и социальное обеспечение семей.  В настоящее время на центральном уровне и уровне штатов осуществляются 28 местных проектов, финансируемых посредством дотаций (главным образом в областях сокращения масштабов нищеты, образования </w:t>
      </w:r>
      <w:r>
        <w:rPr>
          <w:sz w:val="22"/>
          <w:szCs w:val="22"/>
        </w:rPr>
        <w:br/>
        <w:t>и т. д.).</w:t>
      </w:r>
    </w:p>
    <w:p w:rsidR="00000000" w:rsidRDefault="00000000">
      <w:pPr>
        <w:jc w:val="both"/>
        <w:rPr>
          <w:b/>
          <w:bCs/>
          <w:sz w:val="22"/>
          <w:szCs w:val="22"/>
        </w:rPr>
      </w:pPr>
    </w:p>
    <w:p w:rsidR="00000000" w:rsidRDefault="00000000">
      <w:pPr>
        <w:jc w:val="both"/>
        <w:rPr>
          <w:b/>
          <w:bCs/>
          <w:sz w:val="22"/>
          <w:szCs w:val="22"/>
        </w:rPr>
      </w:pPr>
      <w:r>
        <w:rPr>
          <w:b/>
          <w:bCs/>
          <w:sz w:val="22"/>
          <w:szCs w:val="22"/>
        </w:rPr>
        <w:t>Швеция</w:t>
      </w:r>
    </w:p>
    <w:p w:rsidR="00000000" w:rsidRDefault="00000000">
      <w:pPr>
        <w:jc w:val="both"/>
        <w:rPr>
          <w:sz w:val="22"/>
          <w:szCs w:val="22"/>
        </w:rPr>
      </w:pPr>
    </w:p>
    <w:p w:rsidR="00000000" w:rsidRDefault="00000000">
      <w:pPr>
        <w:jc w:val="both"/>
        <w:rPr>
          <w:sz w:val="22"/>
          <w:szCs w:val="22"/>
        </w:rPr>
      </w:pPr>
      <w:r>
        <w:rPr>
          <w:sz w:val="22"/>
          <w:szCs w:val="22"/>
        </w:rPr>
        <w:tab/>
        <w:t>Индия является получателем шведской помощи с 1964 года.  Помощь из Швеции поступает по линии Шведского агентства по международному развитию (СИДА).</w:t>
      </w:r>
    </w:p>
    <w:p w:rsidR="00000000" w:rsidRDefault="00000000">
      <w:pPr>
        <w:jc w:val="both"/>
        <w:rPr>
          <w:b/>
          <w:bCs/>
          <w:sz w:val="22"/>
          <w:szCs w:val="22"/>
        </w:rPr>
      </w:pPr>
    </w:p>
    <w:p w:rsidR="00000000" w:rsidRDefault="00000000">
      <w:pPr>
        <w:jc w:val="both"/>
        <w:rPr>
          <w:b/>
          <w:bCs/>
          <w:sz w:val="22"/>
          <w:szCs w:val="22"/>
        </w:rPr>
      </w:pPr>
      <w:r>
        <w:rPr>
          <w:b/>
          <w:bCs/>
          <w:sz w:val="22"/>
          <w:szCs w:val="22"/>
        </w:rPr>
        <w:t xml:space="preserve">Нидерланды </w:t>
      </w:r>
    </w:p>
    <w:p w:rsidR="00000000" w:rsidRDefault="00000000">
      <w:pPr>
        <w:jc w:val="both"/>
        <w:rPr>
          <w:sz w:val="22"/>
          <w:szCs w:val="22"/>
        </w:rPr>
      </w:pPr>
    </w:p>
    <w:p w:rsidR="00000000" w:rsidRDefault="00000000">
      <w:pPr>
        <w:jc w:val="both"/>
        <w:rPr>
          <w:sz w:val="22"/>
          <w:szCs w:val="22"/>
        </w:rPr>
      </w:pPr>
      <w:r>
        <w:rPr>
          <w:sz w:val="22"/>
          <w:szCs w:val="22"/>
        </w:rPr>
        <w:tab/>
        <w:t>Правительство Нидерландов предоставило 94,426 миллиона голландских гульденов (эквивалентно 1736,9 млн. рупий) на программу восстановления и ремонта начальных школ в пострадавшем от землетрясения районе Гуджарата.</w:t>
      </w:r>
    </w:p>
    <w:p w:rsidR="00000000" w:rsidRDefault="00000000">
      <w:pPr>
        <w:jc w:val="both"/>
        <w:rPr>
          <w:b/>
          <w:bCs/>
          <w:sz w:val="22"/>
          <w:szCs w:val="22"/>
        </w:rPr>
      </w:pPr>
    </w:p>
    <w:p w:rsidR="00000000" w:rsidRDefault="00000000">
      <w:pPr>
        <w:jc w:val="both"/>
        <w:rPr>
          <w:b/>
          <w:bCs/>
          <w:sz w:val="22"/>
          <w:szCs w:val="22"/>
        </w:rPr>
      </w:pPr>
      <w:r>
        <w:rPr>
          <w:b/>
          <w:bCs/>
          <w:sz w:val="22"/>
          <w:szCs w:val="22"/>
        </w:rPr>
        <w:t xml:space="preserve">Австралия </w:t>
      </w:r>
    </w:p>
    <w:p w:rsidR="00000000" w:rsidRDefault="00000000">
      <w:pPr>
        <w:jc w:val="both"/>
        <w:rPr>
          <w:sz w:val="22"/>
          <w:szCs w:val="22"/>
        </w:rPr>
      </w:pPr>
    </w:p>
    <w:p w:rsidR="00000000" w:rsidRDefault="00000000">
      <w:pPr>
        <w:jc w:val="both"/>
        <w:rPr>
          <w:sz w:val="22"/>
          <w:szCs w:val="22"/>
        </w:rPr>
      </w:pPr>
      <w:r>
        <w:rPr>
          <w:sz w:val="22"/>
          <w:szCs w:val="22"/>
        </w:rPr>
        <w:tab/>
        <w:t>Основными проектами, на осуществление которых предоставляет помощь Австралия, являются проекты повышения качества начального образования, реализуемые по линии ЮНИСЕФ (второй этап), и проект предупреждения ВИЧ/СПИДа и оказания в этой связи медицинской помощи.</w:t>
      </w:r>
    </w:p>
    <w:p w:rsidR="00000000" w:rsidRDefault="00000000">
      <w:pPr>
        <w:rPr>
          <w:b/>
          <w:bCs/>
          <w:sz w:val="22"/>
          <w:szCs w:val="22"/>
        </w:rPr>
      </w:pPr>
    </w:p>
    <w:p w:rsidR="00000000" w:rsidRDefault="00000000">
      <w:pPr>
        <w:keepNext/>
        <w:spacing w:before="600"/>
        <w:jc w:val="center"/>
        <w:rPr>
          <w:b/>
          <w:bCs/>
          <w:sz w:val="24"/>
          <w:szCs w:val="22"/>
        </w:rPr>
      </w:pPr>
      <w:r>
        <w:rPr>
          <w:b/>
          <w:bCs/>
          <w:sz w:val="24"/>
          <w:szCs w:val="22"/>
        </w:rPr>
        <w:t>Статья 15</w:t>
      </w:r>
    </w:p>
    <w:p w:rsidR="00000000" w:rsidRDefault="00000000">
      <w:pPr>
        <w:keepNext/>
        <w:jc w:val="center"/>
        <w:rPr>
          <w:b/>
          <w:bCs/>
          <w:sz w:val="22"/>
          <w:szCs w:val="22"/>
        </w:rPr>
      </w:pPr>
    </w:p>
    <w:p w:rsidR="00000000" w:rsidRDefault="00000000">
      <w:pPr>
        <w:keepNext/>
        <w:jc w:val="center"/>
        <w:rPr>
          <w:b/>
          <w:bCs/>
          <w:sz w:val="22"/>
          <w:szCs w:val="22"/>
        </w:rPr>
      </w:pPr>
      <w:r>
        <w:rPr>
          <w:b/>
          <w:bCs/>
          <w:sz w:val="22"/>
          <w:szCs w:val="22"/>
        </w:rPr>
        <w:t xml:space="preserve">Право участвовать в культурной жизни и пользоваться </w:t>
      </w:r>
      <w:r>
        <w:rPr>
          <w:b/>
          <w:bCs/>
          <w:sz w:val="22"/>
          <w:szCs w:val="22"/>
        </w:rPr>
        <w:br/>
        <w:t>результатами научного прогресса</w:t>
      </w:r>
    </w:p>
    <w:p w:rsidR="00000000" w:rsidRDefault="00000000">
      <w:pPr>
        <w:keepNext/>
        <w:rPr>
          <w:b/>
          <w:bCs/>
          <w:sz w:val="22"/>
          <w:szCs w:val="22"/>
        </w:rPr>
      </w:pPr>
    </w:p>
    <w:p w:rsidR="00000000" w:rsidRDefault="00000000">
      <w:pPr>
        <w:keepNext/>
        <w:jc w:val="both"/>
        <w:rPr>
          <w:sz w:val="22"/>
          <w:szCs w:val="22"/>
        </w:rPr>
      </w:pPr>
      <w:r>
        <w:rPr>
          <w:sz w:val="22"/>
          <w:szCs w:val="22"/>
        </w:rPr>
        <w:t>675.</w:t>
      </w:r>
      <w:r>
        <w:rPr>
          <w:sz w:val="22"/>
          <w:szCs w:val="22"/>
        </w:rPr>
        <w:tab/>
        <w:t xml:space="preserve">Конституция Индии гарантирует своим гражданам право участвовать в культурной жизни, свободно создавать объединения и институты для сохранения и развития языка, культуры и религии в рамках светского и демократического общества, обеспечивающего единство и целостность страны.  Руководящий принцип государственной политики требует также от граждан охранять памятники, места и объекты, представляющие исторический интерес и имеющие национальное значение, при этом в части </w:t>
      </w:r>
      <w:r>
        <w:rPr>
          <w:sz w:val="22"/>
          <w:szCs w:val="22"/>
          <w:lang w:val="en-US"/>
        </w:rPr>
        <w:t>III</w:t>
      </w:r>
      <w:r>
        <w:rPr>
          <w:sz w:val="22"/>
          <w:szCs w:val="22"/>
        </w:rPr>
        <w:t xml:space="preserve"> Конституции Индии гарантируется право на свободу культуры.  Вопросами культуры занимаются как центральное правительство, так и правительства штатов и союзных территорий.  В центральном правительстве имеется отдельное </w:t>
      </w:r>
      <w:r>
        <w:rPr>
          <w:caps/>
          <w:sz w:val="22"/>
          <w:szCs w:val="22"/>
        </w:rPr>
        <w:t>м</w:t>
      </w:r>
      <w:r>
        <w:rPr>
          <w:sz w:val="22"/>
          <w:szCs w:val="22"/>
        </w:rPr>
        <w:t>инистерство культуры и туризма,  при котором существует департамент культурных связей.  Этот департамент содействует осуществлению программ культурных обменов, поддерживает новые проекты в областях археологии, искусств, музыки и литературы посредством учреждения стипендий и предоставляет финансовую помощь обществам и добровольным организациям, созданным с целью развития культуры.  Как отмечалось в первоначальном докладе об осуществлении этой статьи, представленном в соответствии с Пактом, для развития и сохранения культуры создано большое количество разных учреждений, включая библиотеки, музеи, академии искусств, музыки, драмы и театра.</w:t>
      </w:r>
    </w:p>
    <w:p w:rsidR="00000000" w:rsidRDefault="00000000">
      <w:pPr>
        <w:pStyle w:val="112"/>
        <w:spacing w:before="180"/>
      </w:pPr>
      <w:r>
        <w:t>676.</w:t>
      </w:r>
      <w:r>
        <w:tab/>
        <w:t xml:space="preserve">Организационно </w:t>
      </w:r>
      <w:r>
        <w:rPr>
          <w:caps/>
        </w:rPr>
        <w:t>м</w:t>
      </w:r>
      <w:r>
        <w:t xml:space="preserve">инистерство культуры является головным учреждением, занимающимся вопросами культуры в центральном правительстве.  Министерству приданы две организации, и в его ведении находятся ряд подчиненных подразделений и других автономных организаций, которые занимаются конкретными вопросами культуры.  Министерству приданы археологическая инспекция Индии и Национальные архивы Индии.  Подчиненными организациями являются Антропологическое общество Индии, Национальный музей, Национальная галерея современного искусства, Национальная библиотека, Центральная справочная библиотека и Национальная научно-исследовательская лаборатория по сохранению культурной собственности.  Автономными организациями, подведомственными </w:t>
      </w:r>
      <w:r>
        <w:rPr>
          <w:caps/>
        </w:rPr>
        <w:t>м</w:t>
      </w:r>
      <w:r>
        <w:t xml:space="preserve">инистерству культуры, являются Национальный музей человека (Раштрия Манай Санграхалая), Национальный совет научных музеев, Мемориальный музей и библиотека Неру, Национальная академия музыки, танца и драмы (Академия Сангит Натак), Национальная академия литературы (Академия Сахитья), Государственная академия изящных искусств (Академия Лалит Кала), Национальная школа драмы, Центр культурных ресурсов и подготовки кадров, Национальный мемориал Ганди Смрити и Даршан Самити, Аллахабадский музей, Публичная библиотека Дели, Библиотечный фонд имени раджи Рамы Мохан Роя, Центральный институт высших тибетских исследований, Центральный институт буддийских исследований, </w:t>
      </w:r>
      <w:r>
        <w:rPr>
          <w:caps/>
        </w:rPr>
        <w:t>м</w:t>
      </w:r>
      <w:r>
        <w:t>онашеский университет Нав Наланда Махавихара, Намгияльский институт тибетологии, Мемораильный зал королевы Виктории, Индийский музей, Азиатское общество, Музей Саларджунга, Публичная библиотека восточной литературы Кхуда Бакш, Библиотека Рампур Раза, Библиотека Тханджавур Махараджа Серфоджи Сарасвати Махал, Фонд Калакшетра, Институт истории искусств, охраны памятников старины и музееведения Национального музея, Институт азиатских исследований имени Маулана Абул Калам Азада, Национальный центр искусств имени Индиры Ганди.</w:t>
      </w:r>
    </w:p>
    <w:p w:rsidR="00000000" w:rsidRDefault="00000000">
      <w:pPr>
        <w:pStyle w:val="112"/>
      </w:pPr>
      <w:r>
        <w:t>677.</w:t>
      </w:r>
      <w:r>
        <w:tab/>
        <w:t xml:space="preserve">В соответствии с разделом Конституции, касающимся официальных языков, в стране официально признаются 22 различных языка, что позволяет обеспечивать интересы различных языковых групп.  В стране созданы национальные комиссии по каждому языку меньшинств (религиозных), зарегистрированных каст и зарегистрированных племен для сохранения их религии и культуры и принятия мер в случае нарушения их прав.  Учреждена должность комиссара по делам языковых меньшинств для защиты интересов этих групп населения в вопросах использования языков.  Конституция наделяет также президента Индии правом назначать в верхнюю палату парламента 12 членов, обладающих особыми знаниями или практическим опытом в вопросах литературы, науки, искусства и социального обслуживания. </w:t>
      </w:r>
    </w:p>
    <w:p w:rsidR="00000000" w:rsidRDefault="00000000">
      <w:pPr>
        <w:keepNext/>
        <w:spacing w:before="60"/>
        <w:jc w:val="both"/>
        <w:rPr>
          <w:b/>
          <w:bCs/>
          <w:sz w:val="22"/>
          <w:szCs w:val="22"/>
        </w:rPr>
      </w:pPr>
      <w:r>
        <w:rPr>
          <w:b/>
          <w:bCs/>
          <w:sz w:val="22"/>
          <w:szCs w:val="22"/>
        </w:rPr>
        <w:t>Изящные искусства, музыка, танец, драма</w:t>
      </w:r>
    </w:p>
    <w:p w:rsidR="00000000" w:rsidRDefault="00000000">
      <w:pPr>
        <w:keepNext/>
        <w:jc w:val="both"/>
        <w:rPr>
          <w:sz w:val="22"/>
          <w:szCs w:val="22"/>
        </w:rPr>
      </w:pPr>
    </w:p>
    <w:p w:rsidR="00000000" w:rsidRDefault="00000000">
      <w:pPr>
        <w:pStyle w:val="112"/>
        <w:keepNext/>
        <w:tabs>
          <w:tab w:val="clear" w:pos="680"/>
          <w:tab w:val="clear" w:pos="1134"/>
        </w:tabs>
        <w:spacing w:before="0"/>
        <w:rPr>
          <w:szCs w:val="22"/>
        </w:rPr>
      </w:pPr>
      <w:r>
        <w:rPr>
          <w:szCs w:val="22"/>
        </w:rPr>
        <w:t>678.</w:t>
      </w:r>
      <w:r>
        <w:rPr>
          <w:szCs w:val="22"/>
        </w:rPr>
        <w:tab/>
        <w:t>Правительство учредило на национальном уровне Академию Лалит Кала (1954 год), которая занимается изящными искусствами, Академию Сангит Натак (1953 год), которая ведает вопросами музыки, танца и драмы, и Академию Сахитья (1956 год) по литературе.  В 1959 году Академия Сангит Натак учредила Национальную школу драмы для развития деятельности, связанной со всеми аспектами театрального искусства.  Эти учреждения занимаются обучением в различных областях искусства, организацией программ для выявления талантов, поощрением научных исследований, чествованием видных деятелей за их вклад в развитие культуры, подготовкой документации,  сохранением редких литературных произведений и т. д.</w:t>
      </w:r>
    </w:p>
    <w:p w:rsidR="00000000" w:rsidRDefault="00000000">
      <w:pPr>
        <w:pStyle w:val="112"/>
        <w:spacing w:before="180"/>
        <w:rPr>
          <w:rStyle w:val="111"/>
          <w:szCs w:val="22"/>
        </w:rPr>
      </w:pPr>
      <w:r>
        <w:rPr>
          <w:rStyle w:val="111"/>
          <w:szCs w:val="22"/>
        </w:rPr>
        <w:t>679.</w:t>
      </w:r>
      <w:r>
        <w:rPr>
          <w:rStyle w:val="111"/>
          <w:szCs w:val="22"/>
        </w:rPr>
        <w:tab/>
        <w:t xml:space="preserve">В Академии Лалит Кала осуществляется регулярная программа в области научных исследований и документации.  Ученым предоставляется финансовая помощь для осуществления проектов в сфере современного народного искусства и для проведения мероприятий на местах по различным аспектам жизни индийского общества и культуры. Академия Сангит Натак финансирует программы по обучению танцу </w:t>
      </w:r>
      <w:r>
        <w:rPr>
          <w:i/>
        </w:rPr>
        <w:t>чхау</w:t>
      </w:r>
      <w:r>
        <w:rPr>
          <w:rStyle w:val="111"/>
          <w:szCs w:val="22"/>
        </w:rPr>
        <w:t xml:space="preserve"> в фольклорных формах </w:t>
      </w:r>
      <w:r>
        <w:rPr>
          <w:i/>
        </w:rPr>
        <w:t>маюрбхандж и серайкелла</w:t>
      </w:r>
      <w:r>
        <w:rPr>
          <w:rStyle w:val="111"/>
          <w:szCs w:val="22"/>
        </w:rPr>
        <w:t xml:space="preserve">, а также </w:t>
      </w:r>
      <w:r>
        <w:rPr>
          <w:i/>
        </w:rPr>
        <w:t>коодьяттам</w:t>
      </w:r>
      <w:r>
        <w:rPr>
          <w:rStyle w:val="111"/>
          <w:szCs w:val="22"/>
        </w:rPr>
        <w:t xml:space="preserve"> в Керале.</w:t>
      </w:r>
    </w:p>
    <w:p w:rsidR="00000000" w:rsidRDefault="00000000">
      <w:pPr>
        <w:pStyle w:val="112"/>
        <w:rPr>
          <w:rStyle w:val="111"/>
          <w:szCs w:val="22"/>
        </w:rPr>
      </w:pPr>
      <w:r>
        <w:rPr>
          <w:rStyle w:val="111"/>
          <w:szCs w:val="22"/>
        </w:rPr>
        <w:t>680.</w:t>
      </w:r>
      <w:r>
        <w:rPr>
          <w:rStyle w:val="111"/>
          <w:szCs w:val="22"/>
        </w:rPr>
        <w:tab/>
        <w:t>Национальная школа драмы оказывает поддержку труппе под названием "Школьный театр" (Санскар ранг толи</w:t>
      </w:r>
      <w:r>
        <w:rPr>
          <w:i/>
          <w:iCs/>
        </w:rPr>
        <w:t xml:space="preserve"> – </w:t>
      </w:r>
      <w:r>
        <w:rPr>
          <w:rStyle w:val="111"/>
          <w:szCs w:val="22"/>
        </w:rPr>
        <w:t>1989 год), которая готовит спектакли для детей, организует в летнее время занятия драматическим искусством в школах Дели и пропагандирует среди детей театр в рамках субботнего клуба.  С 1998 года эта школа каждый год организует национальный театральный фестиваль для детей под названием "Джашне Бачпан".  С 1999 года также ежегодно проводится национальный театральный фестиваль (Брахат Рагн Махостав).</w:t>
      </w:r>
    </w:p>
    <w:p w:rsidR="00000000" w:rsidRDefault="00000000">
      <w:pPr>
        <w:pStyle w:val="112"/>
      </w:pPr>
      <w:r>
        <w:t>681.</w:t>
      </w:r>
      <w:r>
        <w:tab/>
        <w:t>Академия Сахитья каждый год организует недельный фестиваль литературы.  Академия осуществляет специальные проекты и публикует 10 томов лучших произведений индийской литературы, созданной за пять тысячелетий, в том числе произведений древней, средневековой и современной индийской литературы.  Она осуществляет многочисленные проекты, включая перевод и опубликование литературных произведений представителей племен и перевод 100 классических индийских произведений.  Еще одним литературным проектом занимаются Национальные архивы Индии, которые производят запись литературных произведений на кинопленку, видеопленку, магнитофонную ленту и КД-ПЗУ и обеспечивают хранение рукописей, фотографий и других материалов, связанных с жизнью и деятельностью выдающихся индийских писателей.</w:t>
      </w:r>
    </w:p>
    <w:p w:rsidR="00000000" w:rsidRDefault="00000000">
      <w:pPr>
        <w:pStyle w:val="112"/>
      </w:pPr>
      <w:r>
        <w:t>682.</w:t>
      </w:r>
      <w:r>
        <w:tab/>
        <w:t>В 2003 году была учреждена Национальная миссия по  рукописям для поиска, каталогизации и, что особенно важно, повышения доступности рукописей, распространения информации о культурном наследии страны и содействия его использованию для образовательных и исследовательских целей.  По оценке, примерно 75% интеллектуального наследия Индии неизвестно, недоступно и находится в разрозненном состоянии.</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Археология</w:t>
      </w:r>
    </w:p>
    <w:p w:rsidR="00000000" w:rsidRDefault="00000000">
      <w:pPr>
        <w:jc w:val="both"/>
        <w:rPr>
          <w:sz w:val="22"/>
          <w:szCs w:val="22"/>
        </w:rPr>
      </w:pPr>
    </w:p>
    <w:p w:rsidR="00000000" w:rsidRDefault="00000000">
      <w:pPr>
        <w:jc w:val="both"/>
        <w:rPr>
          <w:sz w:val="22"/>
          <w:szCs w:val="22"/>
        </w:rPr>
      </w:pPr>
      <w:r>
        <w:rPr>
          <w:sz w:val="22"/>
          <w:szCs w:val="22"/>
        </w:rPr>
        <w:t>683.</w:t>
      </w:r>
      <w:r>
        <w:rPr>
          <w:sz w:val="22"/>
          <w:szCs w:val="22"/>
        </w:rPr>
        <w:tab/>
        <w:t>Археологическая инспекция Индии (1861 год) отвечает за содержание, защиту и сохранение памятников, исторических мест и руин, находящихся под охраной центрального правительства, проведение археологических изысканий и раскопок, сохранение с помощью химических методов памятников и древностей и подготовку археологов.  Инспекция отвечает за выполнение Закона 1972 года о древностях и сокровищах искусства.  Она осуществляет надзор за состоянием 3060 находящихся под охраной центрального правительства памятников, имеющих национальное значение, включая 26 памятников, включенных в перечень объектов всемирного достояния.  Правительство планирует создать службу археологии и национального достояния на основе принципов гражданской службы для повышения профессионализма и улучшения работы Археологической инспекции Индии.  Лица, отобранные для работы в этой службе, пройдут 20</w:t>
      </w:r>
      <w:r>
        <w:rPr>
          <w:sz w:val="22"/>
          <w:szCs w:val="22"/>
        </w:rPr>
        <w:noBreakHyphen/>
        <w:t>месячную программу обучения в Институте археологии.  Для обеспечения того чтобы Инспекция могла больше уделять внимания памятникам и местам, имеющим национальное значение, созданы 21 основная сеть и три небольших сети в различных районах страны.  Для охраны важных групп памятников Инспекция принимает меры по подготовке генеральных планов их сохранения. В 1986 году в Нью-Дели по линии программ Ассоциации регионального сотрудничества стран Южной Азии (СААРК) был проведен первый Археологический конгресс Южной Азии.  Для информирования и повышения осведомленности молодых людей о национальном культурном наследии Инспекция организует специальные молодежные лагеря.  Инспекция объявила 3644 памятника/места в стране объектами, имеющими национальное значение.  В списке объектов всемирного достояния насчитывается 17 индийских памятников.</w:t>
      </w:r>
    </w:p>
    <w:p w:rsidR="00000000" w:rsidRDefault="00000000">
      <w:pPr>
        <w:pStyle w:val="112"/>
      </w:pPr>
      <w:r>
        <w:t>684.</w:t>
      </w:r>
      <w:r>
        <w:tab/>
        <w:t>В 1981 году благодаря созданию Центра морской археологии при Национальном институте океанографии в Гоа в стране начато проведение подводных археологических изысканий для восстановления истории прошлой морской деятельности на основании материальных останков и изучения подводных археологических объектов.  Регулярно на протяжении последних 15 лет на затопленных участках древних городов Дварка, Сомнатх, Поомпухар и в окрестностях Лакшадвипских островов проводились исследования, которые позволили сделать ряд новых открытий.</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Музеи и библиотеки</w:t>
      </w:r>
    </w:p>
    <w:p w:rsidR="00000000" w:rsidRDefault="00000000">
      <w:pPr>
        <w:jc w:val="both"/>
        <w:rPr>
          <w:sz w:val="22"/>
          <w:szCs w:val="22"/>
        </w:rPr>
      </w:pPr>
    </w:p>
    <w:p w:rsidR="00000000" w:rsidRDefault="00000000">
      <w:pPr>
        <w:spacing w:line="246" w:lineRule="exact"/>
        <w:jc w:val="both"/>
        <w:rPr>
          <w:sz w:val="22"/>
          <w:szCs w:val="22"/>
        </w:rPr>
      </w:pPr>
      <w:r>
        <w:rPr>
          <w:sz w:val="22"/>
          <w:szCs w:val="22"/>
        </w:rPr>
        <w:t>685.</w:t>
      </w:r>
      <w:r>
        <w:rPr>
          <w:sz w:val="22"/>
          <w:szCs w:val="22"/>
        </w:rPr>
        <w:tab/>
        <w:t xml:space="preserve">В первоначальном докладе, представленном в соответствии с Пактом, были приведены подробные сведения о музеях, которые являются хранилищами предметов культурного наследия Индии.  К числу важных музеев Индии относятся Национальный музей, Дурбарский зал Дели, Мемориальный музей и библиотека Неру в Нью-Дели, Национальный совет научных музеев (НСНМ) в Колкате, Аллахабадский музей, Национальная научно-исследовательская лаборатория по сохранению культурной собственности в Лукнове, Национальная галерея современного искусства и Музей Салар Джунг в Хайдерабаде.  Основная работа Национального музея заключается в приобретении, экспонировании и сохранении предметов искусства, подготовке публикаций и образовательной деятельности в области искусства, реорганизации и модернизации художественных галерей.  Национальный музей энергично решает стоящие перед ним задачи, подготавливая  выставки, реорганизуя и модернизируя галереи, организуя учебные программы, семинары и практикумы, мемориальные лекции и другие вспомогательные мероприятия.  В феврале 2003 года была организована специальная трехмесячная выставка под названием "Культурные сокровища – малайский текстиль" из коллекции Музея исламского искусства в Куала-Лумпуре (Малайзия).  С конца октября по середину декабря 2002 года в Токийском национальном музее (Япония) была организована полуторамесячная выставка под названием "Искусство Матхуры".  Эта выставка проводилась и в других городах Японии до августа 2003 года.  В марте 2003 года в рамках программы культурных обменов в парижский музей "Ситэ де мюзик" была направлена выставка из 35 музыкальных инструментов под названием "Рага:  Северная Индия – триумф принцессы и дар богам".  В Музее индийского искусства в Берлине (Германия) в период с сентября 2003 года по январь 2004 года Индией была организована выставка "Величие и аскетизм древних скульптур".  В апреле 2003 года музей провел фотовыставку, а в июле 2003 года совместно с </w:t>
      </w:r>
      <w:r>
        <w:rPr>
          <w:caps/>
          <w:sz w:val="22"/>
          <w:szCs w:val="22"/>
        </w:rPr>
        <w:t>м</w:t>
      </w:r>
      <w:r>
        <w:rPr>
          <w:sz w:val="22"/>
          <w:szCs w:val="22"/>
        </w:rPr>
        <w:t>инистерством развития людских ресурсов и ЮНЕСКО организовал выставку, посвященную международному диалогу между цивилизациями.  Музей произвел модернизацию своих постоянных экспозиций, посвященных хараппской цивилизации, и галереи индийской миниатюры.  В 2003 году сотрудники музея провели 31-й краткосрочный учебный курс без отрыва от работы по музееведению для директоров различных музеев, а также организовали 10</w:t>
      </w:r>
      <w:r>
        <w:rPr>
          <w:sz w:val="22"/>
          <w:szCs w:val="22"/>
        </w:rPr>
        <w:noBreakHyphen/>
        <w:t>дневную практическую подготовку по музееведению для студентов, изучающих этот предмет в Университете Дживаджи в Гвалиоре.  В библиотеке музея насчитывается 53 668 книг, которыми можно пользоваться для исследовательских и справочных целей.  Институт истории искусств, охраны памятников старины и музееведения Национального музея проводит для магистров и докторов наук курсы по истории искусств, сохранению и восстановлению предметов искусства и музееведению.  Индийский музей в Колкате является крупнейшим и старейшим многоцелевым музеем во всем Азиатско-Тихоокеанском регионе.  Музей имеет шесть следующих культурных и научных разделов:  искусство, археология, антропология, геология, зоология и ботаническое ресурсоведение.  В течение 2003–2004 годов он организовал пять выставок, в том числе одну международную, проводил учебные курсы, семинары, специальные лекции и другие  культурные мероприятия.  Музей Салара Джунга – названный по имени Салара  Джунга-</w:t>
      </w:r>
      <w:r>
        <w:rPr>
          <w:sz w:val="22"/>
          <w:szCs w:val="22"/>
          <w:lang w:val="en-US"/>
        </w:rPr>
        <w:t>III</w:t>
      </w:r>
      <w:r>
        <w:rPr>
          <w:sz w:val="22"/>
          <w:szCs w:val="22"/>
        </w:rPr>
        <w:t>, Мир Юсуфа Али Хана и имеющий статус национального музея, – имеет весьма редкую и ценную коллекцию 40 000 предметов искусства из различных районов мира.  Коллекция предметов искусства в музее разбита на четыре основных раздела:  индийское искусство, искусство Ближнего Востока, искусство Дальнего Востока и европейское искусство.  Кроме того, в музее имеется галерея, посвященная исключительно детям, читальный зал, библиотека редких справочных материалов и раздел рукописей, в котором хранятся рукописи на арабском языке, урду и персидском языке.  В библиотеке насчитывается 57 882 тома книг на индийском, арабском и турецком языках.  Музей ведет также активную работу по реорганизации новых галерей и преобразованию в цифровую форму музейных экспонатов и регулярно проводит выставки, лекции, детскую неделю с 14 по 20 ноября, конференции, семинары и т. д.  В декабре 2003 года отмечалась 118</w:t>
      </w:r>
      <w:r>
        <w:rPr>
          <w:sz w:val="22"/>
          <w:szCs w:val="22"/>
        </w:rPr>
        <w:noBreakHyphen/>
        <w:t>я годовщина со дня рождения Салара Джунга-</w:t>
      </w:r>
      <w:r>
        <w:rPr>
          <w:sz w:val="22"/>
          <w:szCs w:val="22"/>
          <w:lang w:val="en-US"/>
        </w:rPr>
        <w:t>III</w:t>
      </w:r>
      <w:r>
        <w:rPr>
          <w:sz w:val="22"/>
          <w:szCs w:val="22"/>
        </w:rPr>
        <w:t>.  Мемориальный зал королевы Виктории является музеем современной истории и искусства и финансируется правительством Индии.  В Мемориальном зале хранятся предметы, имеющие большую материальную ценность.  Он продолжает собирать экспонаты и данные, необходимые для создания крупной галереи, которая будет служить прототипом для реорганизации Музея индийской истории.  Его богатая коллекция насчитывает более 26 000 артефактов, включая полотна известных художников мира.  Главная цель Национальной галереи современного искусства в Нью-Дели заключается в распространении и пропаганде современного искусства в стране.  С этой целью галерея разработала несколько планов, в частности, касающихся создания коллекции предметов искусства и парковых скульптур, модернизации галерей, подготовки специальных выставок, разработки программ публикаций, создания реставрационной лаборатории и фотостудии, организации учебных курсов по истории искусства и сохранению полотен, написанных маслом.  Ее богатая коллекция насчитывает 16 140 произведений искусства более чем 1742 современных индийских художников, и, решая стоящие перед галереей задачи, ее сотрудники с использованием цифровых и фотографических носителей готовят документацию по ее коллекции предметов искусства, проводят учебные мероприятия, выставки, семинары и т. д.  В Мемориальном музее Неру собраны визуальные материалы, посвященные жизни и временам Джавахарлала Неру.  Этот музей продолжает привлекать внимание посетителей из разных районов Индии и из-за рубежа.  Главная задача, которой занимается Национальный совет научных музеев, состоит в популяризации науки и техники в городских и сельских районах в первую очередь среди учащихся, а также среди широкого населения.  В его ведении находятся Индустриально-технологический музей Бирлы в Колкате, Индустриально-технологический музей Висвесварайи в Бангалоре и Научный центр Неру в Мумбаи, которые в свою очередь имеют свои отделения и районные научные центры в различных местах Индии.  В общей сложности в ведении Совета находятся 28 научных центров в десяти штатах.  Он создает также панораму Махараджи Ранджита Сингха в Амритсаре, планетарий Калпаны Чавлы в Курукшетре и научные центры в Ранчи, Гангтоке, Пондичерри и Чхаттисгархе.  Национальная лаборатория по сохранению культурной собственности в Лукнове, созданная в 1976 году в качестве специализированного центра в этой области,  предоставляет услуги по сохранению культурной собственности музеям, архивам и археологическим отделам, обеспечивает  разработку и стандартизацию более эффективных методов и материалов для сохранения предметов культуры, готовит кадры по различным аспектам сохранения культурной собственности и распространяет знания в этой области.  Лаборатория обеспечила сохранность большого количества картин и различных музейных экспонатов, а также двух коралловых памятников Мальдивской Республики.  Она проводит научные исследования по проблемам сохранения Тадж-Махала, Аджанты, мечети Хукуру и других исторических памятников.  Разработанные лабораторией три метода сохранения бронзовых изделий используются во всем мире.  Одно из наиболее важных направлений деятельности министерства состоит в проведении национальных и международных выставок.  Департамент организовал ряд таких выставок через Национальную галерею современного искусства, Национальный музей и Академию Лалит Кала.  Темы выставок включали в себя "Генри Мур в Индии", "Памятники и места, объявленные всемирным достоянием", "Искусство Гималаев", "Женщины – художники и скульпторы".</w:t>
      </w:r>
    </w:p>
    <w:p w:rsidR="00000000" w:rsidRDefault="00000000">
      <w:pPr>
        <w:pStyle w:val="112"/>
      </w:pPr>
      <w:r>
        <w:t>686.</w:t>
      </w:r>
      <w:r>
        <w:tab/>
        <w:t>В доверительном хранении Национальных архивов Индии в Нью-Дели находятся  национальные неоперативные документы правительства Индии непреходящей ценности.  Эти документы являются важным источником информации об экономическом, политическом и социальном развитии страны и представляют собой бесценную часть нашего культурного наследия.  Архивы приобрели также частные документы более 70 видных гуманистов Индии.  Кроме того, в рамках своего проекта, предусматривающего микрофотокопирование представляющих для Индии интерес документов из различных хранилищ в других странах, архивы приобрели около 41 000 роликов микрофильмов приблизительно у 70 учреждений.  Архивы предоставляют ученым условия для научной работы и проводят учебные курсы в своей Школе архивных исследований.  Школа организует годичный курс подготовки по архивным исследованиям, по окончании которого выдается диплом, и различные краткосрочные курсы для индийских и зарубежных стажеров.  Архивы организуют различные выставки для информирования населения о своей деятельности.  Архивы имеют одно региональное отделение в Бхопале (Мадхья-Прадеш) и три документационных центра в различных районах страны.  В Архивах хранится большое количество микрофильмов, государственные документы и исторические материалы.  В соответствии с меморандумом о договоренности, подписанным Индией и Сингапуром, в 2003 году в Сингапуре была организована выставка под названием "Индийская национальная армия и Субаш Чандра Бос".  В архивах произведена регистрация 542 131 документа и онлайновая проверка 141 635 документов.  Разработана программа оказания финансовой помощи добровольным организациям, университетам, библиотекам, музеям и другим организациям в проведении каталогизации, редактирования и сохранения редких рукописей.  Основная задача этой программы – сохранить богатое культурное наследие Индии, которое имеется в виде рукописей и которому грозит опасность деградации из-за отсутствия необходимых условий для надлежащего хранения, изучения и исследования.</w:t>
      </w:r>
    </w:p>
    <w:p w:rsidR="00000000" w:rsidRDefault="00000000">
      <w:pPr>
        <w:pStyle w:val="112"/>
        <w:spacing w:before="180"/>
      </w:pPr>
      <w:r>
        <w:t>687.</w:t>
      </w:r>
      <w:r>
        <w:tab/>
        <w:t>Национальный совет научных музеев, который был создан для популяризации науки и техники, проводит большое количество внутренних и наружных интерактивных выставок, в том числе выставку движущихся динозавров.  Он планирует также проведение в Колкате уникального мероприятия под названием "Город науки", которое привлечет внимание многочисленных жителей этого города, индийских и иностранных туристов.  Национальные архивы Индии, в которых имеется отдел имперских документов, изначально создавались в качестве официального хранилища всех неоперативных документов непреходящей ценности правительства Индии и его предшественников.</w:t>
      </w:r>
    </w:p>
    <w:p w:rsidR="00000000" w:rsidRDefault="00000000">
      <w:pPr>
        <w:pStyle w:val="112"/>
        <w:spacing w:before="140" w:line="248" w:lineRule="exact"/>
      </w:pPr>
      <w:r>
        <w:t>688.</w:t>
      </w:r>
      <w:r>
        <w:tab/>
        <w:t>Согласно Конституции библиотеки находятся в ведении штатов, кроме тех библиотек, которые были созданы центральным правительством и которые имеют национальное значение.  Центральное правительство не занимается регламентацией деятельности библиотечной системы страны в целом, поскольку вопрос о содержании библиотек входит в юрисдикцию штатов.  Ряд штатов приняли законы о публичных библиотеках, и центральное правительство рекомендовало остальным штатам последовать их примеру.  Центральное правительство является инициатором добровольного сотрудничества между правительствами штатов в деле содействия скоординированному развитию библиотечных систем страны и штатов.  Центральное правительство полностью субсидирует деятельность библиотек, имеющих национальное значение.  Главным юридическим основанием для приобретения текущих публикаций, книг, газет и журналов является Закон 1954 года о поставке книг и газет в публичные библиотеки, в соответствии с которым все новые публикации должны направляться в четыре депозитарные библиотеки – Национальную библиотеку в Колкате, Коннемарскую публичную библиотеку в Ченнаи, Центральную библиотеку штата в Мумбаи и Делийскую  публичную библиотеку.  Этот закон в настоящее время пересматривается для обеспечения того, чтобы его положения распространялись и на аудиовизуальные носители информации.  Являясь одной из четырех депозитарных библиотек, Национальная библиотека получает все публикации, подготовленные Организацией Объединенных Наций и ее различными учреждениями.  Библиотека участвует в совместной программе дарения и обмена книгами с 215 учреждениями в 93 странах мира, по линии которой она приобретает материалы, не доступные по обычным каналам книжной торговли.  В число других важных библиотек входят также Библиотека секретариата центрального правительства в Дели, Центральная справочная библиотека в Колкате, Публичная библиотека восточной литературы Кхуды Бакша в Патне, Библиотека Рампур Раза, Азиатское общество в Колкате, Азиатское общество в Мумбаи, Библиотека Тханджавур Махараджа Серфоджи Сарасвати Махал и т. д.   Следует также отметить Библиотечный фонд имени раджи Раммохана Роя в Колкате, который был учрежден в 1972 году для обеспечения того, чтобы на основе сотрудничества с правительствами штатов и добровольными организациями библиотечные услуги стали доступными в самых малых городах и деревнях страны.  Объем ежегодной помощи, оказываемой этим Фондом в развитии библиотечной инфраструктуры в стране, в настоящее время составляет более 100 млн. рупий.</w:t>
      </w:r>
    </w:p>
    <w:p w:rsidR="00000000" w:rsidRDefault="00000000">
      <w:pPr>
        <w:pStyle w:val="112"/>
        <w:spacing w:before="180"/>
      </w:pPr>
      <w:r>
        <w:t>689.</w:t>
      </w:r>
      <w:r>
        <w:tab/>
        <w:t>Национальная библиотека в Колкате является постоянным хранилищем всех книжных и информационных материалов, издаваемых в Индии, а также печатных и рукописных материалов, подготавливаемых индийцами или иностранцами об Индии.  Эта библиотека осуществляет обмен материалами с 211 библиотеками в 86 странах.  Центральная библиотека в Мумбаи перешла в ведение правительства штата Махараштра от Бомбейского азиатского общества на основании Закона 1967 года штата Махараштра о публичных библиотеках и теперь стала Центральной библиотекой штата (1994 год).</w:t>
      </w:r>
    </w:p>
    <w:p w:rsidR="00000000" w:rsidRDefault="00000000">
      <w:pPr>
        <w:pStyle w:val="112"/>
      </w:pPr>
      <w:r>
        <w:t>690.</w:t>
      </w:r>
      <w:r>
        <w:tab/>
        <w:t>Делийская публичная библиотека, созданная в 1951 году благодаря финансовой и технической помощи ЮНЕСКО, превратилась в столичную сеть публичных библиотек, включая центральную библиотеку, зональную библиотеку, а также отделения и филиалы в различных местах столицы.  При ней имеется библиотека брайлевской печати для людей с ограниченным зрением, а также сеть из 13 передвижных читален и библиотека для заключенных в центральной тюрьме.</w:t>
      </w:r>
    </w:p>
    <w:p w:rsidR="00000000" w:rsidRDefault="00000000">
      <w:pPr>
        <w:pStyle w:val="112"/>
      </w:pPr>
      <w:r>
        <w:t>691.</w:t>
      </w:r>
      <w:r>
        <w:tab/>
        <w:t>Азиатской общество в Колкате, которое является учреждением национального значения, в последнее время значительно расширило свою деятельность в сфере установления культурных связей с различными странами мира.  ЮНЕСКО выбрала это общество в качестве одного из лучших учреждений, участвующих в осуществлении всемирной программы этой организации.</w:t>
      </w:r>
    </w:p>
    <w:p w:rsidR="00000000" w:rsidRDefault="00000000">
      <w:pPr>
        <w:jc w:val="both"/>
        <w:rPr>
          <w:b/>
          <w:bCs/>
          <w:sz w:val="22"/>
          <w:szCs w:val="22"/>
        </w:rPr>
      </w:pPr>
    </w:p>
    <w:p w:rsidR="00000000" w:rsidRDefault="00000000">
      <w:pPr>
        <w:spacing w:before="120"/>
        <w:jc w:val="both"/>
        <w:rPr>
          <w:rStyle w:val="111"/>
          <w:szCs w:val="22"/>
        </w:rPr>
      </w:pPr>
      <w:r>
        <w:rPr>
          <w:b/>
          <w:bCs/>
          <w:sz w:val="22"/>
          <w:szCs w:val="22"/>
        </w:rPr>
        <w:t>Другие инициативы в области культуры</w:t>
      </w:r>
    </w:p>
    <w:p w:rsidR="00000000" w:rsidRDefault="00000000">
      <w:pPr>
        <w:jc w:val="both"/>
        <w:rPr>
          <w:sz w:val="22"/>
          <w:szCs w:val="22"/>
        </w:rPr>
      </w:pPr>
    </w:p>
    <w:p w:rsidR="00000000" w:rsidRDefault="00000000">
      <w:pPr>
        <w:jc w:val="both"/>
        <w:rPr>
          <w:sz w:val="22"/>
          <w:szCs w:val="22"/>
        </w:rPr>
      </w:pPr>
      <w:r>
        <w:rPr>
          <w:sz w:val="22"/>
          <w:szCs w:val="22"/>
        </w:rPr>
        <w:t>692.</w:t>
      </w:r>
      <w:r>
        <w:rPr>
          <w:sz w:val="22"/>
          <w:szCs w:val="22"/>
        </w:rPr>
        <w:tab/>
        <w:t>Антропологическое общество Индии (АОИ) (1945 год) является инициатором осуществления проектов, посвященных культурным аспектам туризма, изучению синкретизма в Индии, системе досуга и отдыха в Индии, физическому развитию подростков, ДНК-анализу останков древних скелетов и современных людей.  На протяжении многих лет это общество осуществляет сбор информации на низовом уровне в ходе постоянных исследований, проводимых его центральным отделением в Колкате, семью региональными центрами, одним субрегиональным центром, одной постоянной полевой станцией и восьмью другими полевыми станциями, расположенными в различных районах страны, не считая ее лагеря в Дели.  Наряду с другими проектами общество проводит также ДНК-анализ останков древних скелетов и современных людей.  Недавно АОИ организовало также несколько выставок и подготовило шесть публикаций.  Общество осуществляет проект под названием "Народ Индии", в рамках которого изучаются связующие культурные, социальные и антропологические факторы, которые объединяют различные общины в Индии.  Статус бывшего Национального музея человека изменился, и с 1985 года он стал автономной организацией, носящей новое название  "Индира Ганди Раштрия Манав Санграхалая" (Национальный музей человечества имени Индиры Ганди).  Новый музей представляет собой органически целостный развивающийся институт. Перед ним стоит задача отображать историю человечества с точки зрения биологической и культурной эволюции человека с заострением внимания на росте и развитии индийской цивилизации.</w:t>
      </w:r>
    </w:p>
    <w:p w:rsidR="00000000" w:rsidRDefault="00000000">
      <w:pPr>
        <w:pStyle w:val="112"/>
        <w:rPr>
          <w:rStyle w:val="111"/>
          <w:szCs w:val="22"/>
        </w:rPr>
      </w:pPr>
      <w:r>
        <w:rPr>
          <w:rStyle w:val="111"/>
          <w:szCs w:val="22"/>
        </w:rPr>
        <w:t>693.</w:t>
      </w:r>
      <w:r>
        <w:rPr>
          <w:rStyle w:val="111"/>
          <w:szCs w:val="22"/>
        </w:rPr>
        <w:tab/>
      </w:r>
      <w:r>
        <w:rPr>
          <w:i/>
          <w:iCs/>
        </w:rPr>
        <w:t>Индира Ганди Раштрия Манав Санграхалая</w:t>
      </w:r>
      <w:r>
        <w:rPr>
          <w:rStyle w:val="111"/>
          <w:szCs w:val="22"/>
        </w:rPr>
        <w:t xml:space="preserve"> (Национальный музей человечества) организовал выставку на открытом воздухе и в помещениях, на которой представлены различные среды обитания и различные этапы биологической и культурной эволюции человечества с заострением внимания на индийской цивилизации.  Музей осуществляет ряд программ, в том числе мультимедийный подбор документов по различным культурам, обеспечивает сохранность антропологических объектов природного наследия и ведет  исследовательские проекты.</w:t>
      </w:r>
    </w:p>
    <w:p w:rsidR="00000000" w:rsidRDefault="00000000">
      <w:pPr>
        <w:pStyle w:val="112"/>
      </w:pPr>
      <w:r>
        <w:t>694.</w:t>
      </w:r>
      <w:r>
        <w:tab/>
        <w:t xml:space="preserve">Помимо разветвленной сети библиотек и музеев имеются и другие учреждения, которые занимаются приумножением культурного наследия Индии.  В этой связи следует особо упомянуть три академии – изящных искусств, литературы, а также исполнительских видов искусства и театра – и Национальную школу драмы, которые непосредственно управляются творческими людьми и способствуют развитию культуры.  Созданная правительством Индии в 1954 году Национальная академия литературы – </w:t>
      </w:r>
      <w:r>
        <w:rPr>
          <w:caps/>
        </w:rPr>
        <w:t>а</w:t>
      </w:r>
      <w:r>
        <w:t xml:space="preserve">кадемия Сахитья – является автономной организацией, которая активно занимается развитием индийской литературы, устанавливает высокие стандарты в этой области, поощряет и координирует литературную деятельность на всех индийских языках и, тем самым, способствует формированию культурного единства страны.  Функции Национальной академии литературы включают в себя  опубликование книг на 24 признаваемых индийских языках;  перевод классических произведений с одного из индийских языков на другой и с иностранных языков на языки Индии;  проведение рабочих совещаний, неофициальных литературных собраний, организацию семинаров и симпозиумов на местном, региональном, национальном и международном уровнях с целью способствовать общению людей, интересующихся литературным творчеством, и содействовать широкому информированию и лучшему взаимопониманию между людьми;  субсидирование творческих поездок авторов;  публикацию журналов;  подготовку таких справочников, как Энциклопедия индийской поэзии, Энциклопедия индийской литературы (уже опубликовано шесть томов в среднем по 1000 стр. каждый), "Кто есть кто среди индийских писателей" в двух томах, Национальная библиография индийской литературы (до 1953 года было опубликовано уже пять томов и проводится работа по обновлению библиографии, которая теперь охватывает период до 2000 года), "Кто есть кто среди специалистов в области санскрита", реестр переводчиков в трех томах, история литературы на различных языках, публикация уникальных антологий, в частности древнеиндийской литературы (в трех томах), средневековой индийской литературы (в трех томах) и современной индийской литературы (в четырех томах), и чествование литераторов в ходе ежегодной церемонии награждения премиями академий, а также награждение переводчиков премией Бхаша Самманс.  Национальная академия музыки, танца и драмы – Академия Сангит Натак – была создана правительством Индии в 1953 году в качестве автономной организации, ответственной за сохранение и развитие исполнительских – как традиционных, так и классических – видов искусства в стране.  В последние годы академия уделяет приоритетное внимание проектам, касающимся сохранения искусства народов и племен, которому грозит опасность исчезновения под влиянием стремительных социально-экономических перемен.  Академия создала два учебных заведения, а именно школу "Катхак Кендра" в Нью-Дели и Школу танца манипури имени Джавахарлала Неру в Импхале, где проводится обучение танцам катхак и манипури.  Академия предоставляет стипендии и премии видным исполнителям по различным дисциплинам исполнительского искусства.  Академия отмечала 100-летие Бада Гхулама Али Хана, а также праздновала золотой юбилей в 2003/04 году.  В различных районах страны были также организованы фестивали традиционного искусства.  Академия ежегодно чествует также выдающихся исполнителей в соответствующих областях, награждая их премиями.  Занимающаяся главным образом пропагандой искусства Академия изящных искусств – Академия Лалит Кала – осуществляет программу обследования народного и традиционного искусства, а также современных форм искусства в масштабах всей Индии в целях сохранения культурного наследия страны.  Ее программа публикаций насчитывает множество изданий.  Она публикует цветные репродукции картин, эстампов и монографий работ отдельных художников, а также выпускает специальные публикации по искусству народов и племен.  Она организует выставки в Индии и за рубежом и закупает произведения искусств для поддержки художников.  Для поддержки отдельных талантливых художников академия выступает в качестве спонсора их выставок и бесплатно размещает их работы в галереях.  Художникам присуждаются премии за творческий поиск в целях содействия достижению более высоких стандартов в соответствующих областях их деятельности.  В Академии имеются хорошо оснащенная библиотека и архивы цветных диапозитивов и фотографий современного индийского искусства.  Ее признания добиваются художественные организации и академии штатов, и ежегодно она предоставляет субсидии на развитие искусства в штатах.  Академия имеет пять региональных центров в различных частях страны.  Наряду с проведением регулярных выставок Академия организовала 11 выставок современного мирового искусства под названием "Триеннале Индия".  В 1959 году Академия Сангит Натак учредила Национальную школу драмы (НШД) – один из ведущих театральных институтов в мире и единственное учреждение такого рода в Индии.  В 1975 году НШД стала автономной организацией, полностью финансируемой </w:t>
      </w:r>
      <w:r>
        <w:rPr>
          <w:caps/>
        </w:rPr>
        <w:t>м</w:t>
      </w:r>
      <w:r>
        <w:t xml:space="preserve">инистерством культуры.  Задача </w:t>
      </w:r>
      <w:r>
        <w:br/>
        <w:t xml:space="preserve">НШД – готовить студентов по всем аспектам театрального искусства, в том числе специалистов по истории театра, режиссеров, художников-постановщиков, художников по костюму, осветителей, гримеров и т. д.  Срок обучения в НШД составляет три года.  Каждый год в школу принимается 20 студентов.  Отбор кандидатов на зачисление в школу производится в два этапа.  Диплом НШД признается Ассоциацией индийских университетов в качестве эквивалента диплома магистра искусств, который дает право работать преподавателями в колледжах и университетах и регистрироваться на последующее получение звание доктора наук.  </w:t>
      </w:r>
    </w:p>
    <w:p w:rsidR="00000000" w:rsidRDefault="00000000">
      <w:pPr>
        <w:jc w:val="both"/>
        <w:rPr>
          <w:b/>
          <w:bCs/>
          <w:sz w:val="22"/>
          <w:szCs w:val="22"/>
        </w:rPr>
      </w:pPr>
    </w:p>
    <w:p w:rsidR="00000000" w:rsidRDefault="00000000">
      <w:pPr>
        <w:jc w:val="both"/>
        <w:rPr>
          <w:rStyle w:val="111"/>
          <w:szCs w:val="22"/>
        </w:rPr>
      </w:pPr>
      <w:r>
        <w:rPr>
          <w:b/>
          <w:bCs/>
          <w:sz w:val="22"/>
          <w:szCs w:val="22"/>
        </w:rPr>
        <w:t>Основная деятельность</w:t>
      </w:r>
    </w:p>
    <w:p w:rsidR="00000000" w:rsidRDefault="00000000">
      <w:pPr>
        <w:jc w:val="both"/>
        <w:rPr>
          <w:sz w:val="22"/>
          <w:szCs w:val="22"/>
        </w:rPr>
      </w:pPr>
    </w:p>
    <w:p w:rsidR="00000000" w:rsidRDefault="00000000">
      <w:pPr>
        <w:jc w:val="both"/>
        <w:rPr>
          <w:sz w:val="22"/>
          <w:szCs w:val="22"/>
        </w:rPr>
      </w:pPr>
      <w:r>
        <w:rPr>
          <w:sz w:val="22"/>
          <w:szCs w:val="22"/>
        </w:rPr>
        <w:t>695.</w:t>
      </w:r>
      <w:r>
        <w:rPr>
          <w:sz w:val="22"/>
          <w:szCs w:val="22"/>
        </w:rPr>
        <w:tab/>
        <w:t>Основная деятельность НШД заключается в следующем:</w:t>
      </w:r>
    </w:p>
    <w:p w:rsidR="00000000" w:rsidRDefault="00000000">
      <w:pPr>
        <w:pStyle w:val="112"/>
        <w:spacing w:after="120"/>
      </w:pPr>
      <w:r>
        <w:tab/>
      </w:r>
      <w:r>
        <w:rPr>
          <w:lang w:val="en-US"/>
        </w:rPr>
        <w:t>i</w:t>
      </w:r>
      <w:r>
        <w:t>)</w:t>
      </w:r>
      <w:r>
        <w:tab/>
        <w:t>учебная работа, связанная с подготовкой студентов;</w:t>
      </w:r>
    </w:p>
    <w:p w:rsidR="00000000" w:rsidRDefault="00000000">
      <w:pPr>
        <w:pStyle w:val="112"/>
        <w:spacing w:before="0" w:after="120"/>
      </w:pPr>
      <w:r>
        <w:tab/>
      </w:r>
      <w:r>
        <w:rPr>
          <w:lang w:val="en-US"/>
        </w:rPr>
        <w:t>ii</w:t>
      </w:r>
      <w:r>
        <w:t>)</w:t>
      </w:r>
      <w:r>
        <w:tab/>
        <w:t>сценические работы студентов;</w:t>
      </w:r>
    </w:p>
    <w:p w:rsidR="00000000" w:rsidRDefault="00000000">
      <w:pPr>
        <w:pStyle w:val="112"/>
        <w:spacing w:before="0" w:after="120"/>
      </w:pPr>
      <w:r>
        <w:tab/>
      </w:r>
      <w:r>
        <w:rPr>
          <w:lang w:val="en-US"/>
        </w:rPr>
        <w:t>iii</w:t>
      </w:r>
      <w:r>
        <w:t>)</w:t>
      </w:r>
      <w:r>
        <w:tab/>
        <w:t>постановка и исполнение пьес репертуарной труппы – Исполнительской студии  НШД;</w:t>
      </w:r>
    </w:p>
    <w:p w:rsidR="00000000" w:rsidRDefault="00000000">
      <w:pPr>
        <w:pStyle w:val="112"/>
        <w:spacing w:before="0" w:after="120"/>
        <w:ind w:left="1134" w:hanging="1134"/>
      </w:pPr>
      <w:r>
        <w:tab/>
      </w:r>
      <w:r>
        <w:rPr>
          <w:lang w:val="en-US"/>
        </w:rPr>
        <w:t>iv</w:t>
      </w:r>
      <w:r>
        <w:t>)</w:t>
      </w:r>
      <w:r>
        <w:tab/>
        <w:t>деятельность труппы "Школьный театр", которая занимается развитием детского театрального искусства;</w:t>
      </w:r>
    </w:p>
    <w:p w:rsidR="00000000" w:rsidRDefault="00000000">
      <w:pPr>
        <w:pStyle w:val="112"/>
        <w:spacing w:before="0"/>
        <w:ind w:left="1134" w:hanging="1134"/>
      </w:pPr>
      <w:r>
        <w:tab/>
      </w:r>
      <w:r>
        <w:rPr>
          <w:lang w:val="en-US"/>
        </w:rPr>
        <w:t>v</w:t>
      </w:r>
      <w:r>
        <w:t>)</w:t>
      </w:r>
      <w:r>
        <w:tab/>
        <w:t>программа повышения актерского мастерства, в рамках которой в различных штатах в сотрудничестве с местными органами организуются практические занятия.</w:t>
      </w:r>
    </w:p>
    <w:p w:rsidR="00000000" w:rsidRDefault="00000000">
      <w:pPr>
        <w:pStyle w:val="112"/>
      </w:pPr>
      <w:r>
        <w:t>Далее приводится краткое описание этой деятельности и результатов, достигнутых с 1988 года.</w:t>
      </w:r>
    </w:p>
    <w:p w:rsidR="00000000" w:rsidRDefault="00000000">
      <w:pPr>
        <w:tabs>
          <w:tab w:val="right" w:pos="561"/>
        </w:tabs>
        <w:jc w:val="both"/>
        <w:rPr>
          <w:b/>
          <w:bCs/>
          <w:sz w:val="22"/>
          <w:szCs w:val="22"/>
        </w:rPr>
      </w:pPr>
    </w:p>
    <w:p w:rsidR="00000000" w:rsidRDefault="00000000">
      <w:pPr>
        <w:tabs>
          <w:tab w:val="right" w:pos="561"/>
        </w:tabs>
        <w:spacing w:before="120"/>
        <w:jc w:val="both"/>
        <w:rPr>
          <w:rStyle w:val="111"/>
          <w:szCs w:val="22"/>
        </w:rPr>
      </w:pPr>
      <w:r>
        <w:rPr>
          <w:b/>
          <w:bCs/>
          <w:sz w:val="22"/>
          <w:szCs w:val="22"/>
        </w:rPr>
        <w:t>Учебная работа</w:t>
      </w:r>
    </w:p>
    <w:p w:rsidR="00000000" w:rsidRDefault="00000000">
      <w:pPr>
        <w:tabs>
          <w:tab w:val="left" w:pos="561"/>
        </w:tabs>
        <w:jc w:val="both"/>
        <w:rPr>
          <w:sz w:val="22"/>
          <w:szCs w:val="22"/>
        </w:rPr>
      </w:pPr>
    </w:p>
    <w:p w:rsidR="00000000" w:rsidRDefault="00000000">
      <w:pPr>
        <w:tabs>
          <w:tab w:val="left" w:pos="561"/>
        </w:tabs>
        <w:jc w:val="both"/>
        <w:rPr>
          <w:sz w:val="22"/>
          <w:szCs w:val="22"/>
        </w:rPr>
      </w:pPr>
      <w:r>
        <w:rPr>
          <w:sz w:val="22"/>
          <w:szCs w:val="22"/>
        </w:rPr>
        <w:t>696.</w:t>
      </w:r>
      <w:r>
        <w:rPr>
          <w:sz w:val="22"/>
          <w:szCs w:val="22"/>
        </w:rPr>
        <w:tab/>
        <w:t>В Школе дается полный трехлетний курс обучения драматическому искусству.  После завершения курса студентам, успешно сдавшим экзамены, выдается диплом по драматическому искусству.  В течение первого года все студенты проходят общий для всех комплексный курс обучения.  В программу обучения входят следующие предметы:  драматическая литература, эстетика, теория и практика актерского мастерства, включая компоненты мимики и жеста, боевые искусства, йога и музыка, теория и практика постановочного искусства, в частности оформление сцены, костюмы, освещение, грим и театральная архитектура.</w:t>
      </w:r>
    </w:p>
    <w:p w:rsidR="00000000" w:rsidRDefault="00000000">
      <w:pPr>
        <w:pStyle w:val="112"/>
      </w:pPr>
      <w:r>
        <w:t>697.</w:t>
      </w:r>
      <w:r>
        <w:tab/>
        <w:t>На втором году обучения студенты должны выбрать специализацию:  актерское мастерство или постановочное искусство.  На третьем году обучения продолжается специализация по драматическому искусству.  Начиная с 2002/03 учебного года в качестве одного из предметов специализации введено детское драматическое искусство.</w:t>
      </w:r>
    </w:p>
    <w:p w:rsidR="00000000" w:rsidRDefault="00000000">
      <w:pPr>
        <w:pStyle w:val="112"/>
      </w:pPr>
      <w:r>
        <w:t>698.</w:t>
      </w:r>
      <w:r>
        <w:tab/>
        <w:t>В ходе обучения студенты совершают учебные поездки в различные исторические места Индии, что позволяет им увидеть известные памятники, наскальную живопись и миниатюру.  Для них также проводятся курсы ознакомления с киноискусством.</w:t>
      </w:r>
    </w:p>
    <w:p w:rsidR="00000000" w:rsidRDefault="00000000">
      <w:pPr>
        <w:pStyle w:val="112"/>
      </w:pPr>
      <w:r>
        <w:t>699.</w:t>
      </w:r>
      <w:r>
        <w:tab/>
        <w:t>С 1988 года число выпускников Национальной школы драмы составило 367 человек.  Школа подготовила целый ряд талантливых актеров, режиссеров, сценаристов, дизайнеров, техников и преподавателей, которые проявили себя не только в театре, но и в кино и на телевидении.</w:t>
      </w:r>
    </w:p>
    <w:p w:rsidR="00000000" w:rsidRDefault="00000000">
      <w:pPr>
        <w:tabs>
          <w:tab w:val="left" w:pos="561"/>
        </w:tabs>
        <w:jc w:val="both"/>
        <w:rPr>
          <w:b/>
          <w:bCs/>
          <w:sz w:val="22"/>
          <w:szCs w:val="22"/>
        </w:rPr>
      </w:pPr>
    </w:p>
    <w:p w:rsidR="00000000" w:rsidRDefault="00000000">
      <w:pPr>
        <w:keepNext/>
        <w:tabs>
          <w:tab w:val="left" w:pos="561"/>
        </w:tabs>
        <w:spacing w:before="120"/>
        <w:jc w:val="both"/>
        <w:rPr>
          <w:rStyle w:val="111"/>
          <w:szCs w:val="22"/>
        </w:rPr>
      </w:pPr>
      <w:r>
        <w:rPr>
          <w:b/>
          <w:bCs/>
          <w:sz w:val="22"/>
          <w:szCs w:val="22"/>
        </w:rPr>
        <w:t>Сценические работы студентов</w:t>
      </w:r>
    </w:p>
    <w:p w:rsidR="00000000" w:rsidRDefault="00000000">
      <w:pPr>
        <w:keepNext/>
        <w:tabs>
          <w:tab w:val="left" w:pos="561"/>
        </w:tabs>
        <w:jc w:val="both"/>
        <w:rPr>
          <w:sz w:val="22"/>
          <w:szCs w:val="22"/>
        </w:rPr>
      </w:pPr>
    </w:p>
    <w:p w:rsidR="00000000" w:rsidRDefault="00000000">
      <w:pPr>
        <w:pStyle w:val="112"/>
        <w:keepNext/>
        <w:tabs>
          <w:tab w:val="clear" w:pos="680"/>
          <w:tab w:val="clear" w:pos="1134"/>
          <w:tab w:val="left" w:pos="561"/>
        </w:tabs>
        <w:spacing w:before="0"/>
        <w:rPr>
          <w:szCs w:val="22"/>
        </w:rPr>
      </w:pPr>
      <w:r>
        <w:rPr>
          <w:szCs w:val="22"/>
        </w:rPr>
        <w:t>700.</w:t>
      </w:r>
      <w:r>
        <w:rPr>
          <w:szCs w:val="22"/>
        </w:rPr>
        <w:tab/>
        <w:t>В ходе обучения учащиеся должны исполнять различные роли в студенческих постановках, что позволяет им освоить различные аспекты актерского мастерства.  Выбор пьес достаточно широк.  В их число входят классические индийские пьесы, пьесы классиков мировой драматургии, включая пьесы Бернарда Шоу, Максима Горького, Антона Чехова, Бертольда Брехта, Дарио Фо, Джона Осборна, Эдмонда Роланда, Эдварда Бонда, Самуэля Беккета и других.  Студенты ставят также классические постановки коротких новелл под общим названием "Коллаж Катха".</w:t>
      </w:r>
    </w:p>
    <w:p w:rsidR="00000000" w:rsidRDefault="00000000">
      <w:pPr>
        <w:tabs>
          <w:tab w:val="left" w:pos="561"/>
        </w:tabs>
        <w:jc w:val="both"/>
        <w:rPr>
          <w:b/>
          <w:bCs/>
          <w:sz w:val="22"/>
          <w:szCs w:val="22"/>
        </w:rPr>
      </w:pPr>
    </w:p>
    <w:p w:rsidR="00000000" w:rsidRDefault="00000000">
      <w:pPr>
        <w:tabs>
          <w:tab w:val="left" w:pos="561"/>
        </w:tabs>
        <w:spacing w:before="120"/>
        <w:jc w:val="both"/>
        <w:rPr>
          <w:rStyle w:val="111"/>
          <w:szCs w:val="22"/>
        </w:rPr>
      </w:pPr>
      <w:r>
        <w:rPr>
          <w:b/>
          <w:bCs/>
          <w:sz w:val="22"/>
          <w:szCs w:val="22"/>
        </w:rPr>
        <w:t>Репертуарная труппа</w:t>
      </w:r>
    </w:p>
    <w:p w:rsidR="00000000" w:rsidRDefault="00000000">
      <w:pPr>
        <w:tabs>
          <w:tab w:val="left" w:pos="561"/>
        </w:tabs>
        <w:jc w:val="both"/>
        <w:rPr>
          <w:sz w:val="22"/>
          <w:szCs w:val="22"/>
        </w:rPr>
      </w:pPr>
    </w:p>
    <w:p w:rsidR="00000000" w:rsidRDefault="00000000">
      <w:pPr>
        <w:tabs>
          <w:tab w:val="left" w:pos="561"/>
        </w:tabs>
        <w:jc w:val="both"/>
        <w:rPr>
          <w:sz w:val="22"/>
          <w:szCs w:val="22"/>
        </w:rPr>
      </w:pPr>
      <w:r>
        <w:rPr>
          <w:sz w:val="22"/>
          <w:szCs w:val="22"/>
        </w:rPr>
        <w:t>701.</w:t>
      </w:r>
      <w:r>
        <w:rPr>
          <w:sz w:val="22"/>
          <w:szCs w:val="22"/>
        </w:rPr>
        <w:tab/>
        <w:t>Репертуарная труппа – это постоянный театральный коллектив Школы.  Она была создана с двоякой целью:  создать профессиональный театр, с одной стороны, и продолжать регулярную экспериментальную работу – с другой.  За время своего существования репертуарная труппа подготовила целый ряд спектаклей:  от стилизованных мюзиклов до реалистических индийских драм и переводных и адаптированных зарубежных пьес.  Репертуарная труппа дает спектакли не только в Дели, но и за пределами столицы и иногда совершает поездки за рубеж.  С 1988 года репертуарная труппа поставила 78 новых спектаклей.  Помимо новых работ репертуарная труппа ставит свои старые популярные пьесы.</w:t>
      </w:r>
    </w:p>
    <w:p w:rsidR="00000000" w:rsidRDefault="00000000">
      <w:pPr>
        <w:tabs>
          <w:tab w:val="left" w:pos="561"/>
        </w:tabs>
        <w:jc w:val="both"/>
        <w:rPr>
          <w:b/>
          <w:bCs/>
          <w:sz w:val="22"/>
          <w:szCs w:val="22"/>
        </w:rPr>
      </w:pPr>
    </w:p>
    <w:p w:rsidR="00000000" w:rsidRDefault="00000000">
      <w:pPr>
        <w:tabs>
          <w:tab w:val="left" w:pos="561"/>
        </w:tabs>
        <w:spacing w:before="120"/>
        <w:jc w:val="both"/>
        <w:rPr>
          <w:rStyle w:val="111"/>
          <w:szCs w:val="22"/>
        </w:rPr>
      </w:pPr>
      <w:r>
        <w:rPr>
          <w:b/>
          <w:bCs/>
          <w:sz w:val="22"/>
          <w:szCs w:val="22"/>
        </w:rPr>
        <w:t>Труппа "Школьный театр"</w:t>
      </w:r>
    </w:p>
    <w:p w:rsidR="00000000" w:rsidRDefault="00000000">
      <w:pPr>
        <w:tabs>
          <w:tab w:val="left" w:pos="561"/>
        </w:tabs>
        <w:jc w:val="both"/>
        <w:rPr>
          <w:sz w:val="22"/>
          <w:szCs w:val="22"/>
        </w:rPr>
      </w:pPr>
    </w:p>
    <w:p w:rsidR="00000000" w:rsidRDefault="00000000">
      <w:pPr>
        <w:tabs>
          <w:tab w:val="left" w:pos="561"/>
        </w:tabs>
        <w:jc w:val="both"/>
        <w:rPr>
          <w:sz w:val="22"/>
          <w:szCs w:val="22"/>
        </w:rPr>
      </w:pPr>
      <w:r>
        <w:rPr>
          <w:sz w:val="22"/>
          <w:szCs w:val="22"/>
        </w:rPr>
        <w:t>702.</w:t>
      </w:r>
      <w:r>
        <w:rPr>
          <w:sz w:val="22"/>
          <w:szCs w:val="22"/>
        </w:rPr>
        <w:tab/>
      </w:r>
      <w:r>
        <w:rPr>
          <w:bCs/>
          <w:sz w:val="22"/>
          <w:szCs w:val="22"/>
        </w:rPr>
        <w:t xml:space="preserve">Труппа "Школьный театр" </w:t>
      </w:r>
      <w:r>
        <w:rPr>
          <w:sz w:val="22"/>
          <w:szCs w:val="22"/>
        </w:rPr>
        <w:t>была создана в октябре 1989 года для пропаганды детского театрального искусства.  По прошествии времени труппа диверсифицировала свою работу, которая всецело направлена на развитие детского театра.  Эта работа включает в себя:</w:t>
      </w:r>
    </w:p>
    <w:p w:rsidR="00000000" w:rsidRDefault="00000000">
      <w:pPr>
        <w:pStyle w:val="112"/>
        <w:spacing w:after="120"/>
      </w:pPr>
      <w:r>
        <w:tab/>
      </w:r>
      <w:r>
        <w:rPr>
          <w:lang w:val="en-US"/>
        </w:rPr>
        <w:t>i</w:t>
      </w:r>
      <w:r>
        <w:t>)</w:t>
      </w:r>
      <w:r>
        <w:tab/>
        <w:t>постановку спектаклей;</w:t>
      </w:r>
    </w:p>
    <w:p w:rsidR="00000000" w:rsidRDefault="00000000">
      <w:pPr>
        <w:pStyle w:val="112"/>
        <w:spacing w:before="0" w:after="120"/>
        <w:ind w:left="1134" w:hanging="1134"/>
      </w:pPr>
      <w:r>
        <w:tab/>
      </w:r>
      <w:r>
        <w:rPr>
          <w:lang w:val="en-US"/>
        </w:rPr>
        <w:t>ii</w:t>
      </w:r>
      <w:r>
        <w:t>)</w:t>
      </w:r>
      <w:r>
        <w:tab/>
        <w:t>летние театральные занятия с участием детей;</w:t>
      </w:r>
    </w:p>
    <w:p w:rsidR="00000000" w:rsidRDefault="00000000">
      <w:pPr>
        <w:pStyle w:val="112"/>
        <w:spacing w:before="0" w:after="120"/>
        <w:ind w:left="1134" w:hanging="1134"/>
      </w:pPr>
      <w:r>
        <w:tab/>
      </w:r>
      <w:r>
        <w:rPr>
          <w:lang w:val="en-US"/>
        </w:rPr>
        <w:t>iii</w:t>
      </w:r>
      <w:r>
        <w:t>)</w:t>
      </w:r>
      <w:r>
        <w:tab/>
        <w:t>обучение детей драматическому искусству по линии воскресного клуба;</w:t>
      </w:r>
    </w:p>
    <w:p w:rsidR="00000000" w:rsidRDefault="00000000">
      <w:pPr>
        <w:pStyle w:val="112"/>
        <w:spacing w:before="0" w:after="120"/>
        <w:ind w:left="1134" w:hanging="1134"/>
      </w:pPr>
      <w:r>
        <w:tab/>
      </w:r>
      <w:r>
        <w:rPr>
          <w:lang w:val="en-US"/>
        </w:rPr>
        <w:t>iv</w:t>
      </w:r>
      <w:r>
        <w:t>)</w:t>
      </w:r>
      <w:r>
        <w:tab/>
        <w:t>организацию театральных занятий и постановку спектаклей в местных школах;</w:t>
      </w:r>
    </w:p>
    <w:p w:rsidR="00000000" w:rsidRDefault="00000000">
      <w:pPr>
        <w:pStyle w:val="112"/>
        <w:spacing w:before="0"/>
        <w:ind w:left="1134" w:hanging="1134"/>
      </w:pPr>
      <w:r>
        <w:tab/>
      </w:r>
      <w:r>
        <w:rPr>
          <w:lang w:val="en-US"/>
        </w:rPr>
        <w:t>v</w:t>
      </w:r>
      <w:r>
        <w:t>) и, наконец, организацию Национального театрального фестиваля для детей (Джашнебачпан), в ходе которого детские театральные труппы из различных штатов Индии демонстрируют свои работы на общей сцене.</w:t>
      </w:r>
    </w:p>
    <w:p w:rsidR="00000000" w:rsidRDefault="00000000">
      <w:pPr>
        <w:pStyle w:val="112"/>
      </w:pPr>
      <w:r>
        <w:t>703.</w:t>
      </w:r>
      <w:r>
        <w:tab/>
        <w:t>Первый такой фестиваль состоялся в 1998 году, а затем стал ежегодным.  Спектакли, которые ставятся в ходе фестиваля, как правило, несут в себе нечто полезное для  растущих детей и их родителей.  С 1988 года труппа "Детский театр" поставила 20 новых спектаклей для детей.  Помимо этих пьес, в которых играют взрослые актеры, члены труппы готовят постановки, в которых играют дети.  С 1991 года труппа поставила 56 спектаклей с участием детей.</w:t>
      </w:r>
    </w:p>
    <w:p w:rsidR="00000000" w:rsidRDefault="00000000">
      <w:pPr>
        <w:tabs>
          <w:tab w:val="left" w:pos="561"/>
        </w:tabs>
        <w:jc w:val="both"/>
        <w:rPr>
          <w:b/>
          <w:bCs/>
          <w:sz w:val="22"/>
          <w:szCs w:val="22"/>
        </w:rPr>
      </w:pPr>
    </w:p>
    <w:p w:rsidR="00000000" w:rsidRDefault="00000000">
      <w:pPr>
        <w:tabs>
          <w:tab w:val="left" w:pos="561"/>
        </w:tabs>
        <w:spacing w:before="120"/>
        <w:jc w:val="both"/>
        <w:rPr>
          <w:rStyle w:val="111"/>
          <w:szCs w:val="22"/>
        </w:rPr>
      </w:pPr>
      <w:r>
        <w:rPr>
          <w:b/>
          <w:bCs/>
          <w:sz w:val="22"/>
          <w:szCs w:val="22"/>
        </w:rPr>
        <w:t>Программа повышения актерского мастерства</w:t>
      </w:r>
    </w:p>
    <w:p w:rsidR="00000000" w:rsidRDefault="00000000">
      <w:pPr>
        <w:tabs>
          <w:tab w:val="left" w:pos="561"/>
        </w:tabs>
        <w:jc w:val="both"/>
        <w:rPr>
          <w:sz w:val="22"/>
          <w:szCs w:val="22"/>
        </w:rPr>
      </w:pPr>
    </w:p>
    <w:p w:rsidR="00000000" w:rsidRDefault="00000000">
      <w:pPr>
        <w:tabs>
          <w:tab w:val="left" w:pos="561"/>
        </w:tabs>
        <w:jc w:val="both"/>
        <w:rPr>
          <w:sz w:val="22"/>
          <w:szCs w:val="22"/>
        </w:rPr>
      </w:pPr>
      <w:r>
        <w:rPr>
          <w:sz w:val="22"/>
          <w:szCs w:val="22"/>
        </w:rPr>
        <w:t>704.</w:t>
      </w:r>
      <w:r>
        <w:rPr>
          <w:sz w:val="22"/>
          <w:szCs w:val="22"/>
        </w:rPr>
        <w:tab/>
        <w:t xml:space="preserve">Для охвата большого числа артистов театров различных штатов, которые говорят на разных языках, принадлежат к различным культурам и не могут посещать обычных занятий, проводимых Школой, в 1978 году началось осуществление краткосрочной учебно-подготовительной программы под названием "Программа повышения актерского мастерства".  В рамках этой программы Школа организует занятия в сотрудничестве с артистами местных театров группы </w:t>
      </w:r>
      <w:r>
        <w:rPr>
          <w:sz w:val="22"/>
          <w:szCs w:val="22"/>
          <w:lang w:val="en-US"/>
        </w:rPr>
        <w:t>I</w:t>
      </w:r>
      <w:r>
        <w:rPr>
          <w:sz w:val="22"/>
          <w:szCs w:val="22"/>
        </w:rPr>
        <w:t>.  Занятия неизменно проводятся на местных языках.  Занятия можно в целом разбить на три категории:  занятия по театральной режиссуре, занятия по режиссуре детского театра и учебно-подготовительные занятия по театральному искусству.  В 90-е годы ХХ века программа повышения актерского мастерства стала популярной, и число организуемых в ее рамках занятий каждый год постоянно увеличивается.</w:t>
      </w:r>
    </w:p>
    <w:p w:rsidR="00000000" w:rsidRDefault="00000000">
      <w:pPr>
        <w:tabs>
          <w:tab w:val="left" w:pos="561"/>
        </w:tabs>
        <w:jc w:val="both"/>
        <w:rPr>
          <w:b/>
          <w:bCs/>
          <w:sz w:val="22"/>
          <w:szCs w:val="22"/>
        </w:rPr>
      </w:pPr>
    </w:p>
    <w:p w:rsidR="00000000" w:rsidRDefault="00000000">
      <w:pPr>
        <w:tabs>
          <w:tab w:val="left" w:pos="561"/>
        </w:tabs>
        <w:spacing w:before="120"/>
        <w:jc w:val="both"/>
        <w:rPr>
          <w:rStyle w:val="111"/>
          <w:szCs w:val="22"/>
        </w:rPr>
      </w:pPr>
      <w:r>
        <w:rPr>
          <w:b/>
          <w:bCs/>
          <w:sz w:val="22"/>
          <w:szCs w:val="22"/>
        </w:rPr>
        <w:t>Театральный фестиваль "Бхарат Ранг Махотсав"</w:t>
      </w:r>
    </w:p>
    <w:p w:rsidR="00000000" w:rsidRDefault="00000000">
      <w:pPr>
        <w:tabs>
          <w:tab w:val="left" w:pos="561"/>
        </w:tabs>
        <w:jc w:val="both"/>
        <w:rPr>
          <w:sz w:val="22"/>
          <w:szCs w:val="22"/>
        </w:rPr>
      </w:pPr>
    </w:p>
    <w:p w:rsidR="00000000" w:rsidRDefault="00000000">
      <w:pPr>
        <w:tabs>
          <w:tab w:val="left" w:pos="561"/>
        </w:tabs>
        <w:jc w:val="both"/>
        <w:rPr>
          <w:sz w:val="22"/>
          <w:szCs w:val="22"/>
        </w:rPr>
      </w:pPr>
      <w:r>
        <w:rPr>
          <w:sz w:val="22"/>
          <w:szCs w:val="22"/>
        </w:rPr>
        <w:t>705.</w:t>
      </w:r>
      <w:r>
        <w:rPr>
          <w:sz w:val="22"/>
          <w:szCs w:val="22"/>
        </w:rPr>
        <w:tab/>
        <w:t xml:space="preserve">В рамках празднования золотого юбилея независимости Индии Школа провела в 1999 году первый в истории Индии Национальный театральный фестиваль, который получил название "Бхарат Ранг Махотсав".  В ходе фестиваля многочисленные творческие коллективы могут продемонстрировать свое искусство.  Ведущие театральные труппы практически из всех районов страны участвовали в постановке 60 спектаклей на хинди, а также на местных языках.  Фестиваль был с энтузиазмом встречен как зрителями, так и средствами массовой информации, и стал ежегодным событием.  Каждый год на фестивале зрителям представляют что-то новое.  </w:t>
      </w:r>
    </w:p>
    <w:p w:rsidR="00000000" w:rsidRDefault="00000000">
      <w:pPr>
        <w:pStyle w:val="112"/>
      </w:pPr>
      <w:r>
        <w:t>706.</w:t>
      </w:r>
      <w:r>
        <w:tab/>
        <w:t>Национальный центр искусств имени Индиры Ганди (НЦИИГ) является первым национальным институтом, который стал заниматься междисциплинарным изучением различных культур, исследованиями и программной деятельностью в этой области.  НЦИИГ стремится перенести искусство в естественную человеческую среду на основе создания форума для критического диалога между различными направлениями искусства.  Его основная задача состоит в установлении связи между искусством и жизнью, искусством и науками, между системами знаний коренных народов, населяющих разные районы страны, между Индией и внешним миром, между различными местными общинами в Индии и другими общинами в мире, находящимися в аналогичной ситуации.</w:t>
      </w:r>
    </w:p>
    <w:p w:rsidR="00000000" w:rsidRDefault="00000000">
      <w:pPr>
        <w:pStyle w:val="112"/>
      </w:pPr>
      <w:r>
        <w:t>707.</w:t>
      </w:r>
      <w:r>
        <w:tab/>
        <w:t>Центр занимается научными исследованиями, изучением документации на местах, опубликованием материалов по сохранению, распространению, изучению и возрождению знаний, навыков и технологий местных общин, которые привязаны к конкретной культуре и на которых основываются экономические, культурные и социальные права личности и общины.</w:t>
      </w:r>
    </w:p>
    <w:p w:rsidR="00000000" w:rsidRDefault="00000000">
      <w:pPr>
        <w:pStyle w:val="112"/>
      </w:pPr>
      <w:r>
        <w:t>708.</w:t>
      </w:r>
      <w:r>
        <w:tab/>
        <w:t>Достижения и результаты деятельности НЦИИГ со времени его создания в 1986 году, связанные с решением стоящих перед ним задач, излагаются ниже.</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Справочная библиотека</w:t>
      </w:r>
    </w:p>
    <w:p w:rsidR="00000000" w:rsidRDefault="00000000">
      <w:pPr>
        <w:jc w:val="both"/>
        <w:rPr>
          <w:b/>
          <w:bCs/>
          <w:sz w:val="22"/>
          <w:szCs w:val="22"/>
        </w:rPr>
      </w:pPr>
    </w:p>
    <w:p w:rsidR="00000000" w:rsidRDefault="00000000">
      <w:pPr>
        <w:numPr>
          <w:ilvl w:val="0"/>
          <w:numId w:val="15"/>
        </w:numPr>
        <w:tabs>
          <w:tab w:val="left" w:pos="567"/>
          <w:tab w:val="left" w:pos="1701"/>
          <w:tab w:val="left" w:pos="2268"/>
          <w:tab w:val="left" w:pos="6237"/>
        </w:tabs>
        <w:jc w:val="both"/>
        <w:rPr>
          <w:sz w:val="22"/>
          <w:szCs w:val="22"/>
        </w:rPr>
      </w:pPr>
      <w:r>
        <w:rPr>
          <w:sz w:val="22"/>
          <w:szCs w:val="22"/>
        </w:rPr>
        <w:t>НЦИИГ собрал справочную библиотеку, насчитывающую 127 291 том, включая несколько личных коллекций и подборок редких книг, а также свыше 400 журналов.</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Произведено микрофильмирование более 10 миллионов документов на 16 000 катушек пленки; в библиотеке имеется 142 090 микрокарт.</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В библиотеке насчитывается примерно 100 тыс. 35-миллиметровых диапозитивов.</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Переведено в цифровую форму более 85 тыс. документов.</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Собрано более 10 тыс. фотографий.</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Имеется подборка видеодокументации по 121 проекту.</w:t>
      </w:r>
    </w:p>
    <w:p w:rsidR="00000000" w:rsidRDefault="00000000">
      <w:pPr>
        <w:numPr>
          <w:ilvl w:val="0"/>
          <w:numId w:val="15"/>
        </w:numPr>
        <w:tabs>
          <w:tab w:val="left" w:pos="567"/>
          <w:tab w:val="left" w:pos="1701"/>
          <w:tab w:val="left" w:pos="2268"/>
          <w:tab w:val="left" w:pos="6237"/>
        </w:tabs>
        <w:spacing w:before="240"/>
        <w:jc w:val="both"/>
        <w:rPr>
          <w:sz w:val="22"/>
          <w:szCs w:val="22"/>
        </w:rPr>
      </w:pPr>
      <w:r>
        <w:rPr>
          <w:sz w:val="22"/>
          <w:szCs w:val="22"/>
        </w:rPr>
        <w:t xml:space="preserve">В библиотеке хранятся архивные документы по вопросам культуры, этнографические коллекции картин, рукописных изображений, музыкальных инструментов и записей, кукол, ювелирных изделий, вышитых изделий и костюмов, масок и изделий из бронзы </w:t>
      </w:r>
      <w:r>
        <w:rPr>
          <w:sz w:val="22"/>
          <w:szCs w:val="22"/>
        </w:rPr>
        <w:br/>
        <w:t>и т. д.</w:t>
      </w:r>
    </w:p>
    <w:p w:rsidR="00000000" w:rsidRDefault="00000000">
      <w:pPr>
        <w:jc w:val="both"/>
        <w:rPr>
          <w:b/>
          <w:bCs/>
          <w:sz w:val="22"/>
          <w:szCs w:val="22"/>
        </w:rPr>
      </w:pPr>
    </w:p>
    <w:p w:rsidR="00000000" w:rsidRDefault="00000000">
      <w:pPr>
        <w:keepNext/>
        <w:spacing w:before="120"/>
        <w:jc w:val="both"/>
        <w:rPr>
          <w:b/>
          <w:bCs/>
          <w:sz w:val="22"/>
          <w:szCs w:val="22"/>
        </w:rPr>
      </w:pPr>
      <w:r>
        <w:rPr>
          <w:b/>
          <w:bCs/>
          <w:sz w:val="22"/>
          <w:szCs w:val="22"/>
        </w:rPr>
        <w:t>Публикации</w:t>
      </w:r>
    </w:p>
    <w:p w:rsidR="00000000" w:rsidRDefault="00000000">
      <w:pPr>
        <w:keepNext/>
        <w:jc w:val="both"/>
        <w:rPr>
          <w:b/>
          <w:bCs/>
          <w:sz w:val="22"/>
          <w:szCs w:val="22"/>
        </w:rPr>
      </w:pPr>
    </w:p>
    <w:p w:rsidR="00000000" w:rsidRDefault="00000000">
      <w:pPr>
        <w:keepNext/>
        <w:numPr>
          <w:ilvl w:val="0"/>
          <w:numId w:val="16"/>
        </w:numPr>
        <w:tabs>
          <w:tab w:val="left" w:pos="567"/>
          <w:tab w:val="left" w:pos="1701"/>
          <w:tab w:val="left" w:pos="2268"/>
          <w:tab w:val="left" w:pos="6237"/>
        </w:tabs>
        <w:jc w:val="both"/>
        <w:rPr>
          <w:sz w:val="22"/>
          <w:szCs w:val="22"/>
        </w:rPr>
      </w:pPr>
      <w:r>
        <w:rPr>
          <w:sz w:val="22"/>
          <w:szCs w:val="22"/>
        </w:rPr>
        <w:t>Центр опубликовал шесть томов из серии "Калататтавакос" с изложением основных индийских концепций и подготовил описание примерно 250 концепций для будущего опубликования.</w:t>
      </w:r>
    </w:p>
    <w:p w:rsidR="00000000" w:rsidRDefault="00000000">
      <w:pPr>
        <w:numPr>
          <w:ilvl w:val="0"/>
          <w:numId w:val="16"/>
        </w:numPr>
        <w:tabs>
          <w:tab w:val="left" w:pos="567"/>
          <w:tab w:val="left" w:pos="1701"/>
          <w:tab w:val="left" w:pos="2268"/>
          <w:tab w:val="left" w:pos="6237"/>
        </w:tabs>
        <w:spacing w:before="240"/>
        <w:jc w:val="both"/>
        <w:rPr>
          <w:sz w:val="22"/>
          <w:szCs w:val="22"/>
        </w:rPr>
      </w:pPr>
      <w:r>
        <w:rPr>
          <w:sz w:val="22"/>
          <w:szCs w:val="22"/>
        </w:rPr>
        <w:t>Центр опубликовал 18 томов из серии "Каламуласастра" с приложениями, в которых содержатся тексты и переводы по индийскому искусству.</w:t>
      </w:r>
    </w:p>
    <w:p w:rsidR="00000000" w:rsidRDefault="00000000">
      <w:pPr>
        <w:numPr>
          <w:ilvl w:val="0"/>
          <w:numId w:val="16"/>
        </w:numPr>
        <w:tabs>
          <w:tab w:val="left" w:pos="567"/>
          <w:tab w:val="left" w:pos="1701"/>
          <w:tab w:val="left" w:pos="2268"/>
          <w:tab w:val="left" w:pos="6237"/>
        </w:tabs>
        <w:spacing w:before="240"/>
        <w:jc w:val="both"/>
        <w:rPr>
          <w:sz w:val="22"/>
          <w:szCs w:val="22"/>
        </w:rPr>
      </w:pPr>
      <w:r>
        <w:rPr>
          <w:sz w:val="22"/>
          <w:szCs w:val="22"/>
        </w:rPr>
        <w:t>Центр опубликовал 44 книги из серии "Каласамалокана", подготовленных видными учеными, которые способствуют преодолению преград в общении посредством анализа и сопоставления различных традиций.</w:t>
      </w:r>
    </w:p>
    <w:p w:rsidR="00000000" w:rsidRDefault="00000000">
      <w:pPr>
        <w:numPr>
          <w:ilvl w:val="0"/>
          <w:numId w:val="16"/>
        </w:numPr>
        <w:tabs>
          <w:tab w:val="left" w:pos="567"/>
          <w:tab w:val="left" w:pos="1701"/>
          <w:tab w:val="left" w:pos="2268"/>
          <w:tab w:val="left" w:pos="6237"/>
        </w:tabs>
        <w:spacing w:before="240"/>
        <w:jc w:val="both"/>
        <w:rPr>
          <w:sz w:val="22"/>
          <w:szCs w:val="22"/>
        </w:rPr>
      </w:pPr>
      <w:r>
        <w:rPr>
          <w:sz w:val="22"/>
          <w:szCs w:val="22"/>
        </w:rPr>
        <w:t>Центр опубликовал более 50 книг из следующих серий:  наскальная живопись, искусство и эстетика, пракрити (пять томов), исследования стилей жизни, Кшетра Сампада, культура и развитие, лекции профессора Нирмала Кумара Боса, дети мира и Ади Шравья.</w:t>
      </w:r>
    </w:p>
    <w:p w:rsidR="00000000" w:rsidRDefault="00000000">
      <w:pPr>
        <w:jc w:val="both"/>
        <w:rPr>
          <w:b/>
          <w:bCs/>
          <w:sz w:val="22"/>
          <w:szCs w:val="22"/>
        </w:rPr>
      </w:pPr>
    </w:p>
    <w:p w:rsidR="00000000" w:rsidRDefault="00000000">
      <w:pPr>
        <w:jc w:val="both"/>
        <w:rPr>
          <w:b/>
          <w:bCs/>
          <w:sz w:val="22"/>
          <w:szCs w:val="22"/>
        </w:rPr>
      </w:pPr>
      <w:r>
        <w:rPr>
          <w:b/>
          <w:bCs/>
          <w:sz w:val="22"/>
          <w:szCs w:val="22"/>
        </w:rPr>
        <w:t>Исследовательская работа</w:t>
      </w:r>
    </w:p>
    <w:p w:rsidR="00000000" w:rsidRDefault="00000000">
      <w:pPr>
        <w:jc w:val="both"/>
        <w:rPr>
          <w:b/>
          <w:bCs/>
          <w:sz w:val="22"/>
          <w:szCs w:val="22"/>
        </w:rPr>
      </w:pPr>
    </w:p>
    <w:p w:rsidR="00000000" w:rsidRDefault="00000000">
      <w:pPr>
        <w:numPr>
          <w:ilvl w:val="0"/>
          <w:numId w:val="17"/>
        </w:numPr>
        <w:tabs>
          <w:tab w:val="left" w:pos="567"/>
          <w:tab w:val="left" w:pos="1701"/>
          <w:tab w:val="left" w:pos="2268"/>
          <w:tab w:val="left" w:pos="6237"/>
        </w:tabs>
        <w:jc w:val="both"/>
        <w:rPr>
          <w:sz w:val="22"/>
          <w:szCs w:val="22"/>
        </w:rPr>
      </w:pPr>
      <w:r>
        <w:rPr>
          <w:sz w:val="22"/>
          <w:szCs w:val="22"/>
        </w:rPr>
        <w:t xml:space="preserve">Осуществлено более </w:t>
      </w:r>
      <w:r>
        <w:rPr>
          <w:bCs/>
          <w:sz w:val="22"/>
          <w:szCs w:val="22"/>
        </w:rPr>
        <w:t>70 полевых проектов</w:t>
      </w:r>
      <w:r>
        <w:rPr>
          <w:sz w:val="22"/>
          <w:szCs w:val="22"/>
        </w:rPr>
        <w:t xml:space="preserve"> по изучению образа жизни культурных сообществ в разных районах Индии.</w:t>
      </w:r>
    </w:p>
    <w:p w:rsidR="00000000" w:rsidRDefault="00000000">
      <w:pPr>
        <w:numPr>
          <w:ilvl w:val="0"/>
          <w:numId w:val="17"/>
        </w:numPr>
        <w:tabs>
          <w:tab w:val="left" w:pos="567"/>
          <w:tab w:val="left" w:pos="1701"/>
          <w:tab w:val="left" w:pos="2268"/>
          <w:tab w:val="left" w:pos="6237"/>
        </w:tabs>
        <w:spacing w:before="240"/>
        <w:jc w:val="both"/>
        <w:rPr>
          <w:sz w:val="22"/>
          <w:szCs w:val="22"/>
        </w:rPr>
      </w:pPr>
      <w:r>
        <w:rPr>
          <w:sz w:val="22"/>
          <w:szCs w:val="22"/>
        </w:rPr>
        <w:t xml:space="preserve">Проводится комплексное изучение образа жизни в отдельных культурных районах, а именно в храмовом комплексе </w:t>
      </w:r>
      <w:r>
        <w:rPr>
          <w:bCs/>
          <w:sz w:val="22"/>
          <w:szCs w:val="22"/>
        </w:rPr>
        <w:t>Брхадисвара</w:t>
      </w:r>
      <w:r>
        <w:rPr>
          <w:sz w:val="22"/>
          <w:szCs w:val="22"/>
        </w:rPr>
        <w:t xml:space="preserve"> и в районе </w:t>
      </w:r>
      <w:r>
        <w:rPr>
          <w:bCs/>
          <w:sz w:val="22"/>
          <w:szCs w:val="22"/>
        </w:rPr>
        <w:t>Враджа в штате Уттар-Прадеш.</w:t>
      </w:r>
    </w:p>
    <w:p w:rsidR="00000000" w:rsidRDefault="00000000">
      <w:pPr>
        <w:numPr>
          <w:ilvl w:val="0"/>
          <w:numId w:val="17"/>
        </w:numPr>
        <w:tabs>
          <w:tab w:val="left" w:pos="567"/>
          <w:tab w:val="left" w:pos="1701"/>
          <w:tab w:val="left" w:pos="2268"/>
          <w:tab w:val="left" w:pos="6237"/>
        </w:tabs>
        <w:spacing w:before="240"/>
        <w:jc w:val="both"/>
        <w:rPr>
          <w:sz w:val="22"/>
          <w:szCs w:val="22"/>
        </w:rPr>
      </w:pPr>
      <w:r>
        <w:rPr>
          <w:sz w:val="22"/>
          <w:szCs w:val="22"/>
        </w:rPr>
        <w:t>Под эгидой ЮНЕСКО проведено крупное исследование по теме "Деревни Индии".</w:t>
      </w:r>
    </w:p>
    <w:p w:rsidR="00000000" w:rsidRDefault="00000000">
      <w:pPr>
        <w:numPr>
          <w:ilvl w:val="0"/>
          <w:numId w:val="17"/>
        </w:numPr>
        <w:tabs>
          <w:tab w:val="left" w:pos="567"/>
          <w:tab w:val="left" w:pos="1701"/>
          <w:tab w:val="left" w:pos="2268"/>
          <w:tab w:val="left" w:pos="6237"/>
        </w:tabs>
        <w:spacing w:before="240"/>
        <w:jc w:val="both"/>
        <w:rPr>
          <w:sz w:val="22"/>
          <w:szCs w:val="22"/>
        </w:rPr>
      </w:pPr>
      <w:r>
        <w:rPr>
          <w:sz w:val="22"/>
          <w:szCs w:val="22"/>
        </w:rPr>
        <w:t>Осуществлено много проектов ЮНЕСКО в Махараштре и Сантхал-Парганас.</w:t>
      </w:r>
    </w:p>
    <w:p w:rsidR="00000000" w:rsidRDefault="00000000">
      <w:pPr>
        <w:spacing w:before="240"/>
        <w:jc w:val="both"/>
        <w:rPr>
          <w:b/>
          <w:bCs/>
          <w:sz w:val="22"/>
          <w:szCs w:val="22"/>
        </w:rPr>
      </w:pPr>
    </w:p>
    <w:p w:rsidR="00000000" w:rsidRDefault="00000000">
      <w:pPr>
        <w:jc w:val="both"/>
        <w:rPr>
          <w:b/>
          <w:bCs/>
          <w:sz w:val="22"/>
          <w:szCs w:val="22"/>
        </w:rPr>
      </w:pPr>
      <w:r>
        <w:rPr>
          <w:b/>
          <w:bCs/>
          <w:sz w:val="22"/>
          <w:szCs w:val="22"/>
        </w:rPr>
        <w:t>Региональные исследования</w:t>
      </w:r>
    </w:p>
    <w:p w:rsidR="00000000" w:rsidRDefault="00000000">
      <w:pPr>
        <w:jc w:val="both"/>
        <w:rPr>
          <w:b/>
          <w:bCs/>
          <w:sz w:val="22"/>
          <w:szCs w:val="22"/>
        </w:rPr>
      </w:pPr>
    </w:p>
    <w:p w:rsidR="00000000" w:rsidRDefault="00000000">
      <w:pPr>
        <w:numPr>
          <w:ilvl w:val="0"/>
          <w:numId w:val="18"/>
        </w:numPr>
        <w:tabs>
          <w:tab w:val="left" w:pos="567"/>
          <w:tab w:val="left" w:pos="1701"/>
          <w:tab w:val="left" w:pos="2268"/>
          <w:tab w:val="left" w:pos="6237"/>
        </w:tabs>
        <w:jc w:val="both"/>
        <w:rPr>
          <w:sz w:val="22"/>
          <w:szCs w:val="22"/>
        </w:rPr>
      </w:pPr>
      <w:r>
        <w:rPr>
          <w:sz w:val="22"/>
          <w:szCs w:val="22"/>
        </w:rPr>
        <w:t>Созданы две крупные группы по региональным исследованиям, в частности по Китаю и России.</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Аудиовизуальные программы</w:t>
      </w:r>
    </w:p>
    <w:p w:rsidR="00000000" w:rsidRDefault="00000000">
      <w:pPr>
        <w:jc w:val="both"/>
        <w:rPr>
          <w:b/>
          <w:bCs/>
          <w:sz w:val="22"/>
          <w:szCs w:val="22"/>
        </w:rPr>
      </w:pPr>
    </w:p>
    <w:p w:rsidR="00000000" w:rsidRDefault="00000000">
      <w:pPr>
        <w:numPr>
          <w:ilvl w:val="0"/>
          <w:numId w:val="19"/>
        </w:numPr>
        <w:tabs>
          <w:tab w:val="left" w:pos="567"/>
          <w:tab w:val="left" w:pos="1701"/>
          <w:tab w:val="left" w:pos="2268"/>
          <w:tab w:val="left" w:pos="6237"/>
        </w:tabs>
        <w:jc w:val="both"/>
        <w:rPr>
          <w:sz w:val="22"/>
          <w:szCs w:val="22"/>
        </w:rPr>
      </w:pPr>
      <w:r>
        <w:rPr>
          <w:sz w:val="22"/>
          <w:szCs w:val="22"/>
        </w:rPr>
        <w:t>Осуществляются проекты "Ади Дршья" (облик первобытного мира) и "Ади Шравья" (звуки первобытного мира).</w:t>
      </w:r>
    </w:p>
    <w:p w:rsidR="00000000" w:rsidRDefault="00000000">
      <w:pPr>
        <w:numPr>
          <w:ilvl w:val="0"/>
          <w:numId w:val="19"/>
        </w:numPr>
        <w:tabs>
          <w:tab w:val="left" w:pos="567"/>
          <w:tab w:val="left" w:pos="1701"/>
          <w:tab w:val="left" w:pos="2268"/>
          <w:tab w:val="left" w:pos="6237"/>
        </w:tabs>
        <w:spacing w:before="240" w:after="240"/>
        <w:jc w:val="both"/>
        <w:rPr>
          <w:sz w:val="22"/>
          <w:szCs w:val="22"/>
        </w:rPr>
      </w:pPr>
      <w:r>
        <w:rPr>
          <w:sz w:val="22"/>
          <w:szCs w:val="22"/>
        </w:rPr>
        <w:t xml:space="preserve">Имеются видеозаписи </w:t>
      </w:r>
      <w:r>
        <w:rPr>
          <w:bCs/>
          <w:sz w:val="22"/>
          <w:szCs w:val="22"/>
        </w:rPr>
        <w:t>121 программы</w:t>
      </w:r>
      <w:r>
        <w:rPr>
          <w:sz w:val="22"/>
          <w:szCs w:val="22"/>
        </w:rPr>
        <w:t xml:space="preserve"> из всех районов Индии, отражающие культурное разнообразие нашего наследия.</w:t>
      </w:r>
    </w:p>
    <w:p w:rsidR="00000000" w:rsidRDefault="00000000">
      <w:pPr>
        <w:jc w:val="both"/>
        <w:rPr>
          <w:b/>
          <w:bCs/>
          <w:sz w:val="22"/>
          <w:szCs w:val="22"/>
        </w:rPr>
      </w:pPr>
    </w:p>
    <w:p w:rsidR="00000000" w:rsidRDefault="00000000">
      <w:pPr>
        <w:jc w:val="both"/>
        <w:rPr>
          <w:b/>
          <w:bCs/>
          <w:sz w:val="22"/>
          <w:szCs w:val="22"/>
        </w:rPr>
      </w:pPr>
      <w:r>
        <w:rPr>
          <w:b/>
          <w:bCs/>
          <w:sz w:val="22"/>
          <w:szCs w:val="22"/>
        </w:rPr>
        <w:t>Программы для детей</w:t>
      </w:r>
    </w:p>
    <w:p w:rsidR="00000000" w:rsidRDefault="00000000">
      <w:pPr>
        <w:jc w:val="both"/>
        <w:rPr>
          <w:b/>
          <w:bCs/>
          <w:sz w:val="22"/>
          <w:szCs w:val="22"/>
        </w:rPr>
      </w:pPr>
    </w:p>
    <w:p w:rsidR="00000000" w:rsidRDefault="00000000">
      <w:pPr>
        <w:numPr>
          <w:ilvl w:val="0"/>
          <w:numId w:val="20"/>
        </w:numPr>
        <w:tabs>
          <w:tab w:val="left" w:pos="567"/>
          <w:tab w:val="left" w:pos="1701"/>
          <w:tab w:val="left" w:pos="2268"/>
          <w:tab w:val="left" w:pos="6237"/>
        </w:tabs>
        <w:jc w:val="both"/>
        <w:rPr>
          <w:sz w:val="22"/>
          <w:szCs w:val="22"/>
        </w:rPr>
      </w:pPr>
      <w:r>
        <w:rPr>
          <w:sz w:val="22"/>
          <w:szCs w:val="22"/>
        </w:rPr>
        <w:t>Осуществлено несколько проектов по истории кукол и детской литературе "Легенды Панчатантры".</w:t>
      </w:r>
    </w:p>
    <w:p w:rsidR="00000000" w:rsidRDefault="00000000">
      <w:pPr>
        <w:jc w:val="both"/>
        <w:rPr>
          <w:b/>
          <w:bCs/>
          <w:sz w:val="22"/>
          <w:szCs w:val="22"/>
        </w:rPr>
      </w:pPr>
    </w:p>
    <w:p w:rsidR="00000000" w:rsidRDefault="00000000">
      <w:pPr>
        <w:keepNext/>
        <w:spacing w:before="120"/>
        <w:jc w:val="both"/>
        <w:rPr>
          <w:b/>
          <w:bCs/>
          <w:sz w:val="22"/>
          <w:szCs w:val="22"/>
        </w:rPr>
      </w:pPr>
      <w:r>
        <w:rPr>
          <w:b/>
          <w:bCs/>
          <w:sz w:val="22"/>
          <w:szCs w:val="22"/>
        </w:rPr>
        <w:t>Выставки</w:t>
      </w:r>
    </w:p>
    <w:p w:rsidR="00000000" w:rsidRDefault="00000000">
      <w:pPr>
        <w:keepNext/>
        <w:jc w:val="both"/>
        <w:rPr>
          <w:b/>
          <w:bCs/>
          <w:sz w:val="22"/>
          <w:szCs w:val="22"/>
        </w:rPr>
      </w:pPr>
    </w:p>
    <w:p w:rsidR="00000000" w:rsidRDefault="00000000">
      <w:pPr>
        <w:keepNext/>
        <w:numPr>
          <w:ilvl w:val="0"/>
          <w:numId w:val="21"/>
        </w:numPr>
        <w:tabs>
          <w:tab w:val="left" w:pos="567"/>
          <w:tab w:val="left" w:pos="1701"/>
          <w:tab w:val="left" w:pos="2268"/>
          <w:tab w:val="left" w:pos="6237"/>
        </w:tabs>
        <w:jc w:val="both"/>
        <w:rPr>
          <w:sz w:val="22"/>
          <w:szCs w:val="22"/>
        </w:rPr>
      </w:pPr>
      <w:r>
        <w:rPr>
          <w:sz w:val="22"/>
          <w:szCs w:val="22"/>
        </w:rPr>
        <w:t xml:space="preserve">Проведено более </w:t>
      </w:r>
      <w:r>
        <w:rPr>
          <w:bCs/>
          <w:sz w:val="22"/>
          <w:szCs w:val="22"/>
        </w:rPr>
        <w:t>75 выставок по различным темам</w:t>
      </w:r>
      <w:r>
        <w:rPr>
          <w:sz w:val="22"/>
          <w:szCs w:val="22"/>
        </w:rPr>
        <w:t>, в том числе по теме "Наследие раджи Дин Дайала", выставка кукол театра теней и т. д.  Проведено восемь крупных выставок, посвященных культурному разнообразию страны и междисциплинарному взгляду на такие основные концепции цивилизации, как пространство и время, а также по темам: пракрити, Рита-Риту, человек и маска, Мурда и т. д.</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Мультимедийное представление</w:t>
      </w:r>
    </w:p>
    <w:p w:rsidR="00000000" w:rsidRDefault="00000000">
      <w:pPr>
        <w:jc w:val="both"/>
        <w:rPr>
          <w:b/>
          <w:bCs/>
          <w:sz w:val="22"/>
          <w:szCs w:val="22"/>
        </w:rPr>
      </w:pPr>
    </w:p>
    <w:p w:rsidR="00000000" w:rsidRDefault="00000000">
      <w:pPr>
        <w:numPr>
          <w:ilvl w:val="0"/>
          <w:numId w:val="22"/>
        </w:numPr>
        <w:tabs>
          <w:tab w:val="left" w:pos="567"/>
          <w:tab w:val="left" w:pos="1701"/>
          <w:tab w:val="left" w:pos="2268"/>
          <w:tab w:val="left" w:pos="6237"/>
        </w:tabs>
        <w:jc w:val="both"/>
        <w:rPr>
          <w:sz w:val="22"/>
          <w:szCs w:val="22"/>
        </w:rPr>
      </w:pPr>
      <w:r>
        <w:rPr>
          <w:sz w:val="22"/>
          <w:szCs w:val="22"/>
        </w:rPr>
        <w:t>Было проведено первое мультимедийное представление по поэме Джайдева "Гита Говинда", любовная поэма Х века о Радха Кришне.</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Конференции, семинары и практикумы</w:t>
      </w:r>
    </w:p>
    <w:p w:rsidR="00000000" w:rsidRDefault="00000000">
      <w:pPr>
        <w:jc w:val="both"/>
        <w:rPr>
          <w:b/>
          <w:bCs/>
          <w:sz w:val="22"/>
          <w:szCs w:val="22"/>
        </w:rPr>
      </w:pPr>
    </w:p>
    <w:p w:rsidR="00000000" w:rsidRDefault="00000000">
      <w:pPr>
        <w:numPr>
          <w:ilvl w:val="0"/>
          <w:numId w:val="23"/>
        </w:numPr>
        <w:tabs>
          <w:tab w:val="left" w:pos="567"/>
          <w:tab w:val="left" w:pos="1701"/>
          <w:tab w:val="left" w:pos="2268"/>
          <w:tab w:val="left" w:pos="6237"/>
        </w:tabs>
        <w:jc w:val="both"/>
        <w:rPr>
          <w:sz w:val="22"/>
          <w:szCs w:val="22"/>
        </w:rPr>
      </w:pPr>
      <w:r>
        <w:rPr>
          <w:sz w:val="22"/>
          <w:szCs w:val="22"/>
        </w:rPr>
        <w:t xml:space="preserve">Проведено более </w:t>
      </w:r>
      <w:r>
        <w:rPr>
          <w:bCs/>
          <w:sz w:val="22"/>
          <w:szCs w:val="22"/>
        </w:rPr>
        <w:t>180 конференций, семинаров и практикумов</w:t>
      </w:r>
      <w:r>
        <w:rPr>
          <w:sz w:val="22"/>
          <w:szCs w:val="22"/>
        </w:rPr>
        <w:t>.</w:t>
      </w:r>
    </w:p>
    <w:p w:rsidR="00000000" w:rsidRDefault="00000000">
      <w:pPr>
        <w:jc w:val="both"/>
        <w:rPr>
          <w:b/>
          <w:bCs/>
          <w:sz w:val="22"/>
          <w:szCs w:val="22"/>
        </w:rPr>
      </w:pPr>
    </w:p>
    <w:p w:rsidR="00000000" w:rsidRDefault="00000000">
      <w:pPr>
        <w:jc w:val="both"/>
        <w:rPr>
          <w:b/>
          <w:bCs/>
          <w:sz w:val="22"/>
          <w:szCs w:val="22"/>
        </w:rPr>
      </w:pPr>
      <w:r>
        <w:rPr>
          <w:b/>
          <w:bCs/>
          <w:sz w:val="22"/>
          <w:szCs w:val="22"/>
        </w:rPr>
        <w:t>Публичные/мемориальные лекции</w:t>
      </w:r>
    </w:p>
    <w:p w:rsidR="00000000" w:rsidRDefault="00000000">
      <w:pPr>
        <w:jc w:val="both"/>
        <w:rPr>
          <w:b/>
          <w:bCs/>
          <w:sz w:val="22"/>
          <w:szCs w:val="22"/>
        </w:rPr>
      </w:pPr>
    </w:p>
    <w:p w:rsidR="00000000" w:rsidRDefault="00000000">
      <w:pPr>
        <w:numPr>
          <w:ilvl w:val="0"/>
          <w:numId w:val="24"/>
        </w:numPr>
        <w:tabs>
          <w:tab w:val="left" w:pos="567"/>
          <w:tab w:val="left" w:pos="1701"/>
          <w:tab w:val="left" w:pos="2268"/>
          <w:tab w:val="left" w:pos="6237"/>
        </w:tabs>
        <w:jc w:val="both"/>
        <w:rPr>
          <w:sz w:val="22"/>
          <w:szCs w:val="22"/>
        </w:rPr>
      </w:pPr>
      <w:r>
        <w:rPr>
          <w:sz w:val="22"/>
          <w:szCs w:val="22"/>
        </w:rPr>
        <w:t>Видными учеными прочитано более 450 лекций.  Проведено три серии мемориальных лекций, посвященных Ачарья Хазари Прасаду Двиведе, профессору Нирмалу Кумару Босу и доктору Сунити Кумару Чаттерджи.  Лекции, посвященные Кумару Босу и доктору Сунити Кумару Чаттерджи, продолжаются.</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Проекты выпуска компактных дисков</w:t>
      </w:r>
    </w:p>
    <w:p w:rsidR="00000000" w:rsidRDefault="00000000">
      <w:pPr>
        <w:jc w:val="both"/>
        <w:rPr>
          <w:b/>
          <w:bCs/>
          <w:sz w:val="22"/>
          <w:szCs w:val="22"/>
        </w:rPr>
      </w:pPr>
    </w:p>
    <w:p w:rsidR="00000000" w:rsidRDefault="00000000">
      <w:pPr>
        <w:numPr>
          <w:ilvl w:val="0"/>
          <w:numId w:val="25"/>
        </w:numPr>
        <w:tabs>
          <w:tab w:val="left" w:pos="567"/>
          <w:tab w:val="left" w:pos="1701"/>
          <w:tab w:val="left" w:pos="2268"/>
          <w:tab w:val="left" w:pos="6237"/>
        </w:tabs>
        <w:jc w:val="both"/>
        <w:rPr>
          <w:sz w:val="22"/>
          <w:szCs w:val="22"/>
        </w:rPr>
      </w:pPr>
      <w:r>
        <w:rPr>
          <w:sz w:val="22"/>
          <w:szCs w:val="22"/>
        </w:rPr>
        <w:t>Осуществляются более десятка проектов по записи на компактные диски таких произведений, как "Гита-Говинда", "Агникаяна", "Висварупа", а также тематических программ, посвященные храмовому комплексу Брхадисвара, наскальной живописи и Девнараяну.  Два проекта завершены.</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Веб-сайт НЦИИГ (</w:t>
      </w:r>
      <w:hyperlink r:id="rId13" w:history="1">
        <w:r>
          <w:rPr>
            <w:rStyle w:val="Hyperlink"/>
            <w:b/>
            <w:bCs/>
            <w:sz w:val="22"/>
            <w:szCs w:val="22"/>
            <w:lang w:val="en-US"/>
          </w:rPr>
          <w:t>www</w:t>
        </w:r>
        <w:r>
          <w:rPr>
            <w:rStyle w:val="Hyperlink"/>
            <w:b/>
            <w:bCs/>
            <w:sz w:val="22"/>
            <w:szCs w:val="22"/>
          </w:rPr>
          <w:t>.</w:t>
        </w:r>
        <w:r>
          <w:rPr>
            <w:rStyle w:val="Hyperlink"/>
            <w:b/>
            <w:bCs/>
            <w:sz w:val="22"/>
            <w:szCs w:val="22"/>
            <w:lang w:val="en-US"/>
          </w:rPr>
          <w:t>ignca</w:t>
        </w:r>
        <w:r>
          <w:rPr>
            <w:rStyle w:val="Hyperlink"/>
            <w:b/>
            <w:bCs/>
            <w:sz w:val="22"/>
            <w:szCs w:val="22"/>
          </w:rPr>
          <w:t>.</w:t>
        </w:r>
        <w:r>
          <w:rPr>
            <w:rStyle w:val="Hyperlink"/>
            <w:b/>
            <w:bCs/>
            <w:sz w:val="22"/>
            <w:szCs w:val="22"/>
            <w:lang w:val="en-US"/>
          </w:rPr>
          <w:t>nic</w:t>
        </w:r>
        <w:r>
          <w:rPr>
            <w:rStyle w:val="Hyperlink"/>
            <w:b/>
            <w:bCs/>
            <w:sz w:val="22"/>
            <w:szCs w:val="22"/>
          </w:rPr>
          <w:t>.</w:t>
        </w:r>
        <w:r>
          <w:rPr>
            <w:rStyle w:val="Hyperlink"/>
            <w:b/>
            <w:bCs/>
            <w:sz w:val="22"/>
            <w:szCs w:val="22"/>
            <w:lang w:val="en-US"/>
          </w:rPr>
          <w:t>in</w:t>
        </w:r>
      </w:hyperlink>
      <w:r>
        <w:rPr>
          <w:b/>
          <w:bCs/>
          <w:sz w:val="22"/>
          <w:szCs w:val="22"/>
        </w:rPr>
        <w:t>)</w:t>
      </w:r>
    </w:p>
    <w:p w:rsidR="00000000" w:rsidRDefault="00000000">
      <w:pPr>
        <w:jc w:val="both"/>
        <w:rPr>
          <w:b/>
          <w:bCs/>
          <w:sz w:val="22"/>
          <w:szCs w:val="22"/>
        </w:rPr>
      </w:pPr>
    </w:p>
    <w:p w:rsidR="00000000" w:rsidRDefault="00000000">
      <w:pPr>
        <w:numPr>
          <w:ilvl w:val="0"/>
          <w:numId w:val="26"/>
        </w:numPr>
        <w:tabs>
          <w:tab w:val="left" w:pos="567"/>
          <w:tab w:val="left" w:pos="1701"/>
          <w:tab w:val="left" w:pos="2268"/>
          <w:tab w:val="left" w:pos="6237"/>
        </w:tabs>
        <w:jc w:val="both"/>
        <w:rPr>
          <w:sz w:val="22"/>
          <w:szCs w:val="22"/>
        </w:rPr>
      </w:pPr>
      <w:r>
        <w:rPr>
          <w:sz w:val="22"/>
          <w:szCs w:val="22"/>
        </w:rPr>
        <w:t xml:space="preserve">Создан собственный веб-сайт, на котором размещено более </w:t>
      </w:r>
      <w:r>
        <w:rPr>
          <w:bCs/>
          <w:sz w:val="22"/>
          <w:szCs w:val="22"/>
        </w:rPr>
        <w:t>4700 текстовых страниц</w:t>
      </w:r>
      <w:r>
        <w:rPr>
          <w:sz w:val="22"/>
          <w:szCs w:val="22"/>
        </w:rPr>
        <w:t xml:space="preserve"> и 2500 изображений, общим объемом </w:t>
      </w:r>
      <w:r>
        <w:rPr>
          <w:bCs/>
          <w:sz w:val="22"/>
          <w:szCs w:val="22"/>
        </w:rPr>
        <w:t>63 МВ</w:t>
      </w:r>
      <w:r>
        <w:rPr>
          <w:sz w:val="22"/>
          <w:szCs w:val="22"/>
        </w:rPr>
        <w:t>.</w:t>
      </w:r>
    </w:p>
    <w:p w:rsidR="00000000" w:rsidRDefault="00000000">
      <w:pPr>
        <w:jc w:val="both"/>
        <w:rPr>
          <w:b/>
          <w:bCs/>
          <w:sz w:val="22"/>
          <w:szCs w:val="22"/>
        </w:rPr>
      </w:pPr>
    </w:p>
    <w:p w:rsidR="00000000" w:rsidRDefault="00000000">
      <w:pPr>
        <w:spacing w:before="240"/>
        <w:jc w:val="both"/>
        <w:rPr>
          <w:b/>
          <w:bCs/>
          <w:sz w:val="22"/>
          <w:szCs w:val="22"/>
        </w:rPr>
      </w:pPr>
      <w:r>
        <w:rPr>
          <w:b/>
          <w:bCs/>
          <w:sz w:val="22"/>
          <w:szCs w:val="22"/>
        </w:rPr>
        <w:t>Отделения и сети НЦИИГ</w:t>
      </w:r>
    </w:p>
    <w:p w:rsidR="00000000" w:rsidRDefault="00000000">
      <w:pPr>
        <w:jc w:val="both"/>
        <w:rPr>
          <w:sz w:val="22"/>
          <w:szCs w:val="22"/>
        </w:rPr>
      </w:pPr>
    </w:p>
    <w:p w:rsidR="00000000" w:rsidRDefault="00000000">
      <w:pPr>
        <w:jc w:val="both"/>
        <w:rPr>
          <w:sz w:val="22"/>
          <w:szCs w:val="22"/>
        </w:rPr>
      </w:pPr>
      <w:r>
        <w:rPr>
          <w:sz w:val="22"/>
          <w:szCs w:val="22"/>
        </w:rPr>
        <w:t xml:space="preserve">НЦИИГ имеет два отделения в </w:t>
      </w:r>
      <w:r>
        <w:rPr>
          <w:bCs/>
          <w:sz w:val="22"/>
          <w:szCs w:val="22"/>
        </w:rPr>
        <w:t>Варанаси</w:t>
      </w:r>
      <w:r>
        <w:rPr>
          <w:sz w:val="22"/>
          <w:szCs w:val="22"/>
        </w:rPr>
        <w:t xml:space="preserve"> и </w:t>
      </w:r>
      <w:r>
        <w:rPr>
          <w:bCs/>
          <w:sz w:val="22"/>
          <w:szCs w:val="22"/>
        </w:rPr>
        <w:t>Бангалоре.</w:t>
      </w:r>
      <w:r>
        <w:rPr>
          <w:sz w:val="22"/>
          <w:szCs w:val="22"/>
        </w:rPr>
        <w:t xml:space="preserve">  Пропагандируя свою деятельность, Центр поддерживает связи со всеми правительственными учреждениями, международными организациями и национальными агентствами, университетами и отдельными НПО.</w:t>
      </w:r>
    </w:p>
    <w:p w:rsidR="00000000" w:rsidRDefault="00000000">
      <w:pPr>
        <w:jc w:val="both"/>
        <w:rPr>
          <w:i/>
          <w:iCs/>
          <w:sz w:val="22"/>
          <w:szCs w:val="22"/>
        </w:rPr>
      </w:pPr>
      <w:r>
        <w:rPr>
          <w:i/>
          <w:iCs/>
          <w:sz w:val="22"/>
          <w:szCs w:val="22"/>
        </w:rPr>
        <w:t>Многостороннее сотрудничество по линии программ культурных обменов</w:t>
      </w:r>
    </w:p>
    <w:p w:rsidR="00000000" w:rsidRDefault="00000000">
      <w:pPr>
        <w:numPr>
          <w:ilvl w:val="0"/>
          <w:numId w:val="27"/>
        </w:numPr>
        <w:tabs>
          <w:tab w:val="left" w:pos="567"/>
          <w:tab w:val="left" w:pos="1701"/>
          <w:tab w:val="left" w:pos="2268"/>
          <w:tab w:val="left" w:pos="6237"/>
        </w:tabs>
        <w:spacing w:before="240"/>
        <w:jc w:val="both"/>
        <w:rPr>
          <w:sz w:val="22"/>
          <w:szCs w:val="22"/>
        </w:rPr>
      </w:pPr>
      <w:r>
        <w:rPr>
          <w:sz w:val="22"/>
          <w:szCs w:val="22"/>
        </w:rPr>
        <w:t>Центр сотрудничает с такими международными учреждениями, как ЮНЕСКО, ПРООН, Фонд Форда, Японский фонд и т. д.</w:t>
      </w:r>
    </w:p>
    <w:p w:rsidR="00000000" w:rsidRDefault="00000000">
      <w:pPr>
        <w:spacing w:before="240"/>
        <w:jc w:val="both"/>
        <w:rPr>
          <w:sz w:val="22"/>
          <w:szCs w:val="22"/>
        </w:rPr>
      </w:pPr>
      <w:r>
        <w:rPr>
          <w:sz w:val="22"/>
          <w:szCs w:val="22"/>
        </w:rPr>
        <w:t>709.</w:t>
      </w:r>
      <w:r>
        <w:rPr>
          <w:sz w:val="22"/>
          <w:szCs w:val="22"/>
        </w:rPr>
        <w:tab/>
        <w:t>Центр культурных ресурсов и подготовки кадров является автономной организацией, которая полностью финансируется центральным правительством и задача которой заключается в распространении культуры среди учащихся школ и колледжей.  Центр разрабатывает и осуществляет различные программы по обеспечению актуального и динамичного характера школьного обучения, с тем чтобы учащиеся приобретали образовательный опыт, помогающий им преодолевать трудности, обусловленные изменениями, которые происходят в культуре и обществе, в целях содействия духу национального единства.  Центр организует ознакомительные и последующие курсы для приобщения учащихся к основополагающим принципам, на которых базируется развитие индийского искусства и культуры и все многообразие литературного, изобразительного и исполнительского творчества.  С 1982 года Центр осуществляет также культурную программу поиска талантов и предоставления стипендий, которая призвана выявлять талантливых детей в возрасте от 10 до 14 лет и предоставлять таким детям стипендии в целях развития их способностей в различной культурной среде.</w:t>
      </w:r>
    </w:p>
    <w:p w:rsidR="00000000" w:rsidRDefault="00000000">
      <w:pPr>
        <w:pStyle w:val="112"/>
        <w:spacing w:line="248" w:lineRule="exact"/>
      </w:pPr>
      <w:r>
        <w:t>710.</w:t>
      </w:r>
      <w:r>
        <w:tab/>
        <w:t>Цель создания территориальных культурных центров (ТКЦ) заключается в том, чтобы развивать культурные связи, не ограничиваясь территориальными рамками.  Суть концепции ТКЦ состоит в том, чтобы расширять и углублять знание местных культур и показывать, как эти культуры проявляются в районной самобытности и в конечном счете в богатом разнообразии совокупной культуры Индии.  Эти центры уже зарекомендовали себя как ведущая сила в области пропаганды, сохранения и распространения культуры в масштабах всей страны.  Они не только пропагандируют исполнительское искусство, но и вносят значительный вклад в развитие соответствующих областей литературы и изобразительного искусства.  В течение 1985–1986 годов в рамках программы ТКЦ создано семь территориальных культурных центров в Патьяле, Колкате, Тханджавуре, Удайпуре, Аллахабаде, Димапуре и Нагпуре.  Участие штатов в работе более чем одного культурного центра в силу сложившихся культурных связей является характерной особенностью состава территориальных центров.  С согласия кабинета правительство Индии и правительства участвующих штатов учредили для каждого ТКЦ основной фонд, который дает возможность ТКЦ финансировать свою деятельность за счет процентов от инвестирования средств основного фонда.  Каждому ТКЦ правительство Индии предоставляет субсидию в 50 млн. рупий, а каждый участвующих штат – 10 млн. рупий.  В случае, когда тот или иной штат является спонсором более чем одного центра, его взнос на деятельность всех центров не превышает 10 млн. рупий.  С 1993 года все территориальные культурные центры направляют свои фольклорные коллективы для участия в фестивале народного танца по случаю Дня Республики.  Каждый год 24–25 января этот фестиваль, проводимый на крытом стадионе Талькатора, открывает президент Индии.  Фестиваль предоставляет фольклорным коллективам уникальную возможность продемонстрировать свое искусство на национальном уровне.  Во время фестиваля народного танца в разных районах проводится также ярмарка изделий народных ремесел.  В этой ярмарке участвуют искусные мастера и художники, представляющие разные ТКЦ.  Ярмарка предоставляет уникальную возможность умельцам из различных районов Индии продемонстрировать свои изделия, а также процесс их изготовления непосредственно покупателям.  Одним из основных направлений деятельности ТКЦ является документальное описание различных форм народного и племенного искусства, особенно тех, которые являются редкими и находятся на грани исчезновения.  В соответствии с Национальной программой культурных обменов различные районы страны обмениваются художниками, музыковедами, исполнителями и учеными.  Это чрезвычайно полезно с точки зрения ознакомления с многообразными формами племенного и народного творчества в разных частях страны, а следовательно приносит большую пользу в том смысле, что является реальным выражением концепции единства при всем многообразии культур нашей страны.  Программа возрождения театра дает возможность работникам театра, учащимся, актерам, художникам, режиссерам и писателям выступить на общей сцене и пообщаться друг с другом.  Для содействия развитию новых талантов в области музыки и танца осуществляется программа "Гуру Шишья Парампара", в рамках которой ТКЦ в районе своей деятельности ведут поиск высококлассных мастеров, к которым прикрепляются ученики и которым предоставляются стипендии.  ТКЦ предоставляют также ремесленникам возможность для рекламы и сбыта своих изделий через "шилпграмы" (деревни народных умельцев).  ТКЦ также начали новую программу выявления и поощрения молодых талантов, в рамках которой каждый ТКЦ определяет в своем районе различные формы исполнительского/народного искусства и отбирает одного или двух талантливых исполнителей в каждой области.</w:t>
      </w:r>
    </w:p>
    <w:p w:rsidR="00000000" w:rsidRDefault="00000000">
      <w:pPr>
        <w:pStyle w:val="112"/>
        <w:spacing w:before="220" w:line="248" w:lineRule="exact"/>
      </w:pPr>
      <w:r>
        <w:t>711.</w:t>
      </w:r>
      <w:r>
        <w:tab/>
        <w:t>Концепция фестиваля Индии возникла в 1982 году и преследовала цель развития культурных связей с зарубежными странами посредством проведения в таких странах фестивалей индийской культуры и ответного проведения фестивалей этих стран в Индии.  Это помогает пропагандировать культуру Индии за рубежом и расширяет возможности для привлечения туристов в различные районы Индии.  К настоящему времени фестивали Индии проводились в Соединенном Королевстве, Франции, Соединенных Штатах Америки, Швеции, СССР, Японии, Германии, Китае и Таиланде.  В Индии были проведены ответные фестивали России (СССР), Японии, Франции, Швеции, Китая и Таиланда.</w:t>
      </w:r>
    </w:p>
    <w:p w:rsidR="00000000" w:rsidRDefault="00000000">
      <w:pPr>
        <w:pStyle w:val="112"/>
        <w:spacing w:before="220" w:line="248" w:lineRule="exact"/>
      </w:pPr>
      <w:r>
        <w:t>712.</w:t>
      </w:r>
      <w:r>
        <w:tab/>
        <w:t xml:space="preserve">Фестиваль Германии проводился в Индии с октября 2000 года по март 2001 года.  В июне – ноябре 2003 года фестиваль Индии был организован в Бутане.  Бутан был первой страной  Южной Азии, где состоялся фестиваль индийской культуры.  Фестиваль в Бутане, который был посвящен вечной дружбе и сотрудничеству между Индией и Бутаном, был торжественно открыт 5 июня 2003 года премьер-министром Бутана Льонпо Кинзангом Дорджи и тогдашним государственным министром иностранных дел Индии Винодом Кханной в Индийском доме в столице Бутана Тхимпху, после чего состоялось исполнение индийской классической музыки и танца.  На открытии фестиваля присутствовало большое число известных лиц, в том числе высокопоставленные должностные лица обеих стран.  В торжественном представлении по случаю открытия фестиваля участвовало 66 традиционных исполнителей из различных районов Индии, известный флейтист г-н Раджендра Прассана и хореографическая группа "Кадамб" с исполнением танцев катхак под руководством </w:t>
      </w:r>
      <w:r>
        <w:br/>
        <w:t>г-жи Кумудини Лакхья.</w:t>
      </w:r>
    </w:p>
    <w:p w:rsidR="00000000" w:rsidRDefault="00000000">
      <w:pPr>
        <w:pStyle w:val="112"/>
      </w:pPr>
      <w:r>
        <w:t>713.</w:t>
      </w:r>
      <w:r>
        <w:tab/>
        <w:t>За шесть месяцев проведения фестиваля состоялся целый калейдоскоп программ/мероприятий/выставок, в том числе исполнение различных народных танцев Индии, выставка текстиля и изделий народных промыслов, кинофестиваль, фестиваль индийской кухни, научная выставка и совместная драматическая танцевальная постановка, посвященная буддийскому святому Миларепе.  Последним пунктом программы была танцевально-драматическая постановка под названием "Вечный путь", в которой совместно участвовали бутанские и индийские актеры и которая состоялась в Тхимпху 26 ноября.  На торжественном открытии этой постановки присутствовали премьер-министр Бутана Льонпо Джигми И. Тхинле и государственный министр культуры Индии г-жа Бхавнабен Д. Чикхалья.  В постановке использовался синтез языков, когда актеры говорили на хинди и на языке дзонгкха.  В этой танцевально-драматической программе приняло участие по 20 актеров из Индии и из Бутана.</w:t>
      </w:r>
    </w:p>
    <w:p w:rsidR="00000000" w:rsidRDefault="00000000">
      <w:pPr>
        <w:pStyle w:val="112"/>
      </w:pPr>
      <w:r>
        <w:t>714.</w:t>
      </w:r>
      <w:r>
        <w:tab/>
        <w:t>Ожидается, что фестиваль будет способствовать развитию глубоких долговременных связей между Индией и Бутаном, что и является целью мероприятий  такого рода.  Фестиваль индийской культуры в Бутане привнес дополнительный новый элемент в давние двусторонние отношения между двумя странами.  События такого рода всегда служат укреплению отношений и позволяют приобщиться к  богатому культурному, образовательному и социальному наследию как участвующей, так и принимающей страны, дать новый толчок развитию туризма и торговли и пробудить интерес к изучению истории, географии и культуры различных стран.</w:t>
      </w:r>
    </w:p>
    <w:p w:rsidR="00000000" w:rsidRDefault="00000000">
      <w:pPr>
        <w:pStyle w:val="112"/>
      </w:pPr>
      <w:r>
        <w:t>715.</w:t>
      </w:r>
      <w:r>
        <w:tab/>
        <w:t>Ниже приводится перечень стран, в которых проводился фестиваль Индии и ответные фестивали которых состоялись в Индии за период с 1982 года.</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Фестивали Индии за рубежом</w:t>
      </w:r>
    </w:p>
    <w:p w:rsidR="00000000" w:rsidRDefault="00000000">
      <w:pPr>
        <w:jc w:val="both"/>
        <w:rPr>
          <w:b/>
          <w:bCs/>
          <w:sz w:val="22"/>
          <w:szCs w:val="22"/>
        </w:rPr>
      </w:pPr>
    </w:p>
    <w:tbl>
      <w:tblPr>
        <w:tblW w:w="5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2912"/>
        <w:gridCol w:w="1667"/>
      </w:tblGrid>
      <w:tr w:rsidR="00000000">
        <w:tblPrEx>
          <w:tblCellMar>
            <w:top w:w="0" w:type="dxa"/>
            <w:bottom w:w="0" w:type="dxa"/>
          </w:tblCellMar>
        </w:tblPrEx>
        <w:trPr>
          <w:cantSplit/>
          <w:tblHeader/>
        </w:trPr>
        <w:tc>
          <w:tcPr>
            <w:tcW w:w="808" w:type="dxa"/>
          </w:tcPr>
          <w:p w:rsidR="00000000" w:rsidRDefault="00000000">
            <w:pPr>
              <w:pStyle w:val="Style"/>
              <w:spacing w:before="40" w:after="40"/>
              <w:jc w:val="both"/>
              <w:rPr>
                <w:szCs w:val="20"/>
                <w:lang w:val="ru-RU"/>
              </w:rPr>
            </w:pPr>
            <w:r>
              <w:rPr>
                <w:szCs w:val="20"/>
                <w:lang w:val="ru-RU"/>
              </w:rPr>
              <w:t>№</w:t>
            </w:r>
          </w:p>
        </w:tc>
        <w:tc>
          <w:tcPr>
            <w:tcW w:w="2912" w:type="dxa"/>
          </w:tcPr>
          <w:p w:rsidR="00000000" w:rsidRDefault="00000000">
            <w:pPr>
              <w:pStyle w:val="Style"/>
              <w:spacing w:before="40" w:after="40"/>
              <w:jc w:val="both"/>
              <w:rPr>
                <w:szCs w:val="20"/>
                <w:lang w:val="ru-RU"/>
              </w:rPr>
            </w:pPr>
            <w:r>
              <w:rPr>
                <w:szCs w:val="20"/>
                <w:lang w:val="ru-RU"/>
              </w:rPr>
              <w:t>Название страны</w:t>
            </w:r>
          </w:p>
        </w:tc>
        <w:tc>
          <w:tcPr>
            <w:tcW w:w="1667" w:type="dxa"/>
          </w:tcPr>
          <w:p w:rsidR="00000000" w:rsidRDefault="00000000">
            <w:pPr>
              <w:pStyle w:val="Style"/>
              <w:spacing w:before="40" w:after="40"/>
              <w:jc w:val="both"/>
              <w:rPr>
                <w:szCs w:val="20"/>
                <w:lang w:val="ru-RU"/>
              </w:rPr>
            </w:pPr>
            <w:r>
              <w:rPr>
                <w:szCs w:val="20"/>
                <w:lang w:val="ru-RU"/>
              </w:rPr>
              <w:t>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1</w:t>
            </w:r>
          </w:p>
        </w:tc>
        <w:tc>
          <w:tcPr>
            <w:tcW w:w="2912" w:type="dxa"/>
          </w:tcPr>
          <w:p w:rsidR="00000000" w:rsidRDefault="00000000">
            <w:pPr>
              <w:pStyle w:val="Style"/>
              <w:spacing w:before="40" w:after="40"/>
              <w:jc w:val="both"/>
              <w:rPr>
                <w:szCs w:val="20"/>
                <w:lang w:val="ru-RU"/>
              </w:rPr>
            </w:pPr>
            <w:r>
              <w:rPr>
                <w:szCs w:val="20"/>
                <w:lang w:val="ru-RU"/>
              </w:rPr>
              <w:t>Соединенное Королевство</w:t>
            </w:r>
          </w:p>
        </w:tc>
        <w:tc>
          <w:tcPr>
            <w:tcW w:w="1667" w:type="dxa"/>
          </w:tcPr>
          <w:p w:rsidR="00000000" w:rsidRDefault="00000000">
            <w:pPr>
              <w:pStyle w:val="Style"/>
              <w:spacing w:before="40" w:after="40"/>
              <w:jc w:val="both"/>
              <w:rPr>
                <w:szCs w:val="20"/>
                <w:lang w:val="ru-RU"/>
              </w:rPr>
            </w:pPr>
            <w:r>
              <w:rPr>
                <w:szCs w:val="20"/>
                <w:lang w:val="ru-RU"/>
              </w:rPr>
              <w:t>1982 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2</w:t>
            </w:r>
          </w:p>
        </w:tc>
        <w:tc>
          <w:tcPr>
            <w:tcW w:w="2912" w:type="dxa"/>
          </w:tcPr>
          <w:p w:rsidR="00000000" w:rsidRDefault="00000000">
            <w:pPr>
              <w:pStyle w:val="Style"/>
              <w:spacing w:before="40" w:after="40"/>
              <w:jc w:val="both"/>
              <w:rPr>
                <w:szCs w:val="20"/>
                <w:lang w:val="ru-RU"/>
              </w:rPr>
            </w:pPr>
            <w:r>
              <w:rPr>
                <w:szCs w:val="20"/>
                <w:lang w:val="ru-RU"/>
              </w:rPr>
              <w:t>Франция</w:t>
            </w:r>
          </w:p>
        </w:tc>
        <w:tc>
          <w:tcPr>
            <w:tcW w:w="1667" w:type="dxa"/>
          </w:tcPr>
          <w:p w:rsidR="00000000" w:rsidRDefault="00000000">
            <w:pPr>
              <w:pStyle w:val="Style"/>
              <w:spacing w:before="40" w:after="40"/>
              <w:jc w:val="both"/>
              <w:rPr>
                <w:szCs w:val="20"/>
                <w:lang w:val="ru-RU"/>
              </w:rPr>
            </w:pPr>
            <w:r>
              <w:rPr>
                <w:szCs w:val="20"/>
                <w:lang w:val="ru-RU"/>
              </w:rPr>
              <w:t>1985–1986 годы</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3</w:t>
            </w:r>
          </w:p>
        </w:tc>
        <w:tc>
          <w:tcPr>
            <w:tcW w:w="2912" w:type="dxa"/>
          </w:tcPr>
          <w:p w:rsidR="00000000" w:rsidRDefault="00000000">
            <w:pPr>
              <w:pStyle w:val="Style"/>
              <w:spacing w:before="40" w:after="40"/>
              <w:jc w:val="both"/>
              <w:rPr>
                <w:szCs w:val="20"/>
                <w:lang w:val="ru-RU"/>
              </w:rPr>
            </w:pPr>
            <w:r>
              <w:rPr>
                <w:szCs w:val="20"/>
                <w:lang w:val="ru-RU"/>
              </w:rPr>
              <w:t>США</w:t>
            </w:r>
          </w:p>
        </w:tc>
        <w:tc>
          <w:tcPr>
            <w:tcW w:w="1667" w:type="dxa"/>
          </w:tcPr>
          <w:p w:rsidR="00000000" w:rsidRDefault="00000000">
            <w:pPr>
              <w:pStyle w:val="Style"/>
              <w:spacing w:before="40" w:after="40"/>
              <w:jc w:val="both"/>
              <w:rPr>
                <w:szCs w:val="20"/>
                <w:lang w:val="ru-RU"/>
              </w:rPr>
            </w:pPr>
            <w:r>
              <w:rPr>
                <w:szCs w:val="20"/>
                <w:lang w:val="ru-RU"/>
              </w:rPr>
              <w:t>1985–1986 годы</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4</w:t>
            </w:r>
          </w:p>
        </w:tc>
        <w:tc>
          <w:tcPr>
            <w:tcW w:w="2912" w:type="dxa"/>
          </w:tcPr>
          <w:p w:rsidR="00000000" w:rsidRDefault="00000000">
            <w:pPr>
              <w:pStyle w:val="Style"/>
              <w:spacing w:before="40" w:after="40"/>
              <w:jc w:val="both"/>
              <w:rPr>
                <w:szCs w:val="20"/>
                <w:lang w:val="ru-RU"/>
              </w:rPr>
            </w:pPr>
            <w:r>
              <w:rPr>
                <w:szCs w:val="20"/>
                <w:lang w:val="ru-RU"/>
              </w:rPr>
              <w:t>Швеция</w:t>
            </w:r>
          </w:p>
        </w:tc>
        <w:tc>
          <w:tcPr>
            <w:tcW w:w="1667" w:type="dxa"/>
          </w:tcPr>
          <w:p w:rsidR="00000000" w:rsidRDefault="00000000">
            <w:pPr>
              <w:pStyle w:val="Style"/>
              <w:spacing w:before="40" w:after="40"/>
              <w:jc w:val="both"/>
              <w:rPr>
                <w:szCs w:val="20"/>
                <w:lang w:val="ru-RU"/>
              </w:rPr>
            </w:pPr>
            <w:r>
              <w:rPr>
                <w:szCs w:val="20"/>
                <w:lang w:val="ru-RU"/>
              </w:rPr>
              <w:t>1987 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5</w:t>
            </w:r>
          </w:p>
        </w:tc>
        <w:tc>
          <w:tcPr>
            <w:tcW w:w="2912" w:type="dxa"/>
          </w:tcPr>
          <w:p w:rsidR="00000000" w:rsidRDefault="00000000">
            <w:pPr>
              <w:pStyle w:val="Style"/>
              <w:spacing w:before="40" w:after="40"/>
              <w:jc w:val="both"/>
              <w:rPr>
                <w:szCs w:val="20"/>
                <w:lang w:val="ru-RU"/>
              </w:rPr>
            </w:pPr>
            <w:r>
              <w:rPr>
                <w:szCs w:val="20"/>
                <w:lang w:val="ru-RU"/>
              </w:rPr>
              <w:t>СССР</w:t>
            </w:r>
          </w:p>
        </w:tc>
        <w:tc>
          <w:tcPr>
            <w:tcW w:w="1667" w:type="dxa"/>
          </w:tcPr>
          <w:p w:rsidR="00000000" w:rsidRDefault="00000000">
            <w:pPr>
              <w:pStyle w:val="Style"/>
              <w:spacing w:before="40" w:after="40"/>
              <w:jc w:val="both"/>
              <w:rPr>
                <w:szCs w:val="20"/>
                <w:lang w:val="ru-RU"/>
              </w:rPr>
            </w:pPr>
            <w:r>
              <w:rPr>
                <w:szCs w:val="20"/>
                <w:lang w:val="ru-RU"/>
              </w:rPr>
              <w:t>1987–1988 годы</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6</w:t>
            </w:r>
          </w:p>
        </w:tc>
        <w:tc>
          <w:tcPr>
            <w:tcW w:w="2912" w:type="dxa"/>
          </w:tcPr>
          <w:p w:rsidR="00000000" w:rsidRDefault="00000000">
            <w:pPr>
              <w:pStyle w:val="Style"/>
              <w:spacing w:before="40" w:after="40"/>
              <w:jc w:val="both"/>
              <w:rPr>
                <w:szCs w:val="20"/>
                <w:lang w:val="ru-RU"/>
              </w:rPr>
            </w:pPr>
            <w:r>
              <w:rPr>
                <w:szCs w:val="20"/>
                <w:lang w:val="ru-RU"/>
              </w:rPr>
              <w:t>Япония</w:t>
            </w:r>
          </w:p>
        </w:tc>
        <w:tc>
          <w:tcPr>
            <w:tcW w:w="1667" w:type="dxa"/>
          </w:tcPr>
          <w:p w:rsidR="00000000" w:rsidRDefault="00000000">
            <w:pPr>
              <w:pStyle w:val="Style"/>
              <w:spacing w:before="40" w:after="40"/>
              <w:jc w:val="both"/>
              <w:rPr>
                <w:szCs w:val="20"/>
                <w:lang w:val="ru-RU"/>
              </w:rPr>
            </w:pPr>
            <w:r>
              <w:rPr>
                <w:szCs w:val="20"/>
                <w:lang w:val="ru-RU"/>
              </w:rPr>
              <w:t>1988 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7</w:t>
            </w:r>
          </w:p>
        </w:tc>
        <w:tc>
          <w:tcPr>
            <w:tcW w:w="2912" w:type="dxa"/>
          </w:tcPr>
          <w:p w:rsidR="00000000" w:rsidRDefault="00000000">
            <w:pPr>
              <w:pStyle w:val="Style"/>
              <w:spacing w:before="40" w:after="40"/>
              <w:jc w:val="both"/>
              <w:rPr>
                <w:szCs w:val="20"/>
                <w:lang w:val="ru-RU"/>
              </w:rPr>
            </w:pPr>
            <w:r>
              <w:rPr>
                <w:szCs w:val="20"/>
                <w:lang w:val="ru-RU"/>
              </w:rPr>
              <w:t>Германия</w:t>
            </w:r>
          </w:p>
        </w:tc>
        <w:tc>
          <w:tcPr>
            <w:tcW w:w="1667" w:type="dxa"/>
          </w:tcPr>
          <w:p w:rsidR="00000000" w:rsidRDefault="00000000">
            <w:pPr>
              <w:pStyle w:val="Style"/>
              <w:spacing w:before="40" w:after="40"/>
              <w:jc w:val="both"/>
              <w:rPr>
                <w:szCs w:val="20"/>
                <w:lang w:val="ru-RU"/>
              </w:rPr>
            </w:pPr>
            <w:r>
              <w:rPr>
                <w:szCs w:val="20"/>
                <w:lang w:val="ru-RU"/>
              </w:rPr>
              <w:t>1991 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8</w:t>
            </w:r>
          </w:p>
        </w:tc>
        <w:tc>
          <w:tcPr>
            <w:tcW w:w="2912" w:type="dxa"/>
          </w:tcPr>
          <w:p w:rsidR="00000000" w:rsidRDefault="00000000">
            <w:pPr>
              <w:pStyle w:val="Style"/>
              <w:spacing w:before="40" w:after="40"/>
              <w:jc w:val="both"/>
              <w:rPr>
                <w:szCs w:val="20"/>
                <w:lang w:val="ru-RU"/>
              </w:rPr>
            </w:pPr>
            <w:r>
              <w:rPr>
                <w:szCs w:val="20"/>
                <w:lang w:val="ru-RU"/>
              </w:rPr>
              <w:t>Китай</w:t>
            </w:r>
          </w:p>
        </w:tc>
        <w:tc>
          <w:tcPr>
            <w:tcW w:w="1667" w:type="dxa"/>
          </w:tcPr>
          <w:p w:rsidR="00000000" w:rsidRDefault="00000000">
            <w:pPr>
              <w:pStyle w:val="Style"/>
              <w:spacing w:before="40" w:after="40"/>
              <w:jc w:val="both"/>
              <w:rPr>
                <w:szCs w:val="20"/>
                <w:lang w:val="ru-RU"/>
              </w:rPr>
            </w:pPr>
            <w:r>
              <w:rPr>
                <w:szCs w:val="20"/>
                <w:lang w:val="ru-RU"/>
              </w:rPr>
              <w:t>1994 год</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9</w:t>
            </w:r>
          </w:p>
        </w:tc>
        <w:tc>
          <w:tcPr>
            <w:tcW w:w="2912" w:type="dxa"/>
          </w:tcPr>
          <w:p w:rsidR="00000000" w:rsidRDefault="00000000">
            <w:pPr>
              <w:pStyle w:val="Style"/>
              <w:spacing w:before="40" w:after="40"/>
              <w:jc w:val="both"/>
              <w:rPr>
                <w:szCs w:val="20"/>
                <w:lang w:val="ru-RU"/>
              </w:rPr>
            </w:pPr>
            <w:r>
              <w:rPr>
                <w:szCs w:val="20"/>
                <w:lang w:val="ru-RU"/>
              </w:rPr>
              <w:t>Таиланд</w:t>
            </w:r>
          </w:p>
        </w:tc>
        <w:tc>
          <w:tcPr>
            <w:tcW w:w="1667" w:type="dxa"/>
          </w:tcPr>
          <w:p w:rsidR="00000000" w:rsidRDefault="00000000">
            <w:pPr>
              <w:pStyle w:val="Style"/>
              <w:spacing w:before="40" w:after="40"/>
              <w:jc w:val="both"/>
              <w:rPr>
                <w:szCs w:val="20"/>
                <w:lang w:val="ru-RU"/>
              </w:rPr>
            </w:pPr>
            <w:r>
              <w:rPr>
                <w:szCs w:val="20"/>
                <w:lang w:val="ru-RU"/>
              </w:rPr>
              <w:t>1995–1997 годы</w:t>
            </w:r>
          </w:p>
        </w:tc>
      </w:tr>
      <w:tr w:rsidR="00000000">
        <w:tblPrEx>
          <w:tblCellMar>
            <w:top w:w="0" w:type="dxa"/>
            <w:bottom w:w="0" w:type="dxa"/>
          </w:tblCellMar>
        </w:tblPrEx>
        <w:tc>
          <w:tcPr>
            <w:tcW w:w="808" w:type="dxa"/>
          </w:tcPr>
          <w:p w:rsidR="00000000" w:rsidRDefault="00000000">
            <w:pPr>
              <w:pStyle w:val="Style"/>
              <w:spacing w:before="40" w:after="40"/>
              <w:jc w:val="both"/>
              <w:rPr>
                <w:szCs w:val="20"/>
                <w:lang w:val="ru-RU"/>
              </w:rPr>
            </w:pPr>
            <w:r>
              <w:rPr>
                <w:szCs w:val="20"/>
                <w:lang w:val="ru-RU"/>
              </w:rPr>
              <w:t>10</w:t>
            </w:r>
          </w:p>
        </w:tc>
        <w:tc>
          <w:tcPr>
            <w:tcW w:w="2912" w:type="dxa"/>
          </w:tcPr>
          <w:p w:rsidR="00000000" w:rsidRDefault="00000000">
            <w:pPr>
              <w:pStyle w:val="Style"/>
              <w:spacing w:before="40" w:after="40"/>
              <w:jc w:val="both"/>
              <w:rPr>
                <w:szCs w:val="20"/>
                <w:lang w:val="ru-RU"/>
              </w:rPr>
            </w:pPr>
            <w:r>
              <w:rPr>
                <w:szCs w:val="20"/>
                <w:lang w:val="ru-RU"/>
              </w:rPr>
              <w:t>Бутан</w:t>
            </w:r>
          </w:p>
        </w:tc>
        <w:tc>
          <w:tcPr>
            <w:tcW w:w="1667" w:type="dxa"/>
          </w:tcPr>
          <w:p w:rsidR="00000000" w:rsidRDefault="00000000">
            <w:pPr>
              <w:pStyle w:val="Style"/>
              <w:spacing w:before="40" w:after="40"/>
              <w:jc w:val="both"/>
              <w:rPr>
                <w:szCs w:val="20"/>
                <w:lang w:val="ru-RU"/>
              </w:rPr>
            </w:pPr>
            <w:r>
              <w:rPr>
                <w:szCs w:val="20"/>
                <w:lang w:val="ru-RU"/>
              </w:rPr>
              <w:t>2003 год</w:t>
            </w:r>
          </w:p>
        </w:tc>
      </w:tr>
    </w:tbl>
    <w:p w:rsidR="00000000" w:rsidRDefault="00000000">
      <w:pPr>
        <w:jc w:val="both"/>
        <w:rPr>
          <w:sz w:val="22"/>
          <w:szCs w:val="22"/>
        </w:rPr>
      </w:pPr>
    </w:p>
    <w:p w:rsidR="00000000" w:rsidRDefault="00000000">
      <w:pPr>
        <w:spacing w:before="120"/>
        <w:jc w:val="both"/>
        <w:rPr>
          <w:b/>
          <w:bCs/>
          <w:sz w:val="22"/>
          <w:szCs w:val="22"/>
        </w:rPr>
      </w:pPr>
      <w:r>
        <w:rPr>
          <w:b/>
          <w:bCs/>
          <w:sz w:val="22"/>
          <w:szCs w:val="22"/>
        </w:rPr>
        <w:t>Ответные фестивали в Индии</w:t>
      </w:r>
    </w:p>
    <w:p w:rsidR="00000000" w:rsidRDefault="00000000">
      <w:pPr>
        <w:jc w:val="both"/>
        <w:rPr>
          <w:b/>
          <w:bCs/>
          <w:sz w:val="22"/>
          <w:szCs w:val="22"/>
        </w:rPr>
      </w:pPr>
    </w:p>
    <w:tbl>
      <w:tblPr>
        <w:tblW w:w="5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2"/>
        <w:gridCol w:w="2898"/>
        <w:gridCol w:w="1657"/>
      </w:tblGrid>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w:t>
            </w:r>
          </w:p>
        </w:tc>
        <w:tc>
          <w:tcPr>
            <w:tcW w:w="2898" w:type="dxa"/>
          </w:tcPr>
          <w:p w:rsidR="00000000" w:rsidRDefault="00000000">
            <w:pPr>
              <w:pStyle w:val="Style"/>
              <w:spacing w:before="40" w:after="40"/>
              <w:jc w:val="both"/>
              <w:rPr>
                <w:szCs w:val="20"/>
                <w:lang w:val="ru-RU"/>
              </w:rPr>
            </w:pPr>
            <w:r>
              <w:rPr>
                <w:szCs w:val="20"/>
                <w:lang w:val="ru-RU"/>
              </w:rPr>
              <w:t>Название страны</w:t>
            </w:r>
          </w:p>
        </w:tc>
        <w:tc>
          <w:tcPr>
            <w:tcW w:w="1657" w:type="dxa"/>
          </w:tcPr>
          <w:p w:rsidR="00000000" w:rsidRDefault="00000000">
            <w:pPr>
              <w:pStyle w:val="Style"/>
              <w:spacing w:before="40" w:after="40"/>
              <w:jc w:val="both"/>
              <w:rPr>
                <w:szCs w:val="20"/>
                <w:lang w:val="ru-RU"/>
              </w:rPr>
            </w:pPr>
            <w:r>
              <w:rPr>
                <w:szCs w:val="20"/>
                <w:lang w:val="ru-RU"/>
              </w:rPr>
              <w:t>Год</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1</w:t>
            </w:r>
          </w:p>
        </w:tc>
        <w:tc>
          <w:tcPr>
            <w:tcW w:w="2898" w:type="dxa"/>
          </w:tcPr>
          <w:p w:rsidR="00000000" w:rsidRDefault="00000000">
            <w:pPr>
              <w:pStyle w:val="Style"/>
              <w:spacing w:before="40" w:after="40"/>
              <w:jc w:val="both"/>
              <w:rPr>
                <w:szCs w:val="20"/>
                <w:lang w:val="ru-RU"/>
              </w:rPr>
            </w:pPr>
            <w:r>
              <w:rPr>
                <w:szCs w:val="20"/>
                <w:lang w:val="ru-RU"/>
              </w:rPr>
              <w:t>Фестиваль СССР в Индии</w:t>
            </w:r>
          </w:p>
        </w:tc>
        <w:tc>
          <w:tcPr>
            <w:tcW w:w="1657" w:type="dxa"/>
          </w:tcPr>
          <w:p w:rsidR="00000000" w:rsidRDefault="00000000">
            <w:pPr>
              <w:pStyle w:val="Style"/>
              <w:spacing w:before="40" w:after="40"/>
              <w:jc w:val="both"/>
              <w:rPr>
                <w:szCs w:val="20"/>
                <w:lang w:val="ru-RU"/>
              </w:rPr>
            </w:pPr>
            <w:r>
              <w:rPr>
                <w:szCs w:val="20"/>
                <w:lang w:val="ru-RU"/>
              </w:rPr>
              <w:t>1987–1988 годы</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2</w:t>
            </w:r>
          </w:p>
        </w:tc>
        <w:tc>
          <w:tcPr>
            <w:tcW w:w="2898" w:type="dxa"/>
          </w:tcPr>
          <w:p w:rsidR="00000000" w:rsidRDefault="00000000">
            <w:pPr>
              <w:pStyle w:val="Style"/>
              <w:spacing w:before="40" w:after="40"/>
              <w:jc w:val="both"/>
              <w:rPr>
                <w:szCs w:val="20"/>
                <w:lang w:val="ru-RU"/>
              </w:rPr>
            </w:pPr>
            <w:r>
              <w:rPr>
                <w:szCs w:val="20"/>
                <w:lang w:val="ru-RU"/>
              </w:rPr>
              <w:t>Месяц Японии в Индии</w:t>
            </w:r>
          </w:p>
        </w:tc>
        <w:tc>
          <w:tcPr>
            <w:tcW w:w="1657" w:type="dxa"/>
          </w:tcPr>
          <w:p w:rsidR="00000000" w:rsidRDefault="00000000">
            <w:pPr>
              <w:pStyle w:val="Style"/>
              <w:spacing w:before="40" w:after="40"/>
              <w:jc w:val="both"/>
              <w:rPr>
                <w:szCs w:val="20"/>
                <w:lang w:val="ru-RU"/>
              </w:rPr>
            </w:pPr>
            <w:r>
              <w:rPr>
                <w:szCs w:val="20"/>
                <w:lang w:val="ru-RU"/>
              </w:rPr>
              <w:t>1987 год</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3</w:t>
            </w:r>
          </w:p>
        </w:tc>
        <w:tc>
          <w:tcPr>
            <w:tcW w:w="2898" w:type="dxa"/>
          </w:tcPr>
          <w:p w:rsidR="00000000" w:rsidRDefault="00000000">
            <w:pPr>
              <w:pStyle w:val="Style"/>
              <w:spacing w:before="40" w:after="40"/>
              <w:jc w:val="both"/>
              <w:rPr>
                <w:szCs w:val="20"/>
                <w:lang w:val="ru-RU"/>
              </w:rPr>
            </w:pPr>
            <w:r>
              <w:rPr>
                <w:szCs w:val="20"/>
                <w:lang w:val="ru-RU"/>
              </w:rPr>
              <w:t>Фестиваль Франции в Индии</w:t>
            </w:r>
          </w:p>
        </w:tc>
        <w:tc>
          <w:tcPr>
            <w:tcW w:w="1657" w:type="dxa"/>
          </w:tcPr>
          <w:p w:rsidR="00000000" w:rsidRDefault="00000000">
            <w:pPr>
              <w:pStyle w:val="Style"/>
              <w:spacing w:before="40" w:after="40"/>
              <w:jc w:val="both"/>
              <w:rPr>
                <w:szCs w:val="20"/>
                <w:lang w:val="ru-RU"/>
              </w:rPr>
            </w:pPr>
            <w:r>
              <w:rPr>
                <w:szCs w:val="20"/>
                <w:lang w:val="ru-RU"/>
              </w:rPr>
              <w:t>1989–1990 годы</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4</w:t>
            </w:r>
          </w:p>
        </w:tc>
        <w:tc>
          <w:tcPr>
            <w:tcW w:w="2898" w:type="dxa"/>
          </w:tcPr>
          <w:p w:rsidR="00000000" w:rsidRDefault="00000000">
            <w:pPr>
              <w:pStyle w:val="Style"/>
              <w:spacing w:before="40" w:after="40"/>
              <w:jc w:val="both"/>
              <w:rPr>
                <w:szCs w:val="20"/>
                <w:lang w:val="ru-RU"/>
              </w:rPr>
            </w:pPr>
            <w:r>
              <w:rPr>
                <w:szCs w:val="20"/>
                <w:lang w:val="ru-RU"/>
              </w:rPr>
              <w:t>Фестиваль Швеции в Индии</w:t>
            </w:r>
          </w:p>
        </w:tc>
        <w:tc>
          <w:tcPr>
            <w:tcW w:w="1657" w:type="dxa"/>
          </w:tcPr>
          <w:p w:rsidR="00000000" w:rsidRDefault="00000000">
            <w:pPr>
              <w:pStyle w:val="Style"/>
              <w:spacing w:before="40" w:after="40"/>
              <w:jc w:val="both"/>
              <w:rPr>
                <w:szCs w:val="20"/>
                <w:lang w:val="ru-RU"/>
              </w:rPr>
            </w:pPr>
            <w:r>
              <w:rPr>
                <w:szCs w:val="20"/>
                <w:lang w:val="ru-RU"/>
              </w:rPr>
              <w:t>1991–1993 годы</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5</w:t>
            </w:r>
          </w:p>
        </w:tc>
        <w:tc>
          <w:tcPr>
            <w:tcW w:w="2898" w:type="dxa"/>
          </w:tcPr>
          <w:p w:rsidR="00000000" w:rsidRDefault="00000000">
            <w:pPr>
              <w:pStyle w:val="Style"/>
              <w:spacing w:before="40" w:after="40"/>
              <w:jc w:val="both"/>
              <w:rPr>
                <w:szCs w:val="20"/>
                <w:lang w:val="ru-RU"/>
              </w:rPr>
            </w:pPr>
            <w:r>
              <w:rPr>
                <w:szCs w:val="20"/>
                <w:lang w:val="ru-RU"/>
              </w:rPr>
              <w:t>Фестиваль Китая в Индии</w:t>
            </w:r>
          </w:p>
        </w:tc>
        <w:tc>
          <w:tcPr>
            <w:tcW w:w="1657" w:type="dxa"/>
          </w:tcPr>
          <w:p w:rsidR="00000000" w:rsidRDefault="00000000">
            <w:pPr>
              <w:pStyle w:val="Style"/>
              <w:spacing w:before="40" w:after="40"/>
              <w:jc w:val="both"/>
              <w:rPr>
                <w:szCs w:val="20"/>
                <w:lang w:val="ru-RU"/>
              </w:rPr>
            </w:pPr>
            <w:r>
              <w:rPr>
                <w:szCs w:val="20"/>
                <w:lang w:val="ru-RU"/>
              </w:rPr>
              <w:t>1992–1993 годы</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6</w:t>
            </w:r>
          </w:p>
        </w:tc>
        <w:tc>
          <w:tcPr>
            <w:tcW w:w="2898" w:type="dxa"/>
          </w:tcPr>
          <w:p w:rsidR="00000000" w:rsidRDefault="00000000">
            <w:pPr>
              <w:pStyle w:val="Style"/>
              <w:spacing w:before="40" w:after="40"/>
              <w:jc w:val="both"/>
              <w:rPr>
                <w:szCs w:val="20"/>
                <w:lang w:val="ru-RU"/>
              </w:rPr>
            </w:pPr>
            <w:r>
              <w:rPr>
                <w:szCs w:val="20"/>
                <w:lang w:val="ru-RU"/>
              </w:rPr>
              <w:t>Фестиваль Таиланда в Индии</w:t>
            </w:r>
          </w:p>
        </w:tc>
        <w:tc>
          <w:tcPr>
            <w:tcW w:w="1657" w:type="dxa"/>
          </w:tcPr>
          <w:p w:rsidR="00000000" w:rsidRDefault="00000000">
            <w:pPr>
              <w:pStyle w:val="Style"/>
              <w:spacing w:before="40" w:after="40"/>
              <w:jc w:val="both"/>
              <w:rPr>
                <w:szCs w:val="20"/>
                <w:lang w:val="ru-RU"/>
              </w:rPr>
            </w:pPr>
            <w:r>
              <w:rPr>
                <w:szCs w:val="20"/>
                <w:lang w:val="ru-RU"/>
              </w:rPr>
              <w:t>1997 год</w:t>
            </w:r>
          </w:p>
        </w:tc>
      </w:tr>
      <w:tr w:rsidR="00000000">
        <w:tblPrEx>
          <w:tblCellMar>
            <w:top w:w="0" w:type="dxa"/>
            <w:bottom w:w="0" w:type="dxa"/>
          </w:tblCellMar>
        </w:tblPrEx>
        <w:tc>
          <w:tcPr>
            <w:tcW w:w="832" w:type="dxa"/>
          </w:tcPr>
          <w:p w:rsidR="00000000" w:rsidRDefault="00000000">
            <w:pPr>
              <w:pStyle w:val="Style"/>
              <w:spacing w:before="40" w:after="40"/>
              <w:jc w:val="both"/>
              <w:rPr>
                <w:szCs w:val="20"/>
                <w:lang w:val="ru-RU"/>
              </w:rPr>
            </w:pPr>
            <w:r>
              <w:rPr>
                <w:szCs w:val="20"/>
                <w:lang w:val="ru-RU"/>
              </w:rPr>
              <w:t>7</w:t>
            </w:r>
          </w:p>
        </w:tc>
        <w:tc>
          <w:tcPr>
            <w:tcW w:w="2898" w:type="dxa"/>
          </w:tcPr>
          <w:p w:rsidR="00000000" w:rsidRDefault="00000000">
            <w:pPr>
              <w:pStyle w:val="Style"/>
              <w:spacing w:before="40" w:after="40"/>
              <w:jc w:val="both"/>
              <w:rPr>
                <w:szCs w:val="20"/>
                <w:lang w:val="ru-RU"/>
              </w:rPr>
            </w:pPr>
            <w:r>
              <w:rPr>
                <w:szCs w:val="20"/>
                <w:lang w:val="ru-RU"/>
              </w:rPr>
              <w:t>Фестиваль Германии в Индии</w:t>
            </w:r>
          </w:p>
        </w:tc>
        <w:tc>
          <w:tcPr>
            <w:tcW w:w="1657" w:type="dxa"/>
          </w:tcPr>
          <w:p w:rsidR="00000000" w:rsidRDefault="00000000">
            <w:pPr>
              <w:pStyle w:val="Style"/>
              <w:spacing w:before="40" w:after="40"/>
              <w:jc w:val="both"/>
              <w:rPr>
                <w:szCs w:val="20"/>
                <w:lang w:val="ru-RU"/>
              </w:rPr>
            </w:pPr>
            <w:r>
              <w:rPr>
                <w:szCs w:val="20"/>
                <w:lang w:val="ru-RU"/>
              </w:rPr>
              <w:t>2000–2001 годы</w:t>
            </w:r>
          </w:p>
        </w:tc>
      </w:tr>
    </w:tbl>
    <w:p w:rsidR="00000000" w:rsidRDefault="00000000">
      <w:pPr>
        <w:jc w:val="both"/>
        <w:rPr>
          <w:sz w:val="22"/>
          <w:szCs w:val="22"/>
          <w:lang w:val="en-US"/>
        </w:rPr>
      </w:pPr>
    </w:p>
    <w:p w:rsidR="00000000" w:rsidRDefault="00000000">
      <w:pPr>
        <w:jc w:val="both"/>
        <w:rPr>
          <w:sz w:val="22"/>
          <w:szCs w:val="22"/>
        </w:rPr>
      </w:pPr>
      <w:r>
        <w:rPr>
          <w:sz w:val="22"/>
          <w:szCs w:val="22"/>
        </w:rPr>
        <w:t>716.</w:t>
      </w:r>
      <w:r>
        <w:rPr>
          <w:sz w:val="22"/>
          <w:szCs w:val="22"/>
        </w:rPr>
        <w:tab/>
        <w:t>Правительство Индии активно проводит политику культурного сотрудничества со многими странами мира.  На данный момент Индия заключила 114 соглашений о культурных связях с различными странами, цель которых, помимо формирования духа международного взаимопонимания, заключается в ознакомлении с индийской культурой  и развитии двустороннего сотрудничества между Индией и другими странами в областях искусства и культуры, средств массовой информации, молодежи и спорта и т. д.  Соглашения о культурных связях помогают установить новые и укрепить давние отношения, освященные традицией и историей, и активизировать существующие связи.  В соглашениях о культурных связях закрепляются общие принципы сотрудничества, и их осуществление происходит в рамках программ культурных обменов, которые разрабатываются на основе взаимной договоренности.  Наряду с обменом делегациями такие программы предусматривают обмен работниками искусства и исполнительскими труппами, проведение выставок, дней и недель культуры, организацию фестивалей, семинаров и конференций, обмен техническими знаниями в области сохранения археологических памятников, музеев, библиотек, средств массовой информации и т. д.  Индийский совет по культурным связям также играет важную роль в развитии культурных отношений с зарубежными странами.</w:t>
      </w:r>
    </w:p>
    <w:p w:rsidR="00000000" w:rsidRDefault="00000000">
      <w:pPr>
        <w:pStyle w:val="112"/>
      </w:pPr>
      <w:r>
        <w:t>717.</w:t>
      </w:r>
      <w:r>
        <w:tab/>
        <w:t>Центр культурных ресурсов и подготовки кадров принимает меры по совершенствованию системы образования посредством информирования и осведомления учащихся о многообразии региональных культур Индии и использования этих знаний в процессе обучения.  Он организует учебные программы по индийскому искусству и культуре для преподавателей и студентов из зарубежных стран.  Центр осуществляет программу поиска талантов и предоставления стипендий в области культуры, которой охвачено 300 способных детей в возрасте от 10 до 14 лет.</w:t>
      </w:r>
    </w:p>
    <w:p w:rsidR="00000000" w:rsidRDefault="00000000">
      <w:pPr>
        <w:pStyle w:val="112"/>
      </w:pPr>
      <w:r>
        <w:t>718.</w:t>
      </w:r>
      <w:r>
        <w:tab/>
        <w:t xml:space="preserve">Программа "Джавахар Навадья Видайалас" предусматривает создание школ совместного обучения по месту жительства, характерной особенностью которых является мобильность учеников. В целях содействия национальной интеграции на основе понимания многообразия и разнообразия народов страны, их языка и культуры в рамках этой программы производится обмен учениками: 30% учеников девятого класса из центральной школы (видайлайя), расположенной в районе, где население говорит на хинди, проводит учебный год в центральной школе, расположенной в районе, в котором местные жители не говорят на хинди, и наоборот.  </w:t>
      </w:r>
    </w:p>
    <w:p w:rsidR="00000000" w:rsidRDefault="00000000">
      <w:pPr>
        <w:pStyle w:val="112"/>
      </w:pPr>
      <w:r>
        <w:t>719.</w:t>
      </w:r>
      <w:r>
        <w:tab/>
        <w:t>Учрежденная в 1956 году национальная программа "Бал Бхаван" также способствует развитию творчества среди детей в возрасте от 5 до 16 лет, особенно из уязвимых слоев общества.  Детей поощряют заниматься по своему выбору такими видами деятельности, как детское творчество, исполнительское искусство, охрана окружающей среды, астрономия, фотография, комплексные мероприятия, физкультура, научная деятельность и т. д.</w:t>
      </w:r>
    </w:p>
    <w:p w:rsidR="00000000" w:rsidRDefault="00000000">
      <w:pPr>
        <w:spacing w:before="240"/>
        <w:jc w:val="both"/>
        <w:rPr>
          <w:sz w:val="22"/>
          <w:szCs w:val="22"/>
        </w:rPr>
      </w:pPr>
      <w:r>
        <w:rPr>
          <w:sz w:val="22"/>
          <w:szCs w:val="22"/>
        </w:rPr>
        <w:t>720.</w:t>
      </w:r>
      <w:r>
        <w:rPr>
          <w:sz w:val="22"/>
          <w:szCs w:val="22"/>
        </w:rPr>
        <w:tab/>
        <w:t>В соответствии с национальной стратегией в сфере образования, принятой в 1986 году и пересмотренной в 1992 году, осуществляется централизованная программа помощи, в рамках которой оказывается финансовая поддержка правительственным и неправительственным организациям, а также панчаятам, занимающимся пропагандой культурных и образовательных ценностей в школах и системе неформального образования и подготовкой в процессе работы учителей музыки, искусства, ремесел и танцев.</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Стипендии и финансовая помощь</w:t>
      </w:r>
    </w:p>
    <w:p w:rsidR="00000000" w:rsidRDefault="00000000">
      <w:pPr>
        <w:jc w:val="both"/>
        <w:rPr>
          <w:b/>
          <w:bCs/>
          <w:sz w:val="22"/>
          <w:szCs w:val="22"/>
        </w:rPr>
      </w:pPr>
    </w:p>
    <w:p w:rsidR="00000000" w:rsidRDefault="00000000">
      <w:pPr>
        <w:jc w:val="both"/>
        <w:rPr>
          <w:sz w:val="22"/>
          <w:szCs w:val="22"/>
        </w:rPr>
      </w:pPr>
      <w:r>
        <w:rPr>
          <w:sz w:val="22"/>
          <w:szCs w:val="22"/>
        </w:rPr>
        <w:t>721.</w:t>
      </w:r>
      <w:r>
        <w:rPr>
          <w:sz w:val="22"/>
          <w:szCs w:val="22"/>
        </w:rPr>
        <w:tab/>
        <w:t>В 1998/99 году была введена программа стипендий, призванная поощрять применение современных идей, принципов, методик и технологий в областях идеологии, экономики культуры, строительных и инженерных методов охраны памятников, монастырей, надписей на камне, научно-технических принципов общения, социологии  культуры, управления национальным достоянием и институтами искусства и культуры, а также исследований, касающихся применения науки и техники при сохранении археологических объектов, предметов из керамики, металла и т. д.</w:t>
      </w:r>
    </w:p>
    <w:p w:rsidR="00000000" w:rsidRDefault="00000000">
      <w:pPr>
        <w:pStyle w:val="112"/>
      </w:pPr>
      <w:r>
        <w:t>722.</w:t>
      </w:r>
      <w:r>
        <w:tab/>
        <w:t>Программу стипендий для людей искусства старшего и младшего возраста осуществляют различные национальные академии.  Осуществляется программа финансовой помощи способным молодым артистам в возрасте от 18 до 25 лет для продолжения обучения в Индии в областях музыки, танца, традиционных видов искусства, драмы, а также народных и местных искусств.</w:t>
      </w:r>
    </w:p>
    <w:p w:rsidR="00000000" w:rsidRDefault="00000000">
      <w:pPr>
        <w:pStyle w:val="112"/>
      </w:pPr>
      <w:r>
        <w:t>723.</w:t>
      </w:r>
      <w:r>
        <w:tab/>
        <w:t>Институтам всеиндийского уровня, занимающимся развитием культуры, предоставляется финансовая помощь в покрытии их расходов на содержание и развитие.  Такими институтами являются Институт исторических исследований в Колкате и Институт традиционной культуры в Ченнаи.  Правительство предоставляет также стипендии индийским ученым для обучения в аспирантуре и занятия исследовательской и научной работой на основе докторских диссертаций за рубежом при наличии предложений от правительств зарубежных стран по линии различных программ культурных и образовательных обменов.  В течение 2002/03 года было предоставлено 105 стипендий.</w:t>
      </w:r>
    </w:p>
    <w:p w:rsidR="00000000" w:rsidRDefault="00000000">
      <w:pPr>
        <w:pStyle w:val="112"/>
      </w:pPr>
      <w:r>
        <w:t>724.</w:t>
      </w:r>
      <w:r>
        <w:tab/>
        <w:t>Программа фестивалей Индии была принята с целью дать другим странам конкретное представление о богатом культурном достоянии и современном динамизме индийской культуры.  С 1982 года фестивали Индии проводились в Соединенном Королевстве, США, Франции, СССР, Японии, Швеции, Германии, Китае и Таиланде.  В Индии состоялись ответные фестивали бывшего СССР, Японии, Франции, Китая, Таиланда и Швеции.</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Средства массовой информации в сфере культуры</w:t>
      </w:r>
    </w:p>
    <w:p w:rsidR="00000000" w:rsidRDefault="00000000">
      <w:pPr>
        <w:jc w:val="both"/>
        <w:rPr>
          <w:b/>
          <w:bCs/>
          <w:sz w:val="22"/>
          <w:szCs w:val="22"/>
        </w:rPr>
      </w:pPr>
    </w:p>
    <w:p w:rsidR="00000000" w:rsidRDefault="00000000">
      <w:pPr>
        <w:jc w:val="both"/>
        <w:rPr>
          <w:sz w:val="22"/>
          <w:szCs w:val="22"/>
        </w:rPr>
      </w:pPr>
      <w:r>
        <w:rPr>
          <w:sz w:val="22"/>
          <w:szCs w:val="22"/>
        </w:rPr>
        <w:t>725.</w:t>
      </w:r>
      <w:r>
        <w:rPr>
          <w:sz w:val="22"/>
          <w:szCs w:val="22"/>
        </w:rPr>
        <w:tab/>
        <w:t xml:space="preserve">Правительство также поддерживает и поощряет участие населения в культурной жизни страны с помощью различных средств массовых коммуникаций.  Полтора десятилетия назад вести открытое вещание в эфире могли только государственные канылы.  В настоящее время вещательный сектор насчитывает сотню частных каналов и кабельных сетей по всей стране.  Главным учреждением в этой области является </w:t>
      </w:r>
      <w:r>
        <w:rPr>
          <w:caps/>
          <w:sz w:val="22"/>
          <w:szCs w:val="22"/>
        </w:rPr>
        <w:t>м</w:t>
      </w:r>
      <w:r>
        <w:rPr>
          <w:sz w:val="22"/>
          <w:szCs w:val="22"/>
        </w:rPr>
        <w:t xml:space="preserve">инистерство информации и вещания.  Государственная телевещательная корпорация носит название "Прасар Бхарати" и была создана на основании </w:t>
      </w:r>
      <w:r>
        <w:rPr>
          <w:caps/>
          <w:sz w:val="22"/>
          <w:szCs w:val="22"/>
        </w:rPr>
        <w:t>з</w:t>
      </w:r>
      <w:r>
        <w:rPr>
          <w:sz w:val="22"/>
          <w:szCs w:val="22"/>
        </w:rPr>
        <w:t>акона 1997 года, предусматривавшего подчинение ей компании "Дордаршан" и Всеиндийского радио.  Одна из задач корпорации "Прасар Бхарати" заключается в обеспечении надлежащего освещения различных культурных и спортивных мероприятий, игр и молодежных событий.</w:t>
      </w:r>
    </w:p>
    <w:p w:rsidR="00000000" w:rsidRDefault="00000000">
      <w:pPr>
        <w:pStyle w:val="112"/>
      </w:pPr>
      <w:r>
        <w:t>726.</w:t>
      </w:r>
      <w:r>
        <w:tab/>
        <w:t>В такой стране, как Индия, где существует большое количество языков, Всеиндийское радио использует в своей работе 24 языка и 146 диалектов.  Всеиндийское радио ведет вещание на следующих каналах:  1)  первый канал, 2)  национальный канал, 3)  коммерческая служба вещания ("Вивидх Бхарати"), 4)  каналы ЧМ-вещания и 5)  канал внешнего вещания.  По первому каналу транслируются передачи по искусству и культуре с уделением особого внимания индийской классической музыке, при этом примерно 40% общего времени вещания первого канала приходится на музыку, которая включает в себя классическую, легкую, народную музыку, музыку из кинофильмов и музыкальные передачи на различных языках.  Национальный канал и "Вивидх Бхарати" также передают музыку.  Стремясь знакомить зарубежных слушателей с жизнью Индии, отдел внешнего вещания Всеиндийского радио работает на 100 стран на 27 языках, 17 из которых иностранные и 10 индийские.  Во Всеиндийском радио имеется архив звукозаписей, насчитывающий 12 500 бобин музыки, которые в настоящее время преобразуются в формат компактного диска для обеспечения большей сохранности,  а также отдельная справочная фонотека народной и племенной музыки и песен на всех основных языках и диалектах страны.</w:t>
      </w:r>
    </w:p>
    <w:p w:rsidR="00000000" w:rsidRDefault="00000000">
      <w:pPr>
        <w:pStyle w:val="112"/>
      </w:pPr>
      <w:r>
        <w:t>727.</w:t>
      </w:r>
      <w:r>
        <w:tab/>
        <w:t>Компания "Дордаршан" ведет вещание по ряду национальных и 12 региональных каналов.  Ее программа вещания слагается их трех уровней – национального, регионального и местного.  По национальной программе демонстрируются документальные фильмы о науке, искусстве, культуре, охране окружающей среды, по социальным вопросам, о музыке, танце и драме, а также художественные фильмы.  Культурное наследие Индии освещается по новому учебно-развлекательному каналу Индии "ДД-Бхарати", вечерняя программа передач которого посвящена музыке, танцу, искусствам, туризму национальным ценностям.  Перед международным каналом "ДД-Индия" стоит задача выполнять роль связующего звена с индийцами, живущими за рубежом, и показывать всему миру реальную Индию, ее культуру, ценности, традиции, ее современный дух, многоликость, ее боль и радость.</w:t>
      </w:r>
    </w:p>
    <w:p w:rsidR="00000000" w:rsidRDefault="00000000">
      <w:pPr>
        <w:pStyle w:val="112"/>
      </w:pPr>
      <w:r>
        <w:t>728.</w:t>
      </w:r>
      <w:r>
        <w:tab/>
        <w:t xml:space="preserve">Правительство заботится о том, чтобы средства массовой информации использовались конструктивно и способствовали достойному и здоровому развитию людей, особенно детей.  Исходя из этого, в Закон о кабельных телевизионных сетях были внесены поправки, с тем чтобы не допускать рекламы спиртного, табака и заменителей материнского молока, не транслировать пиратские кинофильмы и обеспечить доступ не менее чем к трем каналам "Дордаршана". </w:t>
      </w:r>
      <w:r>
        <w:tab/>
      </w:r>
    </w:p>
    <w:p w:rsidR="00000000" w:rsidRDefault="00000000">
      <w:pPr>
        <w:pStyle w:val="112"/>
      </w:pPr>
      <w:r>
        <w:t>729.</w:t>
      </w:r>
      <w:r>
        <w:tab/>
        <w:t>Производство кинофильмов является негосударственной сферой деятельности.  Органами, обеспечивающими присутствие правительства в этом секторе, являются Отдел кинопроката, Управление кинофестивалей, Национальная корпорация развития киноискусства, Центральный совет сертификации кинопродукции, Киноархив Индии и Общество детского кино.</w:t>
      </w:r>
    </w:p>
    <w:p w:rsidR="00000000" w:rsidRDefault="00000000">
      <w:pPr>
        <w:pStyle w:val="112"/>
      </w:pPr>
      <w:r>
        <w:t>730.</w:t>
      </w:r>
      <w:r>
        <w:tab/>
        <w:t xml:space="preserve">Управление кинофестивалей было создано в 1973 году для пропаганды хорошего кино и организации кинофестивалей различных стран.  В Индии состоялись фестивали кинофильмов из Италии, Польши, Норвегии, Хорватии, Вьетнама и Южной Африки.  Неделя индийского кино проводилась в Гонконге, Египте, Чикаго, Швейцарии, Грузии, Соединенном Королевстве, Японии и Бутане.  На 65 фестивалях в разных странах мира было показано более 170 индийских кинофильмов.  Управление кинофестивалей оказывает также помощь отдельным лицам посредством выдачи – в рамках процедуры отсутствия возражений – сертификатов для участия в кинофестивалях за рубежом.  Институт кино и телевидения Индии, Институт кино и телевидения имени Сатьяджита Рая и Индийский институт средств массовой информации являются известными учреждениями, готовящими специалистов по всем аспектам кинопроизводства.  </w:t>
      </w:r>
    </w:p>
    <w:p w:rsidR="00000000" w:rsidRDefault="00000000">
      <w:pPr>
        <w:pStyle w:val="112"/>
      </w:pPr>
      <w:r>
        <w:t>731.</w:t>
      </w:r>
      <w:r>
        <w:tab/>
        <w:t xml:space="preserve">В Индии кинофильмы могут идти в массовый показ только после получения разрешения Центрального совета сертификации кинопродукции, в консультативную группу которого входят видные деятели образования, искусствоведы, журналисты, работники социальной сферы, психологи и другие специалисты.  Совет производит сертификацию кинофильмов в соответствии с положениями Закона о кинематографии 1952 года и правилами сертификации кинематографической продукции 1983 года, а также руководящими принципами, утвержденными центральным правительством. </w:t>
      </w:r>
    </w:p>
    <w:p w:rsidR="00000000" w:rsidRDefault="00000000">
      <w:pPr>
        <w:pStyle w:val="112"/>
      </w:pPr>
      <w:r>
        <w:t>732.</w:t>
      </w:r>
      <w:r>
        <w:tab/>
        <w:t>Главная задача Национальной корпорации развития киноискусства состоит в повышении качества кинопродукции и разработке современной технологии в аудиовизуальной сфере и смежных областях.  Она стремится пропагандировать  кинокультуру и содействовать пониманию кино посредством проведения недели кино под названием "Индийская панорама" и кинофестивалей в сотрудничестве с кинематографическими обществами, национальными деятелями киноискусства и агентствами, представляющими кино Индии и зарубежных стран.  С 2003 года правительство либерализовало съемки иностранных  кинофильмов и совместные кинематографические работы в стране благодаря быстрой и упрощенной процедуре выдачи разрешений, за исключением особых случаев.</w:t>
      </w:r>
    </w:p>
    <w:p w:rsidR="00000000" w:rsidRDefault="00000000">
      <w:pPr>
        <w:pStyle w:val="112"/>
      </w:pPr>
      <w:r>
        <w:t>733.</w:t>
      </w:r>
      <w:r>
        <w:tab/>
        <w:t xml:space="preserve">В 2001 году в Индии выходило в общей сложности 51 960 газет и периодических изданий, в том числе:  5638 ежедневных газет, 348 изданий, выходящих два или три раза в неделю, 18 582 еженедельных публикации, 6881 двухнедельное издание, 14 634 ежемесячных публикаций, 3634 ежеквартальных издания, 469 ежегодных журналов и 1774 других периодических изданий.  В соответствии с соглашением об обмене новостями из неприсоединившихся стран создано и функционирует объединение информационных агентств из этих стран.  Индийский институт средств массовой информации в Нью-Дели пользуется репутацией ведущего учебного заведения по подготовке журналистов из неприсоединившихся стран, в котором работники средств массовой информации из неприсоединившихся стран могут пройти курс обучения по специальности "Журналистика по освещению проблем развития" с получением диплома по окончании курса.  </w:t>
      </w:r>
    </w:p>
    <w:p w:rsidR="00000000" w:rsidRDefault="00000000">
      <w:pPr>
        <w:pStyle w:val="112"/>
      </w:pPr>
      <w:r>
        <w:t>734.</w:t>
      </w:r>
      <w:r>
        <w:tab/>
        <w:t>Созданный в 1959 году Индийский совет по культурным связям играет активную роль в развитии отношений в области культуры между странами.  Наряду с программами стипендий и организацией семинаров он осуществляет самые различные мероприятия, которые включают в себя обмен делегациями деятелей культуры, проведение выставок и приемов известных гостей.  В 2002 году Индийский совет по международным делам, имеющий статус учреждения национального значения, организовал индийско-африканский семинар по теме "Новые горизонты", в ходе которого состоялось торжественное открытие Африканского центра.</w:t>
      </w:r>
    </w:p>
    <w:p w:rsidR="00000000" w:rsidRDefault="00000000">
      <w:pPr>
        <w:pStyle w:val="112"/>
      </w:pPr>
      <w:r>
        <w:t>735.</w:t>
      </w:r>
      <w:r>
        <w:tab/>
        <w:t>В 2002 году в стране была принята национальная политика в области туризма.  Во исполнение задач, поставленных в этой области, принимаются меры по созданию 35 комплексов, по крайней мере в каждом штате, для синтеза элементов туризма, культуры и экологически чистого образа жизни. С помощью этих комплексов, оснащенных современной инфраструктурой, будет поддерживаться связь с местами, представляющими интерес для туристов, и объектами культурного наследия.  В  комплексах создаются документационные центры и центры перевода, магазины по торговле изделиями кустарного промысла и другие аналогичные службы для ознакомления посетителей с богатым культурным наследием и ценностями индийской цивилизации.</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Наука и техника</w:t>
      </w:r>
    </w:p>
    <w:p w:rsidR="00000000" w:rsidRDefault="00000000">
      <w:pPr>
        <w:jc w:val="both"/>
        <w:rPr>
          <w:b/>
          <w:bCs/>
          <w:sz w:val="22"/>
          <w:szCs w:val="22"/>
        </w:rPr>
      </w:pPr>
    </w:p>
    <w:p w:rsidR="00000000" w:rsidRDefault="00000000">
      <w:pPr>
        <w:jc w:val="both"/>
        <w:rPr>
          <w:sz w:val="22"/>
          <w:szCs w:val="22"/>
        </w:rPr>
      </w:pPr>
      <w:r>
        <w:rPr>
          <w:sz w:val="22"/>
          <w:szCs w:val="22"/>
        </w:rPr>
        <w:t>736.</w:t>
      </w:r>
      <w:r>
        <w:rPr>
          <w:sz w:val="22"/>
          <w:szCs w:val="22"/>
        </w:rPr>
        <w:tab/>
        <w:t>Страна всегда стремилась к научно-техническому прогрессу и предоставлению всем своим гражданам возможности пользоваться благами этого прогресса.  В Конституции содержится призыв ко всем гражданам развивать в себе интерес к науке и стремиться к совершенству во всех сферах индивидуальной и коллективной деятельности, с тем чтобы страна достигла бóльших высот во всех своих начинаниях и свершениях.  В 1958 году была принята резолюция о политике в области науки с целью стимулировать индивидуальную инициативу и обеспечить, чтобы мужчины и женщины творческого склада нашли применение всем своим способностям в научной деятельности.  За последние пять десятилетий созданы различные учреждения, институты и департаменты, призванные содействовать и помогать развитию научно-технической деятельности в стране.</w:t>
      </w:r>
    </w:p>
    <w:p w:rsidR="00000000" w:rsidRDefault="00000000">
      <w:pPr>
        <w:pStyle w:val="112"/>
      </w:pPr>
      <w:r>
        <w:t>737.</w:t>
      </w:r>
      <w:r>
        <w:tab/>
        <w:t xml:space="preserve">На центральном уровне головным учреждением в научной области является </w:t>
      </w:r>
      <w:r>
        <w:rPr>
          <w:caps/>
        </w:rPr>
        <w:t>м</w:t>
      </w:r>
      <w:r>
        <w:t xml:space="preserve">инистерство науки и техники, в котором имеются департамент науки и техники, департамент научных и промышленных исследований и департамент атомной энергетики. Другими научными департаментами являются  департаменты электроники, освоения океанов и космической деятельности.  Вопросами науки ведают также </w:t>
      </w:r>
      <w:r>
        <w:rPr>
          <w:caps/>
        </w:rPr>
        <w:t>м</w:t>
      </w:r>
      <w:r>
        <w:t>инистерство окружающей среды и лесов и министерство нетрадиционных источников энергии.  В отдельных министерствах, занимающихся социально-экономическими вопросами, созданы консультативные комитеты по науке и технике, которым поручено выработать долгосрочные научно-технические программы по профилю деятельности соответствующих министерств.  Для координации работы этих консультативных комитетов и наблюдения за научной деятельностью различных министерств созданы межведомственные консультативные комитеты по науке и технике.</w:t>
      </w:r>
    </w:p>
    <w:p w:rsidR="00000000" w:rsidRDefault="00000000">
      <w:pPr>
        <w:pStyle w:val="112"/>
      </w:pPr>
      <w:r>
        <w:t>738.</w:t>
      </w:r>
      <w:r>
        <w:tab/>
        <w:t>В штатах и союзных территориях функционируют также научно-технические советы.  Интеграцией научно-технических программ в национальные планы социально-экономического развития занимается плановая комиссия при активном участии представителей научных кругов на национальном, ведомственном, исследовательском и университетском уровнях.  Для координации научно-технической деятельности сформирован также трехступенчатый механизм, в который входят:  1)  комитет кабинета министров по науке и технике под председательством премьер-министра;  2)  комитет секретарей по науке и технике под руководством секретаря кабинета министров; и 3)  научный консультативный комитет при кабинете министров (учрежден в 1997 году, и в его состав входят несколько видных ученых, академиков, технологов и представителей общественных наук, а также представители промышленности и сектора НПО).</w:t>
      </w:r>
    </w:p>
    <w:p w:rsidR="00000000" w:rsidRDefault="00000000">
      <w:pPr>
        <w:pStyle w:val="112"/>
      </w:pPr>
      <w:r>
        <w:t>739.</w:t>
      </w:r>
      <w:r>
        <w:tab/>
        <w:t xml:space="preserve">Научно-техническая деятельность в Индии осуществляется по разным направлениям, в том числе через правительственные департаменты, отдельно финансируемые агентства при правительственных департаментах на центральном уровне и уровне штатов, университеты, высшие технологические институты, частные и другие признанные научно-исследовательские институты, получающие дотации, предприятия государственного и частного секторов, имеющие свои научно-исследовательские центры, и некоммерческие учреждения/ассоциации.  На промышленных предприятиях имеется более 1200 собственных научно-исследовательских бюро, которые содействуют НИОКР в соответствующих отраслях.  </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Научно-техническая политика</w:t>
      </w:r>
    </w:p>
    <w:p w:rsidR="00000000" w:rsidRDefault="00000000">
      <w:pPr>
        <w:jc w:val="both"/>
        <w:rPr>
          <w:sz w:val="22"/>
          <w:szCs w:val="22"/>
        </w:rPr>
      </w:pPr>
    </w:p>
    <w:p w:rsidR="00000000" w:rsidRDefault="00000000">
      <w:pPr>
        <w:jc w:val="both"/>
        <w:rPr>
          <w:sz w:val="22"/>
          <w:szCs w:val="22"/>
        </w:rPr>
      </w:pPr>
      <w:r>
        <w:rPr>
          <w:sz w:val="22"/>
          <w:szCs w:val="22"/>
        </w:rPr>
        <w:t>740.</w:t>
      </w:r>
      <w:r>
        <w:rPr>
          <w:sz w:val="22"/>
          <w:szCs w:val="22"/>
        </w:rPr>
        <w:tab/>
        <w:t>Основные направления научно-технической деятельности в Индии определяются в резолюции 1958 года о политике в области науки.  В течение первых трех десятилетий научно-техническая деятельность в стране в значительной степени зависела от импортной технологии, что существенно противоречило национальным приоритетам и оборачивалось  тяжелым бременем для национальных ресурсов.  Поэтому в 1983 году было опубликовано специальное заявление о политике в области технологии, в котором был сделан упор на разработку отечественных технологий и эффективное освоение и адаптацию импортной технологии с учетом национальных приоритетов и ресурсов.  Почти во всех областях науки и техники произошли серьезные изменения, и началось осуществление многочисленных программ по развитию сельских районов, в том числе на низовом уровне.  Это привело к заметному повышению уровня жизни в стране.</w:t>
      </w:r>
    </w:p>
    <w:p w:rsidR="00000000" w:rsidRDefault="00000000">
      <w:pPr>
        <w:pStyle w:val="112"/>
        <w:spacing w:before="220"/>
      </w:pPr>
      <w:r>
        <w:t>741.</w:t>
      </w:r>
      <w:r>
        <w:tab/>
        <w:t xml:space="preserve">Начало глобализации и последующие структурные реформы в экономике Индии и другие события на международной арене привели к возникновению требующих внимания новых областей и новых задач, что поставило вопрос о переосмыслении политики в научно-технической области.  В 1993 году было опубликовано новое заявление  о политике в области технологии, в котором учитывались эти новые задачи.  В новой политике упор делался на усовершенствование имеющихся и разработку новых технологий, отвечающих международным стандартам, и на разработку современных экологически чистых технологий для уменьшения их воздействия на окружающую среду и природные ресурсы, а также подчеркивалась необходимость увеличения инвестиций в НИОКР и развитие людских ресурсов страны.  Подчеркивалось, что повышение доступности и более широкое использование технологий, а также разработка технологических решений должны быть направлены на повышение качества жизни особенно уязвимых и слабых слоев общества. </w:t>
      </w:r>
    </w:p>
    <w:p w:rsidR="00000000" w:rsidRDefault="00000000">
      <w:pPr>
        <w:pStyle w:val="112"/>
        <w:spacing w:before="220"/>
      </w:pPr>
      <w:r>
        <w:t>742.</w:t>
      </w:r>
      <w:r>
        <w:tab/>
        <w:t>По прошествии десяти лет в 2003 году правительство выработало новую научно-техническую политику, в которой намечаются будущие программы и инициативы в области науки и техники.  В рамках этой политики, в частности, поставлены следующие задачи:</w:t>
      </w:r>
    </w:p>
    <w:p w:rsidR="00000000" w:rsidRDefault="00000000">
      <w:pPr>
        <w:pStyle w:val="112"/>
        <w:spacing w:before="120" w:after="240"/>
        <w:ind w:left="680" w:hanging="680"/>
      </w:pPr>
      <w:r>
        <w:t>а)</w:t>
      </w:r>
      <w:r>
        <w:tab/>
        <w:t>использование материальных и интеллектуальных ресурсов для решения проблем национального значения;</w:t>
      </w:r>
    </w:p>
    <w:p w:rsidR="00000000" w:rsidRDefault="00000000">
      <w:pPr>
        <w:pStyle w:val="112"/>
        <w:spacing w:before="0" w:after="240"/>
        <w:ind w:left="680" w:hanging="680"/>
      </w:pPr>
      <w:r>
        <w:rPr>
          <w:lang w:val="en-US"/>
        </w:rPr>
        <w:t>b</w:t>
      </w:r>
      <w:r>
        <w:t>)</w:t>
      </w:r>
      <w:r>
        <w:tab/>
        <w:t>поощрение научных исследований в высших учебных заведениях и привлечение молодежи к научно-технической работе посредством создания благоприятных условий и центров передового опыта для повышения уровня работы;</w:t>
      </w:r>
    </w:p>
    <w:p w:rsidR="00000000" w:rsidRDefault="00000000">
      <w:pPr>
        <w:pStyle w:val="112"/>
        <w:spacing w:before="0" w:after="240"/>
        <w:ind w:left="680" w:hanging="680"/>
      </w:pPr>
      <w:r>
        <w:t>с)</w:t>
      </w:r>
      <w:r>
        <w:tab/>
        <w:t>расширение возможностей женщин в этой области;</w:t>
      </w:r>
    </w:p>
    <w:p w:rsidR="00000000" w:rsidRDefault="00000000">
      <w:pPr>
        <w:pStyle w:val="112"/>
        <w:spacing w:before="0" w:after="240"/>
        <w:ind w:left="680" w:hanging="680"/>
      </w:pPr>
      <w:r>
        <w:rPr>
          <w:lang w:val="en-US"/>
        </w:rPr>
        <w:t>d</w:t>
      </w:r>
      <w:r>
        <w:t>)</w:t>
      </w:r>
      <w:r>
        <w:tab/>
        <w:t>распространение и пропаганда научных знаний среди всех людей для повышения интереса к науке и применения ее результатов в целях повышения благосостояния людей;</w:t>
      </w:r>
    </w:p>
    <w:p w:rsidR="00000000" w:rsidRDefault="00000000">
      <w:pPr>
        <w:pStyle w:val="112"/>
        <w:spacing w:before="0" w:after="240"/>
        <w:ind w:left="680" w:hanging="680"/>
      </w:pPr>
      <w:r>
        <w:t>е)</w:t>
      </w:r>
      <w:r>
        <w:tab/>
        <w:t>введение и совершенствование режима охраны интеллектуальной собственности;</w:t>
      </w:r>
    </w:p>
    <w:p w:rsidR="00000000" w:rsidRDefault="00000000">
      <w:pPr>
        <w:pStyle w:val="112"/>
        <w:spacing w:before="0" w:after="240"/>
        <w:ind w:left="680" w:hanging="680"/>
      </w:pPr>
      <w:r>
        <w:rPr>
          <w:lang w:val="en-US"/>
        </w:rPr>
        <w:t>f</w:t>
      </w:r>
      <w:r>
        <w:t>)</w:t>
      </w:r>
      <w:r>
        <w:tab/>
        <w:t>создание систем и технологий для  предупреждения и смягчения последствий стихийных бедствий;</w:t>
      </w:r>
    </w:p>
    <w:p w:rsidR="00000000" w:rsidRDefault="00000000">
      <w:pPr>
        <w:pStyle w:val="112"/>
        <w:spacing w:before="0" w:after="240"/>
        <w:ind w:left="680" w:hanging="680"/>
      </w:pPr>
      <w:r>
        <w:rPr>
          <w:lang w:val="en-US"/>
        </w:rPr>
        <w:t>g</w:t>
      </w:r>
      <w:r>
        <w:t>)</w:t>
      </w:r>
      <w:r>
        <w:tab/>
        <w:t>поощрение взаимодействия в ключевых областях между государственными и частными институтами;</w:t>
      </w:r>
    </w:p>
    <w:p w:rsidR="00000000" w:rsidRDefault="00000000">
      <w:pPr>
        <w:pStyle w:val="112"/>
        <w:spacing w:before="0"/>
      </w:pPr>
      <w:r>
        <w:rPr>
          <w:lang w:val="en-US"/>
        </w:rPr>
        <w:t>h</w:t>
      </w:r>
      <w:r>
        <w:t>)</w:t>
      </w:r>
      <w:r>
        <w:tab/>
        <w:t>развитие международного сотрудничества.</w:t>
      </w:r>
    </w:p>
    <w:p w:rsidR="00000000" w:rsidRDefault="00000000">
      <w:pPr>
        <w:pStyle w:val="112"/>
      </w:pPr>
      <w:r>
        <w:t>На необходимость решения этих задач указано также в десятом плане.</w:t>
      </w:r>
    </w:p>
    <w:p w:rsidR="00000000" w:rsidRDefault="00000000">
      <w:pPr>
        <w:jc w:val="both"/>
        <w:rPr>
          <w:b/>
          <w:bCs/>
          <w:sz w:val="22"/>
          <w:szCs w:val="22"/>
        </w:rPr>
      </w:pPr>
    </w:p>
    <w:p w:rsidR="00000000" w:rsidRDefault="00000000">
      <w:pPr>
        <w:spacing w:before="120"/>
        <w:jc w:val="both"/>
        <w:rPr>
          <w:rStyle w:val="111"/>
          <w:szCs w:val="22"/>
        </w:rPr>
      </w:pPr>
      <w:r>
        <w:rPr>
          <w:b/>
          <w:bCs/>
          <w:sz w:val="22"/>
          <w:szCs w:val="22"/>
        </w:rPr>
        <w:t>Поощрение научно-технической деятельности</w:t>
      </w:r>
    </w:p>
    <w:p w:rsidR="00000000" w:rsidRDefault="00000000">
      <w:pPr>
        <w:jc w:val="both"/>
        <w:rPr>
          <w:sz w:val="22"/>
          <w:szCs w:val="22"/>
        </w:rPr>
      </w:pPr>
    </w:p>
    <w:p w:rsidR="00000000" w:rsidRDefault="00000000">
      <w:pPr>
        <w:jc w:val="both"/>
        <w:rPr>
          <w:rStyle w:val="111"/>
          <w:szCs w:val="22"/>
        </w:rPr>
      </w:pPr>
      <w:r>
        <w:rPr>
          <w:rStyle w:val="111"/>
          <w:szCs w:val="22"/>
        </w:rPr>
        <w:t>743.</w:t>
      </w:r>
      <w:r>
        <w:rPr>
          <w:rStyle w:val="111"/>
          <w:szCs w:val="22"/>
        </w:rPr>
        <w:tab/>
        <w:t>Департамент науки и техники координирует и поддерживает научно-техническую деятельность посредством предоставления субсидий 16 автономным научным учреждениям и профессиональным органам в стране.  Он осуществляет различные программы развития инфраструктуры научно-исследовательских учреждений, предоставляет стипендии и пособия для стимулирования научной работы в среде молодых ученых и поощряет и поддерживает проведение исследований в новых, современных и перспективных областях науки и инженерного дела по линии Совета научных и инженерных исследований</w:t>
      </w:r>
      <w:r>
        <w:rPr>
          <w:rStyle w:val="FootnoteReference"/>
          <w:szCs w:val="22"/>
        </w:rPr>
        <w:footnoteReference w:customMarkFollows="1" w:id="98"/>
        <w:t>97</w:t>
      </w:r>
      <w:r>
        <w:rPr>
          <w:rStyle w:val="111"/>
          <w:szCs w:val="22"/>
        </w:rPr>
        <w:t>, созданного в 1974 году.  Ежегодно на рассмотрение департамента поступают предложения приблизительно по 1000 проектам.</w:t>
      </w:r>
    </w:p>
    <w:p w:rsidR="00000000" w:rsidRDefault="00000000">
      <w:pPr>
        <w:jc w:val="both"/>
        <w:rPr>
          <w:b/>
          <w:bCs/>
          <w:sz w:val="22"/>
          <w:szCs w:val="22"/>
        </w:rPr>
      </w:pPr>
    </w:p>
    <w:p w:rsidR="00000000" w:rsidRDefault="00000000">
      <w:pPr>
        <w:spacing w:before="120"/>
        <w:jc w:val="both"/>
        <w:rPr>
          <w:rStyle w:val="111"/>
          <w:szCs w:val="22"/>
        </w:rPr>
      </w:pPr>
      <w:r>
        <w:rPr>
          <w:b/>
          <w:bCs/>
          <w:sz w:val="22"/>
          <w:szCs w:val="22"/>
        </w:rPr>
        <w:t>Развитие инфраструктуры</w:t>
      </w:r>
    </w:p>
    <w:p w:rsidR="00000000" w:rsidRDefault="00000000">
      <w:pPr>
        <w:jc w:val="both"/>
        <w:rPr>
          <w:sz w:val="22"/>
          <w:szCs w:val="22"/>
        </w:rPr>
      </w:pPr>
    </w:p>
    <w:p w:rsidR="00000000" w:rsidRDefault="00000000">
      <w:pPr>
        <w:jc w:val="both"/>
        <w:rPr>
          <w:sz w:val="22"/>
          <w:szCs w:val="22"/>
        </w:rPr>
      </w:pPr>
      <w:r>
        <w:rPr>
          <w:sz w:val="22"/>
          <w:szCs w:val="22"/>
        </w:rPr>
        <w:t>744.</w:t>
      </w:r>
      <w:r>
        <w:rPr>
          <w:sz w:val="22"/>
          <w:szCs w:val="22"/>
        </w:rPr>
        <w:tab/>
        <w:t>Совет научных и инженерных исследований осуществляет программу под названием "Активизация исследований в высокоприоритетных областях", в рамках которой при каждом крупном ученом формируются научные группы и коллективы, в высокоприоритетных областях создается национальная научная база, разрабатываются программы для координации высокоприоритетных межотраслевых исследований и осуществляется подготовка молодых ученых в этих областях.</w:t>
      </w:r>
    </w:p>
    <w:p w:rsidR="00000000" w:rsidRDefault="00000000">
      <w:pPr>
        <w:pStyle w:val="112"/>
      </w:pPr>
      <w:r>
        <w:t>745.</w:t>
      </w:r>
      <w:r>
        <w:tab/>
        <w:t>В разных районах страны создается современная аналитическая и инструментальная база для научных работников в целом и для специалистов из учреждений, в которых отсутствует такая база, с тем чтобы они имели возможность идти в ногу с мировым научно-техническим прогрессом.  В настоящее время примерно 6000 научных работников во всех районах страны пользуются такой возможностью.</w:t>
      </w:r>
    </w:p>
    <w:p w:rsidR="00000000" w:rsidRDefault="00000000">
      <w:pPr>
        <w:pStyle w:val="112"/>
        <w:spacing w:before="180"/>
      </w:pPr>
      <w:r>
        <w:t>746.</w:t>
      </w:r>
      <w:r>
        <w:tab/>
        <w:t>Осуществляется крупный проект под названием "Фонд для совершенствования научно-технической инфраструктуры в университетах и высших учебных заведениях", задача которого состоит в восстановлении научно-технической базы, поощрении исследований и разработок в новых и перспективных областях и привлечении молодых талантов в университеты и другие соответствующие институты.  Правительства штатов при содействии Всемирного банка осуществляют проект, направленный на повышение количества, качества и эффективности техникумов, готовящих технические кадры среднего звена.</w:t>
      </w:r>
    </w:p>
    <w:p w:rsidR="00000000" w:rsidRDefault="00000000">
      <w:pPr>
        <w:pStyle w:val="112"/>
        <w:spacing w:before="180"/>
      </w:pPr>
      <w:r>
        <w:t>747.</w:t>
      </w:r>
      <w:r>
        <w:tab/>
        <w:t xml:space="preserve">Создан ряд межуниверситетских центров, оснащенных научной базой, которой могут пользоваться исследователи из разных университетов.  В консультации с Комитетом по укреплению научно-технической инфраструктуры начата программа оказания выборочной поддержки отдельным факультетам университетов в достижении международных стандартов в этой области.  </w:t>
      </w:r>
    </w:p>
    <w:p w:rsidR="00000000" w:rsidRDefault="00000000">
      <w:pPr>
        <w:pStyle w:val="112"/>
        <w:spacing w:before="180"/>
      </w:pPr>
      <w:r>
        <w:t>748.</w:t>
      </w:r>
      <w:r>
        <w:tab/>
        <w:t xml:space="preserve">Недавно правительство преобразовало 10 из 17 региональных инженерных колледжей в национальные технологические институты и один региональный инженерный колледж – в Индийский институт технологии, в результате чего изменился их статус и система управления.  Национальным технологическим институтам предоставлен университетский статус, что, помимо полной административной свободы в их внутренних делах, дает им полноценную автономию в академических вопросах. </w:t>
      </w:r>
    </w:p>
    <w:p w:rsidR="00000000" w:rsidRDefault="00000000">
      <w:pPr>
        <w:jc w:val="both"/>
        <w:rPr>
          <w:b/>
          <w:bCs/>
          <w:sz w:val="22"/>
          <w:szCs w:val="22"/>
          <w:lang w:val="en-US"/>
        </w:rPr>
      </w:pPr>
    </w:p>
    <w:p w:rsidR="00000000" w:rsidRDefault="00000000">
      <w:pPr>
        <w:jc w:val="both"/>
        <w:rPr>
          <w:b/>
          <w:bCs/>
          <w:sz w:val="22"/>
          <w:szCs w:val="22"/>
        </w:rPr>
      </w:pPr>
      <w:r>
        <w:rPr>
          <w:b/>
          <w:bCs/>
          <w:sz w:val="22"/>
          <w:szCs w:val="22"/>
        </w:rPr>
        <w:t>Развитие людских ресурсов</w:t>
      </w:r>
    </w:p>
    <w:p w:rsidR="00000000" w:rsidRDefault="00000000">
      <w:pPr>
        <w:jc w:val="both"/>
        <w:rPr>
          <w:sz w:val="22"/>
          <w:szCs w:val="22"/>
        </w:rPr>
      </w:pPr>
    </w:p>
    <w:p w:rsidR="00000000" w:rsidRDefault="00000000">
      <w:pPr>
        <w:jc w:val="both"/>
        <w:rPr>
          <w:sz w:val="22"/>
          <w:szCs w:val="22"/>
        </w:rPr>
      </w:pPr>
      <w:r>
        <w:rPr>
          <w:sz w:val="22"/>
          <w:szCs w:val="22"/>
        </w:rPr>
        <w:t>749.</w:t>
      </w:r>
      <w:r>
        <w:rPr>
          <w:sz w:val="22"/>
          <w:szCs w:val="22"/>
        </w:rPr>
        <w:tab/>
        <w:t>Департамент науки и техники поддерживает различные программы, направленные на выявление новых талантов и оказание им финансовой помощи в форме стипендий на продолжение исследований в передовых областях науки и техники.  Это направление деятельности описано ниже.  Департамент оказывает также поддержку учебным курсам, летним школам и программам развития научных связей.  Финансовая помощь предоставляется профессиональным органам, семинарам/</w:t>
      </w:r>
      <w:r>
        <w:rPr>
          <w:sz w:val="22"/>
          <w:szCs w:val="22"/>
        </w:rPr>
        <w:br/>
        <w:t>симпозиумам и журналам, а также индийским ученым для участия в зарубежных конференциях и международных мероприятиях.</w:t>
      </w:r>
    </w:p>
    <w:p w:rsidR="00000000" w:rsidRDefault="00000000">
      <w:pPr>
        <w:pStyle w:val="112"/>
        <w:rPr>
          <w:rStyle w:val="111"/>
          <w:szCs w:val="22"/>
        </w:rPr>
      </w:pPr>
      <w:r>
        <w:rPr>
          <w:rStyle w:val="111"/>
          <w:szCs w:val="22"/>
        </w:rPr>
        <w:t>750.</w:t>
      </w:r>
      <w:r>
        <w:rPr>
          <w:rStyle w:val="111"/>
          <w:szCs w:val="22"/>
        </w:rPr>
        <w:tab/>
        <w:t>С 1997 года осуществляется программа стипендий "Сварна Джаянти", в рамках которой оказывается широкая поддержка</w:t>
      </w:r>
      <w:r>
        <w:rPr>
          <w:rStyle w:val="FootnoteReference"/>
          <w:szCs w:val="22"/>
        </w:rPr>
        <w:footnoteReference w:customMarkFollows="1" w:id="99"/>
        <w:t>98</w:t>
      </w:r>
      <w:r>
        <w:rPr>
          <w:rStyle w:val="111"/>
          <w:szCs w:val="22"/>
        </w:rPr>
        <w:t xml:space="preserve"> определенному числу хорошо зарекомендовавших себя молодых индийских ученых (в Индии и за рубежом), с тем чтобы они могли в течение пяти лет продолжать основные исследования в передовых областях науки и техники, располагая при этом определенной свободой и гибкостью в плане расходов.</w:t>
      </w:r>
    </w:p>
    <w:p w:rsidR="00000000" w:rsidRDefault="00000000">
      <w:pPr>
        <w:pStyle w:val="112"/>
      </w:pPr>
      <w:r>
        <w:t>751.</w:t>
      </w:r>
      <w:r>
        <w:tab/>
        <w:t>В рамках программы ускоренной процедуры рассмотрения предложений для молодых ученых молодым специалистам в возрасте младше 35 лет в течение трех лет оказывается поддержка в проведении отвечающих высоким стандартам оперативных исследований в передовых областях науки и техники при условии положительной коллегиальной оценки и соблюдения других соответствующих требований.  По линии еще одной программы под названием "Дополнительные возможности для молодых ученых в избранных областях науки и техники" отдельным молодым индийским специалистам в различных областях науки и техники, занимающим штатные должности в признанных научно-исследовательских институтах Индии, каждый год предоставляются стипендии на срок от трех до 12 месяцев для стажировки в международных учреждениях в целях ознакомления с новейшими научными методами и для предоставления им возможности принять участие и внести свой вклад в последние разработки в конкретно выбранных областях науки и техники.</w:t>
      </w:r>
    </w:p>
    <w:p w:rsidR="00000000" w:rsidRDefault="00000000">
      <w:pPr>
        <w:pStyle w:val="112"/>
      </w:pPr>
      <w:r>
        <w:t>752.</w:t>
      </w:r>
      <w:r>
        <w:tab/>
        <w:t>Школьная программа Совета научных и инженерных исследований призвана поощрять молодых ученых заниматься перспективными исследованиями и разработками.  Консультативный комитет этой программы содействует проведению курсов по таким дисциплинам, как биология, химия, физика и прикладные инженерные науки.  Директором курса назначен действующий ученый.  В течение пяти лет группа примерно из 40 учащихся каждой школы проходит  здесь обучение продолжительностью в две-три недели.</w:t>
      </w:r>
    </w:p>
    <w:p w:rsidR="00000000" w:rsidRDefault="00000000">
      <w:pPr>
        <w:pStyle w:val="112"/>
      </w:pPr>
      <w:r>
        <w:t>753.</w:t>
      </w:r>
      <w:r>
        <w:tab/>
        <w:t>В 2002 году начато осуществление программы стипендий для женщин-ученых, в рамках которой предоставляется примерно 100 стипендий для занятия научной работой в специализированных тематических областях.  В соответствии с планом использования научного опыта пожилых ученых страна находит также применение научно-технических знаний и потенциала большого числа видных ученых страны после выхода их на пенсию, особенно при подготовке книг, монографий и докладов о положении дел в различных областях.</w:t>
      </w:r>
    </w:p>
    <w:p w:rsidR="00000000" w:rsidRDefault="00000000">
      <w:pPr>
        <w:pStyle w:val="112"/>
      </w:pPr>
      <w:r>
        <w:t>754.</w:t>
      </w:r>
      <w:r>
        <w:tab/>
        <w:t>Каждый год проводится Национальный детский научный конгресс для детей в возрасте от 10 до 17 лет со всей страны, задача которого состоит  в том, чтобы побуждать учащихся увязывать изучение науки с их непосредственной социальной и физической средой и предоставить им возможность пообщаться с учеными.</w:t>
      </w:r>
    </w:p>
    <w:p w:rsidR="00000000" w:rsidRDefault="00000000">
      <w:pPr>
        <w:pStyle w:val="112"/>
      </w:pPr>
      <w:r>
        <w:t>755.</w:t>
      </w:r>
      <w:r>
        <w:tab/>
        <w:t>В целях совершенствования системы изучения наук в школах центральное правительство оказывает штатам и союзным территориям финансовую помощь на приобретение лабораторных наборов для старших классов начальных школ, создание и модернизацию научных лабораторий в младших и старших классах средней школы и подготовку учителей по естественным наукам и математике.  Поддержку в осуществлении экспериментальных и новаторских программ получают также добровольные учреждения.  Благодаря такой помощи в течение 2002 года на международные научные симпозиумы были направлены различные делегации учащихся, где они завоевали четыре золотые, девять серебряных и шесть бронзовых медалей.</w:t>
      </w:r>
    </w:p>
    <w:p w:rsidR="00000000" w:rsidRDefault="00000000">
      <w:pPr>
        <w:pStyle w:val="112"/>
      </w:pPr>
      <w:r>
        <w:t>756.</w:t>
      </w:r>
      <w:r>
        <w:tab/>
        <w:t>В стране осуществляется Национальная программа проведения научных олимпиад по математике, физике, химии и биологии, цель которой заключается в пропаганде научных знаний среди учащихся старших классов и отборе групп, которые представляли бы  страну на соответствующих международных олимпиадах.  Индийские учащиеся  удачно выступили на международных олимпиадах 2001 года, где они завоевали три золотые и две серебряные медали по физике, одну золотую и три серебряные медали по химии и одну золотую и три серебряные медали по биологии.</w:t>
      </w:r>
    </w:p>
    <w:p w:rsidR="00000000" w:rsidRDefault="00000000">
      <w:pPr>
        <w:pStyle w:val="112"/>
      </w:pPr>
      <w:r>
        <w:t>757.</w:t>
      </w:r>
      <w:r>
        <w:tab/>
        <w:t>Программа "Кишоре Вайгьяник Протсахан Йоджана" предназначена для способных учащихся, имеющих склонность к науке, технике и медицине, и преследует  цель побудить их посвятить себя исследованиям в этих областях, с тем чтобы лучшие научные умы работали в национальных научно-исследовательских институтах.  Отобранным учащимся предоставляется высокая стипендия (вплоть до аспирантуры).  Кроме того, организуются летние программы обучения в престижных учебно-исследовательских институтах страны, где учащиеся могут в льготном порядке пользоваться библиотеками, лабораториями, музеями и т. д.</w:t>
      </w:r>
    </w:p>
    <w:p w:rsidR="00000000" w:rsidRDefault="00000000">
      <w:pPr>
        <w:pStyle w:val="112"/>
      </w:pPr>
      <w:r>
        <w:t>758.</w:t>
      </w:r>
      <w:r>
        <w:tab/>
        <w:t>В стране имеются также учреждения и программы, занимающиеся вопросами научно-технической информации, коммуникации и популяризации науки и техники.  Национальная система управления научно-технической информацией осуществляет сбор, систематизацию, анализ и распространение важнейшей научно-технической информации.  С помощью этой системы можно получить информацию о людских и финансовых ресурсах, выделяемых на научно-техническую деятельность, с тем чтобы планировать рачительное использование ограниченных ресурсов.  Национальный совет по науке и технике осуществляет программы распространения и популяризации научно-технических знаний, стремясь привить у людей интерес к науке.  В 1989 году был создан специальный орган "Вигьян Прасар", который проводит крупные кампании по популяризации науки и техники с помощью средств массовой информации.  Через сеть научных клубов он стремится популяризировать научные знания и поощрять применение научной методики в практической жизни.</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Программы технологического развития</w:t>
      </w:r>
    </w:p>
    <w:p w:rsidR="00000000" w:rsidRDefault="00000000">
      <w:pPr>
        <w:jc w:val="both"/>
        <w:rPr>
          <w:sz w:val="22"/>
          <w:szCs w:val="22"/>
        </w:rPr>
      </w:pPr>
    </w:p>
    <w:p w:rsidR="00000000" w:rsidRDefault="00000000">
      <w:pPr>
        <w:jc w:val="both"/>
        <w:rPr>
          <w:sz w:val="22"/>
          <w:szCs w:val="22"/>
        </w:rPr>
      </w:pPr>
      <w:r>
        <w:rPr>
          <w:sz w:val="22"/>
          <w:szCs w:val="22"/>
        </w:rPr>
        <w:t>759.</w:t>
      </w:r>
      <w:r>
        <w:rPr>
          <w:sz w:val="22"/>
          <w:szCs w:val="22"/>
        </w:rPr>
        <w:tab/>
        <w:t xml:space="preserve">Во исполнение заявления о политике в области технологии 1983 года для подготовки документов по технологическому прогнозированию, оценке и обследованию имеющихся на рынке технологий департамент науки и техники учредил Совет по технологической информации, прогнозированию и оценке (ТИФАК).  Этот Совет создал интерактивную и доступную в масштабах страны систему технологической информации </w:t>
      </w:r>
      <w:r>
        <w:rPr>
          <w:sz w:val="22"/>
          <w:szCs w:val="22"/>
          <w:lang w:val="en-US"/>
        </w:rPr>
        <w:t>TIFACLINE</w:t>
      </w:r>
      <w:r>
        <w:rPr>
          <w:sz w:val="22"/>
          <w:szCs w:val="22"/>
        </w:rPr>
        <w:t>.  Он создал также новую базу данных и поддерживает связи с отраслевыми организациями и другими многосторонними региональными ассоциациями.  ТИФАК ведет работу в областях планировки населенных пунктов, строительных технологий и навыков, сталелитейной промышленности, сахарной промышленности, технологии материалов и перспектив биотехнологической продукции в Индии.  В частности, осуществляются новые проекты в областях модифицирования поверхностей и быстродействующих компьютерных средств.  Совет приобрел также 25</w:t>
      </w:r>
      <w:r>
        <w:rPr>
          <w:sz w:val="22"/>
          <w:szCs w:val="22"/>
        </w:rPr>
        <w:noBreakHyphen/>
        <w:t>томный доклад "</w:t>
      </w:r>
      <w:r>
        <w:rPr>
          <w:sz w:val="22"/>
          <w:szCs w:val="22"/>
          <w:lang w:val="en-US"/>
        </w:rPr>
        <w:t>Technology</w:t>
      </w:r>
      <w:r>
        <w:rPr>
          <w:sz w:val="22"/>
          <w:szCs w:val="22"/>
        </w:rPr>
        <w:t xml:space="preserve"> </w:t>
      </w:r>
      <w:r>
        <w:rPr>
          <w:sz w:val="22"/>
          <w:szCs w:val="22"/>
          <w:lang w:val="en-US"/>
        </w:rPr>
        <w:t>Vision</w:t>
      </w:r>
      <w:r>
        <w:rPr>
          <w:sz w:val="22"/>
          <w:szCs w:val="22"/>
        </w:rPr>
        <w:t xml:space="preserve"> 2020" (Перспективы развития технологий до 2020 года), в котором приводятся долгосрочные технологические прогнозы в различных областях.</w:t>
      </w:r>
    </w:p>
    <w:p w:rsidR="00000000" w:rsidRDefault="00000000">
      <w:pPr>
        <w:pStyle w:val="112"/>
      </w:pPr>
      <w:r>
        <w:t>760.</w:t>
      </w:r>
      <w:r>
        <w:tab/>
        <w:t>Департамент науки и техники учредил под эгидой ТИФАК Центр патентной поддержки, являющийся единственным всеиндийским органом по оказанию патентной поддержки академическому сектору и небольшим научным институтам на центральном уровне или в штатах, где, в отличие от крупных научных учреждений, отсутствуют патентные службы.  За период с июня 1995 года по сентябрь 2003 года Центр патентной поддержки оказал помощь в подаче 231 заявления на получение патента.</w:t>
      </w:r>
    </w:p>
    <w:p w:rsidR="00000000" w:rsidRDefault="00000000">
      <w:pPr>
        <w:pStyle w:val="112"/>
      </w:pPr>
      <w:r>
        <w:t>761.</w:t>
      </w:r>
      <w:r>
        <w:tab/>
        <w:t>Департамент науки и техники содействует совершенствованию контрольно-измерительной аппаратуры по линии своей программы развития приборостроения, которая оказывает большое влияние на такие важнейшие национальные секторы, как образование, научные исследования, промышленность, сельское хозяйство, медицина и здравоохранение.  Осуществляется также программа исследований в области фармакологии и фармацевтики, в рамках которой оказывается поддержка совместным проектам НИОКР фармацевтических компаний, академий и национальных научно-исследовательских институтов по созданию новых лекарств и экологически чистых технологических процессов, что способствует самообеспечению страны лекарствами и фармацевтическими продуктами, особенно в областях, имеющих важное значение для удовлетворения национальных медико-санитарных потребностей.</w:t>
      </w:r>
    </w:p>
    <w:p w:rsidR="00000000" w:rsidRDefault="00000000">
      <w:pPr>
        <w:pStyle w:val="112"/>
      </w:pPr>
      <w:r>
        <w:t>762.</w:t>
      </w:r>
      <w:r>
        <w:tab/>
        <w:t>В 1996 году правительство Индии создало Совет по развитию технологий в качестве официального органа для оказания финансовой помощи в осуществлении промышленных проектов, направленных на разработку и коммерческое использование местных технологий или адаптацию импортных технологий для их более широкого отечественного применения.  К настоящему времени Совет оказал помощь 97 проектам в перспективных областях здравоохранения и медицины, инженерного дела, химии, сельского хозяйства, энергетики и утилизации отходов, воздушного и наземного транспорта, информационных технологий и телекоммуникаций.</w:t>
      </w:r>
    </w:p>
    <w:p w:rsidR="00000000" w:rsidRDefault="00000000">
      <w:pPr>
        <w:pStyle w:val="112"/>
      </w:pPr>
      <w:r>
        <w:t>763.</w:t>
      </w:r>
      <w:r>
        <w:tab/>
        <w:t>Учрежден Фонд новых технологий для оказания финансового содействия в  коммерческом внедрении местных технологий, который оказывает помощь научно-исследовательским институтам, занимающимся разработкой местных и адаптацией импортных технологий.  Благодаря этой помощи успешно налажено производство и сбыт многих видов продукции.  Фонд находится в ведении департамента науки и техники и управляется Советом по развитию технологий.  Совет учредил национальную премию за успешное промышленное внедрение местных технологий, которая присуждается промышленным предприятиям с 1999</w:t>
      </w:r>
      <w:r>
        <w:rPr>
          <w:lang w:val="en-US"/>
        </w:rPr>
        <w:t> </w:t>
      </w:r>
      <w:r>
        <w:t>года.</w:t>
      </w:r>
    </w:p>
    <w:p w:rsidR="00000000" w:rsidRDefault="00000000">
      <w:pPr>
        <w:pStyle w:val="112"/>
      </w:pPr>
      <w:r>
        <w:t>764.</w:t>
      </w:r>
      <w:r>
        <w:tab/>
        <w:t>Департамент науки и техники осуществляет межотраслевые программы в таких перспективных технологических областях, как приборостроение, современные материалы, важнейшие технологии, процесс производства сахара, использование зольной пыли и современные композитные материалы.</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Развитие предпринимательства</w:t>
      </w:r>
    </w:p>
    <w:p w:rsidR="00000000" w:rsidRDefault="00000000">
      <w:pPr>
        <w:jc w:val="both"/>
        <w:rPr>
          <w:b/>
          <w:bCs/>
          <w:sz w:val="22"/>
          <w:szCs w:val="22"/>
        </w:rPr>
      </w:pPr>
    </w:p>
    <w:p w:rsidR="00000000" w:rsidRDefault="00000000">
      <w:pPr>
        <w:jc w:val="both"/>
        <w:rPr>
          <w:sz w:val="22"/>
          <w:szCs w:val="22"/>
        </w:rPr>
      </w:pPr>
      <w:r>
        <w:rPr>
          <w:sz w:val="22"/>
          <w:szCs w:val="22"/>
        </w:rPr>
        <w:t>765.</w:t>
      </w:r>
      <w:r>
        <w:rPr>
          <w:sz w:val="22"/>
          <w:szCs w:val="22"/>
        </w:rPr>
        <w:tab/>
        <w:t>В 1982 году был создан Национальный совет по развитию научно-технического предпринимательства, который осуществляет различные программы, призванные побуждать молодых ученых заниматься предпринимательством по применению научно-технических разработок в социальном секторе, особенно в отсталых районах и местах проживания племен.</w:t>
      </w:r>
    </w:p>
    <w:p w:rsidR="00000000" w:rsidRDefault="00000000">
      <w:pPr>
        <w:pStyle w:val="112"/>
      </w:pPr>
      <w:r>
        <w:t>766.</w:t>
      </w:r>
      <w:r>
        <w:tab/>
        <w:t>При нескольких научно-технических институтах страны и рядом с ними созданы парки предпринимателей в области науки и техники и группы развития предпринимательства в целях поощрения предприимчивости и создания возможностей для самостоятельной занятости квалифицированного научно-технического персонала.  Осуществляется программа развития технопредпринимательства, в рамках которой предоставляется помощь в различных формах, в том числе финансовая поддержка, в осуществлении проектов отдельных новаторов, предусматривающих доработку технических идей, новаторских решений и образцов, а также действующих моделей, прототипов и экспериментальных установок, сотрудничество с соответствующими научно-исследовательскими объектами и патентными бюро поддержки и взаимодействие с финансовыми учреждениями для обеспечения коммерческого применения технических новшеств.</w:t>
      </w:r>
    </w:p>
    <w:p w:rsidR="00000000" w:rsidRDefault="00000000">
      <w:pPr>
        <w:jc w:val="both"/>
        <w:rPr>
          <w:b/>
          <w:bCs/>
          <w:sz w:val="22"/>
          <w:szCs w:val="22"/>
          <w:lang w:val="en-US"/>
        </w:rPr>
      </w:pPr>
    </w:p>
    <w:p w:rsidR="00000000" w:rsidRDefault="00000000">
      <w:pPr>
        <w:jc w:val="both"/>
        <w:rPr>
          <w:b/>
          <w:bCs/>
          <w:sz w:val="22"/>
          <w:szCs w:val="22"/>
        </w:rPr>
      </w:pPr>
      <w:r>
        <w:rPr>
          <w:b/>
          <w:bCs/>
          <w:sz w:val="22"/>
          <w:szCs w:val="22"/>
        </w:rPr>
        <w:t>Социальные программы</w:t>
      </w:r>
    </w:p>
    <w:p w:rsidR="00000000" w:rsidRDefault="00000000">
      <w:pPr>
        <w:jc w:val="both"/>
        <w:rPr>
          <w:b/>
          <w:bCs/>
          <w:sz w:val="22"/>
          <w:szCs w:val="22"/>
        </w:rPr>
      </w:pPr>
    </w:p>
    <w:p w:rsidR="00000000" w:rsidRDefault="00000000">
      <w:pPr>
        <w:jc w:val="both"/>
        <w:rPr>
          <w:sz w:val="22"/>
          <w:szCs w:val="22"/>
        </w:rPr>
      </w:pPr>
      <w:r>
        <w:rPr>
          <w:sz w:val="22"/>
          <w:szCs w:val="22"/>
        </w:rPr>
        <w:t>767.</w:t>
      </w:r>
      <w:r>
        <w:rPr>
          <w:sz w:val="22"/>
          <w:szCs w:val="22"/>
        </w:rPr>
        <w:tab/>
        <w:t>Департамент науки и техники разработал и осуществляет ряд программ, направленных на применение научно-технических решений для повышения качества жизни людей посредством создания новых рабочих мест на производстве, облегчения тяжелого труда, общего улучшения здоровья людей и состояния окружающей среды и пробуждения у людей интереса к науке.  Ниже перечислены некоторые такие программы.</w:t>
      </w:r>
    </w:p>
    <w:p w:rsidR="00000000" w:rsidRDefault="00000000">
      <w:pPr>
        <w:pStyle w:val="112"/>
        <w:rPr>
          <w:rStyle w:val="111"/>
          <w:szCs w:val="22"/>
        </w:rPr>
      </w:pPr>
      <w:r>
        <w:rPr>
          <w:rStyle w:val="111"/>
          <w:szCs w:val="22"/>
        </w:rPr>
        <w:t>768.</w:t>
      </w:r>
      <w:r>
        <w:rPr>
          <w:rStyle w:val="111"/>
          <w:szCs w:val="22"/>
        </w:rPr>
        <w:tab/>
      </w:r>
      <w:r>
        <w:rPr>
          <w:i/>
          <w:iCs/>
        </w:rPr>
        <w:t>Наука и технология на службе женщин</w:t>
      </w:r>
      <w:r>
        <w:rPr>
          <w:rStyle w:val="111"/>
          <w:szCs w:val="22"/>
        </w:rPr>
        <w:t>:  в рамках этой программы в интересах женщин, принадлежащих к уязвимым слоям общества, осуществляются различные проекты, касающиеся сбора лекарственных трав, садоводства, шелководства и освоения пустошей, а также проект "Махила Вигьян".  Проект "Махила Вигьян" предусматривает разработку программного обеспечения для подготовки и информирования женщин, занятых приносящей доход деятельностью.</w:t>
      </w:r>
    </w:p>
    <w:p w:rsidR="00000000" w:rsidRDefault="00000000">
      <w:pPr>
        <w:pStyle w:val="112"/>
        <w:rPr>
          <w:rStyle w:val="111"/>
          <w:szCs w:val="22"/>
        </w:rPr>
      </w:pPr>
      <w:r>
        <w:rPr>
          <w:rStyle w:val="111"/>
          <w:szCs w:val="22"/>
        </w:rPr>
        <w:t>769.</w:t>
      </w:r>
      <w:r>
        <w:rPr>
          <w:rStyle w:val="111"/>
          <w:szCs w:val="22"/>
        </w:rPr>
        <w:tab/>
      </w:r>
      <w:r>
        <w:rPr>
          <w:i/>
          <w:iCs/>
        </w:rPr>
        <w:t>Применение науки и техники на благо уязвимых слоев населения</w:t>
      </w:r>
      <w:r>
        <w:rPr>
          <w:rStyle w:val="111"/>
          <w:szCs w:val="22"/>
        </w:rPr>
        <w:t>:  в интересах уязвимых слоев населения осуществляются многие важные проекты в различных областях, в том числе:</w:t>
      </w:r>
    </w:p>
    <w:p w:rsidR="00000000" w:rsidRDefault="00000000">
      <w:pPr>
        <w:pStyle w:val="112"/>
        <w:spacing w:after="240"/>
        <w:ind w:left="680" w:hanging="680"/>
      </w:pPr>
      <w:r>
        <w:t>а)</w:t>
      </w:r>
      <w:r>
        <w:tab/>
        <w:t>программа обучения применению электрических приборов, электроники и компьютерной техники в секторах обслуживания и производства;</w:t>
      </w:r>
    </w:p>
    <w:p w:rsidR="00000000" w:rsidRDefault="00000000">
      <w:pPr>
        <w:pStyle w:val="112"/>
        <w:spacing w:before="0" w:after="240"/>
        <w:ind w:left="680" w:hanging="680"/>
      </w:pPr>
      <w:r>
        <w:rPr>
          <w:lang w:val="en-US"/>
        </w:rPr>
        <w:t>b</w:t>
      </w:r>
      <w:r>
        <w:t>)</w:t>
      </w:r>
      <w:r>
        <w:tab/>
        <w:t>проект обеспечения устойчивых средств к существованию на основе выбора и распространения соответствующих энергетических технологий;</w:t>
      </w:r>
    </w:p>
    <w:p w:rsidR="00000000" w:rsidRDefault="00000000">
      <w:pPr>
        <w:pStyle w:val="112"/>
        <w:spacing w:before="0" w:after="240"/>
        <w:rPr>
          <w:szCs w:val="22"/>
        </w:rPr>
      </w:pPr>
      <w:r>
        <w:rPr>
          <w:szCs w:val="22"/>
        </w:rPr>
        <w:t>с)</w:t>
      </w:r>
      <w:r>
        <w:rPr>
          <w:szCs w:val="22"/>
        </w:rPr>
        <w:tab/>
        <w:t>проект развития гончарного дела в сельских районах;</w:t>
      </w:r>
    </w:p>
    <w:p w:rsidR="00000000" w:rsidRDefault="00000000">
      <w:pPr>
        <w:pStyle w:val="112"/>
        <w:spacing w:before="0"/>
        <w:rPr>
          <w:szCs w:val="22"/>
        </w:rPr>
      </w:pPr>
      <w:r>
        <w:rPr>
          <w:szCs w:val="22"/>
          <w:lang w:val="en-US"/>
        </w:rPr>
        <w:t>d</w:t>
      </w:r>
      <w:r>
        <w:rPr>
          <w:szCs w:val="22"/>
        </w:rPr>
        <w:t>)</w:t>
      </w:r>
      <w:r>
        <w:rPr>
          <w:szCs w:val="22"/>
        </w:rPr>
        <w:tab/>
        <w:t>проекты в области земледелия, животноводства и смежных областях.</w:t>
      </w:r>
    </w:p>
    <w:p w:rsidR="00000000" w:rsidRDefault="00000000">
      <w:pPr>
        <w:pStyle w:val="112"/>
        <w:rPr>
          <w:rStyle w:val="111"/>
          <w:szCs w:val="22"/>
        </w:rPr>
      </w:pPr>
      <w:r>
        <w:rPr>
          <w:rStyle w:val="111"/>
          <w:szCs w:val="22"/>
        </w:rPr>
        <w:t>770.</w:t>
      </w:r>
      <w:r>
        <w:rPr>
          <w:rStyle w:val="111"/>
          <w:szCs w:val="22"/>
        </w:rPr>
        <w:tab/>
      </w:r>
      <w:r>
        <w:rPr>
          <w:i/>
          <w:iCs/>
          <w:szCs w:val="22"/>
        </w:rPr>
        <w:t>Применение науки и техники для развития сельских районов</w:t>
      </w:r>
      <w:r>
        <w:rPr>
          <w:rStyle w:val="111"/>
          <w:szCs w:val="22"/>
        </w:rPr>
        <w:t>:  в рамках этой программы многое сделано в области разработки, модификации и адаптации соответствующей технологии для развития сельских районов, что позволило достичь заметных результатов в следующих сферах:  1) технология недорогого строительства;  2) комплексное освоение земельных, водных и растительных ресурсов;  3) модернизация местных ремесел;  4) малые и средние предприятия, действующие на основе использования имеющихся местных ресурсов; и 5) системы возобновляемых источников энергии.</w:t>
      </w:r>
    </w:p>
    <w:p w:rsidR="00000000" w:rsidRDefault="00000000">
      <w:pPr>
        <w:jc w:val="both"/>
        <w:rPr>
          <w:sz w:val="22"/>
          <w:szCs w:val="22"/>
        </w:rPr>
      </w:pPr>
    </w:p>
    <w:p w:rsidR="00000000" w:rsidRDefault="00000000">
      <w:pPr>
        <w:spacing w:before="120"/>
        <w:jc w:val="both"/>
        <w:rPr>
          <w:b/>
          <w:bCs/>
          <w:sz w:val="22"/>
          <w:szCs w:val="22"/>
        </w:rPr>
      </w:pPr>
      <w:r>
        <w:rPr>
          <w:b/>
          <w:bCs/>
          <w:sz w:val="22"/>
          <w:szCs w:val="22"/>
        </w:rPr>
        <w:t>Подплан в интересах общин, ведущих племенной образ жизни</w:t>
      </w:r>
    </w:p>
    <w:p w:rsidR="00000000" w:rsidRDefault="00000000">
      <w:pPr>
        <w:jc w:val="both"/>
        <w:rPr>
          <w:sz w:val="22"/>
          <w:szCs w:val="22"/>
        </w:rPr>
      </w:pPr>
    </w:p>
    <w:p w:rsidR="00000000" w:rsidRDefault="00000000">
      <w:pPr>
        <w:jc w:val="both"/>
        <w:rPr>
          <w:rStyle w:val="111"/>
          <w:szCs w:val="22"/>
        </w:rPr>
      </w:pPr>
      <w:r>
        <w:rPr>
          <w:rStyle w:val="111"/>
          <w:szCs w:val="22"/>
        </w:rPr>
        <w:t>771.</w:t>
      </w:r>
      <w:r>
        <w:rPr>
          <w:rStyle w:val="111"/>
          <w:szCs w:val="22"/>
        </w:rPr>
        <w:tab/>
        <w:t xml:space="preserve">При всестороннем участии представителей общин, ведущих племенной образ жизни,  среди населения этих общин распространяются научно-технические навыки в областях сельского хозяйства, использования водосборных бассейнов, сбора и хранения проточной воды, сохранения ресурсов in-situ и регулирования водостока.  В ходе осуществления проекта по сбору высококачественного лекарственного сырья представителями </w:t>
      </w:r>
      <w:r>
        <w:rPr>
          <w:i/>
          <w:sz w:val="22"/>
          <w:szCs w:val="22"/>
        </w:rPr>
        <w:t>адивасис</w:t>
      </w:r>
      <w:r>
        <w:rPr>
          <w:rStyle w:val="111"/>
          <w:szCs w:val="22"/>
        </w:rPr>
        <w:t xml:space="preserve"> (коренных народов, ведущих племенной образ жизни) в горных районах Западных Гхатов в их общинах распространялись оперативные методы выращивания лекарственных растений и обработки частей таких растений для производства лекарственного сырья.</w:t>
      </w:r>
    </w:p>
    <w:p w:rsidR="00000000" w:rsidRDefault="00000000">
      <w:pPr>
        <w:jc w:val="both"/>
        <w:rPr>
          <w:sz w:val="22"/>
          <w:szCs w:val="22"/>
        </w:rPr>
      </w:pPr>
    </w:p>
    <w:p w:rsidR="00000000" w:rsidRDefault="00000000">
      <w:pPr>
        <w:pStyle w:val="Heading6"/>
        <w:spacing w:before="120" w:line="240" w:lineRule="auto"/>
        <w:jc w:val="both"/>
        <w:rPr>
          <w:sz w:val="22"/>
          <w:szCs w:val="22"/>
          <w:u w:val="none"/>
        </w:rPr>
      </w:pPr>
      <w:r>
        <w:rPr>
          <w:sz w:val="22"/>
          <w:szCs w:val="22"/>
          <w:u w:val="none"/>
        </w:rPr>
        <w:t>План специального компонента (ПСК)</w:t>
      </w:r>
    </w:p>
    <w:p w:rsidR="00000000" w:rsidRDefault="00000000">
      <w:pPr>
        <w:jc w:val="both"/>
        <w:rPr>
          <w:sz w:val="22"/>
          <w:szCs w:val="22"/>
        </w:rPr>
      </w:pPr>
    </w:p>
    <w:p w:rsidR="00000000" w:rsidRDefault="00000000">
      <w:pPr>
        <w:jc w:val="both"/>
        <w:rPr>
          <w:sz w:val="22"/>
          <w:szCs w:val="22"/>
        </w:rPr>
      </w:pPr>
      <w:r>
        <w:rPr>
          <w:sz w:val="22"/>
          <w:szCs w:val="22"/>
        </w:rPr>
        <w:t>772.</w:t>
      </w:r>
      <w:r>
        <w:rPr>
          <w:sz w:val="22"/>
          <w:szCs w:val="22"/>
        </w:rPr>
        <w:tab/>
        <w:t xml:space="preserve">Осуществляются проекты по улучшению условий жизни представителей списочных каст, в том числе ведется их обучение применению новых технологий для повышения эффективности такой деятельности, как прядение, разведение грибов и т. д.  Реализуются также проекты создания недорогостоящих отхожих мест и очистки сточных вод для целей орошения.  В рамках одного из проектов дети мусорщиков из числа представителей списочных каст обучаются печатанию вывесок и плакатов, компьютерной графике, фотографии, ремонту электрических приборов и изготовлению одежды. </w:t>
      </w:r>
    </w:p>
    <w:p w:rsidR="00000000" w:rsidRDefault="00000000">
      <w:pPr>
        <w:jc w:val="both"/>
        <w:rPr>
          <w:sz w:val="22"/>
          <w:szCs w:val="22"/>
        </w:rPr>
      </w:pPr>
    </w:p>
    <w:p w:rsidR="00000000" w:rsidRDefault="00000000">
      <w:pPr>
        <w:jc w:val="both"/>
        <w:rPr>
          <w:b/>
          <w:bCs/>
          <w:sz w:val="22"/>
          <w:szCs w:val="22"/>
        </w:rPr>
      </w:pPr>
      <w:r>
        <w:rPr>
          <w:b/>
          <w:bCs/>
          <w:sz w:val="22"/>
          <w:szCs w:val="22"/>
        </w:rPr>
        <w:t>Участие молодых ученых в социальных программах</w:t>
      </w:r>
    </w:p>
    <w:p w:rsidR="00000000" w:rsidRDefault="00000000">
      <w:pPr>
        <w:jc w:val="both"/>
        <w:rPr>
          <w:sz w:val="22"/>
          <w:szCs w:val="22"/>
        </w:rPr>
      </w:pPr>
    </w:p>
    <w:p w:rsidR="00000000" w:rsidRDefault="00000000">
      <w:pPr>
        <w:jc w:val="both"/>
        <w:rPr>
          <w:sz w:val="22"/>
          <w:szCs w:val="22"/>
        </w:rPr>
      </w:pPr>
      <w:r>
        <w:rPr>
          <w:sz w:val="22"/>
          <w:szCs w:val="22"/>
        </w:rPr>
        <w:t>773.</w:t>
      </w:r>
      <w:r>
        <w:rPr>
          <w:sz w:val="22"/>
          <w:szCs w:val="22"/>
        </w:rPr>
        <w:tab/>
        <w:t xml:space="preserve">Молодым ученым предоставляется возможность реализовать и применить новаторские идеи для решения повседневных проблем, с которыми сталкиваются уязвимые слои общества.  Некоторые проекты, которым оказывается помощь, осуществляются в областях </w:t>
      </w:r>
      <w:r>
        <w:rPr>
          <w:sz w:val="22"/>
          <w:szCs w:val="22"/>
          <w:lang w:val="en-US"/>
        </w:rPr>
        <w:t>a</w:t>
      </w:r>
      <w:r>
        <w:rPr>
          <w:sz w:val="22"/>
          <w:szCs w:val="22"/>
        </w:rPr>
        <w:t xml:space="preserve">) производства недорогостоящих кормов для животных с использованием кормового сырья, имеющегося в сельских районах; </w:t>
      </w:r>
      <w:r>
        <w:rPr>
          <w:sz w:val="22"/>
          <w:szCs w:val="22"/>
          <w:lang w:val="en-US"/>
        </w:rPr>
        <w:t>b</w:t>
      </w:r>
      <w:r>
        <w:rPr>
          <w:sz w:val="22"/>
          <w:szCs w:val="22"/>
        </w:rPr>
        <w:t>) повышения плодородия почв для выращивания раги (</w:t>
      </w:r>
      <w:r>
        <w:rPr>
          <w:sz w:val="22"/>
          <w:szCs w:val="22"/>
          <w:lang w:val="en-US"/>
        </w:rPr>
        <w:t>ragi</w:t>
      </w:r>
      <w:r>
        <w:rPr>
          <w:sz w:val="22"/>
          <w:szCs w:val="22"/>
        </w:rPr>
        <w:t xml:space="preserve">) и арахиса;  </w:t>
      </w:r>
      <w:r>
        <w:rPr>
          <w:sz w:val="22"/>
          <w:szCs w:val="22"/>
          <w:lang w:val="en-US"/>
        </w:rPr>
        <w:t>c</w:t>
      </w:r>
      <w:r>
        <w:rPr>
          <w:sz w:val="22"/>
          <w:szCs w:val="22"/>
        </w:rPr>
        <w:t xml:space="preserve">) биоэкологических методов борьбы с малярией;  </w:t>
      </w:r>
      <w:r>
        <w:rPr>
          <w:sz w:val="22"/>
          <w:szCs w:val="22"/>
          <w:lang w:val="en-US"/>
        </w:rPr>
        <w:t>d</w:t>
      </w:r>
      <w:r>
        <w:rPr>
          <w:sz w:val="22"/>
          <w:szCs w:val="22"/>
        </w:rPr>
        <w:t xml:space="preserve">) недорогостоящих технологий регулирования водостока; и </w:t>
      </w:r>
      <w:r>
        <w:rPr>
          <w:sz w:val="22"/>
          <w:szCs w:val="22"/>
          <w:lang w:val="en-US"/>
        </w:rPr>
        <w:t>e</w:t>
      </w:r>
      <w:r>
        <w:rPr>
          <w:sz w:val="22"/>
          <w:szCs w:val="22"/>
        </w:rPr>
        <w:t>) оптимизации методов выращивания белых грибов.</w:t>
      </w:r>
    </w:p>
    <w:p w:rsidR="00000000" w:rsidRDefault="00000000">
      <w:pPr>
        <w:jc w:val="both"/>
        <w:rPr>
          <w:b/>
          <w:bCs/>
          <w:sz w:val="22"/>
          <w:szCs w:val="22"/>
        </w:rPr>
      </w:pPr>
    </w:p>
    <w:p w:rsidR="00000000" w:rsidRDefault="00000000">
      <w:pPr>
        <w:spacing w:before="120"/>
        <w:jc w:val="both"/>
        <w:rPr>
          <w:b/>
          <w:bCs/>
          <w:sz w:val="22"/>
          <w:szCs w:val="22"/>
        </w:rPr>
      </w:pPr>
      <w:r>
        <w:rPr>
          <w:b/>
          <w:bCs/>
          <w:sz w:val="22"/>
          <w:szCs w:val="22"/>
        </w:rPr>
        <w:t>Программа отдела "Наука и общество"</w:t>
      </w:r>
    </w:p>
    <w:p w:rsidR="00000000" w:rsidRDefault="00000000">
      <w:pPr>
        <w:jc w:val="both"/>
        <w:rPr>
          <w:sz w:val="22"/>
          <w:szCs w:val="22"/>
        </w:rPr>
      </w:pPr>
    </w:p>
    <w:p w:rsidR="00000000" w:rsidRDefault="00000000">
      <w:pPr>
        <w:jc w:val="both"/>
        <w:rPr>
          <w:sz w:val="22"/>
          <w:szCs w:val="22"/>
        </w:rPr>
      </w:pPr>
      <w:r>
        <w:rPr>
          <w:sz w:val="22"/>
          <w:szCs w:val="22"/>
        </w:rPr>
        <w:t>774.</w:t>
      </w:r>
      <w:r>
        <w:rPr>
          <w:sz w:val="22"/>
          <w:szCs w:val="22"/>
        </w:rPr>
        <w:tab/>
        <w:t>Отдел "Наука и общество" стремится предоставлять заинтересованным ученым и работникам на местах возможность осуществлять ориентированные на конкретные действия местные проекты для улучшения социально-экономического положения бедных и находящихся в неблагоприятном положении слоев населения на основе применения соответствующих технологических решений, в первую очередь в сельских районах.  В рамках этой программы прилагаются усилия к установлению связей соответствующих национальных лабораторий или других специализированных научно-технических учреждений с каждой крупной программой, с тем чтобы укрепить собственный экспертный потенциал, использовать национальную научно-техническую инфраструктуру и обеспечить координацию с низовыми мероприятиями/инициативами в области применения науки и техники.</w:t>
      </w:r>
    </w:p>
    <w:p w:rsidR="00000000" w:rsidRDefault="00000000">
      <w:pPr>
        <w:pStyle w:val="NormalWeb"/>
        <w:spacing w:before="0" w:beforeAutospacing="0" w:after="0" w:afterAutospacing="0"/>
        <w:jc w:val="both"/>
        <w:rPr>
          <w:b/>
          <w:bCs/>
          <w:sz w:val="22"/>
          <w:szCs w:val="22"/>
          <w:lang w:val="ru-RU"/>
        </w:rPr>
      </w:pPr>
    </w:p>
    <w:p w:rsidR="00000000" w:rsidRDefault="00000000">
      <w:pPr>
        <w:pStyle w:val="NormalWeb"/>
        <w:keepNext/>
        <w:spacing w:before="120" w:beforeAutospacing="0" w:after="0" w:afterAutospacing="0"/>
        <w:jc w:val="both"/>
        <w:rPr>
          <w:b/>
          <w:bCs/>
          <w:sz w:val="22"/>
          <w:szCs w:val="22"/>
          <w:lang w:val="ru-RU"/>
        </w:rPr>
      </w:pPr>
      <w:r>
        <w:rPr>
          <w:b/>
          <w:bCs/>
          <w:sz w:val="22"/>
          <w:szCs w:val="22"/>
          <w:lang w:val="ru-RU"/>
        </w:rPr>
        <w:t>Корпорация "Медиа лаб Азия"</w:t>
      </w:r>
    </w:p>
    <w:p w:rsidR="00000000" w:rsidRDefault="00000000">
      <w:pPr>
        <w:pStyle w:val="NormalWeb"/>
        <w:keepNext/>
        <w:spacing w:before="0" w:beforeAutospacing="0" w:after="0" w:afterAutospacing="0"/>
        <w:jc w:val="both"/>
        <w:rPr>
          <w:sz w:val="22"/>
          <w:szCs w:val="22"/>
          <w:lang w:val="ru-RU"/>
        </w:rPr>
      </w:pPr>
    </w:p>
    <w:p w:rsidR="00000000" w:rsidRDefault="00000000">
      <w:pPr>
        <w:pStyle w:val="NormalWeb"/>
        <w:keepNext/>
        <w:spacing w:before="0" w:beforeAutospacing="0" w:after="0" w:afterAutospacing="0"/>
        <w:jc w:val="both"/>
        <w:rPr>
          <w:sz w:val="22"/>
          <w:szCs w:val="22"/>
          <w:lang w:val="ru-RU"/>
        </w:rPr>
      </w:pPr>
      <w:r>
        <w:rPr>
          <w:sz w:val="22"/>
          <w:szCs w:val="22"/>
          <w:lang w:val="ru-RU"/>
        </w:rPr>
        <w:t>775.</w:t>
      </w:r>
      <w:r>
        <w:rPr>
          <w:sz w:val="22"/>
          <w:szCs w:val="22"/>
          <w:lang w:val="ru-RU"/>
        </w:rPr>
        <w:tab/>
        <w:t>В соответствии с индийским законом о компаниях создана корпорация "Медиа лаб Азия", которая представляет собой сеть, объединяющую людей, проекты и лаборатории как в стране, так и за рубежом.  Основная идея ее создания заключается в содействии изобретательству, рационализации и применению наиболее современных информационных технологий в интересах наиболее нуждающихся людей в отдаленных районах страны.  Эта корпорация в настоящее время осуществляет 24 проекта в различных областях исследований.</w:t>
      </w:r>
    </w:p>
    <w:p w:rsidR="00000000" w:rsidRDefault="00000000">
      <w:pPr>
        <w:pStyle w:val="NormalWeb"/>
        <w:spacing w:before="0" w:beforeAutospacing="0" w:after="0" w:afterAutospacing="0"/>
        <w:jc w:val="both"/>
        <w:rPr>
          <w:b/>
          <w:bCs/>
          <w:sz w:val="22"/>
          <w:szCs w:val="22"/>
          <w:lang w:val="ru-RU"/>
        </w:rPr>
      </w:pPr>
    </w:p>
    <w:p w:rsidR="00000000" w:rsidRDefault="00000000">
      <w:pPr>
        <w:pStyle w:val="NormalWeb"/>
        <w:spacing w:before="120" w:beforeAutospacing="0" w:after="0" w:afterAutospacing="0"/>
        <w:jc w:val="both"/>
        <w:rPr>
          <w:b/>
          <w:bCs/>
          <w:sz w:val="22"/>
          <w:szCs w:val="22"/>
          <w:lang w:val="ru-RU"/>
        </w:rPr>
      </w:pPr>
      <w:r>
        <w:rPr>
          <w:b/>
          <w:bCs/>
          <w:sz w:val="22"/>
          <w:szCs w:val="22"/>
          <w:lang w:val="ru-RU"/>
        </w:rPr>
        <w:t>Нормативная деятельность</w:t>
      </w:r>
    </w:p>
    <w:p w:rsidR="00000000" w:rsidRDefault="00000000">
      <w:pPr>
        <w:jc w:val="both"/>
        <w:rPr>
          <w:sz w:val="22"/>
          <w:szCs w:val="22"/>
        </w:rPr>
      </w:pPr>
    </w:p>
    <w:p w:rsidR="00000000" w:rsidRDefault="00000000">
      <w:pPr>
        <w:jc w:val="both"/>
        <w:rPr>
          <w:sz w:val="22"/>
          <w:szCs w:val="22"/>
        </w:rPr>
      </w:pPr>
      <w:r>
        <w:rPr>
          <w:sz w:val="22"/>
          <w:szCs w:val="22"/>
        </w:rPr>
        <w:t>776.</w:t>
      </w:r>
      <w:r>
        <w:rPr>
          <w:sz w:val="22"/>
          <w:szCs w:val="22"/>
        </w:rPr>
        <w:tab/>
        <w:t>В стране действует отлаженный режим охраны интеллектуальной собственности.  Закон об авторских правах 1957 года обеспечивает защиту произведений литературы, музыки и художественного творчества.  Защитой по этому закону пользуются также компьютерные программы, которые приравниваются к литературным произведениям.  Индийский Закон о патентах 1970 года предусматривает выдачу патентов на изобретения.  Недавно в этот закон были внесены поправки для приведения его в соответствие с положениями ТАПИС ВТО.  В 2000 году был принят Закон о промышленных образцах, который предусматривает отдельную от Закона о патентах защиту промышленных образцов, не отвечающих критерию полезности по патентному праву.</w:t>
      </w:r>
    </w:p>
    <w:p w:rsidR="00000000" w:rsidRDefault="00000000">
      <w:pPr>
        <w:pStyle w:val="112"/>
      </w:pPr>
      <w:r>
        <w:t>777.</w:t>
      </w:r>
      <w:r>
        <w:tab/>
        <w:t>Страна приняла также меры для сохранения традиционных знаний и обеспечения того, чтобы выгодами от такой защиты пользовались заинтересованные лица.  Одним из шагов в этом направлении является Закон о биологическом разнообразии 2002 года, который предусматривает справедливое распределение выгод от использования биологических ресурсов и традиционных знаний и регулирует связанные с этим вопросы.  Закон 2003</w:t>
      </w:r>
      <w:r>
        <w:rPr>
          <w:lang w:val="en-US"/>
        </w:rPr>
        <w:t> </w:t>
      </w:r>
      <w:r>
        <w:t>года об охране видов растений и прав фермеров закрепляет за фермерами права получать выгоды от использования биоразнообразия, сохраняемого сельским населением.</w:t>
      </w:r>
    </w:p>
    <w:p w:rsidR="00000000" w:rsidRDefault="00000000">
      <w:pPr>
        <w:pStyle w:val="112"/>
      </w:pPr>
      <w:r>
        <w:t>778.</w:t>
      </w:r>
      <w:r>
        <w:tab/>
        <w:t xml:space="preserve"> Для развития электронной торговли и придания законного характера сделкам в электронной среде правительство приняло в 2000 году Закон об информационных технологиях и опубликовало правила, введенные в действие на основании этого закона. Взлом веб-сайтов и нарушение принципов доверия и конфиденциальности в интернете являются правонарушениями, наказуемыми по этому закону.</w:t>
      </w:r>
    </w:p>
    <w:p w:rsidR="00000000" w:rsidRDefault="00000000">
      <w:pPr>
        <w:jc w:val="both"/>
        <w:rPr>
          <w:sz w:val="22"/>
          <w:szCs w:val="22"/>
        </w:rPr>
      </w:pPr>
    </w:p>
    <w:p w:rsidR="00000000" w:rsidRDefault="00000000">
      <w:pPr>
        <w:spacing w:before="120"/>
        <w:jc w:val="both"/>
        <w:rPr>
          <w:b/>
          <w:sz w:val="22"/>
          <w:szCs w:val="22"/>
        </w:rPr>
      </w:pPr>
      <w:r>
        <w:rPr>
          <w:b/>
          <w:sz w:val="22"/>
          <w:szCs w:val="22"/>
        </w:rPr>
        <w:t>Международное сотрудничество</w:t>
      </w:r>
    </w:p>
    <w:p w:rsidR="00000000" w:rsidRDefault="00000000">
      <w:pPr>
        <w:jc w:val="both"/>
        <w:rPr>
          <w:sz w:val="22"/>
          <w:szCs w:val="22"/>
        </w:rPr>
      </w:pPr>
    </w:p>
    <w:p w:rsidR="00000000" w:rsidRDefault="00000000">
      <w:pPr>
        <w:jc w:val="both"/>
        <w:rPr>
          <w:sz w:val="22"/>
          <w:szCs w:val="22"/>
        </w:rPr>
      </w:pPr>
      <w:r>
        <w:rPr>
          <w:sz w:val="22"/>
          <w:szCs w:val="22"/>
        </w:rPr>
        <w:t>779.</w:t>
      </w:r>
      <w:r>
        <w:rPr>
          <w:sz w:val="22"/>
          <w:szCs w:val="22"/>
        </w:rPr>
        <w:tab/>
        <w:t>Международное сотрудничество в области науки и техники осуществляется на трех уровнях: двустороннее сотрудничество с развитыми и развивающимися странами; региональное сотрудничество со странами, являющимися участниками таких организаций, как СААРК, АСЕАН и БИМСТЕК; и многостороннее сотрудничество  по линии Центра по науке и технике Движения неприсоединения, КОСТЕД, ЮНЕСКО и др. Индия имеет программы двустороннего научно-технического сотрудничества более чем с 57 странами мира.</w:t>
      </w:r>
    </w:p>
    <w:p w:rsidR="00000000" w:rsidRDefault="00000000">
      <w:pPr>
        <w:pStyle w:val="112"/>
      </w:pPr>
      <w:r>
        <w:t>780.</w:t>
      </w:r>
      <w:r>
        <w:tab/>
        <w:t>Начато осуществление крупной программы двустороннего сотрудничества под названием "Индийско-американский форум по вопросам науки и техники". Этот форум зарегистрирован в Индии в качестве независимого общества. Соединенные Штаты учредили специальный фонд для нужд форума, и Индия будет вносить ежегодный параллельный взнос в виде процентов от этого фонда. Начат новый проект по обмену кадрами с Германской службой академических обменов (ГСАО).</w:t>
      </w:r>
    </w:p>
    <w:p w:rsidR="00000000" w:rsidRDefault="00000000">
      <w:pPr>
        <w:pStyle w:val="112"/>
      </w:pPr>
      <w:r>
        <w:t>781.</w:t>
      </w:r>
      <w:r>
        <w:tab/>
        <w:t>Индийские ученые проводят эксперименты в разных областях и имеют возможность повысить квалификацию и заняться международными исследованиями по линии различных международных программ научно-технического сотрудничества. В соответствии с международной программой научно-технического сотрудничества созданы следующие совместные научно-исследовательские центры: Индийско-российский научно-исследовательский центр перспективных компьютерных технологий в Москве, Международный центр продвинутых исследований в области порошковой металлургии в Хайдерабаде и Индийско-узбекский центр по применению в медицине лазеров нижнего уровня для лечения туберкулеза и подобных заболеваний в Нью-Дели.</w:t>
      </w:r>
    </w:p>
    <w:p w:rsidR="00000000" w:rsidRDefault="00000000">
      <w:pPr>
        <w:jc w:val="both"/>
        <w:rPr>
          <w:sz w:val="22"/>
          <w:szCs w:val="22"/>
        </w:rPr>
      </w:pPr>
    </w:p>
    <w:p w:rsidR="00000000" w:rsidRDefault="00000000">
      <w:pPr>
        <w:jc w:val="both"/>
        <w:rPr>
          <w:sz w:val="22"/>
          <w:szCs w:val="22"/>
        </w:rPr>
      </w:pPr>
    </w:p>
    <w:p w:rsidR="00000000" w:rsidRDefault="00000000">
      <w:pPr>
        <w:spacing w:after="240"/>
        <w:ind w:left="567" w:hanging="567"/>
        <w:jc w:val="center"/>
        <w:rPr>
          <w:rStyle w:val="111"/>
          <w:szCs w:val="22"/>
        </w:rPr>
      </w:pPr>
      <w:r>
        <w:rPr>
          <w:rStyle w:val="111"/>
          <w:szCs w:val="22"/>
        </w:rPr>
        <w:t>----</w:t>
      </w:r>
      <w:r>
        <w:rPr>
          <w:rStyle w:val="111"/>
          <w:szCs w:val="22"/>
          <w:lang w:val="en-US"/>
        </w:rPr>
        <w:t>--</w:t>
      </w:r>
      <w:r>
        <w:rPr>
          <w:rStyle w:val="111"/>
          <w:szCs w:val="22"/>
        </w:rPr>
        <w:t>-</w:t>
      </w:r>
    </w:p>
    <w:sectPr w:rsidR="00000000">
      <w:headerReference w:type="even" r:id="rId14"/>
      <w:headerReference w:type="default" r:id="rId15"/>
      <w:footerReference w:type="first" r:id="rId16"/>
      <w:type w:val="continuous"/>
      <w:pgSz w:w="11906" w:h="16838" w:code="9"/>
      <w:pgMar w:top="1814"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w:t>
    </w:r>
    <w:r>
      <w:rPr>
        <w:lang w:val="en-US"/>
      </w:rPr>
      <w:t>7</w:t>
    </w:r>
    <w:r>
      <w:t>-40</w:t>
    </w:r>
    <w:r>
      <w:rPr>
        <w:lang w:val="en-US"/>
      </w:rPr>
      <w:t>755</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240"/>
        </w:tabs>
        <w:spacing w:before="40" w:after="60"/>
        <w:rPr>
          <w:szCs w:val="18"/>
          <w:lang w:val="ru-RU"/>
        </w:rPr>
      </w:pPr>
      <w:r>
        <w:rPr>
          <w:rStyle w:val="FootnoteReference"/>
          <w:sz w:val="18"/>
          <w:szCs w:val="18"/>
          <w:lang w:val="ru-RU"/>
        </w:rPr>
        <w:t>*</w:t>
      </w:r>
      <w:r>
        <w:rPr>
          <w:szCs w:val="18"/>
          <w:lang w:val="ru-RU"/>
        </w:rPr>
        <w:tab/>
        <w:t>Первоначальный доклад (</w:t>
      </w:r>
      <w:r>
        <w:rPr>
          <w:b/>
          <w:szCs w:val="18"/>
          <w:lang w:val="en-US"/>
        </w:rPr>
        <w:t>E</w:t>
      </w:r>
      <w:r>
        <w:rPr>
          <w:b/>
          <w:szCs w:val="18"/>
          <w:lang w:val="ru-RU"/>
        </w:rPr>
        <w:t>/1984/6/</w:t>
      </w:r>
      <w:r>
        <w:rPr>
          <w:b/>
          <w:szCs w:val="18"/>
          <w:lang w:val="en-US"/>
        </w:rPr>
        <w:t>Add</w:t>
      </w:r>
      <w:r>
        <w:rPr>
          <w:b/>
          <w:szCs w:val="18"/>
          <w:lang w:val="ru-RU"/>
        </w:rPr>
        <w:t>.13</w:t>
      </w:r>
      <w:r>
        <w:rPr>
          <w:szCs w:val="18"/>
          <w:lang w:val="ru-RU"/>
        </w:rPr>
        <w:t xml:space="preserve">) в отношении прав, охватываемых статьями 6–9 Пакта, </w:t>
      </w:r>
      <w:r>
        <w:rPr>
          <w:rFonts w:eastAsia="SimSun"/>
          <w:b/>
          <w:bCs/>
          <w:color w:val="000000"/>
          <w:szCs w:val="18"/>
          <w:lang w:val="ru-RU" w:eastAsia="zh-CN"/>
        </w:rPr>
        <w:t>(</w:t>
      </w:r>
      <w:r>
        <w:rPr>
          <w:rFonts w:eastAsia="SimSun"/>
          <w:b/>
          <w:bCs/>
          <w:color w:val="000000"/>
          <w:szCs w:val="18"/>
          <w:lang w:eastAsia="zh-CN"/>
        </w:rPr>
        <w:t>E</w:t>
      </w:r>
      <w:r>
        <w:rPr>
          <w:rFonts w:eastAsia="SimSun"/>
          <w:b/>
          <w:bCs/>
          <w:color w:val="000000"/>
          <w:szCs w:val="18"/>
          <w:lang w:val="ru-RU" w:eastAsia="zh-CN"/>
        </w:rPr>
        <w:t>/1980/6/</w:t>
      </w:r>
      <w:r>
        <w:rPr>
          <w:rFonts w:eastAsia="SimSun"/>
          <w:b/>
          <w:bCs/>
          <w:color w:val="000000"/>
          <w:szCs w:val="18"/>
          <w:lang w:eastAsia="zh-CN"/>
        </w:rPr>
        <w:t>Add</w:t>
      </w:r>
      <w:r>
        <w:rPr>
          <w:rFonts w:eastAsia="SimSun"/>
          <w:b/>
          <w:bCs/>
          <w:color w:val="000000"/>
          <w:szCs w:val="18"/>
          <w:lang w:val="ru-RU" w:eastAsia="zh-CN"/>
        </w:rPr>
        <w:t xml:space="preserve">.34 </w:t>
      </w:r>
      <w:r>
        <w:rPr>
          <w:rFonts w:eastAsia="SimSun"/>
          <w:b/>
          <w:bCs/>
          <w:color w:val="000000"/>
          <w:szCs w:val="18"/>
          <w:lang w:val="ru-RU" w:eastAsia="zh-CN"/>
        </w:rPr>
        <w:br/>
      </w:r>
      <w:r>
        <w:rPr>
          <w:rFonts w:eastAsia="SimSun"/>
          <w:bCs/>
          <w:color w:val="000000"/>
          <w:szCs w:val="18"/>
          <w:lang w:val="ru-RU" w:eastAsia="zh-CN"/>
        </w:rPr>
        <w:t>и</w:t>
      </w:r>
      <w:r>
        <w:rPr>
          <w:rFonts w:eastAsia="SimSun"/>
          <w:b/>
          <w:bCs/>
          <w:color w:val="000000"/>
          <w:szCs w:val="18"/>
          <w:lang w:val="ru-RU" w:eastAsia="zh-CN"/>
        </w:rPr>
        <w:t xml:space="preserve"> </w:t>
      </w:r>
      <w:r>
        <w:rPr>
          <w:rFonts w:eastAsia="SimSun"/>
          <w:b/>
          <w:bCs/>
          <w:color w:val="000000"/>
          <w:szCs w:val="18"/>
          <w:lang w:eastAsia="zh-CN"/>
        </w:rPr>
        <w:t>E</w:t>
      </w:r>
      <w:r>
        <w:rPr>
          <w:rFonts w:eastAsia="SimSun"/>
          <w:b/>
          <w:bCs/>
          <w:color w:val="000000"/>
          <w:szCs w:val="18"/>
          <w:lang w:val="ru-RU" w:eastAsia="zh-CN"/>
        </w:rPr>
        <w:t>/1980/6/</w:t>
      </w:r>
      <w:r>
        <w:rPr>
          <w:rFonts w:eastAsia="SimSun"/>
          <w:b/>
          <w:bCs/>
          <w:color w:val="000000"/>
          <w:szCs w:val="18"/>
          <w:lang w:eastAsia="zh-CN"/>
        </w:rPr>
        <w:t>Add</w:t>
      </w:r>
      <w:r>
        <w:rPr>
          <w:rFonts w:eastAsia="SimSun"/>
          <w:b/>
          <w:bCs/>
          <w:color w:val="000000"/>
          <w:szCs w:val="18"/>
          <w:lang w:val="ru-RU" w:eastAsia="zh-CN"/>
        </w:rPr>
        <w:t>.34/</w:t>
      </w:r>
      <w:r>
        <w:rPr>
          <w:rFonts w:eastAsia="SimSun"/>
          <w:b/>
          <w:bCs/>
          <w:color w:val="000000"/>
          <w:szCs w:val="18"/>
          <w:lang w:eastAsia="zh-CN"/>
        </w:rPr>
        <w:t>Corr</w:t>
      </w:r>
      <w:r>
        <w:rPr>
          <w:rFonts w:eastAsia="SimSun"/>
          <w:b/>
          <w:bCs/>
          <w:color w:val="000000"/>
          <w:szCs w:val="18"/>
          <w:lang w:val="ru-RU" w:eastAsia="zh-CN"/>
        </w:rPr>
        <w:t>.1)</w:t>
      </w:r>
      <w:r>
        <w:rPr>
          <w:rFonts w:eastAsia="SimSun"/>
          <w:color w:val="000000"/>
          <w:szCs w:val="18"/>
          <w:lang w:val="ru-RU" w:eastAsia="zh-CN"/>
        </w:rPr>
        <w:t xml:space="preserve"> в отношении прав, охватываемых статьями 10</w:t>
      </w:r>
      <w:r>
        <w:rPr>
          <w:rFonts w:eastAsia="SimSun"/>
          <w:color w:val="000000"/>
          <w:szCs w:val="18"/>
          <w:lang w:val="en-US" w:eastAsia="zh-CN"/>
        </w:rPr>
        <w:t>–</w:t>
      </w:r>
      <w:r>
        <w:rPr>
          <w:rFonts w:eastAsia="SimSun"/>
          <w:color w:val="000000"/>
          <w:szCs w:val="18"/>
          <w:lang w:val="ru-RU" w:eastAsia="zh-CN"/>
        </w:rPr>
        <w:t xml:space="preserve">12 Пакта, </w:t>
      </w:r>
      <w:r>
        <w:rPr>
          <w:rFonts w:eastAsia="SimSun"/>
          <w:b/>
          <w:bCs/>
          <w:color w:val="000000"/>
          <w:szCs w:val="18"/>
          <w:lang w:val="ru-RU" w:eastAsia="zh-CN"/>
        </w:rPr>
        <w:t>(</w:t>
      </w:r>
      <w:r>
        <w:rPr>
          <w:rFonts w:eastAsia="SimSun"/>
          <w:b/>
          <w:bCs/>
          <w:color w:val="000000"/>
          <w:szCs w:val="18"/>
          <w:lang w:eastAsia="zh-CN"/>
        </w:rPr>
        <w:t>E</w:t>
      </w:r>
      <w:r>
        <w:rPr>
          <w:rFonts w:eastAsia="SimSun"/>
          <w:b/>
          <w:bCs/>
          <w:color w:val="000000"/>
          <w:szCs w:val="18"/>
          <w:lang w:val="ru-RU" w:eastAsia="zh-CN"/>
        </w:rPr>
        <w:t>/1988/5/</w:t>
      </w:r>
      <w:r>
        <w:rPr>
          <w:rFonts w:eastAsia="SimSun"/>
          <w:b/>
          <w:bCs/>
          <w:color w:val="000000"/>
          <w:szCs w:val="18"/>
          <w:lang w:eastAsia="zh-CN"/>
        </w:rPr>
        <w:t>Add</w:t>
      </w:r>
      <w:r>
        <w:rPr>
          <w:rFonts w:eastAsia="SimSun"/>
          <w:b/>
          <w:bCs/>
          <w:color w:val="000000"/>
          <w:szCs w:val="18"/>
          <w:lang w:val="ru-RU" w:eastAsia="zh-CN"/>
        </w:rPr>
        <w:t>.5)</w:t>
      </w:r>
      <w:r>
        <w:rPr>
          <w:rFonts w:eastAsia="SimSun"/>
          <w:color w:val="000000"/>
          <w:szCs w:val="18"/>
          <w:lang w:val="ru-RU" w:eastAsia="zh-CN"/>
        </w:rPr>
        <w:t xml:space="preserve"> в отношении прав, охватываемых статьями 13–15 Пакта, представленный Индией, был рассмотрен Комитетом по экономическим, социальным и культурным правам на его четвертой сессии в 1990 году (см.  документы </w:t>
      </w:r>
      <w:r>
        <w:rPr>
          <w:rFonts w:eastAsia="SimSun"/>
          <w:b/>
          <w:bCs/>
          <w:color w:val="000000"/>
          <w:szCs w:val="18"/>
          <w:lang w:eastAsia="zh-CN"/>
        </w:rPr>
        <w:t>E</w:t>
      </w:r>
      <w:r>
        <w:rPr>
          <w:rFonts w:eastAsia="SimSun"/>
          <w:b/>
          <w:bCs/>
          <w:color w:val="000000"/>
          <w:szCs w:val="18"/>
          <w:lang w:val="ru-RU" w:eastAsia="zh-CN"/>
        </w:rPr>
        <w:t>/</w:t>
      </w:r>
      <w:r>
        <w:rPr>
          <w:rFonts w:eastAsia="SimSun"/>
          <w:b/>
          <w:bCs/>
          <w:color w:val="000000"/>
          <w:szCs w:val="18"/>
          <w:lang w:eastAsia="zh-CN"/>
        </w:rPr>
        <w:t>C</w:t>
      </w:r>
      <w:r>
        <w:rPr>
          <w:rFonts w:eastAsia="SimSun"/>
          <w:b/>
          <w:bCs/>
          <w:color w:val="000000"/>
          <w:szCs w:val="18"/>
          <w:lang w:val="ru-RU" w:eastAsia="zh-CN"/>
        </w:rPr>
        <w:t>.12/1990/</w:t>
      </w:r>
      <w:r>
        <w:rPr>
          <w:rFonts w:eastAsia="SimSun"/>
          <w:b/>
          <w:bCs/>
          <w:color w:val="000000"/>
          <w:szCs w:val="18"/>
          <w:lang w:eastAsia="zh-CN"/>
        </w:rPr>
        <w:t>SR</w:t>
      </w:r>
      <w:r>
        <w:rPr>
          <w:rFonts w:eastAsia="SimSun"/>
          <w:b/>
          <w:bCs/>
          <w:color w:val="000000"/>
          <w:szCs w:val="18"/>
          <w:lang w:val="ru-RU" w:eastAsia="zh-CN"/>
        </w:rPr>
        <w:t>. 6, 8, 16, 17, 19, 20 и 24</w:t>
      </w:r>
      <w:r>
        <w:rPr>
          <w:rFonts w:eastAsia="SimSun"/>
          <w:color w:val="000000"/>
          <w:szCs w:val="18"/>
          <w:lang w:val="ru-RU" w:eastAsia="zh-CN"/>
        </w:rPr>
        <w:t>).</w:t>
      </w:r>
    </w:p>
    <w:p w:rsidR="00000000" w:rsidRDefault="00000000">
      <w:pPr>
        <w:pStyle w:val="FootnoteText"/>
        <w:tabs>
          <w:tab w:val="left" w:pos="240"/>
        </w:tabs>
        <w:spacing w:before="40" w:after="60"/>
        <w:rPr>
          <w:szCs w:val="18"/>
          <w:lang w:val="ru-RU"/>
        </w:rPr>
      </w:pPr>
      <w:r>
        <w:rPr>
          <w:rStyle w:val="FootnoteReference"/>
          <w:sz w:val="18"/>
          <w:szCs w:val="18"/>
          <w:lang w:val="ru-RU"/>
        </w:rPr>
        <w:t>**</w:t>
      </w:r>
      <w:r>
        <w:rPr>
          <w:szCs w:val="18"/>
          <w:lang w:val="ru-RU"/>
        </w:rPr>
        <w:tab/>
        <w:t>В соответствии с информацией, препровожденной государствам-участникам в отношении оформления докладов, настоящий документ не был официально отредактирован до его передачи в переводческие службы Организации Объединенных Наций.</w:t>
      </w:r>
    </w:p>
  </w:footnote>
  <w:footnote w:id="2">
    <w:p w:rsidR="00000000" w:rsidRDefault="00000000">
      <w:pPr>
        <w:pStyle w:val="FootnoteText"/>
        <w:spacing w:after="80"/>
        <w:rPr>
          <w:szCs w:val="18"/>
          <w:lang w:val="ru-RU"/>
        </w:rPr>
      </w:pPr>
      <w:r>
        <w:rPr>
          <w:rStyle w:val="FootnoteReference"/>
          <w:sz w:val="18"/>
          <w:szCs w:val="18"/>
          <w:lang w:val="ru-RU"/>
        </w:rPr>
        <w:t>1</w:t>
      </w:r>
      <w:r>
        <w:rPr>
          <w:szCs w:val="18"/>
          <w:lang w:val="ru-RU"/>
        </w:rPr>
        <w:t xml:space="preserve"> </w:t>
      </w:r>
      <w:r>
        <w:rPr>
          <w:szCs w:val="18"/>
          <w:lang w:val="ru-RU"/>
        </w:rPr>
        <w:tab/>
        <w:t>Цели и социальные ориентиры планирования в Индии определяются Руководящими принципами политики государства, закрепленными в части</w:t>
      </w:r>
      <w:r>
        <w:rPr>
          <w:szCs w:val="18"/>
        </w:rPr>
        <w:t> </w:t>
      </w:r>
      <w:r>
        <w:rPr>
          <w:szCs w:val="18"/>
          <w:lang w:val="en-US"/>
        </w:rPr>
        <w:t>IV</w:t>
      </w:r>
      <w:r>
        <w:rPr>
          <w:szCs w:val="18"/>
          <w:lang w:val="ru-RU"/>
        </w:rPr>
        <w:t xml:space="preserve"> Конституции.</w:t>
      </w:r>
    </w:p>
  </w:footnote>
  <w:footnote w:id="3">
    <w:p w:rsidR="00000000" w:rsidRDefault="00000000">
      <w:pPr>
        <w:pStyle w:val="FootnoteText"/>
        <w:rPr>
          <w:szCs w:val="18"/>
          <w:lang w:val="ru-RU"/>
        </w:rPr>
      </w:pPr>
      <w:r>
        <w:rPr>
          <w:rStyle w:val="FootnoteReference"/>
          <w:sz w:val="18"/>
          <w:szCs w:val="18"/>
          <w:lang w:val="ru-RU"/>
        </w:rPr>
        <w:t>2</w:t>
      </w:r>
      <w:r>
        <w:rPr>
          <w:szCs w:val="18"/>
          <w:lang w:val="ru-RU"/>
        </w:rPr>
        <w:t xml:space="preserve"> В Конституции Индии выделяются две категории гарантируемых прав:  основополагающие права (статьи</w:t>
      </w:r>
      <w:r>
        <w:rPr>
          <w:szCs w:val="18"/>
        </w:rPr>
        <w:t> </w:t>
      </w:r>
      <w:r>
        <w:rPr>
          <w:szCs w:val="18"/>
          <w:lang w:val="ru-RU"/>
        </w:rPr>
        <w:t xml:space="preserve">14–31) и </w:t>
      </w:r>
      <w:r>
        <w:rPr>
          <w:caps/>
          <w:szCs w:val="18"/>
          <w:lang w:val="ru-RU"/>
        </w:rPr>
        <w:t>р</w:t>
      </w:r>
      <w:r>
        <w:rPr>
          <w:szCs w:val="18"/>
          <w:lang w:val="ru-RU"/>
        </w:rPr>
        <w:t>уководящие принципы политики государства (статьи</w:t>
      </w:r>
      <w:r>
        <w:rPr>
          <w:szCs w:val="18"/>
        </w:rPr>
        <w:t> </w:t>
      </w:r>
      <w:r>
        <w:rPr>
          <w:szCs w:val="18"/>
          <w:lang w:val="ru-RU"/>
        </w:rPr>
        <w:t>39–51).  Права первой категории, направленные на обеспечение нерушимости некоторых основных прав со стороны государства, могут гарантироваться в судебном порядке в соответствии со статьями 32 и 226 Конституции.  Вместе с тем права второй группы,  хотя и имеют принципиальное значение для управления страной, не подлежат обеспечению ни в каком суде и должны осуществляться постепенно.  Иными словами, если какой-либо Руководящий принцип не соблюдается, его осуществление не может быть обеспечено посредством судебного разбирательства.  Тем не менее Верховный суд Индии, занимая в этом вопросе активную позицию, уже толковал эти экономические и социальные права как основополагающие права, подлежащие защите в суде.  Так, в</w:t>
      </w:r>
      <w:r>
        <w:rPr>
          <w:szCs w:val="18"/>
        </w:rPr>
        <w:t> </w:t>
      </w:r>
      <w:r>
        <w:rPr>
          <w:szCs w:val="18"/>
          <w:lang w:val="ru-RU"/>
        </w:rPr>
        <w:t xml:space="preserve">деле </w:t>
      </w:r>
      <w:r>
        <w:rPr>
          <w:i/>
          <w:iCs/>
          <w:szCs w:val="18"/>
          <w:lang w:val="ru-RU"/>
        </w:rPr>
        <w:t>Ахил Бхартия Сошит Кармачари Сангх против Индийского Союза</w:t>
      </w:r>
      <w:r>
        <w:rPr>
          <w:iCs/>
          <w:szCs w:val="18"/>
          <w:lang w:val="ru-RU"/>
        </w:rPr>
        <w:t>,</w:t>
      </w:r>
      <w:r>
        <w:rPr>
          <w:szCs w:val="18"/>
          <w:lang w:val="ru-RU"/>
        </w:rPr>
        <w:t xml:space="preserve"> </w:t>
      </w:r>
      <w:r>
        <w:rPr>
          <w:szCs w:val="18"/>
          <w:lang w:val="en-US"/>
        </w:rPr>
        <w:t>AIR</w:t>
      </w:r>
      <w:r>
        <w:rPr>
          <w:szCs w:val="18"/>
          <w:lang w:val="ru-RU"/>
        </w:rPr>
        <w:t xml:space="preserve"> 1981 </w:t>
      </w:r>
      <w:r>
        <w:rPr>
          <w:szCs w:val="18"/>
          <w:lang w:val="en-US"/>
        </w:rPr>
        <w:t>SC</w:t>
      </w:r>
      <w:r>
        <w:rPr>
          <w:szCs w:val="18"/>
          <w:lang w:val="ru-RU"/>
        </w:rPr>
        <w:t xml:space="preserve"> 298, Верховный суд постановил, что судебные органы должны использовать Руководящие принципы как толковательный кодекс норм, помогающий им определить существо основополагающих прав.  Последние на самом деле следовало бы рассматривать в свете первых, а первые – там, где и когда это возможно, – толковать как последние.  В</w:t>
      </w:r>
      <w:r>
        <w:rPr>
          <w:szCs w:val="18"/>
        </w:rPr>
        <w:t> </w:t>
      </w:r>
      <w:r>
        <w:rPr>
          <w:szCs w:val="18"/>
          <w:lang w:val="ru-RU"/>
        </w:rPr>
        <w:t xml:space="preserve">свете этого судебного постановления особое значение приобретает решение суда по делу </w:t>
      </w:r>
      <w:r>
        <w:rPr>
          <w:i/>
          <w:iCs/>
          <w:szCs w:val="18"/>
          <w:lang w:val="ru-RU"/>
        </w:rPr>
        <w:t>Франсис Коралие против Союзной территории Дели</w:t>
      </w:r>
      <w:r>
        <w:rPr>
          <w:iCs/>
          <w:szCs w:val="18"/>
          <w:lang w:val="ru-RU"/>
        </w:rPr>
        <w:t>,</w:t>
      </w:r>
      <w:r>
        <w:rPr>
          <w:i/>
          <w:iCs/>
          <w:szCs w:val="18"/>
          <w:lang w:val="ru-RU"/>
        </w:rPr>
        <w:t xml:space="preserve"> </w:t>
      </w:r>
      <w:r>
        <w:rPr>
          <w:szCs w:val="18"/>
          <w:lang w:val="en-US"/>
        </w:rPr>
        <w:t>AIR</w:t>
      </w:r>
      <w:r>
        <w:rPr>
          <w:szCs w:val="18"/>
          <w:lang w:val="ru-RU"/>
        </w:rPr>
        <w:t xml:space="preserve"> 1981 </w:t>
      </w:r>
      <w:r>
        <w:rPr>
          <w:szCs w:val="18"/>
          <w:lang w:val="en-US"/>
        </w:rPr>
        <w:t>SC</w:t>
      </w:r>
      <w:r>
        <w:rPr>
          <w:szCs w:val="18"/>
          <w:lang w:val="ru-RU"/>
        </w:rPr>
        <w:t xml:space="preserve"> 746.  Суд постановил, что основное право на жизнь, которое является наиболее ценным правом человека и составляет стержень всех других прав, следует в этой связи толковать расширительно, с тем чтобы придать ему значение и силу на долгие годы.  Таким образом, все основополагающие права, охватываемые Руководящим принципом, можно на законном основании толковать как основополагающее право на жизнь и, следовательно, как право, подлежащее обеспечению Верховным судом.  В</w:t>
      </w:r>
      <w:r>
        <w:rPr>
          <w:szCs w:val="18"/>
        </w:rPr>
        <w:t> </w:t>
      </w:r>
      <w:r>
        <w:rPr>
          <w:szCs w:val="18"/>
          <w:lang w:val="ru-RU"/>
        </w:rPr>
        <w:t xml:space="preserve">деле </w:t>
      </w:r>
      <w:r>
        <w:rPr>
          <w:i/>
          <w:iCs/>
          <w:szCs w:val="18"/>
          <w:lang w:val="ru-RU"/>
        </w:rPr>
        <w:t>Ольга Теллис против Муниципальной корпорации Бомбея</w:t>
      </w:r>
      <w:r>
        <w:rPr>
          <w:iCs/>
          <w:szCs w:val="18"/>
          <w:lang w:val="ru-RU"/>
        </w:rPr>
        <w:t>,</w:t>
      </w:r>
      <w:r>
        <w:rPr>
          <w:szCs w:val="18"/>
          <w:lang w:val="ru-RU"/>
        </w:rPr>
        <w:t xml:space="preserve"> </w:t>
      </w:r>
      <w:r>
        <w:rPr>
          <w:szCs w:val="18"/>
          <w:lang w:val="en-US"/>
        </w:rPr>
        <w:t>AIR</w:t>
      </w:r>
      <w:r>
        <w:rPr>
          <w:szCs w:val="18"/>
          <w:lang w:val="ru-RU"/>
        </w:rPr>
        <w:t xml:space="preserve"> 1986 </w:t>
      </w:r>
      <w:r>
        <w:rPr>
          <w:szCs w:val="18"/>
          <w:lang w:val="en-US"/>
        </w:rPr>
        <w:t>SC</w:t>
      </w:r>
      <w:r>
        <w:rPr>
          <w:szCs w:val="18"/>
          <w:lang w:val="ru-RU"/>
        </w:rPr>
        <w:t xml:space="preserve"> 280, Верховный суд постановил, что право на жизнь включает в себя право на средства к существованию, потому что никто не может жить без средств к существованию.  Вместе с тем в деле </w:t>
      </w:r>
      <w:r>
        <w:rPr>
          <w:i/>
          <w:iCs/>
          <w:szCs w:val="18"/>
          <w:lang w:val="ru-RU"/>
        </w:rPr>
        <w:t>Союз садоводов Дели против Администрации Дели</w:t>
      </w:r>
      <w:r>
        <w:rPr>
          <w:iCs/>
          <w:szCs w:val="18"/>
          <w:lang w:val="ru-RU"/>
        </w:rPr>
        <w:t>,</w:t>
      </w:r>
      <w:r>
        <w:rPr>
          <w:szCs w:val="18"/>
          <w:lang w:val="ru-RU"/>
        </w:rPr>
        <w:t xml:space="preserve"> </w:t>
      </w:r>
      <w:r>
        <w:rPr>
          <w:szCs w:val="18"/>
          <w:lang w:val="en-US"/>
        </w:rPr>
        <w:t>AIR</w:t>
      </w:r>
      <w:r>
        <w:rPr>
          <w:szCs w:val="18"/>
          <w:lang w:val="ru-RU"/>
        </w:rPr>
        <w:t xml:space="preserve"> 1992 </w:t>
      </w:r>
      <w:r>
        <w:rPr>
          <w:szCs w:val="18"/>
          <w:lang w:val="en-US"/>
        </w:rPr>
        <w:t>SC</w:t>
      </w:r>
      <w:r>
        <w:rPr>
          <w:szCs w:val="18"/>
          <w:lang w:val="ru-RU"/>
        </w:rPr>
        <w:t xml:space="preserve"> 789, Верховный суд постановил, что при всем широком толковании права на жизнь и в качестве необходимого логического вывода, это право должно включать в себя право на средства к существованию и, следовательно, право на труд, но в Индии пока не представляется возможным включить право на средства к существованию в Конституцию в качестве основополагающего права.</w:t>
      </w:r>
    </w:p>
  </w:footnote>
  <w:footnote w:id="4">
    <w:p w:rsidR="00000000" w:rsidRDefault="00000000">
      <w:pPr>
        <w:pStyle w:val="FootnoteText"/>
        <w:rPr>
          <w:szCs w:val="18"/>
          <w:lang w:val="ru-RU"/>
        </w:rPr>
      </w:pPr>
      <w:r>
        <w:rPr>
          <w:rStyle w:val="FootnoteReference"/>
          <w:sz w:val="18"/>
          <w:szCs w:val="18"/>
          <w:lang w:val="ru-RU"/>
        </w:rPr>
        <w:t>3</w:t>
      </w:r>
      <w:r>
        <w:rPr>
          <w:szCs w:val="18"/>
          <w:lang w:val="ru-RU"/>
        </w:rPr>
        <w:t xml:space="preserve"> Организация по проведению национальных выборочных обследований (ОНВО) находится в ведении Центрального статистического управления Индии.  ОНВО собирает данные о различных аспектах занятости и безработицы посредством обследований, проводимых раз в пять лет, начиная с 1972–1973 годов.  К настоящему времени было проведено шесть обследований.  Последние два были проведены в ходе 50-го цикла (июль 1993 года – июнь 1994</w:t>
      </w:r>
      <w:r>
        <w:rPr>
          <w:szCs w:val="18"/>
        </w:rPr>
        <w:t> </w:t>
      </w:r>
      <w:r>
        <w:rPr>
          <w:szCs w:val="18"/>
          <w:lang w:val="ru-RU"/>
        </w:rPr>
        <w:t>года) и 55-го цикла (июль 1999</w:t>
      </w:r>
      <w:r>
        <w:rPr>
          <w:szCs w:val="18"/>
          <w:lang w:val="en-US"/>
        </w:rPr>
        <w:t> </w:t>
      </w:r>
      <w:r>
        <w:rPr>
          <w:szCs w:val="18"/>
          <w:lang w:val="ru-RU"/>
        </w:rPr>
        <w:t>года – июнь 2000</w:t>
      </w:r>
      <w:r>
        <w:rPr>
          <w:szCs w:val="18"/>
        </w:rPr>
        <w:t> </w:t>
      </w:r>
      <w:r>
        <w:rPr>
          <w:szCs w:val="18"/>
          <w:lang w:val="ru-RU"/>
        </w:rPr>
        <w:t>года).  ОНВО использует такое же определение труда, как и МОТ, за исключением труда по переработке первичного сырья для собственного потребления.  Наряду с ОНВО Уполномоченный по переписи населения Индии и Главное бюро регистрации записей актов гражданского состояния Индии каждые десять лет проводят перепись населения с использованием принятого МОТ определения экономической деятельности.  Данные, собираемые в рамках переписи рабочей силы, касаются в основном трудящихся-мужчин, включая сельхозработников и трудящихся-мигрантов в разбивке по возрасту, полу, уровню образования и экономического положения, а также  трудящихся-женщин с учетом их семейного положения, сферы деятельности и т. п.  Департаменты по вопросам труда правительств штатов также поставляют множество данных по этим вопросам.  Правительства штатов располагают всеми данными, касающимися производственных предприятий, охватываемых фабричным законодательством, трудовых споров, забастовок, массовых увольнений, соглашений о зарплате и т. п.  На местном уровне администрации округов также располагают данными о профиле производства, характере и видах промышленных предприятий, о трудящихся в организованном и неорганизованном секторах, безработице и т. п.</w:t>
      </w:r>
    </w:p>
  </w:footnote>
  <w:footnote w:id="5">
    <w:p w:rsidR="00000000" w:rsidRDefault="00000000">
      <w:pPr>
        <w:pStyle w:val="FootnoteText"/>
        <w:rPr>
          <w:szCs w:val="18"/>
          <w:lang w:val="ru-RU"/>
        </w:rPr>
      </w:pPr>
      <w:r>
        <w:rPr>
          <w:rStyle w:val="FootnoteReference"/>
          <w:sz w:val="18"/>
          <w:szCs w:val="18"/>
          <w:lang w:val="ru-RU"/>
        </w:rPr>
        <w:t>4</w:t>
      </w:r>
      <w:r>
        <w:rPr>
          <w:szCs w:val="18"/>
          <w:lang w:val="ru-RU"/>
        </w:rPr>
        <w:t xml:space="preserve"> </w:t>
      </w:r>
      <w:r>
        <w:rPr>
          <w:szCs w:val="18"/>
          <w:lang w:val="ru-RU"/>
        </w:rPr>
        <w:tab/>
        <w:t xml:space="preserve">Пункт 1 </w:t>
      </w:r>
      <w:r>
        <w:rPr>
          <w:szCs w:val="18"/>
          <w:lang w:val="en-US"/>
        </w:rPr>
        <w:t>g</w:t>
      </w:r>
      <w:r>
        <w:rPr>
          <w:szCs w:val="18"/>
          <w:lang w:val="ru-RU"/>
        </w:rPr>
        <w:t xml:space="preserve">) статьи 19 Конституции Индии гарантирует всем гражданам право "практиковать любую профессию или иметь любое занятие, вести любую торговлю или какую-либо другую предпринимательскую деятельность".  Ниже перечисляются случаи, в которых Верховный суд Индии отменил различные правительственные ограничения на том основании, что они нарушают пункт 1 </w:t>
      </w:r>
      <w:r>
        <w:rPr>
          <w:szCs w:val="18"/>
          <w:lang w:val="en-US"/>
        </w:rPr>
        <w:t>g</w:t>
      </w:r>
      <w:r>
        <w:rPr>
          <w:szCs w:val="18"/>
          <w:lang w:val="ru-RU"/>
        </w:rPr>
        <w:t>) статьи 19.  [</w:t>
      </w:r>
      <w:r>
        <w:rPr>
          <w:i/>
          <w:iCs/>
          <w:szCs w:val="18"/>
          <w:lang w:val="ru-RU"/>
        </w:rPr>
        <w:t>Чинтамон Рао против штата М.П.</w:t>
      </w:r>
      <w:r>
        <w:rPr>
          <w:szCs w:val="18"/>
          <w:lang w:val="ru-RU"/>
        </w:rPr>
        <w:t xml:space="preserve">, </w:t>
      </w:r>
      <w:r>
        <w:rPr>
          <w:szCs w:val="18"/>
          <w:lang w:val="en-US"/>
        </w:rPr>
        <w:t>AIR</w:t>
      </w:r>
      <w:r>
        <w:rPr>
          <w:szCs w:val="18"/>
          <w:lang w:val="ru-RU"/>
        </w:rPr>
        <w:t xml:space="preserve"> 1988 </w:t>
      </w:r>
      <w:r>
        <w:rPr>
          <w:szCs w:val="18"/>
          <w:lang w:val="en-US"/>
        </w:rPr>
        <w:t>SC</w:t>
      </w:r>
      <w:r>
        <w:rPr>
          <w:szCs w:val="18"/>
          <w:lang w:val="ru-RU"/>
        </w:rPr>
        <w:t xml:space="preserve"> 588;  </w:t>
      </w:r>
      <w:r>
        <w:rPr>
          <w:i/>
          <w:szCs w:val="18"/>
          <w:lang w:val="ru-RU"/>
        </w:rPr>
        <w:t>Дварка Прасад против штата У.П.</w:t>
      </w:r>
      <w:r>
        <w:rPr>
          <w:szCs w:val="18"/>
          <w:lang w:val="ru-RU"/>
        </w:rPr>
        <w:t xml:space="preserve">, </w:t>
      </w:r>
      <w:r>
        <w:rPr>
          <w:szCs w:val="18"/>
          <w:lang w:val="en-US"/>
        </w:rPr>
        <w:t>AIR</w:t>
      </w:r>
      <w:r>
        <w:rPr>
          <w:szCs w:val="18"/>
          <w:lang w:val="ru-RU"/>
        </w:rPr>
        <w:t xml:space="preserve"> 1954 </w:t>
      </w:r>
      <w:r>
        <w:rPr>
          <w:szCs w:val="18"/>
          <w:lang w:val="en-US"/>
        </w:rPr>
        <w:t>SC</w:t>
      </w:r>
      <w:r>
        <w:rPr>
          <w:szCs w:val="18"/>
          <w:lang w:val="ru-RU"/>
        </w:rPr>
        <w:t xml:space="preserve"> 224;  </w:t>
      </w:r>
      <w:r>
        <w:rPr>
          <w:i/>
          <w:szCs w:val="18"/>
          <w:lang w:val="ru-RU"/>
        </w:rPr>
        <w:t>Удх шугар миллс лтд. против Индийского Союза</w:t>
      </w:r>
      <w:r>
        <w:rPr>
          <w:szCs w:val="18"/>
          <w:lang w:val="ru-RU"/>
        </w:rPr>
        <w:t xml:space="preserve">, </w:t>
      </w:r>
      <w:r>
        <w:rPr>
          <w:szCs w:val="18"/>
          <w:lang w:val="en-US"/>
        </w:rPr>
        <w:t>AIR</w:t>
      </w:r>
      <w:r>
        <w:rPr>
          <w:szCs w:val="18"/>
          <w:lang w:val="ru-RU"/>
        </w:rPr>
        <w:t xml:space="preserve"> 1970 </w:t>
      </w:r>
      <w:r>
        <w:rPr>
          <w:szCs w:val="18"/>
          <w:lang w:val="en-US"/>
        </w:rPr>
        <w:t>SC</w:t>
      </w:r>
      <w:r>
        <w:rPr>
          <w:szCs w:val="18"/>
          <w:lang w:val="ru-RU"/>
        </w:rPr>
        <w:t xml:space="preserve"> 1070;  </w:t>
      </w:r>
      <w:r>
        <w:rPr>
          <w:i/>
          <w:szCs w:val="18"/>
          <w:lang w:val="ru-RU"/>
        </w:rPr>
        <w:t>Р.Х. Хегд против Рыночного комитета Сирси</w:t>
      </w:r>
      <w:r>
        <w:rPr>
          <w:szCs w:val="18"/>
          <w:lang w:val="ru-RU"/>
        </w:rPr>
        <w:t xml:space="preserve">, </w:t>
      </w:r>
      <w:r>
        <w:rPr>
          <w:szCs w:val="18"/>
          <w:lang w:val="en-US"/>
        </w:rPr>
        <w:t>AIR</w:t>
      </w:r>
      <w:r>
        <w:rPr>
          <w:szCs w:val="18"/>
          <w:lang w:val="ru-RU"/>
        </w:rPr>
        <w:t xml:space="preserve"> 1971 </w:t>
      </w:r>
      <w:r>
        <w:rPr>
          <w:szCs w:val="18"/>
          <w:lang w:val="en-US"/>
        </w:rPr>
        <w:t>SC</w:t>
      </w:r>
      <w:r>
        <w:rPr>
          <w:szCs w:val="18"/>
          <w:lang w:val="ru-RU"/>
        </w:rPr>
        <w:t xml:space="preserve"> 1017].  В деле </w:t>
      </w:r>
      <w:r>
        <w:rPr>
          <w:i/>
          <w:szCs w:val="18"/>
          <w:lang w:val="ru-RU"/>
        </w:rPr>
        <w:t>Эксел Веар против Индийского Союза</w:t>
      </w:r>
      <w:r>
        <w:rPr>
          <w:szCs w:val="18"/>
          <w:lang w:val="ru-RU"/>
        </w:rPr>
        <w:t xml:space="preserve"> (1978 4 </w:t>
      </w:r>
      <w:r>
        <w:rPr>
          <w:szCs w:val="18"/>
          <w:lang w:val="en-US"/>
        </w:rPr>
        <w:t>SCC</w:t>
      </w:r>
      <w:r>
        <w:rPr>
          <w:szCs w:val="18"/>
          <w:lang w:val="ru-RU"/>
        </w:rPr>
        <w:t xml:space="preserve"> 224) Верховный суд проанализировал взаимосвязь между разделом</w:t>
      </w:r>
      <w:r>
        <w:rPr>
          <w:szCs w:val="18"/>
        </w:rPr>
        <w:t> </w:t>
      </w:r>
      <w:r>
        <w:rPr>
          <w:szCs w:val="18"/>
          <w:lang w:val="ru-RU"/>
        </w:rPr>
        <w:t>25 "</w:t>
      </w:r>
      <w:r>
        <w:rPr>
          <w:szCs w:val="18"/>
          <w:lang w:val="en-US"/>
        </w:rPr>
        <w:t>N</w:t>
      </w:r>
      <w:r>
        <w:rPr>
          <w:szCs w:val="18"/>
          <w:lang w:val="ru-RU"/>
        </w:rPr>
        <w:t>" и "</w:t>
      </w:r>
      <w:r>
        <w:rPr>
          <w:szCs w:val="18"/>
          <w:lang w:val="en-US"/>
        </w:rPr>
        <w:t>O</w:t>
      </w:r>
      <w:r>
        <w:rPr>
          <w:szCs w:val="18"/>
          <w:lang w:val="ru-RU"/>
        </w:rPr>
        <w:t xml:space="preserve">" главы </w:t>
      </w:r>
      <w:r>
        <w:rPr>
          <w:szCs w:val="18"/>
          <w:lang w:val="en-US"/>
        </w:rPr>
        <w:t>IV</w:t>
      </w:r>
      <w:r>
        <w:rPr>
          <w:szCs w:val="18"/>
          <w:lang w:val="ru-RU"/>
        </w:rPr>
        <w:t>(</w:t>
      </w:r>
      <w:r>
        <w:rPr>
          <w:szCs w:val="18"/>
          <w:lang w:val="en-US"/>
        </w:rPr>
        <w:t>B</w:t>
      </w:r>
      <w:r>
        <w:rPr>
          <w:szCs w:val="18"/>
          <w:lang w:val="ru-RU"/>
        </w:rPr>
        <w:t xml:space="preserve">) Закона о производственных спорах (сокращение штатов и закрытие).  Было решено, что право на закрытие предприятий является составной частью права на осуществление предпринимательской деятельности.  В деле </w:t>
      </w:r>
      <w:r>
        <w:rPr>
          <w:i/>
          <w:iCs/>
          <w:szCs w:val="18"/>
          <w:lang w:val="ru-RU"/>
        </w:rPr>
        <w:t xml:space="preserve">Минаски миллс лтд. против работников </w:t>
      </w:r>
      <w:r>
        <w:rPr>
          <w:szCs w:val="18"/>
          <w:lang w:val="ru-RU"/>
        </w:rPr>
        <w:t xml:space="preserve"> (1992) 3 </w:t>
      </w:r>
      <w:r>
        <w:rPr>
          <w:szCs w:val="18"/>
          <w:lang w:val="en-US"/>
        </w:rPr>
        <w:t>SCC</w:t>
      </w:r>
      <w:r>
        <w:rPr>
          <w:szCs w:val="18"/>
          <w:lang w:val="ru-RU"/>
        </w:rPr>
        <w:t xml:space="preserve"> 336 суд уравновесил два противоположных права и постановил, что право на свободу закрывать предприятие является не абсолютным, а обусловлено разумным учетом общественных интересов и, следовательно, может подвергаться разумным ограничениям. То есть пункт</w:t>
      </w:r>
      <w:r>
        <w:rPr>
          <w:szCs w:val="18"/>
        </w:rPr>
        <w:t> </w:t>
      </w:r>
      <w:r>
        <w:rPr>
          <w:szCs w:val="18"/>
          <w:lang w:val="ru-RU"/>
        </w:rPr>
        <w:t>6 статьи 19 наделяет законодательный орган правом вводить ограничения в части права работодателей на сокращение штата своих работников и права на закрытие предприятия.</w:t>
      </w:r>
    </w:p>
  </w:footnote>
  <w:footnote w:id="6">
    <w:p w:rsidR="00000000" w:rsidRDefault="00000000">
      <w:pPr>
        <w:pStyle w:val="FootnoteText"/>
        <w:spacing w:after="120"/>
        <w:rPr>
          <w:szCs w:val="18"/>
          <w:lang w:val="ru-RU"/>
        </w:rPr>
      </w:pPr>
      <w:r>
        <w:rPr>
          <w:rStyle w:val="FootnoteReference"/>
          <w:sz w:val="18"/>
          <w:szCs w:val="18"/>
          <w:lang w:val="ru-RU"/>
        </w:rPr>
        <w:t>5</w:t>
      </w:r>
      <w:r>
        <w:rPr>
          <w:szCs w:val="18"/>
          <w:lang w:val="ru-RU"/>
        </w:rPr>
        <w:t xml:space="preserve"> </w:t>
      </w:r>
      <w:r>
        <w:rPr>
          <w:szCs w:val="18"/>
          <w:lang w:val="ru-RU"/>
        </w:rPr>
        <w:tab/>
        <w:t xml:space="preserve">Это исключение было предусмотрено на пять лет ввиду экономической отсталости данных районов.  В деле </w:t>
      </w:r>
      <w:r>
        <w:rPr>
          <w:i/>
          <w:szCs w:val="18"/>
          <w:lang w:val="ru-RU"/>
        </w:rPr>
        <w:t>Наршимха Рао против штата А.П.</w:t>
      </w:r>
      <w:r>
        <w:rPr>
          <w:szCs w:val="18"/>
          <w:lang w:val="ru-RU"/>
        </w:rPr>
        <w:t xml:space="preserve">, </w:t>
      </w:r>
      <w:r>
        <w:rPr>
          <w:szCs w:val="18"/>
          <w:lang w:val="en-US"/>
        </w:rPr>
        <w:t>AIR</w:t>
      </w:r>
      <w:r>
        <w:rPr>
          <w:szCs w:val="18"/>
          <w:lang w:val="ru-RU"/>
        </w:rPr>
        <w:t xml:space="preserve"> 1970 </w:t>
      </w:r>
      <w:r>
        <w:rPr>
          <w:szCs w:val="18"/>
          <w:lang w:val="en-US"/>
        </w:rPr>
        <w:t>SC</w:t>
      </w:r>
      <w:r>
        <w:rPr>
          <w:szCs w:val="18"/>
          <w:lang w:val="ru-RU"/>
        </w:rPr>
        <w:t xml:space="preserve"> 422, Верховный суд объявил не соответствующей Конституции часть этого закона, которая предписывает наличие "постоянного места жительства" в качестве требования для получения работы в правительственных учреждениях в районе Телангана штата Андхра-Прадеш.</w:t>
      </w:r>
    </w:p>
  </w:footnote>
  <w:footnote w:id="7">
    <w:p w:rsidR="00000000" w:rsidRDefault="00000000">
      <w:pPr>
        <w:pStyle w:val="FootnoteText"/>
        <w:rPr>
          <w:szCs w:val="18"/>
          <w:lang w:val="ru-RU"/>
        </w:rPr>
      </w:pPr>
      <w:r>
        <w:rPr>
          <w:rStyle w:val="FootnoteReference"/>
          <w:sz w:val="18"/>
          <w:szCs w:val="18"/>
          <w:lang w:val="ru-RU"/>
        </w:rPr>
        <w:t>6</w:t>
      </w:r>
      <w:r>
        <w:rPr>
          <w:szCs w:val="18"/>
          <w:lang w:val="ru-RU"/>
        </w:rPr>
        <w:t xml:space="preserve"> </w:t>
      </w:r>
      <w:r>
        <w:rPr>
          <w:szCs w:val="18"/>
          <w:lang w:val="ru-RU"/>
        </w:rPr>
        <w:tab/>
        <w:t xml:space="preserve">В своем веховом решении по делу </w:t>
      </w:r>
      <w:r>
        <w:rPr>
          <w:i/>
          <w:iCs/>
          <w:szCs w:val="18"/>
          <w:lang w:val="ru-RU"/>
        </w:rPr>
        <w:t>Вишака против штата Раджастан</w:t>
      </w:r>
      <w:r>
        <w:rPr>
          <w:iCs/>
          <w:szCs w:val="18"/>
          <w:lang w:val="ru-RU"/>
        </w:rPr>
        <w:t>,</w:t>
      </w:r>
      <w:r>
        <w:rPr>
          <w:szCs w:val="18"/>
          <w:lang w:val="ru-RU"/>
        </w:rPr>
        <w:t xml:space="preserve"> </w:t>
      </w:r>
      <w:r>
        <w:rPr>
          <w:szCs w:val="18"/>
        </w:rPr>
        <w:t>AIR</w:t>
      </w:r>
      <w:r>
        <w:rPr>
          <w:szCs w:val="18"/>
          <w:lang w:val="ru-RU"/>
        </w:rPr>
        <w:t xml:space="preserve"> 1997 </w:t>
      </w:r>
      <w:r>
        <w:rPr>
          <w:szCs w:val="18"/>
        </w:rPr>
        <w:t>SC</w:t>
      </w:r>
      <w:r>
        <w:rPr>
          <w:szCs w:val="18"/>
          <w:lang w:val="ru-RU"/>
        </w:rPr>
        <w:t xml:space="preserve"> 3014, Верховный суд изложил подробные руководящие принципы по предупреждению сексуального домогательства в отношении трудящихся-женщин на их рабочих местах в ожидании принятия специального нормативно-правового акта на этот счет.  Одна социальная работница обратилась с жалобой в порядке защиты публичных интересов в судебных разбирательствах с целью обеспечения прав трудящихся-женщин в соответствии со статьями 14, 19 и 21 Конституции и нахождения подходящих способов достижения подлинного "гендерного равенства". Суд утвердил следующие руководящие принципы:</w:t>
      </w:r>
    </w:p>
    <w:p w:rsidR="00000000" w:rsidRDefault="00000000">
      <w:pPr>
        <w:pStyle w:val="FootnoteText"/>
        <w:tabs>
          <w:tab w:val="left" w:pos="720"/>
          <w:tab w:val="left" w:pos="1080"/>
        </w:tabs>
        <w:rPr>
          <w:szCs w:val="18"/>
          <w:lang w:val="ru-RU"/>
        </w:rPr>
      </w:pPr>
      <w:r>
        <w:rPr>
          <w:szCs w:val="18"/>
          <w:lang w:val="ru-RU"/>
        </w:rPr>
        <w:t>1)</w:t>
      </w:r>
      <w:r>
        <w:rPr>
          <w:szCs w:val="18"/>
          <w:lang w:val="ru-RU"/>
        </w:rPr>
        <w:tab/>
        <w:t>Все работодатели или лица, отвечающие за рабочие места в государственном или частном секторе, должны принимать надлежащие меры для предотвращения сексуальных домогательств без ущерба для выполнения своих обязанностей в целом, и в частности:</w:t>
      </w:r>
    </w:p>
    <w:p w:rsidR="00000000" w:rsidRDefault="00000000">
      <w:pPr>
        <w:pStyle w:val="FootnoteText"/>
        <w:tabs>
          <w:tab w:val="clear" w:pos="284"/>
          <w:tab w:val="left" w:pos="720"/>
          <w:tab w:val="left" w:pos="1080"/>
        </w:tabs>
        <w:rPr>
          <w:szCs w:val="18"/>
          <w:lang w:val="ru-RU"/>
        </w:rPr>
      </w:pPr>
      <w:r>
        <w:rPr>
          <w:szCs w:val="18"/>
          <w:lang w:val="ru-RU"/>
        </w:rPr>
        <w:tab/>
        <w:t>а)</w:t>
      </w:r>
      <w:r>
        <w:rPr>
          <w:szCs w:val="18"/>
          <w:lang w:val="ru-RU"/>
        </w:rPr>
        <w:tab/>
        <w:t>следует обнародовать, предавать гласности и соответствующим образом распространять информацию о прямом запрете сексуальных домогательств, включая физический контакт и ухаживания, просьбы или требования сексуальной благосклонности, замечания с сексуальным оттенком, показ порнографических материалов или любые другие нежелательные физические, словесные или несловесные проявления сексуального характера;</w:t>
      </w:r>
    </w:p>
    <w:p w:rsidR="00000000" w:rsidRDefault="00000000">
      <w:pPr>
        <w:pStyle w:val="FootnoteText"/>
        <w:tabs>
          <w:tab w:val="clear" w:pos="284"/>
          <w:tab w:val="left" w:pos="720"/>
          <w:tab w:val="left" w:pos="1080"/>
        </w:tabs>
        <w:rPr>
          <w:szCs w:val="18"/>
          <w:lang w:val="ru-RU"/>
        </w:rPr>
      </w:pPr>
      <w:r>
        <w:rPr>
          <w:szCs w:val="18"/>
          <w:lang w:val="ru-RU"/>
        </w:rPr>
        <w:tab/>
      </w:r>
      <w:r>
        <w:rPr>
          <w:szCs w:val="18"/>
        </w:rPr>
        <w:t>b</w:t>
      </w:r>
      <w:r>
        <w:rPr>
          <w:szCs w:val="18"/>
          <w:lang w:val="ru-RU"/>
        </w:rPr>
        <w:t>)</w:t>
      </w:r>
      <w:r>
        <w:rPr>
          <w:szCs w:val="18"/>
          <w:lang w:val="ru-RU"/>
        </w:rPr>
        <w:tab/>
        <w:t>законы и другие нормативные акты правительства и учреждений государственного сектора, касающееся поведения и дисциплины, должны включать в себя  правила, запрещающие сексуальные домогательства, и предусматривать соответствующие наказания для виновных;</w:t>
      </w:r>
    </w:p>
    <w:p w:rsidR="00000000" w:rsidRDefault="00000000">
      <w:pPr>
        <w:pStyle w:val="FootnoteText"/>
        <w:tabs>
          <w:tab w:val="clear" w:pos="284"/>
          <w:tab w:val="left" w:pos="720"/>
          <w:tab w:val="left" w:pos="1080"/>
        </w:tabs>
        <w:rPr>
          <w:szCs w:val="18"/>
          <w:lang w:val="ru-RU"/>
        </w:rPr>
      </w:pPr>
      <w:r>
        <w:rPr>
          <w:szCs w:val="18"/>
          <w:lang w:val="ru-RU"/>
        </w:rPr>
        <w:tab/>
        <w:t>с)</w:t>
      </w:r>
      <w:r>
        <w:rPr>
          <w:szCs w:val="18"/>
          <w:lang w:val="ru-RU"/>
        </w:rPr>
        <w:tab/>
        <w:t>что касается работников частного сектора, то вышеупомянутые запреты должны быть включены в Постоянное положение, предусмотренное индийским Законом 1946</w:t>
      </w:r>
      <w:r>
        <w:rPr>
          <w:szCs w:val="18"/>
        </w:rPr>
        <w:t> </w:t>
      </w:r>
      <w:r>
        <w:rPr>
          <w:szCs w:val="18"/>
          <w:lang w:val="ru-RU"/>
        </w:rPr>
        <w:t>года о найме на работу (Постоянные положения);</w:t>
      </w:r>
    </w:p>
    <w:p w:rsidR="00000000" w:rsidRDefault="00000000">
      <w:pPr>
        <w:pStyle w:val="FootnoteText"/>
        <w:tabs>
          <w:tab w:val="clear" w:pos="284"/>
          <w:tab w:val="left" w:pos="720"/>
          <w:tab w:val="left" w:pos="1080"/>
        </w:tabs>
        <w:rPr>
          <w:szCs w:val="18"/>
          <w:lang w:val="ru-RU"/>
        </w:rPr>
      </w:pPr>
      <w:r>
        <w:rPr>
          <w:szCs w:val="18"/>
          <w:lang w:val="ru-RU"/>
        </w:rPr>
        <w:tab/>
      </w:r>
      <w:r>
        <w:rPr>
          <w:szCs w:val="18"/>
        </w:rPr>
        <w:t>d</w:t>
      </w:r>
      <w:r>
        <w:rPr>
          <w:szCs w:val="18"/>
          <w:lang w:val="ru-RU"/>
        </w:rPr>
        <w:t>)</w:t>
      </w:r>
      <w:r>
        <w:rPr>
          <w:szCs w:val="18"/>
          <w:lang w:val="ru-RU"/>
        </w:rPr>
        <w:tab/>
        <w:t>должны быть обеспечены соответствующие условия, касающиеся труда, отдыха, охраны здоровья и гигиены труда, с тем чтобы на рабочем месте не возникало неблагоприятной для женщин атмосферы и чтобы ни у одной работницы не было разумных оснований полагать, что на своем рабочем месте она находится в неблагоприятном положении.</w:t>
      </w:r>
    </w:p>
    <w:p w:rsidR="00000000" w:rsidRDefault="00000000">
      <w:pPr>
        <w:pStyle w:val="FootnoteText"/>
        <w:rPr>
          <w:szCs w:val="18"/>
          <w:lang w:val="ru-RU"/>
        </w:rPr>
      </w:pPr>
      <w:r>
        <w:rPr>
          <w:szCs w:val="18"/>
          <w:lang w:val="ru-RU"/>
        </w:rPr>
        <w:t>2)</w:t>
      </w:r>
      <w:r>
        <w:rPr>
          <w:szCs w:val="18"/>
          <w:lang w:val="ru-RU"/>
        </w:rPr>
        <w:tab/>
        <w:t>В случаях, когда такое поведение равносильно конкретным правонарушениям, предусмотренным Уголовным кодексом или любым другим законом Индии, работодатель должен возбудить соответствующую процедуру в соответствии с законом и обратиться с жалобой в соответствующий орган.</w:t>
      </w:r>
    </w:p>
    <w:p w:rsidR="00000000" w:rsidRDefault="00000000">
      <w:pPr>
        <w:pStyle w:val="FootnoteText"/>
        <w:spacing w:after="60"/>
        <w:rPr>
          <w:szCs w:val="18"/>
          <w:lang w:val="ru-RU"/>
        </w:rPr>
      </w:pPr>
      <w:r>
        <w:rPr>
          <w:szCs w:val="18"/>
          <w:lang w:val="ru-RU"/>
        </w:rPr>
        <w:t>3)</w:t>
      </w:r>
      <w:r>
        <w:rPr>
          <w:szCs w:val="18"/>
          <w:lang w:val="ru-RU"/>
        </w:rPr>
        <w:tab/>
        <w:t>Жертвам сексуальных домогательств должна быть предоставлена возможность добиваться перевода виновного лица или своего собственного перевода на другое место работы.</w:t>
      </w:r>
    </w:p>
  </w:footnote>
  <w:footnote w:id="8">
    <w:p w:rsidR="00000000" w:rsidRDefault="00000000">
      <w:pPr>
        <w:pStyle w:val="FootnoteText"/>
        <w:spacing w:after="60"/>
        <w:rPr>
          <w:szCs w:val="18"/>
          <w:lang w:val="ru-RU"/>
        </w:rPr>
      </w:pPr>
      <w:r>
        <w:rPr>
          <w:rStyle w:val="FootnoteReference"/>
          <w:sz w:val="18"/>
          <w:szCs w:val="18"/>
          <w:lang w:val="ru-RU"/>
        </w:rPr>
        <w:t>7</w:t>
      </w:r>
      <w:r>
        <w:rPr>
          <w:szCs w:val="18"/>
          <w:lang w:val="ru-RU"/>
        </w:rPr>
        <w:t xml:space="preserve"> </w:t>
      </w:r>
      <w:r>
        <w:rPr>
          <w:szCs w:val="18"/>
          <w:lang w:val="ru-RU"/>
        </w:rPr>
        <w:tab/>
        <w:t>Суд заявил, что любая попытка сексуального домогательства в отношении женщин на рабочем месте является нарушением основополагающего права на равенство полов, предусмотренного статьей 14, и права на жизнь и свободу, предусмотренного статьей 21 Конституции.  Стоит отметить, что Индия присоединилась к Конвенции 1979 года о ликвидации всех форм дискриминации в отношении женщин, которая требует от всех государств-участников принять надлежащие меры для предупреждения всех форм дискриминации в отношении женщин, а также для защиты чести и достоинства женщин.</w:t>
      </w:r>
    </w:p>
  </w:footnote>
  <w:footnote w:id="9">
    <w:p w:rsidR="00000000" w:rsidRDefault="00000000">
      <w:pPr>
        <w:pStyle w:val="FootnoteText"/>
        <w:rPr>
          <w:szCs w:val="18"/>
          <w:lang w:val="en-US"/>
        </w:rPr>
      </w:pPr>
      <w:r>
        <w:rPr>
          <w:rStyle w:val="FootnoteReference"/>
          <w:sz w:val="18"/>
          <w:szCs w:val="18"/>
          <w:lang w:val="en-US"/>
        </w:rPr>
        <w:t>8</w:t>
      </w:r>
      <w:r>
        <w:rPr>
          <w:szCs w:val="18"/>
          <w:lang w:val="en-US"/>
        </w:rPr>
        <w:t xml:space="preserve"> </w:t>
      </w:r>
      <w:r>
        <w:rPr>
          <w:szCs w:val="18"/>
          <w:lang w:val="en-US"/>
        </w:rPr>
        <w:tab/>
      </w:r>
      <w:r>
        <w:rPr>
          <w:i/>
          <w:szCs w:val="18"/>
          <w:lang w:val="en-US"/>
        </w:rPr>
        <w:t>PUDR v. Union of India</w:t>
      </w:r>
      <w:r>
        <w:rPr>
          <w:szCs w:val="18"/>
          <w:lang w:val="en-US"/>
        </w:rPr>
        <w:t xml:space="preserve">, AIR 1982 SC 1473; </w:t>
      </w:r>
      <w:r>
        <w:rPr>
          <w:i/>
          <w:szCs w:val="18"/>
          <w:lang w:val="en-US"/>
        </w:rPr>
        <w:t>Sanjit Roy v. State of Rajasthan</w:t>
      </w:r>
      <w:r>
        <w:rPr>
          <w:szCs w:val="18"/>
          <w:lang w:val="en-US"/>
        </w:rPr>
        <w:t xml:space="preserve">, AIR 1983 SC 328; </w:t>
      </w:r>
      <w:r>
        <w:rPr>
          <w:i/>
          <w:szCs w:val="18"/>
          <w:lang w:val="en-US"/>
        </w:rPr>
        <w:t>Labour-worker on Salal Hydro Project v. State of J&amp;K</w:t>
      </w:r>
      <w:r>
        <w:rPr>
          <w:szCs w:val="18"/>
          <w:lang w:val="en-US"/>
        </w:rPr>
        <w:t xml:space="preserve">, AIR 1984 SC 177; </w:t>
      </w:r>
      <w:r>
        <w:rPr>
          <w:i/>
          <w:szCs w:val="18"/>
          <w:lang w:val="en-US"/>
        </w:rPr>
        <w:t>Bandhu Mukti Morcha v. Union of India</w:t>
      </w:r>
      <w:r>
        <w:rPr>
          <w:szCs w:val="18"/>
          <w:lang w:val="en-US"/>
        </w:rPr>
        <w:t xml:space="preserve">, AIR 1984 SC 1099; </w:t>
      </w:r>
      <w:r>
        <w:rPr>
          <w:i/>
          <w:szCs w:val="18"/>
          <w:lang w:val="en-US"/>
        </w:rPr>
        <w:t>Neerja Chaudhary v. State of M. P.</w:t>
      </w:r>
      <w:r>
        <w:rPr>
          <w:szCs w:val="18"/>
          <w:lang w:val="en-US"/>
        </w:rPr>
        <w:t xml:space="preserve">, AIR 1984 SC 1099; </w:t>
      </w:r>
      <w:r>
        <w:rPr>
          <w:i/>
          <w:szCs w:val="18"/>
          <w:lang w:val="en-US"/>
        </w:rPr>
        <w:t>Gaurav Jain v. Union of India</w:t>
      </w:r>
      <w:r>
        <w:rPr>
          <w:szCs w:val="18"/>
          <w:lang w:val="en-US"/>
        </w:rPr>
        <w:t>, AIR 1990 SC 292.</w:t>
      </w:r>
    </w:p>
  </w:footnote>
  <w:footnote w:id="10">
    <w:p w:rsidR="00000000" w:rsidRDefault="00000000">
      <w:pPr>
        <w:pStyle w:val="FootnoteText"/>
        <w:spacing w:after="120"/>
        <w:rPr>
          <w:szCs w:val="18"/>
          <w:lang w:val="ru-RU"/>
        </w:rPr>
      </w:pPr>
      <w:r>
        <w:rPr>
          <w:rStyle w:val="FootnoteReference"/>
          <w:sz w:val="18"/>
          <w:szCs w:val="18"/>
          <w:lang w:val="ru-RU"/>
        </w:rPr>
        <w:t>9</w:t>
      </w:r>
      <w:r>
        <w:rPr>
          <w:szCs w:val="18"/>
          <w:lang w:val="ru-RU"/>
        </w:rPr>
        <w:t xml:space="preserve"> </w:t>
      </w:r>
      <w:r>
        <w:rPr>
          <w:szCs w:val="18"/>
          <w:lang w:val="ru-RU"/>
        </w:rPr>
        <w:tab/>
        <w:t xml:space="preserve">В этой статье специально предусматривается, что все лица, являющиеся военнослужащими или государственными служащими Союза или общеиндийских служб, выполняют свои служебные обязанности в течение срока, устанавливаемого по усмотрению президента.  Аналогичным образом, сотрудники государственных учреждений штатов выполняют свои служебные обязанности в течение срока, устанавливаемого по усмотрению губернатора.  </w:t>
      </w:r>
    </w:p>
  </w:footnote>
  <w:footnote w:id="11">
    <w:p w:rsidR="00000000" w:rsidRDefault="00000000">
      <w:pPr>
        <w:pStyle w:val="FootnoteText"/>
        <w:spacing w:after="120"/>
        <w:rPr>
          <w:szCs w:val="18"/>
          <w:lang w:val="ru-RU"/>
        </w:rPr>
      </w:pPr>
      <w:r>
        <w:rPr>
          <w:rStyle w:val="FootnoteReference"/>
          <w:sz w:val="18"/>
          <w:szCs w:val="18"/>
          <w:lang w:val="ru-RU"/>
        </w:rPr>
        <w:t>10</w:t>
      </w:r>
      <w:r>
        <w:rPr>
          <w:szCs w:val="18"/>
          <w:lang w:val="ru-RU"/>
        </w:rPr>
        <w:t xml:space="preserve"> </w:t>
      </w:r>
      <w:r>
        <w:rPr>
          <w:szCs w:val="18"/>
          <w:lang w:val="ru-RU"/>
        </w:rPr>
        <w:tab/>
        <w:t>Согласно статье</w:t>
      </w:r>
      <w:r>
        <w:rPr>
          <w:szCs w:val="18"/>
        </w:rPr>
        <w:t> </w:t>
      </w:r>
      <w:r>
        <w:rPr>
          <w:szCs w:val="18"/>
          <w:lang w:val="ru-RU"/>
        </w:rPr>
        <w:t>311(1) ни одно лицо, занимающее какой-либо пост в системе государственной службы Союза или штатов, не может быть отстранено от выполнения своих служебных обязанностей или уволено органом власти, подчиненным органу, который назначал это лицо.  Пункт</w:t>
      </w:r>
      <w:r>
        <w:rPr>
          <w:szCs w:val="18"/>
        </w:rPr>
        <w:t> </w:t>
      </w:r>
      <w:r>
        <w:rPr>
          <w:szCs w:val="18"/>
          <w:lang w:val="ru-RU"/>
        </w:rPr>
        <w:t xml:space="preserve">2 той же статьи гласит, что такое лицо не может быть "отстранено от выполнения своих обязанностей", или "уволено", или "понижено в должности",  иначе как после проведения расследования, в ходе которого ему должны быть предоставлены информация о предъявляемых ему обвинениях и разумная возможность высказать свое мнение в отношении этих обвинений.  </w:t>
      </w:r>
    </w:p>
  </w:footnote>
  <w:footnote w:id="12">
    <w:p w:rsidR="00000000" w:rsidRDefault="00000000">
      <w:pPr>
        <w:pStyle w:val="FootnoteText"/>
        <w:spacing w:after="120"/>
        <w:rPr>
          <w:szCs w:val="18"/>
          <w:lang w:val="ru-RU"/>
        </w:rPr>
      </w:pPr>
      <w:r>
        <w:rPr>
          <w:rStyle w:val="FootnoteReference"/>
          <w:sz w:val="18"/>
          <w:szCs w:val="18"/>
          <w:lang w:val="ru-RU"/>
        </w:rPr>
        <w:t>11</w:t>
      </w:r>
      <w:r>
        <w:rPr>
          <w:szCs w:val="18"/>
          <w:lang w:val="ru-RU"/>
        </w:rPr>
        <w:t xml:space="preserve"> </w:t>
      </w:r>
      <w:r>
        <w:rPr>
          <w:szCs w:val="18"/>
          <w:lang w:val="ru-RU"/>
        </w:rPr>
        <w:tab/>
        <w:t>В одном из случаев руководство предприятия, которое прекратило действие соглашения о ежемесячной выплате фиксированной суммы вместо денежной премии, было признано нарушившим положения раздела 9А.  В разделе 33 (1) Закона о производственных спорах говорится, что, если какой-либо работодатель желает изменить условия выполнения служебных обязанностей какого-либо работника в связи с возникшим спором или предпринять какие-либо действия против этого работника на основании предполагаемого нарушения им служебной дисциплины в связи с возникшим спором, он может это сделать только в случае получения предварительного разрешения на это в письменной форме от соответствующего органа.  Таким образом, в качестве инструмента политики Закон о спорах имеет особое значение в связи с тем, что он строго ограничивает способность работодателей изменять условия работы, касающиеся установления размеров зарплаты (раздел 9А), отстранения от обязанностей [раздел 26(С)] или сокращения штатов [раздел 25(</w:t>
      </w:r>
      <w:r>
        <w:rPr>
          <w:szCs w:val="18"/>
          <w:lang w:val="en-US"/>
        </w:rPr>
        <w:t>F</w:t>
      </w:r>
      <w:r>
        <w:rPr>
          <w:szCs w:val="18"/>
          <w:lang w:val="ru-RU"/>
        </w:rPr>
        <w:t xml:space="preserve">)], а также закрытия предприятий [раздел 9(А) </w:t>
      </w:r>
      <w:r>
        <w:rPr>
          <w:szCs w:val="18"/>
          <w:lang w:val="en-US"/>
        </w:rPr>
        <w:t>j</w:t>
      </w:r>
      <w:r>
        <w:rPr>
          <w:szCs w:val="18"/>
          <w:lang w:val="ru-RU"/>
        </w:rPr>
        <w:t>)].  Он требует от работодателей выплаты 50% базовой зарплаты и дополнительного пособия работникам за период "отстранения от обязанностей".  Если какой-либо работодатель желает сократить штат работников или закрыть свое предприятие, Закон требует от него получения на это разрешения властей.  На практике подобные разрешения даются редко.</w:t>
      </w:r>
    </w:p>
  </w:footnote>
  <w:footnote w:id="13">
    <w:p w:rsidR="00000000" w:rsidRDefault="00000000">
      <w:pPr>
        <w:pStyle w:val="FootnoteText"/>
        <w:rPr>
          <w:bCs/>
          <w:szCs w:val="18"/>
          <w:lang w:val="ru-RU"/>
        </w:rPr>
      </w:pPr>
      <w:r>
        <w:rPr>
          <w:rStyle w:val="FootnoteReference"/>
          <w:sz w:val="18"/>
          <w:szCs w:val="18"/>
          <w:lang w:val="ru-RU"/>
        </w:rPr>
        <w:t>12</w:t>
      </w:r>
      <w:r>
        <w:rPr>
          <w:szCs w:val="18"/>
          <w:lang w:val="ru-RU"/>
        </w:rPr>
        <w:t xml:space="preserve"> </w:t>
      </w:r>
      <w:r>
        <w:rPr>
          <w:szCs w:val="18"/>
          <w:lang w:val="ru-RU"/>
        </w:rPr>
        <w:tab/>
        <w:t>В составе министерства действуют четыре приданных и десять подчиненных подразделений, четыре автономные организации, 17 органов по рассмотрению дел в судебном порядке и один арбитражный орган.  Приданные подразделения:  Генеральная дирекция обучения и занятости (ГДОЗ), Бюро Главного уполномоченного по вопросам труда (Центральное), Генеральная дирекция по консультированию предприятий и институтов труда (ГДКПИТ), Бюро по вопросам труда;  подчиненные подразделения:  Генеральная дирекция по вопросам безопасности горных работ (ГДБГР), уполномоченные по вопросам социального обеспечения;  автономные организации:  Государственная компания по страхованию служащих (ГКСС), Резервный фонд страхования служащих (РФСС), Национальный институт труда им. В.В. Гири, Центральный совет по вопросам образования трудящихся;  судебные органы:  суды центрального правительства по производственным и трудовым спорам (СПТС);  арбитражный орган:  Арбитражный совет (Совместное консультативное совещание).</w:t>
      </w:r>
      <w:r>
        <w:rPr>
          <w:bCs/>
          <w:szCs w:val="18"/>
          <w:lang w:val="ru-RU"/>
        </w:rPr>
        <w:t xml:space="preserve"> </w:t>
      </w:r>
    </w:p>
  </w:footnote>
  <w:footnote w:id="14">
    <w:p w:rsidR="00000000" w:rsidRDefault="00000000">
      <w:pPr>
        <w:pStyle w:val="FootnoteText"/>
        <w:rPr>
          <w:spacing w:val="-2"/>
          <w:szCs w:val="18"/>
          <w:lang w:val="ru-RU"/>
        </w:rPr>
      </w:pPr>
      <w:r>
        <w:rPr>
          <w:rStyle w:val="FootnoteReference"/>
          <w:sz w:val="18"/>
          <w:szCs w:val="18"/>
          <w:lang w:val="ru-RU"/>
        </w:rPr>
        <w:t>13</w:t>
      </w:r>
      <w:r>
        <w:rPr>
          <w:szCs w:val="18"/>
          <w:lang w:val="ru-RU"/>
        </w:rPr>
        <w:t xml:space="preserve"> </w:t>
      </w:r>
      <w:r>
        <w:rPr>
          <w:szCs w:val="18"/>
          <w:lang w:val="ru-RU"/>
        </w:rPr>
        <w:tab/>
        <w:t>Закон 1959</w:t>
      </w:r>
      <w:r>
        <w:rPr>
          <w:szCs w:val="18"/>
        </w:rPr>
        <w:t> </w:t>
      </w:r>
      <w:r>
        <w:rPr>
          <w:szCs w:val="18"/>
          <w:lang w:val="ru-RU"/>
        </w:rPr>
        <w:t xml:space="preserve">года о биржах труда (обязательное объявление вакансий) предусматривает обязательное уведомление о </w:t>
      </w:r>
      <w:r>
        <w:rPr>
          <w:spacing w:val="-2"/>
          <w:szCs w:val="18"/>
          <w:lang w:val="ru-RU"/>
        </w:rPr>
        <w:t>вакантных рабочих местах и предоставление биржам труда сведений об имеющихся в наличии рабочих местах (</w:t>
      </w:r>
      <w:r>
        <w:rPr>
          <w:spacing w:val="-2"/>
          <w:szCs w:val="18"/>
          <w:lang w:val="en-US"/>
        </w:rPr>
        <w:t>ER</w:t>
      </w:r>
      <w:r>
        <w:rPr>
          <w:spacing w:val="-2"/>
          <w:szCs w:val="18"/>
          <w:lang w:val="ru-RU"/>
        </w:rPr>
        <w:t>-</w:t>
      </w:r>
      <w:r>
        <w:rPr>
          <w:spacing w:val="-2"/>
          <w:szCs w:val="18"/>
          <w:lang w:val="en-US"/>
        </w:rPr>
        <w:t>I</w:t>
      </w:r>
      <w:r>
        <w:rPr>
          <w:spacing w:val="-2"/>
          <w:szCs w:val="18"/>
          <w:lang w:val="ru-RU"/>
        </w:rPr>
        <w:t xml:space="preserve"> и </w:t>
      </w:r>
      <w:r>
        <w:rPr>
          <w:spacing w:val="-2"/>
          <w:szCs w:val="18"/>
          <w:lang w:val="en-US"/>
        </w:rPr>
        <w:t>ER</w:t>
      </w:r>
      <w:r>
        <w:rPr>
          <w:spacing w:val="-2"/>
          <w:szCs w:val="18"/>
          <w:lang w:val="ru-RU"/>
        </w:rPr>
        <w:t>-</w:t>
      </w:r>
      <w:r>
        <w:rPr>
          <w:spacing w:val="-2"/>
          <w:szCs w:val="18"/>
          <w:lang w:val="en-US"/>
        </w:rPr>
        <w:t>II</w:t>
      </w:r>
      <w:r>
        <w:rPr>
          <w:spacing w:val="-2"/>
          <w:szCs w:val="18"/>
          <w:lang w:val="ru-RU"/>
        </w:rPr>
        <w:t>).</w:t>
      </w:r>
    </w:p>
  </w:footnote>
  <w:footnote w:id="15">
    <w:p w:rsidR="00000000" w:rsidRDefault="00000000">
      <w:pPr>
        <w:pStyle w:val="FootnoteText"/>
        <w:rPr>
          <w:szCs w:val="18"/>
          <w:lang w:val="ru-RU"/>
        </w:rPr>
      </w:pPr>
      <w:r>
        <w:rPr>
          <w:rStyle w:val="FootnoteReference"/>
          <w:sz w:val="18"/>
          <w:szCs w:val="18"/>
          <w:lang w:val="ru-RU"/>
        </w:rPr>
        <w:t>14</w:t>
      </w:r>
      <w:r>
        <w:rPr>
          <w:szCs w:val="18"/>
          <w:lang w:val="ru-RU"/>
        </w:rPr>
        <w:t xml:space="preserve"> </w:t>
      </w:r>
      <w:r>
        <w:rPr>
          <w:szCs w:val="18"/>
          <w:lang w:val="ru-RU"/>
        </w:rPr>
        <w:tab/>
        <w:t xml:space="preserve">Комитет во главе с членом Комиссии по планированию Н.К. Сингхом разработал ряд предложений по дальнейшему расширению потоков ПИИ, которые в настоящее время рассматриваются.  В 2002–2003 годах были предприняты несколько следующих крупных инициатив по привлечению ПИИ. Например, прямые иностранные инвестиции в объеме до 100% разрешены безоговорочно в сфере рекламной деятельности.  ПИИ в объеме до 100% разрешены в секторе кинопроизводства и не будут оговариваться условиями, касающимися соотношения собственных и заемных средств, минимального уровня вложений в акционерный капитал и т. п.  ПИИ в объеме до 100% в секторе производства чая, включая чайные плантации, допускаются при условии обязательной передачи 26% акционерного капитала индийским партнерам в течении  пяти лет и заблаговременного одобрения правительством соответствующего штата каких-либо будущих изменений в характере  землепользования.  Повторный выпуск американских и глобальных депозитных расписок/сертификатов (АДР/ГДС) разрешен в объеме АДР/ГДС, которые были переведены в основные местные акции и проданы на внутреннем рынке.  ПИИ в объеме до 100% разрешены при получении предварительного согласия правительства в целях развития комплексного градостроительства, включая строительство жилья, коммерческих помещений, гостиниц, мест отдыха, а также для создания таких объектов городской инфраструктуры на региональном уровне, как дороги, мосты и системы скоростного общественного транспорта, при условии соблюдения руководящих указаний, содержащихся в памятке для прессы № 3 от </w:t>
      </w:r>
      <w:r>
        <w:rPr>
          <w:szCs w:val="18"/>
          <w:lang w:val="ru-RU"/>
        </w:rPr>
        <w:br/>
        <w:t>4 января 2002</w:t>
      </w:r>
      <w:r>
        <w:rPr>
          <w:szCs w:val="18"/>
        </w:rPr>
        <w:t> </w:t>
      </w:r>
      <w:r>
        <w:rPr>
          <w:szCs w:val="18"/>
          <w:lang w:val="ru-RU"/>
        </w:rPr>
        <w:t>года.  На безоговорочных условиях ПИИ в объеме до 100% разрешаются во всех секторах обрабатывающей промышленности в особых экономических зонах, за исключением некоторых видов производства, как, например, производство оружия и боеприпасов, взрывчатых веществ и сопутствующего военного оборудования, военных самолетов и кораблей, автоматических систем, наркотиков, алкогольных напитков и пива, а также табачных изделий (сигарет и сигар).  ПИИ в секторе печатных средств массовой информации разрешены при условии участия в доле на уровне 26% оплаченного акционерного капитала индийских предприятий, публикующих периодические издания и газеты с новостями и обзором текущих событий.</w:t>
      </w:r>
    </w:p>
  </w:footnote>
  <w:footnote w:id="16">
    <w:p w:rsidR="00000000" w:rsidRDefault="00000000">
      <w:pPr>
        <w:pStyle w:val="FootnoteText"/>
        <w:rPr>
          <w:szCs w:val="18"/>
          <w:lang w:val="ru-RU"/>
        </w:rPr>
      </w:pPr>
      <w:r>
        <w:rPr>
          <w:rStyle w:val="FootnoteReference"/>
          <w:sz w:val="18"/>
          <w:szCs w:val="18"/>
          <w:lang w:val="ru-RU"/>
        </w:rPr>
        <w:t>15</w:t>
      </w:r>
      <w:r>
        <w:rPr>
          <w:szCs w:val="18"/>
          <w:lang w:val="ru-RU"/>
        </w:rPr>
        <w:t xml:space="preserve"> В рамках реформ, проводившихся в 1991 году НРФ был учрежден для предоставления средств для покрытия расходов на переподготовку и перевод на другую работу работников, высвобождающихся в результате реструктуризации, ... в порядке компенсации потерь работникам, потерявшим работу в результате реорганизации или закрытия промышленных предприятий как в государственном, так и в частном секторе, а также в целях обеспечения выполнения планов расширения занятости как в организованном, так и в неорганизованном секторе и создания системы социальной защиты трудящихся.</w:t>
      </w:r>
    </w:p>
  </w:footnote>
  <w:footnote w:id="17">
    <w:p w:rsidR="00000000" w:rsidRDefault="00000000">
      <w:pPr>
        <w:pStyle w:val="FootnoteText"/>
        <w:rPr>
          <w:szCs w:val="18"/>
        </w:rPr>
      </w:pPr>
      <w:r>
        <w:rPr>
          <w:rStyle w:val="FootnoteReference"/>
          <w:sz w:val="18"/>
          <w:szCs w:val="18"/>
          <w:lang w:val="ru-RU"/>
        </w:rPr>
        <w:t>16</w:t>
      </w:r>
      <w:r>
        <w:rPr>
          <w:szCs w:val="18"/>
          <w:lang w:val="ru-RU"/>
        </w:rPr>
        <w:t xml:space="preserve"> После отмены количественных ограничений малые предприятия сталкиваются с острой конкуренцией со стороны зарубежной продукции.  В эпоху глобализации правительство Индии стало проводить особую политику в отношении малых предприятий.  В мае 2002</w:t>
      </w:r>
      <w:r>
        <w:rPr>
          <w:szCs w:val="18"/>
        </w:rPr>
        <w:t> </w:t>
      </w:r>
      <w:r>
        <w:rPr>
          <w:szCs w:val="18"/>
          <w:lang w:val="ru-RU"/>
        </w:rPr>
        <w:t>года были приняты следующие меры:  в союзном бюджете на 2002–2003 годы в мае 2002</w:t>
      </w:r>
      <w:r>
        <w:rPr>
          <w:szCs w:val="18"/>
        </w:rPr>
        <w:t> </w:t>
      </w:r>
      <w:r>
        <w:rPr>
          <w:szCs w:val="18"/>
          <w:lang w:val="ru-RU"/>
        </w:rPr>
        <w:t xml:space="preserve">года из резерва был выведен 51 вид продукции, было предусмотрено освобождение сроком на пять лет от уплаты налога на доход по кредитам, предоставляемым по линии Гарантийного целевого фонда для малых предприятий, а в союзном бюджете на 2002–2003 годы общий план освобождения от акцизных сборов для малых предприятий был распространен на производство пневматического стрелкового оружия (ружей, винтовок и пистолетов), тканых или вязаных швейных изделий, мрамора и бенгальских огней. Министерство по делам малых предприятий учредило национальную премию для вручения отдельным коммерческим банкам за лучшие показатели в области кредитования малых предприятий.  В этом министерстве под руководством Уполномоченного по вопросам развития (малых предприятий) была создана секция по биотехнологии для  содействия развитию и расширению малых предприятий, работающих в сфере биотехнологии.  В целях повышения технологического уровня и качества продукции в секторе малых предприятий сфера действия нынешней программы возмещения расходов </w:t>
      </w:r>
      <w:r>
        <w:rPr>
          <w:szCs w:val="18"/>
        </w:rPr>
        <w:t>ISO</w:t>
      </w:r>
      <w:r>
        <w:rPr>
          <w:szCs w:val="18"/>
          <w:lang w:val="ru-RU"/>
        </w:rPr>
        <w:t xml:space="preserve"> 9000 была расширена и с 28 октября 2002</w:t>
      </w:r>
      <w:r>
        <w:rPr>
          <w:szCs w:val="18"/>
        </w:rPr>
        <w:t> </w:t>
      </w:r>
      <w:r>
        <w:rPr>
          <w:szCs w:val="18"/>
          <w:lang w:val="ru-RU"/>
        </w:rPr>
        <w:t xml:space="preserve">года охватывает возмещение расходов в связи с экологическим стандартом  </w:t>
      </w:r>
      <w:r>
        <w:rPr>
          <w:szCs w:val="18"/>
        </w:rPr>
        <w:t>ISO</w:t>
      </w:r>
      <w:r>
        <w:rPr>
          <w:szCs w:val="18"/>
          <w:lang w:val="ru-RU"/>
        </w:rPr>
        <w:t xml:space="preserve"> 14001.</w:t>
      </w:r>
    </w:p>
  </w:footnote>
  <w:footnote w:id="18">
    <w:p w:rsidR="00000000" w:rsidRDefault="00000000">
      <w:pPr>
        <w:pStyle w:val="FootnoteText"/>
        <w:rPr>
          <w:szCs w:val="18"/>
        </w:rPr>
      </w:pPr>
      <w:r>
        <w:rPr>
          <w:rStyle w:val="FootnoteReference"/>
          <w:sz w:val="18"/>
          <w:szCs w:val="18"/>
          <w:lang w:val="en-US"/>
        </w:rPr>
        <w:t>17</w:t>
      </w:r>
      <w:r>
        <w:rPr>
          <w:szCs w:val="18"/>
          <w:lang w:val="en-US"/>
        </w:rPr>
        <w:t xml:space="preserve"> </w:t>
      </w:r>
      <w:r>
        <w:rPr>
          <w:szCs w:val="18"/>
          <w:lang w:val="en-US"/>
        </w:rPr>
        <w:tab/>
      </w:r>
      <w:r>
        <w:rPr>
          <w:i/>
          <w:iCs/>
          <w:szCs w:val="18"/>
          <w:lang w:val="en-US"/>
        </w:rPr>
        <w:t>Workmen v. Hindustan Motors (1962) 2 LLJ 352 (SC);  French Motor Car Co. v. Workmen (1962) 2 LLJ 774 (SC);  Novex Dry Cleaners v. Their Workmen (1962) 1 LLJ 271 (SC).</w:t>
      </w:r>
    </w:p>
  </w:footnote>
  <w:footnote w:id="19">
    <w:p w:rsidR="00000000" w:rsidRDefault="00000000">
      <w:pPr>
        <w:pStyle w:val="FootnoteText"/>
        <w:rPr>
          <w:szCs w:val="18"/>
          <w:lang w:val="ru-RU"/>
        </w:rPr>
      </w:pPr>
      <w:r>
        <w:rPr>
          <w:rStyle w:val="FootnoteReference"/>
          <w:sz w:val="18"/>
          <w:szCs w:val="18"/>
          <w:lang w:val="ru-RU"/>
        </w:rPr>
        <w:t>18</w:t>
      </w:r>
      <w:r>
        <w:rPr>
          <w:szCs w:val="18"/>
          <w:lang w:val="ru-RU"/>
        </w:rPr>
        <w:t xml:space="preserve"> </w:t>
      </w:r>
      <w:r>
        <w:rPr>
          <w:szCs w:val="18"/>
          <w:lang w:val="ru-RU"/>
        </w:rPr>
        <w:tab/>
        <w:t>Комиссия отметила также рост количества нарушений, совершаемых в связи с осуществлением Закона о минимальной заработной плате.  В</w:t>
      </w:r>
      <w:r>
        <w:rPr>
          <w:szCs w:val="18"/>
        </w:rPr>
        <w:t> </w:t>
      </w:r>
      <w:r>
        <w:rPr>
          <w:szCs w:val="18"/>
          <w:lang w:val="ru-RU"/>
        </w:rPr>
        <w:t>1997</w:t>
      </w:r>
      <w:r>
        <w:rPr>
          <w:szCs w:val="18"/>
        </w:rPr>
        <w:t> </w:t>
      </w:r>
      <w:r>
        <w:rPr>
          <w:szCs w:val="18"/>
          <w:lang w:val="ru-RU"/>
        </w:rPr>
        <w:t>году было зарегистрировано 105</w:t>
      </w:r>
      <w:r>
        <w:rPr>
          <w:szCs w:val="18"/>
        </w:rPr>
        <w:t> </w:t>
      </w:r>
      <w:r>
        <w:rPr>
          <w:szCs w:val="18"/>
          <w:lang w:val="ru-RU"/>
        </w:rPr>
        <w:t>639 таких нарушений, а в 1988 году – 141</w:t>
      </w:r>
      <w:r>
        <w:rPr>
          <w:szCs w:val="18"/>
        </w:rPr>
        <w:t> </w:t>
      </w:r>
      <w:r>
        <w:rPr>
          <w:szCs w:val="18"/>
          <w:lang w:val="ru-RU"/>
        </w:rPr>
        <w:t>913.</w:t>
      </w:r>
    </w:p>
  </w:footnote>
  <w:footnote w:id="20">
    <w:p w:rsidR="00000000" w:rsidRDefault="00000000">
      <w:pPr>
        <w:pStyle w:val="FootnoteText"/>
        <w:rPr>
          <w:szCs w:val="18"/>
          <w:lang w:val="ru-RU"/>
        </w:rPr>
      </w:pPr>
      <w:r>
        <w:rPr>
          <w:rStyle w:val="FootnoteReference"/>
          <w:sz w:val="18"/>
          <w:szCs w:val="18"/>
          <w:lang w:val="ru-RU"/>
        </w:rPr>
        <w:t>19</w:t>
      </w:r>
      <w:r>
        <w:rPr>
          <w:szCs w:val="18"/>
          <w:lang w:val="ru-RU"/>
        </w:rPr>
        <w:t xml:space="preserve"> </w:t>
      </w:r>
      <w:r>
        <w:rPr>
          <w:szCs w:val="18"/>
          <w:lang w:val="ru-RU"/>
        </w:rPr>
        <w:tab/>
        <w:t>Эти положения касаются поддержания чистоты (раздел 11), удаления твердых и жидких отходов (раздел 12), вентиляции и поддержания температуры (раздел 13), пыли и дыма (раздел 14), искусственного увлажнения (раздел 15), чрезмерной скученности (раздел 16), освещения (раздел 17), обеспечения питьевой водой (раздел 18), устройства туалетов и писсуаров (раздел 19) и плевательниц (раздел 20).</w:t>
      </w:r>
    </w:p>
    <w:p w:rsidR="00000000" w:rsidRDefault="00000000">
      <w:pPr>
        <w:pStyle w:val="FootnoteText"/>
        <w:rPr>
          <w:szCs w:val="18"/>
          <w:lang w:val="ru-RU"/>
        </w:rPr>
      </w:pPr>
      <w:r>
        <w:rPr>
          <w:szCs w:val="18"/>
          <w:lang w:val="ru-RU"/>
        </w:rPr>
        <w:t>В разделах 21–41 этого Закона рассматриваются вопросы охраны труда людей, работающих на этих фабриках.  В</w:t>
      </w:r>
      <w:r>
        <w:rPr>
          <w:szCs w:val="18"/>
        </w:rPr>
        <w:t> </w:t>
      </w:r>
      <w:r>
        <w:rPr>
          <w:szCs w:val="18"/>
          <w:lang w:val="ru-RU"/>
        </w:rPr>
        <w:t>соответствии с этими положениями непременной обязанностью работодателей является соблюдение положений об охране труда.  Соображения целесообразности в данном вопросе неприменимы.  Эти положения касаются ограждения машинного оборудования, правил работы на функционирующем станке или вблизи от него, запрещения использования труда женщин и молодых людей, работы молодых людей на опасных станках, механизмов переключения и выключения электропитания, автоматических станков, обсадки нового оборудования, запрещения использования труда женщин и детей вблизи машин по обработке хлопка, подъемников и лифтов, защиты глаз, мер предосторожности от проникновения опасных дымов и газов, использования переносных электроламп, действий в случае пожара и т. п.</w:t>
      </w:r>
    </w:p>
  </w:footnote>
  <w:footnote w:id="21">
    <w:p w:rsidR="00000000" w:rsidRDefault="00000000">
      <w:pPr>
        <w:pStyle w:val="FootnoteText"/>
        <w:rPr>
          <w:szCs w:val="18"/>
          <w:lang w:val="ru-RU"/>
        </w:rPr>
      </w:pPr>
      <w:r>
        <w:rPr>
          <w:rStyle w:val="FootnoteReference"/>
          <w:sz w:val="18"/>
          <w:szCs w:val="18"/>
          <w:lang w:val="ru-RU"/>
        </w:rPr>
        <w:t>20</w:t>
      </w:r>
      <w:r>
        <w:rPr>
          <w:szCs w:val="18"/>
          <w:lang w:val="ru-RU"/>
        </w:rPr>
        <w:t xml:space="preserve"> </w:t>
      </w:r>
      <w:r>
        <w:rPr>
          <w:szCs w:val="18"/>
          <w:lang w:val="ru-RU"/>
        </w:rPr>
        <w:tab/>
      </w:r>
      <w:r>
        <w:rPr>
          <w:i/>
          <w:iCs/>
          <w:szCs w:val="18"/>
          <w:lang w:val="ru-RU"/>
        </w:rPr>
        <w:t xml:space="preserve">Сант Рам Шарма против штата Раджастан, </w:t>
      </w:r>
      <w:r>
        <w:rPr>
          <w:i/>
          <w:iCs/>
          <w:szCs w:val="18"/>
          <w:lang w:val="en-US"/>
        </w:rPr>
        <w:t>AIR</w:t>
      </w:r>
      <w:r>
        <w:rPr>
          <w:i/>
          <w:iCs/>
          <w:szCs w:val="18"/>
          <w:lang w:val="ru-RU"/>
        </w:rPr>
        <w:t xml:space="preserve"> 1967 </w:t>
      </w:r>
      <w:r>
        <w:rPr>
          <w:i/>
          <w:iCs/>
          <w:szCs w:val="18"/>
          <w:lang w:val="en-US"/>
        </w:rPr>
        <w:t>SC</w:t>
      </w:r>
      <w:r>
        <w:rPr>
          <w:i/>
          <w:iCs/>
          <w:szCs w:val="18"/>
          <w:lang w:val="ru-RU"/>
        </w:rPr>
        <w:t xml:space="preserve"> 1910;  А. К. Крипак против Индийского Союза, </w:t>
      </w:r>
      <w:r>
        <w:rPr>
          <w:i/>
          <w:iCs/>
          <w:szCs w:val="18"/>
          <w:lang w:val="en-US"/>
        </w:rPr>
        <w:t>AIR</w:t>
      </w:r>
      <w:r>
        <w:rPr>
          <w:i/>
          <w:iCs/>
          <w:szCs w:val="18"/>
          <w:lang w:val="ru-RU"/>
        </w:rPr>
        <w:t xml:space="preserve"> 1970 </w:t>
      </w:r>
      <w:r>
        <w:rPr>
          <w:i/>
          <w:iCs/>
          <w:szCs w:val="18"/>
          <w:lang w:val="en-US"/>
        </w:rPr>
        <w:t>SC</w:t>
      </w:r>
      <w:r>
        <w:rPr>
          <w:i/>
          <w:iCs/>
          <w:szCs w:val="18"/>
          <w:lang w:val="ru-RU"/>
        </w:rPr>
        <w:t xml:space="preserve"> 150.</w:t>
      </w:r>
    </w:p>
  </w:footnote>
  <w:footnote w:id="22">
    <w:p w:rsidR="00000000" w:rsidRDefault="00000000">
      <w:pPr>
        <w:pStyle w:val="FootnoteText"/>
        <w:rPr>
          <w:szCs w:val="18"/>
          <w:lang w:val="ru-RU"/>
        </w:rPr>
      </w:pPr>
      <w:r>
        <w:rPr>
          <w:rStyle w:val="FootnoteReference"/>
          <w:sz w:val="18"/>
          <w:szCs w:val="18"/>
          <w:lang w:val="ru-RU"/>
        </w:rPr>
        <w:t>21</w:t>
      </w:r>
      <w:r>
        <w:rPr>
          <w:szCs w:val="18"/>
          <w:lang w:val="ru-RU"/>
        </w:rPr>
        <w:t xml:space="preserve"> </w:t>
      </w:r>
      <w:r>
        <w:rPr>
          <w:szCs w:val="18"/>
          <w:lang w:val="ru-RU"/>
        </w:rPr>
        <w:tab/>
        <w:t>В разделе 51 Закона о фабриках запрещается требовать от взрослого работника или разрешать ему работать на фабрике более 48 часов в неделю.  В разделе 52 Закона о фабриках запрещается требовать от взрослого работника или разрешать ему работать в установленные выходные дни, кроме как на условиях, определенных в разделе</w:t>
      </w:r>
      <w:r>
        <w:rPr>
          <w:szCs w:val="18"/>
        </w:rPr>
        <w:t> </w:t>
      </w:r>
      <w:r>
        <w:rPr>
          <w:szCs w:val="18"/>
          <w:lang w:val="ru-RU"/>
        </w:rPr>
        <w:t>52</w:t>
      </w:r>
      <w:r>
        <w:rPr>
          <w:szCs w:val="18"/>
        </w:rPr>
        <w:t> </w:t>
      </w:r>
      <w:r>
        <w:rPr>
          <w:szCs w:val="18"/>
          <w:lang w:val="ru-RU"/>
        </w:rPr>
        <w:t xml:space="preserve">а) и </w:t>
      </w:r>
      <w:r>
        <w:rPr>
          <w:szCs w:val="18"/>
        </w:rPr>
        <w:t>b</w:t>
      </w:r>
      <w:r>
        <w:rPr>
          <w:szCs w:val="18"/>
          <w:lang w:val="ru-RU"/>
        </w:rPr>
        <w:t>).  В</w:t>
      </w:r>
      <w:r>
        <w:rPr>
          <w:szCs w:val="18"/>
        </w:rPr>
        <w:t> </w:t>
      </w:r>
      <w:r>
        <w:rPr>
          <w:szCs w:val="18"/>
          <w:lang w:val="ru-RU"/>
        </w:rPr>
        <w:t>разделе 53 этого закона предусмотрена компенсация за работу в выходные дни в виде предоставления отгулов на такое же количество дней.  В разделе 54 этого закона говорится, что при условии соблюдения положения раздела 51 не допускается требовать от взрослого работника или разрешать ему работать на фабрике более девяти часов в любой из дней.  В разделе 55 предусмотрено, что непрерывный период работы не должен превышать пяти часов и что ни один работник не должен работать более пяти часов подряд без перерыва на отдых продолжительностью как минимум полчаса.  Кроме того, имеются положения о работе "по скользящему графику" (раздел 56), ночных сменах (раздел 57), запрете на частично перекрывающиеся смены (раздел 58), надбавках к заработной плате или сверхурочных (раздел 59), ограничении работы по совместительству (раздел</w:t>
      </w:r>
      <w:r>
        <w:rPr>
          <w:szCs w:val="18"/>
        </w:rPr>
        <w:t> </w:t>
      </w:r>
      <w:r>
        <w:rPr>
          <w:szCs w:val="18"/>
          <w:lang w:val="ru-RU"/>
        </w:rPr>
        <w:t xml:space="preserve">60), уведомлении о периоде работы для взрослых (раздел 61), регистрации начала и окончания работы в случае взрослых работников (раздел 62), необходимости соответствия продолжительности работы  продолжительности, указанной в уведомлении, предусмотренном в разделе 61, и регистрационным данным, предусмотренным в разделе 62 (раздел 63), полномочиях на установление правил, предусматривающих исключения (раздел 64), полномочиях на принятие приказов об исключениях (раздел 65) и дальнейших ограничениях в отношении занятости женщин (раздел 66).  Кроме того, в разделе 71 регламентируется продолжительность рабочего времени для детей.  В разделах 79–82 Закона о фабриках рассматриваются вопросы, касающиеся ежегодного оплачиваемого отпуска.  В этом законе содержатся также положения о размерах заработной платы в течение отпускного периода (раздел 80).  В разделе 93 предусмотрено, что в случае выявления на любой из фабрик любого рода нарушения любого из положений данного закона или норм, закрепленных в нем,  владелец фабрики и управляющий признаются виновными в совершении правонарушения и подлежат наказанию в виде тюремного заключения на срок до двух лет или выплаты штрафа в размере до 0,1 млн. рупий либо в виде того и другого.  </w:t>
      </w:r>
    </w:p>
  </w:footnote>
  <w:footnote w:id="23">
    <w:p w:rsidR="00000000" w:rsidRDefault="00000000">
      <w:pPr>
        <w:pStyle w:val="FootnoteText"/>
        <w:spacing w:after="120"/>
        <w:rPr>
          <w:szCs w:val="18"/>
          <w:lang w:val="ru-RU"/>
        </w:rPr>
      </w:pPr>
      <w:r>
        <w:rPr>
          <w:rStyle w:val="FootnoteReference"/>
          <w:sz w:val="18"/>
          <w:szCs w:val="18"/>
          <w:lang w:val="ru-RU"/>
        </w:rPr>
        <w:t>22</w:t>
      </w:r>
      <w:r>
        <w:rPr>
          <w:szCs w:val="18"/>
          <w:lang w:val="ru-RU"/>
        </w:rPr>
        <w:t xml:space="preserve"> </w:t>
      </w:r>
      <w:r>
        <w:rPr>
          <w:szCs w:val="18"/>
          <w:lang w:val="ru-RU"/>
        </w:rPr>
        <w:tab/>
        <w:t>Вопрос о сфере применения статьи</w:t>
      </w:r>
      <w:r>
        <w:rPr>
          <w:szCs w:val="18"/>
        </w:rPr>
        <w:t> </w:t>
      </w:r>
      <w:r>
        <w:rPr>
          <w:szCs w:val="18"/>
          <w:lang w:val="ru-RU"/>
        </w:rPr>
        <w:t>19 (1) с) в части, касающейся права на создание объединений, и статьи</w:t>
      </w:r>
      <w:r>
        <w:rPr>
          <w:szCs w:val="18"/>
        </w:rPr>
        <w:t> </w:t>
      </w:r>
      <w:r>
        <w:rPr>
          <w:szCs w:val="18"/>
          <w:lang w:val="ru-RU"/>
        </w:rPr>
        <w:t xml:space="preserve">33 был рассмотрен Верховным судом в ходе разбирательства по делу </w:t>
      </w:r>
      <w:r>
        <w:rPr>
          <w:i/>
          <w:iCs/>
          <w:szCs w:val="18"/>
          <w:lang w:val="ru-RU"/>
        </w:rPr>
        <w:t xml:space="preserve">О.К. Наир против Индийского Союза, </w:t>
      </w:r>
      <w:r>
        <w:rPr>
          <w:i/>
          <w:szCs w:val="18"/>
        </w:rPr>
        <w:t>AIR</w:t>
      </w:r>
      <w:r>
        <w:rPr>
          <w:i/>
          <w:szCs w:val="18"/>
          <w:lang w:val="ru-RU"/>
        </w:rPr>
        <w:t xml:space="preserve"> 1976 </w:t>
      </w:r>
      <w:r>
        <w:rPr>
          <w:i/>
          <w:szCs w:val="18"/>
        </w:rPr>
        <w:t>SC</w:t>
      </w:r>
      <w:r>
        <w:rPr>
          <w:i/>
          <w:szCs w:val="18"/>
          <w:lang w:val="ru-RU"/>
        </w:rPr>
        <w:t xml:space="preserve"> 1179</w:t>
      </w:r>
      <w:r>
        <w:rPr>
          <w:szCs w:val="18"/>
          <w:lang w:val="ru-RU"/>
        </w:rPr>
        <w:t>.  Суд вынес решение, согласно которому гражданские служащие оборонных учреждений подпадают под определение лиц, состоящих на службе в вооруженных силах, по смыслу статьи</w:t>
      </w:r>
      <w:r>
        <w:rPr>
          <w:szCs w:val="18"/>
        </w:rPr>
        <w:t> </w:t>
      </w:r>
      <w:r>
        <w:rPr>
          <w:szCs w:val="18"/>
          <w:lang w:val="ru-RU"/>
        </w:rPr>
        <w:t xml:space="preserve">33, и, таким образом, не имеют права на создание профессиональных союзов.  </w:t>
      </w:r>
      <w:r>
        <w:rPr>
          <w:szCs w:val="18"/>
        </w:rPr>
        <w:t xml:space="preserve">См. также </w:t>
      </w:r>
      <w:r>
        <w:rPr>
          <w:i/>
          <w:iCs/>
          <w:szCs w:val="18"/>
        </w:rPr>
        <w:t xml:space="preserve">"Банглор уотер саплай" против А. Роя, </w:t>
      </w:r>
      <w:r>
        <w:rPr>
          <w:i/>
          <w:szCs w:val="18"/>
        </w:rPr>
        <w:t xml:space="preserve">AIR 1978 SC 548. </w:t>
      </w:r>
    </w:p>
  </w:footnote>
  <w:footnote w:id="24">
    <w:p w:rsidR="00000000" w:rsidRDefault="00000000">
      <w:pPr>
        <w:pStyle w:val="FootnoteText"/>
        <w:rPr>
          <w:szCs w:val="18"/>
          <w:lang w:val="ru-RU"/>
        </w:rPr>
      </w:pPr>
      <w:r>
        <w:rPr>
          <w:rStyle w:val="FootnoteReference"/>
          <w:sz w:val="18"/>
          <w:szCs w:val="18"/>
          <w:lang w:val="ru-RU"/>
        </w:rPr>
        <w:t>23</w:t>
      </w:r>
      <w:r>
        <w:rPr>
          <w:szCs w:val="18"/>
          <w:lang w:val="ru-RU"/>
        </w:rPr>
        <w:t xml:space="preserve"> </w:t>
      </w:r>
      <w:r>
        <w:rPr>
          <w:szCs w:val="18"/>
          <w:lang w:val="ru-RU"/>
        </w:rPr>
        <w:tab/>
        <w:t>Индия и ее государственные учреждения использовали широкий диапазон средств для обеспечения того, чтобы свобода ассоциации и эффективное признание права на ведение коллективных переговоров были наполнены конкретным содержанием.  Используемый Индией подход основан на той посылке, что эти принципы и права являются составной частью решения проблем в сфере труда, поскольку позволяют урегулировать споры между работодателями и работниками на основе переговоров, ведущих к заключению коллективного договора.  Подробная информация по этому вопросу была изложена Индией в ее последнем докладе, представленном Комитету (Е/1984/6/</w:t>
      </w:r>
      <w:r>
        <w:rPr>
          <w:szCs w:val="18"/>
          <w:lang w:val="en-US"/>
        </w:rPr>
        <w:t>Add</w:t>
      </w:r>
      <w:r>
        <w:rPr>
          <w:szCs w:val="18"/>
          <w:lang w:val="ru-RU"/>
        </w:rPr>
        <w:t>.</w:t>
      </w:r>
      <w:r>
        <w:rPr>
          <w:szCs w:val="18"/>
          <w:lang w:val="en-US"/>
        </w:rPr>
        <w:t> </w:t>
      </w:r>
      <w:r>
        <w:rPr>
          <w:szCs w:val="18"/>
          <w:lang w:val="ru-RU"/>
        </w:rPr>
        <w:t>13, пункт 37).</w:t>
      </w:r>
    </w:p>
    <w:p w:rsidR="00000000" w:rsidRDefault="00000000">
      <w:pPr>
        <w:pStyle w:val="FootnoteText"/>
        <w:rPr>
          <w:szCs w:val="18"/>
          <w:lang w:val="ru-RU"/>
        </w:rPr>
      </w:pPr>
      <w:r>
        <w:rPr>
          <w:szCs w:val="18"/>
          <w:lang w:val="ru-RU"/>
        </w:rPr>
        <w:t>Законом проводится разграничение между зарегистрированными профессиональными союзами и другими союзами.  В соответствии с Дисциплинарным кодексом на общенациональном уровне зарегистрированные союзы наделяются полномочиями на рассмотрение вопросов, касающихся признания и т. п.  Только зарегистрированным профсоюзам предоставляют иммунитеты от преследования за преступный сговор при решении трудовых конфликтов и от привлечения к суду в порядке гражданского судопроизводства за причинение ущерба или нарушение условий договора вследствие действий, предпринимаемых профсоюзом (разделы 17 и 18 Закона о профсоюзах, раздел</w:t>
      </w:r>
      <w:r>
        <w:rPr>
          <w:szCs w:val="18"/>
        </w:rPr>
        <w:t> </w:t>
      </w:r>
      <w:r>
        <w:rPr>
          <w:szCs w:val="18"/>
          <w:lang w:val="ru-RU"/>
        </w:rPr>
        <w:t>120 (В) Уголовного кодекса Индии).  Благодаря регистрации союз становится правосубъектной организацией, обретает непрерывное правопреемство и получает печать юридического лица.  Он может приобретать и иметь в собственности как движимое, так и недвижимое имущество, может вступать в договорные отношения через агентов и может искать и отвечать в суде.  Кроме того, его доходы освобождаются от подоходного налога (раздел 13 Закона о профсоюзах 1926</w:t>
      </w:r>
      <w:r>
        <w:rPr>
          <w:szCs w:val="18"/>
        </w:rPr>
        <w:t> </w:t>
      </w:r>
      <w:r>
        <w:rPr>
          <w:szCs w:val="18"/>
          <w:lang w:val="ru-RU"/>
        </w:rPr>
        <w:t xml:space="preserve">года и </w:t>
      </w:r>
      <w:r>
        <w:rPr>
          <w:i/>
          <w:iCs/>
          <w:szCs w:val="18"/>
          <w:lang w:val="ru-RU"/>
        </w:rPr>
        <w:t>"Чемосия пл. лтд." против "Керала Медикал" и Ассоциации представителей штата (1998</w:t>
      </w:r>
      <w:r>
        <w:rPr>
          <w:i/>
          <w:iCs/>
          <w:szCs w:val="18"/>
        </w:rPr>
        <w:t> </w:t>
      </w:r>
      <w:r>
        <w:rPr>
          <w:i/>
          <w:iCs/>
          <w:szCs w:val="18"/>
          <w:lang w:val="ru-RU"/>
        </w:rPr>
        <w:t xml:space="preserve">год) </w:t>
      </w:r>
      <w:r>
        <w:rPr>
          <w:i/>
          <w:szCs w:val="18"/>
          <w:lang w:val="ru-RU"/>
        </w:rPr>
        <w:t xml:space="preserve">2 </w:t>
      </w:r>
      <w:r>
        <w:rPr>
          <w:i/>
          <w:szCs w:val="18"/>
        </w:rPr>
        <w:t>Lab</w:t>
      </w:r>
      <w:r>
        <w:rPr>
          <w:i/>
          <w:szCs w:val="18"/>
          <w:lang w:val="ru-RU"/>
        </w:rPr>
        <w:t xml:space="preserve"> </w:t>
      </w:r>
      <w:r>
        <w:rPr>
          <w:i/>
          <w:szCs w:val="18"/>
        </w:rPr>
        <w:t>LJ</w:t>
      </w:r>
      <w:r>
        <w:rPr>
          <w:i/>
          <w:szCs w:val="18"/>
          <w:lang w:val="ru-RU"/>
        </w:rPr>
        <w:t xml:space="preserve"> 43 (</w:t>
      </w:r>
      <w:r>
        <w:rPr>
          <w:i/>
          <w:szCs w:val="18"/>
        </w:rPr>
        <w:t>Ker</w:t>
      </w:r>
      <w:r>
        <w:rPr>
          <w:i/>
          <w:szCs w:val="18"/>
          <w:lang w:val="ru-RU"/>
        </w:rPr>
        <w:t>)</w:t>
      </w:r>
      <w:r>
        <w:rPr>
          <w:szCs w:val="18"/>
          <w:lang w:val="ru-RU"/>
        </w:rPr>
        <w:t>.</w:t>
      </w:r>
    </w:p>
    <w:p w:rsidR="00000000" w:rsidRDefault="00000000">
      <w:pPr>
        <w:pStyle w:val="FootnoteText"/>
        <w:rPr>
          <w:szCs w:val="18"/>
          <w:lang w:val="ru-RU"/>
        </w:rPr>
      </w:pPr>
      <w:r>
        <w:rPr>
          <w:szCs w:val="18"/>
          <w:lang w:val="ru-RU"/>
        </w:rPr>
        <w:t>Просьба о регистрации может быть подана любыми семью или более членами союза (раздел 4 (1)) – при условии, что членами профессионального союза являются как минимум 10%  от общего числа работников или 100</w:t>
      </w:r>
      <w:r>
        <w:rPr>
          <w:szCs w:val="18"/>
        </w:rPr>
        <w:t> </w:t>
      </w:r>
      <w:r>
        <w:rPr>
          <w:szCs w:val="18"/>
          <w:lang w:val="ru-RU"/>
        </w:rPr>
        <w:t xml:space="preserve">работников, в зависимости от того, что меньше.  Любое лицо, достигшее 15-летнего возраста, может стать членом профсоюза при условии соблюдения его правил и может пользоваться всеми преимуществами членства, предусмотренными правилами (раздел 21).  Вместе с тем член профсоюза не может занимать должность освобожденного профсоюзного работника до достижения </w:t>
      </w:r>
      <w:r>
        <w:rPr>
          <w:szCs w:val="18"/>
          <w:lang w:val="ru-RU"/>
        </w:rPr>
        <w:br/>
        <w:t>18-летнего возраста (раздел</w:t>
      </w:r>
      <w:r>
        <w:rPr>
          <w:szCs w:val="18"/>
        </w:rPr>
        <w:t> </w:t>
      </w:r>
      <w:r>
        <w:rPr>
          <w:szCs w:val="18"/>
          <w:lang w:val="ru-RU"/>
        </w:rPr>
        <w:t xml:space="preserve">21 А).  Правила профсоюза должны содержать, помимо его названия и объектов деятельности, цели, на которые будут расходоваться его средства, список членов и перечень средств для его инспектирования членами и освобожденными профсоюзными работниками, положение о выдвижение рядовых членов, а также почетных или временных членов на должности освобожденных профсоюзных работников, порядок уплаты профсоюзных взносов, положение о правах членов на получение льгот и положение о наложении штрафа или взыскания, процедуру внесения поправок в правила или их отмены, порядок назначения или освобождения от должности членов исполнительного органа и освобожденных профсоюзных работников, меры по обеспечению безопасного хранения средств, порядок проведения ежегодной ревизии, средства для проверки счетов членами и, наконец, порядок возможного роспуска союза (раздел 6).  </w:t>
      </w:r>
    </w:p>
    <w:p w:rsidR="00000000" w:rsidRDefault="00000000">
      <w:pPr>
        <w:pStyle w:val="FootnoteText"/>
        <w:rPr>
          <w:szCs w:val="18"/>
          <w:lang w:val="ru-RU"/>
        </w:rPr>
      </w:pPr>
      <w:r>
        <w:rPr>
          <w:szCs w:val="18"/>
          <w:lang w:val="ru-RU"/>
        </w:rPr>
        <w:t>Закон гарантирует право на прием членов, но решение о том, будет ли то или иное лицо принято в профсоюз, зависит от правил профсоюза.  Отказ в приеме в профсоюз не является в Индии серьезной проблемой.  Действительно, большинство профсоюзов организованы по отраслевому признаку и приветствуют вступление в них лиц, работающих в той же отрасли или сфере занятости.  Профсоюз не может навязывать обязательного членства даже на условиях сделки.  Аналогичным образом, работодатель не имеет права обусловливать прием на работу членом или отказом от членства в профсоюзе. Такое условие будет неконституционным.  Отсутствие соглашений о приеме на работу только членов закрытого или определенного профсоюза существенным образом избавило профсоюзное движение от злоупотреблений, связанных с принудительным или пассивным членством и лишением соответствующих лиц свободы выбора.  С другой стороны, полное устранение какой-либо зависимости между членством в профсоюзе и приемом на работу также, как оказалось, чревато не менее негативными последствиями.  Работники утрачивают интерес к членству в профсоюзах или отнюдь не стремятся превращать их в эффективные организации.  Вполне реальной является ситуация, в которой работник может добиться предоставления ему тех же льгот на основании договоренности, причем вне зависимости от того, является ли он членом профсоюза или нет и содействовал ли он тем или иным образом укреплению профсоюза.  Если соперничающие профсоюзы ведут борьбу между собой, с тем чтобы привлечь его в свои ряды, он может перейти из одного профсоюза в другой, когда это соответствует его целям или вообще лишить их своей поддержки, коли ему так заблагорассудится.  Подобное отношение наблюдается в Индии излишне часто, а следствием этого являются ослабленные профсоюзы, которые отнюдь не уверены в собственных силах и грешат порой тем, что идут на поспешные и безответственные действия.</w:t>
      </w:r>
    </w:p>
  </w:footnote>
  <w:footnote w:id="25">
    <w:p w:rsidR="00000000" w:rsidRDefault="00000000">
      <w:pPr>
        <w:pStyle w:val="FootnoteText"/>
        <w:rPr>
          <w:szCs w:val="18"/>
          <w:lang w:val="ru-RU"/>
        </w:rPr>
      </w:pPr>
      <w:r>
        <w:rPr>
          <w:rStyle w:val="FootnoteReference"/>
          <w:sz w:val="18"/>
          <w:szCs w:val="18"/>
          <w:lang w:val="ru-RU"/>
        </w:rPr>
        <w:t>24</w:t>
      </w:r>
      <w:r>
        <w:rPr>
          <w:szCs w:val="18"/>
          <w:lang w:val="ru-RU"/>
        </w:rPr>
        <w:t xml:space="preserve"> </w:t>
      </w:r>
      <w:r>
        <w:rPr>
          <w:szCs w:val="18"/>
          <w:lang w:val="ru-RU"/>
        </w:rPr>
        <w:tab/>
        <w:t xml:space="preserve">Возбуждение спора профсоюзом допускается лишь в том случае, если имеет место общность интересов профсоюза и соответствующего лица.  </w:t>
      </w:r>
      <w:r>
        <w:rPr>
          <w:szCs w:val="18"/>
        </w:rPr>
        <w:t>С другой стороны, профсоюз обладает правом представлять своих членов в споре в соответствии с данным законом, а принятые им меры являются обязательными к исполнению его членами.  Согласно разделу 2 (р) Закона о трудовых спорах 1947 года урегулирование означает "урегулирование, достигнутое в рамках процедуры примирения, и включает в себя письменное соглашение между работодателями и работниками, заключенное иначе, чем в рамках процедуры примирения".  Кроме того, в разделе 18 (1) Закона о трудовых спорах 1947 года закреплено то положение, что условия урегулирования, достигнутого между работодателем и его работниками, име</w:t>
      </w:r>
      <w:r>
        <w:rPr>
          <w:szCs w:val="18"/>
          <w:lang w:val="ru-RU"/>
        </w:rPr>
        <w:t>ю</w:t>
      </w:r>
      <w:r>
        <w:rPr>
          <w:szCs w:val="18"/>
        </w:rPr>
        <w:t>т обязательную силу для работодателя и работников, являющихся сторонами в урегулированном споре.</w:t>
      </w:r>
    </w:p>
  </w:footnote>
  <w:footnote w:id="26">
    <w:p w:rsidR="00000000" w:rsidRDefault="00000000">
      <w:pPr>
        <w:pStyle w:val="FootnoteText"/>
        <w:rPr>
          <w:szCs w:val="18"/>
          <w:lang w:val="ru-RU"/>
        </w:rPr>
      </w:pPr>
      <w:r>
        <w:rPr>
          <w:rStyle w:val="FootnoteReference"/>
          <w:sz w:val="18"/>
          <w:szCs w:val="18"/>
          <w:lang w:val="ru-RU"/>
        </w:rPr>
        <w:t>25</w:t>
      </w:r>
      <w:r>
        <w:rPr>
          <w:szCs w:val="18"/>
          <w:lang w:val="ru-RU"/>
        </w:rPr>
        <w:t xml:space="preserve"> </w:t>
      </w:r>
      <w:r>
        <w:rPr>
          <w:szCs w:val="18"/>
          <w:lang w:val="ru-RU"/>
        </w:rPr>
        <w:tab/>
        <w:t xml:space="preserve">В разделе 2 </w:t>
      </w:r>
      <w:r>
        <w:rPr>
          <w:szCs w:val="18"/>
        </w:rPr>
        <w:t>q</w:t>
      </w:r>
      <w:r>
        <w:rPr>
          <w:szCs w:val="18"/>
          <w:lang w:val="ru-RU"/>
        </w:rPr>
        <w:t>) Закона о трудовых спорах 1947 года термин "забастовка" определен как "прекращение работы коллективом лиц, работающих по найму на предприятии и действующих сообща, либо совместный отказ или отказ на основании общего понимания любого числа лиц, которые наняты или были наняты на определенных условиях, продолжать работу или соблюдать действующие условия найма".  Это определение совпадает с определением, данным в Законе о трудовых конфликтах 1929 года.  Раздел</w:t>
      </w:r>
      <w:r>
        <w:rPr>
          <w:szCs w:val="18"/>
        </w:rPr>
        <w:t> </w:t>
      </w:r>
      <w:r>
        <w:rPr>
          <w:szCs w:val="18"/>
          <w:lang w:val="ru-RU"/>
        </w:rPr>
        <w:t>22 запрещает забастовки и локауты на предприятиях общественного пользования.  Соблюдение условий, конкретно оговоренных в этом разделе, является обязательным, и незаконная забастовка даже в случае ее фактической обоснованности не может быть признана законной.  Лицу, работающему по найму на предприятии общественного пользования, запрещается выходить на забастовку в нарушение условий трудового договора без предварительного уведомления работодателя за шесть недель, или в течение 14 дней после даты такого уведомления, или в течение периода применения любой согласительной процедуры.  Раздел 23 предписывает общий запрет на забастовки и локауты в течение периода применения согласительных процедур по спору, находящемуся на рассмотрении Совета, и семи дней после завершения таких процедур, а также в течение срока применения любых процедур разрешения спора в судебном или арбитражном порядке и двух месяцев после их завершения.  Раздел 23 применяется как к предприятиям общественного пользования, так и к предприятиям, не относящимся к этой категории, и предусматривает общий запрет после начала процедуры судебного или арбитражного разбирательства.  В соответствии с разделом</w:t>
      </w:r>
      <w:r>
        <w:rPr>
          <w:szCs w:val="18"/>
        </w:rPr>
        <w:t> </w:t>
      </w:r>
      <w:r>
        <w:rPr>
          <w:szCs w:val="18"/>
          <w:lang w:val="ru-RU"/>
        </w:rPr>
        <w:t>10</w:t>
      </w:r>
      <w:r>
        <w:rPr>
          <w:szCs w:val="18"/>
        </w:rPr>
        <w:t> </w:t>
      </w:r>
      <w:r>
        <w:rPr>
          <w:szCs w:val="18"/>
          <w:lang w:val="ru-RU"/>
        </w:rPr>
        <w:t xml:space="preserve">(3) правительство имеет право запретить дальнейшее проведение любой забастовки или локаута в связи с любым трудовым спором, который был передан на рассмотрение Совета, Суда по трудовым вопросам, </w:t>
      </w:r>
      <w:r>
        <w:rPr>
          <w:caps/>
          <w:szCs w:val="18"/>
          <w:lang w:val="ru-RU"/>
        </w:rPr>
        <w:t>с</w:t>
      </w:r>
      <w:r>
        <w:rPr>
          <w:szCs w:val="18"/>
          <w:lang w:val="ru-RU"/>
        </w:rPr>
        <w:t xml:space="preserve">уда общей юрисдикции или Национального трибунала.  Аналогичным образом, если в отношении какого-то спора начато арбитражное разбирательство в соответствии с </w:t>
      </w:r>
      <w:r>
        <w:rPr>
          <w:szCs w:val="18"/>
          <w:lang w:val="ru-RU"/>
        </w:rPr>
        <w:br/>
        <w:t>разделом 10 (4А), забастовка или локаут могут быть запрещены.  В соответствии с разделом 24 любое запрещенное прекращение работы является незаконным.  Таким образом, даже в том случае, если в момент своего начала забастовка или локаут являлись бы законными, их законность утрачивается сразу после вынесения правительством приказа об их запрете.</w:t>
      </w:r>
    </w:p>
    <w:p w:rsidR="00000000" w:rsidRDefault="00000000">
      <w:pPr>
        <w:pStyle w:val="FootnoteText"/>
        <w:rPr>
          <w:szCs w:val="18"/>
          <w:lang w:val="ru-RU"/>
        </w:rPr>
      </w:pPr>
      <w:r>
        <w:rPr>
          <w:szCs w:val="18"/>
          <w:lang w:val="ru-RU"/>
        </w:rPr>
        <w:t xml:space="preserve">В соответствии с разделом 24 забастовка или локаут являются незаконными, если они начаты или объявлены в нарушение положений разделов 22 и 23 и если они противоречат приказу о запрете, изданному в соответствии с разделами 10 (3) и </w:t>
      </w:r>
      <w:r>
        <w:rPr>
          <w:szCs w:val="18"/>
          <w:lang w:val="ru-RU"/>
        </w:rPr>
        <w:br/>
        <w:t>10-А (4А).  Если на момент передачи  спора на рассмотрение забастовка или локаут уже проводились и не были прямо запрещены, продолжение забастовки или локаута не должно быть сочтено незаконным.  Если, полностью сознавая незаконность забастовки или локаута, какое-то лицо оказывает финансовую помощь в дальнейшем проведении таких действий, оно тем самым нарушает закон, и соответственно любая такая финансовая помощь запрещается (раздел 25).  В</w:t>
      </w:r>
      <w:r>
        <w:rPr>
          <w:szCs w:val="18"/>
        </w:rPr>
        <w:t> </w:t>
      </w:r>
      <w:r>
        <w:rPr>
          <w:szCs w:val="18"/>
          <w:lang w:val="ru-RU"/>
        </w:rPr>
        <w:t>разделах 26, 27 и 28 определены наказания за участие в незаконных забастовках, за подстрекательство других к участию в них и за оказание финансовой помощи в их проведении.  В целях усиления положений о наказаниях в разделе 15 предусмотрено также, что и ни одно лицо, отказывающееся от участия в какой-либо забастовке или локауте, являющихся незаконными в соответствии с настоящим законом, не подлежит по причине такого отказа или по причине любого действия, предпринятого им в соответствии с настоящим разделом, исключению из какого-либо профсоюза или общества, или выплате какого-либо штрафа, или несению наказания, или лишению какого-либо права или льгот", на которые оно, возможно, имеет право, равно как и не может быть поставлено в сколь-либо ущемленное или неблагоприятное положение по сравнению с другими.</w:t>
      </w:r>
    </w:p>
  </w:footnote>
  <w:footnote w:id="27">
    <w:p w:rsidR="00000000" w:rsidRDefault="00000000">
      <w:pPr>
        <w:pStyle w:val="FootnoteText"/>
        <w:spacing w:after="120"/>
        <w:rPr>
          <w:szCs w:val="18"/>
          <w:lang w:val="ru-RU"/>
        </w:rPr>
      </w:pPr>
      <w:r>
        <w:rPr>
          <w:rStyle w:val="FootnoteReference"/>
          <w:sz w:val="18"/>
          <w:szCs w:val="18"/>
          <w:lang w:val="ru-RU"/>
        </w:rPr>
        <w:t>26</w:t>
      </w:r>
      <w:r>
        <w:rPr>
          <w:szCs w:val="18"/>
          <w:lang w:val="ru-RU"/>
        </w:rPr>
        <w:t xml:space="preserve"> </w:t>
      </w:r>
      <w:r>
        <w:rPr>
          <w:szCs w:val="18"/>
          <w:lang w:val="ru-RU"/>
        </w:rPr>
        <w:tab/>
        <w:t xml:space="preserve">В части "Руководящие принципы политики государства" Конституция предписывает государству принимать "в пределах его экономических возможностей и развития эффективные меры для обеспечения права на труд, образование и государственную помощь в случае безработицы, старости, болезни и нетрудоспособности и в других случаях незаслуженной нужды" (статья 41).  Статья 42 уполномочивает государство принимать меры для обеспечения справедливых и гуманных условий работы и помощи матерям.  Вопросы, касающиеся сферы социального обеспечения, упомянуты в Перечне вопросов, отнесенных к совместной компетенции Союза и штатов (Перечень </w:t>
      </w:r>
      <w:r>
        <w:rPr>
          <w:szCs w:val="18"/>
        </w:rPr>
        <w:t>III</w:t>
      </w:r>
      <w:r>
        <w:rPr>
          <w:szCs w:val="18"/>
          <w:lang w:val="ru-RU"/>
        </w:rPr>
        <w:t xml:space="preserve"> в седьмом приложении к Конституции Индии) – пункт 23:  социальное обеспечение и социальное страхование,  занятость и безработица;  пункт 24:  благосостояние трудящихся, включая условия работы, фонды обеспечения, ответственность работодателей, компенсация работникам, пенсии по инвалидности и по старости и пособия матерям.</w:t>
      </w:r>
    </w:p>
  </w:footnote>
  <w:footnote w:id="28">
    <w:p w:rsidR="00000000" w:rsidRDefault="00000000">
      <w:pPr>
        <w:pStyle w:val="FootnoteText"/>
        <w:rPr>
          <w:szCs w:val="18"/>
          <w:lang w:val="ru-RU"/>
        </w:rPr>
      </w:pPr>
      <w:r>
        <w:rPr>
          <w:rStyle w:val="FootnoteReference"/>
          <w:sz w:val="18"/>
          <w:szCs w:val="18"/>
          <w:lang w:val="ru-RU"/>
        </w:rPr>
        <w:t>27</w:t>
      </w:r>
      <w:r>
        <w:rPr>
          <w:szCs w:val="18"/>
          <w:lang w:val="ru-RU"/>
        </w:rPr>
        <w:t xml:space="preserve"> </w:t>
      </w:r>
      <w:r>
        <w:rPr>
          <w:szCs w:val="18"/>
          <w:lang w:val="ru-RU"/>
        </w:rPr>
        <w:tab/>
        <w:t>В</w:t>
      </w:r>
      <w:r>
        <w:rPr>
          <w:szCs w:val="18"/>
        </w:rPr>
        <w:t> </w:t>
      </w:r>
      <w:r>
        <w:rPr>
          <w:szCs w:val="18"/>
          <w:lang w:val="ru-RU"/>
        </w:rPr>
        <w:t>Индии изначально частные системы социального обеспечения, такие как резервные фонды, механизмы выплаты выходных вознаграждений или других пособий, связанных с выходом на пенсию, и системы медицинских пособий, являлись одним из компонентов концепции просвещенного управления, направленной на вовлечение работников в деятельность по обеспечению процветания отрасли, и получили свое дальнейшее развитие в рамках процесса заключения коллективных договоров.  В</w:t>
      </w:r>
      <w:r>
        <w:rPr>
          <w:szCs w:val="18"/>
        </w:rPr>
        <w:t> </w:t>
      </w:r>
      <w:r>
        <w:rPr>
          <w:szCs w:val="18"/>
          <w:lang w:val="ru-RU"/>
        </w:rPr>
        <w:t xml:space="preserve">настоящее время пособия, предоставляемые в рамках таких систем, постепенно утрачивают атрибуты дополнительных льгот или надбавок к пенсии, а вместо этого в качестве пособий по линии социального обеспечения превращаются в права, закрепленные в законодательном порядке.  Однако в Индии также существует возможность реализации – либо на односторонней, либо на двусторонней основе – параллельных программ вспомоществования наряду с системой социального страхования или социального обеспечения в дополнение к тем пособиям, которые предусмотрены законом.  Даже в настоящее время ряд частных систем социального обеспечения </w:t>
      </w:r>
      <w:r>
        <w:rPr>
          <w:szCs w:val="18"/>
          <w:lang w:val="ru-RU"/>
        </w:rPr>
        <w:br/>
        <w:t xml:space="preserve">по-прежнему функционируют и признаются правительством в рамках различных законов.  Система социального обеспечения не распространяется на значительное число лиц наемного труда, которые не относятся к категории рабочих и получают заработную плату, превышающую верхний предел, установленный законом.  Они пользуются защитой частных систем социального обеспечения, услуги которых по ряду аспектов нередко оказываются более качественными.  </w:t>
      </w:r>
    </w:p>
  </w:footnote>
  <w:footnote w:id="29">
    <w:p w:rsidR="00000000" w:rsidRDefault="00000000">
      <w:pPr>
        <w:pStyle w:val="FootnoteText"/>
        <w:rPr>
          <w:szCs w:val="18"/>
          <w:lang w:val="ru-RU"/>
        </w:rPr>
      </w:pPr>
      <w:r>
        <w:rPr>
          <w:rStyle w:val="FootnoteReference"/>
          <w:sz w:val="18"/>
          <w:szCs w:val="18"/>
          <w:lang w:val="ru-RU"/>
        </w:rPr>
        <w:t>28</w:t>
      </w:r>
      <w:r>
        <w:rPr>
          <w:szCs w:val="18"/>
          <w:lang w:val="ru-RU"/>
        </w:rPr>
        <w:t xml:space="preserve"> </w:t>
      </w:r>
      <w:r>
        <w:rPr>
          <w:szCs w:val="18"/>
          <w:lang w:val="ru-RU"/>
        </w:rPr>
        <w:tab/>
        <w:t>В плане была подчеркнута необходимость расширения охвата мерами социального обеспечения работников неорганизованного сектора на основе поощрения создания кооперативов, групп самопомощи, ассоциаций взаимовыгодного сотрудничества, управляемых и финансируемых профессиональными группами/работниками, и добровольных систем медицинского страхования и пенсионного обеспечения.  В</w:t>
      </w:r>
      <w:r>
        <w:rPr>
          <w:szCs w:val="18"/>
        </w:rPr>
        <w:t> </w:t>
      </w:r>
      <w:r>
        <w:rPr>
          <w:szCs w:val="18"/>
          <w:lang w:val="ru-RU"/>
        </w:rPr>
        <w:t xml:space="preserve">плане подчеркивалась также необходимость проведения кампаний по повышению уровня осведомленности и распространению информации среди неорганизованных работников в целях повышения эффективности механизма оказания услуг существующих программ для работников неорганизованного сектора, местных учреждений, таких как учреждения панчаяти радж (УПР), и местных городских органов и т. д.  </w:t>
      </w:r>
    </w:p>
  </w:footnote>
  <w:footnote w:id="30">
    <w:p w:rsidR="00000000" w:rsidRDefault="00000000">
      <w:pPr>
        <w:pStyle w:val="FootnoteText"/>
        <w:rPr>
          <w:szCs w:val="18"/>
          <w:lang w:val="ru-RU"/>
        </w:rPr>
      </w:pPr>
      <w:r>
        <w:rPr>
          <w:rStyle w:val="FootnoteReference"/>
          <w:sz w:val="18"/>
          <w:szCs w:val="18"/>
          <w:lang w:val="ru-RU"/>
        </w:rPr>
        <w:t>29</w:t>
      </w:r>
      <w:r>
        <w:rPr>
          <w:szCs w:val="18"/>
          <w:lang w:val="ru-RU"/>
        </w:rPr>
        <w:t xml:space="preserve"> </w:t>
      </w:r>
      <w:r>
        <w:rPr>
          <w:szCs w:val="18"/>
          <w:lang w:val="ru-RU"/>
        </w:rPr>
        <w:tab/>
      </w:r>
      <w:r>
        <w:rPr>
          <w:i/>
          <w:iCs/>
          <w:szCs w:val="18"/>
          <w:lang w:val="ru-RU"/>
        </w:rPr>
        <w:t xml:space="preserve">С.В.Мутхама против Индийского Союза, </w:t>
      </w:r>
      <w:r>
        <w:rPr>
          <w:i/>
          <w:iCs/>
          <w:szCs w:val="18"/>
          <w:lang w:val="en-US"/>
        </w:rPr>
        <w:t>AIR</w:t>
      </w:r>
      <w:r>
        <w:rPr>
          <w:i/>
          <w:iCs/>
          <w:szCs w:val="18"/>
          <w:lang w:val="ru-RU"/>
        </w:rPr>
        <w:t xml:space="preserve"> 1979 </w:t>
      </w:r>
      <w:r>
        <w:rPr>
          <w:i/>
          <w:iCs/>
          <w:szCs w:val="18"/>
          <w:lang w:val="en-US"/>
        </w:rPr>
        <w:t>SC</w:t>
      </w:r>
      <w:r>
        <w:rPr>
          <w:i/>
          <w:iCs/>
          <w:szCs w:val="18"/>
          <w:lang w:val="ru-RU"/>
        </w:rPr>
        <w:t xml:space="preserve"> 1868.</w:t>
      </w:r>
    </w:p>
  </w:footnote>
  <w:footnote w:id="31">
    <w:p w:rsidR="00000000" w:rsidRDefault="00000000">
      <w:pPr>
        <w:pStyle w:val="FootnoteText"/>
        <w:spacing w:before="60"/>
        <w:rPr>
          <w:szCs w:val="18"/>
          <w:lang w:val="ru-RU"/>
        </w:rPr>
      </w:pPr>
      <w:r>
        <w:rPr>
          <w:rStyle w:val="FootnoteReference"/>
          <w:sz w:val="18"/>
          <w:szCs w:val="18"/>
          <w:lang w:val="ru-RU"/>
        </w:rPr>
        <w:t>30</w:t>
      </w:r>
      <w:r>
        <w:rPr>
          <w:szCs w:val="18"/>
          <w:lang w:val="ru-RU"/>
        </w:rPr>
        <w:t xml:space="preserve"> </w:t>
      </w:r>
      <w:r>
        <w:rPr>
          <w:szCs w:val="18"/>
          <w:lang w:val="ru-RU"/>
        </w:rPr>
        <w:tab/>
      </w:r>
      <w:r>
        <w:rPr>
          <w:i/>
          <w:iCs/>
          <w:szCs w:val="18"/>
          <w:lang w:val="ru-RU"/>
        </w:rPr>
        <w:t xml:space="preserve">"Эйр Индия" против Наргеш Мирза,  </w:t>
      </w:r>
      <w:r>
        <w:rPr>
          <w:i/>
          <w:iCs/>
          <w:szCs w:val="18"/>
          <w:lang w:val="en-US"/>
        </w:rPr>
        <w:t>AIR</w:t>
      </w:r>
      <w:r>
        <w:rPr>
          <w:i/>
          <w:iCs/>
          <w:szCs w:val="18"/>
          <w:lang w:val="ru-RU"/>
        </w:rPr>
        <w:t xml:space="preserve"> 1981 </w:t>
      </w:r>
      <w:r>
        <w:rPr>
          <w:i/>
          <w:iCs/>
          <w:szCs w:val="18"/>
          <w:lang w:val="en-US"/>
        </w:rPr>
        <w:t>SC</w:t>
      </w:r>
      <w:r>
        <w:rPr>
          <w:i/>
          <w:iCs/>
          <w:szCs w:val="18"/>
          <w:lang w:val="ru-RU"/>
        </w:rPr>
        <w:t xml:space="preserve"> 1829.</w:t>
      </w:r>
    </w:p>
  </w:footnote>
  <w:footnote w:id="32">
    <w:p w:rsidR="00000000" w:rsidRDefault="00000000">
      <w:pPr>
        <w:pStyle w:val="FootnoteText"/>
        <w:spacing w:after="60"/>
        <w:rPr>
          <w:szCs w:val="18"/>
          <w:lang w:val="ru-RU"/>
        </w:rPr>
      </w:pPr>
      <w:r>
        <w:rPr>
          <w:rStyle w:val="FootnoteReference"/>
          <w:sz w:val="18"/>
          <w:szCs w:val="18"/>
          <w:lang w:val="ru-RU"/>
        </w:rPr>
        <w:t>31</w:t>
      </w:r>
      <w:r>
        <w:rPr>
          <w:szCs w:val="18"/>
          <w:lang w:val="ru-RU"/>
        </w:rPr>
        <w:t xml:space="preserve"> </w:t>
      </w:r>
      <w:r>
        <w:rPr>
          <w:szCs w:val="18"/>
          <w:lang w:val="ru-RU"/>
        </w:rPr>
        <w:tab/>
        <w:t xml:space="preserve">Закон 1872 года о христианских браках, Закон 1955 года об индуистских браках, Индийский закон о разводе 1969 года, Закон 1936 года о браке и разводе парсов – это некоторые, законодательные акты, действующие в основных общинах. </w:t>
      </w:r>
    </w:p>
  </w:footnote>
  <w:footnote w:id="33">
    <w:p w:rsidR="00000000" w:rsidRDefault="00000000">
      <w:pPr>
        <w:pStyle w:val="FootnoteText"/>
        <w:spacing w:after="60"/>
        <w:rPr>
          <w:b/>
          <w:szCs w:val="18"/>
          <w:lang w:val="ru-RU"/>
        </w:rPr>
      </w:pPr>
      <w:r>
        <w:rPr>
          <w:rStyle w:val="FootnoteReference"/>
          <w:sz w:val="18"/>
          <w:szCs w:val="18"/>
          <w:lang w:val="ru-RU"/>
        </w:rPr>
        <w:t>32</w:t>
      </w:r>
      <w:r>
        <w:rPr>
          <w:b/>
          <w:szCs w:val="18"/>
          <w:lang w:val="ru-RU"/>
        </w:rPr>
        <w:t xml:space="preserve"> </w:t>
      </w:r>
      <w:r>
        <w:rPr>
          <w:b/>
          <w:szCs w:val="18"/>
          <w:lang w:val="ru-RU"/>
        </w:rPr>
        <w:tab/>
      </w:r>
      <w:r>
        <w:rPr>
          <w:szCs w:val="18"/>
          <w:lang w:val="ru-RU"/>
        </w:rPr>
        <w:t>Ссылки на эти программы даны в соответствующих разделах разных статей.</w:t>
      </w:r>
    </w:p>
  </w:footnote>
  <w:footnote w:id="34">
    <w:p w:rsidR="00000000" w:rsidRDefault="00000000">
      <w:pPr>
        <w:pStyle w:val="FootnoteText"/>
        <w:rPr>
          <w:szCs w:val="18"/>
          <w:lang w:val="ru-RU"/>
        </w:rPr>
      </w:pPr>
      <w:r>
        <w:rPr>
          <w:rStyle w:val="FootnoteReference"/>
          <w:sz w:val="18"/>
          <w:szCs w:val="18"/>
          <w:lang w:val="ru-RU"/>
        </w:rPr>
        <w:t>33</w:t>
      </w:r>
      <w:r>
        <w:rPr>
          <w:b/>
          <w:szCs w:val="18"/>
          <w:lang w:val="ru-RU"/>
        </w:rPr>
        <w:t xml:space="preserve"> </w:t>
      </w:r>
      <w:r>
        <w:rPr>
          <w:b/>
          <w:szCs w:val="18"/>
          <w:lang w:val="ru-RU"/>
        </w:rPr>
        <w:tab/>
      </w:r>
      <w:r>
        <w:rPr>
          <w:szCs w:val="18"/>
          <w:lang w:val="ru-RU"/>
        </w:rPr>
        <w:t>Это статутный орган, созданный в 1992 году по постановлению парламента. Она занимается рассмотрением законодательства, программ и политики, касающихся женщин, и выносит рекомендации по их совершенствованию. Она следит также за нарушением прав женщин и принимает соответствующие меры.</w:t>
      </w:r>
    </w:p>
  </w:footnote>
  <w:footnote w:id="35">
    <w:p w:rsidR="00000000" w:rsidRDefault="00000000">
      <w:pPr>
        <w:pStyle w:val="FootnoteText"/>
        <w:spacing w:after="120"/>
        <w:rPr>
          <w:szCs w:val="18"/>
          <w:lang w:val="ru-RU"/>
        </w:rPr>
      </w:pPr>
      <w:r>
        <w:rPr>
          <w:rStyle w:val="FootnoteReference"/>
          <w:sz w:val="18"/>
          <w:szCs w:val="18"/>
          <w:lang w:val="ru-RU"/>
        </w:rPr>
        <w:t>34</w:t>
      </w:r>
      <w:r>
        <w:rPr>
          <w:szCs w:val="18"/>
          <w:lang w:val="ru-RU"/>
        </w:rPr>
        <w:t xml:space="preserve"> </w:t>
      </w:r>
      <w:r>
        <w:rPr>
          <w:szCs w:val="18"/>
          <w:lang w:val="ru-RU"/>
        </w:rPr>
        <w:tab/>
        <w:t>Например, ст. 25 Закона 1955 года об индуистских браках, ст. 37 Специального закона о браке 1954 года, ст. 37 Индийского закона о разводе 1969 года, ст. 40 Закона 1936 года о браке и разводе между парами.</w:t>
      </w:r>
    </w:p>
  </w:footnote>
  <w:footnote w:id="36">
    <w:p w:rsidR="00000000" w:rsidRDefault="00000000">
      <w:pPr>
        <w:pStyle w:val="FootnoteText"/>
        <w:rPr>
          <w:szCs w:val="18"/>
          <w:lang w:val="ru-RU"/>
        </w:rPr>
      </w:pPr>
      <w:r>
        <w:rPr>
          <w:rStyle w:val="FootnoteReference"/>
          <w:sz w:val="18"/>
          <w:szCs w:val="18"/>
          <w:lang w:val="ru-RU"/>
        </w:rPr>
        <w:t>35</w:t>
      </w:r>
      <w:r>
        <w:rPr>
          <w:szCs w:val="18"/>
          <w:lang w:val="ru-RU"/>
        </w:rPr>
        <w:t xml:space="preserve"> </w:t>
      </w:r>
      <w:r>
        <w:rPr>
          <w:szCs w:val="18"/>
          <w:lang w:val="ru-RU"/>
        </w:rPr>
        <w:tab/>
        <w:t>Ст.125 Уголовно-процессуального кодекса 1973 года.</w:t>
      </w:r>
    </w:p>
  </w:footnote>
  <w:footnote w:id="37">
    <w:p w:rsidR="00000000" w:rsidRDefault="00000000">
      <w:pPr>
        <w:pStyle w:val="FootnoteText"/>
        <w:spacing w:after="60"/>
        <w:rPr>
          <w:szCs w:val="18"/>
          <w:lang w:val="ru-RU"/>
        </w:rPr>
      </w:pPr>
      <w:r>
        <w:rPr>
          <w:rStyle w:val="FootnoteReference"/>
          <w:sz w:val="18"/>
          <w:szCs w:val="18"/>
          <w:lang w:val="ru-RU"/>
        </w:rPr>
        <w:t>36</w:t>
      </w:r>
      <w:r>
        <w:rPr>
          <w:szCs w:val="18"/>
          <w:lang w:val="ru-RU"/>
        </w:rPr>
        <w:t xml:space="preserve"> </w:t>
      </w:r>
      <w:r>
        <w:rPr>
          <w:szCs w:val="18"/>
          <w:lang w:val="ru-RU"/>
        </w:rPr>
        <w:tab/>
        <w:t>Ст. 4 и 6 Индусского закона о меньшинствах и опеке 1956 года.</w:t>
      </w:r>
    </w:p>
  </w:footnote>
  <w:footnote w:id="38">
    <w:p w:rsidR="00000000" w:rsidRDefault="00000000">
      <w:pPr>
        <w:pStyle w:val="FootnoteText"/>
        <w:spacing w:after="60"/>
        <w:rPr>
          <w:szCs w:val="18"/>
          <w:lang w:val="ru-RU"/>
        </w:rPr>
      </w:pPr>
      <w:r>
        <w:rPr>
          <w:rStyle w:val="FootnoteReference"/>
          <w:sz w:val="18"/>
          <w:szCs w:val="18"/>
          <w:lang w:val="ru-RU"/>
        </w:rPr>
        <w:t>37</w:t>
      </w:r>
      <w:r>
        <w:rPr>
          <w:szCs w:val="18"/>
          <w:lang w:val="ru-RU"/>
        </w:rPr>
        <w:t xml:space="preserve"> </w:t>
      </w:r>
      <w:r>
        <w:rPr>
          <w:szCs w:val="18"/>
          <w:lang w:val="ru-RU"/>
        </w:rPr>
        <w:tab/>
        <w:t xml:space="preserve">[1999]  2 </w:t>
      </w:r>
      <w:r>
        <w:rPr>
          <w:szCs w:val="18"/>
        </w:rPr>
        <w:t>SCC</w:t>
      </w:r>
      <w:r>
        <w:rPr>
          <w:szCs w:val="18"/>
          <w:lang w:val="ru-RU"/>
        </w:rPr>
        <w:t xml:space="preserve"> 228.</w:t>
      </w:r>
    </w:p>
  </w:footnote>
  <w:footnote w:id="39">
    <w:p w:rsidR="00000000" w:rsidRDefault="00000000">
      <w:pPr>
        <w:pStyle w:val="FootnoteText"/>
        <w:spacing w:after="60"/>
        <w:rPr>
          <w:szCs w:val="18"/>
          <w:lang w:val="ru-RU"/>
        </w:rPr>
      </w:pPr>
      <w:r>
        <w:rPr>
          <w:rStyle w:val="FootnoteReference"/>
          <w:sz w:val="18"/>
          <w:szCs w:val="18"/>
          <w:lang w:val="ru-RU"/>
        </w:rPr>
        <w:t>38</w:t>
      </w:r>
      <w:r>
        <w:rPr>
          <w:szCs w:val="18"/>
          <w:lang w:val="ru-RU"/>
        </w:rPr>
        <w:t xml:space="preserve"> </w:t>
      </w:r>
      <w:r>
        <w:rPr>
          <w:szCs w:val="18"/>
          <w:lang w:val="ru-RU"/>
        </w:rPr>
        <w:tab/>
      </w:r>
      <w:r>
        <w:rPr>
          <w:i/>
          <w:iCs/>
          <w:szCs w:val="18"/>
          <w:lang w:val="ru-RU"/>
        </w:rPr>
        <w:t xml:space="preserve">Даниал Латифи против Индийского Союза </w:t>
      </w:r>
      <w:r>
        <w:rPr>
          <w:szCs w:val="18"/>
        </w:rPr>
        <w:t>AIR</w:t>
      </w:r>
      <w:r>
        <w:rPr>
          <w:szCs w:val="18"/>
          <w:lang w:val="ru-RU"/>
        </w:rPr>
        <w:t xml:space="preserve"> 2001 </w:t>
      </w:r>
      <w:r>
        <w:rPr>
          <w:szCs w:val="18"/>
        </w:rPr>
        <w:t>SC</w:t>
      </w:r>
      <w:r>
        <w:rPr>
          <w:szCs w:val="18"/>
          <w:lang w:val="ru-RU"/>
        </w:rPr>
        <w:t xml:space="preserve"> 3958.</w:t>
      </w:r>
    </w:p>
  </w:footnote>
  <w:footnote w:id="40">
    <w:p w:rsidR="00000000" w:rsidRDefault="00000000">
      <w:pPr>
        <w:pStyle w:val="FootnoteText"/>
        <w:rPr>
          <w:szCs w:val="18"/>
          <w:lang w:val="ru-RU"/>
        </w:rPr>
      </w:pPr>
      <w:r>
        <w:rPr>
          <w:rStyle w:val="FootnoteReference"/>
          <w:sz w:val="18"/>
          <w:szCs w:val="18"/>
          <w:lang w:val="ru-RU"/>
        </w:rPr>
        <w:t>39</w:t>
      </w:r>
      <w:r>
        <w:rPr>
          <w:szCs w:val="18"/>
          <w:lang w:val="ru-RU"/>
        </w:rPr>
        <w:t xml:space="preserve"> </w:t>
      </w:r>
      <w:r>
        <w:rPr>
          <w:szCs w:val="18"/>
          <w:lang w:val="ru-RU"/>
        </w:rPr>
        <w:tab/>
      </w:r>
      <w:r>
        <w:rPr>
          <w:i/>
          <w:iCs/>
          <w:szCs w:val="18"/>
          <w:lang w:val="ru-RU"/>
        </w:rPr>
        <w:t>Нур Сабха Хаттун против Мохамеда Казима</w:t>
      </w:r>
      <w:r>
        <w:rPr>
          <w:szCs w:val="18"/>
          <w:lang w:val="ru-RU"/>
        </w:rPr>
        <w:t xml:space="preserve"> (</w:t>
      </w:r>
      <w:r>
        <w:rPr>
          <w:szCs w:val="18"/>
          <w:lang w:val="en-US"/>
        </w:rPr>
        <w:t>AIR</w:t>
      </w:r>
      <w:r>
        <w:rPr>
          <w:szCs w:val="18"/>
          <w:lang w:val="ru-RU"/>
        </w:rPr>
        <w:t xml:space="preserve"> 1997 </w:t>
      </w:r>
      <w:r>
        <w:rPr>
          <w:szCs w:val="18"/>
          <w:lang w:val="en-US"/>
        </w:rPr>
        <w:t>SC</w:t>
      </w:r>
      <w:r>
        <w:rPr>
          <w:szCs w:val="18"/>
          <w:lang w:val="ru-RU"/>
        </w:rPr>
        <w:t xml:space="preserve"> 3021).</w:t>
      </w:r>
    </w:p>
  </w:footnote>
  <w:footnote w:id="41">
    <w:p w:rsidR="00000000" w:rsidRDefault="00000000">
      <w:pPr>
        <w:pStyle w:val="FootnoteText"/>
        <w:rPr>
          <w:szCs w:val="18"/>
          <w:lang w:val="ru-RU"/>
        </w:rPr>
      </w:pPr>
      <w:r>
        <w:rPr>
          <w:rStyle w:val="FootnoteReference"/>
          <w:sz w:val="18"/>
          <w:szCs w:val="18"/>
          <w:lang w:val="ru-RU"/>
        </w:rPr>
        <w:t>40</w:t>
      </w:r>
      <w:r>
        <w:rPr>
          <w:szCs w:val="18"/>
          <w:lang w:val="ru-RU"/>
        </w:rPr>
        <w:t xml:space="preserve"> </w:t>
      </w:r>
      <w:r>
        <w:rPr>
          <w:szCs w:val="18"/>
          <w:lang w:val="ru-RU"/>
        </w:rPr>
        <w:tab/>
        <w:t>Ст. 304 Индийского уголовного кодекса, 1860 года.</w:t>
      </w:r>
    </w:p>
  </w:footnote>
  <w:footnote w:id="42">
    <w:p w:rsidR="00000000" w:rsidRDefault="00000000">
      <w:pPr>
        <w:pStyle w:val="FootnoteText"/>
        <w:spacing w:before="80"/>
        <w:rPr>
          <w:szCs w:val="18"/>
          <w:lang w:val="ru-RU"/>
        </w:rPr>
      </w:pPr>
      <w:r>
        <w:rPr>
          <w:rStyle w:val="FootnoteReference"/>
          <w:sz w:val="18"/>
          <w:szCs w:val="18"/>
          <w:lang w:val="ru-RU"/>
        </w:rPr>
        <w:t>41</w:t>
      </w:r>
      <w:r>
        <w:rPr>
          <w:szCs w:val="18"/>
          <w:lang w:val="ru-RU"/>
        </w:rPr>
        <w:t xml:space="preserve"> </w:t>
      </w:r>
      <w:r>
        <w:rPr>
          <w:szCs w:val="18"/>
          <w:lang w:val="ru-RU"/>
        </w:rPr>
        <w:tab/>
        <w:t xml:space="preserve">Ст. 494 Индийского уголовного кодекса, 1860 года. </w:t>
      </w:r>
    </w:p>
  </w:footnote>
  <w:footnote w:id="43">
    <w:p w:rsidR="00000000" w:rsidRDefault="00000000">
      <w:pPr>
        <w:pStyle w:val="FootnoteText"/>
        <w:spacing w:before="80"/>
        <w:rPr>
          <w:szCs w:val="18"/>
          <w:lang w:val="ru-RU"/>
        </w:rPr>
      </w:pPr>
      <w:r>
        <w:rPr>
          <w:rStyle w:val="FootnoteReference"/>
          <w:sz w:val="18"/>
          <w:szCs w:val="18"/>
          <w:lang w:val="ru-RU"/>
        </w:rPr>
        <w:t>42</w:t>
      </w:r>
      <w:r>
        <w:rPr>
          <w:szCs w:val="18"/>
          <w:lang w:val="ru-RU"/>
        </w:rPr>
        <w:t xml:space="preserve"> </w:t>
      </w:r>
      <w:r>
        <w:rPr>
          <w:szCs w:val="18"/>
          <w:lang w:val="ru-RU"/>
        </w:rPr>
        <w:tab/>
        <w:t>До конца 2004 года было создано 272 ДКП для более чем 16</w:t>
      </w:r>
      <w:r>
        <w:rPr>
          <w:szCs w:val="18"/>
        </w:rPr>
        <w:t> </w:t>
      </w:r>
      <w:r>
        <w:rPr>
          <w:szCs w:val="18"/>
          <w:lang w:val="ru-RU"/>
        </w:rPr>
        <w:t>900 женщин.</w:t>
      </w:r>
    </w:p>
  </w:footnote>
  <w:footnote w:id="44">
    <w:p w:rsidR="00000000" w:rsidRDefault="00000000">
      <w:pPr>
        <w:pStyle w:val="FootnoteText"/>
        <w:rPr>
          <w:szCs w:val="18"/>
          <w:lang w:val="ru-RU"/>
        </w:rPr>
      </w:pPr>
      <w:r>
        <w:rPr>
          <w:rStyle w:val="FootnoteReference"/>
          <w:sz w:val="18"/>
          <w:szCs w:val="18"/>
          <w:lang w:val="ru-RU"/>
        </w:rPr>
        <w:t>43</w:t>
      </w:r>
      <w:r>
        <w:rPr>
          <w:szCs w:val="18"/>
          <w:lang w:val="ru-RU"/>
        </w:rPr>
        <w:t xml:space="preserve"> </w:t>
      </w:r>
      <w:r>
        <w:rPr>
          <w:szCs w:val="18"/>
          <w:lang w:val="ru-RU"/>
        </w:rPr>
        <w:tab/>
      </w:r>
      <w:r>
        <w:rPr>
          <w:i/>
          <w:iCs/>
          <w:szCs w:val="18"/>
          <w:lang w:val="ru-RU"/>
        </w:rPr>
        <w:t>Дипа Васиста против штата Уттар-Прадеш</w:t>
      </w:r>
      <w:r>
        <w:rPr>
          <w:szCs w:val="18"/>
          <w:lang w:val="ru-RU"/>
        </w:rPr>
        <w:t xml:space="preserve">, 1996 (1) </w:t>
      </w:r>
      <w:r>
        <w:rPr>
          <w:szCs w:val="18"/>
          <w:lang w:val="en-US"/>
        </w:rPr>
        <w:t>ESC</w:t>
      </w:r>
      <w:r>
        <w:rPr>
          <w:szCs w:val="18"/>
          <w:lang w:val="ru-RU"/>
        </w:rPr>
        <w:t xml:space="preserve"> 148 </w:t>
      </w:r>
      <w:r>
        <w:rPr>
          <w:szCs w:val="18"/>
          <w:lang w:val="en-US"/>
        </w:rPr>
        <w:t>All</w:t>
      </w:r>
      <w:r>
        <w:rPr>
          <w:szCs w:val="18"/>
          <w:lang w:val="ru-RU"/>
        </w:rPr>
        <w:t xml:space="preserve"> (</w:t>
      </w:r>
      <w:r>
        <w:rPr>
          <w:szCs w:val="18"/>
          <w:lang w:val="en-US"/>
        </w:rPr>
        <w:t>DB</w:t>
      </w:r>
      <w:r>
        <w:rPr>
          <w:szCs w:val="18"/>
          <w:lang w:val="ru-RU"/>
        </w:rPr>
        <w:t>).</w:t>
      </w:r>
    </w:p>
  </w:footnote>
  <w:footnote w:id="45">
    <w:p w:rsidR="00000000" w:rsidRDefault="00000000">
      <w:pPr>
        <w:pStyle w:val="FootnoteText"/>
        <w:rPr>
          <w:szCs w:val="18"/>
          <w:lang w:val="ru-RU"/>
        </w:rPr>
      </w:pPr>
      <w:r>
        <w:rPr>
          <w:rStyle w:val="FootnoteReference"/>
          <w:sz w:val="18"/>
          <w:szCs w:val="18"/>
          <w:lang w:val="ru-RU"/>
        </w:rPr>
        <w:t>44</w:t>
      </w:r>
      <w:r>
        <w:rPr>
          <w:szCs w:val="18"/>
          <w:lang w:val="ru-RU"/>
        </w:rPr>
        <w:t xml:space="preserve"> </w:t>
      </w:r>
      <w:r>
        <w:rPr>
          <w:szCs w:val="18"/>
          <w:lang w:val="ru-RU"/>
        </w:rPr>
        <w:tab/>
      </w:r>
      <w:r>
        <w:rPr>
          <w:i/>
          <w:szCs w:val="18"/>
          <w:lang w:val="ru-RU"/>
        </w:rPr>
        <w:t>Муниципальная корпорация работающих женщин Дели-</w:t>
      </w:r>
      <w:r>
        <w:rPr>
          <w:i/>
          <w:szCs w:val="18"/>
          <w:lang w:val="en-US"/>
        </w:rPr>
        <w:t>V</w:t>
      </w:r>
      <w:r>
        <w:rPr>
          <w:i/>
          <w:szCs w:val="18"/>
          <w:lang w:val="ru-RU"/>
        </w:rPr>
        <w:t xml:space="preserve"> (список профессий)</w:t>
      </w:r>
      <w:r>
        <w:rPr>
          <w:szCs w:val="18"/>
          <w:lang w:val="ru-RU"/>
        </w:rPr>
        <w:t xml:space="preserve">, (2000) 3 </w:t>
      </w:r>
      <w:r>
        <w:rPr>
          <w:szCs w:val="18"/>
          <w:lang w:val="en-US"/>
        </w:rPr>
        <w:t>SCC</w:t>
      </w:r>
      <w:r>
        <w:rPr>
          <w:szCs w:val="18"/>
          <w:lang w:val="ru-RU"/>
        </w:rPr>
        <w:t xml:space="preserve"> 224.</w:t>
      </w:r>
    </w:p>
  </w:footnote>
  <w:footnote w:id="46">
    <w:p w:rsidR="00000000" w:rsidRDefault="00000000">
      <w:pPr>
        <w:pStyle w:val="FootnoteText"/>
        <w:rPr>
          <w:szCs w:val="18"/>
          <w:lang w:val="en-US"/>
        </w:rPr>
      </w:pPr>
      <w:r>
        <w:rPr>
          <w:rStyle w:val="FootnoteReference"/>
          <w:sz w:val="18"/>
          <w:szCs w:val="18"/>
          <w:lang w:val="en-US"/>
        </w:rPr>
        <w:t>45</w:t>
      </w:r>
      <w:r>
        <w:rPr>
          <w:b/>
          <w:szCs w:val="18"/>
          <w:lang w:val="en-US"/>
        </w:rPr>
        <w:t xml:space="preserve"> </w:t>
      </w:r>
      <w:r>
        <w:rPr>
          <w:b/>
          <w:szCs w:val="18"/>
          <w:lang w:val="en-US"/>
        </w:rPr>
        <w:tab/>
      </w:r>
      <w:r>
        <w:rPr>
          <w:szCs w:val="18"/>
          <w:lang w:val="en-US"/>
        </w:rPr>
        <w:t>Quoted in Report of the Second National Labour Commission, India, p. 1007.</w:t>
      </w:r>
    </w:p>
  </w:footnote>
  <w:footnote w:id="47">
    <w:p w:rsidR="00000000" w:rsidRDefault="00000000">
      <w:pPr>
        <w:pStyle w:val="FootnoteText"/>
        <w:rPr>
          <w:b/>
          <w:szCs w:val="18"/>
          <w:lang w:val="en-US"/>
        </w:rPr>
      </w:pPr>
      <w:r>
        <w:rPr>
          <w:rStyle w:val="FootnoteReference"/>
          <w:sz w:val="18"/>
          <w:szCs w:val="18"/>
          <w:lang w:val="en-US"/>
        </w:rPr>
        <w:t>46</w:t>
      </w:r>
      <w:r>
        <w:rPr>
          <w:b/>
          <w:szCs w:val="18"/>
          <w:lang w:val="en-US"/>
        </w:rPr>
        <w:t xml:space="preserve"> </w:t>
      </w:r>
      <w:r>
        <w:rPr>
          <w:b/>
          <w:szCs w:val="18"/>
          <w:lang w:val="en-US"/>
        </w:rPr>
        <w:tab/>
      </w:r>
      <w:r>
        <w:rPr>
          <w:i/>
          <w:iCs/>
          <w:szCs w:val="18"/>
          <w:lang w:val="en-US"/>
        </w:rPr>
        <w:t>M.C. Mehta v. State of Tamil Nadu</w:t>
      </w:r>
      <w:r>
        <w:rPr>
          <w:szCs w:val="18"/>
          <w:lang w:val="en-US"/>
        </w:rPr>
        <w:t>, AIR 1997 SC 699.</w:t>
      </w:r>
    </w:p>
  </w:footnote>
  <w:footnote w:id="48">
    <w:p w:rsidR="00000000" w:rsidRDefault="00000000">
      <w:pPr>
        <w:pStyle w:val="FootnoteText"/>
        <w:spacing w:after="60"/>
        <w:rPr>
          <w:szCs w:val="18"/>
          <w:lang w:val="ru-RU"/>
        </w:rPr>
      </w:pPr>
      <w:r>
        <w:rPr>
          <w:rStyle w:val="FootnoteReference"/>
          <w:sz w:val="18"/>
          <w:szCs w:val="18"/>
          <w:lang w:val="ru-RU"/>
        </w:rPr>
        <w:t>47</w:t>
      </w:r>
      <w:r>
        <w:rPr>
          <w:b/>
          <w:szCs w:val="18"/>
          <w:lang w:val="ru-RU"/>
        </w:rPr>
        <w:t xml:space="preserve"> </w:t>
      </w:r>
      <w:r>
        <w:rPr>
          <w:b/>
          <w:szCs w:val="18"/>
          <w:lang w:val="ru-RU"/>
        </w:rPr>
        <w:tab/>
      </w:r>
      <w:r>
        <w:rPr>
          <w:szCs w:val="18"/>
          <w:lang w:val="ru-RU"/>
        </w:rPr>
        <w:t>В состав НУЛДТ входят государственные министры труда, информации и радиовещания, социальной справедливости и расширения прав и возможностей, развития сельских районов и текстильной промышленности, а также руководители департаментов расходов, образования, здравоохранения и по делам благосостояния семьи и развития женщин и детей.</w:t>
      </w:r>
    </w:p>
  </w:footnote>
  <w:footnote w:id="49">
    <w:p w:rsidR="00000000" w:rsidRDefault="00000000">
      <w:pPr>
        <w:pStyle w:val="FootnoteText"/>
        <w:spacing w:after="60"/>
        <w:rPr>
          <w:b/>
          <w:szCs w:val="18"/>
          <w:lang w:val="ru-RU"/>
        </w:rPr>
      </w:pPr>
      <w:r>
        <w:rPr>
          <w:rStyle w:val="FootnoteReference"/>
          <w:sz w:val="18"/>
          <w:szCs w:val="18"/>
          <w:lang w:val="ru-RU"/>
        </w:rPr>
        <w:t>48</w:t>
      </w:r>
      <w:r>
        <w:rPr>
          <w:szCs w:val="18"/>
          <w:lang w:val="ru-RU"/>
        </w:rPr>
        <w:t xml:space="preserve"> </w:t>
      </w:r>
      <w:r>
        <w:rPr>
          <w:szCs w:val="18"/>
          <w:lang w:val="ru-RU"/>
        </w:rPr>
        <w:tab/>
        <w:t>Правила (несения) службы в центральных органах, 1964 год, с поправками, внесенными 4 октября 1999</w:t>
      </w:r>
      <w:r>
        <w:rPr>
          <w:szCs w:val="18"/>
        </w:rPr>
        <w:t> </w:t>
      </w:r>
      <w:r>
        <w:rPr>
          <w:szCs w:val="18"/>
          <w:lang w:val="ru-RU"/>
        </w:rPr>
        <w:t>года, и правила (несения) службы в Индии 1968 года с поправками, внесенными 1 февраля 2000</w:t>
      </w:r>
      <w:r>
        <w:rPr>
          <w:szCs w:val="18"/>
        </w:rPr>
        <w:t> </w:t>
      </w:r>
      <w:r>
        <w:rPr>
          <w:szCs w:val="18"/>
          <w:lang w:val="ru-RU"/>
        </w:rPr>
        <w:t>года.  Источник:  Министерство кадров, по вопросам жалоб граждан и пенсий.</w:t>
      </w:r>
    </w:p>
  </w:footnote>
  <w:footnote w:id="50">
    <w:p w:rsidR="00000000" w:rsidRDefault="00000000">
      <w:pPr>
        <w:pStyle w:val="FootnoteText"/>
        <w:rPr>
          <w:szCs w:val="18"/>
          <w:lang w:val="en-US"/>
        </w:rPr>
      </w:pPr>
      <w:r>
        <w:rPr>
          <w:rStyle w:val="FootnoteReference"/>
          <w:sz w:val="18"/>
          <w:szCs w:val="18"/>
          <w:lang w:val="en-US"/>
        </w:rPr>
        <w:t>49</w:t>
      </w:r>
      <w:r>
        <w:rPr>
          <w:szCs w:val="18"/>
          <w:lang w:val="en-US"/>
        </w:rPr>
        <w:t xml:space="preserve"> </w:t>
      </w:r>
      <w:r>
        <w:rPr>
          <w:szCs w:val="18"/>
          <w:lang w:val="en-US"/>
        </w:rPr>
        <w:tab/>
      </w:r>
      <w:r>
        <w:rPr>
          <w:i/>
          <w:iCs/>
          <w:szCs w:val="18"/>
          <w:lang w:val="en-US"/>
        </w:rPr>
        <w:t>Laxmikant Pandey v. Union of India,</w:t>
      </w:r>
      <w:r>
        <w:rPr>
          <w:szCs w:val="18"/>
          <w:lang w:val="en-US"/>
        </w:rPr>
        <w:t xml:space="preserve"> AIR 1984 SC 469.</w:t>
      </w:r>
    </w:p>
  </w:footnote>
  <w:footnote w:id="51">
    <w:p w:rsidR="00000000" w:rsidRDefault="00000000">
      <w:pPr>
        <w:pStyle w:val="FootnoteText"/>
        <w:spacing w:after="60"/>
        <w:rPr>
          <w:szCs w:val="18"/>
          <w:lang w:val="ru-RU"/>
        </w:rPr>
      </w:pPr>
      <w:r>
        <w:rPr>
          <w:rStyle w:val="FootnoteReference"/>
          <w:sz w:val="18"/>
          <w:szCs w:val="18"/>
          <w:lang w:val="ru-RU"/>
        </w:rPr>
        <w:t>50</w:t>
      </w:r>
      <w:r>
        <w:rPr>
          <w:szCs w:val="18"/>
          <w:lang w:val="ru-RU"/>
        </w:rPr>
        <w:t xml:space="preserve"> </w:t>
      </w:r>
      <w:r>
        <w:rPr>
          <w:szCs w:val="18"/>
          <w:lang w:val="ru-RU"/>
        </w:rPr>
        <w:tab/>
        <w:t xml:space="preserve">В своем решении </w:t>
      </w:r>
      <w:r>
        <w:rPr>
          <w:szCs w:val="18"/>
          <w:lang w:val="en-US"/>
        </w:rPr>
        <w:t>AIR</w:t>
      </w:r>
      <w:r>
        <w:rPr>
          <w:szCs w:val="18"/>
          <w:lang w:val="ru-RU"/>
        </w:rPr>
        <w:t xml:space="preserve"> 2001 </w:t>
      </w:r>
      <w:r>
        <w:rPr>
          <w:szCs w:val="18"/>
          <w:lang w:val="en-US"/>
        </w:rPr>
        <w:t>SC</w:t>
      </w:r>
      <w:r>
        <w:rPr>
          <w:szCs w:val="18"/>
          <w:lang w:val="ru-RU"/>
        </w:rPr>
        <w:t xml:space="preserve"> 2007 по затрагивающему интересы общества делу против Центра исследований по проблемам здоровья и связанным с ним проблемам (СЕХАТ) Верховный суд обязал Центр осуществить этот закон во всех его аспектах.  Суд со всей серьезностью отнесся к тревожной тенденции, выражающейся в неблагоприятном изменении соотношения полов в категории детей.</w:t>
      </w:r>
    </w:p>
  </w:footnote>
  <w:footnote w:id="52">
    <w:p w:rsidR="00000000" w:rsidRDefault="00000000">
      <w:pPr>
        <w:pStyle w:val="FootnoteText"/>
        <w:rPr>
          <w:szCs w:val="18"/>
          <w:lang w:val="ru-RU"/>
        </w:rPr>
      </w:pPr>
      <w:r>
        <w:rPr>
          <w:rStyle w:val="FootnoteReference"/>
          <w:sz w:val="18"/>
          <w:szCs w:val="18"/>
          <w:lang w:val="ru-RU"/>
        </w:rPr>
        <w:t>51</w:t>
      </w:r>
      <w:r>
        <w:rPr>
          <w:szCs w:val="18"/>
          <w:lang w:val="ru-RU"/>
        </w:rPr>
        <w:t xml:space="preserve"> </w:t>
      </w:r>
      <w:r>
        <w:rPr>
          <w:szCs w:val="18"/>
          <w:lang w:val="ru-RU"/>
        </w:rPr>
        <w:tab/>
        <w:t>См. доклад, представленный в соответствии со статьей 12 Пакта.</w:t>
      </w:r>
    </w:p>
  </w:footnote>
  <w:footnote w:id="53">
    <w:p w:rsidR="00000000" w:rsidRDefault="00000000">
      <w:pPr>
        <w:pStyle w:val="FootnoteText"/>
        <w:rPr>
          <w:szCs w:val="18"/>
          <w:lang w:val="en-US"/>
        </w:rPr>
      </w:pPr>
      <w:r>
        <w:rPr>
          <w:rStyle w:val="FootnoteReference"/>
          <w:sz w:val="18"/>
          <w:szCs w:val="18"/>
          <w:lang w:val="en-US"/>
        </w:rPr>
        <w:t>52</w:t>
      </w:r>
      <w:r>
        <w:rPr>
          <w:szCs w:val="18"/>
          <w:lang w:val="en-US"/>
        </w:rPr>
        <w:t xml:space="preserve"> </w:t>
      </w:r>
      <w:r>
        <w:rPr>
          <w:szCs w:val="18"/>
          <w:lang w:val="en-US"/>
        </w:rPr>
        <w:tab/>
      </w:r>
      <w:r>
        <w:rPr>
          <w:i/>
          <w:iCs/>
          <w:szCs w:val="18"/>
          <w:lang w:val="en-US"/>
        </w:rPr>
        <w:t>Vishal Jeet v. Union of India</w:t>
      </w:r>
      <w:r>
        <w:rPr>
          <w:szCs w:val="18"/>
          <w:lang w:val="en-US"/>
        </w:rPr>
        <w:t xml:space="preserve"> AIR 1990 SC 1412, </w:t>
      </w:r>
      <w:r>
        <w:rPr>
          <w:i/>
          <w:iCs/>
          <w:szCs w:val="18"/>
          <w:lang w:val="en-US"/>
        </w:rPr>
        <w:t>Gaurav Jain v. Union of India</w:t>
      </w:r>
      <w:r>
        <w:rPr>
          <w:szCs w:val="18"/>
          <w:lang w:val="en-US"/>
        </w:rPr>
        <w:t>, AIR 1997  SC 3021.</w:t>
      </w:r>
    </w:p>
  </w:footnote>
  <w:footnote w:id="54">
    <w:p w:rsidR="00000000" w:rsidRDefault="00000000">
      <w:pPr>
        <w:pStyle w:val="FootnoteText"/>
        <w:spacing w:after="60"/>
        <w:rPr>
          <w:szCs w:val="18"/>
          <w:lang w:val="ru-RU"/>
        </w:rPr>
      </w:pPr>
      <w:r>
        <w:rPr>
          <w:rStyle w:val="FootnoteReference"/>
          <w:sz w:val="18"/>
          <w:szCs w:val="18"/>
          <w:lang w:val="ru-RU"/>
        </w:rPr>
        <w:t>53</w:t>
      </w:r>
      <w:r>
        <w:rPr>
          <w:szCs w:val="18"/>
          <w:lang w:val="ru-RU"/>
        </w:rPr>
        <w:t xml:space="preserve"> </w:t>
      </w:r>
      <w:r>
        <w:rPr>
          <w:szCs w:val="18"/>
          <w:lang w:val="ru-RU"/>
        </w:rPr>
        <w:tab/>
        <w:t>Эта услуга предназначена главным образом для детей, которые живут одни на улице, детей, работающих в неорганизованном секторе, детей, занятых в домохозяйствах в качестве прислуги, и детей, ставших жертвами сексуального насилия.</w:t>
      </w:r>
    </w:p>
  </w:footnote>
  <w:footnote w:id="55">
    <w:p w:rsidR="00000000" w:rsidRDefault="00000000">
      <w:pPr>
        <w:pStyle w:val="FootnoteText"/>
        <w:rPr>
          <w:szCs w:val="18"/>
          <w:lang w:val="en-US"/>
        </w:rPr>
      </w:pPr>
      <w:r>
        <w:rPr>
          <w:rStyle w:val="FootnoteReference"/>
          <w:sz w:val="18"/>
          <w:szCs w:val="18"/>
          <w:lang w:val="en-US"/>
        </w:rPr>
        <w:t>54</w:t>
      </w:r>
      <w:r>
        <w:rPr>
          <w:szCs w:val="18"/>
          <w:lang w:val="en-US"/>
        </w:rPr>
        <w:t xml:space="preserve"> </w:t>
      </w:r>
      <w:r>
        <w:rPr>
          <w:szCs w:val="18"/>
          <w:lang w:val="en-US"/>
        </w:rPr>
        <w:tab/>
      </w:r>
      <w:r>
        <w:rPr>
          <w:i/>
          <w:iCs/>
          <w:szCs w:val="18"/>
          <w:lang w:val="en-US"/>
        </w:rPr>
        <w:t>Shantisar</w:t>
      </w:r>
      <w:r>
        <w:rPr>
          <w:szCs w:val="18"/>
          <w:lang w:val="en-US"/>
        </w:rPr>
        <w:t xml:space="preserve"> </w:t>
      </w:r>
      <w:r>
        <w:rPr>
          <w:i/>
          <w:iCs/>
          <w:szCs w:val="18"/>
          <w:lang w:val="en-US"/>
        </w:rPr>
        <w:t>Builder v. Narayanan Khumlal Totame,</w:t>
      </w:r>
      <w:r>
        <w:rPr>
          <w:i/>
          <w:iCs/>
          <w:szCs w:val="18"/>
          <w:lang w:val="ru-RU"/>
        </w:rPr>
        <w:t xml:space="preserve"> </w:t>
      </w:r>
      <w:r>
        <w:rPr>
          <w:i/>
          <w:iCs/>
          <w:szCs w:val="18"/>
          <w:lang w:val="en-US"/>
        </w:rPr>
        <w:t>AIR 1990 SC 630.</w:t>
      </w:r>
    </w:p>
  </w:footnote>
  <w:footnote w:id="56">
    <w:p w:rsidR="00000000" w:rsidRDefault="00000000">
      <w:pPr>
        <w:pStyle w:val="FootnoteText"/>
        <w:rPr>
          <w:szCs w:val="18"/>
          <w:lang w:val="ru-RU"/>
        </w:rPr>
      </w:pPr>
      <w:r>
        <w:rPr>
          <w:rStyle w:val="FootnoteReference"/>
          <w:sz w:val="18"/>
          <w:szCs w:val="18"/>
          <w:lang w:val="ru-RU"/>
        </w:rPr>
        <w:t>55</w:t>
      </w:r>
      <w:r>
        <w:rPr>
          <w:szCs w:val="18"/>
          <w:lang w:val="ru-RU"/>
        </w:rPr>
        <w:t xml:space="preserve"> </w:t>
      </w:r>
      <w:r>
        <w:rPr>
          <w:szCs w:val="18"/>
          <w:lang w:val="ru-RU"/>
        </w:rPr>
        <w:tab/>
        <w:t>В соответствии с 73-й и 74-й поправками к Конституции Индии правительства штатов имеют право создавать в штатах местные органы власти (панчаяты) трех уровней:  муниципалитеты (городской уровень), зилла паришады (промежуточный уровень) и собственно панчаяты (деревенский уровень) для решения местных вопросов.  За некоторыми исключениями, такие учреждения были созданы во всех штатах.</w:t>
      </w:r>
    </w:p>
  </w:footnote>
  <w:footnote w:id="57">
    <w:p w:rsidR="00000000" w:rsidRDefault="00000000">
      <w:pPr>
        <w:pStyle w:val="FootnoteText"/>
        <w:rPr>
          <w:szCs w:val="18"/>
          <w:lang w:val="ru-RU"/>
        </w:rPr>
      </w:pPr>
      <w:r>
        <w:rPr>
          <w:rStyle w:val="FootnoteReference"/>
          <w:sz w:val="18"/>
          <w:szCs w:val="18"/>
          <w:lang w:val="ru-RU"/>
        </w:rPr>
        <w:t>56</w:t>
      </w:r>
      <w:r>
        <w:rPr>
          <w:szCs w:val="18"/>
          <w:lang w:val="ru-RU"/>
        </w:rPr>
        <w:t xml:space="preserve"> </w:t>
      </w:r>
      <w:r>
        <w:rPr>
          <w:szCs w:val="18"/>
          <w:lang w:val="ru-RU"/>
        </w:rPr>
        <w:tab/>
        <w:t>В 2001 году ИРЧП был рассчитан лишь по 15 крупным штатам, по которым имелись некоторые данные, в том числе результаты переписи населения 2001 года.</w:t>
      </w:r>
    </w:p>
  </w:footnote>
  <w:footnote w:id="58">
    <w:p w:rsidR="00000000" w:rsidRDefault="00000000">
      <w:pPr>
        <w:pStyle w:val="FootnoteText"/>
        <w:rPr>
          <w:szCs w:val="18"/>
          <w:lang w:val="ru-RU"/>
        </w:rPr>
      </w:pPr>
      <w:r>
        <w:rPr>
          <w:rStyle w:val="FootnoteReference"/>
          <w:sz w:val="18"/>
          <w:szCs w:val="18"/>
          <w:lang w:val="en-US"/>
        </w:rPr>
        <w:t>57</w:t>
      </w:r>
      <w:r>
        <w:rPr>
          <w:szCs w:val="18"/>
          <w:lang w:val="en-US"/>
        </w:rPr>
        <w:t xml:space="preserve"> </w:t>
      </w:r>
      <w:r>
        <w:rPr>
          <w:szCs w:val="18"/>
          <w:lang w:val="en-US"/>
        </w:rPr>
        <w:tab/>
        <w:t>NSSO Report 484: Household Consumer Expenditure and Employment –</w:t>
      </w:r>
      <w:r>
        <w:rPr>
          <w:szCs w:val="18"/>
          <w:lang w:val="ru-RU"/>
        </w:rPr>
        <w:t xml:space="preserve"> </w:t>
      </w:r>
      <w:r>
        <w:rPr>
          <w:szCs w:val="18"/>
          <w:lang w:val="en-US"/>
        </w:rPr>
        <w:t xml:space="preserve">Unemployment Situation in India. </w:t>
      </w:r>
      <w:r>
        <w:rPr>
          <w:szCs w:val="18"/>
          <w:lang w:val="ru-RU"/>
        </w:rPr>
        <w:t>(</w:t>
      </w:r>
      <w:r>
        <w:rPr>
          <w:szCs w:val="18"/>
          <w:lang w:val="en-US"/>
        </w:rPr>
        <w:t>July</w:t>
      </w:r>
      <w:r>
        <w:rPr>
          <w:szCs w:val="18"/>
          <w:lang w:val="ru-RU"/>
        </w:rPr>
        <w:t xml:space="preserve">- </w:t>
      </w:r>
      <w:r>
        <w:rPr>
          <w:szCs w:val="18"/>
          <w:lang w:val="en-US"/>
        </w:rPr>
        <w:t>Dec</w:t>
      </w:r>
      <w:r>
        <w:rPr>
          <w:szCs w:val="18"/>
          <w:lang w:val="ru-RU"/>
        </w:rPr>
        <w:t xml:space="preserve"> 2002).</w:t>
      </w:r>
    </w:p>
  </w:footnote>
  <w:footnote w:id="59">
    <w:p w:rsidR="00000000" w:rsidRDefault="00000000">
      <w:pPr>
        <w:pStyle w:val="FootnoteText"/>
        <w:rPr>
          <w:szCs w:val="18"/>
          <w:lang w:val="ru-RU"/>
        </w:rPr>
      </w:pPr>
      <w:r>
        <w:rPr>
          <w:rStyle w:val="FootnoteReference"/>
          <w:sz w:val="18"/>
          <w:szCs w:val="18"/>
          <w:lang w:val="ru-RU"/>
        </w:rPr>
        <w:t>58</w:t>
      </w:r>
      <w:r>
        <w:rPr>
          <w:szCs w:val="18"/>
          <w:lang w:val="ru-RU"/>
        </w:rPr>
        <w:t xml:space="preserve"> </w:t>
      </w:r>
      <w:r>
        <w:rPr>
          <w:szCs w:val="18"/>
          <w:lang w:val="ru-RU"/>
        </w:rPr>
        <w:tab/>
        <w:t>Потребительская единица – это коэффициент эквивалентности обычного человека с учетом половозрастной структуры населения.</w:t>
      </w:r>
    </w:p>
  </w:footnote>
  <w:footnote w:id="60">
    <w:p w:rsidR="00000000" w:rsidRDefault="00000000">
      <w:pPr>
        <w:pStyle w:val="FootnoteText"/>
        <w:rPr>
          <w:szCs w:val="18"/>
          <w:lang w:val="ru-RU"/>
        </w:rPr>
      </w:pPr>
      <w:r>
        <w:rPr>
          <w:rStyle w:val="FootnoteReference"/>
          <w:sz w:val="18"/>
          <w:szCs w:val="18"/>
          <w:lang w:val="ru-RU"/>
        </w:rPr>
        <w:t>59</w:t>
      </w:r>
      <w:r>
        <w:rPr>
          <w:szCs w:val="18"/>
          <w:lang w:val="ru-RU"/>
        </w:rPr>
        <w:t xml:space="preserve"> </w:t>
      </w:r>
      <w:r>
        <w:rPr>
          <w:szCs w:val="18"/>
          <w:lang w:val="ru-RU"/>
        </w:rPr>
        <w:tab/>
        <w:t xml:space="preserve">Этот термин обозначает метод хранения продовольственного зерна на открытом воздухе с принятием необходимых мер предосторожности, таких как строительство площадок с твердым покрытием, защищающих от крыс и влаги, использование подстилочного материала и покрытие штабелей специально разработанной полиэтиленовой пленкой.  </w:t>
      </w:r>
    </w:p>
  </w:footnote>
  <w:footnote w:id="61">
    <w:p w:rsidR="00000000" w:rsidRDefault="00000000">
      <w:pPr>
        <w:pStyle w:val="FootnoteText"/>
        <w:spacing w:after="60"/>
        <w:rPr>
          <w:szCs w:val="18"/>
        </w:rPr>
      </w:pPr>
      <w:r>
        <w:rPr>
          <w:rStyle w:val="FootnoteReference"/>
          <w:sz w:val="18"/>
          <w:szCs w:val="18"/>
          <w:lang w:val="ru-RU"/>
        </w:rPr>
        <w:t>60</w:t>
      </w:r>
      <w:r>
        <w:rPr>
          <w:szCs w:val="18"/>
          <w:lang w:val="ru-RU"/>
        </w:rPr>
        <w:t xml:space="preserve"> </w:t>
      </w:r>
      <w:r>
        <w:rPr>
          <w:szCs w:val="18"/>
          <w:lang w:val="ru-RU"/>
        </w:rPr>
        <w:tab/>
        <w:t>Продовольственная корпорация Индии поставляет продовольственное зерно по ценам, установленным для семей, живущих за чертой бедности.  Головным учрежд</w:t>
      </w:r>
      <w:r>
        <w:rPr>
          <w:szCs w:val="18"/>
        </w:rPr>
        <w:t>ением, отвечающим за осуществление этой программы, является департамент по делам развития женщин и детей.</w:t>
      </w:r>
    </w:p>
  </w:footnote>
  <w:footnote w:id="62">
    <w:p w:rsidR="00000000" w:rsidRDefault="00000000">
      <w:pPr>
        <w:pStyle w:val="FootnoteText"/>
        <w:rPr>
          <w:szCs w:val="18"/>
          <w:lang w:val="ru-RU"/>
        </w:rPr>
      </w:pPr>
      <w:r>
        <w:rPr>
          <w:rStyle w:val="FootnoteReference"/>
          <w:sz w:val="18"/>
          <w:szCs w:val="18"/>
          <w:lang w:val="ru-RU"/>
        </w:rPr>
        <w:t>61</w:t>
      </w:r>
      <w:r>
        <w:rPr>
          <w:szCs w:val="18"/>
          <w:lang w:val="ru-RU"/>
        </w:rPr>
        <w:t xml:space="preserve"> </w:t>
      </w:r>
      <w:r>
        <w:rPr>
          <w:szCs w:val="18"/>
          <w:lang w:val="ru-RU"/>
        </w:rPr>
        <w:tab/>
        <w:t>Частично финансирование этой программы осуществляет Министерство социальной справедливости и расширения прав и возможностей.</w:t>
      </w:r>
    </w:p>
  </w:footnote>
  <w:footnote w:id="63">
    <w:p w:rsidR="00000000" w:rsidRDefault="00000000">
      <w:pPr>
        <w:pStyle w:val="FootnoteText"/>
        <w:rPr>
          <w:szCs w:val="18"/>
          <w:lang w:val="ru-RU"/>
        </w:rPr>
      </w:pPr>
      <w:r>
        <w:rPr>
          <w:rStyle w:val="FootnoteReference"/>
          <w:sz w:val="18"/>
          <w:szCs w:val="18"/>
          <w:lang w:val="ru-RU"/>
        </w:rPr>
        <w:t>62</w:t>
      </w:r>
      <w:r>
        <w:rPr>
          <w:szCs w:val="18"/>
          <w:lang w:val="ru-RU"/>
        </w:rPr>
        <w:t xml:space="preserve"> </w:t>
      </w:r>
      <w:r>
        <w:rPr>
          <w:szCs w:val="18"/>
          <w:lang w:val="ru-RU"/>
        </w:rPr>
        <w:tab/>
        <w:t xml:space="preserve">Стены и крыши строения типа "катча" сооружаются из глины, бамбука, травы, листьев, тростника, соломы или необожженного кирпича. </w:t>
      </w:r>
    </w:p>
    <w:p w:rsidR="00000000" w:rsidRDefault="00000000">
      <w:pPr>
        <w:pStyle w:val="FootnoteText"/>
        <w:rPr>
          <w:szCs w:val="18"/>
        </w:rPr>
      </w:pPr>
      <w:r>
        <w:rPr>
          <w:szCs w:val="18"/>
        </w:rPr>
        <w:t>Стены и крыша строения типа "пукка" сооружаются из обожженного кирпича, камня, цемента, бетона, фанеры и древесины.  Материалами для крыш строений "пукка" считаются черепица, листы из гальванизированной жести или асбестного цемента.</w:t>
      </w:r>
    </w:p>
    <w:p w:rsidR="00000000" w:rsidRDefault="00000000">
      <w:pPr>
        <w:pStyle w:val="FootnoteText"/>
        <w:spacing w:before="40"/>
        <w:rPr>
          <w:szCs w:val="18"/>
        </w:rPr>
      </w:pPr>
      <w:r>
        <w:rPr>
          <w:szCs w:val="18"/>
        </w:rPr>
        <w:t>"Полупукка" – это строение, у которого либо крыша, либо стены, но не крыша и стены вместе, изготовлены из материалов "пукка", таких как обожженный кирпич, камень, цемент, бетон или древесина.</w:t>
      </w:r>
    </w:p>
  </w:footnote>
  <w:footnote w:id="64">
    <w:p w:rsidR="00000000" w:rsidRDefault="00000000">
      <w:pPr>
        <w:pStyle w:val="FootnoteText"/>
        <w:spacing w:before="40"/>
        <w:rPr>
          <w:szCs w:val="18"/>
          <w:lang w:val="ru-RU"/>
        </w:rPr>
      </w:pPr>
      <w:r>
        <w:rPr>
          <w:rStyle w:val="FootnoteReference"/>
          <w:sz w:val="18"/>
          <w:szCs w:val="18"/>
          <w:lang w:val="ru-RU"/>
        </w:rPr>
        <w:t>63</w:t>
      </w:r>
      <w:r>
        <w:rPr>
          <w:szCs w:val="18"/>
          <w:lang w:val="ru-RU"/>
        </w:rPr>
        <w:t xml:space="preserve"> </w:t>
      </w:r>
      <w:r>
        <w:rPr>
          <w:szCs w:val="18"/>
          <w:lang w:val="ru-RU"/>
        </w:rPr>
        <w:tab/>
        <w:t>Под "трущобой" понимается компактное поселение, состоящее из ветхих жилищ, в основном временных, где вместе проживает много людей и где, как правило, нет надлежащих санитарных удобств и питьевой воды при отсутствии гигиены.</w:t>
      </w:r>
    </w:p>
  </w:footnote>
  <w:footnote w:id="65">
    <w:p w:rsidR="00000000" w:rsidRDefault="00000000">
      <w:pPr>
        <w:pStyle w:val="FootnoteText"/>
        <w:spacing w:before="40"/>
        <w:rPr>
          <w:szCs w:val="18"/>
          <w:lang w:val="ru-RU"/>
        </w:rPr>
      </w:pPr>
      <w:r>
        <w:rPr>
          <w:rStyle w:val="FootnoteReference"/>
          <w:sz w:val="18"/>
          <w:szCs w:val="18"/>
          <w:lang w:val="ru-RU"/>
        </w:rPr>
        <w:t>64</w:t>
      </w:r>
      <w:r>
        <w:rPr>
          <w:szCs w:val="18"/>
          <w:lang w:val="ru-RU"/>
        </w:rPr>
        <w:t xml:space="preserve"> </w:t>
      </w:r>
      <w:r>
        <w:rPr>
          <w:szCs w:val="18"/>
          <w:lang w:val="ru-RU"/>
        </w:rPr>
        <w:tab/>
        <w:t xml:space="preserve">Районы, признанные трущобами соответствующими муниципалитетами, корпорациями, местными органами или органами, занимающимися вопросами развития, рассматривались как районы, признанные трущобами.  </w:t>
      </w:r>
    </w:p>
  </w:footnote>
  <w:footnote w:id="66">
    <w:p w:rsidR="00000000" w:rsidRDefault="00000000">
      <w:pPr>
        <w:pStyle w:val="FootnoteText"/>
        <w:rPr>
          <w:szCs w:val="18"/>
          <w:lang w:val="ru-RU"/>
        </w:rPr>
      </w:pPr>
      <w:r>
        <w:rPr>
          <w:rStyle w:val="FootnoteReference"/>
          <w:sz w:val="18"/>
          <w:szCs w:val="18"/>
          <w:lang w:val="ru-RU"/>
        </w:rPr>
        <w:t>65</w:t>
      </w:r>
      <w:r>
        <w:rPr>
          <w:szCs w:val="18"/>
          <w:lang w:val="ru-RU"/>
        </w:rPr>
        <w:t xml:space="preserve">  </w:t>
      </w:r>
      <w:r>
        <w:rPr>
          <w:szCs w:val="18"/>
          <w:lang w:val="ru-RU"/>
        </w:rPr>
        <w:tab/>
      </w:r>
      <w:r>
        <w:rPr>
          <w:szCs w:val="18"/>
          <w:lang w:val="en-US"/>
        </w:rPr>
        <w:t>AIR</w:t>
      </w:r>
      <w:r>
        <w:rPr>
          <w:szCs w:val="18"/>
          <w:lang w:val="ru-RU"/>
        </w:rPr>
        <w:t xml:space="preserve"> 1996 </w:t>
      </w:r>
      <w:r>
        <w:rPr>
          <w:szCs w:val="18"/>
          <w:lang w:val="en-US"/>
        </w:rPr>
        <w:t>SC</w:t>
      </w:r>
      <w:r>
        <w:rPr>
          <w:szCs w:val="18"/>
          <w:lang w:val="ru-RU"/>
        </w:rPr>
        <w:t xml:space="preserve"> 1051.</w:t>
      </w:r>
    </w:p>
  </w:footnote>
  <w:footnote w:id="67">
    <w:p w:rsidR="00000000" w:rsidRDefault="00000000">
      <w:pPr>
        <w:pStyle w:val="FootnoteText"/>
        <w:rPr>
          <w:szCs w:val="18"/>
          <w:lang w:val="ru-RU"/>
        </w:rPr>
      </w:pPr>
      <w:r>
        <w:rPr>
          <w:rStyle w:val="FootnoteReference"/>
          <w:sz w:val="18"/>
          <w:szCs w:val="18"/>
          <w:lang w:val="ru-RU"/>
        </w:rPr>
        <w:t>66</w:t>
      </w:r>
      <w:r>
        <w:rPr>
          <w:szCs w:val="18"/>
          <w:lang w:val="ru-RU"/>
        </w:rPr>
        <w:t xml:space="preserve"> </w:t>
      </w:r>
      <w:r>
        <w:rPr>
          <w:szCs w:val="18"/>
          <w:lang w:val="ru-RU"/>
        </w:rPr>
        <w:tab/>
        <w:t>(</w:t>
      </w:r>
      <w:r>
        <w:rPr>
          <w:szCs w:val="18"/>
          <w:u w:val="single"/>
          <w:lang w:val="ru-RU"/>
        </w:rPr>
        <w:t>Правительственный пресс-релиз 3/2002 от 4 апреля 2002</w:t>
      </w:r>
      <w:r>
        <w:rPr>
          <w:szCs w:val="18"/>
          <w:u w:val="single"/>
        </w:rPr>
        <w:t> </w:t>
      </w:r>
      <w:r>
        <w:rPr>
          <w:szCs w:val="18"/>
          <w:u w:val="single"/>
          <w:lang w:val="ru-RU"/>
        </w:rPr>
        <w:t>года</w:t>
      </w:r>
      <w:r>
        <w:rPr>
          <w:szCs w:val="18"/>
          <w:lang w:val="ru-RU"/>
        </w:rPr>
        <w:t>).</w:t>
      </w:r>
    </w:p>
  </w:footnote>
  <w:footnote w:id="68">
    <w:p w:rsidR="00000000" w:rsidRDefault="00000000">
      <w:pPr>
        <w:pStyle w:val="FootnoteText"/>
        <w:rPr>
          <w:szCs w:val="18"/>
          <w:lang w:val="en-US"/>
        </w:rPr>
      </w:pPr>
      <w:r>
        <w:rPr>
          <w:rStyle w:val="FootnoteReference"/>
          <w:sz w:val="18"/>
          <w:szCs w:val="18"/>
          <w:lang w:val="en-US"/>
        </w:rPr>
        <w:t>67</w:t>
      </w:r>
      <w:r>
        <w:rPr>
          <w:szCs w:val="18"/>
          <w:lang w:val="en-US"/>
        </w:rPr>
        <w:t xml:space="preserve"> </w:t>
      </w:r>
      <w:r>
        <w:rPr>
          <w:szCs w:val="18"/>
          <w:lang w:val="en-US"/>
        </w:rPr>
        <w:tab/>
      </w:r>
      <w:r>
        <w:rPr>
          <w:i/>
          <w:iCs/>
          <w:szCs w:val="18"/>
          <w:lang w:val="en-US"/>
        </w:rPr>
        <w:t>Olga Tellis v. Bombay Municipal Corporation</w:t>
      </w:r>
      <w:r>
        <w:rPr>
          <w:szCs w:val="18"/>
          <w:lang w:val="en-US"/>
        </w:rPr>
        <w:t xml:space="preserve"> AIR 1986 SC 180.</w:t>
      </w:r>
    </w:p>
  </w:footnote>
  <w:footnote w:id="69">
    <w:p w:rsidR="00000000" w:rsidRDefault="00000000">
      <w:pPr>
        <w:pStyle w:val="FootnoteText"/>
        <w:spacing w:after="60"/>
        <w:rPr>
          <w:szCs w:val="18"/>
          <w:lang w:val="en-US"/>
        </w:rPr>
      </w:pPr>
      <w:r>
        <w:rPr>
          <w:rStyle w:val="FootnoteReference"/>
          <w:sz w:val="18"/>
          <w:szCs w:val="18"/>
          <w:lang w:val="en-US"/>
        </w:rPr>
        <w:t>68</w:t>
      </w:r>
      <w:r>
        <w:rPr>
          <w:szCs w:val="18"/>
          <w:lang w:val="en-US"/>
        </w:rPr>
        <w:t xml:space="preserve"> </w:t>
      </w:r>
      <w:r>
        <w:rPr>
          <w:szCs w:val="18"/>
          <w:lang w:val="en-US"/>
        </w:rPr>
        <w:tab/>
      </w:r>
      <w:r>
        <w:rPr>
          <w:i/>
          <w:iCs/>
          <w:szCs w:val="18"/>
          <w:lang w:val="en-US"/>
        </w:rPr>
        <w:t>State of Punjab v. Mahinder Singh Chawla</w:t>
      </w:r>
      <w:r>
        <w:rPr>
          <w:szCs w:val="18"/>
          <w:lang w:val="en-US"/>
        </w:rPr>
        <w:t xml:space="preserve">, AIR 1997 SC 1225; </w:t>
      </w:r>
      <w:r>
        <w:rPr>
          <w:i/>
          <w:iCs/>
          <w:szCs w:val="18"/>
          <w:lang w:val="en-US"/>
        </w:rPr>
        <w:t>Paschim Banga Khel Mazdoor Society v. State of West Bengal</w:t>
      </w:r>
      <w:r>
        <w:rPr>
          <w:szCs w:val="18"/>
          <w:lang w:val="en-US"/>
        </w:rPr>
        <w:t xml:space="preserve">, AIR 1996 SC 2426, </w:t>
      </w:r>
      <w:r>
        <w:rPr>
          <w:i/>
          <w:iCs/>
          <w:szCs w:val="18"/>
          <w:lang w:val="en-US"/>
        </w:rPr>
        <w:t>State of Punjab v. Ram Lubhaya Bagga</w:t>
      </w:r>
      <w:r>
        <w:rPr>
          <w:szCs w:val="18"/>
          <w:lang w:val="en-US"/>
        </w:rPr>
        <w:t>, AIR 1998 SC 1703.</w:t>
      </w:r>
    </w:p>
  </w:footnote>
  <w:footnote w:id="70">
    <w:p w:rsidR="00000000" w:rsidRDefault="00000000">
      <w:pPr>
        <w:pStyle w:val="FootnoteText"/>
        <w:rPr>
          <w:szCs w:val="18"/>
          <w:lang w:val="de-DE"/>
        </w:rPr>
      </w:pPr>
      <w:r>
        <w:rPr>
          <w:rStyle w:val="FootnoteReference"/>
          <w:sz w:val="18"/>
          <w:szCs w:val="18"/>
          <w:lang w:val="de-DE"/>
        </w:rPr>
        <w:t>69</w:t>
      </w:r>
      <w:r>
        <w:rPr>
          <w:b/>
          <w:szCs w:val="18"/>
          <w:lang w:val="de-DE"/>
        </w:rPr>
        <w:t xml:space="preserve"> </w:t>
      </w:r>
      <w:r>
        <w:rPr>
          <w:b/>
          <w:szCs w:val="18"/>
          <w:lang w:val="de-DE"/>
        </w:rPr>
        <w:tab/>
      </w:r>
      <w:r>
        <w:rPr>
          <w:i/>
          <w:iCs/>
          <w:szCs w:val="18"/>
          <w:lang w:val="de-DE"/>
        </w:rPr>
        <w:t>M.C. Mehta v. Kamal Nath</w:t>
      </w:r>
      <w:r>
        <w:rPr>
          <w:szCs w:val="18"/>
          <w:lang w:val="de-DE"/>
        </w:rPr>
        <w:t xml:space="preserve"> (1997) 1 SCC 388.</w:t>
      </w:r>
    </w:p>
  </w:footnote>
  <w:footnote w:id="71">
    <w:p w:rsidR="00000000" w:rsidRDefault="00000000">
      <w:pPr>
        <w:pStyle w:val="FootnoteText"/>
        <w:rPr>
          <w:spacing w:val="-2"/>
          <w:szCs w:val="18"/>
          <w:lang w:val="en-US"/>
        </w:rPr>
      </w:pPr>
      <w:r>
        <w:rPr>
          <w:rStyle w:val="FootnoteReference"/>
          <w:sz w:val="18"/>
          <w:szCs w:val="18"/>
          <w:lang w:val="en-US"/>
        </w:rPr>
        <w:t>70</w:t>
      </w:r>
      <w:r>
        <w:rPr>
          <w:szCs w:val="18"/>
          <w:lang w:val="en-US"/>
        </w:rPr>
        <w:t xml:space="preserve"> </w:t>
      </w:r>
      <w:r>
        <w:rPr>
          <w:szCs w:val="18"/>
          <w:lang w:val="en-US"/>
        </w:rPr>
        <w:tab/>
      </w:r>
      <w:r>
        <w:rPr>
          <w:i/>
          <w:iCs/>
          <w:spacing w:val="-2"/>
          <w:szCs w:val="18"/>
          <w:lang w:val="en-US"/>
        </w:rPr>
        <w:t>Indian Council For Enviro-Legal Action v Union of India</w:t>
      </w:r>
      <w:r>
        <w:rPr>
          <w:spacing w:val="-2"/>
          <w:szCs w:val="18"/>
          <w:lang w:val="en-US"/>
        </w:rPr>
        <w:t xml:space="preserve">, AIR  1996 SC 1446, M.C. </w:t>
      </w:r>
      <w:r>
        <w:rPr>
          <w:i/>
          <w:iCs/>
          <w:spacing w:val="-2"/>
          <w:szCs w:val="18"/>
          <w:lang w:val="en-US"/>
        </w:rPr>
        <w:t>Mehta v. Union of India</w:t>
      </w:r>
      <w:r>
        <w:rPr>
          <w:spacing w:val="-2"/>
          <w:szCs w:val="18"/>
          <w:lang w:val="en-US"/>
        </w:rPr>
        <w:t>, [1997] 3 SCC 715.</w:t>
      </w:r>
    </w:p>
  </w:footnote>
  <w:footnote w:id="72">
    <w:p w:rsidR="00000000" w:rsidRDefault="00000000">
      <w:pPr>
        <w:pStyle w:val="FootnoteText"/>
        <w:spacing w:before="60"/>
        <w:rPr>
          <w:szCs w:val="18"/>
          <w:lang w:val="en-US"/>
        </w:rPr>
      </w:pPr>
      <w:r>
        <w:rPr>
          <w:rStyle w:val="FootnoteReference"/>
          <w:sz w:val="18"/>
          <w:szCs w:val="18"/>
          <w:lang w:val="en-US"/>
        </w:rPr>
        <w:t>71</w:t>
      </w:r>
      <w:r>
        <w:rPr>
          <w:szCs w:val="18"/>
          <w:lang w:val="en-US"/>
        </w:rPr>
        <w:t xml:space="preserve"> </w:t>
      </w:r>
      <w:r>
        <w:rPr>
          <w:szCs w:val="18"/>
          <w:lang w:val="en-US"/>
        </w:rPr>
        <w:tab/>
      </w:r>
      <w:r>
        <w:rPr>
          <w:i/>
          <w:iCs/>
          <w:szCs w:val="18"/>
          <w:lang w:val="en-US"/>
        </w:rPr>
        <w:t>Subash Kumar v. State of Bihar</w:t>
      </w:r>
      <w:r>
        <w:rPr>
          <w:szCs w:val="18"/>
          <w:lang w:val="en-US"/>
        </w:rPr>
        <w:t>, AIR 1991 SC 420.</w:t>
      </w:r>
    </w:p>
  </w:footnote>
  <w:footnote w:id="73">
    <w:p w:rsidR="00000000" w:rsidRDefault="00000000">
      <w:pPr>
        <w:pStyle w:val="FootnoteText"/>
        <w:spacing w:before="60"/>
        <w:rPr>
          <w:szCs w:val="18"/>
          <w:lang w:val="en-US"/>
        </w:rPr>
      </w:pPr>
      <w:r>
        <w:rPr>
          <w:rStyle w:val="FootnoteReference"/>
          <w:sz w:val="18"/>
          <w:szCs w:val="18"/>
          <w:lang w:val="en-US"/>
        </w:rPr>
        <w:t>72</w:t>
      </w:r>
      <w:r>
        <w:rPr>
          <w:szCs w:val="18"/>
          <w:lang w:val="en-US"/>
        </w:rPr>
        <w:t xml:space="preserve"> </w:t>
      </w:r>
      <w:r>
        <w:rPr>
          <w:szCs w:val="18"/>
          <w:lang w:val="en-US"/>
        </w:rPr>
        <w:tab/>
      </w:r>
      <w:r>
        <w:rPr>
          <w:i/>
          <w:iCs/>
          <w:szCs w:val="18"/>
          <w:lang w:val="en-US"/>
        </w:rPr>
        <w:t>Murli S. Deora v. Union of India</w:t>
      </w:r>
      <w:r>
        <w:rPr>
          <w:szCs w:val="18"/>
          <w:lang w:val="en-US"/>
        </w:rPr>
        <w:t>, AIR 2002 SC 40.</w:t>
      </w:r>
    </w:p>
  </w:footnote>
  <w:footnote w:id="74">
    <w:p w:rsidR="00000000" w:rsidRDefault="00000000">
      <w:pPr>
        <w:pStyle w:val="FootnoteText"/>
        <w:rPr>
          <w:szCs w:val="18"/>
          <w:lang w:val="ru-RU"/>
        </w:rPr>
      </w:pPr>
      <w:r>
        <w:rPr>
          <w:rStyle w:val="FootnoteReference"/>
          <w:sz w:val="18"/>
          <w:szCs w:val="18"/>
          <w:lang w:val="en-US"/>
        </w:rPr>
        <w:t>73</w:t>
      </w:r>
      <w:r>
        <w:rPr>
          <w:szCs w:val="18"/>
          <w:lang w:val="en-US"/>
        </w:rPr>
        <w:t xml:space="preserve"> </w:t>
      </w:r>
      <w:r>
        <w:rPr>
          <w:szCs w:val="18"/>
          <w:lang w:val="en-US"/>
        </w:rPr>
        <w:tab/>
      </w:r>
      <w:r>
        <w:rPr>
          <w:i/>
          <w:iCs/>
          <w:szCs w:val="18"/>
          <w:lang w:val="en-US"/>
        </w:rPr>
        <w:t>Common Cause v. Union of India,   AIR 1996 SC 929</w:t>
      </w:r>
      <w:r>
        <w:rPr>
          <w:i/>
          <w:iCs/>
          <w:szCs w:val="18"/>
          <w:lang w:val="ru-RU"/>
        </w:rPr>
        <w:t>.</w:t>
      </w:r>
    </w:p>
  </w:footnote>
  <w:footnote w:id="75">
    <w:p w:rsidR="00000000" w:rsidRDefault="00000000">
      <w:pPr>
        <w:pStyle w:val="FootnoteText"/>
        <w:rPr>
          <w:szCs w:val="18"/>
          <w:lang w:val="ru-RU"/>
        </w:rPr>
      </w:pPr>
      <w:r>
        <w:rPr>
          <w:rStyle w:val="FootnoteReference"/>
          <w:sz w:val="18"/>
          <w:szCs w:val="18"/>
          <w:lang w:val="ru-RU"/>
        </w:rPr>
        <w:t>74</w:t>
      </w:r>
      <w:r>
        <w:rPr>
          <w:szCs w:val="18"/>
          <w:lang w:val="ru-RU"/>
        </w:rPr>
        <w:t xml:space="preserve"> </w:t>
      </w:r>
      <w:r>
        <w:rPr>
          <w:szCs w:val="18"/>
          <w:lang w:val="ru-RU"/>
        </w:rPr>
        <w:tab/>
        <w:t xml:space="preserve">Этический кодекс подготовил состоявший из 28 членов комитет под руководством бывшего Главного судьи Индии. </w:t>
      </w:r>
    </w:p>
  </w:footnote>
  <w:footnote w:id="76">
    <w:p w:rsidR="00000000" w:rsidRDefault="00000000">
      <w:pPr>
        <w:pStyle w:val="FootnoteText"/>
        <w:rPr>
          <w:szCs w:val="18"/>
          <w:lang w:val="ru-RU"/>
        </w:rPr>
      </w:pPr>
      <w:r>
        <w:rPr>
          <w:rStyle w:val="FootnoteReference"/>
          <w:sz w:val="18"/>
          <w:szCs w:val="18"/>
          <w:lang w:val="ru-RU"/>
        </w:rPr>
        <w:t>75</w:t>
      </w:r>
      <w:r>
        <w:rPr>
          <w:szCs w:val="18"/>
          <w:lang w:val="ru-RU"/>
        </w:rPr>
        <w:t xml:space="preserve"> </w:t>
      </w:r>
      <w:r>
        <w:rPr>
          <w:szCs w:val="18"/>
          <w:lang w:val="ru-RU"/>
        </w:rPr>
        <w:tab/>
      </w:r>
      <w:r>
        <w:rPr>
          <w:szCs w:val="18"/>
          <w:lang w:val="en-US"/>
        </w:rPr>
        <w:t>E</w:t>
      </w:r>
      <w:r>
        <w:rPr>
          <w:szCs w:val="18"/>
          <w:lang w:val="ru-RU"/>
        </w:rPr>
        <w:t>/1988/5/</w:t>
      </w:r>
      <w:r>
        <w:rPr>
          <w:szCs w:val="18"/>
          <w:lang w:val="en-US"/>
        </w:rPr>
        <w:t>Add</w:t>
      </w:r>
      <w:r>
        <w:rPr>
          <w:szCs w:val="18"/>
          <w:lang w:val="ru-RU"/>
        </w:rPr>
        <w:t>.5, пункты 1–24.</w:t>
      </w:r>
    </w:p>
  </w:footnote>
  <w:footnote w:id="77">
    <w:p w:rsidR="00000000" w:rsidRDefault="00000000">
      <w:pPr>
        <w:pStyle w:val="FootnoteText"/>
        <w:spacing w:before="40"/>
        <w:rPr>
          <w:lang w:val="ru-RU"/>
        </w:rPr>
      </w:pPr>
      <w:r>
        <w:rPr>
          <w:rStyle w:val="FootnoteReference"/>
          <w:sz w:val="18"/>
          <w:szCs w:val="18"/>
          <w:lang w:val="ru-RU"/>
        </w:rPr>
        <w:t>76</w:t>
      </w:r>
      <w:r>
        <w:rPr>
          <w:lang w:val="ru-RU"/>
        </w:rPr>
        <w:t xml:space="preserve"> </w:t>
      </w:r>
      <w:r>
        <w:rPr>
          <w:lang w:val="ru-RU"/>
        </w:rPr>
        <w:tab/>
        <w:t xml:space="preserve">Статья 29 1) гарантирует любой группе граждан страны, живущих в любой части Индии, имеющих свой язык, письменность или культуру, право на их сохранение – языка, письменности или культуры. Община представителей меньшинства может сохранять свой язык, письменность или культуру при помощи или при посредстве образовательных учреждений.  Это право гарантируется им статьей 30 1), в которой говорится, что меньшинства, будь то религиозные или языковые, имеют право создавать и иметь образовательные учреждения по своему усмотрению.  Это право далее защищается статьей 30 2), которая запрещает государству при выделении помощи образовательным учреждениям дискриминировать какие-либо образовательные учреждения на тех основаниях, что они находятся под управлением меньшинств, будь то религиозных или языковых.  Это право, однако, ограничивается условием пункта 2 статьи 29, согласно которому ни один гражданин страны не может быть лишен доступа в какое-либо образовательное учреждение, руководимое государством или получающее помощь из государственных средств, на основании религии, расы, касты и языка или любого из этих факторов в отдельности.  Статья 29 касается только граждан страны, в то время как статья 30 касается как граждан, так и неграждан. </w:t>
      </w:r>
    </w:p>
  </w:footnote>
  <w:footnote w:id="78">
    <w:p w:rsidR="00000000" w:rsidRDefault="00000000">
      <w:pPr>
        <w:pStyle w:val="FootnoteText"/>
        <w:spacing w:before="40"/>
        <w:rPr>
          <w:szCs w:val="18"/>
          <w:lang w:val="ru-RU"/>
        </w:rPr>
      </w:pPr>
      <w:r>
        <w:rPr>
          <w:rStyle w:val="FootnoteReference"/>
          <w:sz w:val="18"/>
          <w:szCs w:val="18"/>
          <w:lang w:val="ru-RU"/>
        </w:rPr>
        <w:t>77</w:t>
      </w:r>
      <w:r>
        <w:rPr>
          <w:szCs w:val="18"/>
          <w:lang w:val="ru-RU"/>
        </w:rPr>
        <w:t xml:space="preserve"> </w:t>
      </w:r>
      <w:r>
        <w:rPr>
          <w:szCs w:val="18"/>
          <w:lang w:val="ru-RU"/>
        </w:rPr>
        <w:tab/>
      </w:r>
      <w:r>
        <w:rPr>
          <w:szCs w:val="18"/>
          <w:lang w:val="en-US"/>
        </w:rPr>
        <w:t>AIR</w:t>
      </w:r>
      <w:r>
        <w:rPr>
          <w:szCs w:val="18"/>
          <w:lang w:val="ru-RU"/>
        </w:rPr>
        <w:t xml:space="preserve"> 2003 </w:t>
      </w:r>
      <w:r>
        <w:rPr>
          <w:szCs w:val="18"/>
          <w:lang w:val="en-US"/>
        </w:rPr>
        <w:t>SC</w:t>
      </w:r>
      <w:r>
        <w:rPr>
          <w:szCs w:val="18"/>
          <w:lang w:val="ru-RU"/>
        </w:rPr>
        <w:t xml:space="preserve"> 355.</w:t>
      </w:r>
    </w:p>
  </w:footnote>
  <w:footnote w:id="79">
    <w:p w:rsidR="00000000" w:rsidRDefault="00000000">
      <w:pPr>
        <w:pStyle w:val="FootnoteText"/>
        <w:spacing w:before="40"/>
        <w:rPr>
          <w:szCs w:val="18"/>
          <w:lang w:val="en-US"/>
        </w:rPr>
      </w:pPr>
      <w:r>
        <w:rPr>
          <w:rStyle w:val="FootnoteReference"/>
          <w:sz w:val="18"/>
          <w:szCs w:val="18"/>
          <w:lang w:val="en-US"/>
        </w:rPr>
        <w:t>78</w:t>
      </w:r>
      <w:r>
        <w:rPr>
          <w:szCs w:val="18"/>
          <w:lang w:val="en-US"/>
        </w:rPr>
        <w:t xml:space="preserve"> </w:t>
      </w:r>
      <w:r>
        <w:rPr>
          <w:szCs w:val="18"/>
          <w:lang w:val="en-US"/>
        </w:rPr>
        <w:tab/>
      </w:r>
      <w:r>
        <w:rPr>
          <w:i/>
          <w:szCs w:val="18"/>
          <w:lang w:val="en-US"/>
        </w:rPr>
        <w:t>Unni Krishnan J. P. v. State of A.P.</w:t>
      </w:r>
      <w:r>
        <w:rPr>
          <w:szCs w:val="18"/>
          <w:lang w:val="en-US"/>
        </w:rPr>
        <w:t xml:space="preserve">, AIR 1993 SC 2178; </w:t>
      </w:r>
      <w:r>
        <w:rPr>
          <w:i/>
          <w:szCs w:val="18"/>
          <w:lang w:val="en-US"/>
        </w:rPr>
        <w:t>St. Stephen’s College v. University of Delhi</w:t>
      </w:r>
      <w:r>
        <w:rPr>
          <w:szCs w:val="18"/>
          <w:lang w:val="en-US"/>
        </w:rPr>
        <w:t xml:space="preserve">, AIR 1992 SC 1630; </w:t>
      </w:r>
      <w:r>
        <w:rPr>
          <w:szCs w:val="18"/>
          <w:lang w:val="ru-RU"/>
        </w:rPr>
        <w:br/>
      </w:r>
      <w:r>
        <w:rPr>
          <w:i/>
          <w:szCs w:val="18"/>
          <w:lang w:val="en-US"/>
        </w:rPr>
        <w:t>R. Chitralekha v. State of Mysore</w:t>
      </w:r>
      <w:r>
        <w:rPr>
          <w:szCs w:val="18"/>
          <w:lang w:val="en-US"/>
        </w:rPr>
        <w:t xml:space="preserve">, AIR 1964 SC 1823; </w:t>
      </w:r>
      <w:r>
        <w:rPr>
          <w:i/>
          <w:szCs w:val="18"/>
          <w:lang w:val="en-US"/>
        </w:rPr>
        <w:t>P. Rajendran v. State of Madras</w:t>
      </w:r>
      <w:r>
        <w:rPr>
          <w:szCs w:val="18"/>
          <w:lang w:val="en-US"/>
        </w:rPr>
        <w:t>, AIR 1968 SC 1012.</w:t>
      </w:r>
    </w:p>
  </w:footnote>
  <w:footnote w:id="80">
    <w:p w:rsidR="00000000" w:rsidRDefault="00000000">
      <w:pPr>
        <w:pStyle w:val="FootnoteText"/>
        <w:rPr>
          <w:szCs w:val="18"/>
          <w:lang w:val="ru-RU"/>
        </w:rPr>
      </w:pPr>
      <w:r>
        <w:rPr>
          <w:rStyle w:val="FootnoteReference"/>
          <w:sz w:val="18"/>
          <w:szCs w:val="18"/>
          <w:lang w:val="ru-RU"/>
        </w:rPr>
        <w:t>79</w:t>
      </w:r>
      <w:r>
        <w:rPr>
          <w:szCs w:val="18"/>
          <w:lang w:val="ru-RU"/>
        </w:rPr>
        <w:t xml:space="preserve"> </w:t>
      </w:r>
      <w:r>
        <w:rPr>
          <w:szCs w:val="18"/>
          <w:lang w:val="ru-RU"/>
        </w:rPr>
        <w:tab/>
        <w:t>Территориальные объединения выбирались на основании различных показателей, таких как низкий уровень грамотности женщин, существование детского труда, сконцентрированное проживание представителей внесенных в списки каст и племен.</w:t>
      </w:r>
    </w:p>
  </w:footnote>
  <w:footnote w:id="81">
    <w:p w:rsidR="00000000" w:rsidRDefault="00000000">
      <w:pPr>
        <w:pStyle w:val="FootnoteText"/>
        <w:rPr>
          <w:szCs w:val="18"/>
          <w:lang w:val="ru-RU"/>
        </w:rPr>
      </w:pPr>
      <w:r>
        <w:rPr>
          <w:rStyle w:val="FootnoteReference"/>
          <w:sz w:val="18"/>
          <w:szCs w:val="18"/>
          <w:lang w:val="ru-RU"/>
        </w:rPr>
        <w:t>80</w:t>
      </w:r>
      <w:r>
        <w:rPr>
          <w:szCs w:val="18"/>
          <w:lang w:val="ru-RU"/>
        </w:rPr>
        <w:t xml:space="preserve">    Эта конституционная поправка предусматривает следующее:</w:t>
      </w:r>
    </w:p>
    <w:p w:rsidR="00000000" w:rsidRDefault="00000000">
      <w:pPr>
        <w:pStyle w:val="FootnoteText"/>
        <w:rPr>
          <w:szCs w:val="18"/>
          <w:lang w:val="ru-RU"/>
        </w:rPr>
      </w:pPr>
      <w:r>
        <w:rPr>
          <w:szCs w:val="18"/>
          <w:lang w:val="ru-RU"/>
        </w:rPr>
        <w:tab/>
        <w:t>Задача обеспечения обязательного бесплатного образования для всех детей в возрасте от 6 до 14 лет переведена из категории руководящего принципа государства (который не имеет силы закона) в категорию основного права, которое закреплено в статье</w:t>
      </w:r>
      <w:r>
        <w:rPr>
          <w:szCs w:val="18"/>
        </w:rPr>
        <w:t> </w:t>
      </w:r>
      <w:r>
        <w:rPr>
          <w:szCs w:val="18"/>
          <w:lang w:val="ru-RU"/>
        </w:rPr>
        <w:t>21А Конституции.</w:t>
      </w:r>
    </w:p>
    <w:p w:rsidR="00000000" w:rsidRDefault="00000000">
      <w:pPr>
        <w:pStyle w:val="FootnoteText"/>
        <w:rPr>
          <w:szCs w:val="18"/>
          <w:lang w:val="ru-RU"/>
        </w:rPr>
      </w:pPr>
      <w:r>
        <w:rPr>
          <w:szCs w:val="18"/>
          <w:lang w:val="ru-RU"/>
        </w:rPr>
        <w:tab/>
        <w:t>Поправка конкретно предусматривает, что "государство обеспечивает обязательное бесплатное образование для всех детей в возрасте от 6 до 14 лет таким образом, как это может быть определено государством на основании закона".</w:t>
      </w:r>
    </w:p>
  </w:footnote>
  <w:footnote w:id="82">
    <w:p w:rsidR="00000000" w:rsidRDefault="00000000">
      <w:pPr>
        <w:pStyle w:val="FootnoteText"/>
        <w:spacing w:before="40"/>
        <w:rPr>
          <w:szCs w:val="18"/>
          <w:lang w:val="ru-RU"/>
        </w:rPr>
      </w:pPr>
      <w:r>
        <w:rPr>
          <w:rStyle w:val="FootnoteReference"/>
          <w:sz w:val="18"/>
          <w:szCs w:val="18"/>
          <w:lang w:val="ru-RU"/>
        </w:rPr>
        <w:t>81</w:t>
      </w:r>
      <w:r>
        <w:rPr>
          <w:szCs w:val="18"/>
          <w:lang w:val="ru-RU"/>
        </w:rPr>
        <w:t xml:space="preserve"> Этими штатами являются:  Ассам, Андхра-Прадеш, Бихар, Гуджарат, Харьяна, Джамму и Кашмир, Мадхья-Прадеш, Махараштра, Пенджаб, Раджастхан, Тамилнад, Керала и Западная Бенгалия.  Четырьмя союзными территориями являются:  Чандигарх, Дели, Пондичерри и Андаманские и Никобарские острова.</w:t>
      </w:r>
    </w:p>
  </w:footnote>
  <w:footnote w:id="83">
    <w:p w:rsidR="00000000" w:rsidRDefault="00000000">
      <w:pPr>
        <w:pStyle w:val="FootnoteText"/>
        <w:rPr>
          <w:szCs w:val="18"/>
          <w:lang w:val="ru-RU"/>
        </w:rPr>
      </w:pPr>
      <w:r>
        <w:rPr>
          <w:rStyle w:val="FootnoteReference"/>
          <w:sz w:val="18"/>
          <w:szCs w:val="18"/>
          <w:lang w:val="ru-RU"/>
        </w:rPr>
        <w:t>82</w:t>
      </w:r>
      <w:r>
        <w:rPr>
          <w:b/>
          <w:szCs w:val="18"/>
          <w:lang w:val="ru-RU"/>
        </w:rPr>
        <w:t xml:space="preserve"> </w:t>
      </w:r>
      <w:r>
        <w:rPr>
          <w:szCs w:val="18"/>
          <w:lang w:val="ru-RU"/>
        </w:rPr>
        <w:tab/>
        <w:t>Цели этой программы заключаются в следующем:</w:t>
      </w:r>
    </w:p>
    <w:p w:rsidR="00000000" w:rsidRDefault="00000000">
      <w:pPr>
        <w:pStyle w:val="FootnoteText"/>
        <w:tabs>
          <w:tab w:val="left" w:pos="600"/>
        </w:tabs>
        <w:ind w:left="600" w:hanging="600"/>
        <w:rPr>
          <w:szCs w:val="18"/>
          <w:lang w:val="ru-RU"/>
        </w:rPr>
      </w:pPr>
      <w:r>
        <w:rPr>
          <w:szCs w:val="18"/>
          <w:lang w:val="ru-RU"/>
        </w:rPr>
        <w:tab/>
        <w:t>1.</w:t>
      </w:r>
      <w:r>
        <w:rPr>
          <w:szCs w:val="18"/>
          <w:lang w:val="ru-RU"/>
        </w:rPr>
        <w:tab/>
        <w:t>к 2003 году все дети в возрасте от 6 до 14 лет должны посещать школы, центры, действующие в рамках плана гарантированного образования, или курсы по восполнению пробелов в обучении;</w:t>
      </w:r>
    </w:p>
    <w:p w:rsidR="00000000" w:rsidRDefault="00000000">
      <w:pPr>
        <w:pStyle w:val="FootnoteText"/>
        <w:tabs>
          <w:tab w:val="left" w:pos="600"/>
        </w:tabs>
        <w:ind w:left="600" w:hanging="600"/>
        <w:rPr>
          <w:szCs w:val="18"/>
          <w:lang w:val="ru-RU"/>
        </w:rPr>
      </w:pPr>
      <w:r>
        <w:rPr>
          <w:szCs w:val="18"/>
          <w:lang w:val="ru-RU"/>
        </w:rPr>
        <w:tab/>
        <w:t>2.</w:t>
      </w:r>
      <w:r>
        <w:rPr>
          <w:szCs w:val="18"/>
          <w:lang w:val="ru-RU"/>
        </w:rPr>
        <w:tab/>
        <w:t>к 2007 году все дети в возрасте от 6 до14 лет должны окончить пять классов начальной школы;</w:t>
      </w:r>
    </w:p>
    <w:p w:rsidR="00000000" w:rsidRDefault="00000000">
      <w:pPr>
        <w:pStyle w:val="FootnoteText"/>
        <w:tabs>
          <w:tab w:val="left" w:pos="600"/>
        </w:tabs>
        <w:ind w:left="600" w:hanging="600"/>
        <w:rPr>
          <w:szCs w:val="18"/>
          <w:lang w:val="ru-RU"/>
        </w:rPr>
      </w:pPr>
      <w:r>
        <w:rPr>
          <w:szCs w:val="18"/>
          <w:lang w:val="ru-RU"/>
        </w:rPr>
        <w:tab/>
        <w:t>3.</w:t>
      </w:r>
      <w:r>
        <w:rPr>
          <w:szCs w:val="18"/>
          <w:lang w:val="ru-RU"/>
        </w:rPr>
        <w:tab/>
        <w:t>к 2010 году все дети в возрасте от 6 до 14 лет должны окончить 8 классов средней школы;</w:t>
      </w:r>
    </w:p>
    <w:p w:rsidR="00000000" w:rsidRDefault="00000000">
      <w:pPr>
        <w:pStyle w:val="FootnoteText"/>
        <w:tabs>
          <w:tab w:val="left" w:pos="600"/>
        </w:tabs>
        <w:ind w:left="600" w:hanging="600"/>
        <w:rPr>
          <w:szCs w:val="18"/>
          <w:lang w:val="ru-RU"/>
        </w:rPr>
      </w:pPr>
      <w:r>
        <w:rPr>
          <w:szCs w:val="18"/>
          <w:lang w:val="ru-RU"/>
        </w:rPr>
        <w:tab/>
        <w:t>4.</w:t>
      </w:r>
      <w:r>
        <w:rPr>
          <w:szCs w:val="18"/>
          <w:lang w:val="ru-RU"/>
        </w:rPr>
        <w:tab/>
        <w:t>следует уделять повышенное внимание качеству начального образования с упором на формирование необходимых для жизни навыков.  К 2007 году необходимо ликвидировать разрыв в охвате образованием девочек и мальчиков и разных социальных групп в начальной школе младшей ступени, а к 2010 году – на уровне всей системы начального образования;</w:t>
      </w:r>
    </w:p>
    <w:p w:rsidR="00000000" w:rsidRDefault="00000000">
      <w:pPr>
        <w:pStyle w:val="FootnoteText"/>
        <w:tabs>
          <w:tab w:val="left" w:pos="600"/>
        </w:tabs>
        <w:ind w:left="600" w:hanging="600"/>
        <w:rPr>
          <w:szCs w:val="18"/>
          <w:lang w:val="ru-RU"/>
        </w:rPr>
      </w:pPr>
      <w:r>
        <w:rPr>
          <w:szCs w:val="18"/>
          <w:lang w:val="ru-RU"/>
        </w:rPr>
        <w:tab/>
        <w:t>5.</w:t>
      </w:r>
      <w:r>
        <w:rPr>
          <w:szCs w:val="18"/>
          <w:lang w:val="ru-RU"/>
        </w:rPr>
        <w:tab/>
        <w:t>к 2010 году  обеспечить всеобщий охват.</w:t>
      </w:r>
    </w:p>
  </w:footnote>
  <w:footnote w:id="84">
    <w:p w:rsidR="00000000" w:rsidRDefault="00000000">
      <w:pPr>
        <w:pStyle w:val="FootnoteText"/>
        <w:spacing w:before="40"/>
        <w:rPr>
          <w:szCs w:val="18"/>
          <w:lang w:val="ru-RU"/>
        </w:rPr>
      </w:pPr>
      <w:r>
        <w:rPr>
          <w:rStyle w:val="FootnoteReference"/>
          <w:sz w:val="18"/>
          <w:szCs w:val="18"/>
          <w:lang w:val="ru-RU"/>
        </w:rPr>
        <w:t>83</w:t>
      </w:r>
      <w:r>
        <w:rPr>
          <w:szCs w:val="18"/>
          <w:lang w:val="ru-RU"/>
        </w:rPr>
        <w:t xml:space="preserve"> </w:t>
      </w:r>
      <w:r>
        <w:rPr>
          <w:szCs w:val="18"/>
          <w:lang w:val="ru-RU"/>
        </w:rPr>
        <w:tab/>
        <w:t>РПНО – это централизованно финансируемая программа, в которой особое внимание уделяется всеобщему начальному образованию.  В ее основу положена стратегия планирования по конкретным районам с упором на децентрализованные методы управления.  Основная задача этой программы заключается в обеспечении доступности начального образования для всех детей, сокращение доли детей, покидающих школу, до менее чем 10%, повышение успеваемости в начальных классах как минимум на 25% и сокращение разрыва между мальчиками и девочками и социальными группами до менее чем 5%.  25% расходов по этому проекту (РПНО) покрывается правительством Индии и еще 15% – правительствами штатов.  Средства, выделяемые правительством в рамках программ ОДВ и РПНО, см. ежегодный доклад за 2002/03 год.</w:t>
      </w:r>
    </w:p>
  </w:footnote>
  <w:footnote w:id="85">
    <w:p w:rsidR="00000000" w:rsidRDefault="00000000">
      <w:pPr>
        <w:pStyle w:val="FootnoteText"/>
        <w:rPr>
          <w:szCs w:val="18"/>
          <w:lang w:val="ru-RU"/>
        </w:rPr>
      </w:pPr>
      <w:r>
        <w:rPr>
          <w:rStyle w:val="FootnoteReference"/>
          <w:sz w:val="18"/>
          <w:szCs w:val="18"/>
          <w:lang w:val="ru-RU"/>
        </w:rPr>
        <w:t>84</w:t>
      </w:r>
      <w:r>
        <w:rPr>
          <w:szCs w:val="18"/>
          <w:lang w:val="ru-RU"/>
        </w:rPr>
        <w:t xml:space="preserve"> </w:t>
      </w:r>
      <w:r>
        <w:rPr>
          <w:szCs w:val="18"/>
          <w:lang w:val="ru-RU"/>
        </w:rPr>
        <w:tab/>
        <w:t>"Джаншала" – это общинная программа, цель которой заключается в повышении доступности и эффективности начального образования, особенно для девочек и детей из отсталых общин, маргинальных групп, меньшинств из числа зарегистрированных (списочных) каст и племен и работающих детей.  В этой программе, которая осуществляется на уровне кварталов, основной упор делается на участие представителей общин и децентрализацию.  Программа осуществляется в 139 кварталах, в том числе в 30 районах  10 городов 9</w:t>
      </w:r>
      <w:r>
        <w:rPr>
          <w:szCs w:val="18"/>
        </w:rPr>
        <w:t> </w:t>
      </w:r>
      <w:r>
        <w:rPr>
          <w:szCs w:val="18"/>
          <w:lang w:val="ru-RU"/>
        </w:rPr>
        <w:t>штатов.  Первоначально эта программа была рассчитана лишь на пять лет, с 1998</w:t>
      </w:r>
      <w:r>
        <w:rPr>
          <w:szCs w:val="18"/>
        </w:rPr>
        <w:t> </w:t>
      </w:r>
      <w:r>
        <w:rPr>
          <w:szCs w:val="18"/>
          <w:lang w:val="ru-RU"/>
        </w:rPr>
        <w:t>года по декабрь 2002</w:t>
      </w:r>
      <w:r>
        <w:rPr>
          <w:szCs w:val="18"/>
        </w:rPr>
        <w:t> </w:t>
      </w:r>
      <w:r>
        <w:rPr>
          <w:szCs w:val="18"/>
          <w:lang w:val="ru-RU"/>
        </w:rPr>
        <w:t>года, но затем срок ее действия был продлен еще на два года до декабря 2004</w:t>
      </w:r>
      <w:r>
        <w:rPr>
          <w:szCs w:val="18"/>
        </w:rPr>
        <w:t> </w:t>
      </w:r>
      <w:r>
        <w:rPr>
          <w:szCs w:val="18"/>
          <w:lang w:val="ru-RU"/>
        </w:rPr>
        <w:t>года.</w:t>
      </w:r>
    </w:p>
  </w:footnote>
  <w:footnote w:id="86">
    <w:p w:rsidR="00000000" w:rsidRDefault="00000000">
      <w:pPr>
        <w:pStyle w:val="FootnoteText"/>
        <w:spacing w:before="40"/>
        <w:rPr>
          <w:szCs w:val="18"/>
          <w:lang w:val="ru-RU"/>
        </w:rPr>
      </w:pPr>
      <w:r>
        <w:rPr>
          <w:rStyle w:val="FootnoteReference"/>
          <w:sz w:val="18"/>
          <w:szCs w:val="18"/>
          <w:lang w:val="ru-RU"/>
        </w:rPr>
        <w:t>85</w:t>
      </w:r>
      <w:r>
        <w:rPr>
          <w:szCs w:val="18"/>
          <w:lang w:val="ru-RU"/>
        </w:rPr>
        <w:t xml:space="preserve"> </w:t>
      </w:r>
      <w:r>
        <w:rPr>
          <w:szCs w:val="18"/>
          <w:lang w:val="ru-RU"/>
        </w:rPr>
        <w:tab/>
        <w:t xml:space="preserve">Финансируемая центральным правительством поддержка по линии этой программы заключается в предоставлении детям бесплатного продовольственного зерна из расчета  </w:t>
      </w:r>
      <w:r>
        <w:rPr>
          <w:szCs w:val="18"/>
          <w:lang w:val="en-US"/>
        </w:rPr>
        <w:t>i</w:t>
      </w:r>
      <w:r>
        <w:rPr>
          <w:szCs w:val="18"/>
          <w:lang w:val="ru-RU"/>
        </w:rPr>
        <w:t xml:space="preserve">)  100 г зерна в день на учащегося в штатах и союзных территориях, где предоставляется школьное питание,  и  </w:t>
      </w:r>
      <w:r>
        <w:rPr>
          <w:szCs w:val="18"/>
          <w:lang w:val="en-US"/>
        </w:rPr>
        <w:t>ii</w:t>
      </w:r>
      <w:r>
        <w:rPr>
          <w:szCs w:val="18"/>
          <w:lang w:val="ru-RU"/>
        </w:rPr>
        <w:t>)  3 кг продовольственного зерна в месяц на учащегося при условии, если его посещаемость составляет не ниже 80%.  В течение 1997/98 учебного года эта программа осуществлялась в масштабах всей Индии, кроме Лакшадвипа.  В приведенной ниже таблице содержатся данные об этой помощи в разбивке по годам с указанием числа охваченных программой детей и количества выделенного и отгруженного государственными учреждениями продовольственного зерна, а также о произведенных в этой связи расходах.</w:t>
      </w:r>
    </w:p>
  </w:footnote>
  <w:footnote w:id="87">
    <w:p w:rsidR="00000000" w:rsidRDefault="00000000">
      <w:pPr>
        <w:pStyle w:val="FootnoteText"/>
        <w:spacing w:before="40"/>
        <w:rPr>
          <w:szCs w:val="18"/>
          <w:lang w:val="ru-RU"/>
        </w:rPr>
      </w:pPr>
      <w:r>
        <w:rPr>
          <w:rStyle w:val="FootnoteReference"/>
          <w:sz w:val="18"/>
          <w:szCs w:val="18"/>
          <w:lang w:val="ru-RU"/>
        </w:rPr>
        <w:t>86</w:t>
      </w:r>
      <w:r>
        <w:rPr>
          <w:b/>
          <w:szCs w:val="18"/>
          <w:lang w:val="ru-RU"/>
        </w:rPr>
        <w:t xml:space="preserve"> </w:t>
      </w:r>
      <w:r>
        <w:rPr>
          <w:b/>
          <w:szCs w:val="18"/>
          <w:lang w:val="ru-RU"/>
        </w:rPr>
        <w:tab/>
      </w:r>
      <w:r>
        <w:rPr>
          <w:szCs w:val="18"/>
          <w:lang w:val="ru-RU"/>
        </w:rPr>
        <w:t>Этот план, осуществляемый в масштабах страны, представляет собой гибкую и оперативно функциональную программу, которая направлена на достижение следующих общих стратегических целей:</w:t>
      </w:r>
    </w:p>
    <w:p w:rsidR="00000000" w:rsidRDefault="00000000">
      <w:pPr>
        <w:pStyle w:val="FootnoteText"/>
        <w:spacing w:before="40"/>
        <w:rPr>
          <w:szCs w:val="18"/>
          <w:lang w:val="ru-RU"/>
        </w:rPr>
      </w:pPr>
      <w:r>
        <w:rPr>
          <w:szCs w:val="18"/>
          <w:lang w:val="ru-RU"/>
        </w:rPr>
        <w:t xml:space="preserve">создание школ в тех населенных пунктах, где они отсутствуют (гарантированное образование); </w:t>
      </w:r>
    </w:p>
    <w:p w:rsidR="00000000" w:rsidRDefault="00000000">
      <w:pPr>
        <w:pStyle w:val="FootnoteText"/>
        <w:rPr>
          <w:szCs w:val="18"/>
          <w:lang w:val="ru-RU"/>
        </w:rPr>
      </w:pPr>
      <w:r>
        <w:rPr>
          <w:szCs w:val="18"/>
          <w:lang w:val="ru-RU"/>
        </w:rPr>
        <w:t xml:space="preserve">меры по обучению детей, не посещающих школу, с помощью курсов по восполнению пробелов в знаниях, лагерей "Назад в школу" и т. д.; </w:t>
      </w:r>
    </w:p>
    <w:p w:rsidR="00000000" w:rsidRDefault="00000000">
      <w:pPr>
        <w:pStyle w:val="FootnoteText"/>
        <w:rPr>
          <w:szCs w:val="18"/>
          <w:lang w:val="ru-RU"/>
        </w:rPr>
      </w:pPr>
      <w:r>
        <w:rPr>
          <w:szCs w:val="18"/>
          <w:lang w:val="ru-RU"/>
        </w:rPr>
        <w:t>мероприятия для конкретных групп "трудных" детей, которые с трудом поддаются воспитанию.</w:t>
      </w:r>
    </w:p>
  </w:footnote>
  <w:footnote w:id="88">
    <w:p w:rsidR="00000000" w:rsidRDefault="00000000">
      <w:pPr>
        <w:pStyle w:val="FootnoteText"/>
        <w:rPr>
          <w:szCs w:val="18"/>
          <w:lang w:val="ru-RU"/>
        </w:rPr>
      </w:pPr>
      <w:r>
        <w:rPr>
          <w:rStyle w:val="FootnoteReference"/>
          <w:sz w:val="18"/>
          <w:szCs w:val="18"/>
          <w:lang w:val="ru-RU"/>
        </w:rPr>
        <w:t>87</w:t>
      </w:r>
      <w:r>
        <w:rPr>
          <w:szCs w:val="18"/>
          <w:lang w:val="ru-RU"/>
        </w:rPr>
        <w:t xml:space="preserve"> </w:t>
      </w:r>
      <w:r>
        <w:rPr>
          <w:szCs w:val="18"/>
          <w:lang w:val="ru-RU"/>
        </w:rPr>
        <w:tab/>
        <w:t>Централизованная помощь идет на покрытие всех расходов, связанных с проведением районных обследований потребностей в профессиональной подготовке, семинаров по разработке учебных планов, наглядных пособий и учебников, подготовкой учителей, приобретением оборудования, строительством мастерских, контролем, оценкой и поездками на места.  Центральное правительство покрывает 75% расходов на заработную плату административного персонала/</w:t>
      </w:r>
      <w:r>
        <w:rPr>
          <w:szCs w:val="18"/>
          <w:lang w:val="ru-RU"/>
        </w:rPr>
        <w:br/>
        <w:t xml:space="preserve">управлений штатов, советов штатов по вопросам исследований и подготовки в области образования и районных органах, а также расходов на закупку сырьевых материалов.  Правительства штатов должны покрывать 100% затрат по статье непредвиденных расходов на проведение экзаменов, выдачу сертификатов и консультирование по вопросам профессионально-технического оборудования.     </w:t>
      </w:r>
    </w:p>
  </w:footnote>
  <w:footnote w:id="89">
    <w:p w:rsidR="00000000" w:rsidRDefault="00000000">
      <w:pPr>
        <w:pStyle w:val="FootnoteText"/>
        <w:spacing w:before="40"/>
        <w:rPr>
          <w:szCs w:val="18"/>
          <w:lang w:val="ru-RU"/>
        </w:rPr>
      </w:pPr>
      <w:r>
        <w:rPr>
          <w:rStyle w:val="FootnoteReference"/>
          <w:sz w:val="18"/>
          <w:szCs w:val="18"/>
          <w:lang w:val="ru-RU"/>
        </w:rPr>
        <w:t>88</w:t>
      </w:r>
      <w:r>
        <w:rPr>
          <w:szCs w:val="18"/>
          <w:lang w:val="ru-RU"/>
        </w:rPr>
        <w:t xml:space="preserve"> </w:t>
      </w:r>
      <w:r>
        <w:rPr>
          <w:szCs w:val="18"/>
          <w:lang w:val="ru-RU"/>
        </w:rPr>
        <w:tab/>
        <w:t xml:space="preserve">Этот институт выступает в качестве ведущего научно-исследовательского заведения в области профессионально-технического образования, которое предоставляет консультационную и методическую поддержку в связи с осуществлением программ.     </w:t>
      </w:r>
    </w:p>
  </w:footnote>
  <w:footnote w:id="90">
    <w:p w:rsidR="00000000" w:rsidRDefault="00000000">
      <w:pPr>
        <w:pStyle w:val="FootnoteText"/>
        <w:spacing w:before="40"/>
        <w:rPr>
          <w:szCs w:val="18"/>
          <w:lang w:val="ru-RU"/>
        </w:rPr>
      </w:pPr>
      <w:r>
        <w:rPr>
          <w:rStyle w:val="FootnoteReference"/>
          <w:sz w:val="18"/>
          <w:szCs w:val="18"/>
          <w:lang w:val="ru-RU"/>
        </w:rPr>
        <w:t>89</w:t>
      </w:r>
      <w:r>
        <w:rPr>
          <w:szCs w:val="18"/>
          <w:lang w:val="ru-RU"/>
        </w:rPr>
        <w:t xml:space="preserve"> </w:t>
      </w:r>
      <w:r>
        <w:rPr>
          <w:szCs w:val="18"/>
          <w:lang w:val="ru-RU"/>
        </w:rPr>
        <w:tab/>
        <w:t>В течение финансового 2001/02</w:t>
      </w:r>
      <w:r>
        <w:rPr>
          <w:szCs w:val="18"/>
        </w:rPr>
        <w:t> </w:t>
      </w:r>
      <w:r>
        <w:rPr>
          <w:szCs w:val="18"/>
          <w:lang w:val="ru-RU"/>
        </w:rPr>
        <w:t>года было выделено 845 млн. рупий для создания компьютерной базы.</w:t>
      </w:r>
    </w:p>
  </w:footnote>
  <w:footnote w:id="91">
    <w:p w:rsidR="00000000" w:rsidRDefault="00000000">
      <w:pPr>
        <w:pStyle w:val="FootnoteText"/>
        <w:spacing w:before="40"/>
        <w:rPr>
          <w:szCs w:val="18"/>
          <w:lang w:val="ru-RU"/>
        </w:rPr>
      </w:pPr>
      <w:r>
        <w:rPr>
          <w:rStyle w:val="FootnoteReference"/>
          <w:sz w:val="18"/>
          <w:szCs w:val="18"/>
          <w:lang w:val="ru-RU"/>
        </w:rPr>
        <w:t>90</w:t>
      </w:r>
      <w:r>
        <w:rPr>
          <w:b/>
          <w:szCs w:val="18"/>
          <w:lang w:val="ru-RU"/>
        </w:rPr>
        <w:t xml:space="preserve"> </w:t>
      </w:r>
      <w:r>
        <w:rPr>
          <w:b/>
          <w:szCs w:val="18"/>
          <w:lang w:val="ru-RU"/>
        </w:rPr>
        <w:tab/>
      </w:r>
      <w:r>
        <w:rPr>
          <w:szCs w:val="18"/>
          <w:lang w:val="ru-RU"/>
        </w:rPr>
        <w:t>Е/1988/5/</w:t>
      </w:r>
      <w:r>
        <w:rPr>
          <w:szCs w:val="18"/>
        </w:rPr>
        <w:t>Add</w:t>
      </w:r>
      <w:r>
        <w:rPr>
          <w:szCs w:val="18"/>
          <w:lang w:val="ru-RU"/>
        </w:rPr>
        <w:t>.5, пункт 19.</w:t>
      </w:r>
    </w:p>
  </w:footnote>
  <w:footnote w:id="92">
    <w:p w:rsidR="00000000" w:rsidRDefault="00000000">
      <w:pPr>
        <w:pStyle w:val="FootnoteText"/>
        <w:rPr>
          <w:szCs w:val="18"/>
          <w:lang w:val="ru-RU"/>
        </w:rPr>
      </w:pPr>
      <w:r>
        <w:rPr>
          <w:rStyle w:val="FootnoteReference"/>
          <w:sz w:val="18"/>
          <w:szCs w:val="18"/>
          <w:lang w:val="ru-RU"/>
        </w:rPr>
        <w:t>91</w:t>
      </w:r>
      <w:r>
        <w:rPr>
          <w:b/>
          <w:szCs w:val="18"/>
          <w:lang w:val="ru-RU"/>
        </w:rPr>
        <w:t xml:space="preserve"> </w:t>
      </w:r>
      <w:r>
        <w:rPr>
          <w:b/>
          <w:szCs w:val="18"/>
          <w:lang w:val="ru-RU"/>
        </w:rPr>
        <w:tab/>
      </w:r>
      <w:r>
        <w:rPr>
          <w:szCs w:val="18"/>
          <w:lang w:val="ru-RU"/>
        </w:rPr>
        <w:t>Е/1988/5/</w:t>
      </w:r>
      <w:r>
        <w:rPr>
          <w:szCs w:val="18"/>
        </w:rPr>
        <w:t>Add</w:t>
      </w:r>
      <w:r>
        <w:rPr>
          <w:szCs w:val="18"/>
          <w:lang w:val="ru-RU"/>
        </w:rPr>
        <w:t xml:space="preserve">.5, пункт 18. </w:t>
      </w:r>
    </w:p>
  </w:footnote>
  <w:footnote w:id="93">
    <w:p w:rsidR="00000000" w:rsidRDefault="00000000">
      <w:pPr>
        <w:pStyle w:val="FootnoteText"/>
        <w:spacing w:before="40"/>
        <w:rPr>
          <w:szCs w:val="18"/>
          <w:lang w:val="ru-RU"/>
        </w:rPr>
      </w:pPr>
      <w:r>
        <w:rPr>
          <w:rStyle w:val="FootnoteReference"/>
          <w:sz w:val="18"/>
          <w:szCs w:val="18"/>
          <w:lang w:val="ru-RU"/>
        </w:rPr>
        <w:t>92</w:t>
      </w:r>
      <w:r>
        <w:rPr>
          <w:b/>
          <w:szCs w:val="18"/>
          <w:lang w:val="ru-RU"/>
        </w:rPr>
        <w:t xml:space="preserve"> </w:t>
      </w:r>
      <w:r>
        <w:rPr>
          <w:b/>
          <w:szCs w:val="18"/>
          <w:lang w:val="ru-RU"/>
        </w:rPr>
        <w:tab/>
      </w:r>
      <w:r>
        <w:rPr>
          <w:szCs w:val="18"/>
          <w:lang w:val="ru-RU"/>
        </w:rPr>
        <w:t>Хотя система университетов входит в круг ведения КУГ, деятельность специализированных учебных заведений координируют другие органы.  Всеиндийский совет по вопросам технического образования (ВИСТО) отвечает за координацию работы высших учебных заведений, готовящих технические и административные кадры.  Другими предусмотренными законом органами в этой области являются Медицинский совет Индии, Центральный совет по индийской медицине, Центральный совет по гомеопатии, Индийский совет по медицинским исследованиям, Индийский попечительский совет по вопросам сельского хозяйства, Стоматологический совет, Совет адвокатов Индии, Индийский совет по сельскохозяйственным исследованиям и другие.</w:t>
      </w:r>
    </w:p>
  </w:footnote>
  <w:footnote w:id="94">
    <w:p w:rsidR="00000000" w:rsidRDefault="00000000">
      <w:pPr>
        <w:pStyle w:val="FootnoteText"/>
        <w:spacing w:before="40"/>
        <w:rPr>
          <w:szCs w:val="18"/>
          <w:lang w:val="ru-RU"/>
        </w:rPr>
      </w:pPr>
      <w:r>
        <w:rPr>
          <w:rStyle w:val="FootnoteReference"/>
          <w:sz w:val="18"/>
          <w:szCs w:val="18"/>
          <w:lang w:val="ru-RU"/>
        </w:rPr>
        <w:t>93</w:t>
      </w:r>
      <w:r>
        <w:rPr>
          <w:b/>
          <w:szCs w:val="18"/>
          <w:lang w:val="ru-RU"/>
        </w:rPr>
        <w:t xml:space="preserve"> </w:t>
      </w:r>
      <w:r>
        <w:rPr>
          <w:b/>
          <w:szCs w:val="18"/>
          <w:lang w:val="ru-RU"/>
        </w:rPr>
        <w:tab/>
      </w:r>
      <w:r>
        <w:rPr>
          <w:szCs w:val="18"/>
          <w:lang w:val="ru-RU"/>
        </w:rPr>
        <w:t>Из 7,7 млн. студентов, обучающихся в университетах и колледжах, на дистанционное и заочное обучение приходится лишь миллион студентов.</w:t>
      </w:r>
    </w:p>
  </w:footnote>
  <w:footnote w:id="95">
    <w:p w:rsidR="00000000" w:rsidRDefault="00000000">
      <w:pPr>
        <w:pStyle w:val="FootnoteText"/>
        <w:rPr>
          <w:szCs w:val="18"/>
          <w:lang w:val="ru-RU"/>
        </w:rPr>
      </w:pPr>
      <w:r>
        <w:rPr>
          <w:rStyle w:val="FootnoteReference"/>
          <w:sz w:val="18"/>
          <w:szCs w:val="18"/>
          <w:lang w:val="ru-RU"/>
        </w:rPr>
        <w:t>94</w:t>
      </w:r>
      <w:r>
        <w:rPr>
          <w:b/>
          <w:szCs w:val="18"/>
          <w:lang w:val="ru-RU"/>
        </w:rPr>
        <w:t xml:space="preserve"> </w:t>
      </w:r>
      <w:r>
        <w:rPr>
          <w:b/>
          <w:szCs w:val="18"/>
          <w:lang w:val="ru-RU"/>
        </w:rPr>
        <w:tab/>
      </w:r>
      <w:r>
        <w:rPr>
          <w:szCs w:val="18"/>
          <w:lang w:val="ru-RU"/>
        </w:rPr>
        <w:t>Конституцией признаются следующие языки:  ассамский, бенгальский, гуджаратский, хинди, каннада, кашмирский, малайялам, маратхи, орийя, пенджабский, санскрит, синдхи, тамильский, телугу, урду.</w:t>
      </w:r>
    </w:p>
  </w:footnote>
  <w:footnote w:id="96">
    <w:p w:rsidR="00000000" w:rsidRDefault="00000000">
      <w:pPr>
        <w:pStyle w:val="FootnoteText"/>
        <w:rPr>
          <w:szCs w:val="18"/>
          <w:lang w:val="ru-RU"/>
        </w:rPr>
      </w:pPr>
      <w:r>
        <w:rPr>
          <w:rStyle w:val="FootnoteReference"/>
          <w:sz w:val="18"/>
          <w:szCs w:val="18"/>
          <w:lang w:val="ru-RU"/>
        </w:rPr>
        <w:t>95</w:t>
      </w:r>
      <w:r>
        <w:rPr>
          <w:szCs w:val="18"/>
          <w:lang w:val="ru-RU"/>
        </w:rPr>
        <w:tab/>
        <w:t>К настоящему времени 14 штатов и четыре союзные территории приняли законы об обязательном начальном образовании либо во всем штате, либо в отдельных указанных районах.  Этими штатами являются Ассам, Андхра-Прадеш, Бихар, Гуджарат, Харьяна, Джамму и Кашмир, Карнатака, Мадхья-Прадеш, Махараштра, Пенджаб, Раджастхан, Талмилнад, Керала и Западная Бенгалия.  Союзными территориями, которые также приняли законы об обязательном начальном образовании, являются Чандигарх, Дели, Пондичерри и Андаманские и Никобарские острова.</w:t>
      </w:r>
    </w:p>
  </w:footnote>
  <w:footnote w:id="97">
    <w:p w:rsidR="00000000" w:rsidRDefault="00000000">
      <w:pPr>
        <w:pStyle w:val="FootnoteText"/>
        <w:rPr>
          <w:szCs w:val="18"/>
          <w:lang w:val="ru-RU"/>
        </w:rPr>
      </w:pPr>
      <w:r>
        <w:rPr>
          <w:rStyle w:val="FootnoteReference"/>
          <w:sz w:val="18"/>
          <w:szCs w:val="18"/>
          <w:lang w:val="ru-RU"/>
        </w:rPr>
        <w:t>96</w:t>
      </w:r>
      <w:r>
        <w:rPr>
          <w:szCs w:val="18"/>
          <w:lang w:val="ru-RU"/>
        </w:rPr>
        <w:t xml:space="preserve"> В частности, ОДВ преследует следующие цели:</w:t>
      </w:r>
    </w:p>
    <w:p w:rsidR="00000000" w:rsidRDefault="00000000">
      <w:pPr>
        <w:pStyle w:val="FootnoteText"/>
        <w:numPr>
          <w:ilvl w:val="0"/>
          <w:numId w:val="14"/>
        </w:numPr>
        <w:tabs>
          <w:tab w:val="clear" w:pos="284"/>
          <w:tab w:val="left" w:pos="426"/>
        </w:tabs>
        <w:ind w:left="426"/>
        <w:rPr>
          <w:szCs w:val="18"/>
          <w:lang w:val="ru-RU"/>
        </w:rPr>
      </w:pPr>
      <w:r>
        <w:rPr>
          <w:szCs w:val="18"/>
          <w:lang w:val="ru-RU"/>
        </w:rPr>
        <w:t>к 2003 году все дети должны посещать школы, центры, действующие в рамках плана гарантированного образования, альтернативные школы и лагеря "Назад в школу";</w:t>
      </w:r>
    </w:p>
    <w:p w:rsidR="00000000" w:rsidRDefault="00000000">
      <w:pPr>
        <w:pStyle w:val="FootnoteText"/>
        <w:numPr>
          <w:ilvl w:val="0"/>
          <w:numId w:val="14"/>
        </w:numPr>
        <w:tabs>
          <w:tab w:val="clear" w:pos="284"/>
          <w:tab w:val="left" w:pos="426"/>
        </w:tabs>
        <w:ind w:left="426"/>
        <w:rPr>
          <w:szCs w:val="18"/>
          <w:lang w:val="ru-RU"/>
        </w:rPr>
      </w:pPr>
      <w:r>
        <w:rPr>
          <w:szCs w:val="18"/>
          <w:lang w:val="ru-RU"/>
        </w:rPr>
        <w:t>к 2007 году все дети соответствующего возраста должны окончить пять классов начальной школы;</w:t>
      </w:r>
    </w:p>
    <w:p w:rsidR="00000000" w:rsidRDefault="00000000">
      <w:pPr>
        <w:pStyle w:val="FootnoteText"/>
        <w:numPr>
          <w:ilvl w:val="0"/>
          <w:numId w:val="14"/>
        </w:numPr>
        <w:tabs>
          <w:tab w:val="clear" w:pos="284"/>
          <w:tab w:val="left" w:pos="426"/>
        </w:tabs>
        <w:ind w:left="426"/>
        <w:rPr>
          <w:szCs w:val="18"/>
          <w:lang w:val="ru-RU"/>
        </w:rPr>
      </w:pPr>
      <w:r>
        <w:rPr>
          <w:szCs w:val="18"/>
          <w:lang w:val="ru-RU"/>
        </w:rPr>
        <w:t>к 2010 году все дети соответствующего возраста должны окончить восемь классов школы;</w:t>
      </w:r>
    </w:p>
    <w:p w:rsidR="00000000" w:rsidRDefault="00000000">
      <w:pPr>
        <w:pStyle w:val="FootnoteText"/>
        <w:numPr>
          <w:ilvl w:val="0"/>
          <w:numId w:val="14"/>
        </w:numPr>
        <w:tabs>
          <w:tab w:val="clear" w:pos="284"/>
          <w:tab w:val="left" w:pos="426"/>
        </w:tabs>
        <w:ind w:left="426"/>
        <w:rPr>
          <w:szCs w:val="18"/>
          <w:lang w:val="ru-RU"/>
        </w:rPr>
      </w:pPr>
      <w:r>
        <w:rPr>
          <w:szCs w:val="18"/>
          <w:lang w:val="ru-RU"/>
        </w:rPr>
        <w:t>следует уделять повышенное внимание качеству начального образования с упором на формирование необходимых для жизни навыков;</w:t>
      </w:r>
    </w:p>
    <w:p w:rsidR="00000000" w:rsidRDefault="00000000">
      <w:pPr>
        <w:pStyle w:val="FootnoteText"/>
        <w:numPr>
          <w:ilvl w:val="0"/>
          <w:numId w:val="14"/>
        </w:numPr>
        <w:tabs>
          <w:tab w:val="clear" w:pos="284"/>
          <w:tab w:val="left" w:pos="426"/>
        </w:tabs>
        <w:ind w:left="426"/>
        <w:rPr>
          <w:szCs w:val="18"/>
          <w:lang w:val="ru-RU"/>
        </w:rPr>
      </w:pPr>
      <w:r>
        <w:rPr>
          <w:szCs w:val="18"/>
          <w:lang w:val="ru-RU"/>
        </w:rPr>
        <w:t>к 2007 году необходимо ликвидировать разрыв в охвате образованием мальчиков и девочек и разных социальных групп в начальной школе младшей ступени, а к 2010 году – на уровне всей системы начального образования;</w:t>
      </w:r>
    </w:p>
    <w:p w:rsidR="00000000" w:rsidRDefault="00000000">
      <w:pPr>
        <w:pStyle w:val="FootnoteText"/>
        <w:numPr>
          <w:ilvl w:val="0"/>
          <w:numId w:val="14"/>
        </w:numPr>
        <w:tabs>
          <w:tab w:val="clear" w:pos="284"/>
          <w:tab w:val="left" w:pos="426"/>
        </w:tabs>
        <w:ind w:left="426"/>
        <w:rPr>
          <w:szCs w:val="18"/>
          <w:lang w:val="ru-RU"/>
        </w:rPr>
      </w:pPr>
      <w:r>
        <w:rPr>
          <w:szCs w:val="18"/>
          <w:lang w:val="ru-RU"/>
        </w:rPr>
        <w:t>к 2010 году обеспечить всеобщий охват.</w:t>
      </w:r>
    </w:p>
  </w:footnote>
  <w:footnote w:id="98">
    <w:p w:rsidR="00000000" w:rsidRDefault="00000000">
      <w:pPr>
        <w:pStyle w:val="FootnoteText"/>
        <w:rPr>
          <w:szCs w:val="18"/>
          <w:lang w:val="ru-RU"/>
        </w:rPr>
      </w:pPr>
      <w:r>
        <w:rPr>
          <w:rStyle w:val="FootnoteReference"/>
          <w:sz w:val="18"/>
          <w:szCs w:val="18"/>
          <w:lang w:val="ru-RU"/>
        </w:rPr>
        <w:t>97</w:t>
      </w:r>
      <w:r>
        <w:rPr>
          <w:szCs w:val="18"/>
          <w:lang w:val="ru-RU"/>
        </w:rPr>
        <w:t xml:space="preserve"> </w:t>
      </w:r>
      <w:r>
        <w:rPr>
          <w:szCs w:val="18"/>
          <w:lang w:val="ru-RU"/>
        </w:rPr>
        <w:tab/>
        <w:t>В состав Совета входят видные специалисты в области науки и техники из различных университетов/национальных лабораторий, а также предприятий государственного и частного секторов.</w:t>
      </w:r>
    </w:p>
  </w:footnote>
  <w:footnote w:id="99">
    <w:p w:rsidR="00000000" w:rsidRDefault="00000000">
      <w:pPr>
        <w:pStyle w:val="FootnoteText"/>
        <w:rPr>
          <w:szCs w:val="18"/>
          <w:lang w:val="ru-RU"/>
        </w:rPr>
      </w:pPr>
      <w:r>
        <w:rPr>
          <w:rStyle w:val="FootnoteReference"/>
          <w:sz w:val="18"/>
          <w:szCs w:val="18"/>
          <w:lang w:val="ru-RU"/>
        </w:rPr>
        <w:t>98</w:t>
      </w:r>
      <w:r>
        <w:rPr>
          <w:szCs w:val="18"/>
          <w:lang w:val="ru-RU"/>
        </w:rPr>
        <w:t xml:space="preserve"> </w:t>
      </w:r>
      <w:r>
        <w:rPr>
          <w:szCs w:val="18"/>
          <w:lang w:val="ru-RU"/>
        </w:rPr>
        <w:tab/>
        <w:t>Помимо стипендий предоставляются пособия на приобретение приборов, компьютерного оборудования и средств связи, расходных материалов, покрытие непредвиденных расходов, административную поддержку, поездки внутри страны и за рубеж и на удовлетворение других особых  потребностей.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3"/>
        <w:lang w:val="en-GB"/>
      </w:rPr>
    </w:pPr>
    <w:r>
      <w:rPr>
        <w:noProof/>
        <w:szCs w:val="23"/>
        <w:lang w:val="en-GB"/>
      </w:rPr>
      <w:pict>
        <v:shapetype id="_x0000_t202" coordsize="21600,21600" o:spt="202" path="m,l,21600r21600,l21600,xe">
          <v:stroke joinstyle="miter"/>
          <v:path gradientshapeok="t" o:connecttype="rect"/>
        </v:shapetype>
        <v:shape id="_x0000_s3074" type="#_x0000_t202" style="position:absolute;margin-left:641pt;margin-top:35.9pt;width:55.5pt;height:159.75pt;z-index:2" filled="f" stroked="f">
          <v:textbox style="layout-flow:vertical;mso-next-textbox:#_x0000_s3074">
            <w:txbxContent>
              <w:p w:rsidR="00000000" w:rsidRDefault="00000000">
                <w:pPr>
                  <w:pStyle w:val="Header"/>
                </w:pPr>
                <w:r>
                  <w:t>TRANS/WP.29/GRPE/2003/8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r>
                  <w:t>Annex 2</w:t>
                </w:r>
              </w:p>
            </w:txbxContent>
          </v:textbox>
        </v:shape>
      </w:pict>
    </w:r>
    <w:r>
      <w:rPr>
        <w:szCs w:val="23"/>
        <w:lang w:val="en-GB"/>
      </w:rPr>
      <w:t>E/C.12/I</w:t>
    </w:r>
    <w:r>
      <w:rPr>
        <w:szCs w:val="23"/>
        <w:lang w:val="en-US"/>
      </w:rPr>
      <w:t>ND</w:t>
    </w:r>
    <w:r>
      <w:rPr>
        <w:szCs w:val="23"/>
        <w:lang w:val="en-GB"/>
      </w:rPr>
      <w:t>/5</w:t>
    </w:r>
  </w:p>
  <w:p w:rsidR="00000000" w:rsidRDefault="00000000">
    <w:pPr>
      <w:pStyle w:val="Header"/>
      <w:rPr>
        <w:rStyle w:val="PageNumber"/>
        <w:szCs w:val="23"/>
        <w:lang w:val="en-GB"/>
      </w:rPr>
    </w:pPr>
    <w:r>
      <w:rPr>
        <w:szCs w:val="23"/>
        <w:lang w:val="en-GB"/>
      </w:rPr>
      <w:t xml:space="preserve">page </w:t>
    </w:r>
    <w:r>
      <w:rPr>
        <w:rStyle w:val="PageNumber"/>
        <w:szCs w:val="23"/>
        <w:lang w:val="en-GB"/>
      </w:rPr>
      <w:fldChar w:fldCharType="begin"/>
    </w:r>
    <w:r>
      <w:rPr>
        <w:rStyle w:val="PageNumber"/>
        <w:szCs w:val="23"/>
        <w:lang w:val="en-GB"/>
      </w:rPr>
      <w:instrText xml:space="preserve"> PAGE </w:instrText>
    </w:r>
    <w:r>
      <w:rPr>
        <w:rStyle w:val="PageNumber"/>
        <w:szCs w:val="23"/>
        <w:lang w:val="en-GB"/>
      </w:rPr>
      <w:fldChar w:fldCharType="separate"/>
    </w:r>
    <w:r>
      <w:rPr>
        <w:rStyle w:val="PageNumber"/>
        <w:szCs w:val="23"/>
        <w:lang w:val="en-GB"/>
      </w:rPr>
      <w:t>2</w:t>
    </w:r>
    <w:r>
      <w:rPr>
        <w:rStyle w:val="PageNumber"/>
        <w:szCs w:val="23"/>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8160"/>
      </w:tabs>
      <w:rPr>
        <w:szCs w:val="23"/>
        <w:lang w:val="en-GB"/>
      </w:rPr>
    </w:pPr>
    <w:r>
      <w:rPr>
        <w:noProof/>
        <w:szCs w:val="23"/>
        <w:lang w:val="en-GB"/>
      </w:rPr>
      <w:pict>
        <v:shapetype id="_x0000_t202" coordsize="21600,21600" o:spt="202" path="m,l,21600r21600,l21600,xe">
          <v:stroke joinstyle="miter"/>
          <v:path gradientshapeok="t" o:connecttype="rect"/>
        </v:shapetype>
        <v:shape id="_x0000_s3073" type="#_x0000_t202" style="position:absolute;margin-left:641pt;margin-top:35.9pt;width:55.5pt;height:159.75pt;z-index:1" filled="f" stroked="f">
          <v:textbox style="layout-flow:vertical;mso-next-textbox:#_x0000_s3073">
            <w:txbxContent>
              <w:p w:rsidR="00000000" w:rsidRDefault="00000000">
                <w:pPr>
                  <w:pStyle w:val="Header"/>
                </w:pPr>
                <w:r>
                  <w:t>TRANS/WP.29/GRPE/2003/8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103</w:t>
                </w:r>
                <w:r>
                  <w:rPr>
                    <w:rStyle w:val="PageNumber"/>
                  </w:rPr>
                  <w:fldChar w:fldCharType="end"/>
                </w:r>
              </w:p>
              <w:p w:rsidR="00000000" w:rsidRDefault="00000000">
                <w:pPr>
                  <w:pStyle w:val="Header"/>
                </w:pPr>
                <w:r>
                  <w:t>Annex 2</w:t>
                </w:r>
              </w:p>
            </w:txbxContent>
          </v:textbox>
        </v:shape>
      </w:pict>
    </w:r>
    <w:r>
      <w:rPr>
        <w:szCs w:val="23"/>
        <w:lang w:val="en-GB"/>
      </w:rPr>
      <w:tab/>
      <w:t>E/C.12/IND/5</w:t>
    </w:r>
  </w:p>
  <w:p w:rsidR="00000000" w:rsidRDefault="00000000">
    <w:pPr>
      <w:pStyle w:val="Header"/>
      <w:tabs>
        <w:tab w:val="clear" w:pos="4677"/>
        <w:tab w:val="left" w:pos="8160"/>
      </w:tabs>
      <w:rPr>
        <w:rStyle w:val="PageNumber"/>
        <w:szCs w:val="23"/>
        <w:lang w:val="en-GB"/>
      </w:rPr>
    </w:pPr>
    <w:r>
      <w:rPr>
        <w:szCs w:val="23"/>
        <w:lang w:val="en-GB"/>
      </w:rPr>
      <w:tab/>
      <w:t xml:space="preserve">page </w:t>
    </w:r>
    <w:r>
      <w:rPr>
        <w:rStyle w:val="PageNumber"/>
        <w:szCs w:val="23"/>
        <w:lang w:val="en-GB"/>
      </w:rPr>
      <w:fldChar w:fldCharType="begin"/>
    </w:r>
    <w:r>
      <w:rPr>
        <w:rStyle w:val="PageNumber"/>
        <w:szCs w:val="23"/>
        <w:lang w:val="en-GB"/>
      </w:rPr>
      <w:instrText xml:space="preserve"> PAGE </w:instrText>
    </w:r>
    <w:r>
      <w:rPr>
        <w:rStyle w:val="PageNumber"/>
        <w:szCs w:val="23"/>
        <w:lang w:val="en-GB"/>
      </w:rPr>
      <w:fldChar w:fldCharType="separate"/>
    </w:r>
    <w:r>
      <w:rPr>
        <w:rStyle w:val="PageNumber"/>
        <w:szCs w:val="23"/>
        <w:lang w:val="en-GB"/>
      </w:rPr>
      <w:t>103</w:t>
    </w:r>
    <w:r>
      <w:rPr>
        <w:rStyle w:val="PageNumber"/>
        <w:szCs w:val="23"/>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676D7"/>
    <w:multiLevelType w:val="hybridMultilevel"/>
    <w:tmpl w:val="BCDAA366"/>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
    <w:nsid w:val="0E8A6C60"/>
    <w:multiLevelType w:val="hybridMultilevel"/>
    <w:tmpl w:val="BA12E1F8"/>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C86382"/>
    <w:multiLevelType w:val="hybridMultilevel"/>
    <w:tmpl w:val="7BE2EBF0"/>
    <w:lvl w:ilvl="0" w:tplc="CC34A57A">
      <w:start w:val="1"/>
      <w:numFmt w:val="bullet"/>
      <w:lvlText w:val=""/>
      <w:lvlJc w:val="left"/>
      <w:pPr>
        <w:tabs>
          <w:tab w:val="num" w:pos="680"/>
        </w:tabs>
        <w:ind w:left="680" w:hanging="680"/>
      </w:pPr>
      <w:rPr>
        <w:rFonts w:ascii="Symbol" w:hAnsi="Symbol" w:hint="default"/>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13CB000F"/>
    <w:multiLevelType w:val="singleLevel"/>
    <w:tmpl w:val="C5EC9460"/>
    <w:lvl w:ilvl="0">
      <w:start w:val="1"/>
      <w:numFmt w:val="bullet"/>
      <w:pStyle w:val="FootnoteReference"/>
      <w:lvlText w:val=""/>
      <w:lvlJc w:val="left"/>
      <w:pPr>
        <w:tabs>
          <w:tab w:val="num" w:pos="567"/>
        </w:tabs>
        <w:ind w:left="567" w:hanging="567"/>
      </w:pPr>
      <w:rPr>
        <w:rFonts w:ascii="Symbol" w:hAnsi="Symbol" w:hint="default"/>
      </w:rPr>
    </w:lvl>
  </w:abstractNum>
  <w:abstractNum w:abstractNumId="4">
    <w:nsid w:val="13DE719E"/>
    <w:multiLevelType w:val="hybridMultilevel"/>
    <w:tmpl w:val="19D8EB46"/>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9420D5"/>
    <w:multiLevelType w:val="hybridMultilevel"/>
    <w:tmpl w:val="6F56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6B7136F"/>
    <w:multiLevelType w:val="hybridMultilevel"/>
    <w:tmpl w:val="93301AF2"/>
    <w:lvl w:ilvl="0" w:tplc="B30410BA">
      <w:start w:val="1"/>
      <w:numFmt w:val="bullet"/>
      <w:lvlText w:val=""/>
      <w:lvlJc w:val="left"/>
      <w:pPr>
        <w:tabs>
          <w:tab w:val="num" w:pos="284"/>
        </w:tabs>
        <w:ind w:left="284"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582D8D"/>
    <w:multiLevelType w:val="hybridMultilevel"/>
    <w:tmpl w:val="89307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3044AE"/>
    <w:multiLevelType w:val="hybridMultilevel"/>
    <w:tmpl w:val="3000E006"/>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D37613A"/>
    <w:multiLevelType w:val="hybridMultilevel"/>
    <w:tmpl w:val="9622FFE2"/>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56358A5"/>
    <w:multiLevelType w:val="hybridMultilevel"/>
    <w:tmpl w:val="041CF7B8"/>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A337E6C"/>
    <w:multiLevelType w:val="hybridMultilevel"/>
    <w:tmpl w:val="91C26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70F5577"/>
    <w:multiLevelType w:val="hybridMultilevel"/>
    <w:tmpl w:val="1BDE976C"/>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8F40538"/>
    <w:multiLevelType w:val="hybridMultilevel"/>
    <w:tmpl w:val="D72A18A4"/>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4">
    <w:nsid w:val="49D53C0F"/>
    <w:multiLevelType w:val="hybridMultilevel"/>
    <w:tmpl w:val="BCEAF72E"/>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E944D9E"/>
    <w:multiLevelType w:val="hybridMultilevel"/>
    <w:tmpl w:val="FA38F4E6"/>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0C97D21"/>
    <w:multiLevelType w:val="hybridMultilevel"/>
    <w:tmpl w:val="54662BEA"/>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AFD782F"/>
    <w:multiLevelType w:val="hybridMultilevel"/>
    <w:tmpl w:val="FF283F24"/>
    <w:lvl w:ilvl="0" w:tplc="AB9C248C">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FD13111"/>
    <w:multiLevelType w:val="hybridMultilevel"/>
    <w:tmpl w:val="1BF26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44E4A26"/>
    <w:multiLevelType w:val="hybridMultilevel"/>
    <w:tmpl w:val="9C04B45C"/>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B12FCB"/>
    <w:multiLevelType w:val="hybridMultilevel"/>
    <w:tmpl w:val="51D4BC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B53356"/>
    <w:multiLevelType w:val="hybridMultilevel"/>
    <w:tmpl w:val="58D4523E"/>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0007F9D"/>
    <w:multiLevelType w:val="hybridMultilevel"/>
    <w:tmpl w:val="150CEFDE"/>
    <w:lvl w:ilvl="0" w:tplc="8AC63592">
      <w:start w:val="1"/>
      <w:numFmt w:val="bullet"/>
      <w:lvlText w:val=""/>
      <w:lvlJc w:val="left"/>
      <w:pPr>
        <w:tabs>
          <w:tab w:val="num" w:pos="1134"/>
        </w:tabs>
        <w:ind w:left="1134" w:hanging="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231244F"/>
    <w:multiLevelType w:val="hybridMultilevel"/>
    <w:tmpl w:val="5E3CAFCA"/>
    <w:lvl w:ilvl="0" w:tplc="C87A64BE">
      <w:start w:val="1"/>
      <w:numFmt w:val="lowerRoman"/>
      <w:lvlText w:val="%1)"/>
      <w:lvlJc w:val="left"/>
      <w:pPr>
        <w:tabs>
          <w:tab w:val="num" w:pos="1440"/>
        </w:tabs>
        <w:ind w:left="1134" w:hanging="41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5725D26"/>
    <w:multiLevelType w:val="hybridMultilevel"/>
    <w:tmpl w:val="EAE84D4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5">
    <w:nsid w:val="7A304E0E"/>
    <w:multiLevelType w:val="hybridMultilevel"/>
    <w:tmpl w:val="6BAC37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D7535D0"/>
    <w:multiLevelType w:val="hybridMultilevel"/>
    <w:tmpl w:val="71C866A0"/>
    <w:lvl w:ilvl="0" w:tplc="ADAE8D3C">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num w:numId="1">
    <w:abstractNumId w:val="3"/>
  </w:num>
  <w:num w:numId="2">
    <w:abstractNumId w:val="13"/>
  </w:num>
  <w:num w:numId="3">
    <w:abstractNumId w:val="11"/>
  </w:num>
  <w:num w:numId="4">
    <w:abstractNumId w:val="7"/>
  </w:num>
  <w:num w:numId="5">
    <w:abstractNumId w:val="18"/>
  </w:num>
  <w:num w:numId="6">
    <w:abstractNumId w:val="20"/>
  </w:num>
  <w:num w:numId="7">
    <w:abstractNumId w:val="25"/>
  </w:num>
  <w:num w:numId="8">
    <w:abstractNumId w:val="5"/>
  </w:num>
  <w:num w:numId="9">
    <w:abstractNumId w:val="0"/>
  </w:num>
  <w:num w:numId="10">
    <w:abstractNumId w:val="26"/>
  </w:num>
  <w:num w:numId="11">
    <w:abstractNumId w:val="24"/>
  </w:num>
  <w:num w:numId="12">
    <w:abstractNumId w:val="23"/>
  </w:num>
  <w:num w:numId="13">
    <w:abstractNumId w:val="2"/>
  </w:num>
  <w:num w:numId="14">
    <w:abstractNumId w:val="6"/>
  </w:num>
  <w:num w:numId="15">
    <w:abstractNumId w:val="17"/>
  </w:num>
  <w:num w:numId="16">
    <w:abstractNumId w:val="8"/>
  </w:num>
  <w:num w:numId="17">
    <w:abstractNumId w:val="21"/>
  </w:num>
  <w:num w:numId="18">
    <w:abstractNumId w:val="12"/>
  </w:num>
  <w:num w:numId="19">
    <w:abstractNumId w:val="14"/>
  </w:num>
  <w:num w:numId="20">
    <w:abstractNumId w:val="9"/>
  </w:num>
  <w:num w:numId="21">
    <w:abstractNumId w:val="1"/>
  </w:num>
  <w:num w:numId="22">
    <w:abstractNumId w:val="15"/>
  </w:num>
  <w:num w:numId="23">
    <w:abstractNumId w:val="16"/>
  </w:num>
  <w:num w:numId="24">
    <w:abstractNumId w:val="4"/>
  </w:num>
  <w:num w:numId="25">
    <w:abstractNumId w:val="10"/>
  </w:num>
  <w:num w:numId="26">
    <w:abstractNumId w:val="2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1" w:dllVersion="512" w:checkStyle="1"/>
  <w:doNotTrackMoves/>
  <w:defaultTabStop w:val="709"/>
  <w:evenAndOddHeaders/>
  <w:drawingGridHorizontalSpacing w:val="120"/>
  <w:displayHorizontalDrawingGridEvery w:val="2"/>
  <w:displayVerticalDrawingGridEvery w:val="2"/>
  <w:noPunctuationKerning/>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noTabHangInd/>
    <w:showBreaksInFrames/>
    <w:swapBordersFacingPages/>
    <w:footnoteLayoutLikeWW8/>
    <w:noSpaceRaiseLower/>
    <w:layoutRawTableWidth/>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3"/>
      <w:szCs w:val="24"/>
      <w:lang w:val="ru-RU" w:eastAsia="ru-RU"/>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bCs/>
    </w:rPr>
  </w:style>
  <w:style w:type="paragraph" w:styleId="Heading4">
    <w:name w:val="heading 4"/>
    <w:basedOn w:val="Normal"/>
    <w:next w:val="Normal"/>
    <w:qFormat/>
    <w:pPr>
      <w:keepNext/>
      <w:tabs>
        <w:tab w:val="left" w:pos="567"/>
        <w:tab w:val="left" w:pos="1134"/>
        <w:tab w:val="left" w:pos="1701"/>
        <w:tab w:val="left" w:pos="2268"/>
        <w:tab w:val="left" w:pos="6237"/>
      </w:tabs>
      <w:spacing w:line="288" w:lineRule="auto"/>
      <w:outlineLvl w:val="3"/>
    </w:pPr>
    <w:rPr>
      <w:b/>
      <w:i/>
      <w:szCs w:val="20"/>
      <w:lang w:eastAsia="en-US"/>
    </w:rPr>
  </w:style>
  <w:style w:type="paragraph" w:styleId="Heading5">
    <w:name w:val="heading 5"/>
    <w:basedOn w:val="Normal"/>
    <w:next w:val="Normal"/>
    <w:qFormat/>
    <w:pPr>
      <w:keepNext/>
      <w:tabs>
        <w:tab w:val="left" w:pos="567"/>
        <w:tab w:val="left" w:pos="1134"/>
        <w:tab w:val="left" w:pos="1701"/>
        <w:tab w:val="left" w:pos="2268"/>
        <w:tab w:val="left" w:pos="6237"/>
      </w:tabs>
      <w:spacing w:line="288" w:lineRule="auto"/>
      <w:outlineLvl w:val="4"/>
    </w:pPr>
    <w:rPr>
      <w:i/>
      <w:szCs w:val="20"/>
      <w:u w:val="single"/>
      <w:lang w:eastAsia="en-US"/>
    </w:rPr>
  </w:style>
  <w:style w:type="paragraph" w:styleId="Heading6">
    <w:name w:val="heading 6"/>
    <w:basedOn w:val="Normal"/>
    <w:next w:val="Normal"/>
    <w:qFormat/>
    <w:pPr>
      <w:tabs>
        <w:tab w:val="left" w:pos="567"/>
        <w:tab w:val="left" w:pos="1134"/>
        <w:tab w:val="left" w:pos="1701"/>
        <w:tab w:val="left" w:pos="2268"/>
        <w:tab w:val="left" w:pos="6237"/>
      </w:tabs>
      <w:spacing w:line="288" w:lineRule="auto"/>
      <w:outlineLvl w:val="5"/>
    </w:pPr>
    <w:rPr>
      <w:b/>
      <w:szCs w:val="20"/>
      <w:u w:val="single"/>
      <w:lang w:eastAsia="en-US"/>
    </w:rPr>
  </w:style>
  <w:style w:type="paragraph" w:styleId="Heading7">
    <w:name w:val="heading 7"/>
    <w:basedOn w:val="Normal"/>
    <w:next w:val="Normal"/>
    <w:qFormat/>
    <w:pPr>
      <w:keepNext/>
      <w:tabs>
        <w:tab w:val="left" w:pos="1428"/>
      </w:tabs>
      <w:spacing w:after="240"/>
      <w:ind w:left="1428" w:hanging="1428"/>
      <w:jc w:val="center"/>
      <w:outlineLvl w:val="6"/>
    </w:pPr>
    <w:rPr>
      <w:b/>
      <w:bCs/>
    </w:rPr>
  </w:style>
  <w:style w:type="paragraph" w:styleId="Heading8">
    <w:name w:val="heading 8"/>
    <w:basedOn w:val="Normal"/>
    <w:next w:val="Normal"/>
    <w:qFormat/>
    <w:pPr>
      <w:keepNext/>
      <w:spacing w:before="60" w:after="60"/>
      <w:jc w:val="center"/>
      <w:outlineLvl w:val="7"/>
    </w:pPr>
    <w:rPr>
      <w:b/>
      <w:bCs/>
      <w:sz w:val="20"/>
    </w:rPr>
  </w:style>
  <w:style w:type="paragraph" w:styleId="Heading9">
    <w:name w:val="heading 9"/>
    <w:basedOn w:val="Normal"/>
    <w:next w:val="Normal"/>
    <w:qFormat/>
    <w:pPr>
      <w:keepNext/>
      <w:spacing w:after="240"/>
      <w:ind w:left="720"/>
      <w:outlineLvl w:val="8"/>
    </w:pPr>
    <w:rPr>
      <w:b/>
      <w:bCs/>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1">
    <w:name w:val=" Знак Знак11"/>
    <w:rPr>
      <w:b/>
      <w:caps/>
      <w:sz w:val="23"/>
      <w:lang w:val="en-GB" w:eastAsia="en-US" w:bidi="ar-SA"/>
    </w:rPr>
  </w:style>
  <w:style w:type="character" w:customStyle="1" w:styleId="10">
    <w:name w:val=" Знак Знак10"/>
    <w:semiHidden/>
    <w:rPr>
      <w:b/>
      <w:sz w:val="23"/>
      <w:lang w:val="en-GB" w:eastAsia="en-US" w:bidi="ar-SA"/>
    </w:rPr>
  </w:style>
  <w:style w:type="character" w:customStyle="1" w:styleId="9">
    <w:name w:val=" Знак Знак9"/>
    <w:semiHidden/>
    <w:rPr>
      <w:b/>
      <w:bCs/>
      <w:sz w:val="23"/>
      <w:szCs w:val="24"/>
      <w:lang w:val="ru-RU" w:eastAsia="ru-RU" w:bidi="ar-SA"/>
    </w:rPr>
  </w:style>
  <w:style w:type="character" w:customStyle="1" w:styleId="8">
    <w:name w:val=" Знак Знак8"/>
    <w:semiHidden/>
    <w:rPr>
      <w:b/>
      <w:i/>
      <w:sz w:val="23"/>
      <w:lang w:val="ru-RU" w:eastAsia="en-US" w:bidi="ar-SA"/>
    </w:rPr>
  </w:style>
  <w:style w:type="character" w:customStyle="1" w:styleId="7">
    <w:name w:val=" Знак Знак7"/>
    <w:semiHidden/>
    <w:rPr>
      <w:b/>
      <w:sz w:val="23"/>
      <w:u w:val="single"/>
      <w:lang w:val="ru-RU" w:eastAsia="en-US" w:bidi="ar-SA"/>
    </w:rPr>
  </w:style>
  <w:style w:type="character" w:styleId="FootnoteReference">
    <w:name w:val="footnote reference"/>
    <w:aliases w:val="Ref,de nota al pie"/>
    <w:semiHidden/>
    <w:rPr>
      <w:sz w:val="22"/>
      <w:vertAlign w:val="superscript"/>
    </w:rPr>
  </w:style>
  <w:style w:type="paragraph" w:styleId="FootnoteText">
    <w:name w:val="footnote text"/>
    <w:basedOn w:val="Normal"/>
    <w:semiHidden/>
    <w:pPr>
      <w:tabs>
        <w:tab w:val="left" w:pos="284"/>
      </w:tabs>
      <w:jc w:val="both"/>
    </w:pPr>
    <w:rPr>
      <w:sz w:val="18"/>
      <w:szCs w:val="20"/>
      <w:lang w:val="en-GB" w:eastAsia="en-US"/>
    </w:rPr>
  </w:style>
  <w:style w:type="character" w:customStyle="1" w:styleId="a">
    <w:name w:val="Текст сноски Знак Знак"/>
    <w:semiHidden/>
    <w:rPr>
      <w:sz w:val="18"/>
      <w:lang w:val="en-GB" w:eastAsia="en-US" w:bidi="ar-SA"/>
    </w:rPr>
  </w:style>
  <w:style w:type="paragraph" w:styleId="Header">
    <w:name w:val="header"/>
    <w:basedOn w:val="Normal"/>
    <w:semiHidden/>
    <w:pPr>
      <w:tabs>
        <w:tab w:val="center" w:pos="4677"/>
        <w:tab w:val="right" w:pos="9355"/>
      </w:tabs>
    </w:pPr>
  </w:style>
  <w:style w:type="character" w:customStyle="1" w:styleId="5">
    <w:name w:val=" Знак Знак5"/>
    <w:semiHidden/>
    <w:rPr>
      <w:sz w:val="23"/>
      <w:szCs w:val="24"/>
      <w:lang w:val="ru-RU" w:eastAsia="ru-RU" w:bidi="ar-SA"/>
    </w:rPr>
  </w:style>
  <w:style w:type="paragraph" w:styleId="Footer">
    <w:name w:val="footer"/>
    <w:basedOn w:val="Normal"/>
    <w:semiHidden/>
    <w:pPr>
      <w:tabs>
        <w:tab w:val="center" w:pos="4677"/>
        <w:tab w:val="right" w:pos="9355"/>
      </w:tabs>
    </w:pPr>
  </w:style>
  <w:style w:type="character" w:customStyle="1" w:styleId="4">
    <w:name w:val=" Знак Знак4"/>
    <w:semiHidden/>
    <w:rPr>
      <w:sz w:val="23"/>
      <w:szCs w:val="24"/>
      <w:lang w:val="ru-RU" w:eastAsia="ru-RU" w:bidi="ar-SA"/>
    </w:rPr>
  </w:style>
  <w:style w:type="character" w:styleId="PageNumber">
    <w:name w:val="page number"/>
    <w:basedOn w:val="DefaultParagraphFont"/>
    <w:semiHidden/>
  </w:style>
  <w:style w:type="paragraph" w:styleId="ListBullet">
    <w:name w:val="List Bullet"/>
    <w:basedOn w:val="Normal"/>
    <w:autoRedefine/>
    <w:semiHidden/>
    <w:pPr>
      <w:numPr>
        <w:numId w:val="1"/>
      </w:numPr>
      <w:tabs>
        <w:tab w:val="left" w:pos="1134"/>
        <w:tab w:val="left" w:pos="1701"/>
        <w:tab w:val="left" w:pos="2268"/>
        <w:tab w:val="left" w:pos="6237"/>
      </w:tabs>
      <w:spacing w:line="288" w:lineRule="auto"/>
    </w:pPr>
    <w:rPr>
      <w:szCs w:val="20"/>
      <w:lang w:eastAsia="en-US"/>
    </w:rPr>
  </w:style>
  <w:style w:type="paragraph" w:customStyle="1" w:styleId="SingleTxt">
    <w:name w:val="__Single Txt"/>
    <w:basedOn w:val="Normal"/>
    <w:semiHidden/>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szCs w:val="20"/>
    </w:rPr>
  </w:style>
  <w:style w:type="paragraph" w:styleId="BodyTextIndent">
    <w:name w:val="Body Text Indent"/>
    <w:basedOn w:val="Normal"/>
    <w:semiHidden/>
    <w:pPr>
      <w:tabs>
        <w:tab w:val="left" w:pos="1122"/>
      </w:tabs>
      <w:spacing w:after="240"/>
      <w:ind w:left="1122" w:hanging="561"/>
      <w:jc w:val="both"/>
    </w:pPr>
  </w:style>
  <w:style w:type="character" w:customStyle="1" w:styleId="a0">
    <w:name w:val=" Знак Знак"/>
    <w:semiHidden/>
    <w:rPr>
      <w:sz w:val="23"/>
      <w:szCs w:val="24"/>
      <w:lang w:val="ru-RU" w:eastAsia="ru-RU" w:bidi="ar-SA"/>
    </w:rPr>
  </w:style>
  <w:style w:type="paragraph" w:styleId="BodyText">
    <w:name w:val="Body Text"/>
    <w:basedOn w:val="Normal"/>
    <w:semiHidden/>
    <w:pPr>
      <w:spacing w:after="240"/>
    </w:pPr>
    <w:rPr>
      <w:b/>
      <w:bCs/>
    </w:rPr>
  </w:style>
  <w:style w:type="character" w:customStyle="1" w:styleId="1">
    <w:name w:val=" Знак Знак1"/>
    <w:semiHidden/>
    <w:rPr>
      <w:b/>
      <w:bCs/>
      <w:sz w:val="23"/>
      <w:szCs w:val="24"/>
      <w:lang w:val="ru-RU" w:eastAsia="ru-RU" w:bidi="ar-SA"/>
    </w:rPr>
  </w:style>
  <w:style w:type="paragraph" w:customStyle="1" w:styleId="a1">
    <w:name w:val="сканер"/>
    <w:basedOn w:val="Normal"/>
    <w:semiHidden/>
    <w:pPr>
      <w:widowControl w:val="0"/>
      <w:shd w:val="clear" w:color="auto" w:fill="FFFFFF"/>
      <w:autoSpaceDE w:val="0"/>
      <w:autoSpaceDN w:val="0"/>
      <w:adjustRightInd w:val="0"/>
      <w:spacing w:after="240"/>
    </w:pPr>
    <w:rPr>
      <w:color w:val="000000"/>
    </w:rPr>
  </w:style>
  <w:style w:type="paragraph" w:styleId="BodyTextIndent2">
    <w:name w:val="Body Text Indent 2"/>
    <w:basedOn w:val="Normal"/>
    <w:semiHidden/>
    <w:pPr>
      <w:tabs>
        <w:tab w:val="left" w:pos="1701"/>
        <w:tab w:val="left" w:pos="2268"/>
        <w:tab w:val="right" w:leader="dot" w:pos="8391"/>
        <w:tab w:val="center" w:pos="9122"/>
      </w:tabs>
      <w:ind w:left="1678" w:hanging="1678"/>
    </w:pPr>
  </w:style>
  <w:style w:type="paragraph" w:customStyle="1" w:styleId="Notasalfinal">
    <w:name w:val="Notas al final"/>
    <w:basedOn w:val="Normal"/>
    <w:semiHidden/>
    <w:pPr>
      <w:spacing w:before="240"/>
      <w:jc w:val="both"/>
    </w:pPr>
    <w:rPr>
      <w:rFonts w:ascii="Arial" w:hAnsi="Arial"/>
      <w:sz w:val="20"/>
      <w:lang w:val="es-ES" w:eastAsia="es-ES"/>
    </w:rPr>
  </w:style>
  <w:style w:type="character" w:styleId="Hyperlink">
    <w:name w:val="Hyperlink"/>
    <w:semiHidden/>
    <w:rPr>
      <w:color w:val="0000FF"/>
      <w:u w:val="single"/>
    </w:rPr>
  </w:style>
  <w:style w:type="paragraph" w:customStyle="1" w:styleId="12">
    <w:name w:val="текст 1"/>
    <w:basedOn w:val="Normal"/>
    <w:semiHidden/>
    <w:pPr>
      <w:tabs>
        <w:tab w:val="left" w:pos="567"/>
        <w:tab w:val="left" w:pos="1134"/>
        <w:tab w:val="left" w:pos="1701"/>
        <w:tab w:val="left" w:pos="2268"/>
        <w:tab w:val="left" w:pos="6237"/>
      </w:tabs>
      <w:spacing w:line="288" w:lineRule="auto"/>
    </w:pPr>
    <w:rPr>
      <w:szCs w:val="20"/>
      <w:lang w:eastAsia="en-US"/>
    </w:rPr>
  </w:style>
  <w:style w:type="paragraph" w:customStyle="1" w:styleId="2">
    <w:name w:val="текст 2"/>
    <w:basedOn w:val="Normal"/>
    <w:semiHidden/>
    <w:pPr>
      <w:tabs>
        <w:tab w:val="left" w:pos="567"/>
        <w:tab w:val="left" w:pos="1134"/>
        <w:tab w:val="left" w:pos="1701"/>
        <w:tab w:val="left" w:pos="2268"/>
        <w:tab w:val="left" w:pos="6237"/>
      </w:tabs>
      <w:spacing w:line="288" w:lineRule="auto"/>
    </w:pPr>
    <w:rPr>
      <w:szCs w:val="20"/>
      <w:lang w:eastAsia="en-US"/>
    </w:rPr>
  </w:style>
  <w:style w:type="paragraph" w:customStyle="1" w:styleId="100">
    <w:name w:val="Заголовок 10"/>
    <w:basedOn w:val="Title"/>
    <w:semiHidden/>
  </w:style>
  <w:style w:type="paragraph" w:styleId="Title">
    <w:name w:val="Title"/>
    <w:basedOn w:val="Normal"/>
    <w:qFormat/>
    <w:pPr>
      <w:tabs>
        <w:tab w:val="left" w:pos="567"/>
        <w:tab w:val="left" w:pos="1134"/>
        <w:tab w:val="left" w:pos="1701"/>
        <w:tab w:val="left" w:pos="2268"/>
        <w:tab w:val="left" w:pos="6237"/>
      </w:tabs>
      <w:spacing w:line="288" w:lineRule="auto"/>
      <w:jc w:val="center"/>
    </w:pPr>
    <w:rPr>
      <w:b/>
      <w:szCs w:val="20"/>
      <w:lang w:eastAsia="en-US"/>
    </w:rPr>
  </w:style>
  <w:style w:type="paragraph" w:customStyle="1" w:styleId="110">
    <w:name w:val="Заголовок 11"/>
    <w:basedOn w:val="Subtitle"/>
    <w:semiHidden/>
  </w:style>
  <w:style w:type="paragraph" w:styleId="Subtitle">
    <w:name w:val="Subtitle"/>
    <w:basedOn w:val="Normal"/>
    <w:qFormat/>
    <w:pPr>
      <w:tabs>
        <w:tab w:val="left" w:pos="567"/>
        <w:tab w:val="left" w:pos="1134"/>
        <w:tab w:val="left" w:pos="1701"/>
        <w:tab w:val="left" w:pos="2268"/>
        <w:tab w:val="left" w:pos="6237"/>
      </w:tabs>
      <w:spacing w:line="288" w:lineRule="auto"/>
      <w:jc w:val="center"/>
    </w:pPr>
    <w:rPr>
      <w:szCs w:val="20"/>
      <w:u w:val="single"/>
      <w:lang w:eastAsia="en-US"/>
    </w:rPr>
  </w:style>
  <w:style w:type="paragraph" w:customStyle="1" w:styleId="120">
    <w:name w:val="Заголовок 12"/>
    <w:basedOn w:val="Normal"/>
    <w:semiHidden/>
    <w:pPr>
      <w:tabs>
        <w:tab w:val="left" w:pos="567"/>
        <w:tab w:val="left" w:pos="1134"/>
        <w:tab w:val="left" w:pos="1701"/>
        <w:tab w:val="left" w:pos="2268"/>
        <w:tab w:val="left" w:pos="6237"/>
      </w:tabs>
      <w:spacing w:line="288" w:lineRule="auto"/>
      <w:jc w:val="center"/>
    </w:pPr>
    <w:rPr>
      <w:i/>
      <w:szCs w:val="20"/>
      <w:lang w:eastAsia="en-US"/>
    </w:rPr>
  </w:style>
  <w:style w:type="paragraph" w:customStyle="1" w:styleId="13">
    <w:name w:val="Заголовок 13"/>
    <w:basedOn w:val="Normal"/>
    <w:semiHidden/>
    <w:pPr>
      <w:tabs>
        <w:tab w:val="left" w:pos="567"/>
        <w:tab w:val="left" w:pos="1134"/>
        <w:tab w:val="left" w:pos="1701"/>
        <w:tab w:val="left" w:pos="2268"/>
        <w:tab w:val="left" w:pos="6237"/>
      </w:tabs>
      <w:spacing w:line="288" w:lineRule="auto"/>
      <w:jc w:val="center"/>
    </w:pPr>
    <w:rPr>
      <w:b/>
      <w:i/>
      <w:szCs w:val="20"/>
      <w:lang w:eastAsia="en-US"/>
    </w:rPr>
  </w:style>
  <w:style w:type="paragraph" w:customStyle="1" w:styleId="14">
    <w:name w:val="Заголовок 14"/>
    <w:basedOn w:val="Normal"/>
    <w:semiHidden/>
    <w:pPr>
      <w:tabs>
        <w:tab w:val="left" w:pos="567"/>
        <w:tab w:val="left" w:pos="1134"/>
        <w:tab w:val="left" w:pos="1701"/>
        <w:tab w:val="left" w:pos="2268"/>
        <w:tab w:val="left" w:pos="6237"/>
      </w:tabs>
      <w:spacing w:line="288" w:lineRule="auto"/>
      <w:jc w:val="center"/>
    </w:pPr>
    <w:rPr>
      <w:b/>
      <w:szCs w:val="20"/>
      <w:u w:val="single"/>
      <w:lang w:eastAsia="en-US"/>
    </w:rPr>
  </w:style>
  <w:style w:type="paragraph" w:customStyle="1" w:styleId="15">
    <w:name w:val="Заголовок 15"/>
    <w:basedOn w:val="Normal"/>
    <w:semiHidden/>
    <w:pPr>
      <w:tabs>
        <w:tab w:val="left" w:pos="567"/>
        <w:tab w:val="left" w:pos="1134"/>
        <w:tab w:val="left" w:pos="1701"/>
        <w:tab w:val="left" w:pos="2268"/>
        <w:tab w:val="left" w:pos="6237"/>
      </w:tabs>
      <w:spacing w:line="288" w:lineRule="auto"/>
      <w:jc w:val="center"/>
    </w:pPr>
    <w:rPr>
      <w:i/>
      <w:szCs w:val="20"/>
      <w:u w:val="single"/>
      <w:lang w:eastAsia="en-US"/>
    </w:rPr>
  </w:style>
  <w:style w:type="paragraph" w:customStyle="1" w:styleId="16">
    <w:name w:val="Заголовок 16"/>
    <w:basedOn w:val="Normal"/>
    <w:semiHidden/>
    <w:pPr>
      <w:tabs>
        <w:tab w:val="left" w:pos="567"/>
        <w:tab w:val="left" w:pos="1134"/>
        <w:tab w:val="left" w:pos="1701"/>
        <w:tab w:val="left" w:pos="2268"/>
        <w:tab w:val="left" w:pos="6237"/>
      </w:tabs>
      <w:spacing w:line="288" w:lineRule="auto"/>
      <w:jc w:val="center"/>
    </w:pPr>
    <w:rPr>
      <w:szCs w:val="20"/>
      <w:lang w:eastAsia="en-US"/>
    </w:rPr>
  </w:style>
  <w:style w:type="paragraph" w:styleId="BodyTextIndent3">
    <w:name w:val="Body Text Indent 3"/>
    <w:basedOn w:val="Normal"/>
    <w:semiHidden/>
    <w:pPr>
      <w:spacing w:after="240"/>
      <w:ind w:left="709" w:hanging="709"/>
    </w:pPr>
  </w:style>
  <w:style w:type="paragraph" w:styleId="BodyText2">
    <w:name w:val="Body Text 2"/>
    <w:basedOn w:val="Normal"/>
    <w:semiHidden/>
    <w:pPr>
      <w:spacing w:after="120" w:line="480" w:lineRule="auto"/>
    </w:pPr>
    <w:rPr>
      <w:lang w:val="en-US" w:eastAsia="en-US"/>
    </w:rPr>
  </w:style>
  <w:style w:type="character" w:customStyle="1" w:styleId="3">
    <w:name w:val=" Знак Знак3"/>
    <w:semiHidden/>
    <w:rPr>
      <w:sz w:val="23"/>
      <w:szCs w:val="24"/>
      <w:lang w:val="en-US" w:eastAsia="en-US" w:bidi="ar-SA"/>
    </w:rPr>
  </w:style>
  <w:style w:type="paragraph" w:styleId="BodyText3">
    <w:name w:val="Body Text 3"/>
    <w:basedOn w:val="Normal"/>
    <w:semiHidden/>
    <w:pPr>
      <w:spacing w:after="120"/>
    </w:pPr>
    <w:rPr>
      <w:sz w:val="16"/>
      <w:szCs w:val="16"/>
      <w:lang w:val="es-ES" w:eastAsia="es-ES"/>
    </w:rPr>
  </w:style>
  <w:style w:type="paragraph" w:styleId="NormalWeb">
    <w:name w:val="Normal (Web)"/>
    <w:basedOn w:val="Normal"/>
    <w:semiHidden/>
    <w:pPr>
      <w:spacing w:before="100" w:beforeAutospacing="1" w:after="100" w:afterAutospacing="1"/>
    </w:pPr>
    <w:rPr>
      <w:rFonts w:eastAsia="SimSun"/>
      <w:lang w:val="en-US" w:eastAsia="zh-CN"/>
    </w:rPr>
  </w:style>
  <w:style w:type="paragraph" w:customStyle="1" w:styleId="WW-Encabezadodelatabla111111111111111111111111111">
    <w:name w:val="WW-Encabezado de la tabla111111111111111111111111111"/>
    <w:basedOn w:val="WW-Contenidodelatabla111111111111111111111111111"/>
    <w:semiHidden/>
    <w:pPr>
      <w:jc w:val="center"/>
    </w:pPr>
    <w:rPr>
      <w:b/>
      <w:bCs/>
      <w:i/>
      <w:iCs/>
    </w:rPr>
  </w:style>
  <w:style w:type="paragraph" w:customStyle="1" w:styleId="WW-Contenidodelatabla111111111111111111111111111">
    <w:name w:val="WW-Contenido de la tabla111111111111111111111111111"/>
    <w:basedOn w:val="BodyText"/>
    <w:semiHidden/>
    <w:pPr>
      <w:widowControl w:val="0"/>
      <w:suppressLineNumbers/>
      <w:suppressAutoHyphens/>
      <w:spacing w:after="120"/>
    </w:pPr>
    <w:rPr>
      <w:rFonts w:ascii="Thorndale" w:eastAsia="Andale Sans UI" w:hAnsi="Thorndale"/>
      <w:b w:val="0"/>
      <w:bCs w:val="0"/>
      <w:szCs w:val="20"/>
      <w:lang w:val="es-ES_tradnl"/>
    </w:rPr>
  </w:style>
  <w:style w:type="paragraph" w:customStyle="1" w:styleId="612">
    <w:name w:val="Стиль Заголовок 6 + без подчеркивания После:  12 пт Междустр.инте..."/>
    <w:basedOn w:val="Heading6"/>
    <w:semiHidden/>
    <w:pPr>
      <w:tabs>
        <w:tab w:val="clear" w:pos="567"/>
        <w:tab w:val="left" w:pos="709"/>
      </w:tabs>
      <w:spacing w:after="240" w:line="240" w:lineRule="auto"/>
    </w:pPr>
    <w:rPr>
      <w:bCs/>
      <w:u w:val="none"/>
    </w:rPr>
  </w:style>
  <w:style w:type="paragraph" w:styleId="EndnoteText">
    <w:name w:val="endnote text"/>
    <w:basedOn w:val="Normal"/>
    <w:semiHidden/>
    <w:unhideWhenUsed/>
    <w:pPr>
      <w:spacing w:before="60" w:after="60"/>
      <w:jc w:val="center"/>
    </w:pPr>
    <w:rPr>
      <w:rFonts w:ascii="Calibri" w:eastAsia="Calibri" w:hAnsi="Calibri"/>
      <w:sz w:val="20"/>
      <w:szCs w:val="20"/>
      <w:lang w:eastAsia="en-US"/>
    </w:rPr>
  </w:style>
  <w:style w:type="character" w:customStyle="1" w:styleId="20">
    <w:name w:val=" Знак Знак2"/>
    <w:semiHidden/>
    <w:rPr>
      <w:rFonts w:ascii="Calibri" w:eastAsia="Calibri" w:hAnsi="Calibri"/>
      <w:lang w:val="ru-RU" w:eastAsia="en-US" w:bidi="ar-SA"/>
    </w:rPr>
  </w:style>
  <w:style w:type="paragraph" w:customStyle="1" w:styleId="Style">
    <w:name w:val="Style"/>
    <w:semiHidden/>
    <w:pPr>
      <w:widowControl w:val="0"/>
      <w:autoSpaceDE w:val="0"/>
      <w:autoSpaceDN w:val="0"/>
      <w:adjustRightInd w:val="0"/>
    </w:pPr>
    <w:rPr>
      <w:szCs w:val="24"/>
      <w:lang w:val="en-US" w:eastAsia="en-US"/>
    </w:rPr>
  </w:style>
  <w:style w:type="paragraph" w:customStyle="1" w:styleId="a2">
    <w:name w:val="Содержание"/>
    <w:basedOn w:val="Normal"/>
    <w:pPr>
      <w:tabs>
        <w:tab w:val="left" w:pos="1701"/>
        <w:tab w:val="center" w:pos="8222"/>
        <w:tab w:val="right" w:pos="9639"/>
      </w:tabs>
      <w:suppressAutoHyphens/>
      <w:spacing w:before="120"/>
    </w:pPr>
    <w:rPr>
      <w:sz w:val="20"/>
      <w:szCs w:val="20"/>
    </w:rPr>
  </w:style>
  <w:style w:type="character" w:customStyle="1" w:styleId="111">
    <w:name w:val="Стиль 11 пт"/>
    <w:rPr>
      <w:rFonts w:ascii="Times New Roman" w:hAnsi="Times New Roman"/>
      <w:sz w:val="22"/>
    </w:rPr>
  </w:style>
  <w:style w:type="paragraph" w:customStyle="1" w:styleId="17">
    <w:name w:val="Стиль1"/>
    <w:basedOn w:val="Normal"/>
    <w:pPr>
      <w:jc w:val="both"/>
    </w:pPr>
  </w:style>
  <w:style w:type="paragraph" w:customStyle="1" w:styleId="112">
    <w:name w:val="Стиль 11пт По ширине"/>
    <w:basedOn w:val="Normal"/>
    <w:pPr>
      <w:tabs>
        <w:tab w:val="left" w:pos="680"/>
        <w:tab w:val="left" w:pos="1134"/>
      </w:tabs>
      <w:spacing w:before="240"/>
      <w:jc w:val="both"/>
    </w:pPr>
    <w:rPr>
      <w:sz w:val="22"/>
      <w:szCs w:val="20"/>
    </w:rPr>
  </w:style>
  <w:style w:type="paragraph" w:customStyle="1" w:styleId="a3">
    <w:name w:val="Таблицы"/>
    <w:basedOn w:val="Normal"/>
    <w:rPr>
      <w:sz w:val="20"/>
    </w:rPr>
  </w:style>
  <w:style w:type="character" w:customStyle="1" w:styleId="113">
    <w:name w:val="Стиль 11пт По ширине Знак Знак"/>
    <w:rPr>
      <w:sz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gnca.nic.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97761</Words>
  <Characters>557239</Characters>
  <Application>Microsoft Office Word</Application>
  <DocSecurity>4</DocSecurity>
  <Lines>4643</Lines>
  <Paragraphs>1114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
  <LinksUpToDate>false</LinksUpToDate>
  <CharactersWithSpaces>684328</CharactersWithSpaces>
  <SharedDoc>false</SharedDoc>
  <HLinks>
    <vt:vector size="6" baseType="variant">
      <vt:variant>
        <vt:i4>393299</vt:i4>
      </vt:variant>
      <vt:variant>
        <vt:i4>9</vt:i4>
      </vt:variant>
      <vt:variant>
        <vt:i4>0</vt:i4>
      </vt:variant>
      <vt:variant>
        <vt:i4>5</vt:i4>
      </vt:variant>
      <vt:variant>
        <vt:lpwstr>http://www.ignca.nic.in/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Natalia</dc:creator>
  <cp:keywords/>
  <dc:description/>
  <cp:lastModifiedBy>csd</cp:lastModifiedBy>
  <cp:revision>2</cp:revision>
  <cp:lastPrinted>2007-08-30T07:19:00Z</cp:lastPrinted>
  <dcterms:created xsi:type="dcterms:W3CDTF">2007-08-30T13:24:00Z</dcterms:created>
  <dcterms:modified xsi:type="dcterms:W3CDTF">2007-08-30T13:24:00Z</dcterms:modified>
</cp:coreProperties>
</file>