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30692A" w14:paraId="09649C1B" w14:textId="77777777" w:rsidTr="00912700">
        <w:trPr>
          <w:trHeight w:hRule="exact" w:val="851"/>
        </w:trPr>
        <w:tc>
          <w:tcPr>
            <w:tcW w:w="1274" w:type="dxa"/>
            <w:tcBorders>
              <w:bottom w:val="single" w:sz="4" w:space="0" w:color="auto"/>
            </w:tcBorders>
          </w:tcPr>
          <w:p w14:paraId="4B6FEE35" w14:textId="77777777" w:rsidR="006B3E27" w:rsidRPr="005445EF" w:rsidRDefault="006B3E27" w:rsidP="004E631C">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2012352E" w14:textId="77777777" w:rsidR="006B3E27" w:rsidRPr="0030692A" w:rsidRDefault="006B3E27" w:rsidP="00F83E84">
            <w:pPr>
              <w:spacing w:after="80" w:line="480" w:lineRule="exact"/>
              <w:ind w:left="57"/>
              <w:jc w:val="left"/>
              <w:rPr>
                <w:sz w:val="30"/>
                <w:szCs w:val="30"/>
                <w:rtl/>
              </w:rPr>
            </w:pPr>
            <w:r w:rsidRPr="0030692A">
              <w:rPr>
                <w:rFonts w:hint="cs"/>
                <w:sz w:val="30"/>
                <w:szCs w:val="30"/>
                <w:rtl/>
              </w:rPr>
              <w:t>الأمم المتحدة</w:t>
            </w:r>
          </w:p>
        </w:tc>
        <w:tc>
          <w:tcPr>
            <w:tcW w:w="3686" w:type="dxa"/>
            <w:tcBorders>
              <w:bottom w:val="single" w:sz="4" w:space="0" w:color="auto"/>
            </w:tcBorders>
            <w:vAlign w:val="bottom"/>
          </w:tcPr>
          <w:p w14:paraId="758EFBF3" w14:textId="64EBFE35" w:rsidR="006B3E27" w:rsidRPr="0030692A" w:rsidRDefault="00E80257" w:rsidP="00E80257">
            <w:pPr>
              <w:bidi w:val="0"/>
              <w:jc w:val="left"/>
            </w:pPr>
            <w:r w:rsidRPr="00DE6A9D">
              <w:rPr>
                <w:sz w:val="40"/>
              </w:rPr>
              <w:t>CERD</w:t>
            </w:r>
            <w:r w:rsidRPr="00DE6A9D">
              <w:t>/C/GEO/CO/9-10</w:t>
            </w:r>
          </w:p>
        </w:tc>
      </w:tr>
      <w:tr w:rsidR="006B3E27" w:rsidRPr="0030692A" w14:paraId="28B1EB41" w14:textId="77777777" w:rsidTr="00912700">
        <w:trPr>
          <w:trHeight w:hRule="exact" w:val="2835"/>
        </w:trPr>
        <w:tc>
          <w:tcPr>
            <w:tcW w:w="1274" w:type="dxa"/>
            <w:tcBorders>
              <w:top w:val="single" w:sz="4" w:space="0" w:color="auto"/>
              <w:bottom w:val="single" w:sz="12" w:space="0" w:color="auto"/>
            </w:tcBorders>
          </w:tcPr>
          <w:p w14:paraId="73C570FA" w14:textId="77777777" w:rsidR="006B3E27" w:rsidRPr="0030692A" w:rsidRDefault="0059622A" w:rsidP="00912700">
            <w:pPr>
              <w:jc w:val="center"/>
              <w:rPr>
                <w:rtl/>
              </w:rPr>
            </w:pPr>
            <w:r w:rsidRPr="0030692A">
              <w:rPr>
                <w:noProof/>
              </w:rPr>
              <w:drawing>
                <wp:inline distT="0" distB="0" distL="0" distR="0" wp14:anchorId="6DC2CAC5" wp14:editId="64E9DD0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88C175C" w14:textId="77777777" w:rsidR="006B3E27" w:rsidRPr="00DE6A9D" w:rsidRDefault="001E1CAD" w:rsidP="00F83E84">
            <w:pPr>
              <w:spacing w:before="120" w:after="40" w:line="640" w:lineRule="exact"/>
              <w:ind w:left="57"/>
              <w:jc w:val="left"/>
              <w:rPr>
                <w:b/>
                <w:bCs/>
                <w:sz w:val="46"/>
                <w:szCs w:val="46"/>
                <w:rtl/>
              </w:rPr>
            </w:pPr>
            <w:r w:rsidRPr="00DE6A9D">
              <w:rPr>
                <w:rFonts w:hint="cs"/>
                <w:b/>
                <w:bCs/>
                <w:sz w:val="46"/>
                <w:szCs w:val="46"/>
                <w:rtl/>
              </w:rPr>
              <w:t>ا</w:t>
            </w:r>
            <w:r w:rsidR="00523BAE" w:rsidRPr="00DE6A9D">
              <w:rPr>
                <w:rFonts w:hint="cs"/>
                <w:b/>
                <w:bCs/>
                <w:sz w:val="46"/>
                <w:szCs w:val="46"/>
                <w:rtl/>
              </w:rPr>
              <w:t>لا</w:t>
            </w:r>
            <w:r w:rsidR="004A14A6" w:rsidRPr="00DE6A9D">
              <w:rPr>
                <w:rFonts w:hint="cs"/>
                <w:b/>
                <w:bCs/>
                <w:sz w:val="46"/>
                <w:szCs w:val="46"/>
                <w:rtl/>
              </w:rPr>
              <w:t>تفاقي</w:t>
            </w:r>
            <w:r w:rsidR="00523BAE" w:rsidRPr="00DE6A9D">
              <w:rPr>
                <w:rFonts w:hint="cs"/>
                <w:b/>
                <w:bCs/>
                <w:sz w:val="46"/>
                <w:szCs w:val="46"/>
                <w:rtl/>
              </w:rPr>
              <w:t>ـ</w:t>
            </w:r>
            <w:r w:rsidR="004A14A6" w:rsidRPr="00DE6A9D">
              <w:rPr>
                <w:rFonts w:hint="cs"/>
                <w:b/>
                <w:bCs/>
                <w:sz w:val="46"/>
                <w:szCs w:val="46"/>
                <w:rtl/>
              </w:rPr>
              <w:t xml:space="preserve">ة </w:t>
            </w:r>
            <w:r w:rsidR="00523BAE" w:rsidRPr="00DE6A9D">
              <w:rPr>
                <w:rFonts w:hint="cs"/>
                <w:b/>
                <w:bCs/>
                <w:sz w:val="46"/>
                <w:szCs w:val="46"/>
                <w:rtl/>
              </w:rPr>
              <w:t>الدوليـة ل</w:t>
            </w:r>
            <w:r w:rsidR="004A14A6" w:rsidRPr="00DE6A9D">
              <w:rPr>
                <w:rFonts w:hint="cs"/>
                <w:b/>
                <w:bCs/>
                <w:sz w:val="46"/>
                <w:szCs w:val="46"/>
                <w:rtl/>
              </w:rPr>
              <w:t>لقض</w:t>
            </w:r>
            <w:r w:rsidR="00523BAE" w:rsidRPr="00DE6A9D">
              <w:rPr>
                <w:rFonts w:hint="cs"/>
                <w:b/>
                <w:bCs/>
                <w:sz w:val="46"/>
                <w:szCs w:val="46"/>
                <w:rtl/>
              </w:rPr>
              <w:t>ــ</w:t>
            </w:r>
            <w:r w:rsidR="004A14A6" w:rsidRPr="00DE6A9D">
              <w:rPr>
                <w:rFonts w:hint="cs"/>
                <w:b/>
                <w:bCs/>
                <w:sz w:val="46"/>
                <w:szCs w:val="46"/>
                <w:rtl/>
              </w:rPr>
              <w:t>اء عل</w:t>
            </w:r>
            <w:r w:rsidR="00523BAE" w:rsidRPr="00DE6A9D">
              <w:rPr>
                <w:rFonts w:hint="cs"/>
                <w:b/>
                <w:bCs/>
                <w:sz w:val="46"/>
                <w:szCs w:val="46"/>
                <w:rtl/>
              </w:rPr>
              <w:t>ـ</w:t>
            </w:r>
            <w:r w:rsidR="004A14A6" w:rsidRPr="00DE6A9D">
              <w:rPr>
                <w:rFonts w:hint="cs"/>
                <w:b/>
                <w:bCs/>
                <w:sz w:val="46"/>
                <w:szCs w:val="46"/>
                <w:rtl/>
              </w:rPr>
              <w:t xml:space="preserve">ى جميع أشكال التمييز </w:t>
            </w:r>
            <w:r w:rsidR="00523BAE" w:rsidRPr="00DE6A9D">
              <w:rPr>
                <w:rFonts w:hint="cs"/>
                <w:b/>
                <w:bCs/>
                <w:sz w:val="46"/>
                <w:szCs w:val="46"/>
                <w:rtl/>
              </w:rPr>
              <w:t>العنصري</w:t>
            </w:r>
          </w:p>
        </w:tc>
        <w:tc>
          <w:tcPr>
            <w:tcW w:w="3686" w:type="dxa"/>
            <w:tcBorders>
              <w:top w:val="single" w:sz="4" w:space="0" w:color="auto"/>
              <w:bottom w:val="single" w:sz="12" w:space="0" w:color="auto"/>
            </w:tcBorders>
          </w:tcPr>
          <w:p w14:paraId="015D4336" w14:textId="173F2B62" w:rsidR="006B3E27" w:rsidRPr="0030692A" w:rsidRDefault="00E80257" w:rsidP="002E002F">
            <w:pPr>
              <w:bidi w:val="0"/>
              <w:spacing w:before="240"/>
              <w:jc w:val="left"/>
            </w:pPr>
            <w:r w:rsidRPr="0030692A">
              <w:t>Dist</w:t>
            </w:r>
            <w:r w:rsidR="00DE6A9D" w:rsidRPr="00DE6A9D">
              <w:t>r.:</w:t>
            </w:r>
            <w:r w:rsidRPr="0030692A">
              <w:t xml:space="preserve"> General</w:t>
            </w:r>
          </w:p>
          <w:p w14:paraId="6FB05890" w14:textId="62BEDA97" w:rsidR="00E80257" w:rsidRPr="0030692A" w:rsidRDefault="00524810" w:rsidP="00E80257">
            <w:pPr>
              <w:bidi w:val="0"/>
              <w:spacing w:line="240" w:lineRule="exact"/>
              <w:jc w:val="left"/>
            </w:pPr>
            <w:r w:rsidRPr="00DE6A9D">
              <w:t>13</w:t>
            </w:r>
            <w:r w:rsidRPr="00BC79BC">
              <w:t xml:space="preserve"> December </w:t>
            </w:r>
            <w:r w:rsidRPr="00DE6A9D">
              <w:t>2022</w:t>
            </w:r>
          </w:p>
          <w:p w14:paraId="5FEB21C2" w14:textId="77777777" w:rsidR="00E80257" w:rsidRPr="0030692A" w:rsidRDefault="00E80257" w:rsidP="00E80257">
            <w:pPr>
              <w:bidi w:val="0"/>
              <w:spacing w:line="240" w:lineRule="exact"/>
              <w:jc w:val="left"/>
            </w:pPr>
            <w:r w:rsidRPr="0030692A">
              <w:t>Arabic</w:t>
            </w:r>
          </w:p>
          <w:p w14:paraId="31691E08" w14:textId="0C1DE361" w:rsidR="00E80257" w:rsidRPr="0030692A" w:rsidRDefault="00E80257" w:rsidP="00E80257">
            <w:pPr>
              <w:bidi w:val="0"/>
              <w:spacing w:line="240" w:lineRule="exact"/>
              <w:jc w:val="left"/>
            </w:pPr>
            <w:r w:rsidRPr="0030692A">
              <w:t>Origina</w:t>
            </w:r>
            <w:r w:rsidR="00DE6A9D" w:rsidRPr="00DE6A9D">
              <w:t xml:space="preserve">l: </w:t>
            </w:r>
            <w:r w:rsidRPr="0030692A">
              <w:t>English</w:t>
            </w:r>
          </w:p>
        </w:tc>
      </w:tr>
    </w:tbl>
    <w:p w14:paraId="2C9B0511" w14:textId="0A2B360C" w:rsidR="001C3681" w:rsidRPr="00DE6A9D" w:rsidRDefault="00EE5596" w:rsidP="00D37930">
      <w:pPr>
        <w:spacing w:before="120" w:line="360" w:lineRule="exact"/>
        <w:textDirection w:val="tbRlV"/>
        <w:rPr>
          <w:b/>
          <w:bCs/>
          <w:sz w:val="26"/>
          <w:szCs w:val="26"/>
        </w:rPr>
      </w:pPr>
      <w:r w:rsidRPr="00DE6A9D">
        <w:rPr>
          <w:b/>
          <w:bCs/>
          <w:sz w:val="26"/>
          <w:szCs w:val="26"/>
          <w:rtl/>
        </w:rPr>
        <w:t>لجنة القضاء على التمييز العنصري</w:t>
      </w:r>
    </w:p>
    <w:p w14:paraId="521E2452" w14:textId="77777777" w:rsidR="001C3681" w:rsidRPr="00DE6A9D" w:rsidRDefault="001C3681" w:rsidP="00102BAC">
      <w:pPr>
        <w:pStyle w:val="HChGA"/>
        <w:rPr>
          <w:lang w:val="en-US" w:eastAsia="zh-TW" w:bidi="en-GB"/>
        </w:rPr>
      </w:pPr>
      <w:r w:rsidRPr="00DE6A9D">
        <w:rPr>
          <w:rtl/>
        </w:rPr>
        <w:tab/>
      </w:r>
      <w:r w:rsidRPr="00DE6A9D">
        <w:rPr>
          <w:rtl/>
        </w:rPr>
        <w:tab/>
        <w:t>الملاحظات الختامية بشأن التقرير الجامع للتقريرين الدوريين التاسع والعاشر لجورجيا</w:t>
      </w:r>
      <w:r w:rsidRPr="00DE6A9D">
        <w:rPr>
          <w:sz w:val="26"/>
          <w:szCs w:val="26"/>
          <w:rtl/>
        </w:rPr>
        <w:footnoteReference w:customMarkFollows="1" w:id="1"/>
        <w:t>*</w:t>
      </w:r>
    </w:p>
    <w:p w14:paraId="2EA30C38" w14:textId="6848C838" w:rsidR="00DE6A9D" w:rsidRPr="00DE6A9D" w:rsidRDefault="001C3681" w:rsidP="00F41E33">
      <w:pPr>
        <w:pStyle w:val="SingleTxtGA"/>
        <w:rPr>
          <w:lang w:val="ar-SA" w:eastAsia="zh-TW" w:bidi="en-GB"/>
        </w:rPr>
      </w:pPr>
      <w:r w:rsidRPr="00DE6A9D">
        <w:rPr>
          <w:rtl/>
        </w:rPr>
        <w:t>1</w:t>
      </w:r>
      <w:r w:rsidRPr="00EE5596">
        <w:rPr>
          <w:rFonts w:ascii="Simplified Arabic"/>
          <w:rtl/>
        </w:rPr>
        <w:t>-</w:t>
      </w:r>
      <w:r w:rsidRPr="00EE5596">
        <w:rPr>
          <w:rtl/>
        </w:rPr>
        <w:tab/>
      </w:r>
      <w:r w:rsidRPr="0030692A">
        <w:rPr>
          <w:rtl/>
        </w:rPr>
        <w:t>نظرت اللجنة في التقرير الجامع للتقريرين الدوريين التاسع والعاشر لجورجيا</w:t>
      </w:r>
      <w:r w:rsidR="00DE6A9D">
        <w:rPr>
          <w:rStyle w:val="FootnoteReference"/>
          <w:rtl/>
          <w:lang w:val="en-US"/>
        </w:rPr>
        <w:t>(</w:t>
      </w:r>
      <w:r w:rsidR="00DE6A9D" w:rsidRPr="00DE6A9D">
        <w:rPr>
          <w:rStyle w:val="FootnoteReference"/>
          <w:lang w:val="en-US"/>
        </w:rPr>
        <w:footnoteReference w:id="2"/>
      </w:r>
      <w:r w:rsidR="00DE6A9D" w:rsidRPr="00DE6A9D">
        <w:rPr>
          <w:rStyle w:val="FootnoteReference"/>
          <w:rtl/>
        </w:rPr>
        <w:t>)</w:t>
      </w:r>
      <w:r w:rsidR="00DE6A9D" w:rsidRPr="00DE6A9D">
        <w:rPr>
          <w:rFonts w:hint="cs"/>
          <w:rtl/>
        </w:rPr>
        <w:t>،</w:t>
      </w:r>
      <w:r w:rsidR="00DE6A9D" w:rsidRPr="00DE6A9D">
        <w:rPr>
          <w:rtl/>
        </w:rPr>
        <w:t> </w:t>
      </w:r>
      <w:r w:rsidRPr="0030692A">
        <w:rPr>
          <w:rtl/>
        </w:rPr>
        <w:t xml:space="preserve">المقدمين في وثيقة واحدة، في جلستيها </w:t>
      </w:r>
      <w:r w:rsidRPr="00DE6A9D">
        <w:rPr>
          <w:rtl/>
        </w:rPr>
        <w:t>2941</w:t>
      </w:r>
      <w:r w:rsidRPr="0030692A">
        <w:rPr>
          <w:rtl/>
        </w:rPr>
        <w:t xml:space="preserve"> و</w:t>
      </w:r>
      <w:r w:rsidRPr="00DE6A9D">
        <w:rPr>
          <w:rtl/>
        </w:rPr>
        <w:t>2942</w:t>
      </w:r>
      <w:r w:rsidR="00DE6A9D">
        <w:rPr>
          <w:rStyle w:val="FootnoteReference"/>
          <w:rtl/>
          <w:lang w:val="en-US"/>
        </w:rPr>
        <w:t>(</w:t>
      </w:r>
      <w:r w:rsidR="00DE6A9D" w:rsidRPr="00DE6A9D">
        <w:rPr>
          <w:rStyle w:val="FootnoteReference"/>
          <w:lang w:val="en-US"/>
        </w:rPr>
        <w:footnoteReference w:id="3"/>
      </w:r>
      <w:r w:rsidR="00DE6A9D" w:rsidRPr="00DE6A9D">
        <w:rPr>
          <w:rStyle w:val="FootnoteReference"/>
          <w:rtl/>
        </w:rPr>
        <w:t>)</w:t>
      </w:r>
      <w:r w:rsidR="00DE6A9D" w:rsidRPr="00DE6A9D">
        <w:rPr>
          <w:rFonts w:hint="cs"/>
          <w:rtl/>
        </w:rPr>
        <w:t>،</w:t>
      </w:r>
      <w:r w:rsidR="00DE6A9D" w:rsidRPr="00DE6A9D">
        <w:rPr>
          <w:rtl/>
        </w:rPr>
        <w:t> </w:t>
      </w:r>
      <w:r w:rsidRPr="0030692A">
        <w:rPr>
          <w:rtl/>
        </w:rPr>
        <w:t xml:space="preserve">المعقودتين في </w:t>
      </w:r>
      <w:r w:rsidRPr="00DE6A9D">
        <w:rPr>
          <w:rtl/>
        </w:rPr>
        <w:t>23</w:t>
      </w:r>
      <w:r w:rsidRPr="0030692A">
        <w:rPr>
          <w:rtl/>
        </w:rPr>
        <w:t xml:space="preserve"> و</w:t>
      </w:r>
      <w:r w:rsidRPr="00DE6A9D">
        <w:rPr>
          <w:rtl/>
        </w:rPr>
        <w:t>24</w:t>
      </w:r>
      <w:r w:rsidRPr="0030692A">
        <w:rPr>
          <w:rtl/>
        </w:rPr>
        <w:t xml:space="preserve"> تشرين الثاني/نوفمبر </w:t>
      </w:r>
      <w:r w:rsidRPr="00DE6A9D">
        <w:rPr>
          <w:rtl/>
        </w:rPr>
        <w:t>202</w:t>
      </w:r>
      <w:r w:rsidR="00DE6A9D" w:rsidRPr="00DE6A9D">
        <w:rPr>
          <w:rtl/>
        </w:rPr>
        <w:t>2</w:t>
      </w:r>
      <w:r w:rsidR="00DE6A9D" w:rsidRPr="00DE6A9D">
        <w:rPr>
          <w:rFonts w:ascii="Simplified Arabic"/>
          <w:rtl/>
        </w:rPr>
        <w:t>.</w:t>
      </w:r>
      <w:r w:rsidR="00DE6A9D" w:rsidRPr="00DE6A9D">
        <w:rPr>
          <w:rtl/>
        </w:rPr>
        <w:t xml:space="preserve"> </w:t>
      </w:r>
      <w:r w:rsidRPr="0030692A">
        <w:rPr>
          <w:rtl/>
        </w:rPr>
        <w:t xml:space="preserve">واعتمدت هذه الملاحظات الختامية في جلستها </w:t>
      </w:r>
      <w:r w:rsidRPr="00DE6A9D">
        <w:rPr>
          <w:rtl/>
        </w:rPr>
        <w:t>2952</w:t>
      </w:r>
      <w:r w:rsidRPr="0030692A">
        <w:rPr>
          <w:rtl/>
        </w:rPr>
        <w:t xml:space="preserve"> المعقودة في </w:t>
      </w:r>
      <w:r w:rsidRPr="00DE6A9D">
        <w:rPr>
          <w:rtl/>
        </w:rPr>
        <w:t>1</w:t>
      </w:r>
      <w:r w:rsidRPr="0030692A">
        <w:rPr>
          <w:rtl/>
        </w:rPr>
        <w:t xml:space="preserve"> كانون الأول/ديسمبر </w:t>
      </w:r>
      <w:r w:rsidRPr="00DE6A9D">
        <w:rPr>
          <w:rtl/>
        </w:rPr>
        <w:t>202</w:t>
      </w:r>
      <w:r w:rsidR="00DE6A9D" w:rsidRPr="00DE6A9D">
        <w:rPr>
          <w:rtl/>
        </w:rPr>
        <w:t>2.</w:t>
      </w:r>
    </w:p>
    <w:p w14:paraId="44877F55" w14:textId="40187D8F" w:rsidR="001C3681" w:rsidRPr="00DE6A9D" w:rsidRDefault="00F41E33" w:rsidP="00F41E33">
      <w:pPr>
        <w:pStyle w:val="H1GA"/>
        <w:rPr>
          <w:lang w:val="ar-SA" w:eastAsia="zh-TW" w:bidi="en-GB"/>
        </w:rPr>
      </w:pPr>
      <w:r w:rsidRPr="00DE6A9D">
        <w:rPr>
          <w:rtl/>
        </w:rPr>
        <w:tab/>
      </w:r>
      <w:r w:rsidR="001C3681" w:rsidRPr="00DE6A9D">
        <w:rPr>
          <w:rtl/>
        </w:rPr>
        <w:t>ألف</w:t>
      </w:r>
      <w:r w:rsidR="001C3681" w:rsidRPr="00DE6A9D">
        <w:rPr>
          <w:rFonts w:ascii="Simplified Arabic"/>
          <w:rtl/>
        </w:rPr>
        <w:t>-</w:t>
      </w:r>
      <w:r w:rsidR="001C3681" w:rsidRPr="00DE6A9D">
        <w:rPr>
          <w:rtl/>
        </w:rPr>
        <w:tab/>
        <w:t>مقدمة</w:t>
      </w:r>
    </w:p>
    <w:p w14:paraId="1D2CB407" w14:textId="5CAAE11A" w:rsidR="001C3681" w:rsidRPr="0030692A" w:rsidRDefault="001C3681" w:rsidP="00F41E33">
      <w:pPr>
        <w:pStyle w:val="SingleTxtGA"/>
        <w:rPr>
          <w:lang w:val="ar-SA" w:eastAsia="zh-TW" w:bidi="en-GB"/>
        </w:rPr>
      </w:pPr>
      <w:r w:rsidRPr="00DE6A9D">
        <w:rPr>
          <w:rtl/>
        </w:rPr>
        <w:t>2</w:t>
      </w:r>
      <w:r w:rsidRPr="00EE5596">
        <w:rPr>
          <w:rFonts w:ascii="Simplified Arabic"/>
          <w:rtl/>
        </w:rPr>
        <w:t>-</w:t>
      </w:r>
      <w:r w:rsidRPr="00EE5596">
        <w:rPr>
          <w:rtl/>
        </w:rPr>
        <w:tab/>
      </w:r>
      <w:r w:rsidRPr="0030692A">
        <w:rPr>
          <w:rtl/>
        </w:rPr>
        <w:t>ترحب اللجنة بتقديم التقرير الجامع للتقريرين الدوريين التاسع والعاشر للدولة الطرف، وفقا</w:t>
      </w:r>
      <w:r w:rsidR="00640F98" w:rsidRPr="0030692A">
        <w:rPr>
          <w:rFonts w:hint="cs"/>
          <w:rtl/>
        </w:rPr>
        <w:t>ً</w:t>
      </w:r>
      <w:r w:rsidRPr="0030692A">
        <w:rPr>
          <w:rtl/>
        </w:rPr>
        <w:t xml:space="preserve"> لشروط تقديم التقارير بموجب الاتفاقية. وترحب اللجنة أيضا</w:t>
      </w:r>
      <w:r w:rsidR="00D12723" w:rsidRPr="0030692A">
        <w:rPr>
          <w:rFonts w:hint="cs"/>
          <w:rtl/>
        </w:rPr>
        <w:t>ً</w:t>
      </w:r>
      <w:r w:rsidRPr="0030692A">
        <w:rPr>
          <w:rtl/>
        </w:rPr>
        <w:t xml:space="preserve"> بالحوار المفتوح والبناء الذي أجرته مع وفد الدولة الطرف وبالجهود التي بذلتها الدولة الطرف لتقديم إجابات وردود تكميلية بشأن المسائل التي أثارها أعضاء اللجنة أثناء الحوار وبعده.</w:t>
      </w:r>
    </w:p>
    <w:p w14:paraId="57032358" w14:textId="2AE9066A" w:rsidR="001C3681" w:rsidRPr="00DE6A9D" w:rsidRDefault="00F41E33" w:rsidP="00F41E33">
      <w:pPr>
        <w:pStyle w:val="H1GA"/>
        <w:rPr>
          <w:lang w:val="ar-SA" w:eastAsia="zh-TW" w:bidi="en-GB"/>
        </w:rPr>
      </w:pPr>
      <w:r w:rsidRPr="00DE6A9D">
        <w:rPr>
          <w:rtl/>
        </w:rPr>
        <w:tab/>
      </w:r>
      <w:r w:rsidR="001C3681" w:rsidRPr="00DE6A9D">
        <w:rPr>
          <w:rtl/>
        </w:rPr>
        <w:t>باء-</w:t>
      </w:r>
      <w:r w:rsidR="001C3681" w:rsidRPr="00DE6A9D">
        <w:rPr>
          <w:rtl/>
        </w:rPr>
        <w:tab/>
        <w:t>العوامل والصعوبات التي تعوق تنفيذ الاتفاقية</w:t>
      </w:r>
    </w:p>
    <w:p w14:paraId="2E6FC6A7" w14:textId="557D6092" w:rsidR="001C3681" w:rsidRPr="0030692A" w:rsidRDefault="001C3681" w:rsidP="00F41E33">
      <w:pPr>
        <w:pStyle w:val="SingleTxtGA"/>
        <w:rPr>
          <w:lang w:val="ar-SA" w:eastAsia="zh-TW" w:bidi="en-GB"/>
        </w:rPr>
      </w:pPr>
      <w:r w:rsidRPr="00DE6A9D">
        <w:rPr>
          <w:rtl/>
        </w:rPr>
        <w:t>3</w:t>
      </w:r>
      <w:r w:rsidRPr="00EE5596">
        <w:rPr>
          <w:rFonts w:ascii="Simplified Arabic"/>
          <w:rtl/>
        </w:rPr>
        <w:t>-</w:t>
      </w:r>
      <w:r w:rsidRPr="00EE5596">
        <w:rPr>
          <w:rtl/>
        </w:rPr>
        <w:tab/>
      </w:r>
      <w:r w:rsidRPr="0030692A">
        <w:rPr>
          <w:rtl/>
        </w:rPr>
        <w:t>تذكّر اللجنة بملاحظاتها الختامية السابقة</w:t>
      </w:r>
      <w:r w:rsidR="00DE6A9D">
        <w:rPr>
          <w:rStyle w:val="FootnoteReference"/>
          <w:rtl/>
          <w:lang w:val="en-US"/>
        </w:rPr>
        <w:t>(</w:t>
      </w:r>
      <w:r w:rsidR="00DE6A9D" w:rsidRPr="00DE6A9D">
        <w:rPr>
          <w:rStyle w:val="FootnoteReference"/>
          <w:lang w:val="en-US"/>
        </w:rPr>
        <w:footnoteReference w:id="4"/>
      </w:r>
      <w:r w:rsidR="003C3A7D" w:rsidRPr="0030692A">
        <w:rPr>
          <w:rStyle w:val="FootnoteReference"/>
          <w:rtl/>
        </w:rPr>
        <w:t>)</w:t>
      </w:r>
      <w:r w:rsidRPr="0030692A">
        <w:rPr>
          <w:rtl/>
        </w:rPr>
        <w:t> وتقر بأن الدولة الطرف تواجه نزاعات إثنية وسياسية منذ استقلالها. وتذكّر اللجنة أيضا</w:t>
      </w:r>
      <w:r w:rsidR="00640F98" w:rsidRPr="0030692A">
        <w:rPr>
          <w:rFonts w:hint="cs"/>
          <w:rtl/>
        </w:rPr>
        <w:t>ً</w:t>
      </w:r>
      <w:r w:rsidRPr="0030692A">
        <w:rPr>
          <w:rtl/>
        </w:rPr>
        <w:t xml:space="preserve"> بأن أراضي أبخازيا المحتلة،</w:t>
      </w:r>
      <w:r w:rsidR="00D73A4A" w:rsidRPr="0030692A">
        <w:rPr>
          <w:rtl/>
        </w:rPr>
        <w:t xml:space="preserve"> </w:t>
      </w:r>
      <w:r w:rsidRPr="0030692A">
        <w:rPr>
          <w:rtl/>
        </w:rPr>
        <w:t xml:space="preserve">جورجيا، ومنطقة </w:t>
      </w:r>
      <w:proofErr w:type="spellStart"/>
      <w:r w:rsidRPr="0030692A">
        <w:rPr>
          <w:rtl/>
        </w:rPr>
        <w:t>تسخينفالي</w:t>
      </w:r>
      <w:proofErr w:type="spellEnd"/>
      <w:r w:rsidRPr="0030692A">
        <w:rPr>
          <w:rtl/>
        </w:rPr>
        <w:t>/</w:t>
      </w:r>
      <w:proofErr w:type="spellStart"/>
      <w:r w:rsidRPr="0030692A">
        <w:rPr>
          <w:rtl/>
        </w:rPr>
        <w:t>أوسيتيا</w:t>
      </w:r>
      <w:proofErr w:type="spellEnd"/>
      <w:r w:rsidRPr="0030692A">
        <w:rPr>
          <w:rtl/>
        </w:rPr>
        <w:t xml:space="preserve"> الجنوبية، جورجيا، لا تزالان خارج نطاق السيطرة الفعلية للدولة الطرف. ولذلك، فإن الدولة الطرف، للأسف، غير قادرة على ممارسة ولايتها القضائية لتنفيذ الاتفاقية في كامل إقليمها.</w:t>
      </w:r>
    </w:p>
    <w:p w14:paraId="1124CCC9" w14:textId="6A5486B0" w:rsidR="001C3681" w:rsidRPr="00DE6A9D" w:rsidRDefault="00F41E33" w:rsidP="00F41E33">
      <w:pPr>
        <w:pStyle w:val="H1GA"/>
        <w:rPr>
          <w:lang w:val="ar-SA" w:eastAsia="zh-TW" w:bidi="en-GB"/>
        </w:rPr>
      </w:pPr>
      <w:r w:rsidRPr="00DE6A9D">
        <w:rPr>
          <w:rtl/>
        </w:rPr>
        <w:tab/>
      </w:r>
      <w:r w:rsidR="001C3681" w:rsidRPr="00DE6A9D">
        <w:rPr>
          <w:rtl/>
        </w:rPr>
        <w:t>جيم</w:t>
      </w:r>
      <w:r w:rsidR="001C3681" w:rsidRPr="00DE6A9D">
        <w:rPr>
          <w:rFonts w:ascii="Simplified Arabic"/>
          <w:rtl/>
        </w:rPr>
        <w:t>-</w:t>
      </w:r>
      <w:r w:rsidR="001C3681" w:rsidRPr="00DE6A9D">
        <w:rPr>
          <w:rtl/>
        </w:rPr>
        <w:tab/>
        <w:t>الجوانب الإيجابية</w:t>
      </w:r>
    </w:p>
    <w:p w14:paraId="4BD105DF" w14:textId="77777777" w:rsidR="001C3681" w:rsidRPr="0030692A" w:rsidRDefault="001C3681" w:rsidP="00F41E33">
      <w:pPr>
        <w:pStyle w:val="SingleTxtGA"/>
        <w:rPr>
          <w:lang w:val="ar-SA" w:eastAsia="zh-TW" w:bidi="en-GB"/>
        </w:rPr>
      </w:pPr>
      <w:r w:rsidRPr="00DE6A9D">
        <w:rPr>
          <w:rtl/>
        </w:rPr>
        <w:t>4</w:t>
      </w:r>
      <w:r w:rsidRPr="00EE5596">
        <w:rPr>
          <w:rFonts w:ascii="Simplified Arabic"/>
          <w:rtl/>
        </w:rPr>
        <w:t>-</w:t>
      </w:r>
      <w:r w:rsidRPr="00EE5596">
        <w:rPr>
          <w:rtl/>
        </w:rPr>
        <w:tab/>
      </w:r>
      <w:r w:rsidRPr="0030692A">
        <w:rPr>
          <w:rtl/>
        </w:rPr>
        <w:t xml:space="preserve">ترحّب اللجنة باتخاذ الدولة الطرف للتدابير التشريعية والمؤسسية </w:t>
      </w:r>
      <w:proofErr w:type="spellStart"/>
      <w:r w:rsidRPr="0030692A">
        <w:rPr>
          <w:rtl/>
        </w:rPr>
        <w:t>والسياساتية</w:t>
      </w:r>
      <w:proofErr w:type="spellEnd"/>
      <w:r w:rsidRPr="0030692A">
        <w:rPr>
          <w:rtl/>
        </w:rPr>
        <w:t xml:space="preserve"> التالية:</w:t>
      </w:r>
    </w:p>
    <w:p w14:paraId="2CDB2776" w14:textId="3D124E98" w:rsidR="001C3681" w:rsidRPr="00E770EC" w:rsidRDefault="00F41E33" w:rsidP="00F41E33">
      <w:pPr>
        <w:pStyle w:val="SingleTxtGA"/>
        <w:rPr>
          <w:color w:val="000000"/>
          <w:spacing w:val="-2"/>
          <w:lang w:val="ar-SA" w:eastAsia="zh-TW" w:bidi="en-GB"/>
        </w:rPr>
      </w:pPr>
      <w:r w:rsidRPr="00EE5596">
        <w:rPr>
          <w:spacing w:val="-2"/>
          <w:rtl/>
        </w:rPr>
        <w:tab/>
      </w:r>
      <w:r w:rsidR="001C3681" w:rsidRPr="00EE5596">
        <w:rPr>
          <w:spacing w:val="-2"/>
          <w:rtl/>
        </w:rPr>
        <w:t>(أ)</w:t>
      </w:r>
      <w:r w:rsidR="001C3681" w:rsidRPr="00EE5596">
        <w:rPr>
          <w:spacing w:val="-2"/>
          <w:rtl/>
        </w:rPr>
        <w:tab/>
      </w:r>
      <w:r w:rsidR="001C3681" w:rsidRPr="00E770EC">
        <w:rPr>
          <w:spacing w:val="-2"/>
          <w:rtl/>
        </w:rPr>
        <w:t xml:space="preserve">اعتماد استراتيجية الدولة العشرية للمساواة المدنية والإدماج، في </w:t>
      </w:r>
      <w:r w:rsidR="001C3681" w:rsidRPr="00DE6A9D">
        <w:rPr>
          <w:rtl/>
        </w:rPr>
        <w:t>13</w:t>
      </w:r>
      <w:r w:rsidR="001C3681" w:rsidRPr="00E770EC">
        <w:rPr>
          <w:spacing w:val="-2"/>
          <w:rtl/>
        </w:rPr>
        <w:t xml:space="preserve"> تموز/يوليه </w:t>
      </w:r>
      <w:r w:rsidR="001C3681" w:rsidRPr="00DE6A9D">
        <w:rPr>
          <w:rtl/>
        </w:rPr>
        <w:t>2021</w:t>
      </w:r>
      <w:r w:rsidR="001C3681" w:rsidRPr="00E770EC">
        <w:rPr>
          <w:spacing w:val="-2"/>
          <w:rtl/>
        </w:rPr>
        <w:t>؛</w:t>
      </w:r>
    </w:p>
    <w:p w14:paraId="6E859F79" w14:textId="336176AB" w:rsidR="001C3681" w:rsidRPr="0030692A" w:rsidRDefault="00F41E33" w:rsidP="00F41E33">
      <w:pPr>
        <w:pStyle w:val="SingleTxtGA"/>
        <w:rPr>
          <w:lang w:val="ar-SA" w:eastAsia="zh-TW" w:bidi="en-GB"/>
        </w:rPr>
      </w:pPr>
      <w:r w:rsidRPr="00EE5596">
        <w:rPr>
          <w:rtl/>
        </w:rPr>
        <w:lastRenderedPageBreak/>
        <w:tab/>
      </w:r>
      <w:r w:rsidR="001C3681" w:rsidRPr="00EE5596">
        <w:rPr>
          <w:rtl/>
        </w:rPr>
        <w:t>(ب)</w:t>
      </w:r>
      <w:r w:rsidR="001C3681" w:rsidRPr="00EE5596">
        <w:rPr>
          <w:rtl/>
        </w:rPr>
        <w:tab/>
      </w:r>
      <w:r w:rsidR="001C3681" w:rsidRPr="0030692A">
        <w:rPr>
          <w:rtl/>
        </w:rPr>
        <w:t xml:space="preserve">اعتماد قواعد الأخلاقيات ومدونة قواعد السلوك الخاصة بالمؤسسات العامة، التي أقرّها القرار الحكومي رقم </w:t>
      </w:r>
      <w:r w:rsidR="001C3681" w:rsidRPr="00DE6A9D">
        <w:rPr>
          <w:rtl/>
        </w:rPr>
        <w:t>200</w:t>
      </w:r>
      <w:r w:rsidR="001C3681" w:rsidRPr="0030692A">
        <w:rPr>
          <w:rtl/>
        </w:rPr>
        <w:t xml:space="preserve"> في </w:t>
      </w:r>
      <w:r w:rsidR="001C3681" w:rsidRPr="00DE6A9D">
        <w:rPr>
          <w:rtl/>
        </w:rPr>
        <w:t>30</w:t>
      </w:r>
      <w:r w:rsidR="001C3681" w:rsidRPr="0030692A">
        <w:rPr>
          <w:rtl/>
        </w:rPr>
        <w:t xml:space="preserve"> نيسان/أبريل </w:t>
      </w:r>
      <w:r w:rsidR="001C3681" w:rsidRPr="00DE6A9D">
        <w:rPr>
          <w:rtl/>
        </w:rPr>
        <w:t>2020</w:t>
      </w:r>
      <w:r w:rsidR="001C3681" w:rsidRPr="0030692A">
        <w:rPr>
          <w:rtl/>
        </w:rPr>
        <w:t>، والتي تحظر، في جملة أمور، خطاب الكراهية؛</w:t>
      </w:r>
    </w:p>
    <w:p w14:paraId="1743DB59" w14:textId="2A1FEFDA" w:rsidR="001C3681" w:rsidRPr="0030692A" w:rsidRDefault="00F41E33" w:rsidP="00F41E33">
      <w:pPr>
        <w:pStyle w:val="SingleTxtGA"/>
        <w:rPr>
          <w:lang w:val="ar-SA" w:eastAsia="zh-TW" w:bidi="en-GB"/>
        </w:rPr>
      </w:pPr>
      <w:r w:rsidRPr="00EE5596">
        <w:rPr>
          <w:rtl/>
        </w:rPr>
        <w:tab/>
      </w:r>
      <w:r w:rsidR="001C3681" w:rsidRPr="00EE5596">
        <w:rPr>
          <w:rtl/>
        </w:rPr>
        <w:t>(ج)</w:t>
      </w:r>
      <w:r w:rsidR="001C3681" w:rsidRPr="00EE5596">
        <w:rPr>
          <w:rtl/>
        </w:rPr>
        <w:tab/>
      </w:r>
      <w:r w:rsidR="001C3681" w:rsidRPr="0030692A">
        <w:rPr>
          <w:rtl/>
        </w:rPr>
        <w:t>اعتماد التعديلات المُدخلة على القانون التنظيمي</w:t>
      </w:r>
      <w:r w:rsidR="00D73A4A" w:rsidRPr="0030692A">
        <w:rPr>
          <w:rtl/>
        </w:rPr>
        <w:t xml:space="preserve"> </w:t>
      </w:r>
      <w:r w:rsidR="001C3681" w:rsidRPr="0030692A">
        <w:rPr>
          <w:rtl/>
        </w:rPr>
        <w:t xml:space="preserve">لمكتب المحامي العام في جورجيا، في </w:t>
      </w:r>
      <w:r w:rsidR="001C3681" w:rsidRPr="00DE6A9D">
        <w:rPr>
          <w:rtl/>
        </w:rPr>
        <w:t>3</w:t>
      </w:r>
      <w:r w:rsidR="001C3681" w:rsidRPr="0030692A">
        <w:rPr>
          <w:rtl/>
        </w:rPr>
        <w:t xml:space="preserve"> أيار/مايو </w:t>
      </w:r>
      <w:r w:rsidR="001C3681" w:rsidRPr="00DE6A9D">
        <w:rPr>
          <w:rtl/>
        </w:rPr>
        <w:t>2019</w:t>
      </w:r>
      <w:r w:rsidR="001C3681" w:rsidRPr="0030692A">
        <w:rPr>
          <w:rtl/>
        </w:rPr>
        <w:t>، لتوسيع ولاية المحامية العامة؛</w:t>
      </w:r>
    </w:p>
    <w:p w14:paraId="21429883" w14:textId="066A38CF" w:rsidR="001C3681" w:rsidRPr="0030692A" w:rsidRDefault="00F41E33" w:rsidP="00F41E33">
      <w:pPr>
        <w:pStyle w:val="SingleTxtGA"/>
        <w:rPr>
          <w:lang w:val="en-US" w:eastAsia="zh-TW" w:bidi="en-GB"/>
        </w:rPr>
      </w:pPr>
      <w:r w:rsidRPr="00EE5596">
        <w:rPr>
          <w:rtl/>
        </w:rPr>
        <w:tab/>
      </w:r>
      <w:r w:rsidR="001C3681" w:rsidRPr="00EE5596">
        <w:rPr>
          <w:rtl/>
        </w:rPr>
        <w:t>(د)</w:t>
      </w:r>
      <w:r w:rsidR="001C3681" w:rsidRPr="00EE5596">
        <w:rPr>
          <w:rtl/>
        </w:rPr>
        <w:tab/>
      </w:r>
      <w:r w:rsidR="001C3681" w:rsidRPr="0030692A">
        <w:rPr>
          <w:rtl/>
        </w:rPr>
        <w:t xml:space="preserve">اعتماد برلمان جورجيا لمدونة الأخلاقيات الخاصة بأعضاء البرلمان، في </w:t>
      </w:r>
      <w:r w:rsidR="001C3681" w:rsidRPr="00DE6A9D">
        <w:rPr>
          <w:rtl/>
        </w:rPr>
        <w:t>22</w:t>
      </w:r>
      <w:r w:rsidR="001C3681" w:rsidRPr="0030692A">
        <w:rPr>
          <w:rtl/>
        </w:rPr>
        <w:t xml:space="preserve"> شباط/فبراير </w:t>
      </w:r>
      <w:r w:rsidR="001C3681" w:rsidRPr="00DE6A9D">
        <w:rPr>
          <w:rtl/>
        </w:rPr>
        <w:t>2019</w:t>
      </w:r>
      <w:r w:rsidR="001C3681" w:rsidRPr="0030692A">
        <w:rPr>
          <w:rtl/>
        </w:rPr>
        <w:t xml:space="preserve">، التي تحدد المادة </w:t>
      </w:r>
      <w:r w:rsidR="001C3681" w:rsidRPr="00DE6A9D">
        <w:rPr>
          <w:rtl/>
        </w:rPr>
        <w:t>2</w:t>
      </w:r>
      <w:r w:rsidR="001C3681" w:rsidRPr="0030692A">
        <w:rPr>
          <w:rtl/>
        </w:rPr>
        <w:t xml:space="preserve"> منها حظر خطاب الكراهية على أساس العرق أو لون البشرة أو الجنس أو الدين أو أي أساس آخر؛</w:t>
      </w:r>
    </w:p>
    <w:p w14:paraId="12E18F64" w14:textId="38F76854" w:rsidR="001C3681" w:rsidRPr="0030692A" w:rsidRDefault="00F41E33" w:rsidP="00F41E33">
      <w:pPr>
        <w:pStyle w:val="SingleTxtGA"/>
        <w:rPr>
          <w:lang w:val="ar-SA" w:eastAsia="zh-TW" w:bidi="en-GB"/>
        </w:rPr>
      </w:pPr>
      <w:r w:rsidRPr="0030692A">
        <w:rPr>
          <w:rtl/>
        </w:rPr>
        <w:tab/>
      </w:r>
      <w:r w:rsidR="001C3681" w:rsidRPr="0030692A">
        <w:rPr>
          <w:rtl/>
        </w:rPr>
        <w:t>(هـ)</w:t>
      </w:r>
      <w:r w:rsidR="001C3681" w:rsidRPr="0030692A">
        <w:rPr>
          <w:rtl/>
        </w:rPr>
        <w:tab/>
        <w:t xml:space="preserve">اعتماد التعديلات المُدخلة على قانون القضاء على جميع أشكال التمييز لعام </w:t>
      </w:r>
      <w:r w:rsidR="001C3681" w:rsidRPr="00DE6A9D">
        <w:rPr>
          <w:rtl/>
        </w:rPr>
        <w:t>2014</w:t>
      </w:r>
      <w:r w:rsidR="001C3681" w:rsidRPr="0030692A">
        <w:rPr>
          <w:rtl/>
        </w:rPr>
        <w:t xml:space="preserve">، في </w:t>
      </w:r>
      <w:r w:rsidR="001C3681" w:rsidRPr="00DE6A9D">
        <w:rPr>
          <w:rtl/>
        </w:rPr>
        <w:t>19</w:t>
      </w:r>
      <w:r w:rsidR="001C3681" w:rsidRPr="0030692A">
        <w:rPr>
          <w:rtl/>
        </w:rPr>
        <w:t xml:space="preserve"> شباط/فبراير </w:t>
      </w:r>
      <w:r w:rsidR="001C3681" w:rsidRPr="00DE6A9D">
        <w:rPr>
          <w:rtl/>
        </w:rPr>
        <w:t>2019</w:t>
      </w:r>
      <w:r w:rsidR="001C3681" w:rsidRPr="0030692A">
        <w:rPr>
          <w:rtl/>
        </w:rPr>
        <w:t>، التي تعزز نطاق القانون؛</w:t>
      </w:r>
    </w:p>
    <w:p w14:paraId="7246B2D6" w14:textId="41136916" w:rsidR="001C3681" w:rsidRPr="0030692A" w:rsidRDefault="00F41E33" w:rsidP="00F41E33">
      <w:pPr>
        <w:pStyle w:val="SingleTxtGA"/>
        <w:rPr>
          <w:lang w:val="ar-SA" w:eastAsia="zh-TW" w:bidi="en-GB"/>
        </w:rPr>
      </w:pPr>
      <w:r w:rsidRPr="00EE5596">
        <w:rPr>
          <w:rtl/>
        </w:rPr>
        <w:tab/>
      </w:r>
      <w:r w:rsidR="001C3681" w:rsidRPr="00EE5596">
        <w:rPr>
          <w:rtl/>
        </w:rPr>
        <w:t>(و)</w:t>
      </w:r>
      <w:r w:rsidR="001C3681" w:rsidRPr="00EE5596">
        <w:rPr>
          <w:rtl/>
        </w:rPr>
        <w:tab/>
      </w:r>
      <w:r w:rsidR="001C3681" w:rsidRPr="0030692A">
        <w:rPr>
          <w:rtl/>
        </w:rPr>
        <w:t xml:space="preserve">اعتماد التعديلات المدخلة على المادة </w:t>
      </w:r>
      <w:r w:rsidR="001C3681" w:rsidRPr="00DE6A9D">
        <w:rPr>
          <w:rtl/>
        </w:rPr>
        <w:t>53</w:t>
      </w:r>
      <w:r w:rsidR="001C3681" w:rsidRPr="00DE6A9D">
        <w:rPr>
          <w:vertAlign w:val="superscript"/>
          <w:rtl/>
        </w:rPr>
        <w:t>1</w:t>
      </w:r>
      <w:r w:rsidR="001C3681" w:rsidRPr="0030692A">
        <w:rPr>
          <w:rtl/>
        </w:rPr>
        <w:t xml:space="preserve"> من القانون الجنائي، التي اعتُمِدت في</w:t>
      </w:r>
      <w:r w:rsidR="00FC5EEB">
        <w:rPr>
          <w:rFonts w:hint="cs"/>
          <w:rtl/>
        </w:rPr>
        <w:t> </w:t>
      </w:r>
      <w:r w:rsidR="001C3681" w:rsidRPr="00DE6A9D">
        <w:rPr>
          <w:rtl/>
        </w:rPr>
        <w:t>30</w:t>
      </w:r>
      <w:r w:rsidR="001C3681" w:rsidRPr="0030692A">
        <w:rPr>
          <w:rtl/>
        </w:rPr>
        <w:t xml:space="preserve"> تشرين الثاني/نوفمبر </w:t>
      </w:r>
      <w:r w:rsidR="001C3681" w:rsidRPr="00DE6A9D">
        <w:rPr>
          <w:rtl/>
        </w:rPr>
        <w:t>2018</w:t>
      </w:r>
      <w:r w:rsidR="001C3681" w:rsidRPr="0030692A">
        <w:rPr>
          <w:rtl/>
        </w:rPr>
        <w:t>، والتي</w:t>
      </w:r>
      <w:r w:rsidR="00D73A4A" w:rsidRPr="0030692A">
        <w:rPr>
          <w:rtl/>
        </w:rPr>
        <w:t xml:space="preserve"> </w:t>
      </w:r>
      <w:r w:rsidR="001C3681" w:rsidRPr="0030692A">
        <w:rPr>
          <w:rtl/>
        </w:rPr>
        <w:t xml:space="preserve">تشدد، في جملة أمور عقوبات الجرائم ذات الدوافع العنصرية؛ والتعديلات المُدخلة على قانون الإجراءات الجنائية، التي اعتُمِدت في أيلول/سبتمبر </w:t>
      </w:r>
      <w:r w:rsidR="001C3681" w:rsidRPr="00DE6A9D">
        <w:rPr>
          <w:rtl/>
        </w:rPr>
        <w:t>2022</w:t>
      </w:r>
      <w:r w:rsidR="001C3681" w:rsidRPr="0030692A">
        <w:rPr>
          <w:rtl/>
        </w:rPr>
        <w:t>،</w:t>
      </w:r>
      <w:r w:rsidR="00D73A4A" w:rsidRPr="0030692A">
        <w:rPr>
          <w:rtl/>
        </w:rPr>
        <w:t xml:space="preserve"> </w:t>
      </w:r>
      <w:r w:rsidR="001C3681" w:rsidRPr="0030692A">
        <w:rPr>
          <w:rtl/>
        </w:rPr>
        <w:t>لإجازة أنشطة التحقيق السرية في قضايا التمييز العنصري؛</w:t>
      </w:r>
    </w:p>
    <w:p w14:paraId="1D47AED6" w14:textId="4A2CA130" w:rsidR="001C3681" w:rsidRPr="0030692A" w:rsidRDefault="00F41E33" w:rsidP="00F41E33">
      <w:pPr>
        <w:pStyle w:val="SingleTxtGA"/>
        <w:rPr>
          <w:lang w:val="ar-SA" w:eastAsia="zh-TW" w:bidi="en-GB"/>
        </w:rPr>
      </w:pPr>
      <w:r w:rsidRPr="00EE5596">
        <w:rPr>
          <w:rtl/>
        </w:rPr>
        <w:tab/>
      </w:r>
      <w:r w:rsidR="001C3681" w:rsidRPr="00EE5596">
        <w:rPr>
          <w:rtl/>
        </w:rPr>
        <w:t>(ز)</w:t>
      </w:r>
      <w:r w:rsidR="001C3681" w:rsidRPr="00EE5596">
        <w:rPr>
          <w:rtl/>
        </w:rPr>
        <w:tab/>
      </w:r>
      <w:r w:rsidR="001C3681" w:rsidRPr="0030692A">
        <w:rPr>
          <w:rtl/>
        </w:rPr>
        <w:t xml:space="preserve">إنشاء إدارة تفتيش ظروف العمل في عام </w:t>
      </w:r>
      <w:r w:rsidR="001C3681" w:rsidRPr="00DE6A9D">
        <w:rPr>
          <w:rtl/>
        </w:rPr>
        <w:t>2015</w:t>
      </w:r>
      <w:r w:rsidR="001C3681" w:rsidRPr="0030692A">
        <w:rPr>
          <w:rtl/>
        </w:rPr>
        <w:t xml:space="preserve">، التابعة لوزارة العمل والصحة والشؤون الاجتماعية، وإدخال تعديلات على قانون العمل، في عام </w:t>
      </w:r>
      <w:r w:rsidR="001C3681" w:rsidRPr="00DE6A9D">
        <w:rPr>
          <w:rtl/>
        </w:rPr>
        <w:t>2019</w:t>
      </w:r>
      <w:r w:rsidR="001C3681" w:rsidRPr="0030692A">
        <w:rPr>
          <w:rtl/>
        </w:rPr>
        <w:t>، تعزز أحكام مكافحة التمييز، بما في ذلك ما يتعلق بنشر إعلانات الوظائف الشاغرة ومرحلة الاختيار.</w:t>
      </w:r>
    </w:p>
    <w:p w14:paraId="620AFB37" w14:textId="07D32484" w:rsidR="001C3681" w:rsidRPr="00DE6A9D" w:rsidRDefault="00F41E33" w:rsidP="00F41E33">
      <w:pPr>
        <w:pStyle w:val="H1GA"/>
        <w:rPr>
          <w:lang w:val="ar-SA" w:eastAsia="zh-TW" w:bidi="en-GB"/>
        </w:rPr>
      </w:pPr>
      <w:r w:rsidRPr="00DE6A9D">
        <w:rPr>
          <w:rtl/>
        </w:rPr>
        <w:tab/>
      </w:r>
      <w:r w:rsidR="001C3681" w:rsidRPr="00DE6A9D">
        <w:rPr>
          <w:rtl/>
        </w:rPr>
        <w:t>دال-</w:t>
      </w:r>
      <w:r w:rsidR="001C3681" w:rsidRPr="00DE6A9D">
        <w:rPr>
          <w:rtl/>
        </w:rPr>
        <w:tab/>
        <w:t>دواعي القلق والتوصيات</w:t>
      </w:r>
    </w:p>
    <w:p w14:paraId="5A546504" w14:textId="77777777" w:rsidR="001C3681" w:rsidRPr="00DE6A9D" w:rsidRDefault="001C3681" w:rsidP="00F41E33">
      <w:pPr>
        <w:pStyle w:val="H23GA"/>
        <w:rPr>
          <w:lang w:val="ar-SA" w:eastAsia="zh-TW" w:bidi="en-GB"/>
        </w:rPr>
      </w:pPr>
      <w:r w:rsidRPr="00DE6A9D">
        <w:rPr>
          <w:rtl/>
        </w:rPr>
        <w:tab/>
      </w:r>
      <w:r w:rsidRPr="00DE6A9D">
        <w:rPr>
          <w:rtl/>
        </w:rPr>
        <w:tab/>
        <w:t>جمع البيانات</w:t>
      </w:r>
    </w:p>
    <w:p w14:paraId="72B423D7" w14:textId="21A780EC" w:rsidR="001C3681" w:rsidRPr="0030692A" w:rsidRDefault="001C3681" w:rsidP="00F41E33">
      <w:pPr>
        <w:pStyle w:val="SingleTxtGA"/>
        <w:rPr>
          <w:lang w:val="en-US" w:eastAsia="zh-TW" w:bidi="en-GB"/>
        </w:rPr>
      </w:pPr>
      <w:r w:rsidRPr="00DE6A9D">
        <w:rPr>
          <w:rtl/>
        </w:rPr>
        <w:t>5</w:t>
      </w:r>
      <w:r w:rsidRPr="00EE5596">
        <w:rPr>
          <w:rFonts w:ascii="Simplified Arabic"/>
          <w:rtl/>
        </w:rPr>
        <w:t>-</w:t>
      </w:r>
      <w:r w:rsidRPr="00EE5596">
        <w:rPr>
          <w:rtl/>
        </w:rPr>
        <w:tab/>
      </w:r>
      <w:r w:rsidRPr="0030692A">
        <w:rPr>
          <w:rtl/>
        </w:rPr>
        <w:t>ترحب اللجنة بالتدابير المتخذة لتحسين جمع البيانات في مجالات معينة، مثل توحيد جمع</w:t>
      </w:r>
      <w:r w:rsidR="00D73A4A" w:rsidRPr="0030692A">
        <w:rPr>
          <w:rtl/>
        </w:rPr>
        <w:t xml:space="preserve"> </w:t>
      </w:r>
      <w:r w:rsidRPr="0030692A">
        <w:rPr>
          <w:rtl/>
        </w:rPr>
        <w:t xml:space="preserve">البيانات المتعلقة بمقاضاة مرتكبي جرائم الكراهية ونشرها منذ عام </w:t>
      </w:r>
      <w:r w:rsidRPr="00DE6A9D">
        <w:rPr>
          <w:rtl/>
        </w:rPr>
        <w:t>2020</w:t>
      </w:r>
      <w:r w:rsidRPr="0030692A">
        <w:rPr>
          <w:rtl/>
        </w:rPr>
        <w:t>، ولكنها تشعر بالقلق إزاء احتمال أن تكون البيانات المتعلقة بقضايا التمييز</w:t>
      </w:r>
      <w:r w:rsidR="00D73A4A" w:rsidRPr="0030692A">
        <w:rPr>
          <w:rtl/>
        </w:rPr>
        <w:t xml:space="preserve"> </w:t>
      </w:r>
      <w:r w:rsidRPr="0030692A">
        <w:rPr>
          <w:rtl/>
        </w:rPr>
        <w:t>المشمولة بالقانون الإداري غير كاملة بسبب تحديات جمع البيانات. وتلاحظ اللجنة أن البيانات السكانية المقدمة في تقرير الدولة الطرف تستند إلى تعداد عام</w:t>
      </w:r>
      <w:r w:rsidR="00517322" w:rsidRPr="0030692A">
        <w:rPr>
          <w:rFonts w:hint="cs"/>
          <w:rtl/>
        </w:rPr>
        <w:t> </w:t>
      </w:r>
      <w:r w:rsidRPr="00DE6A9D">
        <w:rPr>
          <w:rtl/>
        </w:rPr>
        <w:t>2014</w:t>
      </w:r>
      <w:r w:rsidRPr="0030692A">
        <w:rPr>
          <w:rtl/>
        </w:rPr>
        <w:t xml:space="preserve"> ولم يقع تحديثها.</w:t>
      </w:r>
    </w:p>
    <w:p w14:paraId="03CFE3B3" w14:textId="71ED1AC0" w:rsidR="001C3681" w:rsidRPr="00DE6A9D" w:rsidRDefault="001C3681" w:rsidP="00F41E33">
      <w:pPr>
        <w:pStyle w:val="SingleTxtGA"/>
        <w:rPr>
          <w:b/>
          <w:bCs/>
          <w:lang w:val="ar-SA" w:eastAsia="zh-TW" w:bidi="en-GB"/>
        </w:rPr>
      </w:pPr>
      <w:r w:rsidRPr="00DE6A9D">
        <w:rPr>
          <w:rtl/>
        </w:rPr>
        <w:t>6</w:t>
      </w:r>
      <w:r w:rsidRPr="00EE5596">
        <w:rPr>
          <w:rFonts w:ascii="Simplified Arabic"/>
          <w:rtl/>
        </w:rPr>
        <w:t>-</w:t>
      </w:r>
      <w:r w:rsidRPr="00EE5596">
        <w:rPr>
          <w:rtl/>
        </w:rPr>
        <w:tab/>
      </w:r>
      <w:r w:rsidRPr="00DE6A9D">
        <w:rPr>
          <w:b/>
          <w:bCs/>
          <w:rtl/>
        </w:rPr>
        <w:t>وتوصي اللجنة الدولة الطرف بمواصلة تعزيز جمع البيانات ذات الصلة بالاتفاقية، بما في ذلك البيانات المتعلقة بقضايا التمييز العنصري المشمولة بالقانون الإداري، وجمع ونشر بيانات سكانية محدّثة على فترات منتظمة بين</w:t>
      </w:r>
      <w:r w:rsidR="00D73A4A" w:rsidRPr="00DE6A9D">
        <w:rPr>
          <w:b/>
          <w:bCs/>
          <w:rtl/>
        </w:rPr>
        <w:t xml:space="preserve"> </w:t>
      </w:r>
      <w:r w:rsidRPr="00DE6A9D">
        <w:rPr>
          <w:b/>
          <w:bCs/>
          <w:rtl/>
        </w:rPr>
        <w:t>جولات التعداد.</w:t>
      </w:r>
    </w:p>
    <w:p w14:paraId="595EEF6A" w14:textId="77777777" w:rsidR="001C3681" w:rsidRPr="00DE6A9D" w:rsidRDefault="001C3681" w:rsidP="00F41E33">
      <w:pPr>
        <w:pStyle w:val="H23GA"/>
        <w:rPr>
          <w:lang w:val="ar-SA" w:eastAsia="zh-TW" w:bidi="en-GB"/>
        </w:rPr>
      </w:pPr>
      <w:r w:rsidRPr="00DE6A9D">
        <w:rPr>
          <w:rtl/>
        </w:rPr>
        <w:tab/>
      </w:r>
      <w:r w:rsidRPr="00DE6A9D">
        <w:rPr>
          <w:rtl/>
        </w:rPr>
        <w:tab/>
        <w:t>تنفيذ تشريعات مناهضة التمييز</w:t>
      </w:r>
    </w:p>
    <w:p w14:paraId="51C5E540" w14:textId="4F7D4DA5" w:rsidR="00DE6A9D" w:rsidRPr="00DE6A9D" w:rsidRDefault="001C3681" w:rsidP="00F41E33">
      <w:pPr>
        <w:pStyle w:val="SingleTxtGA"/>
        <w:rPr>
          <w:lang w:val="ar-SA" w:eastAsia="zh-TW" w:bidi="en-GB"/>
        </w:rPr>
      </w:pPr>
      <w:r w:rsidRPr="00DE6A9D">
        <w:rPr>
          <w:rtl/>
        </w:rPr>
        <w:t>7</w:t>
      </w:r>
      <w:r w:rsidRPr="00EE5596">
        <w:rPr>
          <w:rFonts w:ascii="Simplified Arabic"/>
          <w:rtl/>
        </w:rPr>
        <w:t>-</w:t>
      </w:r>
      <w:r w:rsidRPr="00EE5596">
        <w:rPr>
          <w:rtl/>
        </w:rPr>
        <w:tab/>
      </w:r>
      <w:r w:rsidRPr="0030692A">
        <w:rPr>
          <w:rtl/>
        </w:rPr>
        <w:t>ترحب اللجنة بالتعديلات التشريعية التي أُجريت خلال الفترة المشمولة بالتقرير والتي عززت ولاية مكتب المحامي العام</w:t>
      </w:r>
      <w:r w:rsidR="00D73A4A" w:rsidRPr="0030692A">
        <w:rPr>
          <w:rtl/>
        </w:rPr>
        <w:t xml:space="preserve"> </w:t>
      </w:r>
      <w:r w:rsidRPr="0030692A">
        <w:rPr>
          <w:rtl/>
        </w:rPr>
        <w:t xml:space="preserve">في التحقيق في الشكاوى المتعلقة بالتمييز، لكن القلق يساورها لأن المحامي العام لا يزال يواجه تحديات في الحصول على معلومات من الأفراد فيما يتعلق بالطلبات المقدمة بموجب المادة </w:t>
      </w:r>
      <w:r w:rsidRPr="00DE6A9D">
        <w:rPr>
          <w:rtl/>
        </w:rPr>
        <w:t>8</w:t>
      </w:r>
      <w:r w:rsidRPr="0030692A">
        <w:rPr>
          <w:rFonts w:ascii="Simplified Arabic"/>
          <w:rtl/>
        </w:rPr>
        <w:t>(</w:t>
      </w:r>
      <w:r w:rsidR="00DE6A9D" w:rsidRPr="00DE6A9D">
        <w:rPr>
          <w:rtl/>
        </w:rPr>
        <w:t>4</w:t>
      </w:r>
      <w:r w:rsidR="00DE6A9D" w:rsidRPr="00DE6A9D">
        <w:rPr>
          <w:rFonts w:ascii="Simplified Arabic"/>
          <w:rtl/>
        </w:rPr>
        <w:t>)</w:t>
      </w:r>
      <w:r w:rsidR="00DE6A9D" w:rsidRPr="00DE6A9D">
        <w:rPr>
          <w:rtl/>
        </w:rPr>
        <w:t xml:space="preserve"> </w:t>
      </w:r>
      <w:r w:rsidRPr="0030692A">
        <w:rPr>
          <w:rtl/>
        </w:rPr>
        <w:t>من قانون القضاء على جميع أشكال التمييز. ويساور اللجنة القلق أيضا</w:t>
      </w:r>
      <w:r w:rsidR="000F3FFA" w:rsidRPr="0030692A">
        <w:rPr>
          <w:rFonts w:hint="cs"/>
          <w:rtl/>
        </w:rPr>
        <w:t>ً</w:t>
      </w:r>
      <w:r w:rsidRPr="0030692A">
        <w:rPr>
          <w:rtl/>
        </w:rPr>
        <w:t xml:space="preserve"> لأن قانون الجرائم الإدارية لا ينص على أن التمييز العنصري</w:t>
      </w:r>
      <w:r w:rsidR="00D73A4A" w:rsidRPr="0030692A">
        <w:rPr>
          <w:rtl/>
        </w:rPr>
        <w:t xml:space="preserve"> </w:t>
      </w:r>
      <w:r w:rsidRPr="0030692A">
        <w:rPr>
          <w:rtl/>
        </w:rPr>
        <w:t xml:space="preserve">يشكّل ظرفاً مشدداً للعقوبة. وترحب اللجنة بالتدابير التي نفذتها الدولة الطرف للتصدي للمواقف التمييزية والتوعية بالتشريعات المناهضة للتمييز، لكن القلق </w:t>
      </w:r>
      <w:r w:rsidRPr="0030692A">
        <w:rPr>
          <w:rtl/>
        </w:rPr>
        <w:lastRenderedPageBreak/>
        <w:t>يساورها لأن المواقف التمييزية تجاه الأقليات الإثنية لا تزال مستمرة ولأن الوعي بالتشريعات وآليات الانتصاف ذات الصلة لا يزال محدودا</w:t>
      </w:r>
      <w:r w:rsidR="000F3FFA" w:rsidRPr="0030692A">
        <w:rPr>
          <w:rFonts w:hint="cs"/>
          <w:rtl/>
        </w:rPr>
        <w:t>ً</w:t>
      </w:r>
      <w:r w:rsidRPr="0030692A">
        <w:rPr>
          <w:rtl/>
        </w:rPr>
        <w:t xml:space="preserve">، ولا سيما في أوساط الأقليات الإثنية (المادة </w:t>
      </w:r>
      <w:r w:rsidR="00DE6A9D" w:rsidRPr="00DE6A9D">
        <w:rPr>
          <w:rtl/>
        </w:rPr>
        <w:t>2</w:t>
      </w:r>
      <w:r w:rsidR="00DE6A9D" w:rsidRPr="00DE6A9D">
        <w:rPr>
          <w:rFonts w:ascii="Simplified Arabic"/>
          <w:rtl/>
        </w:rPr>
        <w:t>)</w:t>
      </w:r>
      <w:r w:rsidR="00DE6A9D" w:rsidRPr="00DE6A9D">
        <w:rPr>
          <w:rtl/>
        </w:rPr>
        <w:t>.</w:t>
      </w:r>
    </w:p>
    <w:p w14:paraId="4F1B10B7" w14:textId="2FF8AE61" w:rsidR="001C3681" w:rsidRPr="00DE6A9D" w:rsidRDefault="001C3681" w:rsidP="00F41E33">
      <w:pPr>
        <w:pStyle w:val="SingleTxtGA"/>
        <w:rPr>
          <w:b/>
          <w:bCs/>
          <w:lang w:val="ar-SA" w:eastAsia="zh-TW" w:bidi="en-GB"/>
        </w:rPr>
      </w:pPr>
      <w:r w:rsidRPr="00DE6A9D">
        <w:rPr>
          <w:rtl/>
        </w:rPr>
        <w:t>8</w:t>
      </w:r>
      <w:r w:rsidRPr="00EE5596">
        <w:rPr>
          <w:rFonts w:ascii="Simplified Arabic"/>
          <w:rtl/>
        </w:rPr>
        <w:t>-</w:t>
      </w:r>
      <w:r w:rsidRPr="00EE5596">
        <w:rPr>
          <w:rtl/>
        </w:rPr>
        <w:tab/>
      </w:r>
      <w:r w:rsidRPr="00DE6A9D">
        <w:rPr>
          <w:b/>
          <w:bCs/>
          <w:rtl/>
        </w:rPr>
        <w:t>وتوصي اللجنة الدولة الطرف بما يلي:</w:t>
      </w:r>
    </w:p>
    <w:p w14:paraId="5C5D1100" w14:textId="7D3B4842" w:rsidR="001C3681" w:rsidRPr="00DE6A9D" w:rsidRDefault="00F41E33" w:rsidP="00F41E33">
      <w:pPr>
        <w:pStyle w:val="SingleTxtGA"/>
        <w:rPr>
          <w:rFonts w:ascii="Times New Roman Bold" w:hAnsi="Times New Roman Bold" w:hint="eastAsia"/>
          <w:b/>
          <w:bCs/>
          <w:spacing w:val="-8"/>
          <w:lang w:val="en-US" w:eastAsia="zh-TW" w:bidi="en-GB"/>
        </w:rPr>
      </w:pPr>
      <w:r w:rsidRPr="00342405">
        <w:rPr>
          <w:rFonts w:ascii="Times New Roman Bold" w:hAnsi="Times New Roman Bold"/>
          <w:spacing w:val="-8"/>
          <w:rtl/>
        </w:rPr>
        <w:tab/>
      </w:r>
      <w:r w:rsidR="001C3681" w:rsidRPr="00342405">
        <w:rPr>
          <w:rFonts w:ascii="Times New Roman Bold" w:hAnsi="Times New Roman Bold"/>
          <w:spacing w:val="-8"/>
          <w:rtl/>
        </w:rPr>
        <w:t>(أ)</w:t>
      </w:r>
      <w:r w:rsidR="001C3681" w:rsidRPr="00342405">
        <w:rPr>
          <w:rFonts w:ascii="Times New Roman Bold" w:hAnsi="Times New Roman Bold"/>
          <w:spacing w:val="-8"/>
          <w:rtl/>
        </w:rPr>
        <w:tab/>
      </w:r>
      <w:r w:rsidR="001C3681" w:rsidRPr="00DE6A9D">
        <w:rPr>
          <w:rFonts w:ascii="Times New Roman Bold" w:hAnsi="Times New Roman Bold"/>
          <w:b/>
          <w:bCs/>
          <w:spacing w:val="-8"/>
          <w:rtl/>
        </w:rPr>
        <w:t>مواصلة دعم ولاية مكتب المحامي العام</w:t>
      </w:r>
      <w:r w:rsidR="00160AF5" w:rsidRPr="00DE6A9D">
        <w:rPr>
          <w:rFonts w:ascii="Times New Roman Bold" w:hAnsi="Times New Roman Bold"/>
          <w:b/>
          <w:bCs/>
          <w:spacing w:val="-8"/>
          <w:rtl/>
        </w:rPr>
        <w:t xml:space="preserve"> </w:t>
      </w:r>
      <w:r w:rsidR="001C3681" w:rsidRPr="00DE6A9D">
        <w:rPr>
          <w:rFonts w:ascii="Times New Roman Bold" w:hAnsi="Times New Roman Bold"/>
          <w:b/>
          <w:bCs/>
          <w:spacing w:val="-8"/>
          <w:rtl/>
        </w:rPr>
        <w:t>فيما يتعلق بالتحقيق في شكاوى التمييز العنصري؛</w:t>
      </w:r>
    </w:p>
    <w:p w14:paraId="796202A4" w14:textId="01EA944C" w:rsidR="001C3681" w:rsidRPr="00DE6A9D" w:rsidRDefault="00F41E33" w:rsidP="00F3795A">
      <w:pPr>
        <w:pStyle w:val="SingleTxtGA"/>
        <w:rPr>
          <w:rFonts w:ascii="Times New Roman Bold" w:hAnsi="Times New Roman Bold" w:hint="eastAsia"/>
          <w:b/>
          <w:bCs/>
          <w:spacing w:val="-2"/>
          <w:lang w:val="ar-SA" w:eastAsia="zh-TW" w:bidi="en-GB"/>
        </w:rPr>
      </w:pPr>
      <w:r w:rsidRPr="00342405">
        <w:rPr>
          <w:rtl/>
        </w:rPr>
        <w:tab/>
      </w:r>
      <w:r w:rsidR="001C3681" w:rsidRPr="00342405">
        <w:rPr>
          <w:rtl/>
        </w:rPr>
        <w:t>(ب)</w:t>
      </w:r>
      <w:r w:rsidR="001C3681" w:rsidRPr="00342405">
        <w:rPr>
          <w:rtl/>
        </w:rPr>
        <w:tab/>
      </w:r>
      <w:r w:rsidR="001C3681" w:rsidRPr="00DE6A9D">
        <w:rPr>
          <w:b/>
          <w:bCs/>
          <w:rtl/>
        </w:rPr>
        <w:t>ضمان توفير التدريب المتخصص</w:t>
      </w:r>
      <w:r w:rsidR="00D73A4A" w:rsidRPr="00DE6A9D">
        <w:rPr>
          <w:b/>
          <w:bCs/>
          <w:rtl/>
        </w:rPr>
        <w:t xml:space="preserve"> </w:t>
      </w:r>
      <w:r w:rsidR="001C3681" w:rsidRPr="00DE6A9D">
        <w:rPr>
          <w:b/>
          <w:bCs/>
          <w:rtl/>
        </w:rPr>
        <w:t xml:space="preserve">المنهجي لموظفي مكتب المدعي العام، ودائرة </w:t>
      </w:r>
      <w:r w:rsidR="001C3681" w:rsidRPr="00DE6A9D">
        <w:rPr>
          <w:rFonts w:ascii="Times New Roman Bold" w:hAnsi="Times New Roman Bold"/>
          <w:b/>
          <w:bCs/>
          <w:spacing w:val="-2"/>
          <w:rtl/>
        </w:rPr>
        <w:t>التحقيقات الخاصة، ودائرة تفتيش العمل في مجال التحقيق في قضايا التمييز العنصري ومقاضاة الجناة؛</w:t>
      </w:r>
    </w:p>
    <w:p w14:paraId="400C3F05" w14:textId="082E400F" w:rsidR="001C3681" w:rsidRPr="00DE6A9D" w:rsidRDefault="00F3795A" w:rsidP="00F3795A">
      <w:pPr>
        <w:pStyle w:val="SingleTxtGA"/>
        <w:rPr>
          <w:b/>
          <w:bCs/>
          <w:lang w:val="ar-SA" w:eastAsia="zh-TW" w:bidi="en-GB"/>
        </w:rPr>
      </w:pPr>
      <w:r w:rsidRPr="00342405">
        <w:rPr>
          <w:rtl/>
        </w:rPr>
        <w:tab/>
      </w:r>
      <w:r w:rsidR="001C3681" w:rsidRPr="00342405">
        <w:rPr>
          <w:rtl/>
        </w:rPr>
        <w:t>(ج)</w:t>
      </w:r>
      <w:r w:rsidR="001C3681" w:rsidRPr="00342405">
        <w:rPr>
          <w:rtl/>
        </w:rPr>
        <w:tab/>
      </w:r>
      <w:r w:rsidR="001C3681" w:rsidRPr="00DE6A9D">
        <w:rPr>
          <w:b/>
          <w:bCs/>
          <w:rtl/>
        </w:rPr>
        <w:t>ضمان توفير التدريب المتخصص في مجال التمييز العنصري للقضاة على جميع مستويات السلك القضائي؛</w:t>
      </w:r>
    </w:p>
    <w:p w14:paraId="30DA7CF5" w14:textId="52B26EC9" w:rsidR="001C3681" w:rsidRPr="00DE6A9D" w:rsidRDefault="00F3795A" w:rsidP="00F3795A">
      <w:pPr>
        <w:pStyle w:val="SingleTxtGA"/>
        <w:rPr>
          <w:b/>
          <w:bCs/>
          <w:lang w:val="ar-SA" w:eastAsia="zh-TW" w:bidi="en-GB"/>
        </w:rPr>
      </w:pPr>
      <w:r w:rsidRPr="00342405">
        <w:rPr>
          <w:rtl/>
        </w:rPr>
        <w:tab/>
      </w:r>
      <w:r w:rsidR="001C3681" w:rsidRPr="00342405">
        <w:rPr>
          <w:rtl/>
        </w:rPr>
        <w:t>(د)</w:t>
      </w:r>
      <w:r w:rsidR="001C3681" w:rsidRPr="00342405">
        <w:rPr>
          <w:rtl/>
        </w:rPr>
        <w:tab/>
      </w:r>
      <w:r w:rsidR="001C3681" w:rsidRPr="00DE6A9D">
        <w:rPr>
          <w:b/>
          <w:bCs/>
          <w:rtl/>
        </w:rPr>
        <w:t>تعديل قانون الجرائم الإدارية ليشمل التمييز العنصري بوصفه ظرفا</w:t>
      </w:r>
      <w:r w:rsidR="003F2027" w:rsidRPr="00DE6A9D">
        <w:rPr>
          <w:rFonts w:hint="cs"/>
          <w:b/>
          <w:bCs/>
          <w:rtl/>
        </w:rPr>
        <w:t>ً</w:t>
      </w:r>
      <w:r w:rsidR="001C3681" w:rsidRPr="00DE6A9D">
        <w:rPr>
          <w:b/>
          <w:bCs/>
          <w:rtl/>
        </w:rPr>
        <w:t xml:space="preserve"> مشددا</w:t>
      </w:r>
      <w:r w:rsidR="003F2027" w:rsidRPr="00DE6A9D">
        <w:rPr>
          <w:rFonts w:hint="cs"/>
          <w:b/>
          <w:bCs/>
          <w:rtl/>
        </w:rPr>
        <w:t>ً</w:t>
      </w:r>
      <w:r w:rsidR="001C3681" w:rsidRPr="00DE6A9D">
        <w:rPr>
          <w:b/>
          <w:bCs/>
          <w:rtl/>
        </w:rPr>
        <w:t xml:space="preserve"> للعقوبة؛</w:t>
      </w:r>
    </w:p>
    <w:p w14:paraId="48F88A30" w14:textId="13B0C37B" w:rsidR="001C3681" w:rsidRPr="00DE6A9D" w:rsidRDefault="00F3795A" w:rsidP="00F3795A">
      <w:pPr>
        <w:pStyle w:val="SingleTxtGA"/>
        <w:rPr>
          <w:b/>
          <w:bCs/>
          <w:lang w:val="ar-SA" w:eastAsia="zh-TW" w:bidi="en-GB"/>
        </w:rPr>
      </w:pPr>
      <w:r w:rsidRPr="00DE6A9D">
        <w:rPr>
          <w:b/>
          <w:bCs/>
          <w:rtl/>
        </w:rPr>
        <w:tab/>
      </w:r>
      <w:r w:rsidR="001C3681" w:rsidRPr="00342405">
        <w:rPr>
          <w:rtl/>
        </w:rPr>
        <w:t>(هـ)</w:t>
      </w:r>
      <w:r w:rsidR="001C3681" w:rsidRPr="00342405">
        <w:rPr>
          <w:rtl/>
        </w:rPr>
        <w:tab/>
      </w:r>
      <w:r w:rsidR="001C3681" w:rsidRPr="00DE6A9D">
        <w:rPr>
          <w:b/>
          <w:bCs/>
          <w:rtl/>
        </w:rPr>
        <w:t>توسيع نطاق تنفيذ تدابير التوعية من أجل زيادة الوعي العام بالتشريعات المناهضة للتمييز وآليات الانتصاف المستقلة، بما في ذلك في أوساط الأقليات الإثنية.</w:t>
      </w:r>
    </w:p>
    <w:p w14:paraId="01DA1C59" w14:textId="77777777" w:rsidR="001C3681" w:rsidRPr="00DE6A9D" w:rsidRDefault="001C3681" w:rsidP="00F3795A">
      <w:pPr>
        <w:pStyle w:val="H23GA"/>
        <w:rPr>
          <w:lang w:val="ar-SA" w:eastAsia="zh-TW" w:bidi="en-GB"/>
        </w:rPr>
      </w:pPr>
      <w:r w:rsidRPr="00DE6A9D">
        <w:rPr>
          <w:rtl/>
        </w:rPr>
        <w:tab/>
      </w:r>
      <w:r w:rsidRPr="00DE6A9D">
        <w:rPr>
          <w:rtl/>
        </w:rPr>
        <w:tab/>
        <w:t>خطاب الكراهية العنصرية والجرائم المرتكبة بدافع الكراهية</w:t>
      </w:r>
    </w:p>
    <w:p w14:paraId="4557F606" w14:textId="6D926CEC" w:rsidR="00DE6A9D" w:rsidRPr="00DE6A9D" w:rsidRDefault="001C3681" w:rsidP="00F3795A">
      <w:pPr>
        <w:pStyle w:val="SingleTxtGA"/>
        <w:rPr>
          <w:lang w:val="ar-SA" w:eastAsia="zh-TW" w:bidi="en-GB"/>
        </w:rPr>
      </w:pPr>
      <w:r w:rsidRPr="00DE6A9D">
        <w:rPr>
          <w:rtl/>
        </w:rPr>
        <w:t>9</w:t>
      </w:r>
      <w:r w:rsidRPr="00EE5596">
        <w:rPr>
          <w:rFonts w:ascii="Simplified Arabic"/>
          <w:rtl/>
        </w:rPr>
        <w:t>-</w:t>
      </w:r>
      <w:r w:rsidRPr="00EE5596">
        <w:rPr>
          <w:rtl/>
        </w:rPr>
        <w:tab/>
      </w:r>
      <w:r w:rsidRPr="0030692A">
        <w:rPr>
          <w:rtl/>
        </w:rPr>
        <w:t>يساور اللجنة القلق إزاء حالات جرائم الكراهية العنصرية، فضلا</w:t>
      </w:r>
      <w:r w:rsidR="003F2027" w:rsidRPr="0030692A">
        <w:rPr>
          <w:rFonts w:hint="cs"/>
          <w:rtl/>
        </w:rPr>
        <w:t>ً</w:t>
      </w:r>
      <w:r w:rsidRPr="0030692A">
        <w:rPr>
          <w:rtl/>
        </w:rPr>
        <w:t xml:space="preserve"> عن خطاب الكراهية العنصرية في وسائط الإعلام وفي شبكة الإنترنت، بما في ذلك من جانب السياسيين والمسؤولين </w:t>
      </w:r>
      <w:proofErr w:type="spellStart"/>
      <w:r w:rsidRPr="0030692A">
        <w:rPr>
          <w:rtl/>
        </w:rPr>
        <w:t>الرفيعي</w:t>
      </w:r>
      <w:proofErr w:type="spellEnd"/>
      <w:r w:rsidRPr="0030692A">
        <w:rPr>
          <w:rtl/>
        </w:rPr>
        <w:t xml:space="preserve"> المستوى. وتقر اللجنة بالتدابير التي اتخذتها الدولة الطرف للتصدي لخطاب الكراهية والجرائم المرتكبة بدافع الكراهية، بما في ذلك إنشاء إدارة حماية حقوق الإنسان داخل وزارة الداخلية في عام </w:t>
      </w:r>
      <w:r w:rsidRPr="00DE6A9D">
        <w:rPr>
          <w:rtl/>
        </w:rPr>
        <w:t>2018</w:t>
      </w:r>
      <w:r w:rsidRPr="0030692A">
        <w:rPr>
          <w:rtl/>
        </w:rPr>
        <w:t xml:space="preserve">، وتمديد ولاية الإدارة في عام </w:t>
      </w:r>
      <w:r w:rsidRPr="00DE6A9D">
        <w:rPr>
          <w:rtl/>
        </w:rPr>
        <w:t>2019</w:t>
      </w:r>
      <w:r w:rsidRPr="0030692A">
        <w:rPr>
          <w:rtl/>
        </w:rPr>
        <w:t xml:space="preserve"> لرصد جودة التحقيقات، ولكن القلق يساورها إزاء عدم وجود تشريعات فعالة للتصدي لخطاب الكراهية في وسائط الإعلام الإذاعية وفي شبكة الإنترنت (المادتان </w:t>
      </w:r>
      <w:r w:rsidRPr="00DE6A9D">
        <w:rPr>
          <w:rtl/>
        </w:rPr>
        <w:t>2</w:t>
      </w:r>
      <w:r w:rsidRPr="0030692A">
        <w:rPr>
          <w:rtl/>
        </w:rPr>
        <w:t xml:space="preserve"> و</w:t>
      </w:r>
      <w:r w:rsidR="00DE6A9D" w:rsidRPr="00DE6A9D">
        <w:rPr>
          <w:rtl/>
        </w:rPr>
        <w:t>4</w:t>
      </w:r>
      <w:r w:rsidR="00DE6A9D" w:rsidRPr="00DE6A9D">
        <w:rPr>
          <w:rFonts w:ascii="Simplified Arabic"/>
          <w:rtl/>
        </w:rPr>
        <w:t>)</w:t>
      </w:r>
      <w:r w:rsidR="00DE6A9D" w:rsidRPr="00DE6A9D">
        <w:rPr>
          <w:rtl/>
        </w:rPr>
        <w:t>.</w:t>
      </w:r>
    </w:p>
    <w:p w14:paraId="2E5F0955" w14:textId="5A86310D" w:rsidR="001C3681" w:rsidRPr="00DE6A9D" w:rsidRDefault="001C3681" w:rsidP="00F3795A">
      <w:pPr>
        <w:pStyle w:val="SingleTxtGA"/>
        <w:rPr>
          <w:b/>
          <w:bCs/>
          <w:lang w:val="ar-SA" w:eastAsia="zh-TW" w:bidi="en-GB"/>
        </w:rPr>
      </w:pPr>
      <w:r w:rsidRPr="00DE6A9D">
        <w:rPr>
          <w:rtl/>
        </w:rPr>
        <w:t>10</w:t>
      </w:r>
      <w:r w:rsidRPr="00EE5596">
        <w:rPr>
          <w:rFonts w:ascii="Simplified Arabic"/>
          <w:rtl/>
        </w:rPr>
        <w:t>-</w:t>
      </w:r>
      <w:r w:rsidRPr="00EE5596">
        <w:rPr>
          <w:rtl/>
        </w:rPr>
        <w:tab/>
      </w:r>
      <w:r w:rsidRPr="00DE6A9D">
        <w:rPr>
          <w:b/>
          <w:bCs/>
          <w:rtl/>
        </w:rPr>
        <w:t>وتوصي اللجنة الدولة الطرف بما يلي:</w:t>
      </w:r>
    </w:p>
    <w:p w14:paraId="0EF5DF2B" w14:textId="5943A8D4" w:rsidR="001C3681" w:rsidRPr="00DE6A9D" w:rsidRDefault="00F3795A" w:rsidP="00F3795A">
      <w:pPr>
        <w:pStyle w:val="SingleTxtGA"/>
        <w:rPr>
          <w:b/>
          <w:bCs/>
          <w:lang w:val="ar-SA" w:eastAsia="zh-TW" w:bidi="en-GB"/>
        </w:rPr>
      </w:pPr>
      <w:r w:rsidRPr="00342405">
        <w:rPr>
          <w:rtl/>
        </w:rPr>
        <w:tab/>
      </w:r>
      <w:r w:rsidR="001C3681" w:rsidRPr="00342405">
        <w:rPr>
          <w:rtl/>
        </w:rPr>
        <w:t>(أ)</w:t>
      </w:r>
      <w:r w:rsidR="001C3681" w:rsidRPr="00342405">
        <w:rPr>
          <w:rtl/>
        </w:rPr>
        <w:tab/>
      </w:r>
      <w:r w:rsidR="001C3681" w:rsidRPr="00DE6A9D">
        <w:rPr>
          <w:b/>
          <w:bCs/>
          <w:rtl/>
        </w:rPr>
        <w:t>إنشاء وحدة متخصصة داخل الشرطة للتحقيق في خطاب الكراهية والجرائم المرتكبة بدافع الكراهية؛</w:t>
      </w:r>
    </w:p>
    <w:p w14:paraId="097F2D92" w14:textId="3FF29B7C" w:rsidR="001C3681" w:rsidRPr="00DE6A9D" w:rsidRDefault="00F3795A" w:rsidP="00F3795A">
      <w:pPr>
        <w:pStyle w:val="SingleTxtGA"/>
        <w:rPr>
          <w:b/>
          <w:bCs/>
          <w:lang w:val="ar-SA" w:eastAsia="zh-TW" w:bidi="en-GB"/>
        </w:rPr>
      </w:pPr>
      <w:r w:rsidRPr="00342405">
        <w:rPr>
          <w:rtl/>
        </w:rPr>
        <w:tab/>
      </w:r>
      <w:r w:rsidR="001C3681" w:rsidRPr="00342405">
        <w:rPr>
          <w:rtl/>
        </w:rPr>
        <w:t>(ب)</w:t>
      </w:r>
      <w:r w:rsidR="001C3681" w:rsidRPr="00342405">
        <w:rPr>
          <w:rtl/>
        </w:rPr>
        <w:tab/>
      </w:r>
      <w:r w:rsidR="001C3681" w:rsidRPr="00DE6A9D">
        <w:rPr>
          <w:b/>
          <w:bCs/>
          <w:rtl/>
        </w:rPr>
        <w:t>ضمان التنفيذ الفعال لمدونة الأخلاقيات البرلمانية التي تحظر استخدام البرلمانيين لخطاب الكراهية، والمعتمدة في شباط/فبراير 2019، وكذلك قواعد الأخلاقيات ومدونة قواعد السلوك الخاصة بالمؤسسات العامة، التي أقرّها القرار الحكومي رقم 200 في 30 نيسان/أبريل 2020؛</w:t>
      </w:r>
    </w:p>
    <w:p w14:paraId="6F03EF4F" w14:textId="38E4E359" w:rsidR="001C3681" w:rsidRPr="00DE6A9D" w:rsidRDefault="00F3795A" w:rsidP="00F3795A">
      <w:pPr>
        <w:pStyle w:val="SingleTxtGA"/>
        <w:rPr>
          <w:b/>
          <w:bCs/>
          <w:lang w:val="en-US" w:eastAsia="zh-TW" w:bidi="en-GB"/>
        </w:rPr>
      </w:pPr>
      <w:r w:rsidRPr="00342405">
        <w:rPr>
          <w:rtl/>
        </w:rPr>
        <w:tab/>
      </w:r>
      <w:r w:rsidR="001C3681" w:rsidRPr="00342405">
        <w:rPr>
          <w:rtl/>
        </w:rPr>
        <w:t>(ج)</w:t>
      </w:r>
      <w:r w:rsidR="001C3681" w:rsidRPr="00342405">
        <w:rPr>
          <w:rtl/>
        </w:rPr>
        <w:tab/>
      </w:r>
      <w:r w:rsidR="001C3681" w:rsidRPr="00DE6A9D">
        <w:rPr>
          <w:b/>
          <w:bCs/>
          <w:rtl/>
        </w:rPr>
        <w:t>تعزيز اللوائح التنظيمية التي تحظر خطاب الكراهية في وسائل البث الإذاعي التقليدية والإلكترونية، مع ضمان امتثال التدابير المنفذة لمبدأي الشرعية والتناسب.</w:t>
      </w:r>
    </w:p>
    <w:p w14:paraId="0500AF86" w14:textId="77777777" w:rsidR="001C3681" w:rsidRPr="00DE6A9D" w:rsidRDefault="001C3681" w:rsidP="00E6371A">
      <w:pPr>
        <w:pStyle w:val="H23GA"/>
        <w:rPr>
          <w:lang w:val="ar-SA" w:eastAsia="zh-TW" w:bidi="en-GB"/>
        </w:rPr>
      </w:pPr>
      <w:r w:rsidRPr="00DE6A9D">
        <w:rPr>
          <w:rtl/>
        </w:rPr>
        <w:tab/>
      </w:r>
      <w:r w:rsidRPr="00DE6A9D">
        <w:rPr>
          <w:rtl/>
        </w:rPr>
        <w:tab/>
        <w:t>الأقليات القومية أو الإثنية</w:t>
      </w:r>
    </w:p>
    <w:p w14:paraId="065A6B0B" w14:textId="77777777" w:rsidR="001C3681" w:rsidRPr="0030692A" w:rsidRDefault="001C3681" w:rsidP="00E6371A">
      <w:pPr>
        <w:pStyle w:val="SingleTxtGA"/>
        <w:rPr>
          <w:lang w:val="ar-SA" w:eastAsia="zh-TW" w:bidi="en-GB"/>
        </w:rPr>
      </w:pPr>
      <w:r w:rsidRPr="00DE6A9D">
        <w:rPr>
          <w:rtl/>
        </w:rPr>
        <w:t>11</w:t>
      </w:r>
      <w:r w:rsidRPr="00EE5596">
        <w:rPr>
          <w:rFonts w:ascii="Simplified Arabic"/>
          <w:rtl/>
        </w:rPr>
        <w:t>-</w:t>
      </w:r>
      <w:r w:rsidRPr="00EE5596">
        <w:rPr>
          <w:rtl/>
        </w:rPr>
        <w:tab/>
      </w:r>
      <w:r w:rsidRPr="0030692A">
        <w:rPr>
          <w:rtl/>
        </w:rPr>
        <w:t xml:space="preserve">ترحب اللجنة بالجهود التي تبذلها الدولة الطرف لتحسين أوضاع الأقليات الإثنية، بما في ذلك الجهود المبذولة في إطار استراتيجية الدولة للمساواة المدنية والإدماج المعتمدة في عام </w:t>
      </w:r>
      <w:r w:rsidRPr="00DE6A9D">
        <w:rPr>
          <w:rtl/>
        </w:rPr>
        <w:t>2021</w:t>
      </w:r>
      <w:r w:rsidRPr="0030692A">
        <w:rPr>
          <w:rtl/>
        </w:rPr>
        <w:t>، ولكنها تعرب عن قلقها إزاء ما يلي:</w:t>
      </w:r>
    </w:p>
    <w:p w14:paraId="55C943C9" w14:textId="553D88C7" w:rsidR="001C3681" w:rsidRPr="0030692A" w:rsidRDefault="00E6371A" w:rsidP="00E6371A">
      <w:pPr>
        <w:pStyle w:val="SingleTxtGA"/>
        <w:rPr>
          <w:lang w:val="ar-SA" w:eastAsia="zh-TW" w:bidi="en-GB"/>
        </w:rPr>
      </w:pPr>
      <w:r w:rsidRPr="00EE5596">
        <w:rPr>
          <w:rtl/>
        </w:rPr>
        <w:tab/>
      </w:r>
      <w:r w:rsidR="001C3681" w:rsidRPr="00EE5596">
        <w:rPr>
          <w:rtl/>
        </w:rPr>
        <w:t>(أ)</w:t>
      </w:r>
      <w:r w:rsidR="001C3681" w:rsidRPr="00EE5596">
        <w:rPr>
          <w:rtl/>
        </w:rPr>
        <w:tab/>
      </w:r>
      <w:r w:rsidR="001C3681" w:rsidRPr="0030692A">
        <w:rPr>
          <w:rtl/>
        </w:rPr>
        <w:t>استمرار انخفاض تمثيل الأقليات في الهيئات السياسية وهيئات صنع القرار والإدارة العامة، بما في ذلك على مستوى البلديات؛</w:t>
      </w:r>
    </w:p>
    <w:p w14:paraId="253A581A" w14:textId="3F28630B" w:rsidR="001C3681" w:rsidRPr="0030692A" w:rsidRDefault="00E6371A" w:rsidP="00E6371A">
      <w:pPr>
        <w:pStyle w:val="SingleTxtGA"/>
        <w:rPr>
          <w:lang w:val="ar-SA" w:eastAsia="zh-TW" w:bidi="en-GB"/>
        </w:rPr>
      </w:pPr>
      <w:r w:rsidRPr="00EE5596">
        <w:rPr>
          <w:rtl/>
        </w:rPr>
        <w:lastRenderedPageBreak/>
        <w:tab/>
      </w:r>
      <w:r w:rsidR="001C3681" w:rsidRPr="00EE5596">
        <w:rPr>
          <w:rtl/>
        </w:rPr>
        <w:t>(ب)</w:t>
      </w:r>
      <w:r w:rsidR="001C3681" w:rsidRPr="00EE5596">
        <w:rPr>
          <w:rtl/>
        </w:rPr>
        <w:tab/>
      </w:r>
      <w:r w:rsidR="001C3681" w:rsidRPr="0030692A">
        <w:rPr>
          <w:rtl/>
        </w:rPr>
        <w:t>تدني مستوى الإلمام باللغة الجورجية في أوساط الأقليات، ولا سيما في أوساط الأقلية الإثنية الأذربيجانية، مما يشكل عائقا</w:t>
      </w:r>
      <w:r w:rsidR="003F2027" w:rsidRPr="0030692A">
        <w:rPr>
          <w:rFonts w:hint="cs"/>
          <w:rtl/>
        </w:rPr>
        <w:t>ً</w:t>
      </w:r>
      <w:r w:rsidR="001C3681" w:rsidRPr="0030692A">
        <w:rPr>
          <w:rtl/>
        </w:rPr>
        <w:t xml:space="preserve"> كبيرا</w:t>
      </w:r>
      <w:r w:rsidR="003F2027" w:rsidRPr="0030692A">
        <w:rPr>
          <w:rFonts w:hint="cs"/>
          <w:rtl/>
        </w:rPr>
        <w:t>ً</w:t>
      </w:r>
      <w:r w:rsidR="001C3681" w:rsidRPr="0030692A">
        <w:rPr>
          <w:rtl/>
        </w:rPr>
        <w:t xml:space="preserve"> أمام الاندماج الفعال في المجتمع الجورجي، بما في ذلك الحصول على المعلومات والخدمات العامة؛</w:t>
      </w:r>
    </w:p>
    <w:p w14:paraId="4A52AE5E" w14:textId="5B693516" w:rsidR="001C3681" w:rsidRPr="0030692A" w:rsidRDefault="00E6371A" w:rsidP="00E6371A">
      <w:pPr>
        <w:pStyle w:val="SingleTxtGA"/>
        <w:rPr>
          <w:lang w:val="ar-SA" w:eastAsia="zh-TW" w:bidi="en-GB"/>
        </w:rPr>
      </w:pPr>
      <w:r w:rsidRPr="00EE5596">
        <w:rPr>
          <w:rtl/>
        </w:rPr>
        <w:tab/>
      </w:r>
      <w:r w:rsidR="001C3681" w:rsidRPr="00EE5596">
        <w:rPr>
          <w:rtl/>
        </w:rPr>
        <w:t>(ج)</w:t>
      </w:r>
      <w:r w:rsidR="001C3681" w:rsidRPr="00EE5596">
        <w:rPr>
          <w:rtl/>
        </w:rPr>
        <w:tab/>
      </w:r>
      <w:r w:rsidR="001C3681" w:rsidRPr="0030692A">
        <w:rPr>
          <w:rtl/>
        </w:rPr>
        <w:t>عدم كفاية الموارد المتاحة للمدارس في المناطق المكتظة بالسكان من الأقليات الإثنية، ولا سيما فيما يتعلق بالحصول على التعليم قبل الابتدائي وتدريب المعلمين والمواد المرجعية لمدرسي اللغة الجورجية ولغات الأقليات الإثنية، ونوعية الهياكل الأساسية للمدارس في بعض البلديات؛</w:t>
      </w:r>
    </w:p>
    <w:p w14:paraId="60F82C94" w14:textId="51CDB36D" w:rsidR="001C3681" w:rsidRPr="0030692A" w:rsidRDefault="00E6371A" w:rsidP="00E6371A">
      <w:pPr>
        <w:pStyle w:val="SingleTxtGA"/>
        <w:rPr>
          <w:lang w:val="ar-SA" w:eastAsia="zh-TW" w:bidi="en-GB"/>
        </w:rPr>
      </w:pPr>
      <w:r w:rsidRPr="00EE5596">
        <w:rPr>
          <w:rtl/>
        </w:rPr>
        <w:tab/>
      </w:r>
      <w:r w:rsidR="001C3681" w:rsidRPr="00EE5596">
        <w:rPr>
          <w:rtl/>
        </w:rPr>
        <w:t>(د)</w:t>
      </w:r>
      <w:r w:rsidR="001C3681" w:rsidRPr="00EE5596">
        <w:rPr>
          <w:rtl/>
        </w:rPr>
        <w:tab/>
      </w:r>
      <w:r w:rsidR="001C3681" w:rsidRPr="0030692A">
        <w:rPr>
          <w:rtl/>
        </w:rPr>
        <w:t>قلة عدد الأماكن التي تمولها الدولة في البرنامج التحضيري للغة الجورجية "</w:t>
      </w:r>
      <w:r w:rsidR="001C3681" w:rsidRPr="00DE6A9D">
        <w:rPr>
          <w:rtl/>
        </w:rPr>
        <w:t>1</w:t>
      </w:r>
      <w:r w:rsidR="001C3681" w:rsidRPr="0030692A">
        <w:rPr>
          <w:rFonts w:ascii="Simplified Arabic"/>
          <w:rtl/>
        </w:rPr>
        <w:t>+</w:t>
      </w:r>
      <w:r w:rsidR="001C3681" w:rsidRPr="00DE6A9D">
        <w:rPr>
          <w:rtl/>
        </w:rPr>
        <w:t>4</w:t>
      </w:r>
      <w:r w:rsidR="001C3681" w:rsidRPr="0030692A">
        <w:rPr>
          <w:rFonts w:ascii="Simplified Arabic"/>
          <w:rtl/>
        </w:rPr>
        <w:t>"</w:t>
      </w:r>
      <w:r w:rsidR="001C3681" w:rsidRPr="0030692A">
        <w:rPr>
          <w:rtl/>
        </w:rPr>
        <w:t>، الذي ييسر حصول طلاب الأقليات الإثنية على التعليم العالي بإدراج سنة تمهيدية من دراسات اللغة الجورجية قبل أن يبدأ الطلاب دراستهم الجامعية؛</w:t>
      </w:r>
    </w:p>
    <w:p w14:paraId="2E7FADF8" w14:textId="1365E65F" w:rsidR="00DE6A9D" w:rsidRPr="00DE6A9D" w:rsidRDefault="00E6371A" w:rsidP="00E6371A">
      <w:pPr>
        <w:pStyle w:val="SingleTxtGA"/>
        <w:rPr>
          <w:lang w:val="ar-SA" w:eastAsia="zh-TW" w:bidi="en-GB"/>
        </w:rPr>
      </w:pPr>
      <w:r w:rsidRPr="0030692A">
        <w:rPr>
          <w:rtl/>
        </w:rPr>
        <w:tab/>
      </w:r>
      <w:r w:rsidR="001C3681" w:rsidRPr="0030692A">
        <w:rPr>
          <w:rtl/>
        </w:rPr>
        <w:t>(هـ)</w:t>
      </w:r>
      <w:r w:rsidR="001C3681" w:rsidRPr="0030692A">
        <w:rPr>
          <w:rtl/>
        </w:rPr>
        <w:tab/>
        <w:t>استمرار التفاوتات الاجتماعية الاقتصادية</w:t>
      </w:r>
      <w:r w:rsidR="00D73A4A" w:rsidRPr="0030692A">
        <w:rPr>
          <w:rtl/>
        </w:rPr>
        <w:t xml:space="preserve"> </w:t>
      </w:r>
      <w:r w:rsidR="001C3681" w:rsidRPr="0030692A">
        <w:rPr>
          <w:rtl/>
        </w:rPr>
        <w:t xml:space="preserve">البنيوية، بما في ذلك ما يتعلق بالعمل والصحة، خاصة في المناطق الريفية المكتظة بالسكان من الأقليات الإثنية (المادة </w:t>
      </w:r>
      <w:r w:rsidR="00DE6A9D" w:rsidRPr="00DE6A9D">
        <w:rPr>
          <w:rtl/>
        </w:rPr>
        <w:t>5</w:t>
      </w:r>
      <w:r w:rsidR="00DE6A9D" w:rsidRPr="00DE6A9D">
        <w:rPr>
          <w:rFonts w:ascii="Simplified Arabic"/>
          <w:rtl/>
        </w:rPr>
        <w:t>)</w:t>
      </w:r>
      <w:r w:rsidR="00DE6A9D" w:rsidRPr="00DE6A9D">
        <w:rPr>
          <w:rtl/>
        </w:rPr>
        <w:t>.</w:t>
      </w:r>
    </w:p>
    <w:p w14:paraId="5DAD8FE5" w14:textId="50B7D14B" w:rsidR="001C3681" w:rsidRPr="00DE6A9D" w:rsidRDefault="001C3681" w:rsidP="00E6371A">
      <w:pPr>
        <w:pStyle w:val="SingleTxtGA"/>
        <w:rPr>
          <w:b/>
          <w:bCs/>
          <w:lang w:val="ar-SA" w:eastAsia="zh-TW" w:bidi="en-GB"/>
        </w:rPr>
      </w:pPr>
      <w:r w:rsidRPr="00DE6A9D">
        <w:rPr>
          <w:rtl/>
        </w:rPr>
        <w:t>12</w:t>
      </w:r>
      <w:r w:rsidRPr="00EE5596">
        <w:rPr>
          <w:rFonts w:ascii="Simplified Arabic"/>
          <w:rtl/>
        </w:rPr>
        <w:t>-</w:t>
      </w:r>
      <w:r w:rsidRPr="00EE5596">
        <w:rPr>
          <w:rtl/>
        </w:rPr>
        <w:tab/>
      </w:r>
      <w:r w:rsidRPr="00DE6A9D">
        <w:rPr>
          <w:b/>
          <w:bCs/>
          <w:rtl/>
        </w:rPr>
        <w:t>وتوصي اللجنة الدولة الطرف بتنفيذ تدابير خاصة لمعالجة اللامساواة الهيكلية التي تواجهها الأقليات الإثنية في جورجيا، مع مراعاة التوصية العامة رقم 32</w:t>
      </w:r>
      <w:r w:rsidRPr="00DE6A9D">
        <w:rPr>
          <w:rFonts w:ascii="Simplified Arabic"/>
          <w:b/>
          <w:bCs/>
          <w:rtl/>
        </w:rPr>
        <w:t>(</w:t>
      </w:r>
      <w:r w:rsidRPr="00DE6A9D">
        <w:rPr>
          <w:b/>
          <w:bCs/>
          <w:rtl/>
        </w:rPr>
        <w:t>200</w:t>
      </w:r>
      <w:r w:rsidR="00DE6A9D" w:rsidRPr="00DE6A9D">
        <w:rPr>
          <w:b/>
          <w:bCs/>
          <w:rtl/>
        </w:rPr>
        <w:t>9</w:t>
      </w:r>
      <w:r w:rsidR="00DE6A9D" w:rsidRPr="00DE6A9D">
        <w:rPr>
          <w:rFonts w:ascii="Simplified Arabic"/>
          <w:b/>
          <w:bCs/>
          <w:rtl/>
        </w:rPr>
        <w:t>)</w:t>
      </w:r>
      <w:r w:rsidR="00DE6A9D" w:rsidRPr="00DE6A9D">
        <w:rPr>
          <w:b/>
          <w:bCs/>
          <w:rtl/>
        </w:rPr>
        <w:t xml:space="preserve"> </w:t>
      </w:r>
      <w:r w:rsidRPr="00DE6A9D">
        <w:rPr>
          <w:b/>
          <w:bCs/>
          <w:rtl/>
        </w:rPr>
        <w:t>للجنة، ولا سيما ما يلي:</w:t>
      </w:r>
    </w:p>
    <w:p w14:paraId="66763362" w14:textId="031FB6AB" w:rsidR="001C3681" w:rsidRPr="00DE6A9D" w:rsidRDefault="00E6371A" w:rsidP="00E6371A">
      <w:pPr>
        <w:pStyle w:val="SingleTxtGA"/>
        <w:rPr>
          <w:b/>
          <w:bCs/>
          <w:lang w:val="ar-SA" w:eastAsia="zh-TW" w:bidi="en-GB"/>
        </w:rPr>
      </w:pPr>
      <w:r w:rsidRPr="00342405">
        <w:rPr>
          <w:rtl/>
        </w:rPr>
        <w:tab/>
      </w:r>
      <w:r w:rsidR="001C3681" w:rsidRPr="00342405">
        <w:rPr>
          <w:rtl/>
        </w:rPr>
        <w:t>(أ)</w:t>
      </w:r>
      <w:r w:rsidR="001C3681" w:rsidRPr="00342405">
        <w:rPr>
          <w:rtl/>
        </w:rPr>
        <w:tab/>
      </w:r>
      <w:r w:rsidR="001C3681" w:rsidRPr="00DE6A9D">
        <w:rPr>
          <w:b/>
          <w:bCs/>
          <w:rtl/>
        </w:rPr>
        <w:t>اتخاذ تدابير إضافية لزيادة تمثيل الأقليات الإثنية في الهيئات السياسية وهيئات صنع القرار والإدارة العامة، بما في ذلك على مستوى البلديات، وتعزيز دور مجالس الشورى عن طريق ضمان الحوار المنتظم بين ممثلي الأقليات الإثنية والدولة؛</w:t>
      </w:r>
    </w:p>
    <w:p w14:paraId="5F9E25B8" w14:textId="3972C5EC" w:rsidR="001C3681" w:rsidRPr="00DE6A9D" w:rsidRDefault="00E6371A" w:rsidP="00E6371A">
      <w:pPr>
        <w:pStyle w:val="SingleTxtGA"/>
        <w:rPr>
          <w:b/>
          <w:bCs/>
          <w:lang w:val="ar-SA" w:eastAsia="zh-TW" w:bidi="en-GB"/>
        </w:rPr>
      </w:pPr>
      <w:r w:rsidRPr="00342405">
        <w:rPr>
          <w:rtl/>
        </w:rPr>
        <w:tab/>
      </w:r>
      <w:r w:rsidR="001C3681" w:rsidRPr="00342405">
        <w:rPr>
          <w:rtl/>
        </w:rPr>
        <w:t>(ب)</w:t>
      </w:r>
      <w:r w:rsidR="001C3681" w:rsidRPr="00342405">
        <w:rPr>
          <w:rtl/>
        </w:rPr>
        <w:tab/>
      </w:r>
      <w:r w:rsidR="001C3681" w:rsidRPr="00DE6A9D">
        <w:rPr>
          <w:b/>
          <w:bCs/>
          <w:rtl/>
        </w:rPr>
        <w:t>تنفيذ استراتيجية شاملة لتحسين مهارات اللغة الجورجية في أوساط الأقليات الإثنية، بما في ذلك ما يتعلق بتعليم الكبار، خاصة في المناطق المكتظة بالسكان من الأقليات الإثنية؛</w:t>
      </w:r>
    </w:p>
    <w:p w14:paraId="5119EBFE" w14:textId="0681B7BF" w:rsidR="001C3681" w:rsidRPr="00DE6A9D" w:rsidRDefault="00E6371A" w:rsidP="00E6371A">
      <w:pPr>
        <w:pStyle w:val="SingleTxtGA"/>
        <w:rPr>
          <w:b/>
          <w:bCs/>
          <w:lang w:val="ar-SA" w:eastAsia="zh-TW" w:bidi="en-GB"/>
        </w:rPr>
      </w:pPr>
      <w:r w:rsidRPr="00342405">
        <w:rPr>
          <w:rtl/>
        </w:rPr>
        <w:tab/>
      </w:r>
      <w:r w:rsidR="001C3681" w:rsidRPr="00342405">
        <w:rPr>
          <w:rtl/>
        </w:rPr>
        <w:t>(ج)</w:t>
      </w:r>
      <w:r w:rsidR="001C3681" w:rsidRPr="00342405">
        <w:rPr>
          <w:rtl/>
        </w:rPr>
        <w:tab/>
      </w:r>
      <w:r w:rsidR="001C3681" w:rsidRPr="00DE6A9D">
        <w:rPr>
          <w:b/>
          <w:bCs/>
          <w:rtl/>
        </w:rPr>
        <w:t>زيادة توافر المعلومات العامة بلغات الأقليات، عن طريق زيادة عدد المتحدثين بلغات الأقليات في المؤسسات المقدمة للخدمات على سبيل المثال، بما في ذلك على مستوى البلديات؛</w:t>
      </w:r>
    </w:p>
    <w:p w14:paraId="6A7F5B8B" w14:textId="10ED9BE1" w:rsidR="001C3681" w:rsidRPr="00DE6A9D" w:rsidRDefault="00E6371A" w:rsidP="00E6371A">
      <w:pPr>
        <w:pStyle w:val="SingleTxtGA"/>
        <w:rPr>
          <w:b/>
          <w:bCs/>
          <w:lang w:val="ar-SA" w:eastAsia="zh-TW" w:bidi="en-GB"/>
        </w:rPr>
      </w:pPr>
      <w:r w:rsidRPr="00342405">
        <w:rPr>
          <w:rtl/>
        </w:rPr>
        <w:tab/>
      </w:r>
      <w:r w:rsidR="001C3681" w:rsidRPr="00342405">
        <w:rPr>
          <w:rtl/>
        </w:rPr>
        <w:t>(د)</w:t>
      </w:r>
      <w:r w:rsidR="001C3681" w:rsidRPr="00342405">
        <w:rPr>
          <w:rtl/>
        </w:rPr>
        <w:tab/>
      </w:r>
      <w:r w:rsidR="001C3681" w:rsidRPr="00DE6A9D">
        <w:rPr>
          <w:b/>
          <w:bCs/>
          <w:rtl/>
        </w:rPr>
        <w:t>تعزيز توفير التعليم في المناطق المكتظة بالسكان من الأقليات الإثنية، بما في ذلك ما يتعلق بالحصول على التعليم قبل الابتدائي، والهياكل الأساسية المدرسية، والتدريب اللغوي المتخصص، وموارد التدريس لمعلمي اللغة الجورجية كلغة ثانية ومعلمي لغات الأقليات، والإنتاج المحلي للكتب الدراسية بلغات الأقليات الإثنية؛</w:t>
      </w:r>
    </w:p>
    <w:p w14:paraId="32E7CF65" w14:textId="4A832F70" w:rsidR="001C3681" w:rsidRPr="00DE6A9D" w:rsidRDefault="00E6371A" w:rsidP="00E6371A">
      <w:pPr>
        <w:pStyle w:val="SingleTxtGA"/>
        <w:rPr>
          <w:b/>
          <w:bCs/>
          <w:lang w:val="ar-SA" w:eastAsia="zh-TW" w:bidi="en-GB"/>
        </w:rPr>
      </w:pPr>
      <w:r w:rsidRPr="00342405">
        <w:rPr>
          <w:rtl/>
        </w:rPr>
        <w:tab/>
      </w:r>
      <w:r w:rsidR="001C3681" w:rsidRPr="00342405">
        <w:rPr>
          <w:rtl/>
        </w:rPr>
        <w:t>(ه)</w:t>
      </w:r>
      <w:r w:rsidR="001C3681" w:rsidRPr="00342405">
        <w:rPr>
          <w:rtl/>
        </w:rPr>
        <w:tab/>
      </w:r>
      <w:r w:rsidR="001C3681" w:rsidRPr="00DE6A9D">
        <w:rPr>
          <w:b/>
          <w:bCs/>
          <w:rtl/>
        </w:rPr>
        <w:t>زيادة تمويل البرنامج التحضيري للغة الجورجية "1</w:t>
      </w:r>
      <w:r w:rsidR="001C3681" w:rsidRPr="00DE6A9D">
        <w:rPr>
          <w:rFonts w:ascii="Simplified Arabic"/>
          <w:b/>
          <w:bCs/>
          <w:rtl/>
        </w:rPr>
        <w:t>+</w:t>
      </w:r>
      <w:r w:rsidR="001C3681" w:rsidRPr="00DE6A9D">
        <w:rPr>
          <w:b/>
          <w:bCs/>
          <w:rtl/>
        </w:rPr>
        <w:t>4</w:t>
      </w:r>
      <w:r w:rsidR="001C3681" w:rsidRPr="00DE6A9D">
        <w:rPr>
          <w:rFonts w:ascii="Simplified Arabic"/>
          <w:b/>
          <w:bCs/>
          <w:rtl/>
        </w:rPr>
        <w:t>"</w:t>
      </w:r>
      <w:r w:rsidR="001C3681" w:rsidRPr="00DE6A9D">
        <w:rPr>
          <w:b/>
          <w:bCs/>
          <w:rtl/>
        </w:rPr>
        <w:t xml:space="preserve"> من أجل ضمان توافر التمويل لجميع طلاب الأقليات الإثنية الذين اجتازوا الامتحانات الوطنية المطلوب اجتيازها؛</w:t>
      </w:r>
    </w:p>
    <w:p w14:paraId="020C1EC0" w14:textId="7C1864B4" w:rsidR="001C3681" w:rsidRPr="00DE6A9D" w:rsidRDefault="00E6371A" w:rsidP="00E6371A">
      <w:pPr>
        <w:pStyle w:val="SingleTxtGA"/>
        <w:rPr>
          <w:b/>
          <w:bCs/>
          <w:lang w:val="en-US" w:eastAsia="zh-TW" w:bidi="en-GB"/>
        </w:rPr>
      </w:pPr>
      <w:r w:rsidRPr="00342405">
        <w:rPr>
          <w:rtl/>
        </w:rPr>
        <w:tab/>
      </w:r>
      <w:r w:rsidR="001C3681" w:rsidRPr="00342405">
        <w:rPr>
          <w:rtl/>
        </w:rPr>
        <w:t>(و)</w:t>
      </w:r>
      <w:r w:rsidR="001C3681" w:rsidRPr="00342405">
        <w:rPr>
          <w:rtl/>
        </w:rPr>
        <w:tab/>
      </w:r>
      <w:r w:rsidR="001C3681" w:rsidRPr="00DE6A9D">
        <w:rPr>
          <w:b/>
          <w:bCs/>
          <w:rtl/>
        </w:rPr>
        <w:t>تكثيف الجهود الرامية إلى ضمان تمتع الأقليات الإثنية تمتعا</w:t>
      </w:r>
      <w:r w:rsidR="0030692A" w:rsidRPr="00DE6A9D">
        <w:rPr>
          <w:rFonts w:hint="cs"/>
          <w:b/>
          <w:bCs/>
          <w:rtl/>
        </w:rPr>
        <w:t>ً</w:t>
      </w:r>
      <w:r w:rsidR="001C3681" w:rsidRPr="00DE6A9D">
        <w:rPr>
          <w:b/>
          <w:bCs/>
          <w:rtl/>
        </w:rPr>
        <w:t xml:space="preserve"> كاملا</w:t>
      </w:r>
      <w:r w:rsidR="0030692A" w:rsidRPr="00DE6A9D">
        <w:rPr>
          <w:rFonts w:hint="cs"/>
          <w:b/>
          <w:bCs/>
          <w:rtl/>
        </w:rPr>
        <w:t>ً</w:t>
      </w:r>
      <w:r w:rsidR="001C3681" w:rsidRPr="00DE6A9D">
        <w:rPr>
          <w:b/>
          <w:bCs/>
          <w:rtl/>
        </w:rPr>
        <w:t xml:space="preserve"> بالحقوق الاقتصادية والاجتماعية والثقافية، ولا سيما في المناطق الريفية، بطرق منها توسيع نطاق برامج تيسير التوظيف.</w:t>
      </w:r>
    </w:p>
    <w:p w14:paraId="2604630D" w14:textId="77777777" w:rsidR="001C3681" w:rsidRPr="00DE6A9D" w:rsidRDefault="001C3681" w:rsidP="00E6371A">
      <w:pPr>
        <w:pStyle w:val="H23GA"/>
        <w:rPr>
          <w:lang w:val="ar-SA" w:eastAsia="zh-TW" w:bidi="en-GB"/>
        </w:rPr>
      </w:pPr>
      <w:r w:rsidRPr="00DE6A9D">
        <w:rPr>
          <w:rtl/>
        </w:rPr>
        <w:tab/>
      </w:r>
      <w:r w:rsidRPr="00DE6A9D">
        <w:rPr>
          <w:rtl/>
        </w:rPr>
        <w:tab/>
      </w:r>
      <w:proofErr w:type="spellStart"/>
      <w:r w:rsidRPr="00DE6A9D">
        <w:rPr>
          <w:rtl/>
        </w:rPr>
        <w:t>الروما</w:t>
      </w:r>
      <w:proofErr w:type="spellEnd"/>
    </w:p>
    <w:p w14:paraId="4E192242" w14:textId="3C3D3AC2" w:rsidR="00DE6A9D" w:rsidRPr="00DE6A9D" w:rsidRDefault="001C3681" w:rsidP="00E6371A">
      <w:pPr>
        <w:pStyle w:val="SingleTxtGA"/>
        <w:rPr>
          <w:lang w:val="ar-SA" w:eastAsia="zh-TW" w:bidi="en-GB"/>
        </w:rPr>
      </w:pPr>
      <w:r w:rsidRPr="00DE6A9D">
        <w:rPr>
          <w:rtl/>
        </w:rPr>
        <w:t>13</w:t>
      </w:r>
      <w:r w:rsidRPr="00EE5596">
        <w:rPr>
          <w:rFonts w:ascii="Simplified Arabic"/>
          <w:rtl/>
        </w:rPr>
        <w:t>-</w:t>
      </w:r>
      <w:r w:rsidRPr="00EE5596">
        <w:rPr>
          <w:rtl/>
        </w:rPr>
        <w:tab/>
      </w:r>
      <w:r w:rsidRPr="0030692A">
        <w:rPr>
          <w:rtl/>
        </w:rPr>
        <w:t xml:space="preserve">ترحب اللجنة بالتدابير التي اتخذتها الدولة الطرف لتيسير حصول </w:t>
      </w:r>
      <w:proofErr w:type="spellStart"/>
      <w:r w:rsidRPr="0030692A">
        <w:rPr>
          <w:rtl/>
        </w:rPr>
        <w:t>الروما</w:t>
      </w:r>
      <w:proofErr w:type="spellEnd"/>
      <w:r w:rsidRPr="0030692A">
        <w:rPr>
          <w:rtl/>
        </w:rPr>
        <w:t xml:space="preserve">، بمن فيهم الأطفال، على وثائق الهوية، ولكنها تشعر بالقلق إزاء استمرار وجود تحديات كبيرة فيما يتعلق بحصول أطفال </w:t>
      </w:r>
      <w:proofErr w:type="spellStart"/>
      <w:r w:rsidRPr="0030692A">
        <w:rPr>
          <w:rtl/>
        </w:rPr>
        <w:t>الروما</w:t>
      </w:r>
      <w:proofErr w:type="spellEnd"/>
      <w:r w:rsidRPr="0030692A">
        <w:rPr>
          <w:rtl/>
        </w:rPr>
        <w:t xml:space="preserve"> على التعليم وتدني نتائجهم التعليمية. وترتفع معدلات التغيب عن المدرسة والتوقف عن الدراسة بين أطفال </w:t>
      </w:r>
      <w:proofErr w:type="spellStart"/>
      <w:r w:rsidRPr="0030692A">
        <w:rPr>
          <w:rtl/>
        </w:rPr>
        <w:t>الروما</w:t>
      </w:r>
      <w:proofErr w:type="spellEnd"/>
      <w:r w:rsidRPr="0030692A">
        <w:rPr>
          <w:rtl/>
        </w:rPr>
        <w:t xml:space="preserve">، ويرتبط ذلك بعدد من العوامل، منها الحواجز اللغوية والثقافية. ويساور اللجنة القلق لأن </w:t>
      </w:r>
      <w:r w:rsidRPr="0030692A">
        <w:rPr>
          <w:rtl/>
        </w:rPr>
        <w:lastRenderedPageBreak/>
        <w:t xml:space="preserve">زواج الأطفال و/أو الزواج القسري لا يزالان يشكلان عقبة إضافية أمام حصول بعض فتيات </w:t>
      </w:r>
      <w:proofErr w:type="spellStart"/>
      <w:r w:rsidRPr="0030692A">
        <w:rPr>
          <w:rtl/>
        </w:rPr>
        <w:t>الروما</w:t>
      </w:r>
      <w:proofErr w:type="spellEnd"/>
      <w:r w:rsidRPr="0030692A">
        <w:rPr>
          <w:rtl/>
        </w:rPr>
        <w:t xml:space="preserve"> على التعليم (المادة </w:t>
      </w:r>
      <w:r w:rsidR="00DE6A9D" w:rsidRPr="00DE6A9D">
        <w:rPr>
          <w:rtl/>
        </w:rPr>
        <w:t>5</w:t>
      </w:r>
      <w:r w:rsidR="00DE6A9D" w:rsidRPr="00DE6A9D">
        <w:rPr>
          <w:rFonts w:ascii="Simplified Arabic"/>
          <w:rtl/>
        </w:rPr>
        <w:t>)</w:t>
      </w:r>
      <w:r w:rsidR="00DE6A9D" w:rsidRPr="00DE6A9D">
        <w:rPr>
          <w:rtl/>
        </w:rPr>
        <w:t>.</w:t>
      </w:r>
    </w:p>
    <w:p w14:paraId="0FDE52D8" w14:textId="35440CBA" w:rsidR="001C3681" w:rsidRPr="00DE6A9D" w:rsidRDefault="001C3681" w:rsidP="00E6371A">
      <w:pPr>
        <w:pStyle w:val="SingleTxtGA"/>
        <w:rPr>
          <w:b/>
          <w:bCs/>
          <w:lang w:val="ar-SA" w:eastAsia="zh-TW" w:bidi="en-GB"/>
        </w:rPr>
      </w:pPr>
      <w:r w:rsidRPr="00DE6A9D">
        <w:rPr>
          <w:rtl/>
        </w:rPr>
        <w:t>14</w:t>
      </w:r>
      <w:r w:rsidRPr="00EE5596">
        <w:rPr>
          <w:rFonts w:ascii="Simplified Arabic"/>
          <w:rtl/>
        </w:rPr>
        <w:t>-</w:t>
      </w:r>
      <w:r w:rsidRPr="00EE5596">
        <w:rPr>
          <w:rtl/>
        </w:rPr>
        <w:tab/>
      </w:r>
      <w:r w:rsidRPr="00DE6A9D">
        <w:rPr>
          <w:b/>
          <w:bCs/>
          <w:rtl/>
        </w:rPr>
        <w:t>وتوصي اللجنة الدولة الطرف بما يلي:</w:t>
      </w:r>
    </w:p>
    <w:p w14:paraId="5F1CDA5F" w14:textId="6E956E9F" w:rsidR="001C3681" w:rsidRPr="00DE6A9D" w:rsidRDefault="00E6371A" w:rsidP="00E6371A">
      <w:pPr>
        <w:pStyle w:val="SingleTxtGA"/>
        <w:rPr>
          <w:b/>
          <w:bCs/>
          <w:lang w:val="ar-SA" w:eastAsia="zh-TW" w:bidi="en-GB"/>
        </w:rPr>
      </w:pPr>
      <w:r w:rsidRPr="00342405">
        <w:rPr>
          <w:rtl/>
        </w:rPr>
        <w:tab/>
      </w:r>
      <w:r w:rsidR="001C3681" w:rsidRPr="00342405">
        <w:rPr>
          <w:rtl/>
        </w:rPr>
        <w:t>(أ)</w:t>
      </w:r>
      <w:r w:rsidR="001C3681" w:rsidRPr="00342405">
        <w:rPr>
          <w:rtl/>
        </w:rPr>
        <w:tab/>
      </w:r>
      <w:r w:rsidR="001C3681" w:rsidRPr="00DE6A9D">
        <w:rPr>
          <w:b/>
          <w:bCs/>
          <w:rtl/>
        </w:rPr>
        <w:t xml:space="preserve">تيسير حصول أطفال </w:t>
      </w:r>
      <w:proofErr w:type="spellStart"/>
      <w:r w:rsidR="001C3681" w:rsidRPr="00DE6A9D">
        <w:rPr>
          <w:b/>
          <w:bCs/>
          <w:rtl/>
        </w:rPr>
        <w:t>الروما</w:t>
      </w:r>
      <w:proofErr w:type="spellEnd"/>
      <w:r w:rsidR="001C3681" w:rsidRPr="00DE6A9D">
        <w:rPr>
          <w:b/>
          <w:bCs/>
          <w:rtl/>
        </w:rPr>
        <w:t xml:space="preserve"> على التعليم قبل الابتدائي، مع التركيز على ضمان إدماج أطفال </w:t>
      </w:r>
      <w:proofErr w:type="spellStart"/>
      <w:r w:rsidR="001C3681" w:rsidRPr="00DE6A9D">
        <w:rPr>
          <w:b/>
          <w:bCs/>
          <w:rtl/>
        </w:rPr>
        <w:t>الروما</w:t>
      </w:r>
      <w:proofErr w:type="spellEnd"/>
      <w:r w:rsidR="001C3681" w:rsidRPr="00DE6A9D">
        <w:rPr>
          <w:b/>
          <w:bCs/>
          <w:rtl/>
        </w:rPr>
        <w:t xml:space="preserve"> بشكل فعال في بيئة التعليم قبل الابتدائي وبدء الدراسة الابتدائية بمعرفة كافية باللغة الجورجية؛</w:t>
      </w:r>
    </w:p>
    <w:p w14:paraId="70F2474D" w14:textId="0F0FDCC7" w:rsidR="001C3681" w:rsidRPr="00DE6A9D" w:rsidRDefault="00E6371A" w:rsidP="00E6371A">
      <w:pPr>
        <w:pStyle w:val="SingleTxtGA"/>
        <w:rPr>
          <w:b/>
          <w:bCs/>
          <w:lang w:val="ar-SA" w:eastAsia="zh-TW" w:bidi="en-GB"/>
        </w:rPr>
      </w:pPr>
      <w:r w:rsidRPr="00342405">
        <w:rPr>
          <w:rtl/>
        </w:rPr>
        <w:tab/>
      </w:r>
      <w:r w:rsidR="001C3681" w:rsidRPr="00342405">
        <w:rPr>
          <w:rtl/>
        </w:rPr>
        <w:t>(ب)</w:t>
      </w:r>
      <w:r w:rsidR="001C3681" w:rsidRPr="00342405">
        <w:rPr>
          <w:rtl/>
        </w:rPr>
        <w:tab/>
      </w:r>
      <w:r w:rsidR="001C3681" w:rsidRPr="00DE6A9D">
        <w:rPr>
          <w:b/>
          <w:bCs/>
          <w:rtl/>
        </w:rPr>
        <w:t xml:space="preserve">دعم توفير فصول ونواد خارج نطاق المنهج الدراسي تتاح لأطفال </w:t>
      </w:r>
      <w:proofErr w:type="spellStart"/>
      <w:r w:rsidR="001C3681" w:rsidRPr="00DE6A9D">
        <w:rPr>
          <w:b/>
          <w:bCs/>
          <w:rtl/>
        </w:rPr>
        <w:t>الروما</w:t>
      </w:r>
      <w:proofErr w:type="spellEnd"/>
      <w:r w:rsidR="001C3681" w:rsidRPr="00DE6A9D">
        <w:rPr>
          <w:b/>
          <w:bCs/>
          <w:rtl/>
        </w:rPr>
        <w:t xml:space="preserve"> في مراحل التعليم الابتدائي والثانوي؛</w:t>
      </w:r>
    </w:p>
    <w:p w14:paraId="19A6382E" w14:textId="53E1A4E0" w:rsidR="001C3681" w:rsidRPr="00DE6A9D" w:rsidRDefault="00E6371A" w:rsidP="00667A57">
      <w:pPr>
        <w:pStyle w:val="SingleTxtGA"/>
        <w:rPr>
          <w:b/>
          <w:bCs/>
          <w:lang w:val="ar-SA" w:eastAsia="zh-TW" w:bidi="en-GB"/>
        </w:rPr>
      </w:pPr>
      <w:r w:rsidRPr="00342405">
        <w:rPr>
          <w:rtl/>
        </w:rPr>
        <w:tab/>
      </w:r>
      <w:r w:rsidR="001C3681" w:rsidRPr="00342405">
        <w:rPr>
          <w:rtl/>
        </w:rPr>
        <w:t>(ج)</w:t>
      </w:r>
      <w:r w:rsidR="001C3681" w:rsidRPr="00342405">
        <w:rPr>
          <w:rtl/>
        </w:rPr>
        <w:tab/>
      </w:r>
      <w:r w:rsidR="001C3681" w:rsidRPr="00DE6A9D">
        <w:rPr>
          <w:b/>
          <w:bCs/>
          <w:rtl/>
        </w:rPr>
        <w:t>تنفيذ تدابير لدعم المدارس والخدمات البلدية المتعلقة بحماية الطفل</w:t>
      </w:r>
      <w:r w:rsidR="00D73A4A" w:rsidRPr="00DE6A9D">
        <w:rPr>
          <w:b/>
          <w:bCs/>
          <w:rtl/>
        </w:rPr>
        <w:t xml:space="preserve"> </w:t>
      </w:r>
      <w:r w:rsidR="001C3681" w:rsidRPr="00DE6A9D">
        <w:rPr>
          <w:b/>
          <w:bCs/>
          <w:rtl/>
        </w:rPr>
        <w:t xml:space="preserve">من أجل معالجة معدلات الغياب والتوقف عن الدراسة المرتفعة في صفوف أطفال </w:t>
      </w:r>
      <w:proofErr w:type="spellStart"/>
      <w:r w:rsidR="001C3681" w:rsidRPr="00DE6A9D">
        <w:rPr>
          <w:b/>
          <w:bCs/>
          <w:rtl/>
        </w:rPr>
        <w:t>الروما</w:t>
      </w:r>
      <w:proofErr w:type="spellEnd"/>
      <w:r w:rsidR="001C3681" w:rsidRPr="00DE6A9D">
        <w:rPr>
          <w:b/>
          <w:bCs/>
          <w:rtl/>
        </w:rPr>
        <w:t>؛</w:t>
      </w:r>
    </w:p>
    <w:p w14:paraId="18C60312" w14:textId="4B55ACCA" w:rsidR="001C3681" w:rsidRPr="00DE6A9D" w:rsidRDefault="00667A57" w:rsidP="00667A57">
      <w:pPr>
        <w:pStyle w:val="SingleTxtGA"/>
        <w:rPr>
          <w:b/>
          <w:bCs/>
          <w:lang w:val="ar-SA" w:eastAsia="zh-TW" w:bidi="en-GB"/>
        </w:rPr>
      </w:pPr>
      <w:r w:rsidRPr="00342405">
        <w:rPr>
          <w:rtl/>
        </w:rPr>
        <w:tab/>
      </w:r>
      <w:r w:rsidR="001C3681" w:rsidRPr="00342405">
        <w:rPr>
          <w:rtl/>
        </w:rPr>
        <w:t>(د)</w:t>
      </w:r>
      <w:r w:rsidR="001C3681" w:rsidRPr="00342405">
        <w:rPr>
          <w:rtl/>
        </w:rPr>
        <w:tab/>
      </w:r>
      <w:r w:rsidR="001C3681" w:rsidRPr="00DE6A9D">
        <w:rPr>
          <w:b/>
          <w:bCs/>
          <w:rtl/>
        </w:rPr>
        <w:t xml:space="preserve">ضمان تنفيذ حظر زواج الأطفال و/أو الزواج القسري تنفيذا فعالا في الممارسة العملية، بطرق منها إطلاق حملات لتوعية مجتمع </w:t>
      </w:r>
      <w:proofErr w:type="spellStart"/>
      <w:r w:rsidR="001C3681" w:rsidRPr="00DE6A9D">
        <w:rPr>
          <w:b/>
          <w:bCs/>
          <w:rtl/>
        </w:rPr>
        <w:t>الروما</w:t>
      </w:r>
      <w:proofErr w:type="spellEnd"/>
      <w:r w:rsidR="001C3681" w:rsidRPr="00DE6A9D">
        <w:rPr>
          <w:b/>
          <w:bCs/>
          <w:rtl/>
        </w:rPr>
        <w:t xml:space="preserve"> بالأثر الضار لزواج الأطفال و/أو الزواج القسري وتزويد الضحايا بما يناسب من خدمات إعادة التأهيل والمشورة.</w:t>
      </w:r>
    </w:p>
    <w:p w14:paraId="7F709284" w14:textId="77777777" w:rsidR="001C3681" w:rsidRPr="00DE6A9D" w:rsidRDefault="001C3681" w:rsidP="00667A57">
      <w:pPr>
        <w:pStyle w:val="H23GA"/>
        <w:rPr>
          <w:lang w:val="ar-SA" w:eastAsia="zh-TW" w:bidi="en-GB"/>
        </w:rPr>
      </w:pPr>
      <w:r w:rsidRPr="00DE6A9D">
        <w:rPr>
          <w:rtl/>
        </w:rPr>
        <w:tab/>
      </w:r>
      <w:r w:rsidRPr="00DE6A9D">
        <w:rPr>
          <w:rtl/>
        </w:rPr>
        <w:tab/>
        <w:t>الأشخاص الذين أعاد اتحاد الجمهوريات الاشتراكية السوفياتية توطينهم قسرا في الأربعينات</w:t>
      </w:r>
    </w:p>
    <w:p w14:paraId="766914CB" w14:textId="4C38A3C6" w:rsidR="00DE6A9D" w:rsidRPr="00DE6A9D" w:rsidRDefault="001C3681" w:rsidP="00667A57">
      <w:pPr>
        <w:pStyle w:val="SingleTxtGA"/>
        <w:rPr>
          <w:lang w:val="ar-SA" w:eastAsia="zh-TW" w:bidi="en-GB"/>
        </w:rPr>
      </w:pPr>
      <w:r w:rsidRPr="00DE6A9D">
        <w:rPr>
          <w:rtl/>
        </w:rPr>
        <w:t>15</w:t>
      </w:r>
      <w:r w:rsidRPr="00EE5596">
        <w:rPr>
          <w:rFonts w:ascii="Simplified Arabic"/>
          <w:rtl/>
        </w:rPr>
        <w:t>-</w:t>
      </w:r>
      <w:r w:rsidRPr="00EE5596">
        <w:rPr>
          <w:rtl/>
        </w:rPr>
        <w:tab/>
      </w:r>
      <w:r w:rsidRPr="0030692A">
        <w:rPr>
          <w:rtl/>
        </w:rPr>
        <w:t>تعترف اللجنة باعتماد قوانين وتدابير ترمي إلى تيسير العودة إلى الوطن للأشخاص</w:t>
      </w:r>
      <w:r w:rsidR="00D73A4A" w:rsidRPr="0030692A">
        <w:rPr>
          <w:rtl/>
        </w:rPr>
        <w:t xml:space="preserve"> </w:t>
      </w:r>
      <w:r w:rsidRPr="0030692A">
        <w:rPr>
          <w:rtl/>
        </w:rPr>
        <w:t xml:space="preserve">المنحدرين من جورجيا الذين أعاد اتحاد الجمهوريات الاشتراكية السوفياتية توطينهم قسرا في أربعينيات القرن الماضي، ولكن القلق يساورها إزاء العدد المخفض للأشخاص من هذه الفئة الذين أُعيدوا إلى أوطانهم ومُنحوا الجنسية، ولا سيما في أوساط طائفة </w:t>
      </w:r>
      <w:proofErr w:type="spellStart"/>
      <w:r w:rsidRPr="0030692A">
        <w:rPr>
          <w:rtl/>
        </w:rPr>
        <w:t>المسخيت</w:t>
      </w:r>
      <w:proofErr w:type="spellEnd"/>
      <w:r w:rsidRPr="0030692A">
        <w:rPr>
          <w:rtl/>
        </w:rPr>
        <w:t xml:space="preserve"> التركية. ويساور اللجنة القلق لأن هذا العدد المنخفض يعكس بعض التحديات، من بينها الصعوبات التي </w:t>
      </w:r>
      <w:proofErr w:type="spellStart"/>
      <w:r w:rsidRPr="0030692A">
        <w:rPr>
          <w:rtl/>
        </w:rPr>
        <w:t>يواجهها</w:t>
      </w:r>
      <w:proofErr w:type="spellEnd"/>
      <w:r w:rsidRPr="0030692A">
        <w:rPr>
          <w:rtl/>
        </w:rPr>
        <w:t xml:space="preserve"> الأشخاص المعنيون (وذريتهم) في التخلي عن جنسيتهم الحالية، وفقا لمقتضيات القانون الجورجي (المادة </w:t>
      </w:r>
      <w:r w:rsidR="00DE6A9D" w:rsidRPr="00DE6A9D">
        <w:rPr>
          <w:rtl/>
        </w:rPr>
        <w:t>5</w:t>
      </w:r>
      <w:r w:rsidR="00DE6A9D" w:rsidRPr="00DE6A9D">
        <w:rPr>
          <w:rFonts w:ascii="Simplified Arabic"/>
          <w:rtl/>
        </w:rPr>
        <w:t>)</w:t>
      </w:r>
      <w:r w:rsidR="00DE6A9D" w:rsidRPr="00DE6A9D">
        <w:rPr>
          <w:rtl/>
        </w:rPr>
        <w:t>.</w:t>
      </w:r>
    </w:p>
    <w:p w14:paraId="6C5F5FB5" w14:textId="384FA7EF" w:rsidR="001C3681" w:rsidRPr="00DE6A9D" w:rsidRDefault="001C3681" w:rsidP="00667A57">
      <w:pPr>
        <w:pStyle w:val="SingleTxtGA"/>
        <w:rPr>
          <w:b/>
          <w:bCs/>
          <w:lang w:val="ar-SA" w:eastAsia="zh-TW" w:bidi="en-GB"/>
        </w:rPr>
      </w:pPr>
      <w:r w:rsidRPr="00DE6A9D">
        <w:rPr>
          <w:rtl/>
        </w:rPr>
        <w:t>16</w:t>
      </w:r>
      <w:r w:rsidRPr="00EE5596">
        <w:rPr>
          <w:rFonts w:ascii="Simplified Arabic"/>
          <w:rtl/>
        </w:rPr>
        <w:t>-</w:t>
      </w:r>
      <w:r w:rsidRPr="00EE5596">
        <w:rPr>
          <w:rtl/>
        </w:rPr>
        <w:tab/>
      </w:r>
      <w:r w:rsidRPr="00DE6A9D">
        <w:rPr>
          <w:b/>
          <w:bCs/>
          <w:rtl/>
        </w:rPr>
        <w:t xml:space="preserve">وتوصي اللجنة الدولة الطرف بتيسير حصول جميع الذين عادوا إلى جورجيا - ولا سيما الأتراك </w:t>
      </w:r>
      <w:proofErr w:type="spellStart"/>
      <w:r w:rsidRPr="00DE6A9D">
        <w:rPr>
          <w:b/>
          <w:bCs/>
          <w:rtl/>
        </w:rPr>
        <w:t>المسخيت</w:t>
      </w:r>
      <w:proofErr w:type="spellEnd"/>
      <w:r w:rsidRPr="00DE6A9D">
        <w:rPr>
          <w:b/>
          <w:bCs/>
          <w:rtl/>
        </w:rPr>
        <w:t xml:space="preserve"> - على الجنسية، بما في ذلك فيما يتعلق</w:t>
      </w:r>
      <w:r w:rsidR="00D73A4A" w:rsidRPr="00DE6A9D">
        <w:rPr>
          <w:b/>
          <w:bCs/>
          <w:rtl/>
        </w:rPr>
        <w:t xml:space="preserve"> </w:t>
      </w:r>
      <w:r w:rsidRPr="00DE6A9D">
        <w:rPr>
          <w:b/>
          <w:bCs/>
          <w:rtl/>
        </w:rPr>
        <w:t>بالشروط الإدارية واللغوية، ودعم إدماجهم في المجتمع الجورجي. وتوصي اللجنة كذلك الدولة الطرف بمواصلة جهودها المتجددة لتيسير العودة الطوعية للأشخاص الذين أُعيد توطينهم قسرا</w:t>
      </w:r>
      <w:r w:rsidR="00DC53EC" w:rsidRPr="00DE6A9D">
        <w:rPr>
          <w:rFonts w:hint="cs"/>
          <w:b/>
          <w:bCs/>
          <w:rtl/>
        </w:rPr>
        <w:t>ً</w:t>
      </w:r>
      <w:r w:rsidRPr="00DE6A9D">
        <w:rPr>
          <w:b/>
          <w:bCs/>
          <w:rtl/>
        </w:rPr>
        <w:t xml:space="preserve"> والذين بقوا خارج جورجيا، بما في ذلك من خلال تيسير حصولهم على الجنسية.</w:t>
      </w:r>
    </w:p>
    <w:p w14:paraId="21E796BF" w14:textId="77777777" w:rsidR="001C3681" w:rsidRPr="00DE6A9D" w:rsidRDefault="001C3681" w:rsidP="003F622D">
      <w:pPr>
        <w:pStyle w:val="H23GA"/>
        <w:rPr>
          <w:lang w:val="ar-SA" w:eastAsia="zh-TW" w:bidi="en-GB"/>
        </w:rPr>
      </w:pPr>
      <w:r w:rsidRPr="00DE6A9D">
        <w:rPr>
          <w:rtl/>
        </w:rPr>
        <w:tab/>
      </w:r>
      <w:r w:rsidRPr="00DE6A9D">
        <w:rPr>
          <w:rtl/>
        </w:rPr>
        <w:tab/>
        <w:t>وضع المهاجرين خلال جائحة مرض فيروس كورونا</w:t>
      </w:r>
    </w:p>
    <w:p w14:paraId="170360B8" w14:textId="32723F31" w:rsidR="00DE6A9D" w:rsidRPr="00DE6A9D" w:rsidRDefault="001C3681" w:rsidP="003F622D">
      <w:pPr>
        <w:pStyle w:val="SingleTxtGA"/>
        <w:rPr>
          <w:spacing w:val="-4"/>
          <w:lang w:val="ar-SA" w:eastAsia="zh-TW" w:bidi="en-GB"/>
        </w:rPr>
      </w:pPr>
      <w:r w:rsidRPr="00DE6A9D">
        <w:rPr>
          <w:rtl/>
        </w:rPr>
        <w:t>17</w:t>
      </w:r>
      <w:r w:rsidRPr="00EE5596">
        <w:rPr>
          <w:rFonts w:ascii="Simplified Arabic"/>
          <w:spacing w:val="-4"/>
          <w:rtl/>
        </w:rPr>
        <w:t>-</w:t>
      </w:r>
      <w:r w:rsidRPr="00EE5596">
        <w:rPr>
          <w:spacing w:val="-4"/>
          <w:rtl/>
        </w:rPr>
        <w:tab/>
      </w:r>
      <w:r w:rsidRPr="00FC5EEB">
        <w:rPr>
          <w:spacing w:val="-4"/>
          <w:rtl/>
        </w:rPr>
        <w:t>تلاحظ اللجنة الجهود التي تبذلها الدولة الطرف للتصدي لجائحة مرض فيروس كورونا (كوفيد-</w:t>
      </w:r>
      <w:r w:rsidRPr="00DE6A9D">
        <w:rPr>
          <w:rtl/>
        </w:rPr>
        <w:t>19</w:t>
      </w:r>
      <w:r w:rsidR="00DE6A9D" w:rsidRPr="00DE6A9D">
        <w:rPr>
          <w:rFonts w:ascii="Simplified Arabic"/>
          <w:rtl/>
        </w:rPr>
        <w:t>)</w:t>
      </w:r>
      <w:r w:rsidR="00DE6A9D" w:rsidRPr="00DE6A9D">
        <w:rPr>
          <w:rtl/>
        </w:rPr>
        <w:t xml:space="preserve">، </w:t>
      </w:r>
      <w:r w:rsidRPr="0030692A">
        <w:rPr>
          <w:rtl/>
        </w:rPr>
        <w:t xml:space="preserve">ولكنها تأسف لعدم تقديم الدولة الطرف معلومات بخصوص حالة المهاجرين في سياق الجائحة. ويساور اللجنة القلق لأن المهاجرين الضعفاء تعرضوا بشكل خاص للمخاطر الصحية وغيرها من آثار جائحة </w:t>
      </w:r>
      <w:r w:rsidRPr="00FC5EEB">
        <w:rPr>
          <w:spacing w:val="-4"/>
          <w:rtl/>
        </w:rPr>
        <w:t>كوفيد-</w:t>
      </w:r>
      <w:r w:rsidRPr="00DE6A9D">
        <w:rPr>
          <w:rtl/>
        </w:rPr>
        <w:t>19</w:t>
      </w:r>
      <w:r w:rsidRPr="00FC5EEB">
        <w:rPr>
          <w:spacing w:val="-4"/>
          <w:rtl/>
        </w:rPr>
        <w:t>، المرتبطة بعوامل مثل فقدان العمل غير الرسمي،</w:t>
      </w:r>
      <w:r w:rsidR="00D73A4A" w:rsidRPr="00FC5EEB">
        <w:rPr>
          <w:spacing w:val="-4"/>
          <w:rtl/>
        </w:rPr>
        <w:t xml:space="preserve"> </w:t>
      </w:r>
      <w:r w:rsidRPr="00FC5EEB">
        <w:rPr>
          <w:spacing w:val="-4"/>
          <w:rtl/>
        </w:rPr>
        <w:t xml:space="preserve">والافتقار إلى التأمين الصحي، والحواجز اللغوية، ووضع الإقامة غير الموثق، واللجوء إلى السكن المشترك الذي يصعب فيه التباعد البدني (المادة </w:t>
      </w:r>
      <w:r w:rsidR="00DE6A9D" w:rsidRPr="00DE6A9D">
        <w:rPr>
          <w:rtl/>
        </w:rPr>
        <w:t>5</w:t>
      </w:r>
      <w:r w:rsidR="00DE6A9D" w:rsidRPr="00DE6A9D">
        <w:rPr>
          <w:rFonts w:ascii="Simplified Arabic"/>
          <w:spacing w:val="-4"/>
          <w:rtl/>
        </w:rPr>
        <w:t>)</w:t>
      </w:r>
      <w:r w:rsidR="00DE6A9D" w:rsidRPr="00DE6A9D">
        <w:rPr>
          <w:spacing w:val="-4"/>
          <w:rtl/>
        </w:rPr>
        <w:t>.</w:t>
      </w:r>
    </w:p>
    <w:p w14:paraId="1EF7F410" w14:textId="77A22DCF" w:rsidR="001C3681" w:rsidRPr="00DE6A9D" w:rsidRDefault="001C3681" w:rsidP="001C3681">
      <w:pPr>
        <w:pStyle w:val="SingleTxtGA"/>
        <w:rPr>
          <w:b/>
          <w:bCs/>
          <w:lang w:val="ar-SA" w:eastAsia="zh-TW" w:bidi="en-GB"/>
        </w:rPr>
      </w:pPr>
      <w:r w:rsidRPr="00DE6A9D">
        <w:rPr>
          <w:rtl/>
        </w:rPr>
        <w:t>18</w:t>
      </w:r>
      <w:r w:rsidRPr="00EE5596">
        <w:rPr>
          <w:rFonts w:ascii="Simplified Arabic"/>
          <w:rtl/>
        </w:rPr>
        <w:t>-</w:t>
      </w:r>
      <w:r w:rsidRPr="00EE5596">
        <w:rPr>
          <w:rtl/>
        </w:rPr>
        <w:tab/>
      </w:r>
      <w:r w:rsidRPr="00DE6A9D">
        <w:rPr>
          <w:b/>
          <w:bCs/>
          <w:rtl/>
        </w:rPr>
        <w:t>وفي سياق التصدي لجائحة كوفيد-19، توصي اللجنة الدولة الطرف بما يلي:</w:t>
      </w:r>
    </w:p>
    <w:p w14:paraId="295AC156" w14:textId="4FEB784F" w:rsidR="001C3681" w:rsidRPr="00DE6A9D" w:rsidRDefault="001C3681" w:rsidP="001C3681">
      <w:pPr>
        <w:pStyle w:val="SingleTxtGA"/>
        <w:rPr>
          <w:b/>
          <w:bCs/>
          <w:lang w:val="ar-SA" w:eastAsia="zh-TW" w:bidi="en-GB"/>
        </w:rPr>
      </w:pPr>
      <w:r w:rsidRPr="00342405">
        <w:rPr>
          <w:rtl/>
        </w:rPr>
        <w:tab/>
        <w:t>(أ)</w:t>
      </w:r>
      <w:r w:rsidRPr="00342405">
        <w:rPr>
          <w:rtl/>
        </w:rPr>
        <w:tab/>
      </w:r>
      <w:r w:rsidRPr="00DE6A9D">
        <w:rPr>
          <w:b/>
          <w:bCs/>
          <w:rtl/>
        </w:rPr>
        <w:t>إجراء رصد لأكثر فئات وجماعات المهاجرين ضعفا على أساس منتظم ووضع آلية فعالة لتحديد الأفراد والجماعات الأكثر ضعفا؛</w:t>
      </w:r>
    </w:p>
    <w:p w14:paraId="19B7CA93" w14:textId="0AF0B8BA" w:rsidR="001C3681" w:rsidRPr="00DE6A9D" w:rsidRDefault="001C3681" w:rsidP="001C3681">
      <w:pPr>
        <w:pStyle w:val="SingleTxtGA"/>
        <w:rPr>
          <w:b/>
          <w:bCs/>
          <w:lang w:val="ar-SA" w:eastAsia="zh-TW" w:bidi="en-GB"/>
        </w:rPr>
      </w:pPr>
      <w:r w:rsidRPr="00342405">
        <w:rPr>
          <w:spacing w:val="-6"/>
          <w:rtl/>
        </w:rPr>
        <w:lastRenderedPageBreak/>
        <w:tab/>
        <w:t>(ب)</w:t>
      </w:r>
      <w:r w:rsidRPr="00342405">
        <w:rPr>
          <w:spacing w:val="-6"/>
          <w:rtl/>
        </w:rPr>
        <w:tab/>
      </w:r>
      <w:r w:rsidRPr="00DE6A9D">
        <w:rPr>
          <w:b/>
          <w:bCs/>
          <w:spacing w:val="-6"/>
          <w:rtl/>
        </w:rPr>
        <w:t xml:space="preserve">إدراج المهاجرين في خطط التطعيم، وضمان مراعاة نظم تقديم الخدمات الصحية لاحتياجات </w:t>
      </w:r>
      <w:r w:rsidRPr="00DE6A9D">
        <w:rPr>
          <w:b/>
          <w:bCs/>
          <w:rtl/>
        </w:rPr>
        <w:t>المهاجرين، وتقديم خدمات ميسورة التكلفة ومتاحة، بغض النظر عن الوضع القانوني المتعلق بالهجرة؛</w:t>
      </w:r>
    </w:p>
    <w:p w14:paraId="3AE32412" w14:textId="3FFA9346" w:rsidR="001C3681" w:rsidRPr="00DE6A9D" w:rsidRDefault="001C3681" w:rsidP="001C3681">
      <w:pPr>
        <w:pStyle w:val="SingleTxtGA"/>
        <w:rPr>
          <w:b/>
          <w:bCs/>
          <w:lang w:val="ar-SA" w:eastAsia="zh-TW" w:bidi="en-GB"/>
        </w:rPr>
      </w:pPr>
      <w:r w:rsidRPr="00342405">
        <w:rPr>
          <w:rtl/>
        </w:rPr>
        <w:tab/>
        <w:t>(ج)</w:t>
      </w:r>
      <w:r w:rsidRPr="00342405">
        <w:rPr>
          <w:rtl/>
        </w:rPr>
        <w:tab/>
      </w:r>
      <w:r w:rsidRPr="00DE6A9D">
        <w:rPr>
          <w:b/>
          <w:bCs/>
          <w:rtl/>
        </w:rPr>
        <w:t>توفير تدابير الدعم للمهاجرين غير الموثقين و/أو العاملين بشكل غير رسمي؛</w:t>
      </w:r>
    </w:p>
    <w:p w14:paraId="36EBA8FF" w14:textId="47FB61AC" w:rsidR="001C3681" w:rsidRPr="00DE6A9D" w:rsidRDefault="001C3681" w:rsidP="001C3681">
      <w:pPr>
        <w:pStyle w:val="SingleTxtGA"/>
        <w:rPr>
          <w:b/>
          <w:bCs/>
          <w:lang w:val="ar-SA" w:eastAsia="zh-TW" w:bidi="en-GB"/>
        </w:rPr>
      </w:pPr>
      <w:r w:rsidRPr="00342405">
        <w:rPr>
          <w:rtl/>
        </w:rPr>
        <w:tab/>
        <w:t>(د)</w:t>
      </w:r>
      <w:r w:rsidRPr="00342405">
        <w:rPr>
          <w:rtl/>
        </w:rPr>
        <w:tab/>
      </w:r>
      <w:r w:rsidRPr="00DE6A9D">
        <w:rPr>
          <w:b/>
          <w:bCs/>
          <w:rtl/>
        </w:rPr>
        <w:t>تسهيل خيارات تنقّل المهاجرين، بما في ذلك عودة المهاجرين الذين تقطعت بهم السبل إلى بلدانهم الأصلية، وعودتهم لاحقا</w:t>
      </w:r>
      <w:r w:rsidR="00DA5189" w:rsidRPr="00DE6A9D">
        <w:rPr>
          <w:rFonts w:hint="cs"/>
          <w:b/>
          <w:bCs/>
          <w:rtl/>
        </w:rPr>
        <w:t>ً</w:t>
      </w:r>
      <w:r w:rsidRPr="00DE6A9D">
        <w:rPr>
          <w:b/>
          <w:bCs/>
          <w:rtl/>
        </w:rPr>
        <w:t xml:space="preserve"> إلى جورجيا؛</w:t>
      </w:r>
    </w:p>
    <w:p w14:paraId="09BF0C0B" w14:textId="404403E0" w:rsidR="001C3681" w:rsidRPr="00DE6A9D" w:rsidRDefault="001C3681" w:rsidP="001C3681">
      <w:pPr>
        <w:pStyle w:val="SingleTxtGA"/>
        <w:rPr>
          <w:b/>
          <w:bCs/>
          <w:lang w:val="ar-SA" w:eastAsia="zh-TW" w:bidi="en-GB"/>
        </w:rPr>
      </w:pPr>
      <w:r w:rsidRPr="00342405">
        <w:rPr>
          <w:rtl/>
        </w:rPr>
        <w:tab/>
        <w:t>(ه)</w:t>
      </w:r>
      <w:r w:rsidRPr="00342405">
        <w:rPr>
          <w:rtl/>
        </w:rPr>
        <w:tab/>
      </w:r>
      <w:r w:rsidRPr="00DE6A9D">
        <w:rPr>
          <w:b/>
          <w:bCs/>
          <w:rtl/>
        </w:rPr>
        <w:t>تعزيز نهج شامل للمهاجرين خلال جائحة كوفيد-19 وتنظيم حملات توعية عامة لمكافحة كره الأجانب وتعزيز التنوع والتضامن والتسامح.</w:t>
      </w:r>
    </w:p>
    <w:p w14:paraId="013DA777" w14:textId="1745898E" w:rsidR="001C3681" w:rsidRPr="00DE6A9D" w:rsidRDefault="001C3681" w:rsidP="001C3681">
      <w:pPr>
        <w:pStyle w:val="H1GA"/>
        <w:rPr>
          <w:lang w:val="ar-SA" w:eastAsia="zh-TW" w:bidi="en-GB"/>
        </w:rPr>
      </w:pPr>
      <w:r w:rsidRPr="00DE6A9D">
        <w:rPr>
          <w:rtl/>
        </w:rPr>
        <w:tab/>
        <w:t>هاء-</w:t>
      </w:r>
      <w:r w:rsidRPr="00DE6A9D">
        <w:rPr>
          <w:rtl/>
        </w:rPr>
        <w:tab/>
        <w:t>التوصيات الأخرى</w:t>
      </w:r>
    </w:p>
    <w:p w14:paraId="354E2CD0" w14:textId="77777777" w:rsidR="001C3681" w:rsidRPr="00DE6A9D" w:rsidRDefault="001C3681" w:rsidP="001C3681">
      <w:pPr>
        <w:pStyle w:val="H23GA"/>
        <w:rPr>
          <w:lang w:val="en-US" w:eastAsia="zh-TW" w:bidi="en-GB"/>
        </w:rPr>
      </w:pPr>
      <w:r w:rsidRPr="00DE6A9D">
        <w:rPr>
          <w:rtl/>
        </w:rPr>
        <w:tab/>
      </w:r>
      <w:r w:rsidRPr="00DE6A9D">
        <w:rPr>
          <w:rtl/>
        </w:rPr>
        <w:tab/>
        <w:t>التصديق على المعاهدات الأخرى</w:t>
      </w:r>
    </w:p>
    <w:p w14:paraId="131A0454" w14:textId="77777777" w:rsidR="001C3681" w:rsidRPr="00DE6A9D" w:rsidRDefault="001C3681" w:rsidP="001C3681">
      <w:pPr>
        <w:pStyle w:val="SingleTxtGA"/>
        <w:rPr>
          <w:rFonts w:ascii="Times New Roman Bold" w:hAnsi="Times New Roman Bold" w:hint="eastAsia"/>
          <w:b/>
          <w:bCs/>
          <w:spacing w:val="-6"/>
          <w:lang w:val="ar-SA" w:eastAsia="zh-TW" w:bidi="en-GB"/>
        </w:rPr>
      </w:pPr>
      <w:r w:rsidRPr="00DE6A9D">
        <w:rPr>
          <w:rtl/>
        </w:rPr>
        <w:t>19</w:t>
      </w:r>
      <w:r w:rsidRPr="00EE5596">
        <w:rPr>
          <w:rFonts w:ascii="Simplified Arabic"/>
          <w:spacing w:val="-4"/>
          <w:rtl/>
        </w:rPr>
        <w:t>-</w:t>
      </w:r>
      <w:r w:rsidRPr="00EE5596">
        <w:rPr>
          <w:spacing w:val="-4"/>
          <w:rtl/>
        </w:rPr>
        <w:tab/>
      </w:r>
      <w:r w:rsidRPr="00DE6A9D">
        <w:rPr>
          <w:rFonts w:ascii="Times New Roman Bold" w:hAnsi="Times New Roman Bold"/>
          <w:b/>
          <w:bCs/>
          <w:spacing w:val="-6"/>
          <w:rtl/>
        </w:rPr>
        <w:t>إذ تضع اللجنة في اعتبارها عدم قابلية جميع حقوق الإنسان للتجزئة، تشجع الدولةَ الطرف على النظر في التصديق على المعاهدات الدولية لحقوق الإنسان التي لم تصدق عليها بعد، ولا سيما المعاهدات ذات الأحكام التي لها صلة مباشرة بالجماعات التي قد تتعرض للتمييز العنصري، بما في ذلك الاتفاقية الدولية لحماية حقوق جميع العمال المهاجرين وأفراد أسرهم، والاتفاقية الدولية لحماية جميع الأشخاص من الاختفاء القسري، والبروتوكول الاختياري الملحق بالعهد الدولي الخاص بالحقوق الاقتصادية والاجتماعية والثقافية.</w:t>
      </w:r>
    </w:p>
    <w:p w14:paraId="6824C48C" w14:textId="77777777" w:rsidR="001C3681" w:rsidRPr="00DE6A9D" w:rsidRDefault="001C3681" w:rsidP="001C3681">
      <w:pPr>
        <w:pStyle w:val="H23GA"/>
        <w:rPr>
          <w:lang w:val="ar-SA" w:eastAsia="zh-TW" w:bidi="en-GB"/>
        </w:rPr>
      </w:pPr>
      <w:r w:rsidRPr="00DE6A9D">
        <w:rPr>
          <w:rtl/>
        </w:rPr>
        <w:tab/>
      </w:r>
      <w:r w:rsidRPr="00DE6A9D">
        <w:rPr>
          <w:rtl/>
        </w:rPr>
        <w:tab/>
        <w:t>تنفيذ المادة 8 من الاتفاقية</w:t>
      </w:r>
    </w:p>
    <w:p w14:paraId="3C0B4FED" w14:textId="587B517E" w:rsidR="00DE6A9D" w:rsidRPr="00DE6A9D" w:rsidRDefault="001C3681" w:rsidP="001C3681">
      <w:pPr>
        <w:pStyle w:val="SingleTxtGA"/>
        <w:rPr>
          <w:b/>
          <w:bCs/>
          <w:lang w:val="ar-SA" w:eastAsia="zh-TW" w:bidi="en-GB"/>
        </w:rPr>
      </w:pPr>
      <w:r w:rsidRPr="00DE6A9D">
        <w:rPr>
          <w:rtl/>
        </w:rPr>
        <w:t>20</w:t>
      </w:r>
      <w:r w:rsidRPr="00EE5596">
        <w:rPr>
          <w:rFonts w:ascii="Simplified Arabic"/>
          <w:rtl/>
        </w:rPr>
        <w:t>-</w:t>
      </w:r>
      <w:r w:rsidRPr="00EE5596">
        <w:rPr>
          <w:rtl/>
        </w:rPr>
        <w:tab/>
      </w:r>
      <w:r w:rsidRPr="00DE6A9D">
        <w:rPr>
          <w:b/>
          <w:bCs/>
          <w:rtl/>
        </w:rPr>
        <w:t>توصي اللجنة الدولة الطرف بالتصديق على تعديل المادة 8</w:t>
      </w:r>
      <w:r w:rsidRPr="00DE6A9D">
        <w:rPr>
          <w:rFonts w:ascii="Simplified Arabic"/>
          <w:b/>
          <w:bCs/>
          <w:rtl/>
        </w:rPr>
        <w:t>(</w:t>
      </w:r>
      <w:r w:rsidR="00DE6A9D" w:rsidRPr="00DE6A9D">
        <w:rPr>
          <w:b/>
          <w:bCs/>
          <w:rtl/>
        </w:rPr>
        <w:t>6</w:t>
      </w:r>
      <w:r w:rsidR="00DE6A9D" w:rsidRPr="00DE6A9D">
        <w:rPr>
          <w:rFonts w:ascii="Simplified Arabic"/>
          <w:b/>
          <w:bCs/>
          <w:rtl/>
        </w:rPr>
        <w:t>)</w:t>
      </w:r>
      <w:r w:rsidR="00DE6A9D" w:rsidRPr="00DE6A9D">
        <w:rPr>
          <w:b/>
          <w:bCs/>
          <w:rtl/>
        </w:rPr>
        <w:t xml:space="preserve"> </w:t>
      </w:r>
      <w:r w:rsidRPr="00DE6A9D">
        <w:rPr>
          <w:b/>
          <w:bCs/>
          <w:rtl/>
        </w:rPr>
        <w:t>من الاتفاقية الذي اعتُمد في</w:t>
      </w:r>
      <w:r w:rsidR="00A6176D" w:rsidRPr="00DE6A9D">
        <w:rPr>
          <w:rFonts w:hint="cs"/>
          <w:b/>
          <w:bCs/>
          <w:rtl/>
        </w:rPr>
        <w:t> </w:t>
      </w:r>
      <w:r w:rsidRPr="00DE6A9D">
        <w:rPr>
          <w:b/>
          <w:bCs/>
          <w:rtl/>
        </w:rPr>
        <w:t>15 كانون الثاني/يناير 1992 في الاجتماع الرابع عشر للدول الأطراف في الاتفاقية وأيدته الجمعية العامة في قرارها 4</w:t>
      </w:r>
      <w:r w:rsidR="00524810" w:rsidRPr="00DE6A9D">
        <w:rPr>
          <w:b/>
          <w:bCs/>
          <w:rtl/>
        </w:rPr>
        <w:t>7</w:t>
      </w:r>
      <w:r w:rsidR="00A14DA4" w:rsidRPr="00DE6A9D">
        <w:rPr>
          <w:rFonts w:hint="cs"/>
          <w:b/>
          <w:bCs/>
          <w:rtl/>
        </w:rPr>
        <w:t>/</w:t>
      </w:r>
      <w:r w:rsidR="00A14DA4" w:rsidRPr="00DE6A9D">
        <w:rPr>
          <w:b/>
          <w:bCs/>
          <w:rtl/>
        </w:rPr>
        <w:t>11</w:t>
      </w:r>
      <w:r w:rsidR="00DE6A9D" w:rsidRPr="00DE6A9D">
        <w:rPr>
          <w:b/>
          <w:bCs/>
          <w:rtl/>
        </w:rPr>
        <w:t>1</w:t>
      </w:r>
      <w:r w:rsidR="00DE6A9D" w:rsidRPr="00DE6A9D">
        <w:rPr>
          <w:b/>
          <w:bCs/>
          <w:rtl/>
        </w:rPr>
        <w:t>.</w:t>
      </w:r>
    </w:p>
    <w:p w14:paraId="228570B4" w14:textId="19060507" w:rsidR="001C3681" w:rsidRPr="00DE6A9D" w:rsidRDefault="001C3681" w:rsidP="001C3681">
      <w:pPr>
        <w:pStyle w:val="H23GA"/>
        <w:rPr>
          <w:lang w:val="ar-SA" w:eastAsia="zh-TW" w:bidi="en-GB"/>
        </w:rPr>
      </w:pPr>
      <w:r w:rsidRPr="00DE6A9D">
        <w:rPr>
          <w:rtl/>
        </w:rPr>
        <w:tab/>
      </w:r>
      <w:r w:rsidRPr="00DE6A9D">
        <w:rPr>
          <w:rtl/>
        </w:rPr>
        <w:tab/>
        <w:t xml:space="preserve">متابعة إعلان وبرنامج عمل </w:t>
      </w:r>
      <w:proofErr w:type="spellStart"/>
      <w:r w:rsidRPr="00DE6A9D">
        <w:rPr>
          <w:rtl/>
        </w:rPr>
        <w:t>ديربان</w:t>
      </w:r>
      <w:proofErr w:type="spellEnd"/>
    </w:p>
    <w:p w14:paraId="74415B5D" w14:textId="11E5EDFB" w:rsidR="001C3681" w:rsidRPr="00DE6A9D" w:rsidRDefault="001C3681" w:rsidP="001C3681">
      <w:pPr>
        <w:pStyle w:val="SingleTxtGA"/>
        <w:rPr>
          <w:b/>
          <w:bCs/>
          <w:lang w:val="ar-SA" w:eastAsia="zh-TW" w:bidi="en-GB"/>
        </w:rPr>
      </w:pPr>
      <w:r w:rsidRPr="00DE6A9D">
        <w:rPr>
          <w:rtl/>
        </w:rPr>
        <w:t>21</w:t>
      </w:r>
      <w:r w:rsidRPr="00EE5596">
        <w:rPr>
          <w:rFonts w:ascii="Simplified Arabic"/>
          <w:rtl/>
        </w:rPr>
        <w:t>-</w:t>
      </w:r>
      <w:r w:rsidRPr="00EE5596">
        <w:rPr>
          <w:rtl/>
        </w:rPr>
        <w:tab/>
      </w:r>
      <w:r w:rsidRPr="00DE6A9D">
        <w:rPr>
          <w:b/>
          <w:bCs/>
          <w:rtl/>
        </w:rPr>
        <w:t>توصي اللجنة، في ضوء توصيتها العامة رقم 33</w:t>
      </w:r>
      <w:r w:rsidRPr="00DE6A9D">
        <w:rPr>
          <w:rFonts w:ascii="Simplified Arabic"/>
          <w:b/>
          <w:bCs/>
          <w:rtl/>
        </w:rPr>
        <w:t>(</w:t>
      </w:r>
      <w:r w:rsidRPr="00DE6A9D">
        <w:rPr>
          <w:b/>
          <w:bCs/>
          <w:rtl/>
        </w:rPr>
        <w:t>200</w:t>
      </w:r>
      <w:r w:rsidR="00DE6A9D" w:rsidRPr="00DE6A9D">
        <w:rPr>
          <w:b/>
          <w:bCs/>
          <w:rtl/>
        </w:rPr>
        <w:t>9</w:t>
      </w:r>
      <w:r w:rsidR="00DE6A9D" w:rsidRPr="00DE6A9D">
        <w:rPr>
          <w:rFonts w:ascii="Simplified Arabic"/>
          <w:b/>
          <w:bCs/>
          <w:rtl/>
        </w:rPr>
        <w:t>)</w:t>
      </w:r>
      <w:r w:rsidR="00DE6A9D" w:rsidRPr="00DE6A9D">
        <w:rPr>
          <w:b/>
          <w:bCs/>
          <w:rtl/>
        </w:rPr>
        <w:t xml:space="preserve"> </w:t>
      </w:r>
      <w:r w:rsidRPr="00DE6A9D">
        <w:rPr>
          <w:b/>
          <w:bCs/>
          <w:rtl/>
        </w:rPr>
        <w:t xml:space="preserve">بشأن متابعة مؤتمر استعراض نتائج </w:t>
      </w:r>
      <w:proofErr w:type="spellStart"/>
      <w:r w:rsidRPr="00DE6A9D">
        <w:rPr>
          <w:b/>
          <w:bCs/>
          <w:rtl/>
        </w:rPr>
        <w:t>ديربان</w:t>
      </w:r>
      <w:proofErr w:type="spellEnd"/>
      <w:r w:rsidRPr="00DE6A9D">
        <w:rPr>
          <w:b/>
          <w:bCs/>
          <w:rtl/>
        </w:rPr>
        <w:t xml:space="preserve">، بأن تنفّذ الدولة الطرف، عند تطبيق أحكام الاتفاقية في نظامها القانوني الداخلي، إعلان وبرنامج عمل </w:t>
      </w:r>
      <w:proofErr w:type="spellStart"/>
      <w:r w:rsidRPr="00DE6A9D">
        <w:rPr>
          <w:b/>
          <w:bCs/>
          <w:rtl/>
        </w:rPr>
        <w:t>ديربان</w:t>
      </w:r>
      <w:proofErr w:type="spellEnd"/>
      <w:r w:rsidRPr="00DE6A9D">
        <w:rPr>
          <w:b/>
          <w:bCs/>
          <w:rtl/>
        </w:rPr>
        <w:t xml:space="preserve">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نتائج </w:t>
      </w:r>
      <w:proofErr w:type="spellStart"/>
      <w:r w:rsidRPr="00DE6A9D">
        <w:rPr>
          <w:b/>
          <w:bCs/>
          <w:rtl/>
        </w:rPr>
        <w:t>ديربان</w:t>
      </w:r>
      <w:proofErr w:type="spellEnd"/>
      <w:r w:rsidRPr="00DE6A9D">
        <w:rPr>
          <w:b/>
          <w:bCs/>
          <w:rtl/>
        </w:rPr>
        <w:t xml:space="preserve"> المعقود في جنيف في نيسان/أبريل 200</w:t>
      </w:r>
      <w:r w:rsidR="00DE6A9D" w:rsidRPr="00DE6A9D">
        <w:rPr>
          <w:b/>
          <w:bCs/>
          <w:rtl/>
        </w:rPr>
        <w:t>9</w:t>
      </w:r>
      <w:r w:rsidR="00DE6A9D" w:rsidRPr="00DE6A9D">
        <w:rPr>
          <w:rFonts w:ascii="Simplified Arabic"/>
          <w:b/>
          <w:bCs/>
          <w:rtl/>
        </w:rPr>
        <w:t>.</w:t>
      </w:r>
      <w:r w:rsidR="00DE6A9D" w:rsidRPr="00DE6A9D">
        <w:rPr>
          <w:b/>
          <w:bCs/>
          <w:rtl/>
        </w:rPr>
        <w:t xml:space="preserve"> </w:t>
      </w:r>
      <w:r w:rsidRPr="00DE6A9D">
        <w:rPr>
          <w:b/>
          <w:bCs/>
          <w:rtl/>
        </w:rPr>
        <w:t xml:space="preserve">وتطلب اللجنة إلى الدولة الطرف أن تضمّن تقريرها الدوري المقبل معلومات محددة عن خطط العمل وغيرها من التدابير المتخذة لتنفيذ إعلان وبرنامج عمل </w:t>
      </w:r>
      <w:proofErr w:type="spellStart"/>
      <w:r w:rsidRPr="00DE6A9D">
        <w:rPr>
          <w:b/>
          <w:bCs/>
          <w:rtl/>
        </w:rPr>
        <w:t>ديربان</w:t>
      </w:r>
      <w:proofErr w:type="spellEnd"/>
      <w:r w:rsidRPr="00DE6A9D">
        <w:rPr>
          <w:b/>
          <w:bCs/>
          <w:rtl/>
        </w:rPr>
        <w:t xml:space="preserve"> على الصعيد الوطني.</w:t>
      </w:r>
    </w:p>
    <w:p w14:paraId="0A5B04E9" w14:textId="77777777" w:rsidR="001C3681" w:rsidRPr="00DE6A9D" w:rsidRDefault="001C3681" w:rsidP="001C3681">
      <w:pPr>
        <w:pStyle w:val="H23GA"/>
        <w:rPr>
          <w:lang w:val="ar-SA" w:eastAsia="zh-TW" w:bidi="en-GB"/>
        </w:rPr>
      </w:pPr>
      <w:r w:rsidRPr="00DE6A9D">
        <w:rPr>
          <w:rtl/>
        </w:rPr>
        <w:tab/>
      </w:r>
      <w:r w:rsidRPr="00DE6A9D">
        <w:rPr>
          <w:rtl/>
        </w:rPr>
        <w:tab/>
        <w:t>العقد الدولي للمنحدرين من أصل أفريقي</w:t>
      </w:r>
    </w:p>
    <w:p w14:paraId="60D81783" w14:textId="5BD7635E" w:rsidR="001C3681" w:rsidRPr="00DE6A9D" w:rsidRDefault="001C3681" w:rsidP="001C3681">
      <w:pPr>
        <w:pStyle w:val="SingleTxtGA"/>
        <w:rPr>
          <w:b/>
          <w:bCs/>
          <w:lang w:val="ar-SA" w:eastAsia="zh-TW" w:bidi="en-GB"/>
        </w:rPr>
      </w:pPr>
      <w:r w:rsidRPr="00DE6A9D">
        <w:rPr>
          <w:rtl/>
        </w:rPr>
        <w:t>22</w:t>
      </w:r>
      <w:r w:rsidRPr="00EE5596">
        <w:rPr>
          <w:rFonts w:ascii="Simplified Arabic"/>
          <w:spacing w:val="2"/>
          <w:rtl/>
        </w:rPr>
        <w:t>-</w:t>
      </w:r>
      <w:r w:rsidRPr="00EE5596">
        <w:rPr>
          <w:spacing w:val="2"/>
          <w:rtl/>
        </w:rPr>
        <w:tab/>
      </w:r>
      <w:r w:rsidRPr="00DE6A9D">
        <w:rPr>
          <w:b/>
          <w:bCs/>
          <w:spacing w:val="2"/>
          <w:rtl/>
        </w:rPr>
        <w:t xml:space="preserve">توصي اللجنة، في ضوء قرار الجمعية العامة </w:t>
      </w:r>
      <w:r w:rsidRPr="00DE6A9D">
        <w:rPr>
          <w:b/>
          <w:bCs/>
          <w:rtl/>
        </w:rPr>
        <w:t>68</w:t>
      </w:r>
      <w:r w:rsidRPr="00DE6A9D">
        <w:rPr>
          <w:rFonts w:ascii="Simplified Arabic"/>
          <w:b/>
          <w:bCs/>
          <w:spacing w:val="2"/>
          <w:rtl/>
        </w:rPr>
        <w:t>/</w:t>
      </w:r>
      <w:r w:rsidRPr="00DE6A9D">
        <w:rPr>
          <w:b/>
          <w:bCs/>
          <w:rtl/>
        </w:rPr>
        <w:t>237</w:t>
      </w:r>
      <w:r w:rsidRPr="00DE6A9D">
        <w:rPr>
          <w:b/>
          <w:bCs/>
          <w:spacing w:val="2"/>
          <w:rtl/>
        </w:rPr>
        <w:t xml:space="preserve"> الذي أعلنت فيه الجمعية الفترة</w:t>
      </w:r>
      <w:r w:rsidR="007D11E1" w:rsidRPr="00DE6A9D">
        <w:rPr>
          <w:rFonts w:hint="cs"/>
          <w:b/>
          <w:bCs/>
          <w:rtl/>
        </w:rPr>
        <w:t> </w:t>
      </w:r>
      <w:r w:rsidRPr="00DE6A9D">
        <w:rPr>
          <w:b/>
          <w:bCs/>
          <w:rtl/>
        </w:rPr>
        <w:t>2015-2024 عقداً دولياً للمنحدرين من أصل أفريقي، وقرار الجمعية 69</w:t>
      </w:r>
      <w:r w:rsidRPr="00DE6A9D">
        <w:rPr>
          <w:rFonts w:ascii="Simplified Arabic"/>
          <w:b/>
          <w:bCs/>
          <w:rtl/>
        </w:rPr>
        <w:t>/</w:t>
      </w:r>
      <w:r w:rsidRPr="00DE6A9D">
        <w:rPr>
          <w:b/>
          <w:bCs/>
          <w:rtl/>
        </w:rPr>
        <w:t xml:space="preserve">16 بشأن برنامج الأنشطة لتنفيذ العقد، بأن تقوم الدولة الطرف بإعداد وتنفيذ برنامج مناسب من التدابير والسياسات. وتطلب اللجنة إلى الدولة الطرف أن تضمّن تقريرها المقبل معلومات دقيقة عن التدابير الملموسة </w:t>
      </w:r>
      <w:r w:rsidRPr="00DE6A9D">
        <w:rPr>
          <w:b/>
          <w:bCs/>
          <w:rtl/>
        </w:rPr>
        <w:lastRenderedPageBreak/>
        <w:t>المعتمدة في ذلك الإطار، مع مراعاة توصيتها العامة رقم 34</w:t>
      </w:r>
      <w:r w:rsidRPr="00DE6A9D">
        <w:rPr>
          <w:rFonts w:ascii="Simplified Arabic"/>
          <w:b/>
          <w:bCs/>
          <w:rtl/>
        </w:rPr>
        <w:t>(</w:t>
      </w:r>
      <w:r w:rsidRPr="00DE6A9D">
        <w:rPr>
          <w:b/>
          <w:bCs/>
          <w:rtl/>
        </w:rPr>
        <w:t>201</w:t>
      </w:r>
      <w:r w:rsidR="00DE6A9D" w:rsidRPr="00DE6A9D">
        <w:rPr>
          <w:b/>
          <w:bCs/>
          <w:rtl/>
        </w:rPr>
        <w:t>1</w:t>
      </w:r>
      <w:r w:rsidR="00DE6A9D" w:rsidRPr="00DE6A9D">
        <w:rPr>
          <w:rFonts w:ascii="Simplified Arabic"/>
          <w:b/>
          <w:bCs/>
          <w:rtl/>
        </w:rPr>
        <w:t>)</w:t>
      </w:r>
      <w:r w:rsidR="00DE6A9D" w:rsidRPr="00DE6A9D">
        <w:rPr>
          <w:b/>
          <w:bCs/>
          <w:rtl/>
        </w:rPr>
        <w:t xml:space="preserve"> </w:t>
      </w:r>
      <w:r w:rsidRPr="00DE6A9D">
        <w:rPr>
          <w:b/>
          <w:bCs/>
          <w:rtl/>
        </w:rPr>
        <w:t>بشأن التمييز العنصري ضد السكان المنحدرين من أصل أفريقي.</w:t>
      </w:r>
    </w:p>
    <w:p w14:paraId="5D0AF79F" w14:textId="4C4F1642" w:rsidR="001C3681" w:rsidRPr="00DE6A9D" w:rsidRDefault="001C3681" w:rsidP="001C3681">
      <w:pPr>
        <w:pStyle w:val="H23GA"/>
        <w:rPr>
          <w:lang w:val="ar-SA" w:eastAsia="zh-TW" w:bidi="en-GB"/>
        </w:rPr>
      </w:pPr>
      <w:r w:rsidRPr="00DE6A9D">
        <w:rPr>
          <w:rtl/>
        </w:rPr>
        <w:tab/>
      </w:r>
      <w:r w:rsidRPr="00DE6A9D">
        <w:rPr>
          <w:rtl/>
        </w:rPr>
        <w:tab/>
        <w:t>التشاور مع المجتمع المدني</w:t>
      </w:r>
    </w:p>
    <w:p w14:paraId="08CA7258" w14:textId="6F72DA27" w:rsidR="001C3681" w:rsidRPr="00DE6A9D" w:rsidRDefault="001C3681" w:rsidP="001C3681">
      <w:pPr>
        <w:pStyle w:val="SingleTxtGA"/>
        <w:rPr>
          <w:b/>
          <w:bCs/>
          <w:lang w:val="ar-SA" w:eastAsia="zh-TW" w:bidi="en-GB"/>
        </w:rPr>
      </w:pPr>
      <w:r w:rsidRPr="00DE6A9D">
        <w:rPr>
          <w:rtl/>
        </w:rPr>
        <w:t>23</w:t>
      </w:r>
      <w:r w:rsidRPr="00EE5596">
        <w:rPr>
          <w:rFonts w:ascii="Simplified Arabic"/>
          <w:rtl/>
        </w:rPr>
        <w:t>-</w:t>
      </w:r>
      <w:r w:rsidRPr="00EE5596">
        <w:rPr>
          <w:rtl/>
        </w:rPr>
        <w:tab/>
      </w:r>
      <w:r w:rsidRPr="00DE6A9D">
        <w:rPr>
          <w:b/>
          <w:bCs/>
          <w:rtl/>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14:paraId="59915CCE" w14:textId="77777777" w:rsidR="001C3681" w:rsidRPr="00DE6A9D" w:rsidRDefault="001C3681" w:rsidP="001C3681">
      <w:pPr>
        <w:pStyle w:val="H23GA"/>
        <w:rPr>
          <w:lang w:val="ar-SA" w:eastAsia="zh-TW" w:bidi="en-GB"/>
        </w:rPr>
      </w:pPr>
      <w:r w:rsidRPr="00DE6A9D">
        <w:rPr>
          <w:rtl/>
        </w:rPr>
        <w:tab/>
      </w:r>
      <w:r w:rsidRPr="00DE6A9D">
        <w:rPr>
          <w:rtl/>
        </w:rPr>
        <w:tab/>
        <w:t>نشر المعلومات</w:t>
      </w:r>
    </w:p>
    <w:p w14:paraId="38A22593" w14:textId="2427F398" w:rsidR="001C3681" w:rsidRPr="00DE6A9D" w:rsidRDefault="001C3681" w:rsidP="001C3681">
      <w:pPr>
        <w:pStyle w:val="SingleTxtGA"/>
        <w:rPr>
          <w:rFonts w:ascii="Times New Roman Bold" w:hAnsi="Times New Roman Bold" w:hint="eastAsia"/>
          <w:b/>
          <w:bCs/>
          <w:spacing w:val="-2"/>
          <w:lang w:val="ar-SA" w:eastAsia="zh-TW" w:bidi="en-GB"/>
        </w:rPr>
      </w:pPr>
      <w:r w:rsidRPr="00DE6A9D">
        <w:rPr>
          <w:rtl/>
        </w:rPr>
        <w:t>24</w:t>
      </w:r>
      <w:r w:rsidRPr="00EE5596">
        <w:rPr>
          <w:rFonts w:ascii="Simplified Arabic"/>
          <w:rtl/>
        </w:rPr>
        <w:t>-</w:t>
      </w:r>
      <w:r w:rsidRPr="00EE5596">
        <w:rPr>
          <w:rtl/>
        </w:rPr>
        <w:tab/>
      </w:r>
      <w:r w:rsidRPr="00DE6A9D">
        <w:rPr>
          <w:b/>
          <w:bCs/>
          <w:rtl/>
        </w:rPr>
        <w:t xml:space="preserve">توصي اللجنة الدولة الطرف بإتاحة تقاريرها لعامة الجمهور وتيسير الاطلاع عليها وقت تقديمها، وبإتاحة الملاحظات الختامية للجنة المتعلقة بتلك التقارير لجميع الهيئات الحكومية المكلّفة بتنفيذ الاتفاقية، بما فيها البلديات، وبنشر الملاحظات الختامية للجنة المتعلقة بتلك التقارير في الموقع </w:t>
      </w:r>
      <w:r w:rsidRPr="00DE6A9D">
        <w:rPr>
          <w:rFonts w:ascii="Times New Roman Bold" w:hAnsi="Times New Roman Bold"/>
          <w:b/>
          <w:bCs/>
          <w:spacing w:val="-2"/>
          <w:rtl/>
        </w:rPr>
        <w:t>الشبكي لوزارة الخارجية باللغات الرسمية وغيرها من اللغات الشائع استخدامها في البلد، حسب الاقتضاء.</w:t>
      </w:r>
    </w:p>
    <w:p w14:paraId="3F8850F8" w14:textId="4B9583DF" w:rsidR="001C3681" w:rsidRPr="00DE6A9D" w:rsidRDefault="001C3681" w:rsidP="001C3681">
      <w:pPr>
        <w:pStyle w:val="H23GA"/>
        <w:rPr>
          <w:lang w:val="ar-SA" w:eastAsia="zh-TW" w:bidi="en-GB"/>
        </w:rPr>
      </w:pPr>
      <w:r w:rsidRPr="00DE6A9D">
        <w:rPr>
          <w:rtl/>
        </w:rPr>
        <w:tab/>
      </w:r>
      <w:r w:rsidRPr="00DE6A9D">
        <w:rPr>
          <w:rtl/>
        </w:rPr>
        <w:tab/>
        <w:t>الوثيقة الأساسية الموحدة</w:t>
      </w:r>
    </w:p>
    <w:p w14:paraId="6B970864" w14:textId="68EA423E" w:rsidR="001C3681" w:rsidRPr="00DE6A9D" w:rsidRDefault="001C3681" w:rsidP="001C3681">
      <w:pPr>
        <w:pStyle w:val="SingleTxtGA"/>
        <w:rPr>
          <w:b/>
          <w:bCs/>
          <w:lang w:val="en-US" w:eastAsia="zh-TW" w:bidi="en-GB"/>
        </w:rPr>
      </w:pPr>
      <w:r w:rsidRPr="00DE6A9D">
        <w:rPr>
          <w:rtl/>
        </w:rPr>
        <w:t>25</w:t>
      </w:r>
      <w:r w:rsidRPr="00EE5596">
        <w:rPr>
          <w:rFonts w:ascii="Simplified Arabic"/>
          <w:rtl/>
        </w:rPr>
        <w:t>-</w:t>
      </w:r>
      <w:r w:rsidRPr="00EE5596">
        <w:rPr>
          <w:rtl/>
        </w:rPr>
        <w:tab/>
      </w:r>
      <w:r w:rsidRPr="00DE6A9D">
        <w:rPr>
          <w:b/>
          <w:bCs/>
          <w:rtl/>
        </w:rPr>
        <w:t xml:space="preserve">تشجّع اللجنة الدولة الطرف على تحديث وثيقتها الأساسية الموحدة، التي يرجع تاريخها إلى </w:t>
      </w:r>
      <w:r w:rsidRPr="00DE6A9D">
        <w:rPr>
          <w:rFonts w:ascii="Times New Roman Bold" w:hAnsi="Times New Roman Bold"/>
          <w:b/>
          <w:bCs/>
          <w:spacing w:val="-2"/>
          <w:rtl/>
        </w:rPr>
        <w:t>عام</w:t>
      </w:r>
      <w:r w:rsidR="00D40286" w:rsidRPr="00DE6A9D">
        <w:rPr>
          <w:rFonts w:ascii="Times New Roman Bold" w:hAnsi="Times New Roman Bold" w:hint="cs"/>
          <w:b/>
          <w:bCs/>
          <w:spacing w:val="-2"/>
          <w:rtl/>
        </w:rPr>
        <w:t> </w:t>
      </w:r>
      <w:r w:rsidRPr="00DE6A9D">
        <w:rPr>
          <w:rFonts w:ascii="Times New Roman Bold" w:hAnsi="Times New Roman Bold"/>
          <w:b/>
          <w:bCs/>
          <w:spacing w:val="-2"/>
          <w:rtl/>
        </w:rPr>
        <w:t>1999، وفقاً للمبادئ التوجيهية المنسقة لتقديم التقارير بموجب المعاهدات الدولية لحقوق الإنسان</w:t>
      </w:r>
      <w:r w:rsidRPr="00DE6A9D">
        <w:rPr>
          <w:b/>
          <w:bCs/>
          <w:rtl/>
        </w:rPr>
        <w:t>، ولا</w:t>
      </w:r>
      <w:r w:rsidR="0030692A" w:rsidRPr="00DE6A9D">
        <w:rPr>
          <w:rFonts w:hint="cs"/>
          <w:b/>
          <w:bCs/>
          <w:rtl/>
        </w:rPr>
        <w:t> </w:t>
      </w:r>
      <w:r w:rsidRPr="00DE6A9D">
        <w:rPr>
          <w:b/>
          <w:bCs/>
          <w:rtl/>
        </w:rPr>
        <w:t>سيما المبادئ التوجيهية لتقديم وثيقة أساسية موحدة، التي اعتُمدت في الاجتماع الخامس المشترك بين</w:t>
      </w:r>
      <w:r w:rsidR="009D1BA5" w:rsidRPr="00DE6A9D">
        <w:rPr>
          <w:rFonts w:hint="cs"/>
          <w:b/>
          <w:bCs/>
          <w:rtl/>
        </w:rPr>
        <w:t> </w:t>
      </w:r>
      <w:r w:rsidRPr="00DE6A9D">
        <w:rPr>
          <w:b/>
          <w:bCs/>
          <w:rtl/>
        </w:rPr>
        <w:t>لجان هيئات معاهدات حقوق الإنسان المعقود في حزيران/يونيه 2006</w:t>
      </w:r>
      <w:r w:rsidR="00DE6A9D">
        <w:rPr>
          <w:rStyle w:val="FootnoteReference"/>
          <w:rtl/>
          <w:lang w:val="en-US"/>
        </w:rPr>
        <w:t>(</w:t>
      </w:r>
      <w:r w:rsidR="00DE6A9D" w:rsidRPr="00DE6A9D">
        <w:rPr>
          <w:rStyle w:val="FootnoteReference"/>
          <w:lang w:val="en-US"/>
        </w:rPr>
        <w:footnoteReference w:id="5"/>
      </w:r>
      <w:r w:rsidR="00DE6A9D" w:rsidRPr="00DE6A9D">
        <w:rPr>
          <w:rStyle w:val="FootnoteReference"/>
          <w:rtl/>
        </w:rPr>
        <w:t>)</w:t>
      </w:r>
      <w:r w:rsidR="00DE6A9D" w:rsidRPr="00DE6A9D">
        <w:rPr>
          <w:rFonts w:ascii="Simplified Arabic" w:hint="cs"/>
          <w:b/>
          <w:bCs/>
          <w:rtl/>
        </w:rPr>
        <w:t>.</w:t>
      </w:r>
      <w:r w:rsidR="00DE6A9D" w:rsidRPr="00DE6A9D">
        <w:rPr>
          <w:rFonts w:ascii="Simplified Arabic"/>
          <w:b/>
          <w:bCs/>
          <w:rtl/>
        </w:rPr>
        <w:t xml:space="preserve"> </w:t>
      </w:r>
      <w:r w:rsidRPr="00DE6A9D">
        <w:rPr>
          <w:b/>
          <w:bCs/>
          <w:rtl/>
        </w:rPr>
        <w:t>وفي ضوء قرار الجمعية العامة 68</w:t>
      </w:r>
      <w:r w:rsidRPr="00DE6A9D">
        <w:rPr>
          <w:rFonts w:ascii="Simplified Arabic"/>
          <w:b/>
          <w:bCs/>
          <w:rtl/>
        </w:rPr>
        <w:t>/</w:t>
      </w:r>
      <w:r w:rsidRPr="00DE6A9D">
        <w:rPr>
          <w:b/>
          <w:bCs/>
          <w:rtl/>
        </w:rPr>
        <w:t>268</w:t>
      </w:r>
      <w:r w:rsidR="00D73A4A" w:rsidRPr="00DE6A9D">
        <w:rPr>
          <w:rFonts w:ascii="Simplified Arabic"/>
          <w:b/>
          <w:bCs/>
          <w:rtl/>
        </w:rPr>
        <w:t xml:space="preserve"> </w:t>
      </w:r>
      <w:r w:rsidRPr="00DE6A9D">
        <w:rPr>
          <w:b/>
          <w:bCs/>
          <w:rtl/>
        </w:rPr>
        <w:t>تحث اللجنة الدولة الطرف على التقيد بالحد الأقصى لعدد الكلمات البالغ</w:t>
      </w:r>
      <w:r w:rsidR="005B76B5" w:rsidRPr="00DE6A9D">
        <w:rPr>
          <w:rFonts w:hint="cs"/>
          <w:b/>
          <w:bCs/>
          <w:rtl/>
        </w:rPr>
        <w:t> </w:t>
      </w:r>
      <w:r w:rsidRPr="00DE6A9D">
        <w:rPr>
          <w:b/>
          <w:bCs/>
          <w:rtl/>
        </w:rPr>
        <w:t>400</w:t>
      </w:r>
      <w:r w:rsidRPr="00DE6A9D">
        <w:rPr>
          <w:rFonts w:ascii="Simplified Arabic"/>
          <w:b/>
          <w:bCs/>
          <w:rtl/>
        </w:rPr>
        <w:t xml:space="preserve"> </w:t>
      </w:r>
      <w:r w:rsidRPr="00DE6A9D">
        <w:rPr>
          <w:b/>
          <w:bCs/>
          <w:rtl/>
        </w:rPr>
        <w:t>42 كلمة لهذه الوثائق.</w:t>
      </w:r>
    </w:p>
    <w:p w14:paraId="1C29DD6A" w14:textId="64AD2C2E" w:rsidR="001C3681" w:rsidRPr="00DE6A9D" w:rsidRDefault="001C3681" w:rsidP="001C3681">
      <w:pPr>
        <w:pStyle w:val="H23GA"/>
        <w:rPr>
          <w:lang w:val="ar-SA" w:eastAsia="zh-TW" w:bidi="en-GB"/>
        </w:rPr>
      </w:pPr>
      <w:r w:rsidRPr="00DE6A9D">
        <w:rPr>
          <w:rtl/>
        </w:rPr>
        <w:tab/>
      </w:r>
      <w:r w:rsidRPr="00DE6A9D">
        <w:rPr>
          <w:rtl/>
        </w:rPr>
        <w:tab/>
        <w:t>متابعة هذه الملاحظات الختامية</w:t>
      </w:r>
    </w:p>
    <w:p w14:paraId="0D1FF35E" w14:textId="1E16D44B" w:rsidR="001C3681" w:rsidRPr="00DE6A9D" w:rsidRDefault="001C3681" w:rsidP="001C3681">
      <w:pPr>
        <w:pStyle w:val="SingleTxtGA"/>
        <w:rPr>
          <w:b/>
          <w:bCs/>
          <w:lang w:val="ar-SA" w:eastAsia="zh-TW" w:bidi="en-GB"/>
        </w:rPr>
      </w:pPr>
      <w:r w:rsidRPr="00DE6A9D">
        <w:rPr>
          <w:rtl/>
        </w:rPr>
        <w:t>26</w:t>
      </w:r>
      <w:r w:rsidRPr="00EE5596">
        <w:rPr>
          <w:rFonts w:ascii="Simplified Arabic"/>
          <w:rtl/>
        </w:rPr>
        <w:t>-</w:t>
      </w:r>
      <w:r w:rsidRPr="00EE5596">
        <w:rPr>
          <w:rtl/>
        </w:rPr>
        <w:tab/>
      </w:r>
      <w:r w:rsidRPr="00DE6A9D">
        <w:rPr>
          <w:b/>
          <w:bCs/>
          <w:rtl/>
        </w:rPr>
        <w:t xml:space="preserve">تطلب اللجنة إلى الدولة الطرف، وفقاً للفقرة </w:t>
      </w:r>
      <w:r w:rsidRPr="00DE6A9D">
        <w:rPr>
          <w:rFonts w:ascii="Simplified Arabic"/>
          <w:b/>
          <w:bCs/>
          <w:rtl/>
        </w:rPr>
        <w:t>(</w:t>
      </w:r>
      <w:r w:rsidR="00DE6A9D" w:rsidRPr="00DE6A9D">
        <w:rPr>
          <w:b/>
          <w:bCs/>
          <w:rtl/>
        </w:rPr>
        <w:t>1</w:t>
      </w:r>
      <w:r w:rsidR="00DE6A9D" w:rsidRPr="00DE6A9D">
        <w:rPr>
          <w:rFonts w:ascii="Simplified Arabic"/>
          <w:b/>
          <w:bCs/>
          <w:rtl/>
        </w:rPr>
        <w:t>)</w:t>
      </w:r>
      <w:r w:rsidR="00DE6A9D" w:rsidRPr="00DE6A9D">
        <w:rPr>
          <w:b/>
          <w:bCs/>
          <w:rtl/>
        </w:rPr>
        <w:t xml:space="preserve"> </w:t>
      </w:r>
      <w:r w:rsidRPr="00DE6A9D">
        <w:rPr>
          <w:b/>
          <w:bCs/>
          <w:rtl/>
        </w:rPr>
        <w:t>من المادة 9 من الاتفاقية والمادة 65 من نظامها الداخلي، أن تقدّم، في غضون سنة واحدة من اعتماد هذه الملاحظات الختامية، معلومات عن تنفيذها التوصيات الواردة في الفقرات 10</w:t>
      </w:r>
      <w:r w:rsidRPr="00DE6A9D">
        <w:rPr>
          <w:rFonts w:ascii="Simplified Arabic"/>
          <w:b/>
          <w:bCs/>
          <w:rtl/>
        </w:rPr>
        <w:t>(</w:t>
      </w:r>
      <w:r w:rsidRPr="00DE6A9D">
        <w:rPr>
          <w:b/>
          <w:bCs/>
          <w:rtl/>
        </w:rPr>
        <w:t>أ</w:t>
      </w:r>
      <w:r w:rsidRPr="00DE6A9D">
        <w:rPr>
          <w:rFonts w:ascii="Simplified Arabic"/>
          <w:b/>
          <w:bCs/>
          <w:rtl/>
        </w:rPr>
        <w:t>)</w:t>
      </w:r>
      <w:r w:rsidRPr="00DE6A9D">
        <w:rPr>
          <w:b/>
          <w:bCs/>
          <w:rtl/>
        </w:rPr>
        <w:t xml:space="preserve"> و(ب) (خطاب الكراهية العنصرية وجرائم الكراهية</w:t>
      </w:r>
      <w:r w:rsidR="00DE6A9D" w:rsidRPr="00DE6A9D">
        <w:rPr>
          <w:b/>
          <w:bCs/>
          <w:rtl/>
        </w:rPr>
        <w:t xml:space="preserve">)، </w:t>
      </w:r>
      <w:r w:rsidRPr="00DE6A9D">
        <w:rPr>
          <w:b/>
          <w:bCs/>
          <w:rtl/>
        </w:rPr>
        <w:t>و14</w:t>
      </w:r>
      <w:r w:rsidRPr="00DE6A9D">
        <w:rPr>
          <w:rFonts w:ascii="Simplified Arabic"/>
          <w:b/>
          <w:bCs/>
          <w:rtl/>
        </w:rPr>
        <w:t>(</w:t>
      </w:r>
      <w:r w:rsidRPr="00DE6A9D">
        <w:rPr>
          <w:b/>
          <w:bCs/>
          <w:rtl/>
        </w:rPr>
        <w:t>أ</w:t>
      </w:r>
      <w:r w:rsidRPr="00DE6A9D">
        <w:rPr>
          <w:rFonts w:ascii="Simplified Arabic"/>
          <w:b/>
          <w:bCs/>
          <w:rtl/>
        </w:rPr>
        <w:t>)</w:t>
      </w:r>
      <w:r w:rsidRPr="00DE6A9D">
        <w:rPr>
          <w:b/>
          <w:bCs/>
          <w:rtl/>
        </w:rPr>
        <w:t xml:space="preserve"> و(ب) و(ج) (</w:t>
      </w:r>
      <w:proofErr w:type="spellStart"/>
      <w:r w:rsidRPr="00DE6A9D">
        <w:rPr>
          <w:b/>
          <w:bCs/>
          <w:rtl/>
        </w:rPr>
        <w:t>الروما</w:t>
      </w:r>
      <w:proofErr w:type="spellEnd"/>
      <w:r w:rsidRPr="00DE6A9D">
        <w:rPr>
          <w:b/>
          <w:bCs/>
          <w:rtl/>
        </w:rPr>
        <w:t>) و16</w:t>
      </w:r>
      <w:r w:rsidRPr="00DE6A9D">
        <w:rPr>
          <w:rFonts w:ascii="Simplified Arabic"/>
          <w:b/>
          <w:bCs/>
          <w:rtl/>
        </w:rPr>
        <w:t xml:space="preserve"> (</w:t>
      </w:r>
      <w:r w:rsidRPr="00DE6A9D">
        <w:rPr>
          <w:b/>
          <w:bCs/>
          <w:rtl/>
        </w:rPr>
        <w:t>الأشخاص الذين أعاد اتحاد الجمهوريات الاشتراكية السوفياتية توطينهم قسرا</w:t>
      </w:r>
      <w:r w:rsidR="0030692A" w:rsidRPr="00DE6A9D">
        <w:rPr>
          <w:rFonts w:hint="cs"/>
          <w:b/>
          <w:bCs/>
          <w:rtl/>
        </w:rPr>
        <w:t xml:space="preserve">ً </w:t>
      </w:r>
      <w:r w:rsidRPr="00DE6A9D">
        <w:rPr>
          <w:b/>
          <w:bCs/>
          <w:rtl/>
        </w:rPr>
        <w:t>في أربعينيات القرن الماضي</w:t>
      </w:r>
      <w:r w:rsidRPr="00DE6A9D">
        <w:rPr>
          <w:rFonts w:ascii="Simplified Arabic"/>
          <w:b/>
          <w:bCs/>
          <w:rtl/>
        </w:rPr>
        <w:t>)</w:t>
      </w:r>
      <w:r w:rsidRPr="00DE6A9D">
        <w:rPr>
          <w:b/>
          <w:bCs/>
          <w:rtl/>
        </w:rPr>
        <w:t xml:space="preserve"> أعلاه.</w:t>
      </w:r>
    </w:p>
    <w:p w14:paraId="1DC8180B" w14:textId="2D1E2C37" w:rsidR="001C3681" w:rsidRPr="00DE6A9D" w:rsidRDefault="001C3681" w:rsidP="001C3681">
      <w:pPr>
        <w:pStyle w:val="H23GA"/>
        <w:rPr>
          <w:lang w:val="ar-SA" w:eastAsia="zh-TW" w:bidi="en-GB"/>
        </w:rPr>
      </w:pPr>
      <w:r w:rsidRPr="00DE6A9D">
        <w:rPr>
          <w:rtl/>
        </w:rPr>
        <w:tab/>
      </w:r>
      <w:r w:rsidRPr="00DE6A9D">
        <w:rPr>
          <w:rtl/>
        </w:rPr>
        <w:tab/>
        <w:t>الفقرات ذات الأهمية الخاصة</w:t>
      </w:r>
    </w:p>
    <w:p w14:paraId="204F2EFF" w14:textId="21CDA09A" w:rsidR="001C3681" w:rsidRPr="00DE6A9D" w:rsidRDefault="001C3681" w:rsidP="001C3681">
      <w:pPr>
        <w:pStyle w:val="SingleTxtGA"/>
        <w:rPr>
          <w:b/>
          <w:bCs/>
          <w:lang w:val="ar-SA" w:eastAsia="zh-TW" w:bidi="en-GB"/>
        </w:rPr>
      </w:pPr>
      <w:r w:rsidRPr="00DE6A9D">
        <w:rPr>
          <w:rtl/>
        </w:rPr>
        <w:t>27</w:t>
      </w:r>
      <w:r w:rsidRPr="00EE5596">
        <w:rPr>
          <w:rFonts w:ascii="Simplified Arabic"/>
          <w:rtl/>
        </w:rPr>
        <w:t>-</w:t>
      </w:r>
      <w:r w:rsidRPr="00EE5596">
        <w:rPr>
          <w:rtl/>
        </w:rPr>
        <w:tab/>
      </w:r>
      <w:r w:rsidRPr="00DE6A9D">
        <w:rPr>
          <w:b/>
          <w:bCs/>
          <w:rtl/>
        </w:rPr>
        <w:t>تودّ اللجنة أن توجّه انتباه الدولة الطرف إلى الأهمية الخاصة للتوصيات الواردة في الفقرتين</w:t>
      </w:r>
      <w:r w:rsidR="00E3414D" w:rsidRPr="00DE6A9D">
        <w:rPr>
          <w:rFonts w:hint="cs"/>
          <w:b/>
          <w:bCs/>
          <w:rtl/>
        </w:rPr>
        <w:t> </w:t>
      </w:r>
      <w:r w:rsidRPr="00DE6A9D">
        <w:rPr>
          <w:b/>
          <w:bCs/>
          <w:rtl/>
        </w:rPr>
        <w:t>8</w:t>
      </w:r>
      <w:r w:rsidRPr="00DE6A9D">
        <w:rPr>
          <w:rFonts w:ascii="Simplified Arabic"/>
          <w:b/>
          <w:bCs/>
          <w:rtl/>
        </w:rPr>
        <w:t xml:space="preserve"> (</w:t>
      </w:r>
      <w:r w:rsidRPr="00DE6A9D">
        <w:rPr>
          <w:b/>
          <w:bCs/>
          <w:rtl/>
        </w:rPr>
        <w:t>تنفيذ التشريعات المناهضة للتمييز</w:t>
      </w:r>
      <w:r w:rsidRPr="00DE6A9D">
        <w:rPr>
          <w:rFonts w:ascii="Simplified Arabic"/>
          <w:b/>
          <w:bCs/>
          <w:rtl/>
        </w:rPr>
        <w:t>)</w:t>
      </w:r>
      <w:r w:rsidRPr="00DE6A9D">
        <w:rPr>
          <w:b/>
          <w:bCs/>
          <w:rtl/>
        </w:rPr>
        <w:t xml:space="preserve"> و12</w:t>
      </w:r>
      <w:r w:rsidRPr="00DE6A9D">
        <w:rPr>
          <w:rFonts w:ascii="Simplified Arabic"/>
          <w:b/>
          <w:bCs/>
          <w:rtl/>
        </w:rPr>
        <w:t xml:space="preserve"> (</w:t>
      </w:r>
      <w:r w:rsidRPr="00DE6A9D">
        <w:rPr>
          <w:b/>
          <w:bCs/>
          <w:rtl/>
        </w:rPr>
        <w:t>الأقليات القومية والإثنية</w:t>
      </w:r>
      <w:r w:rsidRPr="00DE6A9D">
        <w:rPr>
          <w:rFonts w:ascii="Simplified Arabic"/>
          <w:b/>
          <w:bCs/>
          <w:rtl/>
        </w:rPr>
        <w:t>)</w:t>
      </w:r>
      <w:r w:rsidRPr="00DE6A9D">
        <w:rPr>
          <w:b/>
          <w:bCs/>
          <w:rtl/>
        </w:rPr>
        <w:t xml:space="preserve"> أعلاه، وتطلب إلى الدولة الطرف أن تقدّم في تقريرها الدوري المقبل معلومات مفصّلة عن التدابير الملموسة المتّخذة لتنفيذ تلك التوصيات.</w:t>
      </w:r>
    </w:p>
    <w:p w14:paraId="18CAADAD" w14:textId="56C6DAE1" w:rsidR="001C3681" w:rsidRPr="00DE6A9D" w:rsidRDefault="001C3681" w:rsidP="001C3681">
      <w:pPr>
        <w:pStyle w:val="H23GA"/>
        <w:rPr>
          <w:lang w:val="ar-SA" w:eastAsia="zh-TW" w:bidi="en-GB"/>
        </w:rPr>
      </w:pPr>
      <w:r w:rsidRPr="00DE6A9D">
        <w:rPr>
          <w:rtl/>
        </w:rPr>
        <w:lastRenderedPageBreak/>
        <w:tab/>
      </w:r>
      <w:r w:rsidRPr="00DE6A9D">
        <w:rPr>
          <w:rtl/>
        </w:rPr>
        <w:tab/>
        <w:t>إعداد التقرير الدوري المقبل</w:t>
      </w:r>
    </w:p>
    <w:p w14:paraId="327592CD" w14:textId="6FC827E8" w:rsidR="001C3681" w:rsidRPr="00DE6A9D" w:rsidRDefault="001C3681" w:rsidP="001C3681">
      <w:pPr>
        <w:pStyle w:val="SingleTxtGA"/>
        <w:rPr>
          <w:b/>
          <w:bCs/>
          <w:spacing w:val="2"/>
          <w:lang w:val="en-US" w:eastAsia="zh-TW" w:bidi="en-GB"/>
        </w:rPr>
      </w:pPr>
      <w:r w:rsidRPr="00DE6A9D">
        <w:rPr>
          <w:rtl/>
        </w:rPr>
        <w:t>28</w:t>
      </w:r>
      <w:r w:rsidRPr="00EE5596">
        <w:rPr>
          <w:rFonts w:ascii="Simplified Arabic"/>
          <w:spacing w:val="2"/>
          <w:rtl/>
        </w:rPr>
        <w:t>-</w:t>
      </w:r>
      <w:r w:rsidRPr="00EE5596">
        <w:rPr>
          <w:spacing w:val="2"/>
          <w:rtl/>
        </w:rPr>
        <w:tab/>
      </w:r>
      <w:r w:rsidRPr="00DE6A9D">
        <w:rPr>
          <w:b/>
          <w:bCs/>
          <w:spacing w:val="2"/>
          <w:rtl/>
        </w:rPr>
        <w:t xml:space="preserve">توصي اللجنة الدولة الطرف بأن تقدم تقريرها الدوري الجامع لتقريريها الدوريين الحادي عشر والثاني عشر، في وثيقة واحدة، بحلول </w:t>
      </w:r>
      <w:r w:rsidRPr="00DE6A9D">
        <w:rPr>
          <w:b/>
          <w:bCs/>
          <w:rtl/>
        </w:rPr>
        <w:t>2</w:t>
      </w:r>
      <w:r w:rsidRPr="00DE6A9D">
        <w:rPr>
          <w:b/>
          <w:bCs/>
          <w:spacing w:val="2"/>
          <w:rtl/>
        </w:rPr>
        <w:t xml:space="preserve"> تموز/يوليه </w:t>
      </w:r>
      <w:r w:rsidRPr="00DE6A9D">
        <w:rPr>
          <w:b/>
          <w:bCs/>
          <w:rtl/>
        </w:rPr>
        <w:t>2026</w:t>
      </w:r>
      <w:r w:rsidRPr="00DE6A9D">
        <w:rPr>
          <w:b/>
          <w:bCs/>
          <w:spacing w:val="2"/>
          <w:rtl/>
        </w:rPr>
        <w:t>، مع مراعاة المبادئ التوجيهية لتقديم التقارير التي اعتمدتها اللجنة في دورتها الحادية والسبعين</w:t>
      </w:r>
      <w:r w:rsidR="00DE6A9D">
        <w:rPr>
          <w:rStyle w:val="FootnoteReference"/>
          <w:spacing w:val="2"/>
          <w:rtl/>
          <w:lang w:val="en-US"/>
        </w:rPr>
        <w:t>(</w:t>
      </w:r>
      <w:r w:rsidR="00DE6A9D" w:rsidRPr="00DE6A9D">
        <w:rPr>
          <w:rStyle w:val="FootnoteReference"/>
          <w:spacing w:val="2"/>
          <w:lang w:val="en-US"/>
        </w:rPr>
        <w:footnoteReference w:id="6"/>
      </w:r>
      <w:r w:rsidR="003C3A7D" w:rsidRPr="00342405">
        <w:rPr>
          <w:rStyle w:val="FootnoteReference"/>
          <w:spacing w:val="2"/>
          <w:rtl/>
        </w:rPr>
        <w:t>)</w:t>
      </w:r>
      <w:r w:rsidRPr="00DE6A9D">
        <w:rPr>
          <w:b/>
          <w:bCs/>
          <w:spacing w:val="2"/>
          <w:rtl/>
        </w:rPr>
        <w:t xml:space="preserve"> ومعالجة جميع النقاط التي أُثيرت في هذه الملاحظات الختامية. وفي ضوء قرار الجمعية العامة </w:t>
      </w:r>
      <w:r w:rsidRPr="00DE6A9D">
        <w:rPr>
          <w:b/>
          <w:bCs/>
          <w:rtl/>
        </w:rPr>
        <w:t>68</w:t>
      </w:r>
      <w:r w:rsidRPr="00DE6A9D">
        <w:rPr>
          <w:rFonts w:ascii="Simplified Arabic"/>
          <w:b/>
          <w:bCs/>
          <w:spacing w:val="2"/>
          <w:rtl/>
        </w:rPr>
        <w:t>/</w:t>
      </w:r>
      <w:r w:rsidRPr="00DE6A9D">
        <w:rPr>
          <w:b/>
          <w:bCs/>
          <w:rtl/>
        </w:rPr>
        <w:t>268</w:t>
      </w:r>
      <w:r w:rsidR="00D73A4A" w:rsidRPr="00DE6A9D">
        <w:rPr>
          <w:rFonts w:ascii="Simplified Arabic"/>
          <w:b/>
          <w:bCs/>
          <w:spacing w:val="2"/>
          <w:rtl/>
        </w:rPr>
        <w:t xml:space="preserve"> </w:t>
      </w:r>
      <w:r w:rsidRPr="00DE6A9D">
        <w:rPr>
          <w:b/>
          <w:bCs/>
          <w:spacing w:val="2"/>
          <w:rtl/>
        </w:rPr>
        <w:t xml:space="preserve">تحث اللجنة الدولة الطرف على التقيد بالحد الأقصى لعدد الكلمات البالغ </w:t>
      </w:r>
      <w:r w:rsidRPr="00DE6A9D">
        <w:rPr>
          <w:b/>
          <w:bCs/>
          <w:rtl/>
        </w:rPr>
        <w:t>200</w:t>
      </w:r>
      <w:r w:rsidRPr="00DE6A9D">
        <w:rPr>
          <w:rFonts w:ascii="Simplified Arabic"/>
          <w:b/>
          <w:bCs/>
          <w:spacing w:val="2"/>
          <w:rtl/>
        </w:rPr>
        <w:t xml:space="preserve"> </w:t>
      </w:r>
      <w:r w:rsidRPr="00DE6A9D">
        <w:rPr>
          <w:b/>
          <w:bCs/>
          <w:rtl/>
        </w:rPr>
        <w:t>21</w:t>
      </w:r>
      <w:r w:rsidRPr="00DE6A9D">
        <w:rPr>
          <w:b/>
          <w:bCs/>
          <w:spacing w:val="2"/>
          <w:rtl/>
        </w:rPr>
        <w:t xml:space="preserve"> كلمة للتقارير الدورية و</w:t>
      </w:r>
      <w:r w:rsidRPr="00DE6A9D">
        <w:rPr>
          <w:b/>
          <w:bCs/>
          <w:rtl/>
        </w:rPr>
        <w:t>400</w:t>
      </w:r>
      <w:r w:rsidRPr="00DE6A9D">
        <w:rPr>
          <w:rFonts w:ascii="Simplified Arabic"/>
          <w:b/>
          <w:bCs/>
          <w:spacing w:val="2"/>
          <w:rtl/>
        </w:rPr>
        <w:t xml:space="preserve"> </w:t>
      </w:r>
      <w:r w:rsidRPr="00DE6A9D">
        <w:rPr>
          <w:b/>
          <w:bCs/>
          <w:rtl/>
        </w:rPr>
        <w:t>42</w:t>
      </w:r>
      <w:r w:rsidRPr="00DE6A9D">
        <w:rPr>
          <w:b/>
          <w:bCs/>
          <w:spacing w:val="2"/>
          <w:rtl/>
        </w:rPr>
        <w:t xml:space="preserve"> كلمة للوثيقة الأساسية الموحدة.</w:t>
      </w:r>
    </w:p>
    <w:p w14:paraId="638D8ADA" w14:textId="77777777" w:rsidR="001C3681" w:rsidRPr="005A2B3F" w:rsidRDefault="001C3681" w:rsidP="001C3681">
      <w:pPr>
        <w:jc w:val="center"/>
        <w:rPr>
          <w:sz w:val="22"/>
          <w:u w:val="single"/>
          <w:rtl/>
        </w:rPr>
      </w:pPr>
      <w:r w:rsidRPr="005A2B3F">
        <w:rPr>
          <w:sz w:val="22"/>
          <w:u w:val="single"/>
        </w:rPr>
        <w:tab/>
      </w:r>
      <w:r w:rsidRPr="005A2B3F">
        <w:rPr>
          <w:sz w:val="22"/>
          <w:u w:val="single"/>
        </w:rPr>
        <w:tab/>
      </w:r>
      <w:r w:rsidRPr="005A2B3F">
        <w:rPr>
          <w:sz w:val="22"/>
          <w:u w:val="single"/>
        </w:rPr>
        <w:tab/>
      </w:r>
    </w:p>
    <w:sectPr w:rsidR="001C3681" w:rsidRPr="005A2B3F" w:rsidSect="00E8025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2867E" w14:textId="77777777" w:rsidR="003E59D3" w:rsidRPr="002901D9" w:rsidRDefault="003E59D3" w:rsidP="007E37DC">
      <w:pPr>
        <w:spacing w:after="60" w:line="240" w:lineRule="auto"/>
        <w:ind w:left="57"/>
        <w:rPr>
          <w:i/>
          <w:iCs/>
        </w:rPr>
      </w:pPr>
      <w:r>
        <w:rPr>
          <w:rFonts w:hint="cs"/>
          <w:i/>
          <w:iCs/>
          <w:rtl/>
        </w:rPr>
        <w:t>الحواشي</w:t>
      </w:r>
    </w:p>
  </w:endnote>
  <w:endnote w:type="continuationSeparator" w:id="0">
    <w:p w14:paraId="5038CC65" w14:textId="77777777" w:rsidR="003E59D3" w:rsidRDefault="003E59D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F9630" w14:textId="6C621545" w:rsidR="004E631C" w:rsidRPr="004E631C" w:rsidRDefault="004E631C" w:rsidP="004E631C">
    <w:pPr>
      <w:pStyle w:val="Footer"/>
      <w:tabs>
        <w:tab w:val="right" w:pos="9638"/>
      </w:tabs>
      <w:rPr>
        <w:b/>
        <w:sz w:val="18"/>
        <w:lang w:val="en-US"/>
      </w:rPr>
    </w:pPr>
    <w:r>
      <w:rPr>
        <w:lang w:val="en-US"/>
      </w:rPr>
      <w:t>GE.22-27767</w:t>
    </w:r>
    <w:r>
      <w:rPr>
        <w:lang w:val="en-US"/>
      </w:rPr>
      <w:tab/>
    </w:r>
    <w:r w:rsidRPr="004E631C">
      <w:rPr>
        <w:b/>
        <w:sz w:val="18"/>
        <w:lang w:val="en-US"/>
      </w:rPr>
      <w:fldChar w:fldCharType="begin"/>
    </w:r>
    <w:r w:rsidRPr="004E631C">
      <w:rPr>
        <w:b/>
        <w:sz w:val="18"/>
        <w:lang w:val="en-US"/>
      </w:rPr>
      <w:instrText xml:space="preserve"> PAGE  \* MERGEFORMAT </w:instrText>
    </w:r>
    <w:r w:rsidRPr="004E631C">
      <w:rPr>
        <w:b/>
        <w:sz w:val="18"/>
        <w:lang w:val="en-US"/>
      </w:rPr>
      <w:fldChar w:fldCharType="separate"/>
    </w:r>
    <w:r w:rsidRPr="004E631C">
      <w:rPr>
        <w:b/>
        <w:noProof/>
        <w:sz w:val="18"/>
        <w:lang w:val="en-US"/>
      </w:rPr>
      <w:t>2</w:t>
    </w:r>
    <w:r w:rsidRPr="004E631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1DA78" w14:textId="1EB392E5" w:rsidR="006959B0" w:rsidRPr="004E631C" w:rsidRDefault="004E631C" w:rsidP="004E631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GE.22-27767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4AE21" w14:textId="6F03FA85" w:rsidR="00156D54" w:rsidRPr="004E631C" w:rsidRDefault="004E631C" w:rsidP="004E631C">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065C9B26" wp14:editId="367BA4A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22-27767 (A)</w:t>
    </w:r>
    <w:r>
      <w:rPr>
        <w:noProof/>
        <w:sz w:val="20"/>
        <w:lang w:val="en-US"/>
      </w:rPr>
      <w:drawing>
        <wp:anchor distT="0" distB="0" distL="114300" distR="114300" simplePos="0" relativeHeight="251659264" behindDoc="0" locked="0" layoutInCell="1" allowOverlap="1" wp14:anchorId="47D5DF24" wp14:editId="7D5EEA5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234BB" w14:textId="77777777" w:rsidR="003E59D3" w:rsidRPr="00CB28F9" w:rsidRDefault="003E59D3" w:rsidP="00BA2567">
      <w:pPr>
        <w:pStyle w:val="Footer"/>
        <w:bidi/>
        <w:spacing w:after="80" w:line="200" w:lineRule="exact"/>
        <w:ind w:left="680"/>
      </w:pPr>
      <w:r>
        <w:rPr>
          <w:rtl/>
        </w:rPr>
        <w:t>__________</w:t>
      </w:r>
    </w:p>
  </w:footnote>
  <w:footnote w:type="continuationSeparator" w:id="0">
    <w:p w14:paraId="778EDD99" w14:textId="77777777" w:rsidR="003E59D3" w:rsidRDefault="003E59D3" w:rsidP="00656392">
      <w:pPr>
        <w:spacing w:line="240" w:lineRule="auto"/>
      </w:pPr>
      <w:r>
        <w:continuationSeparator/>
      </w:r>
    </w:p>
  </w:footnote>
  <w:footnote w:id="1">
    <w:p w14:paraId="0CB7BBB6" w14:textId="1E7AE231" w:rsidR="001C3681" w:rsidRPr="004D346D" w:rsidRDefault="001C3681" w:rsidP="00FC2EBB">
      <w:pPr>
        <w:pStyle w:val="FootnoteText"/>
        <w:tabs>
          <w:tab w:val="clear" w:pos="1021"/>
        </w:tabs>
        <w:bidi/>
        <w:spacing w:after="60" w:line="280" w:lineRule="exact"/>
        <w:ind w:left="1247" w:right="1247" w:hanging="567"/>
        <w:jc w:val="lowKashida"/>
        <w:textDirection w:val="tbRlV"/>
        <w:rPr>
          <w:szCs w:val="18"/>
          <w:lang w:val="ar-SA" w:eastAsia="zh-TW" w:bidi="en-GB"/>
        </w:rPr>
      </w:pPr>
      <w:r w:rsidRPr="004D346D">
        <w:rPr>
          <w:rFonts w:ascii="Simplified Arabic"/>
          <w:szCs w:val="18"/>
        </w:rPr>
        <w:t>*</w:t>
      </w:r>
      <w:r w:rsidRPr="004D346D">
        <w:rPr>
          <w:szCs w:val="18"/>
          <w:rtl/>
        </w:rPr>
        <w:tab/>
        <w:t xml:space="preserve">اعتمدته اللجنة في دورتها </w:t>
      </w:r>
      <w:r w:rsidRPr="00DE6A9D">
        <w:rPr>
          <w:rtl/>
        </w:rPr>
        <w:t>108</w:t>
      </w:r>
      <w:r w:rsidRPr="004D346D">
        <w:rPr>
          <w:rFonts w:ascii="Simplified Arabic"/>
          <w:szCs w:val="18"/>
          <w:rtl/>
        </w:rPr>
        <w:t xml:space="preserve"> (</w:t>
      </w:r>
      <w:r w:rsidRPr="00DE6A9D">
        <w:rPr>
          <w:rtl/>
        </w:rPr>
        <w:t>14</w:t>
      </w:r>
      <w:r w:rsidRPr="004D346D">
        <w:rPr>
          <w:szCs w:val="18"/>
          <w:rtl/>
        </w:rPr>
        <w:t xml:space="preserve"> تشرين الثاني/نوفمبر - </w:t>
      </w:r>
      <w:r w:rsidRPr="00DE6A9D">
        <w:rPr>
          <w:rtl/>
        </w:rPr>
        <w:t>2</w:t>
      </w:r>
      <w:r w:rsidRPr="004D346D">
        <w:rPr>
          <w:szCs w:val="18"/>
          <w:rtl/>
        </w:rPr>
        <w:t xml:space="preserve"> كانون الأول/ديسمبر </w:t>
      </w:r>
      <w:r w:rsidRPr="00DE6A9D">
        <w:rPr>
          <w:rtl/>
        </w:rPr>
        <w:t>2022</w:t>
      </w:r>
      <w:r w:rsidRPr="004D346D">
        <w:rPr>
          <w:rFonts w:ascii="Simplified Arabic"/>
          <w:szCs w:val="18"/>
          <w:rtl/>
        </w:rPr>
        <w:t>)</w:t>
      </w:r>
    </w:p>
  </w:footnote>
  <w:footnote w:id="2">
    <w:p w14:paraId="696F7F5A" w14:textId="77777777" w:rsidR="00DE6A9D" w:rsidRPr="004D346D" w:rsidRDefault="00DE6A9D" w:rsidP="00DE6A9D">
      <w:pPr>
        <w:pStyle w:val="FootnoteText"/>
        <w:tabs>
          <w:tab w:val="clear" w:pos="1021"/>
        </w:tabs>
        <w:bidi/>
        <w:spacing w:after="60" w:line="280" w:lineRule="exact"/>
        <w:ind w:left="1247" w:right="1247" w:hanging="567"/>
        <w:jc w:val="lowKashida"/>
        <w:textDirection w:val="tbRlV"/>
        <w:rPr>
          <w:szCs w:val="18"/>
          <w:lang w:val="ar-SA" w:eastAsia="zh-TW" w:bidi="en-GB"/>
        </w:rPr>
      </w:pPr>
      <w:r w:rsidRPr="004D346D">
        <w:rPr>
          <w:rStyle w:val="FootnoteReference"/>
          <w:vertAlign w:val="baseline"/>
          <w:rtl/>
        </w:rPr>
        <w:t>(</w:t>
      </w:r>
      <w:r w:rsidRPr="00DE6A9D">
        <w:rPr>
          <w:rStyle w:val="FootnoteReference"/>
          <w:vertAlign w:val="baseline"/>
        </w:rPr>
        <w:footnoteRef/>
      </w:r>
      <w:r w:rsidRPr="004D346D">
        <w:rPr>
          <w:rStyle w:val="FootnoteReference"/>
          <w:vertAlign w:val="baseline"/>
          <w:rtl/>
        </w:rPr>
        <w:t>)</w:t>
      </w:r>
      <w:r w:rsidRPr="004D346D">
        <w:rPr>
          <w:szCs w:val="18"/>
          <w:rtl/>
        </w:rPr>
        <w:tab/>
      </w:r>
      <w:hyperlink r:id="rId1" w:history="1">
        <w:r w:rsidRPr="00DE6A9D">
          <w:rPr>
            <w:rStyle w:val="Hyperlink"/>
          </w:rPr>
          <w:t>CERD/C/GEO/9-10</w:t>
        </w:r>
      </w:hyperlink>
      <w:r w:rsidRPr="00DE6A9D">
        <w:rPr>
          <w:szCs w:val="18"/>
          <w:rtl/>
        </w:rPr>
        <w:t xml:space="preserve">. </w:t>
      </w:r>
    </w:p>
  </w:footnote>
  <w:footnote w:id="3">
    <w:p w14:paraId="4B35EFC6" w14:textId="77777777" w:rsidR="00DE6A9D" w:rsidRPr="004D346D" w:rsidRDefault="00DE6A9D" w:rsidP="00DE6A9D">
      <w:pPr>
        <w:pStyle w:val="FootnoteText"/>
        <w:tabs>
          <w:tab w:val="clear" w:pos="1021"/>
        </w:tabs>
        <w:bidi/>
        <w:spacing w:after="60" w:line="280" w:lineRule="exact"/>
        <w:ind w:left="1247" w:right="1247" w:hanging="567"/>
        <w:jc w:val="lowKashida"/>
        <w:textDirection w:val="tbRlV"/>
        <w:rPr>
          <w:szCs w:val="18"/>
          <w:lang w:val="ar-SA" w:eastAsia="zh-TW" w:bidi="en-GB"/>
        </w:rPr>
      </w:pPr>
      <w:r w:rsidRPr="004D346D">
        <w:rPr>
          <w:rStyle w:val="FootnoteReference"/>
          <w:vertAlign w:val="baseline"/>
          <w:rtl/>
        </w:rPr>
        <w:t>(</w:t>
      </w:r>
      <w:r w:rsidRPr="00DE6A9D">
        <w:rPr>
          <w:rStyle w:val="FootnoteReference"/>
          <w:vertAlign w:val="baseline"/>
        </w:rPr>
        <w:footnoteRef/>
      </w:r>
      <w:r w:rsidRPr="004D346D">
        <w:rPr>
          <w:rStyle w:val="FootnoteReference"/>
          <w:vertAlign w:val="baseline"/>
          <w:rtl/>
        </w:rPr>
        <w:t>)</w:t>
      </w:r>
      <w:r w:rsidRPr="004D346D">
        <w:rPr>
          <w:szCs w:val="18"/>
          <w:rtl/>
        </w:rPr>
        <w:tab/>
        <w:t xml:space="preserve">انظر </w:t>
      </w:r>
      <w:hyperlink r:id="rId2" w:history="1">
        <w:r w:rsidRPr="00DE6A9D">
          <w:rPr>
            <w:rStyle w:val="Hyperlink"/>
          </w:rPr>
          <w:t>CERD/C/SR.2941</w:t>
        </w:r>
      </w:hyperlink>
      <w:r w:rsidRPr="004D346D">
        <w:rPr>
          <w:szCs w:val="18"/>
          <w:rtl/>
        </w:rPr>
        <w:t xml:space="preserve"> و</w:t>
      </w:r>
      <w:hyperlink r:id="rId3" w:history="1">
        <w:r w:rsidRPr="00DE6A9D">
          <w:rPr>
            <w:rStyle w:val="Hyperlink"/>
          </w:rPr>
          <w:t>CERD/C/SR.2942</w:t>
        </w:r>
      </w:hyperlink>
      <w:r w:rsidRPr="00DE6A9D">
        <w:rPr>
          <w:szCs w:val="18"/>
          <w:rtl/>
        </w:rPr>
        <w:t xml:space="preserve">. </w:t>
      </w:r>
    </w:p>
  </w:footnote>
  <w:footnote w:id="4">
    <w:p w14:paraId="45EE97E2" w14:textId="77777777" w:rsidR="00DE6A9D" w:rsidRPr="004D346D" w:rsidRDefault="00DE6A9D" w:rsidP="00DE6A9D">
      <w:pPr>
        <w:pStyle w:val="FootnoteText"/>
        <w:tabs>
          <w:tab w:val="clear" w:pos="1021"/>
        </w:tabs>
        <w:bidi/>
        <w:spacing w:after="60" w:line="280" w:lineRule="exact"/>
        <w:ind w:left="1247" w:right="1247" w:hanging="567"/>
        <w:jc w:val="lowKashida"/>
        <w:textDirection w:val="tbRlV"/>
        <w:rPr>
          <w:szCs w:val="18"/>
          <w:lang w:eastAsia="zh-TW" w:bidi="en-GB"/>
        </w:rPr>
      </w:pPr>
      <w:r w:rsidRPr="004D346D">
        <w:rPr>
          <w:rStyle w:val="FootnoteReference"/>
          <w:vertAlign w:val="baseline"/>
          <w:rtl/>
        </w:rPr>
        <w:t>(</w:t>
      </w:r>
      <w:r w:rsidRPr="00DE6A9D">
        <w:rPr>
          <w:rStyle w:val="FootnoteReference"/>
          <w:vertAlign w:val="baseline"/>
        </w:rPr>
        <w:footnoteRef/>
      </w:r>
      <w:r w:rsidRPr="004D346D">
        <w:rPr>
          <w:rStyle w:val="FootnoteReference"/>
          <w:vertAlign w:val="baseline"/>
          <w:rtl/>
        </w:rPr>
        <w:t>)</w:t>
      </w:r>
      <w:r w:rsidRPr="004D346D">
        <w:rPr>
          <w:szCs w:val="18"/>
          <w:rtl/>
        </w:rPr>
        <w:tab/>
      </w:r>
      <w:hyperlink r:id="rId4" w:history="1">
        <w:r w:rsidRPr="00DE6A9D">
          <w:rPr>
            <w:rStyle w:val="Hyperlink"/>
          </w:rPr>
          <w:t>CERD/C/304/Add.120</w:t>
        </w:r>
      </w:hyperlink>
      <w:r w:rsidRPr="004D346D">
        <w:rPr>
          <w:szCs w:val="18"/>
          <w:rtl/>
        </w:rPr>
        <w:t xml:space="preserve">، الفقرة </w:t>
      </w:r>
      <w:r w:rsidRPr="00DE6A9D">
        <w:rPr>
          <w:rtl/>
        </w:rPr>
        <w:t>3</w:t>
      </w:r>
      <w:r w:rsidRPr="004D346D">
        <w:rPr>
          <w:szCs w:val="18"/>
          <w:rtl/>
        </w:rPr>
        <w:t>؛ و</w:t>
      </w:r>
      <w:hyperlink r:id="rId5" w:history="1">
        <w:r w:rsidRPr="00DE6A9D">
          <w:rPr>
            <w:rStyle w:val="Hyperlink"/>
          </w:rPr>
          <w:t>CERD/C/GEO/CO/3</w:t>
        </w:r>
      </w:hyperlink>
      <w:r w:rsidRPr="004D346D">
        <w:rPr>
          <w:szCs w:val="18"/>
          <w:rtl/>
        </w:rPr>
        <w:t xml:space="preserve">، الفقرة </w:t>
      </w:r>
      <w:r w:rsidRPr="00DE6A9D">
        <w:rPr>
          <w:rtl/>
        </w:rPr>
        <w:t>4</w:t>
      </w:r>
      <w:r w:rsidRPr="004D346D">
        <w:rPr>
          <w:szCs w:val="18"/>
          <w:rtl/>
        </w:rPr>
        <w:t>؛ و</w:t>
      </w:r>
      <w:hyperlink r:id="rId6" w:history="1">
        <w:r w:rsidRPr="00DE6A9D">
          <w:rPr>
            <w:rStyle w:val="Hyperlink"/>
          </w:rPr>
          <w:t>CERD/C/GEO/CO/4-5</w:t>
        </w:r>
      </w:hyperlink>
      <w:r w:rsidRPr="004D346D">
        <w:rPr>
          <w:szCs w:val="18"/>
          <w:rtl/>
        </w:rPr>
        <w:t xml:space="preserve">، الفقرة </w:t>
      </w:r>
      <w:r w:rsidRPr="00DE6A9D">
        <w:rPr>
          <w:rtl/>
        </w:rPr>
        <w:t>8</w:t>
      </w:r>
      <w:r w:rsidRPr="004D346D">
        <w:rPr>
          <w:szCs w:val="18"/>
          <w:rtl/>
        </w:rPr>
        <w:t>؛ و</w:t>
      </w:r>
      <w:hyperlink r:id="rId7" w:history="1">
        <w:r w:rsidRPr="00DE6A9D">
          <w:rPr>
            <w:rStyle w:val="Hyperlink"/>
          </w:rPr>
          <w:t>CERD/C/GEO/CO/6-8</w:t>
        </w:r>
      </w:hyperlink>
      <w:r w:rsidRPr="004D346D">
        <w:rPr>
          <w:szCs w:val="18"/>
          <w:rtl/>
        </w:rPr>
        <w:t xml:space="preserve">، الفقرة </w:t>
      </w:r>
      <w:r w:rsidRPr="00DE6A9D">
        <w:rPr>
          <w:rtl/>
        </w:rPr>
        <w:t>3</w:t>
      </w:r>
      <w:r w:rsidRPr="00DE6A9D">
        <w:rPr>
          <w:szCs w:val="18"/>
          <w:rtl/>
        </w:rPr>
        <w:t xml:space="preserve">. </w:t>
      </w:r>
    </w:p>
  </w:footnote>
  <w:footnote w:id="5">
    <w:p w14:paraId="7DFC234E" w14:textId="77777777" w:rsidR="00DE6A9D" w:rsidRPr="004D346D" w:rsidRDefault="00DE6A9D" w:rsidP="00DE6A9D">
      <w:pPr>
        <w:pStyle w:val="FootnoteText"/>
        <w:tabs>
          <w:tab w:val="clear" w:pos="1021"/>
        </w:tabs>
        <w:bidi/>
        <w:spacing w:after="60" w:line="280" w:lineRule="exact"/>
        <w:ind w:left="1247" w:right="1247" w:hanging="567"/>
        <w:jc w:val="lowKashida"/>
        <w:textDirection w:val="tbRlV"/>
        <w:rPr>
          <w:szCs w:val="18"/>
          <w:lang w:eastAsia="zh-TW" w:bidi="en-GB"/>
        </w:rPr>
      </w:pPr>
      <w:r w:rsidRPr="004D346D">
        <w:rPr>
          <w:rStyle w:val="FootnoteReference"/>
          <w:vertAlign w:val="baseline"/>
          <w:rtl/>
        </w:rPr>
        <w:t>(</w:t>
      </w:r>
      <w:r w:rsidRPr="00DE6A9D">
        <w:rPr>
          <w:rStyle w:val="FootnoteReference"/>
          <w:vertAlign w:val="baseline"/>
        </w:rPr>
        <w:footnoteRef/>
      </w:r>
      <w:r w:rsidRPr="004D346D">
        <w:rPr>
          <w:rStyle w:val="FootnoteReference"/>
          <w:vertAlign w:val="baseline"/>
          <w:rtl/>
        </w:rPr>
        <w:t>)</w:t>
      </w:r>
      <w:r w:rsidRPr="004D346D">
        <w:rPr>
          <w:szCs w:val="18"/>
          <w:rtl/>
        </w:rPr>
        <w:tab/>
      </w:r>
      <w:hyperlink r:id="rId8" w:history="1">
        <w:r w:rsidRPr="00DE6A9D">
          <w:rPr>
            <w:rStyle w:val="Hyperlink"/>
          </w:rPr>
          <w:t>HRI/GEN/2/Rev.6</w:t>
        </w:r>
      </w:hyperlink>
      <w:r w:rsidRPr="004D346D">
        <w:rPr>
          <w:szCs w:val="18"/>
          <w:rtl/>
        </w:rPr>
        <w:t xml:space="preserve">، الفصل الأول. </w:t>
      </w:r>
    </w:p>
  </w:footnote>
  <w:footnote w:id="6">
    <w:p w14:paraId="6CAFDA20" w14:textId="77777777" w:rsidR="00DE6A9D" w:rsidRPr="004D346D" w:rsidRDefault="00DE6A9D" w:rsidP="00DE6A9D">
      <w:pPr>
        <w:pStyle w:val="FootnoteText"/>
        <w:tabs>
          <w:tab w:val="clear" w:pos="1021"/>
        </w:tabs>
        <w:bidi/>
        <w:spacing w:after="60" w:line="280" w:lineRule="exact"/>
        <w:ind w:left="1247" w:right="1247" w:hanging="567"/>
        <w:jc w:val="lowKashida"/>
        <w:textDirection w:val="tbRlV"/>
        <w:rPr>
          <w:szCs w:val="18"/>
          <w:lang w:eastAsia="zh-TW" w:bidi="en-GB"/>
        </w:rPr>
      </w:pPr>
      <w:r w:rsidRPr="004D346D">
        <w:rPr>
          <w:rStyle w:val="FootnoteReference"/>
          <w:vertAlign w:val="baseline"/>
          <w:rtl/>
        </w:rPr>
        <w:t>(</w:t>
      </w:r>
      <w:r w:rsidRPr="00DE6A9D">
        <w:rPr>
          <w:rStyle w:val="FootnoteReference"/>
          <w:vertAlign w:val="baseline"/>
        </w:rPr>
        <w:footnoteRef/>
      </w:r>
      <w:r w:rsidRPr="004D346D">
        <w:rPr>
          <w:rStyle w:val="FootnoteReference"/>
          <w:vertAlign w:val="baseline"/>
          <w:rtl/>
        </w:rPr>
        <w:t>)</w:t>
      </w:r>
      <w:r w:rsidRPr="004D346D">
        <w:rPr>
          <w:szCs w:val="18"/>
          <w:rtl/>
        </w:rPr>
        <w:tab/>
      </w:r>
      <w:hyperlink r:id="rId9" w:history="1">
        <w:r w:rsidRPr="00DE6A9D">
          <w:rPr>
            <w:rStyle w:val="Hyperlink"/>
          </w:rPr>
          <w:t>CERD/C/2007/1</w:t>
        </w:r>
      </w:hyperlink>
      <w:r w:rsidRPr="00DE6A9D">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42D58" w14:textId="77B5EBC0" w:rsidR="004E631C" w:rsidRPr="004E631C" w:rsidRDefault="004E631C" w:rsidP="004E631C">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01C56">
      <w:t>CERD/C/GEO/CO/9-10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5396B" w14:textId="4F88A406" w:rsidR="004E631C" w:rsidRPr="004E631C" w:rsidRDefault="004E631C" w:rsidP="004E631C">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01C56">
      <w:t>CERD/C/GEO/CO/9-10</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25744692">
    <w:abstractNumId w:val="15"/>
  </w:num>
  <w:num w:numId="2" w16cid:durableId="935022498">
    <w:abstractNumId w:val="12"/>
  </w:num>
  <w:num w:numId="3" w16cid:durableId="839808958">
    <w:abstractNumId w:val="2"/>
  </w:num>
  <w:num w:numId="4" w16cid:durableId="927810125">
    <w:abstractNumId w:val="11"/>
  </w:num>
  <w:num w:numId="5" w16cid:durableId="777871508">
    <w:abstractNumId w:val="8"/>
  </w:num>
  <w:num w:numId="6" w16cid:durableId="665594573">
    <w:abstractNumId w:val="5"/>
  </w:num>
  <w:num w:numId="7" w16cid:durableId="348258861">
    <w:abstractNumId w:val="17"/>
  </w:num>
  <w:num w:numId="8" w16cid:durableId="491683550">
    <w:abstractNumId w:val="2"/>
  </w:num>
  <w:num w:numId="9" w16cid:durableId="722825065">
    <w:abstractNumId w:val="11"/>
  </w:num>
  <w:num w:numId="10" w16cid:durableId="753475860">
    <w:abstractNumId w:val="5"/>
  </w:num>
  <w:num w:numId="11" w16cid:durableId="1423918848">
    <w:abstractNumId w:val="17"/>
  </w:num>
  <w:num w:numId="12" w16cid:durableId="987368902">
    <w:abstractNumId w:val="4"/>
  </w:num>
  <w:num w:numId="13" w16cid:durableId="900554076">
    <w:abstractNumId w:val="3"/>
  </w:num>
  <w:num w:numId="14" w16cid:durableId="816343464">
    <w:abstractNumId w:val="16"/>
  </w:num>
  <w:num w:numId="15" w16cid:durableId="1542012475">
    <w:abstractNumId w:val="13"/>
  </w:num>
  <w:num w:numId="16" w16cid:durableId="1694460354">
    <w:abstractNumId w:val="1"/>
  </w:num>
  <w:num w:numId="17" w16cid:durableId="777992104">
    <w:abstractNumId w:val="14"/>
  </w:num>
  <w:num w:numId="18" w16cid:durableId="2032101254">
    <w:abstractNumId w:val="0"/>
  </w:num>
  <w:num w:numId="19" w16cid:durableId="1490706226">
    <w:abstractNumId w:val="9"/>
  </w:num>
  <w:num w:numId="20" w16cid:durableId="180180017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6613497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814218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37030600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21007210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782841988">
    <w:abstractNumId w:val="7"/>
  </w:num>
  <w:num w:numId="26" w16cid:durableId="55589428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956241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9D3"/>
    <w:rsid w:val="000076D5"/>
    <w:rsid w:val="00043663"/>
    <w:rsid w:val="000505CF"/>
    <w:rsid w:val="00061207"/>
    <w:rsid w:val="000A3229"/>
    <w:rsid w:val="000D5F55"/>
    <w:rsid w:val="000D701C"/>
    <w:rsid w:val="000E2A71"/>
    <w:rsid w:val="000F3FFA"/>
    <w:rsid w:val="00102BAC"/>
    <w:rsid w:val="00156D54"/>
    <w:rsid w:val="00160263"/>
    <w:rsid w:val="00160AF5"/>
    <w:rsid w:val="00181F96"/>
    <w:rsid w:val="00186F74"/>
    <w:rsid w:val="001A1371"/>
    <w:rsid w:val="001B346A"/>
    <w:rsid w:val="001C3681"/>
    <w:rsid w:val="001E1CAD"/>
    <w:rsid w:val="001E290D"/>
    <w:rsid w:val="002144FA"/>
    <w:rsid w:val="0023469A"/>
    <w:rsid w:val="00243C8A"/>
    <w:rsid w:val="0026057C"/>
    <w:rsid w:val="00263543"/>
    <w:rsid w:val="00267A0E"/>
    <w:rsid w:val="00276D72"/>
    <w:rsid w:val="002901D9"/>
    <w:rsid w:val="002976C2"/>
    <w:rsid w:val="002D2D42"/>
    <w:rsid w:val="002E002F"/>
    <w:rsid w:val="002F2AED"/>
    <w:rsid w:val="00301C56"/>
    <w:rsid w:val="0030692A"/>
    <w:rsid w:val="003110CF"/>
    <w:rsid w:val="003260FF"/>
    <w:rsid w:val="00326A5E"/>
    <w:rsid w:val="00342405"/>
    <w:rsid w:val="00343D95"/>
    <w:rsid w:val="00374341"/>
    <w:rsid w:val="0039392F"/>
    <w:rsid w:val="003A0060"/>
    <w:rsid w:val="003B1799"/>
    <w:rsid w:val="003C3A7D"/>
    <w:rsid w:val="003C67DF"/>
    <w:rsid w:val="003D1062"/>
    <w:rsid w:val="003E0437"/>
    <w:rsid w:val="003E59D3"/>
    <w:rsid w:val="003F2027"/>
    <w:rsid w:val="003F622D"/>
    <w:rsid w:val="004024CE"/>
    <w:rsid w:val="00420D7B"/>
    <w:rsid w:val="00450B21"/>
    <w:rsid w:val="00453B63"/>
    <w:rsid w:val="00455780"/>
    <w:rsid w:val="004714DA"/>
    <w:rsid w:val="004A14A6"/>
    <w:rsid w:val="004B0A1C"/>
    <w:rsid w:val="004D298E"/>
    <w:rsid w:val="004D346D"/>
    <w:rsid w:val="004E631C"/>
    <w:rsid w:val="00517322"/>
    <w:rsid w:val="00523BAE"/>
    <w:rsid w:val="00524810"/>
    <w:rsid w:val="005445EF"/>
    <w:rsid w:val="0054472E"/>
    <w:rsid w:val="005662A9"/>
    <w:rsid w:val="005827D4"/>
    <w:rsid w:val="0059622A"/>
    <w:rsid w:val="005A09E8"/>
    <w:rsid w:val="005B76B5"/>
    <w:rsid w:val="005C5878"/>
    <w:rsid w:val="005C7CEA"/>
    <w:rsid w:val="005D3C0B"/>
    <w:rsid w:val="005E5217"/>
    <w:rsid w:val="005F0FA4"/>
    <w:rsid w:val="005F30EE"/>
    <w:rsid w:val="0060473A"/>
    <w:rsid w:val="00640F98"/>
    <w:rsid w:val="00656392"/>
    <w:rsid w:val="00667A57"/>
    <w:rsid w:val="0068781D"/>
    <w:rsid w:val="006959B0"/>
    <w:rsid w:val="006B3E27"/>
    <w:rsid w:val="006B6507"/>
    <w:rsid w:val="006C104C"/>
    <w:rsid w:val="00733704"/>
    <w:rsid w:val="00735C55"/>
    <w:rsid w:val="0078071A"/>
    <w:rsid w:val="007D11E1"/>
    <w:rsid w:val="007E37DC"/>
    <w:rsid w:val="007E5F40"/>
    <w:rsid w:val="008357B8"/>
    <w:rsid w:val="0084280F"/>
    <w:rsid w:val="00852A9A"/>
    <w:rsid w:val="008B0BF2"/>
    <w:rsid w:val="008F49E1"/>
    <w:rsid w:val="00903458"/>
    <w:rsid w:val="0090370F"/>
    <w:rsid w:val="00912700"/>
    <w:rsid w:val="009269D2"/>
    <w:rsid w:val="00942135"/>
    <w:rsid w:val="009521B0"/>
    <w:rsid w:val="00983BB0"/>
    <w:rsid w:val="00994130"/>
    <w:rsid w:val="009A7E9F"/>
    <w:rsid w:val="009D1BA5"/>
    <w:rsid w:val="009E5018"/>
    <w:rsid w:val="00A12B37"/>
    <w:rsid w:val="00A144F8"/>
    <w:rsid w:val="00A14DA4"/>
    <w:rsid w:val="00A570BE"/>
    <w:rsid w:val="00A6176D"/>
    <w:rsid w:val="00A6367F"/>
    <w:rsid w:val="00A92800"/>
    <w:rsid w:val="00AB6758"/>
    <w:rsid w:val="00AD677C"/>
    <w:rsid w:val="00B13763"/>
    <w:rsid w:val="00B14382"/>
    <w:rsid w:val="00B176FF"/>
    <w:rsid w:val="00B2533C"/>
    <w:rsid w:val="00B44E12"/>
    <w:rsid w:val="00B455EE"/>
    <w:rsid w:val="00B477A4"/>
    <w:rsid w:val="00B54045"/>
    <w:rsid w:val="00BA2567"/>
    <w:rsid w:val="00C438D7"/>
    <w:rsid w:val="00C47A45"/>
    <w:rsid w:val="00C81B50"/>
    <w:rsid w:val="00CB28F9"/>
    <w:rsid w:val="00CD1801"/>
    <w:rsid w:val="00CF2B82"/>
    <w:rsid w:val="00D10EF1"/>
    <w:rsid w:val="00D12723"/>
    <w:rsid w:val="00D36601"/>
    <w:rsid w:val="00D37930"/>
    <w:rsid w:val="00D40286"/>
    <w:rsid w:val="00D42810"/>
    <w:rsid w:val="00D73A4A"/>
    <w:rsid w:val="00D81286"/>
    <w:rsid w:val="00D914A7"/>
    <w:rsid w:val="00D952E6"/>
    <w:rsid w:val="00DA5189"/>
    <w:rsid w:val="00DB2681"/>
    <w:rsid w:val="00DB79BF"/>
    <w:rsid w:val="00DC53EC"/>
    <w:rsid w:val="00DD0800"/>
    <w:rsid w:val="00DD13C3"/>
    <w:rsid w:val="00DD596E"/>
    <w:rsid w:val="00DD621E"/>
    <w:rsid w:val="00DE6A9D"/>
    <w:rsid w:val="00DF0575"/>
    <w:rsid w:val="00E3414D"/>
    <w:rsid w:val="00E6371A"/>
    <w:rsid w:val="00E70E04"/>
    <w:rsid w:val="00E76499"/>
    <w:rsid w:val="00E770EC"/>
    <w:rsid w:val="00E80257"/>
    <w:rsid w:val="00E93A15"/>
    <w:rsid w:val="00EB0D95"/>
    <w:rsid w:val="00EC05A7"/>
    <w:rsid w:val="00EC4B6B"/>
    <w:rsid w:val="00EE5596"/>
    <w:rsid w:val="00EF1EE5"/>
    <w:rsid w:val="00F33749"/>
    <w:rsid w:val="00F3795A"/>
    <w:rsid w:val="00F41E33"/>
    <w:rsid w:val="00F4361D"/>
    <w:rsid w:val="00F763B4"/>
    <w:rsid w:val="00F83E84"/>
    <w:rsid w:val="00F900C3"/>
    <w:rsid w:val="00FC2EBB"/>
    <w:rsid w:val="00FC5EEB"/>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E1D64A"/>
  <w15:docId w15:val="{8EC78530-2A74-42F9-A5EF-89BB22B0C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799"/>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B1799"/>
    <w:pPr>
      <w:bidi w:val="0"/>
      <w:outlineLvl w:val="0"/>
    </w:pPr>
  </w:style>
  <w:style w:type="paragraph" w:styleId="Heading2">
    <w:name w:val="heading 2"/>
    <w:basedOn w:val="Normal"/>
    <w:next w:val="Normal"/>
    <w:link w:val="Heading2Char"/>
    <w:uiPriority w:val="9"/>
    <w:unhideWhenUsed/>
    <w:rsid w:val="003B1799"/>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1799"/>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1799"/>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1799"/>
    <w:pPr>
      <w:keepNext/>
      <w:keepLines/>
      <w:spacing w:before="200"/>
      <w:outlineLvl w:val="4"/>
    </w:pPr>
    <w:rPr>
      <w:color w:val="243F60"/>
    </w:rPr>
  </w:style>
  <w:style w:type="paragraph" w:styleId="Heading6">
    <w:name w:val="heading 6"/>
    <w:basedOn w:val="Normal"/>
    <w:next w:val="Normal"/>
    <w:link w:val="Heading6Char"/>
    <w:uiPriority w:val="9"/>
    <w:unhideWhenUsed/>
    <w:rsid w:val="003B1799"/>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1799"/>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1799"/>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1799"/>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3B1799"/>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3B1799"/>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3B1799"/>
    <w:rPr>
      <w:szCs w:val="18"/>
      <w:vertAlign w:val="superscript"/>
    </w:rPr>
  </w:style>
  <w:style w:type="paragraph" w:customStyle="1" w:styleId="HMGA">
    <w:name w:val="_ H __M_GA"/>
    <w:basedOn w:val="Normal"/>
    <w:next w:val="SingleTxtGA"/>
    <w:qFormat/>
    <w:rsid w:val="003B1799"/>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1799"/>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1799"/>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1799"/>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1799"/>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1799"/>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1799"/>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1799"/>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1799"/>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1799"/>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1799"/>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1799"/>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1799"/>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1799"/>
    <w:pPr>
      <w:numPr>
        <w:numId w:val="5"/>
      </w:numPr>
      <w:bidi w:val="0"/>
    </w:pPr>
    <w:rPr>
      <w:lang w:val="en-US"/>
    </w:rPr>
  </w:style>
  <w:style w:type="paragraph" w:customStyle="1" w:styleId="Roman1GA">
    <w:name w:val="_Roman 1_GA"/>
    <w:basedOn w:val="Bullet1GA"/>
    <w:qFormat/>
    <w:rsid w:val="003B1799"/>
    <w:pPr>
      <w:numPr>
        <w:numId w:val="6"/>
      </w:numPr>
      <w:tabs>
        <w:tab w:val="clear" w:pos="2310"/>
        <w:tab w:val="left" w:pos="2486"/>
      </w:tabs>
      <w:ind w:left="2486" w:hanging="378"/>
    </w:pPr>
  </w:style>
  <w:style w:type="paragraph" w:customStyle="1" w:styleId="Roman2GA">
    <w:name w:val="_Roman 2_GA"/>
    <w:basedOn w:val="Bullet2GA"/>
    <w:qFormat/>
    <w:rsid w:val="003B1799"/>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1799"/>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1799"/>
    <w:rPr>
      <w:rFonts w:ascii="Times New Roman" w:eastAsia="PMingLiU" w:hAnsi="Times New Roman" w:cs="Simplified Arabic"/>
      <w:sz w:val="18"/>
      <w:szCs w:val="20"/>
      <w:lang w:val="en-GB"/>
    </w:rPr>
  </w:style>
  <w:style w:type="character" w:customStyle="1" w:styleId="EndtnoteReference">
    <w:name w:val="Endtnote Reference"/>
    <w:aliases w:val="1_GA"/>
    <w:qFormat/>
    <w:rsid w:val="003B1799"/>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1799"/>
    <w:pPr>
      <w:suppressAutoHyphens/>
      <w:bidi w:val="0"/>
      <w:spacing w:line="240" w:lineRule="auto"/>
    </w:pPr>
    <w:rPr>
      <w:sz w:val="16"/>
      <w:lang w:val="en-GB"/>
    </w:rPr>
  </w:style>
  <w:style w:type="character" w:customStyle="1" w:styleId="FooterChar">
    <w:name w:val="Footer Char"/>
    <w:aliases w:val="3_GA Char,3_G Char"/>
    <w:link w:val="Footer"/>
    <w:rsid w:val="003B1799"/>
    <w:rPr>
      <w:rFonts w:ascii="Times New Roman" w:eastAsia="PMingLiU" w:hAnsi="Times New Roman" w:cs="Simplified Arabic"/>
      <w:sz w:val="16"/>
      <w:lang w:val="en-GB"/>
    </w:rPr>
  </w:style>
  <w:style w:type="paragraph" w:customStyle="1" w:styleId="FootnoteText1">
    <w:name w:val="Footnote Text1"/>
    <w:aliases w:val="5_GA"/>
    <w:basedOn w:val="Normal"/>
    <w:qFormat/>
    <w:rsid w:val="003B1799"/>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1799"/>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3B1799"/>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B1799"/>
    <w:rPr>
      <w:rFonts w:ascii="Times New Roman" w:eastAsia="PMingLiU" w:hAnsi="Times New Roman" w:cs="Simplified Arabic"/>
      <w:lang w:val="en-GB"/>
    </w:rPr>
  </w:style>
  <w:style w:type="character" w:styleId="PageNumber">
    <w:name w:val="page number"/>
    <w:aliases w:val="7_GA,7_G"/>
    <w:qFormat/>
    <w:rsid w:val="003B1799"/>
    <w:rPr>
      <w:rFonts w:ascii="Times New Roman Bold" w:hAnsi="Times New Roman Bold"/>
      <w:b/>
      <w:i w:val="0"/>
      <w:sz w:val="18"/>
      <w:szCs w:val="18"/>
    </w:rPr>
  </w:style>
  <w:style w:type="paragraph" w:customStyle="1" w:styleId="XXLargeGA">
    <w:name w:val="XXLarge_GA"/>
    <w:basedOn w:val="Normal"/>
    <w:next w:val="SingleTxtGA"/>
    <w:qFormat/>
    <w:rsid w:val="003B1799"/>
    <w:pPr>
      <w:suppressAutoHyphens/>
      <w:spacing w:line="820" w:lineRule="exact"/>
    </w:pPr>
    <w:rPr>
      <w:spacing w:val="-8"/>
      <w:w w:val="96"/>
      <w:sz w:val="57"/>
      <w:szCs w:val="86"/>
      <w:lang w:val="en-GB"/>
    </w:rPr>
  </w:style>
  <w:style w:type="character" w:customStyle="1" w:styleId="Heading2Char">
    <w:name w:val="Heading 2 Char"/>
    <w:link w:val="Heading2"/>
    <w:uiPriority w:val="9"/>
    <w:rsid w:val="003B1799"/>
    <w:rPr>
      <w:rFonts w:ascii="Times New Roman" w:eastAsia="PMingLiU" w:hAnsi="Times New Roman" w:cs="Simplified Arabic"/>
      <w:b/>
      <w:bCs/>
      <w:color w:val="4F81BD"/>
      <w:sz w:val="26"/>
      <w:szCs w:val="26"/>
    </w:rPr>
  </w:style>
  <w:style w:type="character" w:styleId="BookTitle">
    <w:name w:val="Book Title"/>
    <w:uiPriority w:val="33"/>
    <w:rsid w:val="003B1799"/>
    <w:rPr>
      <w:b/>
      <w:bCs/>
      <w:smallCaps/>
      <w:spacing w:val="5"/>
    </w:rPr>
  </w:style>
  <w:style w:type="character" w:customStyle="1" w:styleId="Heading3Char">
    <w:name w:val="Heading 3 Char"/>
    <w:link w:val="Heading3"/>
    <w:uiPriority w:val="9"/>
    <w:rsid w:val="003B1799"/>
    <w:rPr>
      <w:rFonts w:ascii="Times New Roman" w:eastAsia="PMingLiU" w:hAnsi="Times New Roman" w:cs="Simplified Arabic"/>
      <w:b/>
      <w:bCs/>
      <w:color w:val="4F81BD"/>
      <w:sz w:val="20"/>
    </w:rPr>
  </w:style>
  <w:style w:type="character" w:customStyle="1" w:styleId="Heading4Char">
    <w:name w:val="Heading 4 Char"/>
    <w:link w:val="Heading4"/>
    <w:uiPriority w:val="9"/>
    <w:rsid w:val="003B1799"/>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3B1799"/>
    <w:rPr>
      <w:rFonts w:ascii="Times New Roman" w:eastAsia="PMingLiU" w:hAnsi="Times New Roman" w:cs="Simplified Arabic"/>
      <w:color w:val="243F60"/>
      <w:sz w:val="20"/>
    </w:rPr>
  </w:style>
  <w:style w:type="character" w:customStyle="1" w:styleId="Heading6Char">
    <w:name w:val="Heading 6 Char"/>
    <w:link w:val="Heading6"/>
    <w:uiPriority w:val="9"/>
    <w:rsid w:val="003B1799"/>
    <w:rPr>
      <w:rFonts w:ascii="Times New Roman" w:eastAsia="PMingLiU" w:hAnsi="Times New Roman" w:cs="Simplified Arabic"/>
      <w:i/>
      <w:iCs/>
      <w:color w:val="243F60"/>
      <w:sz w:val="20"/>
    </w:rPr>
  </w:style>
  <w:style w:type="character" w:customStyle="1" w:styleId="Heading7Char">
    <w:name w:val="Heading 7 Char"/>
    <w:link w:val="Heading7"/>
    <w:uiPriority w:val="9"/>
    <w:rsid w:val="003B1799"/>
    <w:rPr>
      <w:rFonts w:ascii="Times New Roman" w:eastAsia="PMingLiU" w:hAnsi="Times New Roman" w:cs="Simplified Arabic"/>
      <w:i/>
      <w:iCs/>
      <w:color w:val="404040"/>
      <w:sz w:val="20"/>
    </w:rPr>
  </w:style>
  <w:style w:type="character" w:customStyle="1" w:styleId="Heading8Char">
    <w:name w:val="Heading 8 Char"/>
    <w:link w:val="Heading8"/>
    <w:uiPriority w:val="9"/>
    <w:rsid w:val="003B1799"/>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3B1799"/>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B1799"/>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1799"/>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B1799"/>
    <w:pPr>
      <w:numPr>
        <w:ilvl w:val="1"/>
      </w:numPr>
    </w:pPr>
    <w:rPr>
      <w:i/>
      <w:iCs/>
      <w:color w:val="4F81BD"/>
      <w:spacing w:val="15"/>
      <w:sz w:val="24"/>
      <w:szCs w:val="24"/>
    </w:rPr>
  </w:style>
  <w:style w:type="character" w:customStyle="1" w:styleId="SubtitleChar">
    <w:name w:val="Subtitle Char"/>
    <w:link w:val="Subtitle"/>
    <w:uiPriority w:val="11"/>
    <w:rsid w:val="003B1799"/>
    <w:rPr>
      <w:rFonts w:ascii="Times New Roman" w:eastAsia="PMingLiU" w:hAnsi="Times New Roman" w:cs="Simplified Arabic"/>
      <w:i/>
      <w:iCs/>
      <w:color w:val="4F81BD"/>
      <w:spacing w:val="15"/>
      <w:sz w:val="24"/>
      <w:szCs w:val="24"/>
    </w:rPr>
  </w:style>
  <w:style w:type="character" w:styleId="SubtleEmphasis">
    <w:name w:val="Subtle Emphasis"/>
    <w:uiPriority w:val="19"/>
    <w:rsid w:val="003B1799"/>
    <w:rPr>
      <w:i/>
      <w:iCs/>
      <w:color w:val="808080"/>
    </w:rPr>
  </w:style>
  <w:style w:type="table" w:styleId="ColorfulGrid-Accent6">
    <w:name w:val="Colorful Grid Accent 6"/>
    <w:basedOn w:val="TableNormal"/>
    <w:uiPriority w:val="73"/>
    <w:rsid w:val="003B1799"/>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B1799"/>
    <w:rPr>
      <w:i/>
      <w:iCs/>
    </w:rPr>
  </w:style>
  <w:style w:type="character" w:styleId="IntenseEmphasis">
    <w:name w:val="Intense Emphasis"/>
    <w:uiPriority w:val="21"/>
    <w:rsid w:val="003B1799"/>
    <w:rPr>
      <w:b/>
      <w:bCs/>
      <w:i/>
      <w:iCs/>
      <w:color w:val="4F81BD"/>
    </w:rPr>
  </w:style>
  <w:style w:type="character" w:styleId="Strong">
    <w:name w:val="Strong"/>
    <w:uiPriority w:val="22"/>
    <w:rsid w:val="003B1799"/>
    <w:rPr>
      <w:b/>
      <w:bCs/>
    </w:rPr>
  </w:style>
  <w:style w:type="paragraph" w:styleId="Quote">
    <w:name w:val="Quote"/>
    <w:basedOn w:val="Normal"/>
    <w:next w:val="Normal"/>
    <w:link w:val="QuoteChar"/>
    <w:uiPriority w:val="29"/>
    <w:rsid w:val="003B1799"/>
    <w:rPr>
      <w:i/>
      <w:iCs/>
      <w:color w:val="000000"/>
    </w:rPr>
  </w:style>
  <w:style w:type="character" w:customStyle="1" w:styleId="QuoteChar">
    <w:name w:val="Quote Char"/>
    <w:link w:val="Quote"/>
    <w:uiPriority w:val="29"/>
    <w:rsid w:val="003B1799"/>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3B1799"/>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B1799"/>
    <w:rPr>
      <w:rFonts w:ascii="Times New Roman" w:eastAsia="PMingLiU" w:hAnsi="Times New Roman" w:cs="Simplified Arabic"/>
      <w:b/>
      <w:bCs/>
      <w:i/>
      <w:iCs/>
      <w:color w:val="4F81BD"/>
      <w:sz w:val="20"/>
    </w:rPr>
  </w:style>
  <w:style w:type="character" w:styleId="SubtleReference">
    <w:name w:val="Subtle Reference"/>
    <w:uiPriority w:val="31"/>
    <w:rsid w:val="003B1799"/>
    <w:rPr>
      <w:smallCaps/>
      <w:color w:val="C0504D"/>
      <w:u w:val="single"/>
    </w:rPr>
  </w:style>
  <w:style w:type="character" w:styleId="IntenseReference">
    <w:name w:val="Intense Reference"/>
    <w:uiPriority w:val="32"/>
    <w:rsid w:val="003B1799"/>
    <w:rPr>
      <w:b/>
      <w:bCs/>
      <w:smallCaps/>
      <w:color w:val="C0504D"/>
      <w:spacing w:val="5"/>
      <w:u w:val="single"/>
    </w:rPr>
  </w:style>
  <w:style w:type="paragraph" w:styleId="ListParagraph">
    <w:name w:val="List Paragraph"/>
    <w:basedOn w:val="Normal"/>
    <w:uiPriority w:val="34"/>
    <w:rsid w:val="003B1799"/>
    <w:pPr>
      <w:ind w:left="720"/>
      <w:contextualSpacing/>
    </w:pPr>
  </w:style>
  <w:style w:type="table" w:styleId="MediumShading1-Accent4">
    <w:name w:val="Medium Shading 1 Accent 4"/>
    <w:basedOn w:val="TableNormal"/>
    <w:uiPriority w:val="63"/>
    <w:rsid w:val="003B1799"/>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3B1799"/>
    <w:rPr>
      <w:rFonts w:eastAsia="MS Mincho"/>
      <w:sz w:val="18"/>
      <w:vertAlign w:val="superscript"/>
    </w:rPr>
  </w:style>
  <w:style w:type="table" w:styleId="TableGrid">
    <w:name w:val="Table Grid"/>
    <w:basedOn w:val="TableNormal"/>
    <w:rsid w:val="003B1799"/>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1799"/>
    <w:pPr>
      <w:spacing w:line="240" w:lineRule="auto"/>
    </w:pPr>
    <w:rPr>
      <w:sz w:val="16"/>
      <w:szCs w:val="16"/>
    </w:rPr>
  </w:style>
  <w:style w:type="character" w:customStyle="1" w:styleId="BalloonTextChar">
    <w:name w:val="Balloon Text Char"/>
    <w:link w:val="BalloonText"/>
    <w:uiPriority w:val="99"/>
    <w:semiHidden/>
    <w:rsid w:val="003B1799"/>
    <w:rPr>
      <w:rFonts w:ascii="Times New Roman" w:eastAsia="PMingLiU" w:hAnsi="Times New Roman" w:cs="Simplified Arabic"/>
      <w:sz w:val="16"/>
      <w:szCs w:val="16"/>
    </w:rPr>
  </w:style>
  <w:style w:type="character" w:styleId="Hyperlink">
    <w:name w:val="Hyperlink"/>
    <w:uiPriority w:val="99"/>
    <w:unhideWhenUsed/>
    <w:rsid w:val="003B1799"/>
    <w:rPr>
      <w:color w:val="0000FF"/>
      <w:u w:val="none"/>
    </w:rPr>
  </w:style>
  <w:style w:type="paragraph" w:styleId="TOC1">
    <w:name w:val="toc 1"/>
    <w:basedOn w:val="Normal"/>
    <w:link w:val="TOC1Char"/>
    <w:autoRedefine/>
    <w:uiPriority w:val="39"/>
    <w:unhideWhenUsed/>
    <w:rsid w:val="003B1799"/>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1799"/>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1799"/>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1799"/>
    <w:rPr>
      <w:rFonts w:eastAsia="DengXian"/>
      <w:color w:val="auto"/>
      <w:sz w:val="20"/>
      <w:szCs w:val="20"/>
      <w:u w:val="none"/>
      <w:lang w:eastAsia="zh-CN" w:bidi="ar-EG"/>
    </w:rPr>
  </w:style>
  <w:style w:type="paragraph" w:styleId="TOC4">
    <w:name w:val="toc 4"/>
    <w:basedOn w:val="Normal"/>
    <w:link w:val="TOC4Char"/>
    <w:autoRedefine/>
    <w:uiPriority w:val="39"/>
    <w:unhideWhenUsed/>
    <w:rsid w:val="003B1799"/>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1799"/>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1799"/>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3B1799"/>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3B1799"/>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1799"/>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3B1799"/>
    <w:rPr>
      <w:color w:val="605E5C"/>
      <w:shd w:val="clear" w:color="auto" w:fill="E1DFDD"/>
    </w:rPr>
  </w:style>
  <w:style w:type="character" w:customStyle="1" w:styleId="TOC1Char">
    <w:name w:val="TOC 1 Char"/>
    <w:basedOn w:val="DefaultParagraphFont"/>
    <w:link w:val="TOC1"/>
    <w:uiPriority w:val="39"/>
    <w:rsid w:val="003B1799"/>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B1799"/>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B1799"/>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B1799"/>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B1799"/>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B1799"/>
    <w:rPr>
      <w:rFonts w:ascii="Times New Roman" w:eastAsia="PMingLiU" w:hAnsi="Times New Roman" w:cs="Simplified Arabic"/>
      <w:sz w:val="20"/>
      <w:szCs w:val="20"/>
      <w:lang w:val="en-GB"/>
    </w:rPr>
  </w:style>
  <w:style w:type="paragraph" w:customStyle="1" w:styleId="SessionDate">
    <w:name w:val="Session_Date"/>
    <w:basedOn w:val="Normal"/>
    <w:qFormat/>
    <w:rsid w:val="003B1799"/>
    <w:pPr>
      <w:spacing w:before="240" w:after="240" w:line="460" w:lineRule="exact"/>
      <w:ind w:left="1247"/>
    </w:pPr>
    <w:rPr>
      <w:b/>
      <w:bCs/>
      <w:sz w:val="32"/>
      <w:szCs w:val="44"/>
    </w:rPr>
  </w:style>
  <w:style w:type="paragraph" w:customStyle="1" w:styleId="SessionNumber">
    <w:name w:val="Session_Number"/>
    <w:basedOn w:val="Normal"/>
    <w:qFormat/>
    <w:rsid w:val="003B1799"/>
    <w:pPr>
      <w:spacing w:line="480" w:lineRule="exact"/>
      <w:ind w:left="1247"/>
    </w:pPr>
    <w:rPr>
      <w:b/>
      <w:bCs/>
      <w:sz w:val="28"/>
      <w:szCs w:val="38"/>
    </w:rPr>
  </w:style>
  <w:style w:type="paragraph" w:customStyle="1" w:styleId="CityandYear">
    <w:name w:val="City and Year"/>
    <w:basedOn w:val="SingleTxtGA"/>
    <w:qFormat/>
    <w:rsid w:val="003B1799"/>
    <w:pPr>
      <w:spacing w:line="480" w:lineRule="exact"/>
    </w:pPr>
    <w:rPr>
      <w:b/>
      <w:bCs/>
      <w:sz w:val="30"/>
      <w:szCs w:val="38"/>
      <w:lang w:eastAsia="ar-SA"/>
    </w:rPr>
  </w:style>
  <w:style w:type="paragraph" w:customStyle="1" w:styleId="NormalA">
    <w:name w:val="Normal_A"/>
    <w:basedOn w:val="Normal"/>
    <w:qFormat/>
    <w:rsid w:val="003B1799"/>
  </w:style>
  <w:style w:type="paragraph" w:customStyle="1" w:styleId="H1G">
    <w:name w:val="_ H_1_G"/>
    <w:basedOn w:val="Normal"/>
    <w:next w:val="Normal"/>
    <w:qFormat/>
    <w:rsid w:val="003B1799"/>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3B1799"/>
    <w:pPr>
      <w:suppressAutoHyphens/>
      <w:bidi w:val="0"/>
      <w:spacing w:after="120"/>
      <w:ind w:left="1134" w:right="1134"/>
      <w:jc w:val="both"/>
    </w:pPr>
    <w:rPr>
      <w:szCs w:val="20"/>
      <w:lang w:val="en-GB"/>
    </w:rPr>
  </w:style>
  <w:style w:type="paragraph" w:customStyle="1" w:styleId="HChG">
    <w:name w:val="_ H _Ch_G"/>
    <w:basedOn w:val="Normal"/>
    <w:next w:val="Normal"/>
    <w:qFormat/>
    <w:rsid w:val="003B1799"/>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3B1799"/>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3B1799"/>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3B1799"/>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1799"/>
    <w:rPr>
      <w:sz w:val="44"/>
      <w:szCs w:val="44"/>
      <w:lang w:val="en-US" w:bidi="ar-DZ"/>
    </w:rPr>
  </w:style>
  <w:style w:type="paragraph" w:customStyle="1" w:styleId="FootnoteGA0">
    <w:name w:val="Footnote_GA"/>
    <w:basedOn w:val="Normal"/>
    <w:qFormat/>
    <w:rsid w:val="003B1799"/>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3B1799"/>
    <w:pPr>
      <w:keepNext/>
      <w:keepLines/>
      <w:spacing w:after="120" w:line="400" w:lineRule="exact"/>
      <w:outlineLvl w:val="0"/>
    </w:pPr>
    <w:rPr>
      <w:b/>
      <w:bCs/>
      <w:kern w:val="14"/>
      <w:sz w:val="24"/>
      <w:szCs w:val="32"/>
    </w:rPr>
  </w:style>
  <w:style w:type="paragraph" w:customStyle="1" w:styleId="HCh">
    <w:name w:val="_ H _Ch"/>
    <w:basedOn w:val="H1"/>
    <w:next w:val="SingleTxt"/>
    <w:qFormat/>
    <w:rsid w:val="003B1799"/>
    <w:pPr>
      <w:spacing w:line="440" w:lineRule="exact"/>
    </w:pPr>
    <w:rPr>
      <w:spacing w:val="-2"/>
      <w:sz w:val="28"/>
      <w:szCs w:val="36"/>
    </w:rPr>
  </w:style>
  <w:style w:type="character" w:styleId="CommentReference">
    <w:name w:val="annotation reference"/>
    <w:uiPriority w:val="99"/>
    <w:semiHidden/>
    <w:rsid w:val="003B1799"/>
    <w:rPr>
      <w:sz w:val="6"/>
      <w:szCs w:val="9"/>
    </w:rPr>
  </w:style>
  <w:style w:type="paragraph" w:customStyle="1" w:styleId="HM">
    <w:name w:val="_ H __M"/>
    <w:basedOn w:val="HCh"/>
    <w:next w:val="Normal"/>
    <w:qFormat/>
    <w:rsid w:val="003B1799"/>
    <w:pPr>
      <w:suppressAutoHyphens/>
      <w:spacing w:line="520" w:lineRule="exact"/>
    </w:pPr>
    <w:rPr>
      <w:spacing w:val="-3"/>
      <w:sz w:val="34"/>
      <w:szCs w:val="48"/>
    </w:rPr>
  </w:style>
  <w:style w:type="paragraph" w:customStyle="1" w:styleId="SingleTxt">
    <w:name w:val="__Single Txt"/>
    <w:basedOn w:val="Normal"/>
    <w:qFormat/>
    <w:rsid w:val="003B1799"/>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3B1799"/>
    <w:pPr>
      <w:suppressAutoHyphens/>
      <w:spacing w:line="360" w:lineRule="exact"/>
      <w:outlineLvl w:val="1"/>
    </w:pPr>
    <w:rPr>
      <w:spacing w:val="2"/>
      <w:sz w:val="20"/>
      <w:szCs w:val="28"/>
    </w:rPr>
  </w:style>
  <w:style w:type="paragraph" w:customStyle="1" w:styleId="H4">
    <w:name w:val="_ H_4"/>
    <w:basedOn w:val="Normal"/>
    <w:next w:val="Normal"/>
    <w:qFormat/>
    <w:rsid w:val="003B1799"/>
    <w:pPr>
      <w:keepNext/>
      <w:keepLines/>
      <w:spacing w:after="120" w:line="360" w:lineRule="exact"/>
      <w:outlineLvl w:val="3"/>
    </w:pPr>
    <w:rPr>
      <w:i/>
      <w:iCs/>
      <w:kern w:val="14"/>
      <w:szCs w:val="28"/>
    </w:rPr>
  </w:style>
  <w:style w:type="paragraph" w:customStyle="1" w:styleId="H56">
    <w:name w:val="_ H_5/6"/>
    <w:basedOn w:val="Normal"/>
    <w:next w:val="Normal"/>
    <w:qFormat/>
    <w:rsid w:val="003B1799"/>
    <w:pPr>
      <w:keepNext/>
      <w:keepLines/>
      <w:spacing w:after="120" w:line="360" w:lineRule="exact"/>
      <w:outlineLvl w:val="4"/>
    </w:pPr>
    <w:rPr>
      <w:kern w:val="14"/>
      <w:szCs w:val="28"/>
    </w:rPr>
  </w:style>
  <w:style w:type="paragraph" w:customStyle="1" w:styleId="DualTxt">
    <w:name w:val="__Dual Txt"/>
    <w:basedOn w:val="Normal"/>
    <w:qFormat/>
    <w:rsid w:val="003B1799"/>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3B1799"/>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3B1799"/>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3B1799"/>
    <w:pPr>
      <w:spacing w:after="120" w:line="440" w:lineRule="exact"/>
      <w:jc w:val="center"/>
    </w:pPr>
    <w:rPr>
      <w:b/>
      <w:bCs/>
      <w:sz w:val="25"/>
      <w:szCs w:val="38"/>
    </w:rPr>
  </w:style>
  <w:style w:type="paragraph" w:customStyle="1" w:styleId="JH1">
    <w:name w:val="J_H_1"/>
    <w:basedOn w:val="JCH"/>
    <w:qFormat/>
    <w:rsid w:val="003B1799"/>
    <w:pPr>
      <w:spacing w:line="420" w:lineRule="exact"/>
    </w:pPr>
    <w:rPr>
      <w:sz w:val="23"/>
      <w:szCs w:val="34"/>
    </w:rPr>
  </w:style>
  <w:style w:type="paragraph" w:customStyle="1" w:styleId="JH2">
    <w:name w:val="J_H_2"/>
    <w:basedOn w:val="JH1"/>
    <w:qFormat/>
    <w:rsid w:val="003B1799"/>
    <w:pPr>
      <w:spacing w:line="400" w:lineRule="exact"/>
    </w:pPr>
    <w:rPr>
      <w:sz w:val="20"/>
      <w:szCs w:val="30"/>
    </w:rPr>
  </w:style>
  <w:style w:type="paragraph" w:customStyle="1" w:styleId="JSmall">
    <w:name w:val="J_Small"/>
    <w:basedOn w:val="JSingleTxt"/>
    <w:next w:val="JSingleTxt"/>
    <w:qFormat/>
    <w:rsid w:val="003B179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3B1799"/>
    <w:pPr>
      <w:tabs>
        <w:tab w:val="right" w:leader="dot" w:pos="360"/>
      </w:tabs>
      <w:spacing w:line="310" w:lineRule="exact"/>
      <w:jc w:val="right"/>
    </w:pPr>
    <w:rPr>
      <w:spacing w:val="5"/>
      <w:w w:val="104"/>
      <w:kern w:val="14"/>
      <w:sz w:val="17"/>
      <w:szCs w:val="25"/>
    </w:rPr>
  </w:style>
  <w:style w:type="character" w:styleId="LineNumber">
    <w:name w:val="line number"/>
    <w:qFormat/>
    <w:rsid w:val="003B1799"/>
    <w:rPr>
      <w:sz w:val="14"/>
      <w:szCs w:val="16"/>
    </w:rPr>
  </w:style>
  <w:style w:type="paragraph" w:customStyle="1" w:styleId="SmallX">
    <w:name w:val="SmallX"/>
    <w:basedOn w:val="Small"/>
    <w:next w:val="Normal"/>
    <w:qFormat/>
    <w:rsid w:val="003B1799"/>
    <w:pPr>
      <w:spacing w:line="240" w:lineRule="exact"/>
    </w:pPr>
    <w:rPr>
      <w:spacing w:val="6"/>
      <w:w w:val="106"/>
      <w:sz w:val="14"/>
      <w:szCs w:val="21"/>
    </w:rPr>
  </w:style>
  <w:style w:type="paragraph" w:customStyle="1" w:styleId="XLarge">
    <w:name w:val="XLarge"/>
    <w:basedOn w:val="HM"/>
    <w:qFormat/>
    <w:rsid w:val="003B179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B1799"/>
    <w:pPr>
      <w:spacing w:line="820" w:lineRule="exact"/>
    </w:pPr>
    <w:rPr>
      <w:spacing w:val="-8"/>
      <w:w w:val="96"/>
      <w:sz w:val="57"/>
      <w:szCs w:val="86"/>
    </w:rPr>
  </w:style>
  <w:style w:type="paragraph" w:customStyle="1" w:styleId="Distribution">
    <w:name w:val="Distribution"/>
    <w:basedOn w:val="Normal"/>
    <w:next w:val="Normal"/>
    <w:qFormat/>
    <w:rsid w:val="003B1799"/>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3B1799"/>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3B1799"/>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3B1799"/>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3B1799"/>
    <w:pPr>
      <w:tabs>
        <w:tab w:val="left" w:pos="662"/>
        <w:tab w:val="left" w:pos="1267"/>
        <w:tab w:val="left" w:pos="1987"/>
        <w:tab w:val="left" w:pos="2650"/>
      </w:tabs>
      <w:spacing w:after="0"/>
      <w:ind w:left="662" w:hanging="662"/>
    </w:pPr>
  </w:style>
  <w:style w:type="paragraph" w:customStyle="1" w:styleId="Committee">
    <w:name w:val="Committee"/>
    <w:basedOn w:val="H1"/>
    <w:qFormat/>
    <w:rsid w:val="003B1799"/>
    <w:pPr>
      <w:tabs>
        <w:tab w:val="left" w:pos="662"/>
        <w:tab w:val="left" w:pos="1267"/>
        <w:tab w:val="left" w:pos="1987"/>
        <w:tab w:val="left" w:pos="2650"/>
      </w:tabs>
      <w:ind w:right="1264"/>
    </w:pPr>
  </w:style>
  <w:style w:type="paragraph" w:customStyle="1" w:styleId="AgendaItemNormal">
    <w:name w:val="Agenda_Item_Normal"/>
    <w:next w:val="Normal"/>
    <w:qFormat/>
    <w:rsid w:val="003B1799"/>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3B1799"/>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3B179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3B179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3B179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3B1799"/>
    <w:rPr>
      <w:i w:val="0"/>
      <w:color w:val="0000FF"/>
      <w:u w:val="none"/>
    </w:rPr>
  </w:style>
  <w:style w:type="paragraph" w:customStyle="1" w:styleId="Bullet1">
    <w:name w:val="Bullet 1"/>
    <w:basedOn w:val="Normal"/>
    <w:qFormat/>
    <w:rsid w:val="003B1799"/>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3B1799"/>
    <w:pPr>
      <w:numPr>
        <w:numId w:val="14"/>
      </w:numPr>
      <w:spacing w:after="120" w:line="360" w:lineRule="exact"/>
      <w:ind w:right="1264"/>
    </w:pPr>
    <w:rPr>
      <w:kern w:val="14"/>
      <w:szCs w:val="28"/>
    </w:rPr>
  </w:style>
  <w:style w:type="paragraph" w:customStyle="1" w:styleId="Bullet3">
    <w:name w:val="Bullet 3"/>
    <w:basedOn w:val="SingleTxt"/>
    <w:qFormat/>
    <w:rsid w:val="003B1799"/>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3B1799"/>
    <w:pPr>
      <w:ind w:right="5760"/>
      <w:outlineLvl w:val="1"/>
    </w:pPr>
    <w:rPr>
      <w:spacing w:val="2"/>
      <w:sz w:val="20"/>
      <w:szCs w:val="28"/>
    </w:rPr>
  </w:style>
  <w:style w:type="paragraph" w:customStyle="1" w:styleId="STitleM">
    <w:name w:val="S_Title_M"/>
    <w:basedOn w:val="Normal"/>
    <w:next w:val="Normal"/>
    <w:qFormat/>
    <w:rsid w:val="003B1799"/>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3B1799"/>
    <w:pPr>
      <w:spacing w:line="600" w:lineRule="exact"/>
      <w:ind w:left="1267" w:right="1267"/>
    </w:pPr>
    <w:rPr>
      <w:w w:val="103"/>
      <w:sz w:val="60"/>
      <w:szCs w:val="60"/>
    </w:rPr>
  </w:style>
  <w:style w:type="paragraph" w:customStyle="1" w:styleId="STitleL">
    <w:name w:val="S_Title_L"/>
    <w:basedOn w:val="XLarge"/>
    <w:next w:val="Normal"/>
    <w:qFormat/>
    <w:rsid w:val="003B1799"/>
    <w:rPr>
      <w:spacing w:val="-8"/>
      <w:w w:val="96"/>
      <w:sz w:val="57"/>
    </w:rPr>
  </w:style>
  <w:style w:type="paragraph" w:styleId="CommentText">
    <w:name w:val="annotation text"/>
    <w:basedOn w:val="Normal"/>
    <w:link w:val="CommentTextChar"/>
    <w:uiPriority w:val="99"/>
    <w:semiHidden/>
    <w:unhideWhenUsed/>
    <w:rsid w:val="003B1799"/>
    <w:pPr>
      <w:spacing w:line="240" w:lineRule="auto"/>
    </w:pPr>
    <w:rPr>
      <w:kern w:val="14"/>
    </w:rPr>
  </w:style>
  <w:style w:type="character" w:customStyle="1" w:styleId="CommentTextChar">
    <w:name w:val="Comment Text Char"/>
    <w:basedOn w:val="DefaultParagraphFont"/>
    <w:link w:val="CommentText"/>
    <w:uiPriority w:val="99"/>
    <w:semiHidden/>
    <w:rsid w:val="003B1799"/>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3B1799"/>
    <w:rPr>
      <w:b/>
      <w:bCs/>
    </w:rPr>
  </w:style>
  <w:style w:type="character" w:customStyle="1" w:styleId="CommentSubjectChar">
    <w:name w:val="Comment Subject Char"/>
    <w:basedOn w:val="CommentTextChar"/>
    <w:link w:val="CommentSubject"/>
    <w:uiPriority w:val="99"/>
    <w:semiHidden/>
    <w:rsid w:val="003B1799"/>
    <w:rPr>
      <w:rFonts w:ascii="Times New Roman" w:eastAsia="PMingLiU" w:hAnsi="Times New Roman" w:cs="Simplified Arabic"/>
      <w:b/>
      <w:bCs/>
      <w:kern w:val="14"/>
      <w:sz w:val="20"/>
    </w:rPr>
  </w:style>
  <w:style w:type="paragraph" w:customStyle="1" w:styleId="Bullet1G">
    <w:name w:val="_Bullet 1_G"/>
    <w:basedOn w:val="Normal"/>
    <w:qFormat/>
    <w:rsid w:val="003B1799"/>
    <w:pPr>
      <w:numPr>
        <w:numId w:val="16"/>
      </w:numPr>
      <w:bidi w:val="0"/>
      <w:spacing w:after="120"/>
      <w:ind w:right="1134"/>
      <w:jc w:val="both"/>
    </w:pPr>
    <w:rPr>
      <w:sz w:val="22"/>
    </w:rPr>
  </w:style>
  <w:style w:type="character" w:customStyle="1" w:styleId="SingleTxtGChar">
    <w:name w:val="_ Single Txt_G Char"/>
    <w:link w:val="SingleTxtG"/>
    <w:rsid w:val="003B1799"/>
    <w:rPr>
      <w:rFonts w:ascii="Times New Roman" w:eastAsia="PMingLiU" w:hAnsi="Times New Roman" w:cs="Simplified Arabic"/>
      <w:sz w:val="20"/>
      <w:szCs w:val="20"/>
      <w:lang w:val="en-GB"/>
    </w:rPr>
  </w:style>
  <w:style w:type="paragraph" w:customStyle="1" w:styleId="Preparedby">
    <w:name w:val="Prepared by:"/>
    <w:basedOn w:val="H23GA"/>
    <w:qFormat/>
    <w:rsid w:val="003B1799"/>
    <w:rPr>
      <w:sz w:val="32"/>
      <w:szCs w:val="32"/>
    </w:rPr>
  </w:style>
  <w:style w:type="paragraph" w:customStyle="1" w:styleId="ParaNoG">
    <w:name w:val="_ParaNo._G"/>
    <w:basedOn w:val="SingleTxtG"/>
    <w:rsid w:val="003B1799"/>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3B1799"/>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3B1799"/>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3B1799"/>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3B1799"/>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3B1799"/>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3B1799"/>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3B1799"/>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3B1799"/>
    <w:pPr>
      <w:spacing w:after="0" w:line="240" w:lineRule="auto"/>
    </w:pPr>
    <w:rPr>
      <w:rFonts w:eastAsiaTheme="minorEastAsia"/>
      <w:sz w:val="24"/>
      <w:szCs w:val="24"/>
      <w:lang w:val="fr-FR" w:eastAsia="fr-FR"/>
    </w:rPr>
  </w:style>
  <w:style w:type="paragraph" w:customStyle="1" w:styleId="Default">
    <w:name w:val="Default"/>
    <w:semiHidden/>
    <w:rsid w:val="003B1799"/>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3B1799"/>
  </w:style>
  <w:style w:type="character" w:customStyle="1" w:styleId="preferred">
    <w:name w:val="preferred"/>
    <w:basedOn w:val="DefaultParagraphFont"/>
    <w:rsid w:val="003B1799"/>
  </w:style>
  <w:style w:type="character" w:customStyle="1" w:styleId="admitted">
    <w:name w:val="admitted"/>
    <w:basedOn w:val="DefaultParagraphFont"/>
    <w:rsid w:val="003B1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HRI/GEN/2/Rev.6" TargetMode="External"/><Relationship Id="rId3" Type="http://schemas.openxmlformats.org/officeDocument/2006/relationships/hyperlink" Target="https://undocs.org/ar/CERD/C/SR.2942" TargetMode="External"/><Relationship Id="rId7" Type="http://schemas.openxmlformats.org/officeDocument/2006/relationships/hyperlink" Target="https://undocs.org/ar/CERD/C/GEO/CO/6-8" TargetMode="External"/><Relationship Id="rId2" Type="http://schemas.openxmlformats.org/officeDocument/2006/relationships/hyperlink" Target="https://undocs.org/ar/CERD/C/SR.2941" TargetMode="External"/><Relationship Id="rId1" Type="http://schemas.openxmlformats.org/officeDocument/2006/relationships/hyperlink" Target="https://undocs.org/ar/CERD/C/GEO/9-10" TargetMode="External"/><Relationship Id="rId6" Type="http://schemas.openxmlformats.org/officeDocument/2006/relationships/hyperlink" Target="https://undocs.org/ar/CERD/C/GEO/CO/4-5" TargetMode="External"/><Relationship Id="rId5" Type="http://schemas.openxmlformats.org/officeDocument/2006/relationships/hyperlink" Target="https://undocs.org/ar/CERD/C/GEO/CO/3" TargetMode="External"/><Relationship Id="rId4" Type="http://schemas.openxmlformats.org/officeDocument/2006/relationships/hyperlink" Target="https://undocs.org/ar/CERD/C/304/Add.120" TargetMode="External"/><Relationship Id="rId9" Type="http://schemas.openxmlformats.org/officeDocument/2006/relationships/hyperlink" Target="https://undocs.org/a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CloudDocs\Cours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8</Pages>
  <Words>2423</Words>
  <Characters>13813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CERD/C/GEO/CO/9-10</vt:lpstr>
    </vt:vector>
  </TitlesOfParts>
  <Company>DCM</Company>
  <LinksUpToDate>false</LinksUpToDate>
  <CharactersWithSpaces>16204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CERD/C/GEO/CO/9-10</dc:title>
  <dc:subject>GE.2227767(A)</dc:subject>
  <dc:creator>Ihab RIZ - </dc:creator>
  <cp:keywords>GE.(A)</cp:keywords>
  <dc:description>General_x000d_
_x000d_
Arabic_x000d_
English</dc:description>
  <cp:lastModifiedBy>Jamila Chedad</cp:lastModifiedBy>
  <cp:revision>3</cp:revision>
  <cp:lastPrinted>2023-02-02T10:13:00Z</cp:lastPrinted>
  <dcterms:created xsi:type="dcterms:W3CDTF">2023-02-02T10:13:00Z</dcterms:created>
  <dcterms:modified xsi:type="dcterms:W3CDTF">2023-02-02T10:13:00Z</dcterms:modified>
  <cp:category>Final</cp:category>
</cp:coreProperties>
</file>