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eading1"/>
        <w:rPr>
          <w:rFonts w:ascii="Times New Roman" w:hAnsi="Times New Roman"/>
        </w:rPr>
      </w:pPr>
      <w:bookmarkStart w:id="1" w:name="_Toc48490432"/>
      <w:bookmarkStart w:id="2" w:name="_Toc48490576"/>
      <w:r>
        <w:rPr>
          <w:rFonts w:ascii="Times New Roman" w:hAnsi="Times New Roman"/>
        </w:rPr>
        <w:t>Комитет по ликвидации дискриминации</w:t>
      </w:r>
      <w:bookmarkEnd w:id="1"/>
      <w:bookmarkEnd w:id="2"/>
    </w:p>
    <w:p w:rsidR="00000000" w:rsidRDefault="00000000">
      <w:pPr>
        <w:rPr>
          <w:b/>
        </w:rPr>
      </w:pPr>
      <w:r>
        <w:rPr>
          <w:b/>
        </w:rP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Объединенный первоначальный, второй и третий периодические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Латвия</w:t>
      </w:r>
      <w:r>
        <w:rPr>
          <w:rStyle w:val="FootnoteReference"/>
          <w:b w:val="0"/>
          <w:sz w:val="20"/>
        </w:rPr>
        <w:footnoteReference w:customMarkFollows="1" w:id="1"/>
        <w:t>*</w:t>
      </w:r>
    </w:p>
    <w:p w:rsidR="00000000" w:rsidRDefault="00000000">
      <w:pPr>
        <w:pStyle w:val="SingleTxt"/>
      </w:pPr>
    </w:p>
    <w:p w:rsidR="00000000" w:rsidRDefault="00000000">
      <w:pPr>
        <w:pStyle w:val="HCh"/>
        <w:spacing w:after="120"/>
      </w:pPr>
      <w:r>
        <w:br w:type="page"/>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Пункты</w:t>
            </w:r>
          </w:p>
        </w:tc>
        <w:tc>
          <w:tcPr>
            <w:tcW w:w="533"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right" w:leader="dot" w:pos="8381"/>
              </w:tabs>
              <w:spacing w:after="120"/>
              <w:rPr>
                <w:spacing w:val="60"/>
                <w:sz w:val="17"/>
              </w:rPr>
            </w:pPr>
            <w:r>
              <w:tab/>
            </w:r>
            <w:r>
              <w:tab/>
              <w:t>Введение</w:t>
            </w:r>
            <w:r>
              <w:rPr>
                <w:spacing w:val="60"/>
                <w:sz w:val="17"/>
              </w:rPr>
              <w:tab/>
            </w:r>
          </w:p>
        </w:tc>
        <w:tc>
          <w:tcPr>
            <w:tcW w:w="994" w:type="dxa"/>
            <w:vAlign w:val="bottom"/>
          </w:tcPr>
          <w:p w:rsidR="00000000" w:rsidRDefault="00000000">
            <w:pPr>
              <w:spacing w:after="120"/>
              <w:jc w:val="right"/>
            </w:pPr>
            <w:r>
              <w:t>1–3</w:t>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t>Статья 1 Конвенции</w:t>
            </w:r>
            <w:r>
              <w:rPr>
                <w:spacing w:val="60"/>
                <w:sz w:val="17"/>
              </w:rPr>
              <w:tab/>
            </w:r>
          </w:p>
        </w:tc>
        <w:tc>
          <w:tcPr>
            <w:tcW w:w="994" w:type="dxa"/>
            <w:vAlign w:val="bottom"/>
          </w:tcPr>
          <w:p w:rsidR="00000000" w:rsidRDefault="00000000">
            <w:pPr>
              <w:spacing w:after="120"/>
              <w:jc w:val="right"/>
            </w:pPr>
            <w:r>
              <w:t>4–6</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t>Статья 2 Конвенции</w:t>
            </w:r>
            <w:r>
              <w:rPr>
                <w:spacing w:val="60"/>
                <w:sz w:val="17"/>
              </w:rPr>
              <w:tab/>
            </w:r>
          </w:p>
        </w:tc>
        <w:tc>
          <w:tcPr>
            <w:tcW w:w="994" w:type="dxa"/>
            <w:vAlign w:val="bottom"/>
          </w:tcPr>
          <w:p w:rsidR="00000000" w:rsidRDefault="00000000">
            <w:pPr>
              <w:spacing w:after="120"/>
              <w:jc w:val="right"/>
            </w:pPr>
            <w:r>
              <w:t>7–13</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t>Статья 3 Конвенции</w:t>
            </w:r>
            <w:r>
              <w:rPr>
                <w:spacing w:val="60"/>
                <w:sz w:val="17"/>
              </w:rPr>
              <w:tab/>
            </w:r>
          </w:p>
        </w:tc>
        <w:tc>
          <w:tcPr>
            <w:tcW w:w="994" w:type="dxa"/>
            <w:vAlign w:val="bottom"/>
          </w:tcPr>
          <w:p w:rsidR="00000000" w:rsidRDefault="00000000">
            <w:pPr>
              <w:spacing w:after="120"/>
              <w:jc w:val="right"/>
            </w:pPr>
            <w:r>
              <w:t>14–19</w:t>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4 Конвенции</w:t>
            </w:r>
            <w:r>
              <w:rPr>
                <w:spacing w:val="60"/>
                <w:sz w:val="17"/>
              </w:rPr>
              <w:tab/>
            </w:r>
          </w:p>
        </w:tc>
        <w:tc>
          <w:tcPr>
            <w:tcW w:w="994" w:type="dxa"/>
            <w:vAlign w:val="bottom"/>
          </w:tcPr>
          <w:p w:rsidR="00000000" w:rsidRDefault="00000000">
            <w:pPr>
              <w:spacing w:after="120"/>
              <w:jc w:val="right"/>
            </w:pPr>
            <w:r>
              <w:t>20</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5 Конвенции</w:t>
            </w:r>
            <w:r>
              <w:rPr>
                <w:spacing w:val="60"/>
                <w:sz w:val="17"/>
              </w:rPr>
              <w:tab/>
            </w:r>
          </w:p>
        </w:tc>
        <w:tc>
          <w:tcPr>
            <w:tcW w:w="994" w:type="dxa"/>
            <w:vAlign w:val="bottom"/>
          </w:tcPr>
          <w:p w:rsidR="00000000" w:rsidRDefault="00000000">
            <w:pPr>
              <w:spacing w:after="120"/>
              <w:jc w:val="right"/>
            </w:pPr>
            <w:r>
              <w:t>21–35</w:t>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6 Конвенции</w:t>
            </w:r>
            <w:r>
              <w:rPr>
                <w:spacing w:val="60"/>
                <w:sz w:val="17"/>
              </w:rPr>
              <w:tab/>
            </w:r>
          </w:p>
        </w:tc>
        <w:tc>
          <w:tcPr>
            <w:tcW w:w="994" w:type="dxa"/>
            <w:vAlign w:val="bottom"/>
          </w:tcPr>
          <w:p w:rsidR="00000000" w:rsidRDefault="00000000">
            <w:pPr>
              <w:spacing w:after="120"/>
              <w:jc w:val="right"/>
            </w:pPr>
            <w:r>
              <w:t>36–46</w:t>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7 Конвенции</w:t>
            </w:r>
            <w:r>
              <w:rPr>
                <w:spacing w:val="60"/>
                <w:sz w:val="17"/>
              </w:rPr>
              <w:tab/>
            </w:r>
          </w:p>
        </w:tc>
        <w:tc>
          <w:tcPr>
            <w:tcW w:w="994" w:type="dxa"/>
            <w:vAlign w:val="bottom"/>
          </w:tcPr>
          <w:p w:rsidR="00000000" w:rsidRDefault="00000000">
            <w:pPr>
              <w:spacing w:after="120"/>
              <w:jc w:val="right"/>
            </w:pPr>
            <w:r>
              <w:t>47–66</w:t>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8 Конвенции</w:t>
            </w:r>
            <w:r>
              <w:rPr>
                <w:spacing w:val="60"/>
                <w:sz w:val="17"/>
              </w:rPr>
              <w:tab/>
            </w:r>
          </w:p>
        </w:tc>
        <w:tc>
          <w:tcPr>
            <w:tcW w:w="994" w:type="dxa"/>
            <w:vAlign w:val="bottom"/>
          </w:tcPr>
          <w:p w:rsidR="00000000" w:rsidRDefault="00000000">
            <w:pPr>
              <w:spacing w:after="120"/>
              <w:jc w:val="right"/>
            </w:pPr>
            <w:r>
              <w:t>67–71</w:t>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9 Конвенции</w:t>
            </w:r>
            <w:r>
              <w:rPr>
                <w:spacing w:val="60"/>
                <w:sz w:val="17"/>
              </w:rPr>
              <w:tab/>
            </w:r>
          </w:p>
        </w:tc>
        <w:tc>
          <w:tcPr>
            <w:tcW w:w="994" w:type="dxa"/>
            <w:vAlign w:val="bottom"/>
          </w:tcPr>
          <w:p w:rsidR="00000000" w:rsidRDefault="00000000">
            <w:pPr>
              <w:spacing w:after="120"/>
              <w:jc w:val="right"/>
            </w:pPr>
            <w:r>
              <w:t>72–83</w:t>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10 Конвенции</w:t>
            </w:r>
            <w:r>
              <w:rPr>
                <w:spacing w:val="60"/>
                <w:sz w:val="17"/>
              </w:rPr>
              <w:tab/>
            </w:r>
          </w:p>
        </w:tc>
        <w:tc>
          <w:tcPr>
            <w:tcW w:w="994" w:type="dxa"/>
            <w:vAlign w:val="bottom"/>
          </w:tcPr>
          <w:p w:rsidR="00000000" w:rsidRDefault="00000000">
            <w:pPr>
              <w:spacing w:after="120"/>
              <w:jc w:val="right"/>
            </w:pPr>
            <w:r>
              <w:t>84–119</w:t>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11 Конвенции</w:t>
            </w:r>
            <w:r>
              <w:rPr>
                <w:spacing w:val="60"/>
                <w:sz w:val="17"/>
              </w:rPr>
              <w:tab/>
            </w:r>
          </w:p>
        </w:tc>
        <w:tc>
          <w:tcPr>
            <w:tcW w:w="994" w:type="dxa"/>
            <w:vAlign w:val="bottom"/>
          </w:tcPr>
          <w:p w:rsidR="00000000" w:rsidRDefault="00000000">
            <w:pPr>
              <w:spacing w:after="120"/>
              <w:jc w:val="right"/>
            </w:pPr>
            <w:r>
              <w:t>120–220</w:t>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12 Конвенции</w:t>
            </w:r>
            <w:r>
              <w:rPr>
                <w:spacing w:val="60"/>
                <w:sz w:val="17"/>
              </w:rPr>
              <w:tab/>
            </w:r>
          </w:p>
        </w:tc>
        <w:tc>
          <w:tcPr>
            <w:tcW w:w="994" w:type="dxa"/>
            <w:vAlign w:val="bottom"/>
          </w:tcPr>
          <w:p w:rsidR="00000000" w:rsidRDefault="00000000">
            <w:pPr>
              <w:spacing w:after="120"/>
              <w:jc w:val="right"/>
            </w:pPr>
            <w:r>
              <w:t>221–238</w:t>
            </w:r>
          </w:p>
        </w:tc>
        <w:tc>
          <w:tcPr>
            <w:tcW w:w="533" w:type="dxa"/>
            <w:vAlign w:val="bottom"/>
          </w:tcPr>
          <w:p w:rsidR="00000000" w:rsidRDefault="00000000">
            <w:pPr>
              <w:spacing w:after="120"/>
              <w:jc w:val="right"/>
            </w:pPr>
            <w:r>
              <w:t>61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13 Конвенции</w:t>
            </w:r>
            <w:r>
              <w:rPr>
                <w:spacing w:val="60"/>
                <w:sz w:val="17"/>
              </w:rPr>
              <w:tab/>
            </w:r>
          </w:p>
        </w:tc>
        <w:tc>
          <w:tcPr>
            <w:tcW w:w="994" w:type="dxa"/>
            <w:vAlign w:val="bottom"/>
          </w:tcPr>
          <w:p w:rsidR="00000000" w:rsidRDefault="00000000">
            <w:pPr>
              <w:spacing w:after="120"/>
              <w:jc w:val="right"/>
            </w:pPr>
            <w:r>
              <w:t>239–256</w:t>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14 Конвенции</w:t>
            </w:r>
            <w:r>
              <w:rPr>
                <w:spacing w:val="60"/>
                <w:sz w:val="17"/>
              </w:rPr>
              <w:tab/>
            </w:r>
          </w:p>
        </w:tc>
        <w:tc>
          <w:tcPr>
            <w:tcW w:w="994" w:type="dxa"/>
            <w:vAlign w:val="bottom"/>
          </w:tcPr>
          <w:p w:rsidR="00000000" w:rsidRDefault="00000000">
            <w:pPr>
              <w:spacing w:after="120"/>
              <w:jc w:val="right"/>
            </w:pPr>
            <w:r>
              <w:t>257–284</w:t>
            </w:r>
          </w:p>
        </w:tc>
        <w:tc>
          <w:tcPr>
            <w:tcW w:w="533" w:type="dxa"/>
            <w:vAlign w:val="bottom"/>
          </w:tcPr>
          <w:p w:rsidR="00000000" w:rsidRDefault="00000000">
            <w:pPr>
              <w:spacing w:after="120"/>
              <w:jc w:val="right"/>
            </w:pPr>
            <w:r>
              <w:t>71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15 Конвенции</w:t>
            </w:r>
            <w:r>
              <w:rPr>
                <w:spacing w:val="60"/>
                <w:sz w:val="17"/>
              </w:rPr>
              <w:tab/>
            </w:r>
          </w:p>
        </w:tc>
        <w:tc>
          <w:tcPr>
            <w:tcW w:w="994" w:type="dxa"/>
            <w:vAlign w:val="bottom"/>
          </w:tcPr>
          <w:p w:rsidR="00000000" w:rsidRDefault="00000000">
            <w:pPr>
              <w:spacing w:after="120"/>
              <w:jc w:val="right"/>
            </w:pPr>
            <w:r>
              <w:t>285–297</w:t>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r>
              <w:tab/>
            </w:r>
            <w:r>
              <w:tab/>
              <w:t>Статья 16 Конвенции</w:t>
            </w:r>
            <w:r>
              <w:rPr>
                <w:spacing w:val="60"/>
                <w:sz w:val="17"/>
              </w:rPr>
              <w:tab/>
            </w:r>
          </w:p>
        </w:tc>
        <w:tc>
          <w:tcPr>
            <w:tcW w:w="994" w:type="dxa"/>
            <w:vAlign w:val="bottom"/>
          </w:tcPr>
          <w:p w:rsidR="00000000" w:rsidRDefault="00000000">
            <w:pPr>
              <w:spacing w:after="120"/>
              <w:jc w:val="right"/>
            </w:pPr>
            <w:r>
              <w:t>298–338</w:t>
            </w:r>
          </w:p>
        </w:tc>
        <w:tc>
          <w:tcPr>
            <w:tcW w:w="533" w:type="dxa"/>
            <w:vAlign w:val="bottom"/>
          </w:tcPr>
          <w:p w:rsidR="00000000" w:rsidRDefault="00000000">
            <w:pPr>
              <w:spacing w:after="120"/>
              <w:jc w:val="right"/>
            </w:pPr>
            <w:r>
              <w:t>81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pP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3" w:name="_Toc48490434"/>
      <w:r>
        <w:tab/>
      </w:r>
      <w:r>
        <w:tab/>
        <w:t>Введение</w:t>
      </w:r>
      <w:bookmarkEnd w:id="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Первоначальный доклад Латвийской Республики об осуществлении Ко</w:t>
      </w:r>
      <w:r>
        <w:t>н</w:t>
      </w:r>
      <w:r>
        <w:t>венции о ликвидации всех форм дискриминации в отношении женщин от 18 декабря 1979 года (далее именуется «Конвенция»), которая вошла в силу в Латвийской Республике 14 мая 1992 года, подготовленный на основе полож</w:t>
      </w:r>
      <w:r>
        <w:t>е</w:t>
      </w:r>
      <w:r>
        <w:t>ний Конвенции и представленный в соответствии со статьей 18, содержит и</w:t>
      </w:r>
      <w:r>
        <w:t>н</w:t>
      </w:r>
      <w:r>
        <w:t>формацию о законодательных актах Латвийской Республики, а также о полит</w:t>
      </w:r>
      <w:r>
        <w:t>и</w:t>
      </w:r>
      <w:r>
        <w:t>ческой и правовой позиции страны в отношении защиты прав женщин и ли</w:t>
      </w:r>
      <w:r>
        <w:t>к</w:t>
      </w:r>
      <w:r>
        <w:t>видации любой фо</w:t>
      </w:r>
      <w:r>
        <w:t>р</w:t>
      </w:r>
      <w:r>
        <w:t>мы дискриминации.</w:t>
      </w:r>
    </w:p>
    <w:p w:rsidR="00000000" w:rsidRDefault="00000000">
      <w:pPr>
        <w:pStyle w:val="SingleTxt"/>
      </w:pPr>
      <w:r>
        <w:t>2.</w:t>
      </w:r>
      <w:r>
        <w:tab/>
        <w:t>Для подготовки настоящего доклада была создана специальная целевая группа в составе представителей министерства иностранных дел, министерства юстиции, министерства внутренних дел, министерства благосостояния и мин</w:t>
      </w:r>
      <w:r>
        <w:t>и</w:t>
      </w:r>
      <w:r>
        <w:t>стерства культуры. В соответствии с Постановлением No. 92 от 17 марта 1998 года «О представительстве кабинета министров в международных учре</w:t>
      </w:r>
      <w:r>
        <w:t>ж</w:t>
      </w:r>
      <w:r>
        <w:t>дениях по правам человека» уполномоченный кабинетом министров предст</w:t>
      </w:r>
      <w:r>
        <w:t>а</w:t>
      </w:r>
      <w:r>
        <w:t>витель возглавил вышеупомянутую целевую группу. Замечания и предложения по докладу, подготовленному целевой группой, были представлены Инстит</w:t>
      </w:r>
      <w:r>
        <w:t>у</w:t>
      </w:r>
      <w:r>
        <w:t>том по правам человека при факультете права Латвийского университета, Н</w:t>
      </w:r>
      <w:r>
        <w:t>а</w:t>
      </w:r>
      <w:r>
        <w:t>циональным управлением по правам человека, Латвийской ассоциацией по в</w:t>
      </w:r>
      <w:r>
        <w:t>о</w:t>
      </w:r>
      <w:r>
        <w:t>просам гендерного равенства, Латвийской ассоциацией по вопросам планир</w:t>
      </w:r>
      <w:r>
        <w:t>о</w:t>
      </w:r>
      <w:r>
        <w:t>вания семьи и сексуального здоровья «Папардес зиедс» («Papardes Zieds»), Центром ресурсов для женщин «Марта» (“Marta”) и Ассоциацией свободных профсоюзов.</w:t>
      </w:r>
    </w:p>
    <w:p w:rsidR="00000000" w:rsidRDefault="00000000">
      <w:pPr>
        <w:pStyle w:val="SingleTxt"/>
      </w:pPr>
      <w:r>
        <w:t>3.</w:t>
      </w:r>
      <w:r>
        <w:tab/>
        <w:t>Дополненный доклад, объединяющий первоначальный, второй и третий периодические доклады, был рассмотрен и утвержден кабинетом министров 16 апр</w:t>
      </w:r>
      <w:r>
        <w:t>е</w:t>
      </w:r>
      <w:r>
        <w:t>ля 2003 года.</w:t>
      </w:r>
    </w:p>
    <w:p w:rsidR="00000000" w:rsidRDefault="00000000">
      <w:pPr>
        <w:pStyle w:val="SingleTxt"/>
        <w:spacing w:after="0" w:line="120" w:lineRule="exact"/>
        <w:rPr>
          <w:sz w:val="10"/>
        </w:rPr>
      </w:pPr>
      <w:bookmarkStart w:id="4" w:name="_Toc48490435"/>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w:t>
      </w:r>
      <w:bookmarkEnd w:id="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После восстановления независимости Латвия ратифицировала большое число международных договоров по правам человека, запрещающих любую форму дискриминации, в том числе дискриминацию женщин во всех ее соц</w:t>
      </w:r>
      <w:r>
        <w:t>и</w:t>
      </w:r>
      <w:r>
        <w:t>альных, экономических и политических проявлениях. Положения Междун</w:t>
      </w:r>
      <w:r>
        <w:t>а</w:t>
      </w:r>
      <w:r>
        <w:t>родного пакта о гражданских и политических правах от 16 декабря 1966 года и Конвенции о политических правах женщины от 20 декабря 1952 года носят обязательный характер для Латвии. Кроме этого следует отметить, что Латвия ратифицировала Европейскую конвенцию 1950 года о защите прав человека и основных свобод, статья 14 которой предусматривает осуществление прав и свобод, упомянутых в Конвенции, без какой-либо дискриминации.</w:t>
      </w:r>
    </w:p>
    <w:p w:rsidR="00000000" w:rsidRDefault="00000000">
      <w:pPr>
        <w:pStyle w:val="SingleTxt"/>
      </w:pPr>
      <w:r>
        <w:t>5.</w:t>
      </w:r>
      <w:r>
        <w:tab/>
        <w:t>«Сатверсме» (Конституция) Латвии предусматривает, что «в соответствии с настоящей Конституцией, законами и международными договорами, обяз</w:t>
      </w:r>
      <w:r>
        <w:t>а</w:t>
      </w:r>
      <w:r>
        <w:t>тельными для выполнения Латвией, государство признает и защищает осно</w:t>
      </w:r>
      <w:r>
        <w:t>в</w:t>
      </w:r>
      <w:r>
        <w:t>ные права человека», и предписывает, исходя из принципа запрещения дискр</w:t>
      </w:r>
      <w:r>
        <w:t>и</w:t>
      </w:r>
      <w:r>
        <w:t>минации и принципа равенства, что «все люди в Латвии равны перед законом и судом. Права человека осуществляются без какой-либо дискриминации». Т</w:t>
      </w:r>
      <w:r>
        <w:t>а</w:t>
      </w:r>
      <w:r>
        <w:t>ким образом женщины в Латвии пользуются всеми правами в различных о</w:t>
      </w:r>
      <w:r>
        <w:t>б</w:t>
      </w:r>
      <w:r>
        <w:t>ластях прав человека, предусмотренных разделом Конституции об «Основных правах человека».</w:t>
      </w:r>
    </w:p>
    <w:p w:rsidR="00000000" w:rsidRDefault="00000000">
      <w:pPr>
        <w:pStyle w:val="SingleTxt"/>
      </w:pPr>
      <w:r>
        <w:t>6.</w:t>
      </w:r>
      <w:r>
        <w:tab/>
        <w:t>Законодательство Латвии не предусматривает никаких ограничений для женщин в том, что касается использования или осуществления ими прав в п</w:t>
      </w:r>
      <w:r>
        <w:t>о</w:t>
      </w:r>
      <w:r>
        <w:t>литической, экономической, социальной, культурной, гражданской или любой другой о</w:t>
      </w:r>
      <w:r>
        <w:t>б</w:t>
      </w:r>
      <w:r>
        <w:t>ласти, независимо от их семейного положения.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48490436"/>
      <w:r>
        <w:tab/>
      </w:r>
      <w:r>
        <w:tab/>
        <w:t>Статья 2</w:t>
      </w:r>
      <w:bookmarkEnd w:id="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w:t>
      </w:r>
      <w:r>
        <w:tab/>
        <w:t>Осуществление прав индивидуума без какой-либо дискриминации обе</w:t>
      </w:r>
      <w:r>
        <w:t>с</w:t>
      </w:r>
      <w:r>
        <w:t>печивается на конституционном уровне статьей 91 «Сатверсме» (Конституции), которая включена в раздел 8 Конституции</w:t>
      </w:r>
      <w:r>
        <w:rPr>
          <w:rStyle w:val="FootnoteReference"/>
        </w:rPr>
        <w:footnoteReference w:id="2"/>
      </w:r>
      <w:r>
        <w:t>. В своих замечаниях по проекту н</w:t>
      </w:r>
      <w:r>
        <w:t>а</w:t>
      </w:r>
      <w:r>
        <w:t>ционального доклада Латвии об осуществлении Конвенции Латвийская асс</w:t>
      </w:r>
      <w:r>
        <w:t>о</w:t>
      </w:r>
      <w:r>
        <w:t>циация по вопросам гендерного равенства отмечает, что законодательные акты Латвии не содержат определения косвенной дискриминации. В этой связи сл</w:t>
      </w:r>
      <w:r>
        <w:t>е</w:t>
      </w:r>
      <w:r>
        <w:t>дует подчеркнуть, что такое определение содержится в новом Законе о труде, который войдет в силу 1 июня 2002 года.</w:t>
      </w:r>
    </w:p>
    <w:p w:rsidR="00000000" w:rsidRDefault="00000000">
      <w:pPr>
        <w:pStyle w:val="SingleTxt"/>
      </w:pPr>
      <w:r>
        <w:t>8.</w:t>
      </w:r>
      <w:r>
        <w:tab/>
        <w:t>Кроме того запрещение дискриминации в отношении женщин содержится в других нормативных актах в конкретных областях прав человека, например в Законе об образовании, который предусматривает, что каждый гражданин Ла</w:t>
      </w:r>
      <w:r>
        <w:t>т</w:t>
      </w:r>
      <w:r>
        <w:t>вийской Республики и каждое лицо, обладающее правом иметь паспорт негр</w:t>
      </w:r>
      <w:r>
        <w:t>а</w:t>
      </w:r>
      <w:r>
        <w:t>жданина, выданный Латвийской Республикой, лицо, которое получило разр</w:t>
      </w:r>
      <w:r>
        <w:t>е</w:t>
      </w:r>
      <w:r>
        <w:t>шение на постоянное проживание, а также граждане государств – членов Евр</w:t>
      </w:r>
      <w:r>
        <w:t>о</w:t>
      </w:r>
      <w:r>
        <w:t>пейского союза, которым было предоставлено разрешение на временное пр</w:t>
      </w:r>
      <w:r>
        <w:t>о</w:t>
      </w:r>
      <w:r>
        <w:t>живание, и их дети пользуются равными правами на получение образования, независимо от их имущественного и социального статуса, расы, национальн</w:t>
      </w:r>
      <w:r>
        <w:t>о</w:t>
      </w:r>
      <w:r>
        <w:t>сти, пола, религиозной и политической принадлежности, состояния здоровья, профессии и места проживания.</w:t>
      </w:r>
    </w:p>
    <w:p w:rsidR="00000000" w:rsidRDefault="00000000">
      <w:pPr>
        <w:pStyle w:val="SingleTxt"/>
      </w:pPr>
      <w:r>
        <w:t>9.</w:t>
      </w:r>
      <w:r>
        <w:tab/>
        <w:t>Закон «О радио и телевидении» предусматривает, что ни одна программа не может содержать подстрекательство к национальной, расовой, гендерной или религиозной ненависти, к унижению национальной чести и национального достоинства. В Законе «О рекламной деятельности» предусматривается, что в рамках рекламной деятельности запрещается прибегать к дискриминации в о</w:t>
      </w:r>
      <w:r>
        <w:t>т</w:t>
      </w:r>
      <w:r>
        <w:t>ношении индивидуума на расовой основе, по признаку цвета кожи индивиду</w:t>
      </w:r>
      <w:r>
        <w:t>у</w:t>
      </w:r>
      <w:r>
        <w:t>ма, пола, возраста, религиозной, политической или иной принадлежности, н</w:t>
      </w:r>
      <w:r>
        <w:t>а</w:t>
      </w:r>
      <w:r>
        <w:t>ционального или социального происхождения, имущественного положения или в силу других обстоятельств.</w:t>
      </w:r>
    </w:p>
    <w:p w:rsidR="00000000" w:rsidRDefault="00000000">
      <w:pPr>
        <w:pStyle w:val="SingleTxt"/>
      </w:pPr>
      <w:r>
        <w:t>10.</w:t>
      </w:r>
      <w:r>
        <w:tab/>
        <w:t>В соответствии с Конституцией каждый индивидуум пользуется правом на свободу и личную неприкосновенность. Никто в Латвии не может быть л</w:t>
      </w:r>
      <w:r>
        <w:t>и</w:t>
      </w:r>
      <w:r>
        <w:t>шен свободы, равно как и ничья свобода не может быть ограничена никаким иным путем, кроме как на основе закона. Ни Уголовно-процессуальный кодекс, ни Гражданско-процессуальный закон не содержат нормативных положений, лишающих женщин каких-либо прав или ограничивающих пользование как</w:t>
      </w:r>
      <w:r>
        <w:t>и</w:t>
      </w:r>
      <w:r>
        <w:t>ми-либо правами на основе различий по признаку пола.</w:t>
      </w:r>
    </w:p>
    <w:p w:rsidR="00000000" w:rsidRDefault="00000000">
      <w:pPr>
        <w:pStyle w:val="SingleTxt"/>
      </w:pPr>
      <w:r>
        <w:t>11.</w:t>
      </w:r>
      <w:r>
        <w:tab/>
        <w:t>Закон «О судебных органах», предусматривающий основополагающие принципы судоустройства, предписывает, что все индивидуумы равны перед законом и судом и что они пользуются равными правами в плане защиты со стороны закона. Суды Латвии выносят решения независимо от происхождения лица, его/ее социального и имущественного положения, расы и национальн</w:t>
      </w:r>
      <w:r>
        <w:t>о</w:t>
      </w:r>
      <w:r>
        <w:t>сти, пола, образования, языка, религиозной принадлежности, типа и характера профессии, места проживания, политических или других взглядов. Основоп</w:t>
      </w:r>
      <w:r>
        <w:t>о</w:t>
      </w:r>
      <w:r>
        <w:t>лагающий принцип судопроизводства гарантирует женщинам, независимо от их профессии, происхождения, социальной, религиозной или культурной пр</w:t>
      </w:r>
      <w:r>
        <w:t>и</w:t>
      </w:r>
      <w:r>
        <w:t>надлежности, право на защиту их ущемленных основных прав и свобод в с</w:t>
      </w:r>
      <w:r>
        <w:t>у</w:t>
      </w:r>
      <w:r>
        <w:t>дебных органах Латвии на равноправной основе с мужчинами.</w:t>
      </w:r>
    </w:p>
    <w:p w:rsidR="00000000" w:rsidRDefault="00000000">
      <w:pPr>
        <w:pStyle w:val="SingleTxt"/>
      </w:pPr>
      <w:r>
        <w:t>12.</w:t>
      </w:r>
      <w:r>
        <w:tab/>
        <w:t>Меры, принимаемые государственными агентствами и учреждениями, предписываются нормативными актами, которые регулируют их деятельность и которые подчинены положениям Конституции и согласуются с ними, тем с</w:t>
      </w:r>
      <w:r>
        <w:t>а</w:t>
      </w:r>
      <w:r>
        <w:t>мым обеспечивая соблюдение принципа гендерного равенства. Законодател</w:t>
      </w:r>
      <w:r>
        <w:t>ь</w:t>
      </w:r>
      <w:r>
        <w:t>ные нормы, необходимые для ликвидации дискриминации в отношении же</w:t>
      </w:r>
      <w:r>
        <w:t>н</w:t>
      </w:r>
      <w:r>
        <w:t>щин со стороны какого-либо индивидуума, предприятия или организации, включены в законодательные акты, касающиеся конкре</w:t>
      </w:r>
      <w:r>
        <w:t>т</w:t>
      </w:r>
      <w:r>
        <w:t>ных областей.</w:t>
      </w:r>
    </w:p>
    <w:p w:rsidR="00000000" w:rsidRDefault="00000000">
      <w:pPr>
        <w:pStyle w:val="SingleTxt"/>
      </w:pPr>
      <w:r>
        <w:t>13.</w:t>
      </w:r>
      <w:r>
        <w:tab/>
        <w:t>Обычаи, коренящиеся в жизни общины, а также практика осуществления прав не делают упор на роли полов в том, что касается их возможностей пол</w:t>
      </w:r>
      <w:r>
        <w:t>ь</w:t>
      </w:r>
      <w:r>
        <w:t>зоват</w:t>
      </w:r>
      <w:r>
        <w:t>ь</w:t>
      </w:r>
      <w:r>
        <w:t>ся различными правами. Ни Уголовный кодекс Латвии, ни Уголовно-процессуальный кодекс Латвии не предписывают законодательных норм, кот</w:t>
      </w:r>
      <w:r>
        <w:t>о</w:t>
      </w:r>
      <w:r>
        <w:t>рые были бы дискриминационными по отношению к женщинам.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Toc48490437"/>
      <w:r>
        <w:tab/>
      </w:r>
      <w:r>
        <w:tab/>
        <w:t>Статья 3</w:t>
      </w:r>
      <w:bookmarkEnd w:id="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Латвия создала нормативную базу для содействия равенству мужчин и женщин, запретив дискриминацию по признаку пола, а также создав правовую основу для улучшения положения женщин.</w:t>
      </w:r>
    </w:p>
    <w:p w:rsidR="00000000" w:rsidRDefault="00000000">
      <w:pPr>
        <w:pStyle w:val="SingleTxt"/>
      </w:pPr>
      <w:r>
        <w:t>15.</w:t>
      </w:r>
      <w:r>
        <w:tab/>
        <w:t>Начиная с января 1999 года, Управление по вопросам разработки соц</w:t>
      </w:r>
      <w:r>
        <w:t>и</w:t>
      </w:r>
      <w:r>
        <w:t>альной политики при министерстве благосостояния действует в качестве орг</w:t>
      </w:r>
      <w:r>
        <w:t>а</w:t>
      </w:r>
      <w:r>
        <w:t>на, которому поручено координировать вопрос гендерного равенства в стране. В 2000 году был создан Отдел по вопросам общественной интеграции и ге</w:t>
      </w:r>
      <w:r>
        <w:t>н</w:t>
      </w:r>
      <w:r>
        <w:t>дерного равенства.</w:t>
      </w:r>
    </w:p>
    <w:p w:rsidR="00000000" w:rsidRDefault="00000000">
      <w:pPr>
        <w:pStyle w:val="SingleTxt"/>
      </w:pPr>
      <w:r>
        <w:t>16.</w:t>
      </w:r>
      <w:r>
        <w:tab/>
        <w:t>Координатор по вопросу гендерного равенства выполняет следующие главные задачи: координировать вопрос о гендерном равенстве в рамках мин</w:t>
      </w:r>
      <w:r>
        <w:t>и</w:t>
      </w:r>
      <w:r>
        <w:t>стерства благосостояния и сотрудничать с другими государственными учре</w:t>
      </w:r>
      <w:r>
        <w:t>ж</w:t>
      </w:r>
      <w:r>
        <w:t>дениями и неправительственными организациями; организовывать семинары, собирать и обрабатывать материалы по вопросам гендерного равенства и о тенденциях развития в этой области; сотрудничать с международными орган</w:t>
      </w:r>
      <w:r>
        <w:t>и</w:t>
      </w:r>
      <w:r>
        <w:t>зациями и их экспертами по вопросам, касающимся гендерного равенства; ра</w:t>
      </w:r>
      <w:r>
        <w:t>з</w:t>
      </w:r>
      <w:r>
        <w:t>рабатывать предложения и проекты, касающиеся вопросов гендерного равенс</w:t>
      </w:r>
      <w:r>
        <w:t>т</w:t>
      </w:r>
      <w:r>
        <w:t>ва.</w:t>
      </w:r>
    </w:p>
    <w:p w:rsidR="00000000" w:rsidRDefault="00000000">
      <w:pPr>
        <w:pStyle w:val="SingleTxt"/>
      </w:pPr>
      <w:r>
        <w:t>17.</w:t>
      </w:r>
      <w:r>
        <w:tab/>
        <w:t>16 октября 2001 года кабинет министров утвердил Концепцию осущест</w:t>
      </w:r>
      <w:r>
        <w:t>в</w:t>
      </w:r>
      <w:r>
        <w:t>ления гендерного равенства в Латвии, которая включает в себя учрежденческий механизм рассмотрения и решения вопросов гендерного равенства. В конце 2001 года была создана рабочая группа по координации вопроса о гендерном равенстве, в состав которой вошли представители министерств, неправительс</w:t>
      </w:r>
      <w:r>
        <w:t>т</w:t>
      </w:r>
      <w:r>
        <w:t>венных организаций и научно-исследовательских институтов. Перед этой раб</w:t>
      </w:r>
      <w:r>
        <w:t>о</w:t>
      </w:r>
      <w:r>
        <w:t>чей группой были поставлены следующие задачи: разработать проект пр</w:t>
      </w:r>
      <w:r>
        <w:t>о</w:t>
      </w:r>
      <w:r>
        <w:t>граммы осуществления гендерного равенства; координировать усилия, напра</w:t>
      </w:r>
      <w:r>
        <w:t>в</w:t>
      </w:r>
      <w:r>
        <w:t>ленные на включение принципа гендерного равенства как в существующие, так и в планируемые программные документы и законодательные акты. В своих замечаниях по докладу об осуществлении Конвенции Латвийская ассоциация по вопросам гендерного равенства отмечает, что при утверждении вышеупом</w:t>
      </w:r>
      <w:r>
        <w:t>я</w:t>
      </w:r>
      <w:r>
        <w:t>нутой Концепции не были приняты предложения о создании центра содействия обеспечению гендерного равенства и механизма рассмотрения споров, связа</w:t>
      </w:r>
      <w:r>
        <w:t>н</w:t>
      </w:r>
      <w:r>
        <w:t>ных с гендерной проблематикой. Латвийская ассоциация по вопросам генде</w:t>
      </w:r>
      <w:r>
        <w:t>р</w:t>
      </w:r>
      <w:r>
        <w:t>ного равенства считает, что это решение будет, возможно, пересмотрено в б</w:t>
      </w:r>
      <w:r>
        <w:t>у</w:t>
      </w:r>
      <w:r>
        <w:t>дущем, поскольку предполагается, что каждое государство – член Европейск</w:t>
      </w:r>
      <w:r>
        <w:t>о</w:t>
      </w:r>
      <w:r>
        <w:t>го союза должно будет создать учреждение, содействующее обеспечению ге</w:t>
      </w:r>
      <w:r>
        <w:t>н</w:t>
      </w:r>
      <w:r>
        <w:t>дерного равенства.</w:t>
      </w:r>
      <w:r>
        <w:rPr>
          <w:rStyle w:val="FootnoteReference"/>
        </w:rPr>
        <w:footnoteReference w:id="3"/>
      </w:r>
    </w:p>
    <w:p w:rsidR="00000000" w:rsidRDefault="00000000">
      <w:pPr>
        <w:pStyle w:val="SingleTxt"/>
      </w:pPr>
      <w:r>
        <w:t>18.</w:t>
      </w:r>
      <w:r>
        <w:tab/>
        <w:t>В свою очередь Национальное управление по правам человека указывает, что формально гендерное равенство гарантируется существующими законод</w:t>
      </w:r>
      <w:r>
        <w:t>а</w:t>
      </w:r>
      <w:r>
        <w:t>тельными актами, но что это является лишь основой для действительного ге</w:t>
      </w:r>
      <w:r>
        <w:t>н</w:t>
      </w:r>
      <w:r>
        <w:t>дерного равенства во всех областях жизни. Национальное управление по пр</w:t>
      </w:r>
      <w:r>
        <w:t>а</w:t>
      </w:r>
      <w:r>
        <w:t>вам человека отмечает, что особое внимание следует уделять практическому осуществлению этих закон</w:t>
      </w:r>
      <w:r>
        <w:t>о</w:t>
      </w:r>
      <w:r>
        <w:t>дательных положений.</w:t>
      </w:r>
    </w:p>
    <w:p w:rsidR="00000000" w:rsidRDefault="00000000">
      <w:pPr>
        <w:pStyle w:val="SingleTxt"/>
      </w:pPr>
      <w:r>
        <w:t>19.</w:t>
      </w:r>
      <w:r>
        <w:tab/>
        <w:t>Конкретные мероприятия, проводимые в различных областях с целью обеспечения всестороннего развития и прогресса женщин, с тем чтобы гара</w:t>
      </w:r>
      <w:r>
        <w:t>н</w:t>
      </w:r>
      <w:r>
        <w:t>тировать женщинам осуществление и пользование правами человека и осно</w:t>
      </w:r>
      <w:r>
        <w:t>в</w:t>
      </w:r>
      <w:r>
        <w:t>ными свободами на основе равенства с мужчинами, приводятся далее в ходе обсуждения конкретных статей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Toc48490438"/>
      <w:bookmarkStart w:id="8" w:name="_Toc48490578"/>
      <w:r>
        <w:tab/>
      </w:r>
      <w:r>
        <w:tab/>
        <w:t>Статья 4</w:t>
      </w:r>
      <w:bookmarkEnd w:id="7"/>
      <w:bookmarkEnd w:id="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Поскольку гендерное равенство гарантируется на конституционном уро</w:t>
      </w:r>
      <w:r>
        <w:t>в</w:t>
      </w:r>
      <w:r>
        <w:t>не, для Латвии не типичны конкретные меры, направленные на содействие р</w:t>
      </w:r>
      <w:r>
        <w:t>а</w:t>
      </w:r>
      <w:r>
        <w:t>венству де-факто. Информация о различных мероприятиях, проводимых с ц</w:t>
      </w:r>
      <w:r>
        <w:t>е</w:t>
      </w:r>
      <w:r>
        <w:t>лью обеспечения развития и прогресса женщин в различных областях, пре</w:t>
      </w:r>
      <w:r>
        <w:t>д</w:t>
      </w:r>
      <w:r>
        <w:t>ставлена в разделах, посвященных конкретным статьям Конвенции.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Toc48490439"/>
      <w:bookmarkStart w:id="10" w:name="_Toc48490579"/>
      <w:r>
        <w:tab/>
      </w:r>
      <w:r>
        <w:tab/>
        <w:t>Статья 5</w:t>
      </w:r>
      <w:bookmarkEnd w:id="9"/>
      <w:bookmarkEnd w:id="1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Развитие социальных и культурных моделей поведения мужчин и женщин в Латвии определялось национальной историей и культурой, на которые п</w:t>
      </w:r>
      <w:r>
        <w:t>о</w:t>
      </w:r>
      <w:r>
        <w:t>влияли различные политические режимы, существовавшие на территории Ла</w:t>
      </w:r>
      <w:r>
        <w:t>т</w:t>
      </w:r>
      <w:r>
        <w:t>вии, и преобладающие культурные формы. Здесь следует отметить, что наиб</w:t>
      </w:r>
      <w:r>
        <w:t>о</w:t>
      </w:r>
      <w:r>
        <w:t>лее серьезное воздействие оказали традиционная культура древних этнических жителей Латвии, христианские традиции и нормы канонического права, дем</w:t>
      </w:r>
      <w:r>
        <w:t>о</w:t>
      </w:r>
      <w:r>
        <w:t>кратические традиции и авторитарность режима в период независимой гос</w:t>
      </w:r>
      <w:r>
        <w:t>у</w:t>
      </w:r>
      <w:r>
        <w:t>дарственности между первой и второй мировыми войнами, культура советского периода и позиции женщины в обществе, а также традиции политической и общинной культуры, сложившиеся после восстановления независимости.</w:t>
      </w:r>
    </w:p>
    <w:p w:rsidR="00000000" w:rsidRDefault="00000000">
      <w:pPr>
        <w:pStyle w:val="SingleTxt"/>
      </w:pPr>
      <w:r>
        <w:t>2.</w:t>
      </w:r>
      <w:r>
        <w:tab/>
        <w:t>Традиционной культурной базой древних этнических жителей Латвии я</w:t>
      </w:r>
      <w:r>
        <w:t>в</w:t>
      </w:r>
      <w:r>
        <w:t>ляется патриархальная крестьянская семья, в которой женщине отводится гла</w:t>
      </w:r>
      <w:r>
        <w:t>в</w:t>
      </w:r>
      <w:r>
        <w:t>ным образом место матери. В этом контексте женщина пользуется особым уважением и получает привилегии. Однако в рамках социальной структуры общества женщина занимает положение, которое характерно для модели па</w:t>
      </w:r>
      <w:r>
        <w:t>т</w:t>
      </w:r>
      <w:r>
        <w:t>риархальной семьи.</w:t>
      </w:r>
    </w:p>
    <w:p w:rsidR="00000000" w:rsidRDefault="00000000">
      <w:pPr>
        <w:pStyle w:val="SingleTxt"/>
      </w:pPr>
      <w:r>
        <w:t>23.</w:t>
      </w:r>
      <w:r>
        <w:tab/>
        <w:t>Воздействие христианских традиций и норм канонического права на роль женщины в обществе на территории Латвии главным образом связано с вли</w:t>
      </w:r>
      <w:r>
        <w:t>я</w:t>
      </w:r>
      <w:r>
        <w:t>нием католицизма (в Латгале – восточная часть Латвии) и лютеранства (в Ку</w:t>
      </w:r>
      <w:r>
        <w:t>р</w:t>
      </w:r>
      <w:r>
        <w:t>земе и Видземе – северная и западная части Латвии), которые являются наиб</w:t>
      </w:r>
      <w:r>
        <w:t>о</w:t>
      </w:r>
      <w:r>
        <w:t>лее широко распространенными вероисповеданиями в Латвии. Вместе с тем, в ходе советского периода эти традиции утратили большую часть своего вли</w:t>
      </w:r>
      <w:r>
        <w:t>я</w:t>
      </w:r>
      <w:r>
        <w:t>ния.</w:t>
      </w:r>
    </w:p>
    <w:p w:rsidR="00000000" w:rsidRDefault="00000000">
      <w:pPr>
        <w:pStyle w:val="SingleTxt"/>
      </w:pPr>
      <w:r>
        <w:t>24.</w:t>
      </w:r>
      <w:r>
        <w:tab/>
        <w:t>В течение периода, когда территория Латвии была включена в состав Ро</w:t>
      </w:r>
      <w:r>
        <w:t>с</w:t>
      </w:r>
      <w:r>
        <w:t>сийской империи, демократические традиции и традиции гендерного равенства развивались сравнительно более высокими темпами в силу более высокого о</w:t>
      </w:r>
      <w:r>
        <w:t>б</w:t>
      </w:r>
      <w:r>
        <w:t>разовательного уровня и более высокого уровня жизни населения. Деятел</w:t>
      </w:r>
      <w:r>
        <w:t>ь</w:t>
      </w:r>
      <w:r>
        <w:t>ность представителей обоих полов в ходе революции 1905 года и в течение процесса формирования гражданского общества до начала первой мировой войны может рассматриваться в качестве первого подтверждения того факта, что эти идеи начали укореняться в жизни общины.</w:t>
      </w:r>
    </w:p>
    <w:p w:rsidR="00000000" w:rsidRDefault="00000000">
      <w:pPr>
        <w:pStyle w:val="SingleTxt"/>
      </w:pPr>
      <w:r>
        <w:t>25.</w:t>
      </w:r>
      <w:r>
        <w:tab/>
        <w:t>После образования государства в 1918 году женщины приобрели полит</w:t>
      </w:r>
      <w:r>
        <w:t>и</w:t>
      </w:r>
      <w:r>
        <w:t>ческие и гражданские права на равной основе с мужчинами, причем эти права широко осуществлялись как в период демократии, так и в период авторитарн</w:t>
      </w:r>
      <w:r>
        <w:t>о</w:t>
      </w:r>
      <w:r>
        <w:t>го пра</w:t>
      </w:r>
      <w:r>
        <w:t>в</w:t>
      </w:r>
      <w:r>
        <w:t>ления.</w:t>
      </w:r>
    </w:p>
    <w:p w:rsidR="00000000" w:rsidRDefault="00000000">
      <w:pPr>
        <w:pStyle w:val="SingleTxt"/>
      </w:pPr>
      <w:r>
        <w:t>26.</w:t>
      </w:r>
      <w:r>
        <w:tab/>
        <w:t>В течение советского периода культивировалась жестокая концепция р</w:t>
      </w:r>
      <w:r>
        <w:t>а</w:t>
      </w:r>
      <w:r>
        <w:t>венства мужчин и женщин, что зачастую приводило к непродуманному уравн</w:t>
      </w:r>
      <w:r>
        <w:t>и</w:t>
      </w:r>
      <w:r>
        <w:t>ванию социальных функций без учета конкретных физиологических и псих</w:t>
      </w:r>
      <w:r>
        <w:t>о</w:t>
      </w:r>
      <w:r>
        <w:t>логических потребностей женщин и, хотя эта концепция и основывалась на всеобщем признании прав женщин и их осуществлении на практике, в резул</w:t>
      </w:r>
      <w:r>
        <w:t>ь</w:t>
      </w:r>
      <w:r>
        <w:t>тате ее применения часто достигался обратный эффект, который приводил к принижению женщины как полноправного члена общ</w:t>
      </w:r>
      <w:r>
        <w:t>е</w:t>
      </w:r>
      <w:r>
        <w:t>ства.</w:t>
      </w:r>
    </w:p>
    <w:p w:rsidR="00000000" w:rsidRDefault="00000000">
      <w:pPr>
        <w:pStyle w:val="SingleTxt"/>
      </w:pPr>
      <w:r>
        <w:t>27.</w:t>
      </w:r>
      <w:r>
        <w:tab/>
        <w:t>После восстановления независимости в 1991 году отношение к вопросу гендерного равенства в Латвии стало постепенно претерпевать изменения. О</w:t>
      </w:r>
      <w:r>
        <w:t>б</w:t>
      </w:r>
      <w:r>
        <w:t>щина получила доступ к материалам о феминистском движении и деятельности женских организаций и движений, деятельности политических партий и асс</w:t>
      </w:r>
      <w:r>
        <w:t>о</w:t>
      </w:r>
      <w:r>
        <w:t>циаций, что повлекло за собой изменение стереотипов. В целом все средства массовой информации постепенно и более последовательно отражают измен</w:t>
      </w:r>
      <w:r>
        <w:t>е</w:t>
      </w:r>
      <w:r>
        <w:t>ние стереотипов в отношении общественности к вопросу гендерного равенства. При рассмотрении вопроса о гендерном равенстве предлагаются различные модели взаимоотношений, и этот вопрос получает более терпимую оценку. Все чаще речь идет о личном выборе женщины и подчеркивается значение этого выбора. С мая 2000 года в Латвии действует Латвийская ассоциация по вопр</w:t>
      </w:r>
      <w:r>
        <w:t>о</w:t>
      </w:r>
      <w:r>
        <w:t>сам гендерного равенства, которая, будучи неправительственной организацией, оказывает содействие государственным учреждениям в поощрении гендерного равенс</w:t>
      </w:r>
      <w:r>
        <w:t>т</w:t>
      </w:r>
      <w:r>
        <w:t>ва.</w:t>
      </w:r>
    </w:p>
    <w:p w:rsidR="00000000" w:rsidRDefault="00000000">
      <w:pPr>
        <w:pStyle w:val="SingleTxt"/>
      </w:pPr>
      <w:r>
        <w:t>28.</w:t>
      </w:r>
      <w:r>
        <w:tab/>
        <w:t>Женщины в Латвии участвуют в решении проблем гендерного равенства прямым и косвенным путем. Для обсуждения этого вопроса организуются ко</w:t>
      </w:r>
      <w:r>
        <w:t>н</w:t>
      </w:r>
      <w:r>
        <w:t>ференции (так в мае 2001 года министерство благосостояния и Латвийская а</w:t>
      </w:r>
      <w:r>
        <w:t>с</w:t>
      </w:r>
      <w:r>
        <w:t>социация по вопросам гендерного равенства совместно организовали провед</w:t>
      </w:r>
      <w:r>
        <w:t>е</w:t>
      </w:r>
      <w:r>
        <w:t>ние первой Национальной конференции по гендерному равенству). Женщины-писатели, женщины-философы, актрисы, женщины-предприниматели и же</w:t>
      </w:r>
      <w:r>
        <w:t>н</w:t>
      </w:r>
      <w:r>
        <w:t>щины-политики публично выражают свои взгляды и отношение к жизни, у</w:t>
      </w:r>
      <w:r>
        <w:t>т</w:t>
      </w:r>
      <w:r>
        <w:t>верждают интеллектуальные способности женщин и отстаивают различные мнения по вопросу о гендерном равенстве.</w:t>
      </w:r>
    </w:p>
    <w:p w:rsidR="00000000" w:rsidRDefault="00000000">
      <w:pPr>
        <w:pStyle w:val="SingleTxt"/>
      </w:pPr>
      <w:r>
        <w:t>29.</w:t>
      </w:r>
      <w:r>
        <w:tab/>
        <w:t>Особое воздействие на формирование позиции средств массовой инфо</w:t>
      </w:r>
      <w:r>
        <w:t>р</w:t>
      </w:r>
      <w:r>
        <w:t>мации относительно роли женщины в обществе оказал тот факт, что наиболее популярными журналами и ежедневными газетами в Латвии успешно руков</w:t>
      </w:r>
      <w:r>
        <w:t>о</w:t>
      </w:r>
      <w:r>
        <w:t>дят женщины, и их деловые успехи оказали более сильное воздействие на ра</w:t>
      </w:r>
      <w:r>
        <w:t>з</w:t>
      </w:r>
      <w:r>
        <w:t>рушение стереотипов в отношении привычного разделения ролей в обществе, чем отдельные статьи и публикации. Так, например, главным редактором газ</w:t>
      </w:r>
      <w:r>
        <w:t>е</w:t>
      </w:r>
      <w:r>
        <w:t>ты «Диена» («Diena») – крупнейшей ежедневной газеты в Латвии – является С.Элерте. Аналогичным образом издательство «Журналс “Санта”» («Zurnals “Santa”), выпускающее большую часть еженедельных и ежемесячных журн</w:t>
      </w:r>
      <w:r>
        <w:t>а</w:t>
      </w:r>
      <w:r>
        <w:t>лов, имеющих самое широкое распространение и среди мужчин, и среди же</w:t>
      </w:r>
      <w:r>
        <w:t>н</w:t>
      </w:r>
      <w:r>
        <w:t>щин, возглавляет С.Данцберга-Анча. Латвийская ассоциация по вопросам ге</w:t>
      </w:r>
      <w:r>
        <w:t>н</w:t>
      </w:r>
      <w:r>
        <w:t>дерного равенства в своих замечаниях по проекту национального доклада Ла</w:t>
      </w:r>
      <w:r>
        <w:t>т</w:t>
      </w:r>
      <w:r>
        <w:t>вии об осуществлении Конвенции выражает мнение о том, что наличие н</w:t>
      </w:r>
      <w:r>
        <w:t>е</w:t>
      </w:r>
      <w:r>
        <w:t>скольких женщин на руководящих должностях в целом не может уничтожить существующие стереотипы, и ссылается для сравнения на представленные н</w:t>
      </w:r>
      <w:r>
        <w:t>и</w:t>
      </w:r>
      <w:r>
        <w:t>же в докладе данные о женщинах-работодателях и женщинах, работающих в ведущих учреждениях гражданской службы. Аналогичным образом Латвийская ассоциация по вопросам гендерного равенства отмечает, что до сих пор радио- и телевизионные программы по вопросам гендерного равенства оказывали н</w:t>
      </w:r>
      <w:r>
        <w:t>е</w:t>
      </w:r>
      <w:r>
        <w:t>значительное воздействие и что для того, чтобы изменить общественное мн</w:t>
      </w:r>
      <w:r>
        <w:t>е</w:t>
      </w:r>
      <w:r>
        <w:t>ние о том, что является приемлемым для женщин, а что - для мужчин, необх</w:t>
      </w:r>
      <w:r>
        <w:t>о</w:t>
      </w:r>
      <w:r>
        <w:t>димо, чтобы не только неправительственные организации признали потре</w:t>
      </w:r>
      <w:r>
        <w:t>б</w:t>
      </w:r>
      <w:r>
        <w:t>ность в проведении систематической работы в этой области.</w:t>
      </w:r>
    </w:p>
    <w:p w:rsidR="00000000" w:rsidRDefault="00000000">
      <w:pPr>
        <w:pStyle w:val="SingleTxt"/>
      </w:pPr>
      <w:r>
        <w:t>30.</w:t>
      </w:r>
      <w:r>
        <w:tab/>
        <w:t>В Латвии существуют два национальных телевизионных канала и два крупных коммерческих телевизионных канала. Большинство журналистов, р</w:t>
      </w:r>
      <w:r>
        <w:t>а</w:t>
      </w:r>
      <w:r>
        <w:t>ботающих в службах новостей, а также в культурных и художественных пр</w:t>
      </w:r>
      <w:r>
        <w:t>о</w:t>
      </w:r>
      <w:r>
        <w:t>граммах и в программах, ориентированных на семью, являются женщинами. В программах для семей, представляемых обоими видами телевизионных кан</w:t>
      </w:r>
      <w:r>
        <w:t>а</w:t>
      </w:r>
      <w:r>
        <w:t>лов, подчеркиваются равная ответственность и равная забота обоих родителей о членах их семьи, а также равные возможности развития профессиональной карьеры.</w:t>
      </w:r>
    </w:p>
    <w:p w:rsidR="00000000" w:rsidRDefault="00000000">
      <w:pPr>
        <w:pStyle w:val="SingleTxt"/>
      </w:pPr>
      <w:r>
        <w:t>31.</w:t>
      </w:r>
      <w:r>
        <w:tab/>
        <w:t>Аналогичным образом программы, представляемые Латвийским наци</w:t>
      </w:r>
      <w:r>
        <w:t>о</w:t>
      </w:r>
      <w:r>
        <w:t>нальным радио и коммерческими радиостанциями, не содержат никакого ос</w:t>
      </w:r>
      <w:r>
        <w:t>о</w:t>
      </w:r>
      <w:r>
        <w:t>бого противопоставления мужчин и женщин; можно отметить, что в них по</w:t>
      </w:r>
      <w:r>
        <w:t>д</w:t>
      </w:r>
      <w:r>
        <w:t>черкиваются профессиональные качества женщин и приводятся примеры их успешного карьерного роста. Все чаще в рамках обсуждения общественных вопросов радиопередачи признают значение права женщины на свободу выб</w:t>
      </w:r>
      <w:r>
        <w:t>о</w:t>
      </w:r>
      <w:r>
        <w:t>ра.</w:t>
      </w:r>
    </w:p>
    <w:p w:rsidR="00000000" w:rsidRDefault="00000000">
      <w:pPr>
        <w:pStyle w:val="SingleTxt"/>
      </w:pPr>
      <w:r>
        <w:t>32.</w:t>
      </w:r>
      <w:r>
        <w:tab/>
        <w:t>На общественное мнение в Латвии также влияет растущее и ширящееся сотрудничество Латвии со скандинавскими странами, в которых движение за эмансипацию женщин является традиционно сильным и доказало свое знач</w:t>
      </w:r>
      <w:r>
        <w:t>е</w:t>
      </w:r>
      <w:r>
        <w:t>ние и устойчивость. Были проведены конференции с участием женщин из скандинавских и балтийских стран. В своих замечаниях Латвийская ассоци</w:t>
      </w:r>
      <w:r>
        <w:t>а</w:t>
      </w:r>
      <w:r>
        <w:t>ция по вопросам гендерного равенства отмечает, что представители Латвии участвовали в Пекинской конференции Организации Объединенных Наций в 1995 году, а также в мероприятиях «Пекин + 5» в 2000 году (в Нью-Йорке, Ж</w:t>
      </w:r>
      <w:r>
        <w:t>е</w:t>
      </w:r>
      <w:r>
        <w:t>неве и Вильнюсе).</w:t>
      </w:r>
    </w:p>
    <w:p w:rsidR="00000000" w:rsidRDefault="00000000">
      <w:pPr>
        <w:pStyle w:val="SingleTxt"/>
      </w:pPr>
      <w:r>
        <w:t>33.</w:t>
      </w:r>
      <w:r>
        <w:tab/>
        <w:t>В своих замечаниях Национальное управление по правам человека и</w:t>
      </w:r>
      <w:r>
        <w:t>н</w:t>
      </w:r>
      <w:r>
        <w:t>формирует о том, что оно получило небольшое число жалоб, связанных с нас</w:t>
      </w:r>
      <w:r>
        <w:t>и</w:t>
      </w:r>
      <w:r>
        <w:t>лием в семье, но даже эти немногие жалобы или трагические случаи, связа</w:t>
      </w:r>
      <w:r>
        <w:t>н</w:t>
      </w:r>
      <w:r>
        <w:t>ные с тем, что насилие в семье не было своевременно урегулировано, позвол</w:t>
      </w:r>
      <w:r>
        <w:t>я</w:t>
      </w:r>
      <w:r>
        <w:t>ют рассматривать дискриминацию женщин в вопросах личной безопасности в качестве реальной проблемы в Латвии. Хотя законодательные акты предусма</w:t>
      </w:r>
      <w:r>
        <w:t>т</w:t>
      </w:r>
      <w:r>
        <w:t>ривают уголовную ответственность за физическое насилие, Национальное управление по правам человека считает, что правоохранительные учреждения Латвии не уделяют достаточно внимания проявлениям физического насилия в семьях, если телесные повреждения, нанесенные женщине, не могут квалиф</w:t>
      </w:r>
      <w:r>
        <w:t>и</w:t>
      </w:r>
      <w:r>
        <w:t>цироваться как тяжелые или по крайней мере средней тяжести. Кроме того, в законодательных актах не содержится определения психологического насилия на рабочем месте или в семье, а также не предусматривается никакой механизм для предотвращения такого насилия. Национальное управление по правам ч</w:t>
      </w:r>
      <w:r>
        <w:t>е</w:t>
      </w:r>
      <w:r>
        <w:t>ловека считает, что эти факторы еще более усиливают нежелание женщин с</w:t>
      </w:r>
      <w:r>
        <w:t>о</w:t>
      </w:r>
      <w:r>
        <w:t>общать в правоохранительные органы о случаях насилия и что эта проблема не будет решена без поддержки со стороны государства, без оказания государс</w:t>
      </w:r>
      <w:r>
        <w:t>т</w:t>
      </w:r>
      <w:r>
        <w:t>венной и муниципальной помощи жертвам насилия и внесения поправок в З</w:t>
      </w:r>
      <w:r>
        <w:t>а</w:t>
      </w:r>
      <w:r>
        <w:t>кон об уголовной ответственности, равно как и без изменения отношения п</w:t>
      </w:r>
      <w:r>
        <w:t>о</w:t>
      </w:r>
      <w:r>
        <w:t>лиции к насилию в семье, т.е. необходимо, чтобы такое насилие перестало ра</w:t>
      </w:r>
      <w:r>
        <w:t>с</w:t>
      </w:r>
      <w:r>
        <w:t>сматриват</w:t>
      </w:r>
      <w:r>
        <w:t>ь</w:t>
      </w:r>
      <w:r>
        <w:t>ся как простая семейная ссора, а рассматривалось как преступление.</w:t>
      </w:r>
    </w:p>
    <w:p w:rsidR="00000000" w:rsidRDefault="00000000">
      <w:pPr>
        <w:pStyle w:val="SingleTxt"/>
      </w:pPr>
      <w:r>
        <w:t>34.</w:t>
      </w:r>
      <w:r>
        <w:tab/>
        <w:t>В целях урегулирования проблемы, касающейся насилия в отношении женщин в семье, Центральное управление уголовной полиции государственной полиции уже на протяжении многих лет сотрудничает с кризисным центром «Скалбес» («Sk</w:t>
      </w:r>
      <w:r>
        <w:rPr>
          <w:lang w:val="en-US"/>
        </w:rPr>
        <w:t>a</w:t>
      </w:r>
      <w:r>
        <w:t>lbes») сотрудники которого (психологи, психиатры и социал</w:t>
      </w:r>
      <w:r>
        <w:t>ь</w:t>
      </w:r>
      <w:r>
        <w:t>ные работники, оказывающие анонимную помощь лицам в кризисных ситуац</w:t>
      </w:r>
      <w:r>
        <w:t>и</w:t>
      </w:r>
      <w:r>
        <w:t>ях) проводят учебные и информационные семинары для сотрудников госуда</w:t>
      </w:r>
      <w:r>
        <w:t>р</w:t>
      </w:r>
      <w:r>
        <w:t>ственной полиции по проблематике реагирования людей в кризисных ситуац</w:t>
      </w:r>
      <w:r>
        <w:t>и</w:t>
      </w:r>
      <w:r>
        <w:t>ях, насилия в семье и урегулирования стрессовых ситуаций. В рамках этого с</w:t>
      </w:r>
      <w:r>
        <w:t>о</w:t>
      </w:r>
      <w:r>
        <w:t>трудничества в 2002 году, например, две группы сотрудниц государственной полиции прошли подготовку по вопросам оказания помощи жертвам сексуал</w:t>
      </w:r>
      <w:r>
        <w:t>ь</w:t>
      </w:r>
      <w:r>
        <w:t>ного насилия. В результате женщины, которые пострадали от сексуального н</w:t>
      </w:r>
      <w:r>
        <w:t>а</w:t>
      </w:r>
      <w:r>
        <w:t>силия, имеют сейчас возможность обратиться в Риге, рижской области, Юрм</w:t>
      </w:r>
      <w:r>
        <w:t>а</w:t>
      </w:r>
      <w:r>
        <w:t>ле и Валмиере к сотрудникам полиции, которые в рамках вышеупомянутых курсов подготовки приобрели навыки общения с жертвами сексуального нас</w:t>
      </w:r>
      <w:r>
        <w:t>и</w:t>
      </w:r>
      <w:r>
        <w:t>лия, а также были обучены методам снижения стрессов. Аналогичным образом государственная полиция также сотрудничает с другими неправительственн</w:t>
      </w:r>
      <w:r>
        <w:t>ы</w:t>
      </w:r>
      <w:r>
        <w:t>ми организациями, например, с медицинским центром «Гендерс» («Genders») в области оказания медицинской и психологической помощи, которая предоста</w:t>
      </w:r>
      <w:r>
        <w:t>в</w:t>
      </w:r>
      <w:r>
        <w:t>ляется женщинам, являющимся жертвами сексуальных злоупотреблений и се</w:t>
      </w:r>
      <w:r>
        <w:t>к</w:t>
      </w:r>
      <w:r>
        <w:t>суального насилия; с латвийским отделением «Фонда Сороса», участвующим в осуществлении совместных проектов в различных сферах, а также с Центром социальной реабилитации, участвуя в обмене информацией и предоставляя п</w:t>
      </w:r>
      <w:r>
        <w:t>о</w:t>
      </w:r>
      <w:r>
        <w:t>мощь женщинам, которые являются жертвами насилия. Кроме того были со</w:t>
      </w:r>
      <w:r>
        <w:t>з</w:t>
      </w:r>
      <w:r>
        <w:t>даны междисциплинарные группы, в рамках которых медицинский персонал, а также сотрудники организаций психологической и социальной помощи обсу</w:t>
      </w:r>
      <w:r>
        <w:t>ж</w:t>
      </w:r>
      <w:r>
        <w:t>дают с сотрудниками государственной и муниципальной полиции различные проблемы в этой области, анализируя каждый конкретный акт насилия в семье. Также было обеспечено участие психологов в совместных выборочных прове</w:t>
      </w:r>
      <w:r>
        <w:t>р</w:t>
      </w:r>
      <w:r>
        <w:t>ках, проводимых государственной и муниципальной полицией с целью предо</w:t>
      </w:r>
      <w:r>
        <w:t>с</w:t>
      </w:r>
      <w:r>
        <w:t>тавления необходимой помощи лицам в конкретных ситуациях. В соответствии с данными Информационного центра министерства внутренних дел о правон</w:t>
      </w:r>
      <w:r>
        <w:t>а</w:t>
      </w:r>
      <w:r>
        <w:t>рушениях в семье, в 2000 году были возбуждены три уголовных дела в связи с насилием в семье, в то время как в 2001 году – уже 13 уголовных дел. Эта и</w:t>
      </w:r>
      <w:r>
        <w:t>н</w:t>
      </w:r>
      <w:r>
        <w:t>формация свидетельствует о том, что и женщины, являющиеся жертвами нас</w:t>
      </w:r>
      <w:r>
        <w:t>и</w:t>
      </w:r>
      <w:r>
        <w:t>лия, все больше доверяют полиции и становятся мужественнее, сообщая о с</w:t>
      </w:r>
      <w:r>
        <w:t>о</w:t>
      </w:r>
      <w:r>
        <w:t>вершенном насилии, и сотрудники полиции становятся более информирова</w:t>
      </w:r>
      <w:r>
        <w:t>н</w:t>
      </w:r>
      <w:r>
        <w:t>ными о проблеме насилия в семье.</w:t>
      </w:r>
    </w:p>
    <w:p w:rsidR="00000000" w:rsidRDefault="00000000">
      <w:pPr>
        <w:pStyle w:val="SingleTxt"/>
      </w:pPr>
      <w:r>
        <w:t>35.</w:t>
      </w:r>
      <w:r>
        <w:tab/>
        <w:t>В своих замечаниях Латвийская ассоциация по вопросам гендерного р</w:t>
      </w:r>
      <w:r>
        <w:t>а</w:t>
      </w:r>
      <w:r>
        <w:t>венства отмечает, что результаты обзора под названием «Понимание людьми вопроса о гендерном равенстве и их отношение к нему», который был проведен в конце 2001 года, свидетельствуют о том, что латвийское общество считает, что ограничения по признаку пола по-прежнему существуют. В ходе этого о</w:t>
      </w:r>
      <w:r>
        <w:t>б</w:t>
      </w:r>
      <w:r>
        <w:t>зора жители Латвии чаще всего указывали, что различия между полами в о</w:t>
      </w:r>
      <w:r>
        <w:t>т</w:t>
      </w:r>
      <w:r>
        <w:t>ношении различных ограничений чаще наблюдаются в том, что касается прав (60,2 процента), в то время как в отношении возможностей такой ответ встр</w:t>
      </w:r>
      <w:r>
        <w:t>е</w:t>
      </w:r>
      <w:r>
        <w:t>чался реже (36,7 процента). Участники обзора также признали, что на деле о</w:t>
      </w:r>
      <w:r>
        <w:t>г</w:t>
      </w:r>
      <w:r>
        <w:t>раничения возможностей женщин являются более широкими (47,2 процента). Латвийская ассоциация по вопросам гендерного равенства также считает нег</w:t>
      </w:r>
      <w:r>
        <w:t>а</w:t>
      </w:r>
      <w:r>
        <w:t>тивным использование средствами массовой информации терминов “женская литература” и “женский мир”, а также признание существования различных ролей в обществе.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48490440"/>
      <w:r>
        <w:tab/>
      </w:r>
      <w:r>
        <w:tab/>
        <w:t>Статья 6</w:t>
      </w:r>
      <w:bookmarkEnd w:id="11"/>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36.</w:t>
      </w:r>
      <w:r>
        <w:tab/>
        <w:t>После восстановления независимости Латвия приняла международные обязательства по предотвращению сексуальной эксплуатации людей. Конве</w:t>
      </w:r>
      <w:r>
        <w:t>н</w:t>
      </w:r>
      <w:r>
        <w:t>ция о борьбе с торговлей людьми и с эксплуатацией проституции третьими л</w:t>
      </w:r>
      <w:r>
        <w:t>и</w:t>
      </w:r>
      <w:r>
        <w:t>цами от 2 декабря 1949 года действует в Латвии с 13 июля 1992 года, и в соо</w:t>
      </w:r>
      <w:r>
        <w:t>т</w:t>
      </w:r>
      <w:r>
        <w:t>ветствии с вышеуказанной Конвенцией проституция не может быть признана профессией. Это мнение определяет также и действия государственной пол</w:t>
      </w:r>
      <w:r>
        <w:t>и</w:t>
      </w:r>
      <w:r>
        <w:t>ции.</w:t>
      </w:r>
    </w:p>
    <w:p w:rsidR="00000000" w:rsidRDefault="00000000">
      <w:pPr>
        <w:pStyle w:val="SingleTxt"/>
      </w:pPr>
      <w:r>
        <w:t>37.</w:t>
      </w:r>
      <w:r>
        <w:tab/>
        <w:t>В соответствии со статьей 11 Постановления No.210 кабинета министров от 22 мая 2001 года «Об ограничении проституции» в Латвии запрещена любая деятельность третьей стороны, связанная с содействием проституции. В выш</w:t>
      </w:r>
      <w:r>
        <w:t>е</w:t>
      </w:r>
      <w:r>
        <w:t>указанном Постановлении приводится весь спектр запрещенной деятельности, связанной с содействием проституции, включая содержание публичных домов, управление публичными домами, осознанное финансирование или участие в финансировании подобных заведений. Нарушение положений этого Постано</w:t>
      </w:r>
      <w:r>
        <w:t>в</w:t>
      </w:r>
      <w:r>
        <w:t>ления влечет за собой административную ответственность, а также уголовную ответственность в случае повторного совершения подобных деяний в течение одного года п</w:t>
      </w:r>
      <w:r>
        <w:t>о</w:t>
      </w:r>
      <w:r>
        <w:t>сле наложения административного штрафа.</w:t>
      </w:r>
    </w:p>
    <w:p w:rsidR="00000000" w:rsidRDefault="00000000">
      <w:pPr>
        <w:pStyle w:val="SingleTxt"/>
      </w:pPr>
      <w:r>
        <w:t>38.</w:t>
      </w:r>
      <w:r>
        <w:tab/>
        <w:t>Кроме того Закон об уголовной ответственности предусматривает уголо</w:t>
      </w:r>
      <w:r>
        <w:t>в</w:t>
      </w:r>
      <w:r>
        <w:t>ную ответственность за другие уголовные правонарушения в сфере простит</w:t>
      </w:r>
      <w:r>
        <w:t>у</w:t>
      </w:r>
      <w:r>
        <w:t>ции и эксплуатации проституции. Статья 164 «Принуждение к занятию прост</w:t>
      </w:r>
      <w:r>
        <w:t>и</w:t>
      </w:r>
      <w:r>
        <w:t>туцией» предписывает санкционные меры в виде лишения свободы на срок до трех лет или ареста с заключением под стражу, или штрафа в размере, не пр</w:t>
      </w:r>
      <w:r>
        <w:t>е</w:t>
      </w:r>
      <w:r>
        <w:t>вышающем шестьдесят минимальных месячных окладов. Вовлечение лица в занятие проституцией, злонамеренно используя доверие этого лица или приб</w:t>
      </w:r>
      <w:r>
        <w:t>е</w:t>
      </w:r>
      <w:r>
        <w:t>гая к обману, или используя зависимость этого лица от правонарушителя или состояние беспомощности этого лица, наказывается лишением свободы на срок до пяти лет или штрафом в размере, не превышающем сто двадцать минимал</w:t>
      </w:r>
      <w:r>
        <w:t>ь</w:t>
      </w:r>
      <w:r>
        <w:t>ных месячных окладов с конфискацией или без конфискации имущества. П</w:t>
      </w:r>
      <w:r>
        <w:t>о</w:t>
      </w:r>
      <w:r>
        <w:t>буждение или принуждение несовершеннолетнего лица (в возрасте до 18 лет) к занятию проституцией или предоставление помещения несовершеннолетним для целей занятия проституцией может наказываться лишением свободы на срок до шести лет с конфискацией или без конфискации имущества. Побужд</w:t>
      </w:r>
      <w:r>
        <w:t>е</w:t>
      </w:r>
      <w:r>
        <w:t>ние или принуждение малолетних лиц (в возрасте до 14 лет) к занятию прост</w:t>
      </w:r>
      <w:r>
        <w:t>и</w:t>
      </w:r>
      <w:r>
        <w:t>туцией или предоставление помещения малолетним лицам для целей занятия проституцией может наказываться лишением свободы на срок от пяти до дв</w:t>
      </w:r>
      <w:r>
        <w:t>е</w:t>
      </w:r>
      <w:r>
        <w:t>надцати лет с конфискацией или без конфискации имущества.</w:t>
      </w:r>
    </w:p>
    <w:p w:rsidR="00000000" w:rsidRDefault="00000000">
      <w:pPr>
        <w:pStyle w:val="SingleTxt"/>
      </w:pPr>
      <w:r>
        <w:t>39.</w:t>
      </w:r>
      <w:r>
        <w:tab/>
        <w:t>Статья 165 Закона об уголовной ответственности предусматривает отве</w:t>
      </w:r>
      <w:r>
        <w:t>т</w:t>
      </w:r>
      <w:r>
        <w:t>ственность за проживание с доходов от проституции. Использование лица, к</w:t>
      </w:r>
      <w:r>
        <w:t>о</w:t>
      </w:r>
      <w:r>
        <w:t>торое занимается проституцией, для целей материальной выгоды может нак</w:t>
      </w:r>
      <w:r>
        <w:t>а</w:t>
      </w:r>
      <w:r>
        <w:t>зываться лишением свободы на срок до четырех лет с конфискацией или без конфискации имущества. Законодательные акты Латвии предусматривают л</w:t>
      </w:r>
      <w:r>
        <w:t>и</w:t>
      </w:r>
      <w:r>
        <w:t>шение свободы на срок до восьми лет и конфискацию имущества в качестве наказания за аналогичные деяния, если они совершаются группой лиц в соо</w:t>
      </w:r>
      <w:r>
        <w:t>т</w:t>
      </w:r>
      <w:r>
        <w:t>ветствии с ранее достигнутой договоренностью или если они совершаются в отношении несовершеннолетних лиц (в возрасте до 18 лет). В свою очередь, те же акты, если они совершаются группой лиц в соответствии с ранее достигн</w:t>
      </w:r>
      <w:r>
        <w:t>у</w:t>
      </w:r>
      <w:r>
        <w:t>той договоренностью и если они совершаются в отношении малолетних лиц (в возрасте до 14 лет), наказываются лишением свободы на срок от пяти до дв</w:t>
      </w:r>
      <w:r>
        <w:t>е</w:t>
      </w:r>
      <w:r>
        <w:t>надцати лет с конфискацией имущества.</w:t>
      </w:r>
    </w:p>
    <w:p w:rsidR="00000000" w:rsidRDefault="00000000">
      <w:pPr>
        <w:pStyle w:val="SingleTxt"/>
      </w:pPr>
      <w:r>
        <w:t>40.</w:t>
      </w:r>
      <w:r>
        <w:tab/>
        <w:t>Статья 165.1 Закона об уголовной ответственности, пересмотренный в</w:t>
      </w:r>
      <w:r>
        <w:t>а</w:t>
      </w:r>
      <w:r>
        <w:t>риант которой вошел в силу 15 июня 2000 года, признает направление лица за границу для цели сексуальной эксплуатации в качестве уголовного преступл</w:t>
      </w:r>
      <w:r>
        <w:t>е</w:t>
      </w:r>
      <w:r>
        <w:t>ния. В соответствии с вышеуказанной статьей лица, виновные в направлении лица с согласия этого лица за границу для цели сексуальной эксплуатации м</w:t>
      </w:r>
      <w:r>
        <w:t>о</w:t>
      </w:r>
      <w:r>
        <w:t>гут наказываться лишением свободы на срок до четырех лет. Те же акты, если они совершены в целях получения материальной выгоды или в отношении н</w:t>
      </w:r>
      <w:r>
        <w:t>е</w:t>
      </w:r>
      <w:r>
        <w:t>совершеннолетнего лица наказываются лишением свободы на срок до десяти лет с конфискацией или без конфискации имущества. Вышеуказанные акты, если они совершаются организованной группой или если они были совершены в отношении малолетнего лица, наказываются лишением свободы на срок от вос</w:t>
      </w:r>
      <w:r>
        <w:t>ь</w:t>
      </w:r>
      <w:r>
        <w:t>ми до пятнадцати лет с конфискацией имущества.</w:t>
      </w:r>
    </w:p>
    <w:p w:rsidR="00000000" w:rsidRDefault="00000000">
      <w:pPr>
        <w:pStyle w:val="SingleTxt"/>
      </w:pPr>
      <w:r>
        <w:t>41.</w:t>
      </w:r>
      <w:r>
        <w:tab/>
        <w:t>В отношении лиц, которые ввозят, производят, проводят общественную демонстрацию, рекламируют или иным образом распространяют такие порн</w:t>
      </w:r>
      <w:r>
        <w:t>о</w:t>
      </w:r>
      <w:r>
        <w:t>графические или эротические материалы, которые касаются или отображают сексуальные злоупотребления с детьми, скотоложство, некрофилию или нас</w:t>
      </w:r>
      <w:r>
        <w:t>и</w:t>
      </w:r>
      <w:r>
        <w:t>лие порнографического характера, или хранят такие материалы для аналоги</w:t>
      </w:r>
      <w:r>
        <w:t>ч</w:t>
      </w:r>
      <w:r>
        <w:t>ных целей, применяется наказание в виде лишения свободы на срок, не прев</w:t>
      </w:r>
      <w:r>
        <w:t>ы</w:t>
      </w:r>
      <w:r>
        <w:t>шающий трех лет, или штрафа в размере, не превышающем пятьдесят мин</w:t>
      </w:r>
      <w:r>
        <w:t>и</w:t>
      </w:r>
      <w:r>
        <w:t>мальных месячных окладов, с конфискацией или без конфискации имущества. Лица, использующие несовершеннолетних лиц для целей производства (созд</w:t>
      </w:r>
      <w:r>
        <w:t>а</w:t>
      </w:r>
      <w:r>
        <w:t>ния) порнографических или эротических материалов, наказываются лишением свободы на срок, не превышающий шести лет, или штрафом в размере, не пр</w:t>
      </w:r>
      <w:r>
        <w:t>е</w:t>
      </w:r>
      <w:r>
        <w:t>вышающем восемьдесят минимальных месячных окладов, с конфискацией или без конфискации имущества. Лица, использующие малолетних лиц для целей производства (создания) порнографических или эротических материалов, нак</w:t>
      </w:r>
      <w:r>
        <w:t>а</w:t>
      </w:r>
      <w:r>
        <w:t>зываются лишением свободы на срок не менее пяти и не более двенадцати лет с конфискацией или без конфискации имущества.</w:t>
      </w:r>
    </w:p>
    <w:p w:rsidR="00000000" w:rsidRDefault="00000000">
      <w:pPr>
        <w:pStyle w:val="SingleTxt"/>
      </w:pPr>
    </w:p>
    <w:p w:rsidR="00000000" w:rsidRDefault="00000000">
      <w:pPr>
        <w:pStyle w:val="SingleTxt"/>
        <w:suppressAutoHyphens/>
        <w:spacing w:after="0" w:line="120" w:lineRule="exact"/>
        <w:jc w:val="center"/>
        <w:rPr>
          <w:b/>
          <w:sz w:val="10"/>
        </w:rPr>
      </w:pPr>
      <w:r>
        <w:rPr>
          <w:b/>
        </w:rPr>
        <w:br w:type="page"/>
      </w:r>
    </w:p>
    <w:p w:rsidR="00000000" w:rsidRDefault="00000000">
      <w:pPr>
        <w:pStyle w:val="SingleTxt"/>
        <w:suppressAutoHyphens/>
        <w:jc w:val="center"/>
        <w:rPr>
          <w:b/>
        </w:rPr>
      </w:pPr>
      <w:r>
        <w:rPr>
          <w:b/>
        </w:rPr>
        <w:t>Статистические данные об уголовных делах,</w:t>
      </w:r>
      <w:r>
        <w:rPr>
          <w:b/>
          <w:lang w:val="en-US"/>
        </w:rPr>
        <w:t xml:space="preserve"> </w:t>
      </w:r>
      <w:r>
        <w:rPr>
          <w:b/>
        </w:rPr>
        <w:t xml:space="preserve">возбужденных </w:t>
      </w:r>
      <w:r>
        <w:rPr>
          <w:b/>
          <w:lang w:val="en-US"/>
        </w:rPr>
        <w:br/>
      </w:r>
      <w:r>
        <w:rPr>
          <w:b/>
        </w:rPr>
        <w:t xml:space="preserve">в соответствии с Законом об уголовной ответственности, </w:t>
      </w:r>
      <w:r>
        <w:rPr>
          <w:b/>
          <w:lang w:val="en-US"/>
        </w:rPr>
        <w:br/>
      </w:r>
      <w:r>
        <w:rPr>
          <w:b/>
        </w:rPr>
        <w:t>в которых жертвами пр</w:t>
      </w:r>
      <w:r>
        <w:rPr>
          <w:b/>
        </w:rPr>
        <w:t>е</w:t>
      </w:r>
      <w:r>
        <w:rPr>
          <w:b/>
        </w:rPr>
        <w:t>ступлений являются женщины</w:t>
      </w:r>
    </w:p>
    <w:p w:rsidR="00000000" w:rsidRDefault="00000000">
      <w:pPr>
        <w:pStyle w:val="SingleTxt"/>
        <w:spacing w:after="0" w:line="120" w:lineRule="exact"/>
        <w:rPr>
          <w:b/>
          <w:sz w:val="10"/>
        </w:rPr>
      </w:pPr>
    </w:p>
    <w:tbl>
      <w:tblPr>
        <w:tblW w:w="0" w:type="auto"/>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05"/>
        <w:gridCol w:w="459"/>
        <w:gridCol w:w="396"/>
        <w:gridCol w:w="450"/>
        <w:gridCol w:w="396"/>
        <w:gridCol w:w="414"/>
        <w:gridCol w:w="396"/>
        <w:gridCol w:w="396"/>
        <w:gridCol w:w="405"/>
        <w:gridCol w:w="405"/>
        <w:gridCol w:w="414"/>
        <w:gridCol w:w="450"/>
        <w:gridCol w:w="387"/>
        <w:gridCol w:w="414"/>
        <w:gridCol w:w="405"/>
      </w:tblGrid>
      <w:tr w:rsidR="00000000">
        <w:tblPrEx>
          <w:tblCellMar>
            <w:top w:w="0" w:type="dxa"/>
            <w:bottom w:w="0" w:type="dxa"/>
          </w:tblCellMar>
        </w:tblPrEx>
        <w:trPr>
          <w:trHeight w:val="287"/>
        </w:trPr>
        <w:tc>
          <w:tcPr>
            <w:tcW w:w="4005" w:type="dxa"/>
          </w:tcPr>
          <w:p w:rsidR="00000000" w:rsidRDefault="00000000">
            <w:pPr>
              <w:pStyle w:val="DualTxt"/>
              <w:spacing w:before="40" w:after="80" w:line="210" w:lineRule="exact"/>
              <w:ind w:left="14" w:right="14"/>
              <w:jc w:val="left"/>
              <w:rPr>
                <w:sz w:val="14"/>
              </w:rPr>
            </w:pPr>
          </w:p>
        </w:tc>
        <w:tc>
          <w:tcPr>
            <w:tcW w:w="855" w:type="dxa"/>
            <w:gridSpan w:val="2"/>
          </w:tcPr>
          <w:p w:rsidR="00000000" w:rsidRDefault="00000000">
            <w:pPr>
              <w:pStyle w:val="DualTxt"/>
              <w:spacing w:before="40" w:after="80" w:line="210" w:lineRule="exact"/>
              <w:ind w:left="14" w:right="14"/>
              <w:rPr>
                <w:sz w:val="14"/>
              </w:rPr>
            </w:pPr>
            <w:r>
              <w:rPr>
                <w:sz w:val="14"/>
              </w:rPr>
              <w:t>1995 год</w:t>
            </w:r>
          </w:p>
        </w:tc>
        <w:tc>
          <w:tcPr>
            <w:tcW w:w="846" w:type="dxa"/>
            <w:gridSpan w:val="2"/>
          </w:tcPr>
          <w:p w:rsidR="00000000" w:rsidRDefault="00000000">
            <w:pPr>
              <w:pStyle w:val="DualTxt"/>
              <w:spacing w:before="40" w:after="80" w:line="210" w:lineRule="exact"/>
              <w:ind w:left="14" w:right="14"/>
              <w:rPr>
                <w:sz w:val="14"/>
              </w:rPr>
            </w:pPr>
            <w:r>
              <w:rPr>
                <w:sz w:val="14"/>
              </w:rPr>
              <w:t>1996 год</w:t>
            </w:r>
          </w:p>
        </w:tc>
        <w:tc>
          <w:tcPr>
            <w:tcW w:w="810" w:type="dxa"/>
            <w:gridSpan w:val="2"/>
          </w:tcPr>
          <w:p w:rsidR="00000000" w:rsidRDefault="00000000">
            <w:pPr>
              <w:pStyle w:val="DualTxt"/>
              <w:spacing w:before="40" w:after="80" w:line="210" w:lineRule="exact"/>
              <w:ind w:left="14" w:right="14"/>
              <w:rPr>
                <w:sz w:val="14"/>
              </w:rPr>
            </w:pPr>
            <w:r>
              <w:rPr>
                <w:sz w:val="14"/>
              </w:rPr>
              <w:t>1997 год</w:t>
            </w:r>
          </w:p>
        </w:tc>
        <w:tc>
          <w:tcPr>
            <w:tcW w:w="801" w:type="dxa"/>
            <w:gridSpan w:val="2"/>
          </w:tcPr>
          <w:p w:rsidR="00000000" w:rsidRDefault="00000000">
            <w:pPr>
              <w:pStyle w:val="DualTxt"/>
              <w:spacing w:before="40" w:after="80" w:line="210" w:lineRule="exact"/>
              <w:ind w:left="14" w:right="14"/>
              <w:rPr>
                <w:sz w:val="14"/>
              </w:rPr>
            </w:pPr>
            <w:r>
              <w:rPr>
                <w:sz w:val="14"/>
              </w:rPr>
              <w:t>1998 год</w:t>
            </w:r>
          </w:p>
        </w:tc>
        <w:tc>
          <w:tcPr>
            <w:tcW w:w="819" w:type="dxa"/>
            <w:gridSpan w:val="2"/>
          </w:tcPr>
          <w:p w:rsidR="00000000" w:rsidRDefault="00000000">
            <w:pPr>
              <w:pStyle w:val="DualTxt"/>
              <w:spacing w:before="40" w:after="80" w:line="210" w:lineRule="exact"/>
              <w:ind w:left="14" w:right="14"/>
              <w:rPr>
                <w:sz w:val="14"/>
              </w:rPr>
            </w:pPr>
            <w:r>
              <w:rPr>
                <w:sz w:val="14"/>
              </w:rPr>
              <w:t>1999 год</w:t>
            </w:r>
          </w:p>
        </w:tc>
        <w:tc>
          <w:tcPr>
            <w:tcW w:w="837" w:type="dxa"/>
            <w:gridSpan w:val="2"/>
          </w:tcPr>
          <w:p w:rsidR="00000000" w:rsidRDefault="00000000">
            <w:pPr>
              <w:pStyle w:val="DualTxt"/>
              <w:spacing w:before="40" w:after="80" w:line="210" w:lineRule="exact"/>
              <w:ind w:left="14" w:right="14"/>
              <w:rPr>
                <w:sz w:val="14"/>
              </w:rPr>
            </w:pPr>
            <w:r>
              <w:rPr>
                <w:sz w:val="14"/>
              </w:rPr>
              <w:t>2000 год</w:t>
            </w:r>
          </w:p>
        </w:tc>
        <w:tc>
          <w:tcPr>
            <w:tcW w:w="819" w:type="dxa"/>
            <w:gridSpan w:val="2"/>
          </w:tcPr>
          <w:p w:rsidR="00000000" w:rsidRDefault="00000000">
            <w:pPr>
              <w:pStyle w:val="DualTxt"/>
              <w:spacing w:before="40" w:after="80" w:line="210" w:lineRule="exact"/>
              <w:ind w:left="14" w:right="14"/>
              <w:rPr>
                <w:sz w:val="14"/>
              </w:rPr>
            </w:pPr>
            <w:r>
              <w:rPr>
                <w:sz w:val="14"/>
              </w:rPr>
              <w:t>2001 год</w:t>
            </w:r>
          </w:p>
        </w:tc>
      </w:tr>
      <w:tr w:rsidR="00000000">
        <w:tblPrEx>
          <w:tblCellMar>
            <w:top w:w="0" w:type="dxa"/>
            <w:bottom w:w="0" w:type="dxa"/>
          </w:tblCellMar>
        </w:tblPrEx>
        <w:trPr>
          <w:cantSplit/>
          <w:trHeight w:val="1173"/>
        </w:trPr>
        <w:tc>
          <w:tcPr>
            <w:tcW w:w="4005" w:type="dxa"/>
          </w:tcPr>
          <w:p w:rsidR="00000000" w:rsidRDefault="00000000">
            <w:pPr>
              <w:pStyle w:val="DualTxt"/>
              <w:spacing w:before="40" w:after="80" w:line="210" w:lineRule="exact"/>
              <w:ind w:left="14" w:right="29"/>
              <w:jc w:val="left"/>
              <w:rPr>
                <w:sz w:val="17"/>
              </w:rPr>
            </w:pPr>
            <w:r>
              <w:rPr>
                <w:sz w:val="17"/>
              </w:rPr>
              <w:t>Статья Закона об уголовной ответс</w:t>
            </w:r>
            <w:r>
              <w:rPr>
                <w:sz w:val="17"/>
              </w:rPr>
              <w:t>т</w:t>
            </w:r>
            <w:r>
              <w:rPr>
                <w:sz w:val="17"/>
              </w:rPr>
              <w:t>венности</w:t>
            </w:r>
          </w:p>
        </w:tc>
        <w:tc>
          <w:tcPr>
            <w:tcW w:w="459" w:type="dxa"/>
            <w:textDirection w:val="btLr"/>
          </w:tcPr>
          <w:p w:rsidR="00000000" w:rsidRDefault="00000000">
            <w:pPr>
              <w:pStyle w:val="DualTxt"/>
              <w:spacing w:before="40" w:after="80" w:line="210" w:lineRule="exact"/>
              <w:ind w:left="14" w:right="29"/>
              <w:rPr>
                <w:sz w:val="14"/>
              </w:rPr>
            </w:pPr>
            <w:r>
              <w:rPr>
                <w:sz w:val="14"/>
              </w:rPr>
              <w:t>Возбужд. дела</w:t>
            </w:r>
          </w:p>
        </w:tc>
        <w:tc>
          <w:tcPr>
            <w:tcW w:w="396" w:type="dxa"/>
            <w:textDirection w:val="btLr"/>
          </w:tcPr>
          <w:p w:rsidR="00000000" w:rsidRDefault="00000000">
            <w:pPr>
              <w:pStyle w:val="DualTxt"/>
              <w:spacing w:before="40" w:after="80" w:line="210" w:lineRule="exact"/>
              <w:ind w:left="14" w:right="29"/>
              <w:rPr>
                <w:sz w:val="14"/>
              </w:rPr>
            </w:pPr>
            <w:r>
              <w:rPr>
                <w:sz w:val="14"/>
              </w:rPr>
              <w:t>Раскрытые дела</w:t>
            </w:r>
          </w:p>
        </w:tc>
        <w:tc>
          <w:tcPr>
            <w:tcW w:w="450" w:type="dxa"/>
            <w:textDirection w:val="btLr"/>
          </w:tcPr>
          <w:p w:rsidR="00000000" w:rsidRDefault="00000000">
            <w:pPr>
              <w:pStyle w:val="DualTxt"/>
              <w:spacing w:before="40" w:after="80" w:line="210" w:lineRule="exact"/>
              <w:ind w:left="14" w:right="29"/>
              <w:rPr>
                <w:sz w:val="14"/>
              </w:rPr>
            </w:pPr>
            <w:r>
              <w:rPr>
                <w:sz w:val="14"/>
              </w:rPr>
              <w:t>Возбужд. дела</w:t>
            </w:r>
          </w:p>
        </w:tc>
        <w:tc>
          <w:tcPr>
            <w:tcW w:w="396" w:type="dxa"/>
            <w:textDirection w:val="btLr"/>
          </w:tcPr>
          <w:p w:rsidR="00000000" w:rsidRDefault="00000000">
            <w:pPr>
              <w:pStyle w:val="DualTxt"/>
              <w:spacing w:before="40" w:after="80" w:line="210" w:lineRule="exact"/>
              <w:ind w:left="14" w:right="29"/>
              <w:rPr>
                <w:sz w:val="14"/>
              </w:rPr>
            </w:pPr>
            <w:r>
              <w:rPr>
                <w:sz w:val="14"/>
              </w:rPr>
              <w:t>Раскрытые дела</w:t>
            </w:r>
          </w:p>
        </w:tc>
        <w:tc>
          <w:tcPr>
            <w:tcW w:w="414" w:type="dxa"/>
            <w:textDirection w:val="btLr"/>
          </w:tcPr>
          <w:p w:rsidR="00000000" w:rsidRDefault="00000000">
            <w:pPr>
              <w:pStyle w:val="DualTxt"/>
              <w:spacing w:before="40" w:after="80" w:line="210" w:lineRule="exact"/>
              <w:ind w:left="14" w:right="29"/>
              <w:rPr>
                <w:sz w:val="14"/>
              </w:rPr>
            </w:pPr>
            <w:r>
              <w:rPr>
                <w:sz w:val="14"/>
              </w:rPr>
              <w:t>Возбужд. дела</w:t>
            </w:r>
          </w:p>
        </w:tc>
        <w:tc>
          <w:tcPr>
            <w:tcW w:w="396" w:type="dxa"/>
            <w:textDirection w:val="btLr"/>
          </w:tcPr>
          <w:p w:rsidR="00000000" w:rsidRDefault="00000000">
            <w:pPr>
              <w:pStyle w:val="DualTxt"/>
              <w:spacing w:before="40" w:after="80" w:line="210" w:lineRule="exact"/>
              <w:ind w:left="14" w:right="29"/>
              <w:rPr>
                <w:sz w:val="14"/>
              </w:rPr>
            </w:pPr>
            <w:r>
              <w:rPr>
                <w:sz w:val="14"/>
              </w:rPr>
              <w:t>Раскрытые дела</w:t>
            </w:r>
          </w:p>
        </w:tc>
        <w:tc>
          <w:tcPr>
            <w:tcW w:w="396" w:type="dxa"/>
            <w:textDirection w:val="btLr"/>
          </w:tcPr>
          <w:p w:rsidR="00000000" w:rsidRDefault="00000000">
            <w:pPr>
              <w:pStyle w:val="DualTxt"/>
              <w:spacing w:before="40" w:after="80" w:line="210" w:lineRule="exact"/>
              <w:ind w:left="14" w:right="29"/>
              <w:rPr>
                <w:sz w:val="14"/>
              </w:rPr>
            </w:pPr>
            <w:r>
              <w:rPr>
                <w:sz w:val="14"/>
              </w:rPr>
              <w:t>Возбужд. дела</w:t>
            </w:r>
          </w:p>
        </w:tc>
        <w:tc>
          <w:tcPr>
            <w:tcW w:w="405" w:type="dxa"/>
            <w:textDirection w:val="btLr"/>
          </w:tcPr>
          <w:p w:rsidR="00000000" w:rsidRDefault="00000000">
            <w:pPr>
              <w:pStyle w:val="DualTxt"/>
              <w:spacing w:before="40" w:after="80" w:line="210" w:lineRule="exact"/>
              <w:ind w:left="14" w:right="29"/>
              <w:rPr>
                <w:sz w:val="14"/>
              </w:rPr>
            </w:pPr>
            <w:r>
              <w:rPr>
                <w:sz w:val="14"/>
              </w:rPr>
              <w:t>Раскрытые дела</w:t>
            </w:r>
          </w:p>
        </w:tc>
        <w:tc>
          <w:tcPr>
            <w:tcW w:w="405" w:type="dxa"/>
            <w:textDirection w:val="btLr"/>
          </w:tcPr>
          <w:p w:rsidR="00000000" w:rsidRDefault="00000000">
            <w:pPr>
              <w:pStyle w:val="DualTxt"/>
              <w:spacing w:before="40" w:after="80" w:line="210" w:lineRule="exact"/>
              <w:ind w:left="14" w:right="29"/>
              <w:rPr>
                <w:sz w:val="14"/>
              </w:rPr>
            </w:pPr>
            <w:r>
              <w:rPr>
                <w:sz w:val="14"/>
              </w:rPr>
              <w:t>Возбужд. дела</w:t>
            </w:r>
          </w:p>
        </w:tc>
        <w:tc>
          <w:tcPr>
            <w:tcW w:w="414" w:type="dxa"/>
            <w:textDirection w:val="btLr"/>
          </w:tcPr>
          <w:p w:rsidR="00000000" w:rsidRDefault="00000000">
            <w:pPr>
              <w:pStyle w:val="DualTxt"/>
              <w:spacing w:before="40" w:after="80" w:line="210" w:lineRule="exact"/>
              <w:ind w:left="14" w:right="29"/>
              <w:rPr>
                <w:sz w:val="14"/>
              </w:rPr>
            </w:pPr>
            <w:r>
              <w:rPr>
                <w:sz w:val="14"/>
              </w:rPr>
              <w:t>Раскрытые дела</w:t>
            </w:r>
          </w:p>
        </w:tc>
        <w:tc>
          <w:tcPr>
            <w:tcW w:w="450" w:type="dxa"/>
            <w:textDirection w:val="btLr"/>
          </w:tcPr>
          <w:p w:rsidR="00000000" w:rsidRDefault="00000000">
            <w:pPr>
              <w:pStyle w:val="DualTxt"/>
              <w:spacing w:before="40" w:after="80" w:line="210" w:lineRule="exact"/>
              <w:ind w:left="14" w:right="29"/>
              <w:rPr>
                <w:sz w:val="14"/>
              </w:rPr>
            </w:pPr>
            <w:r>
              <w:rPr>
                <w:sz w:val="14"/>
              </w:rPr>
              <w:t>Возбужд. дела</w:t>
            </w:r>
          </w:p>
        </w:tc>
        <w:tc>
          <w:tcPr>
            <w:tcW w:w="387" w:type="dxa"/>
            <w:textDirection w:val="btLr"/>
          </w:tcPr>
          <w:p w:rsidR="00000000" w:rsidRDefault="00000000">
            <w:pPr>
              <w:pStyle w:val="DualTxt"/>
              <w:spacing w:before="40" w:after="80" w:line="210" w:lineRule="exact"/>
              <w:ind w:left="14" w:right="29"/>
              <w:rPr>
                <w:sz w:val="14"/>
              </w:rPr>
            </w:pPr>
            <w:r>
              <w:rPr>
                <w:sz w:val="14"/>
              </w:rPr>
              <w:t>Раскрытые дела</w:t>
            </w:r>
          </w:p>
        </w:tc>
        <w:tc>
          <w:tcPr>
            <w:tcW w:w="414" w:type="dxa"/>
            <w:textDirection w:val="btLr"/>
          </w:tcPr>
          <w:p w:rsidR="00000000" w:rsidRDefault="00000000">
            <w:pPr>
              <w:pStyle w:val="DualTxt"/>
              <w:spacing w:before="40" w:after="80" w:line="210" w:lineRule="exact"/>
              <w:ind w:left="14" w:right="29"/>
              <w:rPr>
                <w:sz w:val="14"/>
              </w:rPr>
            </w:pPr>
            <w:r>
              <w:rPr>
                <w:sz w:val="14"/>
              </w:rPr>
              <w:t>Возбужд. дела</w:t>
            </w:r>
          </w:p>
        </w:tc>
        <w:tc>
          <w:tcPr>
            <w:tcW w:w="405" w:type="dxa"/>
            <w:textDirection w:val="btLr"/>
          </w:tcPr>
          <w:p w:rsidR="00000000" w:rsidRDefault="00000000">
            <w:pPr>
              <w:pStyle w:val="DualTxt"/>
              <w:spacing w:before="40" w:after="80" w:line="210" w:lineRule="exact"/>
              <w:ind w:left="14" w:right="29"/>
              <w:rPr>
                <w:sz w:val="14"/>
              </w:rPr>
            </w:pPr>
            <w:r>
              <w:rPr>
                <w:sz w:val="14"/>
              </w:rPr>
              <w:t>Раскрытые дела</w:t>
            </w:r>
          </w:p>
        </w:tc>
      </w:tr>
      <w:tr w:rsidR="00000000">
        <w:tblPrEx>
          <w:tblCellMar>
            <w:top w:w="0" w:type="dxa"/>
            <w:bottom w:w="0" w:type="dxa"/>
          </w:tblCellMar>
        </w:tblPrEx>
        <w:tc>
          <w:tcPr>
            <w:tcW w:w="4005" w:type="dxa"/>
          </w:tcPr>
          <w:p w:rsidR="00000000" w:rsidRDefault="00000000">
            <w:pPr>
              <w:pStyle w:val="DualTxt"/>
              <w:spacing w:before="40" w:after="80" w:line="210" w:lineRule="exact"/>
              <w:ind w:left="14" w:right="29"/>
              <w:jc w:val="left"/>
              <w:rPr>
                <w:sz w:val="17"/>
              </w:rPr>
            </w:pPr>
            <w:r>
              <w:rPr>
                <w:sz w:val="17"/>
              </w:rPr>
              <w:t>Статья 152</w:t>
            </w:r>
          </w:p>
          <w:p w:rsidR="00000000" w:rsidRDefault="00000000">
            <w:pPr>
              <w:pStyle w:val="DualTxt"/>
              <w:spacing w:before="40" w:after="80" w:line="210" w:lineRule="exact"/>
              <w:ind w:left="14" w:right="29"/>
              <w:jc w:val="left"/>
              <w:rPr>
                <w:sz w:val="17"/>
              </w:rPr>
            </w:pPr>
            <w:r>
              <w:rPr>
                <w:sz w:val="17"/>
              </w:rPr>
              <w:t>Незаконное лишение своб</w:t>
            </w:r>
            <w:r>
              <w:rPr>
                <w:sz w:val="17"/>
              </w:rPr>
              <w:t>о</w:t>
            </w:r>
            <w:r>
              <w:rPr>
                <w:sz w:val="17"/>
              </w:rPr>
              <w:t>ды</w:t>
            </w:r>
          </w:p>
        </w:tc>
        <w:tc>
          <w:tcPr>
            <w:tcW w:w="459"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5</w:t>
            </w:r>
          </w:p>
        </w:tc>
        <w:tc>
          <w:tcPr>
            <w:tcW w:w="396" w:type="dxa"/>
          </w:tcPr>
          <w:p w:rsidR="00000000" w:rsidRDefault="00000000">
            <w:pPr>
              <w:pStyle w:val="DualTxt"/>
              <w:spacing w:before="40" w:after="80" w:line="210" w:lineRule="exact"/>
              <w:ind w:left="14" w:right="29"/>
              <w:rPr>
                <w:sz w:val="17"/>
              </w:rPr>
            </w:pPr>
            <w:r>
              <w:rPr>
                <w:sz w:val="17"/>
              </w:rPr>
              <w:t>3</w:t>
            </w:r>
          </w:p>
        </w:tc>
        <w:tc>
          <w:tcPr>
            <w:tcW w:w="414"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7</w:t>
            </w:r>
          </w:p>
        </w:tc>
        <w:tc>
          <w:tcPr>
            <w:tcW w:w="405" w:type="dxa"/>
          </w:tcPr>
          <w:p w:rsidR="00000000" w:rsidRDefault="00000000">
            <w:pPr>
              <w:pStyle w:val="DualTxt"/>
              <w:spacing w:before="40" w:after="80" w:line="210" w:lineRule="exact"/>
              <w:ind w:left="14" w:right="29"/>
              <w:rPr>
                <w:sz w:val="17"/>
              </w:rPr>
            </w:pPr>
            <w:r>
              <w:rPr>
                <w:sz w:val="17"/>
              </w:rPr>
              <w:t>6</w:t>
            </w:r>
          </w:p>
        </w:tc>
        <w:tc>
          <w:tcPr>
            <w:tcW w:w="405" w:type="dxa"/>
          </w:tcPr>
          <w:p w:rsidR="00000000" w:rsidRDefault="00000000">
            <w:pPr>
              <w:pStyle w:val="DualTxt"/>
              <w:spacing w:before="40" w:after="80" w:line="210" w:lineRule="exact"/>
              <w:ind w:left="14" w:right="29"/>
              <w:rPr>
                <w:sz w:val="17"/>
              </w:rPr>
            </w:pPr>
            <w:r>
              <w:rPr>
                <w:sz w:val="17"/>
              </w:rPr>
              <w:t>2</w:t>
            </w:r>
          </w:p>
        </w:tc>
        <w:tc>
          <w:tcPr>
            <w:tcW w:w="414"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5</w:t>
            </w:r>
          </w:p>
        </w:tc>
        <w:tc>
          <w:tcPr>
            <w:tcW w:w="387" w:type="dxa"/>
          </w:tcPr>
          <w:p w:rsidR="00000000" w:rsidRDefault="00000000">
            <w:pPr>
              <w:pStyle w:val="DualTxt"/>
              <w:spacing w:before="40" w:after="80" w:line="210" w:lineRule="exact"/>
              <w:ind w:left="14" w:right="29"/>
              <w:rPr>
                <w:sz w:val="17"/>
              </w:rPr>
            </w:pPr>
            <w:r>
              <w:rPr>
                <w:sz w:val="17"/>
              </w:rPr>
              <w:t>3</w:t>
            </w:r>
          </w:p>
        </w:tc>
        <w:tc>
          <w:tcPr>
            <w:tcW w:w="414" w:type="dxa"/>
          </w:tcPr>
          <w:p w:rsidR="00000000" w:rsidRDefault="00000000">
            <w:pPr>
              <w:pStyle w:val="DualTxt"/>
              <w:spacing w:before="40" w:after="80" w:line="210" w:lineRule="exact"/>
              <w:ind w:left="14" w:right="29"/>
              <w:rPr>
                <w:sz w:val="17"/>
              </w:rPr>
            </w:pPr>
            <w:r>
              <w:rPr>
                <w:sz w:val="17"/>
              </w:rPr>
              <w:t>6</w:t>
            </w:r>
          </w:p>
        </w:tc>
        <w:tc>
          <w:tcPr>
            <w:tcW w:w="405" w:type="dxa"/>
          </w:tcPr>
          <w:p w:rsidR="00000000" w:rsidRDefault="00000000">
            <w:pPr>
              <w:pStyle w:val="DualTxt"/>
              <w:spacing w:before="40" w:after="80" w:line="210" w:lineRule="exact"/>
              <w:ind w:left="14" w:right="29"/>
              <w:rPr>
                <w:sz w:val="17"/>
              </w:rPr>
            </w:pPr>
            <w:r>
              <w:rPr>
                <w:sz w:val="17"/>
              </w:rPr>
              <w:t>6</w:t>
            </w:r>
          </w:p>
        </w:tc>
      </w:tr>
      <w:tr w:rsidR="00000000">
        <w:tblPrEx>
          <w:tblCellMar>
            <w:top w:w="0" w:type="dxa"/>
            <w:bottom w:w="0" w:type="dxa"/>
          </w:tblCellMar>
        </w:tblPrEx>
        <w:tc>
          <w:tcPr>
            <w:tcW w:w="4005" w:type="dxa"/>
          </w:tcPr>
          <w:p w:rsidR="00000000" w:rsidRDefault="00000000">
            <w:pPr>
              <w:pStyle w:val="DualTxt"/>
              <w:spacing w:before="40" w:after="80" w:line="210" w:lineRule="exact"/>
              <w:ind w:left="14" w:right="29"/>
              <w:jc w:val="left"/>
              <w:rPr>
                <w:sz w:val="17"/>
              </w:rPr>
            </w:pPr>
            <w:r>
              <w:rPr>
                <w:sz w:val="17"/>
              </w:rPr>
              <w:t>Статья 153</w:t>
            </w:r>
          </w:p>
          <w:p w:rsidR="00000000" w:rsidRDefault="00000000">
            <w:pPr>
              <w:pStyle w:val="DualTxt"/>
              <w:spacing w:before="40" w:after="80" w:line="210" w:lineRule="exact"/>
              <w:ind w:left="14" w:right="29"/>
              <w:jc w:val="left"/>
              <w:rPr>
                <w:sz w:val="17"/>
              </w:rPr>
            </w:pPr>
            <w:r>
              <w:rPr>
                <w:sz w:val="17"/>
              </w:rPr>
              <w:t>Похищ</w:t>
            </w:r>
            <w:r>
              <w:rPr>
                <w:sz w:val="17"/>
              </w:rPr>
              <w:t>е</w:t>
            </w:r>
            <w:r>
              <w:rPr>
                <w:sz w:val="17"/>
              </w:rPr>
              <w:t>ние</w:t>
            </w:r>
          </w:p>
        </w:tc>
        <w:tc>
          <w:tcPr>
            <w:tcW w:w="459"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3</w:t>
            </w:r>
          </w:p>
        </w:tc>
        <w:tc>
          <w:tcPr>
            <w:tcW w:w="387" w:type="dxa"/>
          </w:tcPr>
          <w:p w:rsidR="00000000" w:rsidRDefault="00000000">
            <w:pPr>
              <w:pStyle w:val="DualTxt"/>
              <w:spacing w:before="40" w:after="80" w:line="210" w:lineRule="exact"/>
              <w:ind w:left="14" w:right="29"/>
              <w:rPr>
                <w:sz w:val="17"/>
              </w:rPr>
            </w:pPr>
            <w:r>
              <w:rPr>
                <w:sz w:val="17"/>
              </w:rPr>
              <w:t>2</w:t>
            </w:r>
          </w:p>
        </w:tc>
        <w:tc>
          <w:tcPr>
            <w:tcW w:w="414" w:type="dxa"/>
          </w:tcPr>
          <w:p w:rsidR="00000000" w:rsidRDefault="00000000">
            <w:pPr>
              <w:pStyle w:val="DualTxt"/>
              <w:spacing w:before="40" w:after="80" w:line="210" w:lineRule="exact"/>
              <w:ind w:left="14" w:right="29"/>
              <w:rPr>
                <w:sz w:val="17"/>
              </w:rPr>
            </w:pPr>
            <w:r>
              <w:rPr>
                <w:sz w:val="17"/>
              </w:rPr>
              <w:t>1</w:t>
            </w:r>
          </w:p>
        </w:tc>
        <w:tc>
          <w:tcPr>
            <w:tcW w:w="405" w:type="dxa"/>
          </w:tcPr>
          <w:p w:rsidR="00000000" w:rsidRDefault="00000000">
            <w:pPr>
              <w:pStyle w:val="DualTxt"/>
              <w:spacing w:before="40" w:after="80" w:line="210" w:lineRule="exact"/>
              <w:ind w:left="14" w:right="29"/>
              <w:rPr>
                <w:sz w:val="17"/>
              </w:rPr>
            </w:pPr>
            <w:r>
              <w:rPr>
                <w:sz w:val="17"/>
              </w:rPr>
              <w:t>-</w:t>
            </w:r>
          </w:p>
        </w:tc>
      </w:tr>
      <w:tr w:rsidR="00000000">
        <w:tblPrEx>
          <w:tblCellMar>
            <w:top w:w="0" w:type="dxa"/>
            <w:bottom w:w="0" w:type="dxa"/>
          </w:tblCellMar>
        </w:tblPrEx>
        <w:tc>
          <w:tcPr>
            <w:tcW w:w="4005" w:type="dxa"/>
          </w:tcPr>
          <w:p w:rsidR="00000000" w:rsidRDefault="00000000">
            <w:pPr>
              <w:pStyle w:val="DualTxt"/>
              <w:spacing w:before="40" w:after="80" w:line="210" w:lineRule="exact"/>
              <w:ind w:left="14" w:right="29"/>
              <w:jc w:val="left"/>
              <w:rPr>
                <w:sz w:val="17"/>
              </w:rPr>
            </w:pPr>
            <w:r>
              <w:rPr>
                <w:sz w:val="17"/>
              </w:rPr>
              <w:t>Статья 155</w:t>
            </w:r>
          </w:p>
          <w:p w:rsidR="00000000" w:rsidRDefault="00000000">
            <w:pPr>
              <w:pStyle w:val="DualTxt"/>
              <w:spacing w:before="40" w:after="80" w:line="210" w:lineRule="exact"/>
              <w:ind w:left="14" w:right="29"/>
              <w:jc w:val="left"/>
              <w:rPr>
                <w:sz w:val="17"/>
              </w:rPr>
            </w:pPr>
            <w:r>
              <w:rPr>
                <w:sz w:val="17"/>
              </w:rPr>
              <w:t>Незаконное помещение в психиатрическую больницу</w:t>
            </w:r>
          </w:p>
        </w:tc>
        <w:tc>
          <w:tcPr>
            <w:tcW w:w="459"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87"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r>
      <w:tr w:rsidR="00000000">
        <w:tblPrEx>
          <w:tblCellMar>
            <w:top w:w="0" w:type="dxa"/>
            <w:bottom w:w="0" w:type="dxa"/>
          </w:tblCellMar>
        </w:tblPrEx>
        <w:tc>
          <w:tcPr>
            <w:tcW w:w="4005" w:type="dxa"/>
          </w:tcPr>
          <w:p w:rsidR="00000000" w:rsidRDefault="00000000">
            <w:pPr>
              <w:pStyle w:val="DualTxt"/>
              <w:spacing w:before="40" w:after="80" w:line="210" w:lineRule="exact"/>
              <w:ind w:left="14" w:right="29"/>
              <w:jc w:val="left"/>
              <w:rPr>
                <w:sz w:val="17"/>
              </w:rPr>
            </w:pPr>
            <w:r>
              <w:rPr>
                <w:sz w:val="17"/>
              </w:rPr>
              <w:t>Статья 164</w:t>
            </w:r>
          </w:p>
          <w:p w:rsidR="00000000" w:rsidRDefault="00000000">
            <w:pPr>
              <w:pStyle w:val="DualTxt"/>
              <w:spacing w:before="40" w:after="80" w:line="210" w:lineRule="exact"/>
              <w:ind w:left="14" w:right="29"/>
              <w:jc w:val="left"/>
              <w:rPr>
                <w:sz w:val="17"/>
              </w:rPr>
            </w:pPr>
            <w:r>
              <w:rPr>
                <w:sz w:val="17"/>
              </w:rPr>
              <w:t>Принуждение к занятию проституц</w:t>
            </w:r>
            <w:r>
              <w:rPr>
                <w:sz w:val="17"/>
              </w:rPr>
              <w:t>и</w:t>
            </w:r>
            <w:r>
              <w:rPr>
                <w:sz w:val="17"/>
              </w:rPr>
              <w:t>ей</w:t>
            </w:r>
          </w:p>
        </w:tc>
        <w:tc>
          <w:tcPr>
            <w:tcW w:w="459"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87"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1</w:t>
            </w:r>
          </w:p>
        </w:tc>
        <w:tc>
          <w:tcPr>
            <w:tcW w:w="405" w:type="dxa"/>
          </w:tcPr>
          <w:p w:rsidR="00000000" w:rsidRDefault="00000000">
            <w:pPr>
              <w:pStyle w:val="DualTxt"/>
              <w:spacing w:before="40" w:after="80" w:line="210" w:lineRule="exact"/>
              <w:ind w:left="14" w:right="29"/>
              <w:rPr>
                <w:sz w:val="17"/>
              </w:rPr>
            </w:pPr>
            <w:r>
              <w:rPr>
                <w:sz w:val="17"/>
              </w:rPr>
              <w:t>-</w:t>
            </w:r>
          </w:p>
        </w:tc>
      </w:tr>
      <w:tr w:rsidR="00000000">
        <w:tblPrEx>
          <w:tblCellMar>
            <w:top w:w="0" w:type="dxa"/>
            <w:bottom w:w="0" w:type="dxa"/>
          </w:tblCellMar>
        </w:tblPrEx>
        <w:tc>
          <w:tcPr>
            <w:tcW w:w="4005" w:type="dxa"/>
          </w:tcPr>
          <w:p w:rsidR="00000000" w:rsidRDefault="00000000">
            <w:pPr>
              <w:pStyle w:val="DualTxt"/>
              <w:spacing w:before="40" w:after="80" w:line="210" w:lineRule="exact"/>
              <w:ind w:left="14" w:right="29"/>
              <w:jc w:val="left"/>
              <w:rPr>
                <w:sz w:val="17"/>
              </w:rPr>
            </w:pPr>
            <w:r>
              <w:rPr>
                <w:sz w:val="17"/>
              </w:rPr>
              <w:t>Статья 165</w:t>
            </w:r>
          </w:p>
          <w:p w:rsidR="00000000" w:rsidRDefault="00000000">
            <w:pPr>
              <w:pStyle w:val="DualTxt"/>
              <w:spacing w:before="40" w:after="80" w:line="210" w:lineRule="exact"/>
              <w:ind w:left="14" w:right="29"/>
              <w:jc w:val="left"/>
              <w:rPr>
                <w:sz w:val="17"/>
              </w:rPr>
            </w:pPr>
            <w:r>
              <w:rPr>
                <w:sz w:val="17"/>
              </w:rPr>
              <w:t>Проживание за счет доходов от простит</w:t>
            </w:r>
            <w:r>
              <w:rPr>
                <w:sz w:val="17"/>
              </w:rPr>
              <w:t>у</w:t>
            </w:r>
            <w:r>
              <w:rPr>
                <w:sz w:val="17"/>
              </w:rPr>
              <w:t>ции</w:t>
            </w:r>
          </w:p>
        </w:tc>
        <w:tc>
          <w:tcPr>
            <w:tcW w:w="459"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1</w:t>
            </w:r>
          </w:p>
        </w:tc>
        <w:tc>
          <w:tcPr>
            <w:tcW w:w="414"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87"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2</w:t>
            </w:r>
          </w:p>
        </w:tc>
        <w:tc>
          <w:tcPr>
            <w:tcW w:w="405" w:type="dxa"/>
          </w:tcPr>
          <w:p w:rsidR="00000000" w:rsidRDefault="00000000">
            <w:pPr>
              <w:pStyle w:val="DualTxt"/>
              <w:spacing w:before="40" w:after="80" w:line="210" w:lineRule="exact"/>
              <w:ind w:left="14" w:right="29"/>
              <w:rPr>
                <w:sz w:val="17"/>
              </w:rPr>
            </w:pPr>
            <w:r>
              <w:rPr>
                <w:sz w:val="17"/>
              </w:rPr>
              <w:t>1</w:t>
            </w:r>
          </w:p>
        </w:tc>
      </w:tr>
      <w:tr w:rsidR="00000000">
        <w:tblPrEx>
          <w:tblCellMar>
            <w:top w:w="0" w:type="dxa"/>
            <w:bottom w:w="0" w:type="dxa"/>
          </w:tblCellMar>
        </w:tblPrEx>
        <w:tc>
          <w:tcPr>
            <w:tcW w:w="4005" w:type="dxa"/>
          </w:tcPr>
          <w:p w:rsidR="00000000" w:rsidRDefault="00000000">
            <w:pPr>
              <w:pStyle w:val="DualTxt"/>
              <w:spacing w:before="40" w:after="80" w:line="210" w:lineRule="exact"/>
              <w:ind w:left="14" w:right="29"/>
              <w:jc w:val="left"/>
              <w:rPr>
                <w:sz w:val="17"/>
              </w:rPr>
            </w:pPr>
            <w:r>
              <w:rPr>
                <w:sz w:val="17"/>
              </w:rPr>
              <w:t>Статья 165.1</w:t>
            </w:r>
          </w:p>
          <w:p w:rsidR="00000000" w:rsidRDefault="00000000">
            <w:pPr>
              <w:pStyle w:val="DualTxt"/>
              <w:spacing w:before="40" w:after="80" w:line="210" w:lineRule="exact"/>
              <w:ind w:left="14" w:right="29"/>
              <w:jc w:val="left"/>
              <w:rPr>
                <w:sz w:val="17"/>
              </w:rPr>
            </w:pPr>
            <w:r>
              <w:rPr>
                <w:sz w:val="17"/>
              </w:rPr>
              <w:t>Направление лица для цели сексуальной эк</w:t>
            </w:r>
            <w:r>
              <w:rPr>
                <w:sz w:val="17"/>
              </w:rPr>
              <w:t>с</w:t>
            </w:r>
            <w:r>
              <w:rPr>
                <w:sz w:val="17"/>
              </w:rPr>
              <w:t>плуатации</w:t>
            </w:r>
          </w:p>
        </w:tc>
        <w:tc>
          <w:tcPr>
            <w:tcW w:w="459"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1</w:t>
            </w:r>
          </w:p>
        </w:tc>
        <w:tc>
          <w:tcPr>
            <w:tcW w:w="414"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87"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1</w:t>
            </w:r>
          </w:p>
        </w:tc>
        <w:tc>
          <w:tcPr>
            <w:tcW w:w="405" w:type="dxa"/>
          </w:tcPr>
          <w:p w:rsidR="00000000" w:rsidRDefault="00000000">
            <w:pPr>
              <w:pStyle w:val="DualTxt"/>
              <w:spacing w:before="40" w:after="80" w:line="210" w:lineRule="exact"/>
              <w:ind w:left="14" w:right="29"/>
              <w:rPr>
                <w:sz w:val="17"/>
              </w:rPr>
            </w:pPr>
            <w:r>
              <w:rPr>
                <w:sz w:val="17"/>
              </w:rPr>
              <w:t>1</w:t>
            </w:r>
          </w:p>
        </w:tc>
      </w:tr>
      <w:tr w:rsidR="00000000">
        <w:tblPrEx>
          <w:tblCellMar>
            <w:top w:w="0" w:type="dxa"/>
            <w:bottom w:w="0" w:type="dxa"/>
          </w:tblCellMar>
        </w:tblPrEx>
        <w:tc>
          <w:tcPr>
            <w:tcW w:w="4005" w:type="dxa"/>
          </w:tcPr>
          <w:p w:rsidR="00000000" w:rsidRDefault="00000000">
            <w:pPr>
              <w:pStyle w:val="DualTxt"/>
              <w:spacing w:before="40" w:after="80" w:line="210" w:lineRule="exact"/>
              <w:ind w:left="14" w:right="29"/>
              <w:jc w:val="left"/>
              <w:rPr>
                <w:sz w:val="17"/>
              </w:rPr>
            </w:pPr>
            <w:r>
              <w:rPr>
                <w:sz w:val="17"/>
              </w:rPr>
              <w:t>Статья 166, раздел 3</w:t>
            </w:r>
          </w:p>
          <w:p w:rsidR="00000000" w:rsidRDefault="00000000">
            <w:pPr>
              <w:pStyle w:val="DualTxt"/>
              <w:spacing w:before="40" w:after="80" w:line="210" w:lineRule="exact"/>
              <w:ind w:left="14" w:right="29"/>
              <w:jc w:val="left"/>
              <w:rPr>
                <w:sz w:val="17"/>
              </w:rPr>
            </w:pPr>
            <w:r>
              <w:rPr>
                <w:sz w:val="17"/>
              </w:rPr>
              <w:t>Нарушение положений, касающихся ввоза, производства и распространения порнограф</w:t>
            </w:r>
            <w:r>
              <w:rPr>
                <w:sz w:val="17"/>
              </w:rPr>
              <w:t>и</w:t>
            </w:r>
            <w:r>
              <w:rPr>
                <w:sz w:val="17"/>
              </w:rPr>
              <w:t>ческих или эротических материалов (с участ</w:t>
            </w:r>
            <w:r>
              <w:rPr>
                <w:sz w:val="17"/>
              </w:rPr>
              <w:t>и</w:t>
            </w:r>
            <w:r>
              <w:rPr>
                <w:sz w:val="17"/>
              </w:rPr>
              <w:t>ем несовершенноле</w:t>
            </w:r>
            <w:r>
              <w:rPr>
                <w:sz w:val="17"/>
              </w:rPr>
              <w:t>т</w:t>
            </w:r>
            <w:r>
              <w:rPr>
                <w:sz w:val="17"/>
              </w:rPr>
              <w:t>них лиц)</w:t>
            </w:r>
          </w:p>
        </w:tc>
        <w:tc>
          <w:tcPr>
            <w:tcW w:w="459"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87"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r>
      <w:tr w:rsidR="00000000">
        <w:tblPrEx>
          <w:tblCellMar>
            <w:top w:w="0" w:type="dxa"/>
            <w:bottom w:w="0" w:type="dxa"/>
          </w:tblCellMar>
        </w:tblPrEx>
        <w:tc>
          <w:tcPr>
            <w:tcW w:w="4005" w:type="dxa"/>
          </w:tcPr>
          <w:p w:rsidR="00000000" w:rsidRDefault="00000000">
            <w:pPr>
              <w:pStyle w:val="DualTxt"/>
              <w:spacing w:before="40" w:after="80" w:line="210" w:lineRule="exact"/>
              <w:ind w:left="14" w:right="29"/>
              <w:jc w:val="left"/>
              <w:rPr>
                <w:sz w:val="17"/>
              </w:rPr>
            </w:pPr>
            <w:r>
              <w:rPr>
                <w:sz w:val="17"/>
              </w:rPr>
              <w:t>Статья 166, раздел 4</w:t>
            </w:r>
          </w:p>
          <w:p w:rsidR="00000000" w:rsidRDefault="00000000">
            <w:pPr>
              <w:pStyle w:val="DualTxt"/>
              <w:spacing w:before="40" w:after="80" w:line="210" w:lineRule="exact"/>
              <w:ind w:left="14" w:right="29"/>
              <w:jc w:val="left"/>
              <w:rPr>
                <w:sz w:val="17"/>
              </w:rPr>
            </w:pPr>
            <w:r>
              <w:rPr>
                <w:sz w:val="17"/>
              </w:rPr>
              <w:t>Нарушение положений, касающихся ввоза, производства и распространения порнограф</w:t>
            </w:r>
            <w:r>
              <w:rPr>
                <w:sz w:val="17"/>
              </w:rPr>
              <w:t>и</w:t>
            </w:r>
            <w:r>
              <w:rPr>
                <w:sz w:val="17"/>
              </w:rPr>
              <w:t>ческих или эротических материалов (с участ</w:t>
            </w:r>
            <w:r>
              <w:rPr>
                <w:sz w:val="17"/>
              </w:rPr>
              <w:t>и</w:t>
            </w:r>
            <w:r>
              <w:rPr>
                <w:sz w:val="17"/>
              </w:rPr>
              <w:t>ем малолетних лиц)</w:t>
            </w:r>
          </w:p>
        </w:tc>
        <w:tc>
          <w:tcPr>
            <w:tcW w:w="459"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87"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r>
      <w:tr w:rsidR="00000000">
        <w:tblPrEx>
          <w:tblCellMar>
            <w:top w:w="0" w:type="dxa"/>
            <w:bottom w:w="0" w:type="dxa"/>
          </w:tblCellMar>
        </w:tblPrEx>
        <w:tc>
          <w:tcPr>
            <w:tcW w:w="4005" w:type="dxa"/>
          </w:tcPr>
          <w:p w:rsidR="00000000" w:rsidRDefault="00000000">
            <w:pPr>
              <w:pStyle w:val="DualTxt"/>
              <w:spacing w:before="40" w:after="80" w:line="210" w:lineRule="exact"/>
              <w:ind w:left="14" w:right="29"/>
              <w:jc w:val="left"/>
              <w:rPr>
                <w:sz w:val="17"/>
              </w:rPr>
            </w:pPr>
            <w:r>
              <w:rPr>
                <w:sz w:val="17"/>
              </w:rPr>
              <w:t>Статья 285</w:t>
            </w:r>
          </w:p>
          <w:p w:rsidR="00000000" w:rsidRDefault="00000000">
            <w:pPr>
              <w:pStyle w:val="DualTxt"/>
              <w:spacing w:before="40" w:after="80" w:line="210" w:lineRule="exact"/>
              <w:ind w:left="14" w:right="29"/>
              <w:jc w:val="left"/>
              <w:rPr>
                <w:sz w:val="17"/>
              </w:rPr>
            </w:pPr>
            <w:r>
              <w:rPr>
                <w:sz w:val="17"/>
              </w:rPr>
              <w:t>Незаконная перевозка лица через государс</w:t>
            </w:r>
            <w:r>
              <w:rPr>
                <w:sz w:val="17"/>
              </w:rPr>
              <w:t>т</w:t>
            </w:r>
            <w:r>
              <w:rPr>
                <w:sz w:val="17"/>
              </w:rPr>
              <w:t>венную границу</w:t>
            </w:r>
          </w:p>
        </w:tc>
        <w:tc>
          <w:tcPr>
            <w:tcW w:w="459"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396"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450" w:type="dxa"/>
          </w:tcPr>
          <w:p w:rsidR="00000000" w:rsidRDefault="00000000">
            <w:pPr>
              <w:pStyle w:val="DualTxt"/>
              <w:spacing w:before="40" w:after="80" w:line="210" w:lineRule="exact"/>
              <w:ind w:left="14" w:right="29"/>
              <w:rPr>
                <w:sz w:val="17"/>
              </w:rPr>
            </w:pPr>
            <w:r>
              <w:rPr>
                <w:sz w:val="17"/>
              </w:rPr>
              <w:t>-</w:t>
            </w:r>
          </w:p>
        </w:tc>
        <w:tc>
          <w:tcPr>
            <w:tcW w:w="387" w:type="dxa"/>
          </w:tcPr>
          <w:p w:rsidR="00000000" w:rsidRDefault="00000000">
            <w:pPr>
              <w:pStyle w:val="DualTxt"/>
              <w:spacing w:before="40" w:after="80" w:line="210" w:lineRule="exact"/>
              <w:ind w:left="14" w:right="29"/>
              <w:rPr>
                <w:sz w:val="17"/>
              </w:rPr>
            </w:pPr>
            <w:r>
              <w:rPr>
                <w:sz w:val="17"/>
              </w:rPr>
              <w:t>-</w:t>
            </w:r>
          </w:p>
        </w:tc>
        <w:tc>
          <w:tcPr>
            <w:tcW w:w="414" w:type="dxa"/>
          </w:tcPr>
          <w:p w:rsidR="00000000" w:rsidRDefault="00000000">
            <w:pPr>
              <w:pStyle w:val="DualTxt"/>
              <w:spacing w:before="40" w:after="80" w:line="210" w:lineRule="exact"/>
              <w:ind w:left="14" w:right="29"/>
              <w:rPr>
                <w:sz w:val="17"/>
              </w:rPr>
            </w:pPr>
            <w:r>
              <w:rPr>
                <w:sz w:val="17"/>
              </w:rPr>
              <w:t>-</w:t>
            </w:r>
          </w:p>
        </w:tc>
        <w:tc>
          <w:tcPr>
            <w:tcW w:w="405" w:type="dxa"/>
          </w:tcPr>
          <w:p w:rsidR="00000000" w:rsidRDefault="00000000">
            <w:pPr>
              <w:pStyle w:val="DualTxt"/>
              <w:spacing w:before="40" w:after="80" w:line="210" w:lineRule="exact"/>
              <w:ind w:left="14" w:right="29"/>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w:t>
      </w:r>
      <w:r>
        <w:tab/>
        <w:t>Хотя национальное законодательство предусматривает ответственность за поощрение проституции, а также за торговлю людьми, проституция среди т</w:t>
      </w:r>
      <w:r>
        <w:t>у</w:t>
      </w:r>
      <w:r>
        <w:t>ристов, а также торговля людьми, приобретают более активный характер в Латвии. Преступные группы, занимающиеся торговлей людьми, привозят в Латвию женщин из Беларуси, России, Украины и Литвы и, когда эти женщины оказываются в безвыходной ситуации, вовлекают их в занятие проституцией или используют их в качестве моделей для эротических и порнографических изданий. Женщины, среди которых также есть несовершеннолетние девушки, вывозятся в другие страны для занятия проституцией – большей частью в страны Центральной Европы и Скандинавии. Факты, свидетельствующие о в</w:t>
      </w:r>
      <w:r>
        <w:t>о</w:t>
      </w:r>
      <w:r>
        <w:t>влечении несовершеннолетних лиц в занятие проституцией в Латвии, вызыв</w:t>
      </w:r>
      <w:r>
        <w:t>а</w:t>
      </w:r>
      <w:r>
        <w:t>ют обеспокоенность. Около 10-12 процентов всех проституток в Латвии с</w:t>
      </w:r>
      <w:r>
        <w:t>о</w:t>
      </w:r>
      <w:r>
        <w:t>ставляют несовершеннолетние девушки. Исследования показывают, что пр</w:t>
      </w:r>
      <w:r>
        <w:t>о</w:t>
      </w:r>
      <w:r>
        <w:t>ститутки в возрасте до 16 лет пользуются самым высоким спросом в клубах интимных услуг (клубах, предоставляющих сексуальные услуги). Данные с</w:t>
      </w:r>
      <w:r>
        <w:t>о</w:t>
      </w:r>
      <w:r>
        <w:t>циальных исследований показывают, что большая часть девушек и женщин, которые занимаются проституцией, были жертвами сексуальных злоупотребл</w:t>
      </w:r>
      <w:r>
        <w:t>е</w:t>
      </w:r>
      <w:r>
        <w:t>ний в детстве, не имеют постоянного места жительства, постоянной работы и дохода, а также достаточного образования. Вышеупомянутая группа риска п</w:t>
      </w:r>
      <w:r>
        <w:t>о</w:t>
      </w:r>
      <w:r>
        <w:t>требует своевременной реабилитации и интеграции в жизнь общества, хотя в настоящее время, в силу своих социально-экономических условий, Латвия не в состоянии предост</w:t>
      </w:r>
      <w:r>
        <w:t>а</w:t>
      </w:r>
      <w:r>
        <w:t>вить эти услуги в полном масштабе.</w:t>
      </w:r>
    </w:p>
    <w:p w:rsidR="00000000" w:rsidRDefault="00000000">
      <w:pPr>
        <w:pStyle w:val="SingleTxt"/>
      </w:pPr>
      <w:r>
        <w:t>43.</w:t>
      </w:r>
      <w:r>
        <w:tab/>
        <w:t>С тем чтобы ограничить торговлю людьми для целей сексуальной эк</w:t>
      </w:r>
      <w:r>
        <w:t>с</w:t>
      </w:r>
      <w:r>
        <w:t>плуатации, был принят ряд мер: латвийское законодательство было согласовано с требованиями Европейского союза; было создано специальное полицейское подразделение; укрепляется международное сотрудничество правоохранител</w:t>
      </w:r>
      <w:r>
        <w:t>ь</w:t>
      </w:r>
      <w:r>
        <w:t>ных учреждений; проводятся информативные мероприятия, с тем чтобы уде</w:t>
      </w:r>
      <w:r>
        <w:t>р</w:t>
      </w:r>
      <w:r>
        <w:t>жать потенциальных жертв от согласия заниматься проституцией; поощряется сотрудничество с неправительственными организ</w:t>
      </w:r>
      <w:r>
        <w:t>а</w:t>
      </w:r>
      <w:r>
        <w:t>циями.</w:t>
      </w:r>
    </w:p>
    <w:p w:rsidR="00000000" w:rsidRDefault="00000000">
      <w:pPr>
        <w:pStyle w:val="SingleTxt"/>
      </w:pPr>
      <w:r>
        <w:t>44.</w:t>
      </w:r>
      <w:r>
        <w:tab/>
        <w:t>Специализированное полицейское подразделение – «Полиция целому</w:t>
      </w:r>
      <w:r>
        <w:t>д</w:t>
      </w:r>
      <w:r>
        <w:t>рия» – занимается предупреждением торговли людьми и эксплуатации прост</w:t>
      </w:r>
      <w:r>
        <w:t>и</w:t>
      </w:r>
      <w:r>
        <w:t>туции третьими сторонами в Латвийской Республике, проведением расследов</w:t>
      </w:r>
      <w:r>
        <w:t>а</w:t>
      </w:r>
      <w:r>
        <w:t>ний и их координацией. Это подразделение было создано в соответствии с Единым планом действий, утвержденным Европейским советом 24 февраля 1997 года в соответствии со статьей К-3 Соглашения Европейского союза о м</w:t>
      </w:r>
      <w:r>
        <w:t>е</w:t>
      </w:r>
      <w:r>
        <w:t>рах по борьбе с торговлей людьми и сексуальной эксплуатацией детей. В 2001 году штат «Полиции целомудрия» был увеличен (до 20 сотрудников), однако ее деятельность по-прежнему охватывает главным образом только Ригу, и она не в состоянии распространить свою деятельность на самые крупные региональные города.</w:t>
      </w:r>
    </w:p>
    <w:p w:rsidR="00000000" w:rsidRDefault="00000000">
      <w:pPr>
        <w:pStyle w:val="SingleTxt"/>
      </w:pPr>
      <w:r>
        <w:t>45.</w:t>
      </w:r>
      <w:r>
        <w:tab/>
        <w:t>Целевая группа стран региона Балтийского моря, занимающаяся вопрос</w:t>
      </w:r>
      <w:r>
        <w:t>а</w:t>
      </w:r>
      <w:r>
        <w:t>ми борьбы с организованной преступностью, поощряет более тесное сотрудн</w:t>
      </w:r>
      <w:r>
        <w:t>и</w:t>
      </w:r>
      <w:r>
        <w:t>чество правоохранительных учреждений. В настоящее время она занимается подготовкой предложений для развития сотрудничества полицейских учрежд</w:t>
      </w:r>
      <w:r>
        <w:t>е</w:t>
      </w:r>
      <w:r>
        <w:t>ний государств-членов, в том числе предложения рассматривать предупрежд</w:t>
      </w:r>
      <w:r>
        <w:t>е</w:t>
      </w:r>
      <w:r>
        <w:t>ние торговли женщинами в качестве приоритетной задачи; содействует двуст</w:t>
      </w:r>
      <w:r>
        <w:t>о</w:t>
      </w:r>
      <w:r>
        <w:t>роннему обмену информацией между правоохранительными учреждениями г</w:t>
      </w:r>
      <w:r>
        <w:t>о</w:t>
      </w:r>
      <w:r>
        <w:t>сударств-членов при расследовании уголовных дел; содействует обмену пол</w:t>
      </w:r>
      <w:r>
        <w:t>и</w:t>
      </w:r>
      <w:r>
        <w:t>цейскими кадрами, участвующими в расследовании дел и создании объедине</w:t>
      </w:r>
      <w:r>
        <w:t>н</w:t>
      </w:r>
      <w:r>
        <w:t>ных следовательских подразделений; призывает экспертов Целевой группы, з</w:t>
      </w:r>
      <w:r>
        <w:t>а</w:t>
      </w:r>
      <w:r>
        <w:t>нимающихся вопросами предупреждения торговли женщинами, более тщ</w:t>
      </w:r>
      <w:r>
        <w:t>а</w:t>
      </w:r>
      <w:r>
        <w:t>тельно анализировать полученную информацию и обмениваться результатами этого анализа, а также проводить дополнительные финансовые инспекции в ходе периода расследования.</w:t>
      </w:r>
    </w:p>
    <w:p w:rsidR="00000000" w:rsidRDefault="00000000">
      <w:pPr>
        <w:pStyle w:val="SingleTxt"/>
      </w:pPr>
      <w:r>
        <w:t>46.</w:t>
      </w:r>
      <w:r>
        <w:tab/>
        <w:t>Отделение Интерпола в Латвии успешно сотрудничает с правоохран</w:t>
      </w:r>
      <w:r>
        <w:t>и</w:t>
      </w:r>
      <w:r>
        <w:t>тельными учреждениями в нескольких странах в решении вопросов, каса</w:t>
      </w:r>
      <w:r>
        <w:t>ю</w:t>
      </w:r>
      <w:r>
        <w:t>щихся расследования дел, связанных с направлением людей за границу для з</w:t>
      </w:r>
      <w:r>
        <w:t>а</w:t>
      </w:r>
      <w:r>
        <w:t>нятия проституцией. Одним из наиболее успешных результатов межгосударс</w:t>
      </w:r>
      <w:r>
        <w:t>т</w:t>
      </w:r>
      <w:r>
        <w:t>венного сотрудничества полицейских учреждений, который следует упомянуть, является международная операция под названием «Испанский маршрут». Эта операция началась в феврале 2000 года по инициативе сотрудников уголовной полиции Отделения Интерпола в Латвии и полицейского управления города Даугавпилс с целью выявления и ликвидации международной преступной группы, которая занималась направлением женщин из Латвии в Германию с ц</w:t>
      </w:r>
      <w:r>
        <w:t>е</w:t>
      </w:r>
      <w:r>
        <w:t>лью занятия проституцией и затем далее в Испанию. В этой операции участв</w:t>
      </w:r>
      <w:r>
        <w:t>о</w:t>
      </w:r>
      <w:r>
        <w:t>вали отделения Интерпола в Литве, Германии, Испании, а также правоохран</w:t>
      </w:r>
      <w:r>
        <w:t>и</w:t>
      </w:r>
      <w:r>
        <w:t>тельные органы соответствующих регионов этих стран. В результате провед</w:t>
      </w:r>
      <w:r>
        <w:t>е</w:t>
      </w:r>
      <w:r>
        <w:t>ния этой операции, которая длилась более года, Областное управление уголо</w:t>
      </w:r>
      <w:r>
        <w:t>в</w:t>
      </w:r>
      <w:r>
        <w:t>ной полиции города Даугавпилс возбудило уголовное дело против гражданина Латвии за найм женщин с целью занятия проституцией за границей, а еще ч</w:t>
      </w:r>
      <w:r>
        <w:t>е</w:t>
      </w:r>
      <w:r>
        <w:t>тыре лица были задержаны в Германии, где они вовлекали направляемых из Латвии женщин в работу в стриптиз-барах и других развлекательных заведен</w:t>
      </w:r>
      <w:r>
        <w:t>и</w:t>
      </w:r>
      <w:r>
        <w:t>ях в Германии.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_Toc48490441"/>
      <w:r>
        <w:tab/>
      </w:r>
      <w:r>
        <w:tab/>
        <w:t>Статья 7</w:t>
      </w:r>
      <w:bookmarkEnd w:id="12"/>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47.</w:t>
      </w:r>
      <w:r>
        <w:tab/>
        <w:t>Латвия проводит мероприятия, необходимые для предотвращения ди</w:t>
      </w:r>
      <w:r>
        <w:t>с</w:t>
      </w:r>
      <w:r>
        <w:t>криминации в отношении женщин в пол</w:t>
      </w:r>
      <w:r>
        <w:t>и</w:t>
      </w:r>
      <w:r>
        <w:t>тической и общественной жизни.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женщин голосовать и избираться</w:t>
      </w:r>
    </w:p>
    <w:p w:rsidR="00000000" w:rsidRDefault="00000000">
      <w:pPr>
        <w:pStyle w:val="SingleTxt"/>
        <w:spacing w:after="0" w:line="120" w:lineRule="exact"/>
        <w:rPr>
          <w:sz w:val="10"/>
        </w:rPr>
      </w:pPr>
    </w:p>
    <w:p w:rsidR="00000000" w:rsidRDefault="00000000">
      <w:pPr>
        <w:pStyle w:val="SingleTxt"/>
      </w:pPr>
      <w:r>
        <w:t>48.</w:t>
      </w:r>
      <w:r>
        <w:tab/>
        <w:t>В Латвии не существует никаких ограничений в отношении активных и пассивных избирательных прав по признаку пола. Конституция страны гара</w:t>
      </w:r>
      <w:r>
        <w:t>н</w:t>
      </w:r>
      <w:r>
        <w:t>тирует активные избирательные права на конституционном уровне и пред</w:t>
      </w:r>
      <w:r>
        <w:t>у</w:t>
      </w:r>
      <w:r>
        <w:t>сматривает, что полноправные граждане Латвии, которые на день проведения выборов достигли возраста 18 лет, имеют право голосовать. В соответствии с Законом «О выборах в Сейм (парламент)» граждане Латвии, которые на день проведения выборов достигли возраста 18 лет, имеют право голосовать при том условии, что ни одно из ограничений, перечисленных в статье 2 вышеупомян</w:t>
      </w:r>
      <w:r>
        <w:t>у</w:t>
      </w:r>
      <w:r>
        <w:t>того Закона, к ним не применимо. Следующие лица не имеют права голосовать: лица, отбывающие наказание в пенитенциарных учреждениях; лица, которые подозреваются, обвиняются или выступают в качестве истцов по какому-либо делу, если они были задержаны в качестве меры обеспечения безопасности; лица, чья недееспособность была признана в соответствии с процедурой, пре</w:t>
      </w:r>
      <w:r>
        <w:t>д</w:t>
      </w:r>
      <w:r>
        <w:t>писанной зак</w:t>
      </w:r>
      <w:r>
        <w:t>о</w:t>
      </w:r>
      <w:r>
        <w:t>ном.</w:t>
      </w:r>
    </w:p>
    <w:p w:rsidR="00000000" w:rsidRDefault="00000000">
      <w:pPr>
        <w:pStyle w:val="SingleTxt"/>
      </w:pPr>
      <w:r>
        <w:t>49.</w:t>
      </w:r>
      <w:r>
        <w:tab/>
        <w:t>В соответствии с Законом «О выборах в Городской совет, Региональный совет и Окружной совет» граждане Латвийской Республики, которые на день проведения выборов достигли возраста 18 лет, имеют право избирать в совет при условии, что ни одно из ограничений, перечисленных в статье 6 вышеук</w:t>
      </w:r>
      <w:r>
        <w:t>а</w:t>
      </w:r>
      <w:r>
        <w:t>занного Закона к ним не применимо. Вышеуказанный Закон предусматривает, что лица, чья недееспособность была признана в соответствии с процедурой, предписанной законом, не имеют права голосовать. Аналогичным образом л</w:t>
      </w:r>
      <w:r>
        <w:t>и</w:t>
      </w:r>
      <w:r>
        <w:t>ца, отбывающие наказание в пенитенциарных учреждениях, а также лица, к</w:t>
      </w:r>
      <w:r>
        <w:t>о</w:t>
      </w:r>
      <w:r>
        <w:t>торые подозреваются, обвиняются или выступают в качестве истцов в суде по какому-либо делу, если они были задержаны в качестве меры обеспечения безопасности, не имеет права участвовать в выб</w:t>
      </w:r>
      <w:r>
        <w:t>о</w:t>
      </w:r>
      <w:r>
        <w:t>рах.</w:t>
      </w:r>
    </w:p>
    <w:p w:rsidR="00000000" w:rsidRDefault="00000000">
      <w:pPr>
        <w:pStyle w:val="SingleTxt"/>
      </w:pPr>
      <w:r>
        <w:t>50.</w:t>
      </w:r>
      <w:r>
        <w:tab/>
        <w:t>При выборе места для участия в выборах в Сейм (парламент) или в орг</w:t>
      </w:r>
      <w:r>
        <w:t>а</w:t>
      </w:r>
      <w:r>
        <w:t>ны местного самоуправления женщина не связана решениями мужчин в ее с</w:t>
      </w:r>
      <w:r>
        <w:t>е</w:t>
      </w:r>
      <w:r>
        <w:t>мье или их местожительством. Лица имеют право выбирать место голосования на равной основе независимо от их пола. Закон «О выборах в Сейм» пред</w:t>
      </w:r>
      <w:r>
        <w:t>у</w:t>
      </w:r>
      <w:r>
        <w:t>сматривает, что при проведении парламентских выборов лицо может голос</w:t>
      </w:r>
      <w:r>
        <w:t>о</w:t>
      </w:r>
      <w:r>
        <w:t>вать на любом избирательном участке в рамках всей страны. В случае выборов в органы местного самоуправления лицо может голосовать по его/ее усмотр</w:t>
      </w:r>
      <w:r>
        <w:t>е</w:t>
      </w:r>
      <w:r>
        <w:t>нию на территории того органа местного самоуправления, где данное лицо имеет зарегистрированное местожительство или недвижимость, зарегистрир</w:t>
      </w:r>
      <w:r>
        <w:t>о</w:t>
      </w:r>
      <w:r>
        <w:t>ванную в соответствии с процедурой, предусмотренной законом. Лицо, не имеющее зарегистрированного постоянного места жительства на день пров</w:t>
      </w:r>
      <w:r>
        <w:t>е</w:t>
      </w:r>
      <w:r>
        <w:t>дения выборов имеет право голосовать на административной территории мес</w:t>
      </w:r>
      <w:r>
        <w:t>т</w:t>
      </w:r>
      <w:r>
        <w:t>ного органа власти, где данное лицо имело свое последнее зарегистрированное местожител</w:t>
      </w:r>
      <w:r>
        <w:t>ь</w:t>
      </w:r>
      <w:r>
        <w:t>ство.</w:t>
      </w:r>
    </w:p>
    <w:p w:rsidR="00000000" w:rsidRDefault="00000000">
      <w:pPr>
        <w:pStyle w:val="SingleTxt"/>
      </w:pPr>
      <w:r>
        <w:t>51.</w:t>
      </w:r>
      <w:r>
        <w:tab/>
        <w:t>Пассивные избирательные права гарантированы женщинам на констит</w:t>
      </w:r>
      <w:r>
        <w:t>у</w:t>
      </w:r>
      <w:r>
        <w:t>ционном уровне Конституцией, которая предусматривает, что любой гражд</w:t>
      </w:r>
      <w:r>
        <w:t>а</w:t>
      </w:r>
      <w:r>
        <w:t>нин Латвии, который получил большинство голосов и который по состоянию на первый день парламентских выборов старше 21 года, может быть избран в Сейм. Любой гражданин Латвии, который получил большинство голосов и на день проведения выборов в органы местного самоуправления достиг возраста 21 года, может быть избран в орган местного самоуправления при условии, что он/она был/была зарегистрирован/зарегистрирована на административной те</w:t>
      </w:r>
      <w:r>
        <w:t>р</w:t>
      </w:r>
      <w:r>
        <w:t>ритории соответствующего местного органа власти без перерыва по крайней мере в течение последних 12 месяцев, предшествующих дню выборов, или р</w:t>
      </w:r>
      <w:r>
        <w:t>а</w:t>
      </w:r>
      <w:r>
        <w:t>ботал/работала на указанной территории по крайней мере на протяжении ше</w:t>
      </w:r>
      <w:r>
        <w:t>с</w:t>
      </w:r>
      <w:r>
        <w:t>ти месяцев, предшествующих дню проведения выборов, или если данное лицо владеет недвижимостью на указанной территории. Ограничения, распростр</w:t>
      </w:r>
      <w:r>
        <w:t>а</w:t>
      </w:r>
      <w:r>
        <w:t>няющиеся на пассивные избирательные права, являются одинаковыми для об</w:t>
      </w:r>
      <w:r>
        <w:t>о</w:t>
      </w:r>
      <w:r>
        <w:t>их полов.</w:t>
      </w:r>
    </w:p>
    <w:p w:rsidR="00000000" w:rsidRDefault="00000000">
      <w:pPr>
        <w:pStyle w:val="SingleTxt"/>
      </w:pPr>
      <w:r>
        <w:t>52.</w:t>
      </w:r>
      <w:r>
        <w:tab/>
        <w:t>Следующие лица не могут избираться в Сейм (парламент): лица, чья н</w:t>
      </w:r>
      <w:r>
        <w:t>е</w:t>
      </w:r>
      <w:r>
        <w:t>дееспособность была признана в соответствии с процедурой, предписанной з</w:t>
      </w:r>
      <w:r>
        <w:t>а</w:t>
      </w:r>
      <w:r>
        <w:t>коном; лица, отбывающие наказание в пенитенциарных учреждениях; лица, к</w:t>
      </w:r>
      <w:r>
        <w:t>о</w:t>
      </w:r>
      <w:r>
        <w:t>торые были приговорены за совершение преднамеренных преступлений, кот</w:t>
      </w:r>
      <w:r>
        <w:t>о</w:t>
      </w:r>
      <w:r>
        <w:t>рые также являются преступлениями в Латвии на момент введения в силу н</w:t>
      </w:r>
      <w:r>
        <w:t>а</w:t>
      </w:r>
      <w:r>
        <w:t>стоящего Закона; лица, чьи предыдущие судимости не были сняты или отмен</w:t>
      </w:r>
      <w:r>
        <w:t>е</w:t>
      </w:r>
      <w:r>
        <w:t>ны, за исключением лиц, которые были реабилитированы; лица, которые с</w:t>
      </w:r>
      <w:r>
        <w:t>о</w:t>
      </w:r>
      <w:r>
        <w:t>вершили уголовное преступление в состоянии ограниченной дееспособности или стали психически больными после совершения преступления, что лишило их возможности осознавать свои действия или управлять ими, и которым было предписано принудительное медицинское лечение по причине болезни, или в случае закрытия дела без предписания такого принудительного лечения; лица, которые являются или являлись сотрудниками служб безопасности, разведыв</w:t>
      </w:r>
      <w:r>
        <w:t>а</w:t>
      </w:r>
      <w:r>
        <w:t>тельных служб или служб контрразведки СССР, Латвийской ССР или зарубе</w:t>
      </w:r>
      <w:r>
        <w:t>ж</w:t>
      </w:r>
      <w:r>
        <w:t>ной страны; лица, которые после 13 января 1991 года участвовали в деятельн</w:t>
      </w:r>
      <w:r>
        <w:t>о</w:t>
      </w:r>
      <w:r>
        <w:t>сти Коммунистической партии СССР (Коммунистической партии Латвийской ССР), Международного фронта трудящихся Латвии, Объединенного совета трудовых коллективов, Организации ветеранов войны и труда, Вселатвийского комитета общественного спасения или его региональных комитетов; лица, к</w:t>
      </w:r>
      <w:r>
        <w:t>о</w:t>
      </w:r>
      <w:r>
        <w:t>торые не знают государственного языка на самом высоком (третьем) уровне с</w:t>
      </w:r>
      <w:r>
        <w:t>о</w:t>
      </w:r>
      <w:r>
        <w:t>вершенства. Те же ограничения применяются также к выборам лиц в органы местного самоуправления.</w:t>
      </w:r>
    </w:p>
    <w:p w:rsidR="00000000" w:rsidRDefault="00000000">
      <w:pPr>
        <w:pStyle w:val="SingleTxt"/>
      </w:pPr>
      <w:r>
        <w:t>53.</w:t>
      </w:r>
      <w:r>
        <w:tab/>
        <w:t>Следует подчеркнуть, что с 1995 года не было зарегистрировано ни одн</w:t>
      </w:r>
      <w:r>
        <w:t>о</w:t>
      </w:r>
      <w:r>
        <w:t>го преступления, предусмотренного в статье 90 Закона об уголовной ответс</w:t>
      </w:r>
      <w:r>
        <w:t>т</w:t>
      </w:r>
      <w:r>
        <w:t>венности, а именно вмешательства в осуществление избирательных прав и права участвовать в референдумах, где бы жертвами были женщины.</w:t>
      </w:r>
    </w:p>
    <w:p w:rsidR="00000000" w:rsidRDefault="00000000">
      <w:pPr>
        <w:pStyle w:val="SingleTxt"/>
      </w:pPr>
      <w:r>
        <w:t>54.</w:t>
      </w:r>
      <w:r>
        <w:tab/>
        <w:t>Согласно данным, представленным Центральной избирательной комисс</w:t>
      </w:r>
      <w:r>
        <w:t>и</w:t>
      </w:r>
      <w:r>
        <w:t>ей, об участии женщин в парламентских выборах и выборах в органы местного самоуправления женщины активно используют свои пассивные избирательные пр</w:t>
      </w:r>
      <w:r>
        <w:t>а</w:t>
      </w:r>
      <w:r>
        <w:t>ва (см. таблицу).</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125"/>
        <w:gridCol w:w="1197"/>
        <w:gridCol w:w="1179"/>
        <w:gridCol w:w="1323"/>
      </w:tblGrid>
      <w:tr w:rsidR="00000000">
        <w:tblPrEx>
          <w:tblCellMar>
            <w:top w:w="0" w:type="dxa"/>
            <w:bottom w:w="0" w:type="dxa"/>
          </w:tblCellMar>
        </w:tblPrEx>
        <w:trPr>
          <w:cantSplit/>
        </w:trPr>
        <w:tc>
          <w:tcPr>
            <w:tcW w:w="2520" w:type="dxa"/>
          </w:tcPr>
          <w:p w:rsidR="00000000" w:rsidRDefault="00000000">
            <w:pPr>
              <w:pStyle w:val="DualTxt"/>
              <w:jc w:val="center"/>
              <w:rPr>
                <w:sz w:val="17"/>
              </w:rPr>
            </w:pPr>
          </w:p>
        </w:tc>
        <w:tc>
          <w:tcPr>
            <w:tcW w:w="2322" w:type="dxa"/>
            <w:gridSpan w:val="2"/>
          </w:tcPr>
          <w:p w:rsidR="00000000" w:rsidRDefault="00000000">
            <w:pPr>
              <w:pStyle w:val="DualTxt"/>
              <w:jc w:val="center"/>
              <w:rPr>
                <w:sz w:val="17"/>
              </w:rPr>
            </w:pPr>
            <w:r>
              <w:rPr>
                <w:sz w:val="17"/>
              </w:rPr>
              <w:t>Женщины</w:t>
            </w:r>
          </w:p>
        </w:tc>
        <w:tc>
          <w:tcPr>
            <w:tcW w:w="2502" w:type="dxa"/>
            <w:gridSpan w:val="2"/>
          </w:tcPr>
          <w:p w:rsidR="00000000" w:rsidRDefault="00000000">
            <w:pPr>
              <w:pStyle w:val="DualTxt"/>
              <w:jc w:val="center"/>
              <w:rPr>
                <w:sz w:val="17"/>
              </w:rPr>
            </w:pPr>
            <w:r>
              <w:rPr>
                <w:sz w:val="17"/>
              </w:rPr>
              <w:t>Мужчины</w:t>
            </w:r>
          </w:p>
        </w:tc>
      </w:tr>
      <w:tr w:rsidR="00000000">
        <w:tblPrEx>
          <w:tblCellMar>
            <w:top w:w="0" w:type="dxa"/>
            <w:bottom w:w="0" w:type="dxa"/>
          </w:tblCellMar>
        </w:tblPrEx>
        <w:tc>
          <w:tcPr>
            <w:tcW w:w="2520" w:type="dxa"/>
          </w:tcPr>
          <w:p w:rsidR="00000000" w:rsidRDefault="00000000">
            <w:pPr>
              <w:pStyle w:val="DualTxt"/>
              <w:rPr>
                <w:sz w:val="17"/>
              </w:rPr>
            </w:pPr>
          </w:p>
        </w:tc>
        <w:tc>
          <w:tcPr>
            <w:tcW w:w="1125" w:type="dxa"/>
          </w:tcPr>
          <w:p w:rsidR="00000000" w:rsidRDefault="00000000">
            <w:pPr>
              <w:pStyle w:val="DualTxt"/>
              <w:rPr>
                <w:sz w:val="17"/>
              </w:rPr>
            </w:pPr>
            <w:r>
              <w:rPr>
                <w:sz w:val="17"/>
              </w:rPr>
              <w:t>Кандид</w:t>
            </w:r>
            <w:r>
              <w:rPr>
                <w:sz w:val="17"/>
              </w:rPr>
              <w:t>а</w:t>
            </w:r>
            <w:r>
              <w:rPr>
                <w:sz w:val="17"/>
              </w:rPr>
              <w:t>ты</w:t>
            </w:r>
          </w:p>
        </w:tc>
        <w:tc>
          <w:tcPr>
            <w:tcW w:w="1197" w:type="dxa"/>
          </w:tcPr>
          <w:p w:rsidR="00000000" w:rsidRDefault="00000000">
            <w:pPr>
              <w:pStyle w:val="DualTxt"/>
              <w:rPr>
                <w:sz w:val="17"/>
              </w:rPr>
            </w:pPr>
            <w:r>
              <w:rPr>
                <w:sz w:val="17"/>
              </w:rPr>
              <w:t>Избраны</w:t>
            </w:r>
          </w:p>
        </w:tc>
        <w:tc>
          <w:tcPr>
            <w:tcW w:w="1179" w:type="dxa"/>
          </w:tcPr>
          <w:p w:rsidR="00000000" w:rsidRDefault="00000000">
            <w:pPr>
              <w:pStyle w:val="DualTxt"/>
              <w:rPr>
                <w:sz w:val="17"/>
              </w:rPr>
            </w:pPr>
            <w:r>
              <w:rPr>
                <w:sz w:val="17"/>
              </w:rPr>
              <w:t>Кандидаты</w:t>
            </w:r>
          </w:p>
        </w:tc>
        <w:tc>
          <w:tcPr>
            <w:tcW w:w="1323" w:type="dxa"/>
          </w:tcPr>
          <w:p w:rsidR="00000000" w:rsidRDefault="00000000">
            <w:pPr>
              <w:pStyle w:val="DualTxt"/>
              <w:rPr>
                <w:sz w:val="17"/>
              </w:rPr>
            </w:pPr>
            <w:r>
              <w:rPr>
                <w:sz w:val="17"/>
              </w:rPr>
              <w:t>Избраны</w:t>
            </w:r>
          </w:p>
        </w:tc>
      </w:tr>
      <w:tr w:rsidR="00000000">
        <w:tblPrEx>
          <w:tblCellMar>
            <w:top w:w="0" w:type="dxa"/>
            <w:bottom w:w="0" w:type="dxa"/>
          </w:tblCellMar>
        </w:tblPrEx>
        <w:tc>
          <w:tcPr>
            <w:tcW w:w="2520" w:type="dxa"/>
          </w:tcPr>
          <w:p w:rsidR="00000000" w:rsidRDefault="00000000">
            <w:pPr>
              <w:pStyle w:val="DualTxt"/>
              <w:rPr>
                <w:sz w:val="17"/>
              </w:rPr>
            </w:pPr>
            <w:r>
              <w:rPr>
                <w:sz w:val="17"/>
              </w:rPr>
              <w:t>Выборы в органы местного с</w:t>
            </w:r>
            <w:r>
              <w:rPr>
                <w:sz w:val="17"/>
              </w:rPr>
              <w:t>а</w:t>
            </w:r>
            <w:r>
              <w:rPr>
                <w:sz w:val="17"/>
              </w:rPr>
              <w:t>моуправления 1997 года</w:t>
            </w:r>
          </w:p>
        </w:tc>
        <w:tc>
          <w:tcPr>
            <w:tcW w:w="1125" w:type="dxa"/>
          </w:tcPr>
          <w:p w:rsidR="00000000" w:rsidRDefault="00000000">
            <w:pPr>
              <w:pStyle w:val="DualTxt"/>
              <w:rPr>
                <w:sz w:val="17"/>
              </w:rPr>
            </w:pPr>
            <w:r>
              <w:rPr>
                <w:sz w:val="17"/>
              </w:rPr>
              <w:t xml:space="preserve">4843 </w:t>
            </w:r>
            <w:r>
              <w:rPr>
                <w:sz w:val="17"/>
              </w:rPr>
              <w:br/>
              <w:t>(41%)</w:t>
            </w:r>
          </w:p>
        </w:tc>
        <w:tc>
          <w:tcPr>
            <w:tcW w:w="1197" w:type="dxa"/>
          </w:tcPr>
          <w:p w:rsidR="00000000" w:rsidRDefault="00000000">
            <w:pPr>
              <w:pStyle w:val="DualTxt"/>
              <w:rPr>
                <w:sz w:val="17"/>
              </w:rPr>
            </w:pPr>
            <w:r>
              <w:rPr>
                <w:sz w:val="17"/>
              </w:rPr>
              <w:t>Данных нет</w:t>
            </w:r>
          </w:p>
        </w:tc>
        <w:tc>
          <w:tcPr>
            <w:tcW w:w="1179" w:type="dxa"/>
          </w:tcPr>
          <w:p w:rsidR="00000000" w:rsidRDefault="00000000">
            <w:pPr>
              <w:pStyle w:val="DualTxt"/>
              <w:rPr>
                <w:sz w:val="17"/>
              </w:rPr>
            </w:pPr>
            <w:r>
              <w:rPr>
                <w:sz w:val="17"/>
              </w:rPr>
              <w:t xml:space="preserve">7099 </w:t>
            </w:r>
            <w:r>
              <w:rPr>
                <w:sz w:val="17"/>
              </w:rPr>
              <w:br/>
              <w:t>(59%)</w:t>
            </w:r>
          </w:p>
        </w:tc>
        <w:tc>
          <w:tcPr>
            <w:tcW w:w="1323" w:type="dxa"/>
          </w:tcPr>
          <w:p w:rsidR="00000000" w:rsidRDefault="00000000">
            <w:pPr>
              <w:pStyle w:val="DualTxt"/>
              <w:rPr>
                <w:sz w:val="17"/>
              </w:rPr>
            </w:pPr>
            <w:r>
              <w:rPr>
                <w:sz w:val="17"/>
              </w:rPr>
              <w:t>Данных нет</w:t>
            </w:r>
          </w:p>
        </w:tc>
      </w:tr>
      <w:tr w:rsidR="00000000">
        <w:tblPrEx>
          <w:tblCellMar>
            <w:top w:w="0" w:type="dxa"/>
            <w:bottom w:w="0" w:type="dxa"/>
          </w:tblCellMar>
        </w:tblPrEx>
        <w:tc>
          <w:tcPr>
            <w:tcW w:w="2520" w:type="dxa"/>
          </w:tcPr>
          <w:p w:rsidR="00000000" w:rsidRDefault="00000000">
            <w:pPr>
              <w:pStyle w:val="DualTxt"/>
              <w:rPr>
                <w:sz w:val="17"/>
              </w:rPr>
            </w:pPr>
            <w:r>
              <w:rPr>
                <w:sz w:val="17"/>
              </w:rPr>
              <w:t>Выборы в Сейм седьмого с</w:t>
            </w:r>
            <w:r>
              <w:rPr>
                <w:sz w:val="17"/>
              </w:rPr>
              <w:t>о</w:t>
            </w:r>
            <w:r>
              <w:rPr>
                <w:sz w:val="17"/>
              </w:rPr>
              <w:t>з</w:t>
            </w:r>
            <w:r>
              <w:rPr>
                <w:sz w:val="17"/>
              </w:rPr>
              <w:t>ы</w:t>
            </w:r>
            <w:r>
              <w:rPr>
                <w:sz w:val="17"/>
              </w:rPr>
              <w:t>ва в 1998 году</w:t>
            </w:r>
          </w:p>
        </w:tc>
        <w:tc>
          <w:tcPr>
            <w:tcW w:w="1125" w:type="dxa"/>
          </w:tcPr>
          <w:p w:rsidR="00000000" w:rsidRDefault="00000000">
            <w:pPr>
              <w:pStyle w:val="DualTxt"/>
              <w:rPr>
                <w:sz w:val="17"/>
              </w:rPr>
            </w:pPr>
            <w:r>
              <w:rPr>
                <w:sz w:val="17"/>
              </w:rPr>
              <w:t xml:space="preserve">288 </w:t>
            </w:r>
            <w:r>
              <w:rPr>
                <w:sz w:val="17"/>
              </w:rPr>
              <w:br/>
              <w:t>(26,64%)</w:t>
            </w:r>
          </w:p>
        </w:tc>
        <w:tc>
          <w:tcPr>
            <w:tcW w:w="1197" w:type="dxa"/>
          </w:tcPr>
          <w:p w:rsidR="00000000" w:rsidRDefault="00000000">
            <w:pPr>
              <w:pStyle w:val="DualTxt"/>
              <w:rPr>
                <w:sz w:val="17"/>
              </w:rPr>
            </w:pPr>
            <w:r>
              <w:rPr>
                <w:sz w:val="17"/>
              </w:rPr>
              <w:t xml:space="preserve">17 </w:t>
            </w:r>
            <w:r>
              <w:rPr>
                <w:sz w:val="17"/>
              </w:rPr>
              <w:br/>
              <w:t>(17%)</w:t>
            </w:r>
          </w:p>
        </w:tc>
        <w:tc>
          <w:tcPr>
            <w:tcW w:w="1179" w:type="dxa"/>
          </w:tcPr>
          <w:p w:rsidR="00000000" w:rsidRDefault="00000000">
            <w:pPr>
              <w:pStyle w:val="DualTxt"/>
              <w:rPr>
                <w:sz w:val="17"/>
              </w:rPr>
            </w:pPr>
            <w:r>
              <w:rPr>
                <w:sz w:val="17"/>
              </w:rPr>
              <w:t xml:space="preserve">793 </w:t>
            </w:r>
            <w:r>
              <w:rPr>
                <w:sz w:val="17"/>
              </w:rPr>
              <w:br/>
              <w:t>(73,36%)</w:t>
            </w:r>
          </w:p>
        </w:tc>
        <w:tc>
          <w:tcPr>
            <w:tcW w:w="1323" w:type="dxa"/>
          </w:tcPr>
          <w:p w:rsidR="00000000" w:rsidRDefault="00000000">
            <w:pPr>
              <w:pStyle w:val="DualTxt"/>
              <w:rPr>
                <w:sz w:val="17"/>
              </w:rPr>
            </w:pPr>
            <w:r>
              <w:rPr>
                <w:sz w:val="17"/>
              </w:rPr>
              <w:t xml:space="preserve">83 </w:t>
            </w:r>
            <w:r>
              <w:rPr>
                <w:sz w:val="17"/>
              </w:rPr>
              <w:br/>
              <w:t>(83%)</w:t>
            </w:r>
          </w:p>
        </w:tc>
      </w:tr>
      <w:tr w:rsidR="00000000">
        <w:tblPrEx>
          <w:tblCellMar>
            <w:top w:w="0" w:type="dxa"/>
            <w:bottom w:w="0" w:type="dxa"/>
          </w:tblCellMar>
        </w:tblPrEx>
        <w:tc>
          <w:tcPr>
            <w:tcW w:w="2520" w:type="dxa"/>
          </w:tcPr>
          <w:p w:rsidR="00000000" w:rsidRDefault="00000000">
            <w:pPr>
              <w:pStyle w:val="DualTxt"/>
              <w:rPr>
                <w:sz w:val="17"/>
              </w:rPr>
            </w:pPr>
            <w:r>
              <w:rPr>
                <w:sz w:val="17"/>
              </w:rPr>
              <w:t>Выборы в органы местного с</w:t>
            </w:r>
            <w:r>
              <w:rPr>
                <w:sz w:val="17"/>
              </w:rPr>
              <w:t>а</w:t>
            </w:r>
            <w:r>
              <w:rPr>
                <w:sz w:val="17"/>
              </w:rPr>
              <w:t>моуправления 2001 года</w:t>
            </w:r>
          </w:p>
        </w:tc>
        <w:tc>
          <w:tcPr>
            <w:tcW w:w="1125" w:type="dxa"/>
          </w:tcPr>
          <w:p w:rsidR="00000000" w:rsidRDefault="00000000">
            <w:pPr>
              <w:pStyle w:val="DualTxt"/>
              <w:rPr>
                <w:sz w:val="17"/>
              </w:rPr>
            </w:pPr>
            <w:r>
              <w:rPr>
                <w:sz w:val="17"/>
              </w:rPr>
              <w:t xml:space="preserve">5933 </w:t>
            </w:r>
            <w:r>
              <w:rPr>
                <w:sz w:val="17"/>
              </w:rPr>
              <w:br/>
              <w:t>(43,75%)</w:t>
            </w:r>
          </w:p>
        </w:tc>
        <w:tc>
          <w:tcPr>
            <w:tcW w:w="1197" w:type="dxa"/>
          </w:tcPr>
          <w:p w:rsidR="00000000" w:rsidRDefault="00000000">
            <w:pPr>
              <w:pStyle w:val="DualTxt"/>
              <w:rPr>
                <w:sz w:val="17"/>
              </w:rPr>
            </w:pPr>
            <w:r>
              <w:rPr>
                <w:sz w:val="17"/>
              </w:rPr>
              <w:t xml:space="preserve">1784 </w:t>
            </w:r>
            <w:r>
              <w:rPr>
                <w:sz w:val="17"/>
              </w:rPr>
              <w:br/>
              <w:t>(41,15%)</w:t>
            </w:r>
          </w:p>
        </w:tc>
        <w:tc>
          <w:tcPr>
            <w:tcW w:w="1179" w:type="dxa"/>
          </w:tcPr>
          <w:p w:rsidR="00000000" w:rsidRDefault="00000000">
            <w:pPr>
              <w:pStyle w:val="DualTxt"/>
              <w:rPr>
                <w:sz w:val="17"/>
              </w:rPr>
            </w:pPr>
            <w:r>
              <w:rPr>
                <w:sz w:val="17"/>
              </w:rPr>
              <w:t xml:space="preserve">7627 </w:t>
            </w:r>
            <w:r>
              <w:rPr>
                <w:sz w:val="17"/>
              </w:rPr>
              <w:br/>
              <w:t>(56,25%)</w:t>
            </w:r>
          </w:p>
        </w:tc>
        <w:tc>
          <w:tcPr>
            <w:tcW w:w="1323" w:type="dxa"/>
          </w:tcPr>
          <w:p w:rsidR="00000000" w:rsidRDefault="00000000">
            <w:pPr>
              <w:pStyle w:val="DualTxt"/>
              <w:rPr>
                <w:sz w:val="17"/>
              </w:rPr>
            </w:pPr>
            <w:r>
              <w:rPr>
                <w:sz w:val="17"/>
              </w:rPr>
              <w:t xml:space="preserve">2551 </w:t>
            </w:r>
            <w:r>
              <w:rPr>
                <w:sz w:val="17"/>
              </w:rPr>
              <w:br/>
              <w:t>(58,85%)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55.</w:t>
      </w:r>
      <w:r>
        <w:tab/>
        <w:t>Следует отметить, что по сравнению с числом женщин, избранных в Сейм пятого и шестого созывов, число женщин, избранных в Сейм седьмого созыва, увеличилось: 15 женщин были избраны в Сейм пятого и шестого созывов. В результате изменений в составе депутатского корпуса в июле 2001 года женщ</w:t>
      </w:r>
      <w:r>
        <w:t>и</w:t>
      </w:r>
      <w:r>
        <w:t>ны составили 1/5, или 20 депутатов Сейма седьмого созыва. Результаты выб</w:t>
      </w:r>
      <w:r>
        <w:t>о</w:t>
      </w:r>
      <w:r>
        <w:t>ров в органы местного самоуправления свидетельствуют о том, что чем меньше местный орган власти, тем больше доля женщин по отношению к общему чи</w:t>
      </w:r>
      <w:r>
        <w:t>с</w:t>
      </w:r>
      <w:r>
        <w:t>лу депутатов. Латвийская ассоциация по вопросам гендерного равенства счит</w:t>
      </w:r>
      <w:r>
        <w:t>а</w:t>
      </w:r>
      <w:r>
        <w:t>ет, что число женщин-кандидатов на парламентских выборах в сравнении с числом женщин-кандидатов на выборах в органы местного самоуправления свидетельствует о том, что в политических партиях по-прежнему сохраняются стереотипы относительно равного участия обоих полов в политической жизни. В Сейме шестого созыва было выдвинуто предложение установить, что в сп</w:t>
      </w:r>
      <w:r>
        <w:t>и</w:t>
      </w:r>
      <w:r>
        <w:t>сках кандидатов на парламентских выборах число мужчин-кандидатов не должно превышать 75 процентов, а число женщин-кандидатов не должно быть меньше 25 процентов. Это предложение не было принято Сеймом.</w:t>
      </w:r>
    </w:p>
    <w:p w:rsidR="00000000" w:rsidRDefault="00000000">
      <w:pPr>
        <w:pStyle w:val="SingleTxt"/>
      </w:pPr>
      <w:r>
        <w:t>56.</w:t>
      </w:r>
      <w:r>
        <w:tab/>
        <w:t>Избранные в Сейм женщины принимают активное участие в работе к</w:t>
      </w:r>
      <w:r>
        <w:t>о</w:t>
      </w:r>
      <w:r>
        <w:t>миссий Сейма. Женщины являлись председателями следующих комиссий Се</w:t>
      </w:r>
      <w:r>
        <w:t>й</w:t>
      </w:r>
      <w:r>
        <w:t>ма седьмого созыва: Комиссии по мандатам и ходатайствам, Комиссии по ос</w:t>
      </w:r>
      <w:r>
        <w:t>у</w:t>
      </w:r>
      <w:r>
        <w:t>ществлению Закона о гражданстве, Комиссии по социальным и трудовым в</w:t>
      </w:r>
      <w:r>
        <w:t>о</w:t>
      </w:r>
      <w:r>
        <w:t>просам (Комиссия по бюджетным и финансовым вопросам также возглавлялась женщиной до того момента, как она была избрана в Городской совет города Р</w:t>
      </w:r>
      <w:r>
        <w:t>и</w:t>
      </w:r>
      <w:r>
        <w:t>ги в марте 2001 года); женщины были заместителями председателей Комиссии по правам человека и общественным вопросам, Комиссии по европейским в</w:t>
      </w:r>
      <w:r>
        <w:t>о</w:t>
      </w:r>
      <w:r>
        <w:t>просам, Комиссии по осуществлению Закона о гражданстве, Комиссии по н</w:t>
      </w:r>
      <w:r>
        <w:t>а</w:t>
      </w:r>
      <w:r>
        <w:t>циональной экономике, аграрному, экологическому и региональному развитию. Кроме того, в Сейме седьмого созыва женщины возглавляли три из семи фра</w:t>
      </w:r>
      <w:r>
        <w:t>к</w:t>
      </w:r>
      <w:r>
        <w:t>ций.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женщин участвовать в формулировании государственной политики и занимать государственные посты</w:t>
      </w:r>
    </w:p>
    <w:p w:rsidR="00000000" w:rsidRDefault="00000000">
      <w:pPr>
        <w:pStyle w:val="SingleTxt"/>
        <w:spacing w:after="0" w:line="120" w:lineRule="exact"/>
        <w:rPr>
          <w:sz w:val="10"/>
        </w:rPr>
      </w:pPr>
    </w:p>
    <w:p w:rsidR="00000000" w:rsidRDefault="00000000">
      <w:pPr>
        <w:pStyle w:val="SingleTxt"/>
      </w:pPr>
      <w:r>
        <w:t>57.</w:t>
      </w:r>
      <w:r>
        <w:tab/>
        <w:t>Латвийское законодательство не накладывает никаких ограничений на участие женщин в формулировании национальной политики и не ограничивает их возможности занимать государственные посты, а также осуществлять все госуда</w:t>
      </w:r>
      <w:r>
        <w:t>р</w:t>
      </w:r>
      <w:r>
        <w:t>ственные функции на всех уровнях государственного управления.</w:t>
      </w:r>
    </w:p>
    <w:p w:rsidR="00000000" w:rsidRDefault="00000000">
      <w:pPr>
        <w:pStyle w:val="SingleTxt"/>
      </w:pPr>
      <w:r>
        <w:t>58.</w:t>
      </w:r>
      <w:r>
        <w:tab/>
        <w:t>С августа 1999 года высшую должность в стране – должность Президе</w:t>
      </w:r>
      <w:r>
        <w:t>н</w:t>
      </w:r>
      <w:r>
        <w:t>та – занимает женщина, которая одновременно является также главнокома</w:t>
      </w:r>
      <w:r>
        <w:t>н</w:t>
      </w:r>
      <w:r>
        <w:t>дующим национальными вооруженными силами. Следует отметить, что, с</w:t>
      </w:r>
      <w:r>
        <w:t>о</w:t>
      </w:r>
      <w:r>
        <w:t>гласно статистическим данным, с момента ее избрания Вайра Вике-Фрейберга являе</w:t>
      </w:r>
      <w:r>
        <w:t>т</w:t>
      </w:r>
      <w:r>
        <w:t>ся наиболее популярным политиком в стране.</w:t>
      </w:r>
    </w:p>
    <w:p w:rsidR="00000000" w:rsidRDefault="00000000">
      <w:pPr>
        <w:pStyle w:val="SingleTxt"/>
      </w:pPr>
      <w:r>
        <w:t>59.</w:t>
      </w:r>
      <w:r>
        <w:tab/>
        <w:t>Женщины также представлены в главном органе исполнительной власти Латвии – Кабинете министров. В первых двух правительствах, сформирова</w:t>
      </w:r>
      <w:r>
        <w:t>н</w:t>
      </w:r>
      <w:r>
        <w:t>ных после восстановления независимости, женщины совсем не были предста</w:t>
      </w:r>
      <w:r>
        <w:t>в</w:t>
      </w:r>
      <w:r>
        <w:t>лены, а в последующих правительствах женщины занимали различное число постов (см. таблицу).</w:t>
      </w: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53"/>
        <w:gridCol w:w="2340"/>
        <w:gridCol w:w="1530"/>
        <w:gridCol w:w="3087"/>
      </w:tblGrid>
      <w:tr w:rsidR="00000000">
        <w:tblPrEx>
          <w:tblCellMar>
            <w:top w:w="0" w:type="dxa"/>
            <w:bottom w:w="0" w:type="dxa"/>
          </w:tblCellMar>
        </w:tblPrEx>
        <w:trPr>
          <w:cantSplit/>
        </w:trPr>
        <w:tc>
          <w:tcPr>
            <w:tcW w:w="2853" w:type="dxa"/>
          </w:tcPr>
          <w:p w:rsidR="00000000" w:rsidRDefault="00000000">
            <w:pPr>
              <w:pStyle w:val="DualTxt"/>
              <w:spacing w:before="50" w:after="60" w:line="210" w:lineRule="exact"/>
              <w:ind w:left="14" w:right="14"/>
              <w:jc w:val="left"/>
              <w:rPr>
                <w:sz w:val="17"/>
              </w:rPr>
            </w:pPr>
          </w:p>
        </w:tc>
        <w:tc>
          <w:tcPr>
            <w:tcW w:w="2340" w:type="dxa"/>
          </w:tcPr>
          <w:p w:rsidR="00000000" w:rsidRDefault="00000000">
            <w:pPr>
              <w:pStyle w:val="DualTxt"/>
              <w:spacing w:before="50" w:after="60" w:line="210" w:lineRule="exact"/>
              <w:ind w:left="14" w:right="14"/>
              <w:jc w:val="left"/>
              <w:rPr>
                <w:sz w:val="17"/>
              </w:rPr>
            </w:pPr>
            <w:r>
              <w:rPr>
                <w:sz w:val="17"/>
              </w:rPr>
              <w:t>Число министров в прав</w:t>
            </w:r>
            <w:r>
              <w:rPr>
                <w:sz w:val="17"/>
              </w:rPr>
              <w:t>и</w:t>
            </w:r>
            <w:r>
              <w:rPr>
                <w:sz w:val="17"/>
              </w:rPr>
              <w:t>тельстве (включая гос</w:t>
            </w:r>
            <w:r>
              <w:rPr>
                <w:sz w:val="17"/>
              </w:rPr>
              <w:t>у</w:t>
            </w:r>
            <w:r>
              <w:rPr>
                <w:sz w:val="17"/>
              </w:rPr>
              <w:t>дарственных министров и министров по особым п</w:t>
            </w:r>
            <w:r>
              <w:rPr>
                <w:sz w:val="17"/>
              </w:rPr>
              <w:t>о</w:t>
            </w:r>
            <w:r>
              <w:rPr>
                <w:sz w:val="17"/>
              </w:rPr>
              <w:t>р</w:t>
            </w:r>
            <w:r>
              <w:rPr>
                <w:sz w:val="17"/>
              </w:rPr>
              <w:t>у</w:t>
            </w:r>
            <w:r>
              <w:rPr>
                <w:sz w:val="17"/>
              </w:rPr>
              <w:t>чениям)</w:t>
            </w:r>
          </w:p>
        </w:tc>
        <w:tc>
          <w:tcPr>
            <w:tcW w:w="1530" w:type="dxa"/>
          </w:tcPr>
          <w:p w:rsidR="00000000" w:rsidRDefault="00000000">
            <w:pPr>
              <w:pStyle w:val="DualTxt"/>
              <w:spacing w:before="50" w:after="60" w:line="210" w:lineRule="exact"/>
              <w:ind w:left="14" w:right="14"/>
              <w:jc w:val="left"/>
              <w:rPr>
                <w:sz w:val="17"/>
              </w:rPr>
            </w:pPr>
            <w:r>
              <w:rPr>
                <w:sz w:val="17"/>
              </w:rPr>
              <w:t>Число же</w:t>
            </w:r>
            <w:r>
              <w:rPr>
                <w:sz w:val="17"/>
              </w:rPr>
              <w:t>н</w:t>
            </w:r>
            <w:r>
              <w:rPr>
                <w:sz w:val="17"/>
              </w:rPr>
              <w:t>щин-министров</w:t>
            </w:r>
          </w:p>
        </w:tc>
        <w:tc>
          <w:tcPr>
            <w:tcW w:w="3087" w:type="dxa"/>
          </w:tcPr>
          <w:p w:rsidR="00000000" w:rsidRDefault="00000000">
            <w:pPr>
              <w:pStyle w:val="DualTxt"/>
              <w:spacing w:before="50" w:after="60" w:line="210" w:lineRule="exact"/>
              <w:ind w:left="3" w:right="14"/>
              <w:jc w:val="left"/>
              <w:rPr>
                <w:sz w:val="17"/>
              </w:rPr>
            </w:pPr>
            <w:r>
              <w:rPr>
                <w:sz w:val="17"/>
              </w:rPr>
              <w:t>Посты, занимаемые женщ</w:t>
            </w:r>
            <w:r>
              <w:rPr>
                <w:sz w:val="17"/>
              </w:rPr>
              <w:t>и</w:t>
            </w:r>
            <w:r>
              <w:rPr>
                <w:sz w:val="17"/>
              </w:rPr>
              <w:t>нами</w:t>
            </w:r>
          </w:p>
        </w:tc>
      </w:tr>
      <w:tr w:rsidR="00000000">
        <w:tblPrEx>
          <w:tblCellMar>
            <w:top w:w="0" w:type="dxa"/>
            <w:bottom w:w="0" w:type="dxa"/>
          </w:tblCellMar>
        </w:tblPrEx>
        <w:trPr>
          <w:cantSplit/>
        </w:trPr>
        <w:tc>
          <w:tcPr>
            <w:tcW w:w="2853" w:type="dxa"/>
          </w:tcPr>
          <w:p w:rsidR="00000000" w:rsidRDefault="00000000">
            <w:pPr>
              <w:pStyle w:val="DualTxt"/>
              <w:spacing w:before="50" w:after="60" w:line="210" w:lineRule="exact"/>
              <w:ind w:left="14" w:right="14"/>
              <w:jc w:val="left"/>
              <w:rPr>
                <w:sz w:val="17"/>
              </w:rPr>
            </w:pPr>
            <w:r>
              <w:rPr>
                <w:sz w:val="17"/>
              </w:rPr>
              <w:t>Совет министров под председ</w:t>
            </w:r>
            <w:r>
              <w:rPr>
                <w:sz w:val="17"/>
              </w:rPr>
              <w:t>а</w:t>
            </w:r>
            <w:r>
              <w:rPr>
                <w:sz w:val="17"/>
              </w:rPr>
              <w:t>тельствованием И.Годманиса</w:t>
            </w:r>
            <w:r>
              <w:rPr>
                <w:sz w:val="17"/>
              </w:rPr>
              <w:br/>
              <w:t>(07.05.1990-03.08.1993)</w:t>
            </w:r>
          </w:p>
        </w:tc>
        <w:tc>
          <w:tcPr>
            <w:tcW w:w="2340" w:type="dxa"/>
          </w:tcPr>
          <w:p w:rsidR="00000000" w:rsidRDefault="00000000">
            <w:pPr>
              <w:pStyle w:val="DualTxt"/>
              <w:spacing w:before="50" w:after="60" w:line="210" w:lineRule="exact"/>
              <w:ind w:left="14" w:right="14"/>
              <w:jc w:val="center"/>
              <w:rPr>
                <w:sz w:val="17"/>
              </w:rPr>
            </w:pPr>
            <w:r>
              <w:rPr>
                <w:sz w:val="17"/>
              </w:rPr>
              <w:t>30</w:t>
            </w:r>
          </w:p>
        </w:tc>
        <w:tc>
          <w:tcPr>
            <w:tcW w:w="1530" w:type="dxa"/>
          </w:tcPr>
          <w:p w:rsidR="00000000" w:rsidRDefault="00000000">
            <w:pPr>
              <w:pStyle w:val="DualTxt"/>
              <w:spacing w:before="50" w:after="60" w:line="210" w:lineRule="exact"/>
              <w:ind w:left="14" w:right="14"/>
              <w:jc w:val="center"/>
              <w:rPr>
                <w:sz w:val="17"/>
              </w:rPr>
            </w:pPr>
            <w:r>
              <w:rPr>
                <w:sz w:val="17"/>
              </w:rPr>
              <w:t>0</w:t>
            </w:r>
          </w:p>
        </w:tc>
        <w:tc>
          <w:tcPr>
            <w:tcW w:w="3087" w:type="dxa"/>
          </w:tcPr>
          <w:p w:rsidR="00000000" w:rsidRDefault="00000000">
            <w:pPr>
              <w:pStyle w:val="DualTxt"/>
              <w:spacing w:before="50" w:after="60" w:line="210" w:lineRule="exact"/>
              <w:ind w:left="3" w:right="14"/>
              <w:jc w:val="left"/>
              <w:rPr>
                <w:sz w:val="17"/>
              </w:rPr>
            </w:pPr>
            <w:r>
              <w:rPr>
                <w:sz w:val="17"/>
              </w:rPr>
              <w:t>–</w:t>
            </w:r>
          </w:p>
        </w:tc>
      </w:tr>
      <w:tr w:rsidR="00000000">
        <w:tblPrEx>
          <w:tblCellMar>
            <w:top w:w="0" w:type="dxa"/>
            <w:bottom w:w="0" w:type="dxa"/>
          </w:tblCellMar>
        </w:tblPrEx>
        <w:trPr>
          <w:cantSplit/>
        </w:trPr>
        <w:tc>
          <w:tcPr>
            <w:tcW w:w="2853" w:type="dxa"/>
          </w:tcPr>
          <w:p w:rsidR="00000000" w:rsidRDefault="00000000">
            <w:pPr>
              <w:pStyle w:val="DualTxt"/>
              <w:spacing w:before="50" w:after="60" w:line="210" w:lineRule="exact"/>
              <w:ind w:left="14" w:right="14"/>
              <w:jc w:val="left"/>
              <w:rPr>
                <w:sz w:val="17"/>
              </w:rPr>
            </w:pPr>
            <w:r>
              <w:rPr>
                <w:sz w:val="17"/>
              </w:rPr>
              <w:t>Кабинет министров под предс</w:t>
            </w:r>
            <w:r>
              <w:rPr>
                <w:sz w:val="17"/>
              </w:rPr>
              <w:t>е</w:t>
            </w:r>
            <w:r>
              <w:rPr>
                <w:sz w:val="17"/>
              </w:rPr>
              <w:t>дательствованием В.Биркавса</w:t>
            </w:r>
            <w:r>
              <w:rPr>
                <w:sz w:val="17"/>
              </w:rPr>
              <w:br/>
              <w:t>(03.08.1993-19.09.1994)</w:t>
            </w:r>
          </w:p>
        </w:tc>
        <w:tc>
          <w:tcPr>
            <w:tcW w:w="2340" w:type="dxa"/>
          </w:tcPr>
          <w:p w:rsidR="00000000" w:rsidRDefault="00000000">
            <w:pPr>
              <w:pStyle w:val="DualTxt"/>
              <w:spacing w:before="50" w:after="60" w:line="210" w:lineRule="exact"/>
              <w:ind w:left="14" w:right="14"/>
              <w:jc w:val="center"/>
              <w:rPr>
                <w:sz w:val="17"/>
              </w:rPr>
            </w:pPr>
            <w:r>
              <w:rPr>
                <w:sz w:val="17"/>
              </w:rPr>
              <w:t>27</w:t>
            </w:r>
          </w:p>
        </w:tc>
        <w:tc>
          <w:tcPr>
            <w:tcW w:w="1530" w:type="dxa"/>
          </w:tcPr>
          <w:p w:rsidR="00000000" w:rsidRDefault="00000000">
            <w:pPr>
              <w:pStyle w:val="DualTxt"/>
              <w:spacing w:before="50" w:after="60" w:line="210" w:lineRule="exact"/>
              <w:ind w:left="14" w:right="14"/>
              <w:jc w:val="center"/>
              <w:rPr>
                <w:sz w:val="17"/>
              </w:rPr>
            </w:pPr>
            <w:r>
              <w:rPr>
                <w:sz w:val="17"/>
              </w:rPr>
              <w:t>0</w:t>
            </w:r>
          </w:p>
        </w:tc>
        <w:tc>
          <w:tcPr>
            <w:tcW w:w="3087" w:type="dxa"/>
          </w:tcPr>
          <w:p w:rsidR="00000000" w:rsidRDefault="00000000">
            <w:pPr>
              <w:pStyle w:val="DualTxt"/>
              <w:spacing w:before="50" w:after="60" w:line="210" w:lineRule="exact"/>
              <w:ind w:left="3" w:right="14"/>
              <w:jc w:val="left"/>
              <w:rPr>
                <w:sz w:val="17"/>
              </w:rPr>
            </w:pPr>
            <w:r>
              <w:rPr>
                <w:sz w:val="17"/>
              </w:rPr>
              <w:t>–</w:t>
            </w:r>
          </w:p>
        </w:tc>
      </w:tr>
      <w:tr w:rsidR="00000000">
        <w:tblPrEx>
          <w:tblCellMar>
            <w:top w:w="0" w:type="dxa"/>
            <w:bottom w:w="0" w:type="dxa"/>
          </w:tblCellMar>
        </w:tblPrEx>
        <w:trPr>
          <w:cantSplit/>
        </w:trPr>
        <w:tc>
          <w:tcPr>
            <w:tcW w:w="2853" w:type="dxa"/>
          </w:tcPr>
          <w:p w:rsidR="00000000" w:rsidRDefault="00000000">
            <w:pPr>
              <w:pStyle w:val="DualTxt"/>
              <w:spacing w:before="50" w:after="60" w:line="210" w:lineRule="exact"/>
              <w:ind w:left="14" w:right="14"/>
              <w:jc w:val="left"/>
              <w:rPr>
                <w:sz w:val="17"/>
              </w:rPr>
            </w:pPr>
            <w:r>
              <w:rPr>
                <w:sz w:val="17"/>
              </w:rPr>
              <w:t>Кабинет министров под предс</w:t>
            </w:r>
            <w:r>
              <w:rPr>
                <w:sz w:val="17"/>
              </w:rPr>
              <w:t>е</w:t>
            </w:r>
            <w:r>
              <w:rPr>
                <w:sz w:val="17"/>
              </w:rPr>
              <w:t>дательствованием М.Гайлиса</w:t>
            </w:r>
            <w:r>
              <w:rPr>
                <w:sz w:val="17"/>
              </w:rPr>
              <w:br/>
              <w:t>(19.09.1994-21.12.1995)</w:t>
            </w:r>
          </w:p>
        </w:tc>
        <w:tc>
          <w:tcPr>
            <w:tcW w:w="2340" w:type="dxa"/>
          </w:tcPr>
          <w:p w:rsidR="00000000" w:rsidRDefault="00000000">
            <w:pPr>
              <w:pStyle w:val="DualTxt"/>
              <w:spacing w:before="50" w:after="60" w:line="210" w:lineRule="exact"/>
              <w:ind w:left="14" w:right="14"/>
              <w:jc w:val="center"/>
              <w:rPr>
                <w:sz w:val="17"/>
              </w:rPr>
            </w:pPr>
            <w:r>
              <w:rPr>
                <w:sz w:val="17"/>
              </w:rPr>
              <w:t>29</w:t>
            </w:r>
          </w:p>
        </w:tc>
        <w:tc>
          <w:tcPr>
            <w:tcW w:w="1530" w:type="dxa"/>
          </w:tcPr>
          <w:p w:rsidR="00000000" w:rsidRDefault="00000000">
            <w:pPr>
              <w:pStyle w:val="DualTxt"/>
              <w:spacing w:before="50" w:after="60" w:line="210" w:lineRule="exact"/>
              <w:ind w:left="14" w:right="14"/>
              <w:jc w:val="center"/>
              <w:rPr>
                <w:sz w:val="17"/>
              </w:rPr>
            </w:pPr>
            <w:r>
              <w:rPr>
                <w:sz w:val="17"/>
              </w:rPr>
              <w:t>4</w:t>
            </w:r>
          </w:p>
        </w:tc>
        <w:tc>
          <w:tcPr>
            <w:tcW w:w="3087" w:type="dxa"/>
          </w:tcPr>
          <w:p w:rsidR="00000000" w:rsidRDefault="00000000">
            <w:pPr>
              <w:pStyle w:val="DualTxt"/>
              <w:spacing w:before="50" w:after="60" w:line="210" w:lineRule="exact"/>
              <w:ind w:left="3" w:right="14"/>
              <w:jc w:val="left"/>
              <w:rPr>
                <w:sz w:val="17"/>
              </w:rPr>
            </w:pPr>
            <w:r>
              <w:rPr>
                <w:sz w:val="17"/>
              </w:rPr>
              <w:t>Министр финансов – И.Самите (26.05.1995-21.12.1995),</w:t>
            </w:r>
            <w:r>
              <w:rPr>
                <w:sz w:val="17"/>
              </w:rPr>
              <w:br/>
              <w:t>Министр по делам реформ госуда</w:t>
            </w:r>
            <w:r>
              <w:rPr>
                <w:sz w:val="17"/>
              </w:rPr>
              <w:t>р</w:t>
            </w:r>
            <w:r>
              <w:rPr>
                <w:sz w:val="17"/>
              </w:rPr>
              <w:t>ственного управления — В.А.Терауда,</w:t>
            </w:r>
            <w:r>
              <w:rPr>
                <w:sz w:val="17"/>
              </w:rPr>
              <w:br/>
              <w:t>Государственный министр по в</w:t>
            </w:r>
            <w:r>
              <w:rPr>
                <w:sz w:val="17"/>
              </w:rPr>
              <w:t>о</w:t>
            </w:r>
            <w:r>
              <w:rPr>
                <w:sz w:val="17"/>
              </w:rPr>
              <w:t>просам внешних резервов — И.Самите (19.09.1994-21.12.1995),</w:t>
            </w:r>
            <w:r>
              <w:rPr>
                <w:sz w:val="17"/>
              </w:rPr>
              <w:br/>
              <w:t>Государственный министр по гос</w:t>
            </w:r>
            <w:r>
              <w:rPr>
                <w:sz w:val="17"/>
              </w:rPr>
              <w:t>у</w:t>
            </w:r>
            <w:r>
              <w:rPr>
                <w:sz w:val="17"/>
              </w:rPr>
              <w:t>дарственным доходам — А.Поча</w:t>
            </w:r>
          </w:p>
        </w:tc>
      </w:tr>
      <w:tr w:rsidR="00000000">
        <w:tblPrEx>
          <w:tblCellMar>
            <w:top w:w="0" w:type="dxa"/>
            <w:bottom w:w="0" w:type="dxa"/>
          </w:tblCellMar>
        </w:tblPrEx>
        <w:trPr>
          <w:cantSplit/>
        </w:trPr>
        <w:tc>
          <w:tcPr>
            <w:tcW w:w="2853" w:type="dxa"/>
          </w:tcPr>
          <w:p w:rsidR="00000000" w:rsidRDefault="00000000">
            <w:pPr>
              <w:pStyle w:val="DualTxt"/>
              <w:spacing w:before="50" w:after="60" w:line="210" w:lineRule="exact"/>
              <w:ind w:left="14" w:right="14"/>
              <w:jc w:val="left"/>
              <w:rPr>
                <w:sz w:val="17"/>
              </w:rPr>
            </w:pPr>
            <w:r>
              <w:rPr>
                <w:sz w:val="17"/>
              </w:rPr>
              <w:t>Кабинет министров под предс</w:t>
            </w:r>
            <w:r>
              <w:rPr>
                <w:sz w:val="17"/>
              </w:rPr>
              <w:t>е</w:t>
            </w:r>
            <w:r>
              <w:rPr>
                <w:sz w:val="17"/>
              </w:rPr>
              <w:t>дательствованием А.Шкеле (21.12.1995-13.02.1997)</w:t>
            </w:r>
          </w:p>
        </w:tc>
        <w:tc>
          <w:tcPr>
            <w:tcW w:w="2340" w:type="dxa"/>
          </w:tcPr>
          <w:p w:rsidR="00000000" w:rsidRDefault="00000000">
            <w:pPr>
              <w:pStyle w:val="DualTxt"/>
              <w:spacing w:before="50" w:after="60" w:line="210" w:lineRule="exact"/>
              <w:ind w:left="14" w:right="14"/>
              <w:jc w:val="center"/>
              <w:rPr>
                <w:sz w:val="17"/>
              </w:rPr>
            </w:pPr>
            <w:r>
              <w:rPr>
                <w:sz w:val="17"/>
              </w:rPr>
              <w:t>28</w:t>
            </w:r>
          </w:p>
        </w:tc>
        <w:tc>
          <w:tcPr>
            <w:tcW w:w="1530" w:type="dxa"/>
          </w:tcPr>
          <w:p w:rsidR="00000000" w:rsidRDefault="00000000">
            <w:pPr>
              <w:pStyle w:val="DualTxt"/>
              <w:spacing w:before="50" w:after="60" w:line="210" w:lineRule="exact"/>
              <w:ind w:left="14" w:right="14"/>
              <w:jc w:val="center"/>
              <w:rPr>
                <w:sz w:val="17"/>
              </w:rPr>
            </w:pPr>
            <w:r>
              <w:rPr>
                <w:sz w:val="17"/>
              </w:rPr>
              <w:t>2</w:t>
            </w:r>
          </w:p>
        </w:tc>
        <w:tc>
          <w:tcPr>
            <w:tcW w:w="3087" w:type="dxa"/>
          </w:tcPr>
          <w:p w:rsidR="00000000" w:rsidRDefault="00000000">
            <w:pPr>
              <w:pStyle w:val="DualTxt"/>
              <w:spacing w:before="50" w:after="60" w:line="210" w:lineRule="exact"/>
              <w:ind w:left="3" w:right="14"/>
              <w:jc w:val="left"/>
              <w:rPr>
                <w:sz w:val="17"/>
              </w:rPr>
            </w:pPr>
            <w:r>
              <w:rPr>
                <w:sz w:val="17"/>
              </w:rPr>
              <w:t>Государственный министр по инв</w:t>
            </w:r>
            <w:r>
              <w:rPr>
                <w:sz w:val="17"/>
              </w:rPr>
              <w:t>е</w:t>
            </w:r>
            <w:r>
              <w:rPr>
                <w:sz w:val="17"/>
              </w:rPr>
              <w:t>стиционной и кредитной полит</w:t>
            </w:r>
            <w:r>
              <w:rPr>
                <w:sz w:val="17"/>
              </w:rPr>
              <w:t>и</w:t>
            </w:r>
            <w:r>
              <w:rPr>
                <w:sz w:val="17"/>
              </w:rPr>
              <w:t>ке — С.Егере,</w:t>
            </w:r>
            <w:r>
              <w:rPr>
                <w:sz w:val="17"/>
              </w:rPr>
              <w:br/>
              <w:t>Государственный министр по гос</w:t>
            </w:r>
            <w:r>
              <w:rPr>
                <w:sz w:val="17"/>
              </w:rPr>
              <w:t>у</w:t>
            </w:r>
            <w:r>
              <w:rPr>
                <w:sz w:val="17"/>
              </w:rPr>
              <w:t>дарственным доходам — А.Поча</w:t>
            </w:r>
          </w:p>
        </w:tc>
      </w:tr>
      <w:tr w:rsidR="00000000">
        <w:tblPrEx>
          <w:tblCellMar>
            <w:top w:w="0" w:type="dxa"/>
            <w:bottom w:w="0" w:type="dxa"/>
          </w:tblCellMar>
        </w:tblPrEx>
        <w:trPr>
          <w:cantSplit/>
        </w:trPr>
        <w:tc>
          <w:tcPr>
            <w:tcW w:w="2853" w:type="dxa"/>
          </w:tcPr>
          <w:p w:rsidR="00000000" w:rsidRDefault="00000000">
            <w:pPr>
              <w:pStyle w:val="DualTxt"/>
              <w:spacing w:before="50" w:after="60" w:line="210" w:lineRule="exact"/>
              <w:ind w:left="14" w:right="14"/>
              <w:jc w:val="left"/>
              <w:rPr>
                <w:sz w:val="17"/>
              </w:rPr>
            </w:pPr>
            <w:r>
              <w:rPr>
                <w:sz w:val="17"/>
              </w:rPr>
              <w:t>Кабинет министров под предс</w:t>
            </w:r>
            <w:r>
              <w:rPr>
                <w:sz w:val="17"/>
              </w:rPr>
              <w:t>е</w:t>
            </w:r>
            <w:r>
              <w:rPr>
                <w:sz w:val="17"/>
              </w:rPr>
              <w:t>дательствованием А.Шкеле (13.02.1997-07.08.1997)</w:t>
            </w:r>
          </w:p>
        </w:tc>
        <w:tc>
          <w:tcPr>
            <w:tcW w:w="2340" w:type="dxa"/>
          </w:tcPr>
          <w:p w:rsidR="00000000" w:rsidRDefault="00000000">
            <w:pPr>
              <w:pStyle w:val="DualTxt"/>
              <w:spacing w:before="50" w:after="60" w:line="210" w:lineRule="exact"/>
              <w:ind w:left="14" w:right="14"/>
              <w:jc w:val="center"/>
              <w:rPr>
                <w:sz w:val="17"/>
              </w:rPr>
            </w:pPr>
            <w:r>
              <w:rPr>
                <w:sz w:val="17"/>
              </w:rPr>
              <w:t>18</w:t>
            </w:r>
          </w:p>
        </w:tc>
        <w:tc>
          <w:tcPr>
            <w:tcW w:w="1530" w:type="dxa"/>
          </w:tcPr>
          <w:p w:rsidR="00000000" w:rsidRDefault="00000000">
            <w:pPr>
              <w:pStyle w:val="DualTxt"/>
              <w:spacing w:before="50" w:after="60" w:line="210" w:lineRule="exact"/>
              <w:ind w:left="14" w:right="14"/>
              <w:jc w:val="center"/>
              <w:rPr>
                <w:sz w:val="17"/>
              </w:rPr>
            </w:pPr>
            <w:r>
              <w:rPr>
                <w:sz w:val="17"/>
              </w:rPr>
              <w:t>1</w:t>
            </w:r>
          </w:p>
        </w:tc>
        <w:tc>
          <w:tcPr>
            <w:tcW w:w="3087" w:type="dxa"/>
          </w:tcPr>
          <w:p w:rsidR="00000000" w:rsidRDefault="00000000">
            <w:pPr>
              <w:pStyle w:val="DualTxt"/>
              <w:spacing w:before="50" w:after="60" w:line="210" w:lineRule="exact"/>
              <w:ind w:left="3" w:right="14"/>
              <w:jc w:val="left"/>
              <w:rPr>
                <w:sz w:val="17"/>
              </w:rPr>
            </w:pPr>
            <w:r>
              <w:rPr>
                <w:sz w:val="17"/>
              </w:rPr>
              <w:t>Государственный министр по гос</w:t>
            </w:r>
            <w:r>
              <w:rPr>
                <w:sz w:val="17"/>
              </w:rPr>
              <w:t>у</w:t>
            </w:r>
            <w:r>
              <w:rPr>
                <w:sz w:val="17"/>
              </w:rPr>
              <w:t>дарственным доходам — А.Поча</w:t>
            </w:r>
          </w:p>
        </w:tc>
      </w:tr>
      <w:tr w:rsidR="00000000">
        <w:tblPrEx>
          <w:tblCellMar>
            <w:top w:w="0" w:type="dxa"/>
            <w:bottom w:w="0" w:type="dxa"/>
          </w:tblCellMar>
        </w:tblPrEx>
        <w:trPr>
          <w:cantSplit/>
        </w:trPr>
        <w:tc>
          <w:tcPr>
            <w:tcW w:w="2853" w:type="dxa"/>
          </w:tcPr>
          <w:p w:rsidR="00000000" w:rsidRDefault="00000000">
            <w:pPr>
              <w:pStyle w:val="DualTxt"/>
              <w:spacing w:before="50" w:after="60" w:line="210" w:lineRule="exact"/>
              <w:ind w:left="14" w:right="14"/>
              <w:jc w:val="left"/>
              <w:rPr>
                <w:sz w:val="17"/>
              </w:rPr>
            </w:pPr>
            <w:r>
              <w:rPr>
                <w:sz w:val="17"/>
              </w:rPr>
              <w:t>Кабинет министров под предс</w:t>
            </w:r>
            <w:r>
              <w:rPr>
                <w:sz w:val="17"/>
              </w:rPr>
              <w:t>е</w:t>
            </w:r>
            <w:r>
              <w:rPr>
                <w:sz w:val="17"/>
              </w:rPr>
              <w:t>дательствованием Г.Крастса (07.08.1997-26.11.1998)</w:t>
            </w:r>
          </w:p>
        </w:tc>
        <w:tc>
          <w:tcPr>
            <w:tcW w:w="2340" w:type="dxa"/>
          </w:tcPr>
          <w:p w:rsidR="00000000" w:rsidRDefault="00000000">
            <w:pPr>
              <w:pStyle w:val="DualTxt"/>
              <w:spacing w:before="50" w:after="60" w:line="210" w:lineRule="exact"/>
              <w:ind w:left="14" w:right="14"/>
              <w:jc w:val="center"/>
              <w:rPr>
                <w:sz w:val="17"/>
              </w:rPr>
            </w:pPr>
            <w:r>
              <w:rPr>
                <w:sz w:val="17"/>
              </w:rPr>
              <w:t>17</w:t>
            </w:r>
          </w:p>
        </w:tc>
        <w:tc>
          <w:tcPr>
            <w:tcW w:w="1530" w:type="dxa"/>
          </w:tcPr>
          <w:p w:rsidR="00000000" w:rsidRDefault="00000000">
            <w:pPr>
              <w:pStyle w:val="DualTxt"/>
              <w:spacing w:before="50" w:after="60" w:line="210" w:lineRule="exact"/>
              <w:ind w:left="14" w:right="14"/>
              <w:jc w:val="center"/>
              <w:rPr>
                <w:sz w:val="17"/>
              </w:rPr>
            </w:pPr>
            <w:r>
              <w:rPr>
                <w:sz w:val="17"/>
              </w:rPr>
              <w:t>2</w:t>
            </w:r>
          </w:p>
        </w:tc>
        <w:tc>
          <w:tcPr>
            <w:tcW w:w="3087" w:type="dxa"/>
          </w:tcPr>
          <w:p w:rsidR="00000000" w:rsidRDefault="00000000">
            <w:pPr>
              <w:pStyle w:val="DualTxt"/>
              <w:spacing w:before="50" w:after="60" w:line="210" w:lineRule="exact"/>
              <w:ind w:left="3" w:right="14"/>
              <w:jc w:val="left"/>
              <w:rPr>
                <w:sz w:val="17"/>
              </w:rPr>
            </w:pPr>
            <w:r>
              <w:rPr>
                <w:sz w:val="17"/>
              </w:rPr>
              <w:t xml:space="preserve">Министр культуры — Р.Умблия, </w:t>
            </w:r>
            <w:r>
              <w:rPr>
                <w:sz w:val="17"/>
              </w:rPr>
              <w:br/>
              <w:t>Государственный министр по гос</w:t>
            </w:r>
            <w:r>
              <w:rPr>
                <w:sz w:val="17"/>
              </w:rPr>
              <w:t>у</w:t>
            </w:r>
            <w:r>
              <w:rPr>
                <w:sz w:val="17"/>
              </w:rPr>
              <w:t>дарственным доходам — А.Поча</w:t>
            </w:r>
          </w:p>
        </w:tc>
      </w:tr>
      <w:tr w:rsidR="00000000">
        <w:tblPrEx>
          <w:tblCellMar>
            <w:top w:w="0" w:type="dxa"/>
            <w:bottom w:w="0" w:type="dxa"/>
          </w:tblCellMar>
        </w:tblPrEx>
        <w:trPr>
          <w:cantSplit/>
        </w:trPr>
        <w:tc>
          <w:tcPr>
            <w:tcW w:w="2853" w:type="dxa"/>
          </w:tcPr>
          <w:p w:rsidR="00000000" w:rsidRDefault="00000000">
            <w:pPr>
              <w:pStyle w:val="DualTxt"/>
              <w:spacing w:before="50" w:after="60" w:line="210" w:lineRule="exact"/>
              <w:ind w:left="14" w:right="14"/>
              <w:jc w:val="left"/>
              <w:rPr>
                <w:sz w:val="17"/>
              </w:rPr>
            </w:pPr>
            <w:r>
              <w:rPr>
                <w:sz w:val="17"/>
              </w:rPr>
              <w:t>Кабинет министров под предс</w:t>
            </w:r>
            <w:r>
              <w:rPr>
                <w:sz w:val="17"/>
              </w:rPr>
              <w:t>е</w:t>
            </w:r>
            <w:r>
              <w:rPr>
                <w:sz w:val="17"/>
              </w:rPr>
              <w:t>дательствованием В.Криштопанса (26.11.1998-16.07.1999)</w:t>
            </w:r>
          </w:p>
        </w:tc>
        <w:tc>
          <w:tcPr>
            <w:tcW w:w="2340" w:type="dxa"/>
          </w:tcPr>
          <w:p w:rsidR="00000000" w:rsidRDefault="00000000">
            <w:pPr>
              <w:pStyle w:val="DualTxt"/>
              <w:spacing w:before="50" w:after="60" w:line="210" w:lineRule="exact"/>
              <w:ind w:left="14" w:right="14"/>
              <w:jc w:val="center"/>
              <w:rPr>
                <w:sz w:val="17"/>
              </w:rPr>
            </w:pPr>
            <w:r>
              <w:rPr>
                <w:sz w:val="17"/>
              </w:rPr>
              <w:t>21</w:t>
            </w:r>
          </w:p>
        </w:tc>
        <w:tc>
          <w:tcPr>
            <w:tcW w:w="1530" w:type="dxa"/>
          </w:tcPr>
          <w:p w:rsidR="00000000" w:rsidRDefault="00000000">
            <w:pPr>
              <w:pStyle w:val="DualTxt"/>
              <w:spacing w:before="50" w:after="60" w:line="210" w:lineRule="exact"/>
              <w:ind w:left="14" w:right="14"/>
              <w:jc w:val="center"/>
              <w:rPr>
                <w:sz w:val="17"/>
              </w:rPr>
            </w:pPr>
            <w:r>
              <w:rPr>
                <w:sz w:val="17"/>
              </w:rPr>
              <w:t>6</w:t>
            </w:r>
          </w:p>
        </w:tc>
        <w:tc>
          <w:tcPr>
            <w:tcW w:w="3087" w:type="dxa"/>
          </w:tcPr>
          <w:p w:rsidR="00000000" w:rsidRDefault="00000000">
            <w:pPr>
              <w:pStyle w:val="DualTxt"/>
              <w:spacing w:before="50" w:after="60" w:line="210" w:lineRule="exact"/>
              <w:ind w:left="3" w:right="14"/>
              <w:jc w:val="left"/>
              <w:rPr>
                <w:sz w:val="17"/>
              </w:rPr>
            </w:pPr>
            <w:r>
              <w:rPr>
                <w:sz w:val="17"/>
              </w:rPr>
              <w:t>Министр экономики — И.Удре,</w:t>
            </w:r>
            <w:r>
              <w:rPr>
                <w:sz w:val="17"/>
              </w:rPr>
              <w:br/>
              <w:t>Министр культуры — К.Петерсоне,</w:t>
            </w:r>
            <w:r>
              <w:rPr>
                <w:sz w:val="17"/>
              </w:rPr>
              <w:br/>
              <w:t>Министр юстиции — И.Лабуцка,</w:t>
            </w:r>
            <w:r>
              <w:rPr>
                <w:sz w:val="17"/>
              </w:rPr>
              <w:br/>
              <w:t>Государственный министр по гос</w:t>
            </w:r>
            <w:r>
              <w:rPr>
                <w:sz w:val="17"/>
              </w:rPr>
              <w:t>у</w:t>
            </w:r>
            <w:r>
              <w:rPr>
                <w:sz w:val="17"/>
              </w:rPr>
              <w:t>дарственным доходам — А.Поча,</w:t>
            </w:r>
            <w:r>
              <w:rPr>
                <w:sz w:val="17"/>
              </w:rPr>
              <w:br/>
              <w:t>Государственный министр охраны окружающей среды — И.Вайдере,</w:t>
            </w:r>
            <w:r>
              <w:rPr>
                <w:sz w:val="17"/>
              </w:rPr>
              <w:br/>
              <w:t>Государственный министр высшего образования и науки — Т.Коке</w:t>
            </w:r>
          </w:p>
        </w:tc>
      </w:tr>
      <w:tr w:rsidR="00000000">
        <w:tblPrEx>
          <w:tblCellMar>
            <w:top w:w="0" w:type="dxa"/>
            <w:bottom w:w="0" w:type="dxa"/>
          </w:tblCellMar>
        </w:tblPrEx>
        <w:trPr>
          <w:cantSplit/>
        </w:trPr>
        <w:tc>
          <w:tcPr>
            <w:tcW w:w="2853" w:type="dxa"/>
          </w:tcPr>
          <w:p w:rsidR="00000000" w:rsidRDefault="00000000">
            <w:pPr>
              <w:pStyle w:val="DualTxt"/>
              <w:spacing w:before="50" w:after="60" w:line="210" w:lineRule="exact"/>
              <w:ind w:left="14" w:right="14"/>
              <w:jc w:val="left"/>
              <w:rPr>
                <w:sz w:val="17"/>
              </w:rPr>
            </w:pPr>
            <w:r>
              <w:rPr>
                <w:sz w:val="17"/>
              </w:rPr>
              <w:t>Кабинет министров под предс</w:t>
            </w:r>
            <w:r>
              <w:rPr>
                <w:sz w:val="17"/>
              </w:rPr>
              <w:t>е</w:t>
            </w:r>
            <w:r>
              <w:rPr>
                <w:sz w:val="17"/>
              </w:rPr>
              <w:t>дательствованием А.Шкеле (16.07,1999-05.05.2000)</w:t>
            </w:r>
          </w:p>
        </w:tc>
        <w:tc>
          <w:tcPr>
            <w:tcW w:w="2340" w:type="dxa"/>
          </w:tcPr>
          <w:p w:rsidR="00000000" w:rsidRDefault="00000000">
            <w:pPr>
              <w:pStyle w:val="DualTxt"/>
              <w:spacing w:before="50" w:after="60" w:line="210" w:lineRule="exact"/>
              <w:ind w:left="14" w:right="14"/>
              <w:jc w:val="center"/>
              <w:rPr>
                <w:sz w:val="17"/>
              </w:rPr>
            </w:pPr>
            <w:r>
              <w:rPr>
                <w:sz w:val="17"/>
              </w:rPr>
              <w:t>14</w:t>
            </w:r>
          </w:p>
        </w:tc>
        <w:tc>
          <w:tcPr>
            <w:tcW w:w="1530" w:type="dxa"/>
          </w:tcPr>
          <w:p w:rsidR="00000000" w:rsidRDefault="00000000">
            <w:pPr>
              <w:pStyle w:val="DualTxt"/>
              <w:spacing w:before="50" w:after="60" w:line="210" w:lineRule="exact"/>
              <w:ind w:left="14" w:right="14"/>
              <w:jc w:val="center"/>
              <w:rPr>
                <w:sz w:val="17"/>
              </w:rPr>
            </w:pPr>
            <w:r>
              <w:rPr>
                <w:sz w:val="17"/>
              </w:rPr>
              <w:t>2</w:t>
            </w:r>
          </w:p>
        </w:tc>
        <w:tc>
          <w:tcPr>
            <w:tcW w:w="3087" w:type="dxa"/>
          </w:tcPr>
          <w:p w:rsidR="00000000" w:rsidRDefault="00000000">
            <w:pPr>
              <w:pStyle w:val="DualTxt"/>
              <w:spacing w:before="50" w:after="60" w:line="210" w:lineRule="exact"/>
              <w:ind w:left="3" w:right="14"/>
              <w:jc w:val="left"/>
              <w:rPr>
                <w:sz w:val="17"/>
              </w:rPr>
            </w:pPr>
            <w:r>
              <w:rPr>
                <w:sz w:val="17"/>
              </w:rPr>
              <w:t>Министр образования и науки — С.Голде,</w:t>
            </w:r>
            <w:r>
              <w:rPr>
                <w:sz w:val="17"/>
              </w:rPr>
              <w:br/>
              <w:t>Министр культуры — К. Петерс</w:t>
            </w:r>
            <w:r>
              <w:rPr>
                <w:sz w:val="17"/>
              </w:rPr>
              <w:t>о</w:t>
            </w:r>
            <w:r>
              <w:rPr>
                <w:sz w:val="17"/>
              </w:rPr>
              <w:t>не</w:t>
            </w:r>
          </w:p>
        </w:tc>
      </w:tr>
      <w:tr w:rsidR="00000000">
        <w:tblPrEx>
          <w:tblCellMar>
            <w:top w:w="0" w:type="dxa"/>
            <w:bottom w:w="0" w:type="dxa"/>
          </w:tblCellMar>
        </w:tblPrEx>
        <w:trPr>
          <w:cantSplit/>
        </w:trPr>
        <w:tc>
          <w:tcPr>
            <w:tcW w:w="2853" w:type="dxa"/>
          </w:tcPr>
          <w:p w:rsidR="00000000" w:rsidRDefault="00000000">
            <w:pPr>
              <w:pStyle w:val="DualTxt"/>
              <w:spacing w:before="50" w:after="60" w:line="210" w:lineRule="exact"/>
              <w:ind w:left="14" w:right="14"/>
              <w:jc w:val="left"/>
              <w:rPr>
                <w:sz w:val="17"/>
              </w:rPr>
            </w:pPr>
            <w:r>
              <w:rPr>
                <w:sz w:val="17"/>
              </w:rPr>
              <w:t>Кабинет министров под предс</w:t>
            </w:r>
            <w:r>
              <w:rPr>
                <w:sz w:val="17"/>
              </w:rPr>
              <w:t>е</w:t>
            </w:r>
            <w:r>
              <w:rPr>
                <w:sz w:val="17"/>
              </w:rPr>
              <w:t>дательствованием А.Берзиньша (05.05.2000-07.11.2002)</w:t>
            </w:r>
          </w:p>
        </w:tc>
        <w:tc>
          <w:tcPr>
            <w:tcW w:w="2340" w:type="dxa"/>
          </w:tcPr>
          <w:p w:rsidR="00000000" w:rsidRDefault="00000000">
            <w:pPr>
              <w:pStyle w:val="DualTxt"/>
              <w:spacing w:before="50" w:after="60" w:line="210" w:lineRule="exact"/>
              <w:ind w:left="14" w:right="14"/>
              <w:jc w:val="center"/>
              <w:rPr>
                <w:sz w:val="17"/>
              </w:rPr>
            </w:pPr>
            <w:r>
              <w:rPr>
                <w:sz w:val="17"/>
              </w:rPr>
              <w:t>14</w:t>
            </w:r>
          </w:p>
        </w:tc>
        <w:tc>
          <w:tcPr>
            <w:tcW w:w="1530" w:type="dxa"/>
          </w:tcPr>
          <w:p w:rsidR="00000000" w:rsidRDefault="00000000">
            <w:pPr>
              <w:pStyle w:val="DualTxt"/>
              <w:spacing w:before="50" w:after="60" w:line="210" w:lineRule="exact"/>
              <w:ind w:left="14" w:right="14"/>
              <w:jc w:val="center"/>
              <w:rPr>
                <w:sz w:val="17"/>
              </w:rPr>
            </w:pPr>
            <w:r>
              <w:rPr>
                <w:sz w:val="17"/>
              </w:rPr>
              <w:t>2</w:t>
            </w:r>
          </w:p>
        </w:tc>
        <w:tc>
          <w:tcPr>
            <w:tcW w:w="3087" w:type="dxa"/>
          </w:tcPr>
          <w:p w:rsidR="00000000" w:rsidRDefault="00000000">
            <w:pPr>
              <w:pStyle w:val="DualTxt"/>
              <w:spacing w:before="50" w:after="60" w:line="210" w:lineRule="exact"/>
              <w:ind w:left="3" w:right="14"/>
              <w:jc w:val="left"/>
              <w:rPr>
                <w:sz w:val="17"/>
              </w:rPr>
            </w:pPr>
            <w:r>
              <w:rPr>
                <w:sz w:val="17"/>
              </w:rPr>
              <w:t>Министр культуры — К.Петерсоне,</w:t>
            </w:r>
            <w:r>
              <w:rPr>
                <w:sz w:val="17"/>
              </w:rPr>
              <w:br/>
              <w:t>Министр юстиции — И.Лабуцка</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60.</w:t>
      </w:r>
      <w:r>
        <w:tab/>
        <w:t>Что касается постов в гражданской службе страны, то на женщин не ра</w:t>
      </w:r>
      <w:r>
        <w:t>с</w:t>
      </w:r>
      <w:r>
        <w:t>пространяются никакие ограничения. В соответствии со статьей 7 Закона «О государственной гражданской службе» лицо, желающее стать гражданским служ</w:t>
      </w:r>
      <w:r>
        <w:t>а</w:t>
      </w:r>
      <w:r>
        <w:t>щим, должно удовлетворять следующим требованиям:</w:t>
      </w:r>
    </w:p>
    <w:p w:rsidR="00000000" w:rsidRDefault="00000000">
      <w:pPr>
        <w:pStyle w:val="SingleTxt"/>
      </w:pPr>
      <w:r>
        <w:t>1)</w:t>
      </w:r>
      <w:r>
        <w:tab/>
        <w:t>лицо должно быть гражданином Латвийской Республики;</w:t>
      </w:r>
    </w:p>
    <w:p w:rsidR="00000000" w:rsidRDefault="00000000">
      <w:pPr>
        <w:pStyle w:val="SingleTxt"/>
      </w:pPr>
      <w:r>
        <w:t>2)</w:t>
      </w:r>
      <w:r>
        <w:tab/>
        <w:t xml:space="preserve">лицо должно в совершенстве владеть латышским </w:t>
      </w:r>
      <w:r>
        <w:rPr>
          <w:lang/>
        </w:rPr>
        <w:t>я</w:t>
      </w:r>
      <w:r>
        <w:t>зыком;</w:t>
      </w:r>
    </w:p>
    <w:p w:rsidR="00000000" w:rsidRDefault="00000000">
      <w:pPr>
        <w:pStyle w:val="SingleTxt"/>
      </w:pPr>
      <w:r>
        <w:t>3)</w:t>
      </w:r>
      <w:r>
        <w:tab/>
        <w:t>лицо должно иметь высшее образование;</w:t>
      </w:r>
    </w:p>
    <w:p w:rsidR="00000000" w:rsidRDefault="00000000">
      <w:pPr>
        <w:pStyle w:val="SingleTxt"/>
      </w:pPr>
      <w:r>
        <w:t>4)</w:t>
      </w:r>
      <w:r>
        <w:tab/>
        <w:t>лицо не достигло еще установленного законом пенсионного возраста;</w:t>
      </w:r>
    </w:p>
    <w:p w:rsidR="00000000" w:rsidRDefault="00000000">
      <w:pPr>
        <w:pStyle w:val="SingleTxt"/>
        <w:ind w:left="1742" w:hanging="475"/>
      </w:pPr>
      <w:r>
        <w:t>5)</w:t>
      </w:r>
      <w:r>
        <w:tab/>
        <w:t>лицо не было приговорено к наказанию за преднамеренное уголовное преступление или было реабилитировано, или судимость данного лица была отменена или снята;</w:t>
      </w:r>
    </w:p>
    <w:p w:rsidR="00000000" w:rsidRDefault="00000000">
      <w:pPr>
        <w:pStyle w:val="SingleTxt"/>
        <w:ind w:left="1742" w:hanging="475"/>
      </w:pPr>
      <w:r>
        <w:t>6)</w:t>
      </w:r>
      <w:r>
        <w:tab/>
        <w:t>лицо не было уволено с поста гражданского служащего по решению суда в результате ра</w:t>
      </w:r>
      <w:r>
        <w:t>с</w:t>
      </w:r>
      <w:r>
        <w:t>смотрения уголовного дела;</w:t>
      </w:r>
    </w:p>
    <w:p w:rsidR="00000000" w:rsidRDefault="00000000">
      <w:pPr>
        <w:pStyle w:val="SingleTxt"/>
        <w:ind w:left="1742" w:hanging="475"/>
      </w:pPr>
      <w:r>
        <w:t>7)</w:t>
      </w:r>
      <w:r>
        <w:tab/>
        <w:t>лицо не было признано недееспособным в соответствии с процедурой, предписанной зак</w:t>
      </w:r>
      <w:r>
        <w:t>о</w:t>
      </w:r>
      <w:r>
        <w:t>ном;</w:t>
      </w:r>
    </w:p>
    <w:p w:rsidR="00000000" w:rsidRDefault="00000000">
      <w:pPr>
        <w:pStyle w:val="SingleTxt"/>
        <w:ind w:left="1742" w:hanging="475"/>
      </w:pPr>
      <w:r>
        <w:t>8)</w:t>
      </w:r>
      <w:r>
        <w:tab/>
        <w:t>лицо не является и не являлось сотрудником служб безопасности, разв</w:t>
      </w:r>
      <w:r>
        <w:t>е</w:t>
      </w:r>
      <w:r>
        <w:t>дывательных служб или служб контрразведки СССР, Латвийской ССР или зарубе</w:t>
      </w:r>
      <w:r>
        <w:t>ж</w:t>
      </w:r>
      <w:r>
        <w:t>ной страны;</w:t>
      </w:r>
    </w:p>
    <w:p w:rsidR="00000000" w:rsidRDefault="00000000">
      <w:pPr>
        <w:pStyle w:val="SingleTxt"/>
        <w:ind w:left="1742" w:hanging="475"/>
      </w:pPr>
      <w:r>
        <w:t>9)</w:t>
      </w:r>
      <w:r>
        <w:tab/>
        <w:t>лицо не является и не являлось членом организаций, запрещенных зак</w:t>
      </w:r>
      <w:r>
        <w:t>о</w:t>
      </w:r>
      <w:r>
        <w:t>нами или судебн</w:t>
      </w:r>
      <w:r>
        <w:t>ы</w:t>
      </w:r>
      <w:r>
        <w:t>ми постановлениями;</w:t>
      </w:r>
    </w:p>
    <w:p w:rsidR="00000000" w:rsidRDefault="00000000">
      <w:pPr>
        <w:pStyle w:val="SingleTxt"/>
        <w:ind w:left="1742" w:hanging="475"/>
      </w:pPr>
      <w:r>
        <w:t>10)</w:t>
      </w:r>
      <w:r>
        <w:tab/>
        <w:t>лицо не является родственником руководителя учреждения или непосре</w:t>
      </w:r>
      <w:r>
        <w:t>д</w:t>
      </w:r>
      <w:r>
        <w:t>ственного начальника (лицо, которое состоит в браке с гражданским сл</w:t>
      </w:r>
      <w:r>
        <w:t>у</w:t>
      </w:r>
      <w:r>
        <w:t>жащим, которое приходится родней со стороны мужа или жены или явл</w:t>
      </w:r>
      <w:r>
        <w:t>я</w:t>
      </w:r>
      <w:r>
        <w:t>ется прямым родственником, а также братья и сестры). Кабинет минис</w:t>
      </w:r>
      <w:r>
        <w:t>т</w:t>
      </w:r>
      <w:r>
        <w:t>ров может делать исключения в случаях, когда соответствующие учре</w:t>
      </w:r>
      <w:r>
        <w:t>ж</w:t>
      </w:r>
      <w:r>
        <w:t>дения не могут никаким иным образом обеспечить выполнение своих функций.</w:t>
      </w:r>
    </w:p>
    <w:p w:rsidR="00000000" w:rsidRDefault="00000000">
      <w:pPr>
        <w:pStyle w:val="SingleTxt"/>
      </w:pPr>
      <w:r>
        <w:t>61.</w:t>
      </w:r>
      <w:r>
        <w:tab/>
        <w:t>Хотя в отношении полов не установлено никаких правовых или политич</w:t>
      </w:r>
      <w:r>
        <w:t>е</w:t>
      </w:r>
      <w:r>
        <w:t>ских ограничений, представленность женщин по сравнению с представленн</w:t>
      </w:r>
      <w:r>
        <w:t>о</w:t>
      </w:r>
      <w:r>
        <w:t>стью мужчин как в учреждениях законодательной власти, так и в учреждениях исполнительной власти в настоящее время не является пр</w:t>
      </w:r>
      <w:r>
        <w:t>о</w:t>
      </w:r>
      <w:r>
        <w:t>порциональной.</w:t>
      </w:r>
    </w:p>
    <w:p w:rsidR="00000000" w:rsidRDefault="00000000">
      <w:pPr>
        <w:pStyle w:val="SingleTxt"/>
      </w:pPr>
      <w:r>
        <w:t>62.</w:t>
      </w:r>
      <w:r>
        <w:tab/>
        <w:t>В приводимой ниже таблице кратко представлены статистические данные о занятости мужчин и женщин не только в государственных учреждениях, но и во всех других областях национальной экономики, торговли, производства и в секторе услуг (в тысячах человек).</w:t>
      </w:r>
    </w:p>
    <w:p w:rsidR="00000000" w:rsidRDefault="00000000">
      <w:pPr>
        <w:pStyle w:val="SingleTxt"/>
      </w:pP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61"/>
        <w:gridCol w:w="819"/>
        <w:gridCol w:w="774"/>
        <w:gridCol w:w="792"/>
        <w:gridCol w:w="774"/>
        <w:gridCol w:w="810"/>
        <w:gridCol w:w="801"/>
        <w:gridCol w:w="828"/>
        <w:gridCol w:w="792"/>
        <w:gridCol w:w="774"/>
        <w:gridCol w:w="801"/>
        <w:gridCol w:w="774"/>
        <w:gridCol w:w="792"/>
      </w:tblGrid>
      <w:tr w:rsidR="00000000">
        <w:tblPrEx>
          <w:tblCellMar>
            <w:top w:w="0" w:type="dxa"/>
            <w:bottom w:w="0" w:type="dxa"/>
          </w:tblCellMar>
        </w:tblPrEx>
        <w:trPr>
          <w:cantSplit/>
        </w:trPr>
        <w:tc>
          <w:tcPr>
            <w:tcW w:w="2961" w:type="dxa"/>
            <w:vMerge w:val="restart"/>
            <w:vAlign w:val="bottom"/>
          </w:tcPr>
          <w:p w:rsidR="00000000" w:rsidRDefault="00000000">
            <w:pPr>
              <w:pStyle w:val="DualTxt"/>
              <w:spacing w:before="40" w:after="40" w:line="200" w:lineRule="exact"/>
              <w:jc w:val="left"/>
              <w:rPr>
                <w:sz w:val="14"/>
              </w:rPr>
            </w:pPr>
          </w:p>
        </w:tc>
        <w:tc>
          <w:tcPr>
            <w:tcW w:w="4770" w:type="dxa"/>
            <w:gridSpan w:val="6"/>
            <w:vAlign w:val="bottom"/>
          </w:tcPr>
          <w:p w:rsidR="00000000" w:rsidRDefault="00000000">
            <w:pPr>
              <w:pStyle w:val="DualTxt"/>
              <w:spacing w:before="40" w:after="40" w:line="200" w:lineRule="exact"/>
              <w:jc w:val="center"/>
              <w:rPr>
                <w:sz w:val="14"/>
              </w:rPr>
            </w:pPr>
            <w:r>
              <w:rPr>
                <w:sz w:val="14"/>
              </w:rPr>
              <w:t>Мужчины</w:t>
            </w:r>
          </w:p>
        </w:tc>
        <w:tc>
          <w:tcPr>
            <w:tcW w:w="4761" w:type="dxa"/>
            <w:gridSpan w:val="6"/>
            <w:vAlign w:val="bottom"/>
          </w:tcPr>
          <w:p w:rsidR="00000000" w:rsidRDefault="00000000">
            <w:pPr>
              <w:pStyle w:val="DualTxt"/>
              <w:spacing w:before="40" w:after="40" w:line="200" w:lineRule="exact"/>
              <w:jc w:val="center"/>
              <w:rPr>
                <w:sz w:val="14"/>
              </w:rPr>
            </w:pPr>
            <w:r>
              <w:rPr>
                <w:sz w:val="14"/>
              </w:rPr>
              <w:t>Женщины</w:t>
            </w:r>
          </w:p>
        </w:tc>
      </w:tr>
      <w:tr w:rsidR="00000000">
        <w:tblPrEx>
          <w:tblCellMar>
            <w:top w:w="0" w:type="dxa"/>
            <w:bottom w:w="0" w:type="dxa"/>
          </w:tblCellMar>
        </w:tblPrEx>
        <w:trPr>
          <w:cantSplit/>
        </w:trPr>
        <w:tc>
          <w:tcPr>
            <w:tcW w:w="2961" w:type="dxa"/>
            <w:vMerge/>
            <w:tcBorders>
              <w:bottom w:val="nil"/>
            </w:tcBorders>
            <w:vAlign w:val="bottom"/>
          </w:tcPr>
          <w:p w:rsidR="00000000" w:rsidRDefault="00000000">
            <w:pPr>
              <w:pStyle w:val="DualTxt"/>
              <w:spacing w:before="40" w:after="40" w:line="200" w:lineRule="exact"/>
              <w:jc w:val="left"/>
              <w:rPr>
                <w:sz w:val="14"/>
              </w:rPr>
            </w:pPr>
          </w:p>
        </w:tc>
        <w:tc>
          <w:tcPr>
            <w:tcW w:w="819" w:type="dxa"/>
            <w:tcBorders>
              <w:bottom w:val="nil"/>
            </w:tcBorders>
            <w:vAlign w:val="bottom"/>
          </w:tcPr>
          <w:p w:rsidR="00000000" w:rsidRDefault="00000000">
            <w:pPr>
              <w:pStyle w:val="DualTxt"/>
              <w:spacing w:before="40" w:after="40" w:line="200" w:lineRule="exact"/>
              <w:rPr>
                <w:sz w:val="14"/>
              </w:rPr>
            </w:pPr>
            <w:r>
              <w:rPr>
                <w:sz w:val="14"/>
              </w:rPr>
              <w:t>1995 год</w:t>
            </w:r>
          </w:p>
        </w:tc>
        <w:tc>
          <w:tcPr>
            <w:tcW w:w="774" w:type="dxa"/>
            <w:tcBorders>
              <w:bottom w:val="nil"/>
            </w:tcBorders>
            <w:vAlign w:val="bottom"/>
          </w:tcPr>
          <w:p w:rsidR="00000000" w:rsidRDefault="00000000">
            <w:pPr>
              <w:pStyle w:val="DualTxt"/>
              <w:spacing w:before="40" w:after="40" w:line="200" w:lineRule="exact"/>
              <w:rPr>
                <w:sz w:val="14"/>
              </w:rPr>
            </w:pPr>
            <w:r>
              <w:rPr>
                <w:sz w:val="14"/>
              </w:rPr>
              <w:t>1996 год</w:t>
            </w:r>
          </w:p>
        </w:tc>
        <w:tc>
          <w:tcPr>
            <w:tcW w:w="792" w:type="dxa"/>
            <w:tcBorders>
              <w:bottom w:val="nil"/>
            </w:tcBorders>
            <w:vAlign w:val="bottom"/>
          </w:tcPr>
          <w:p w:rsidR="00000000" w:rsidRDefault="00000000">
            <w:pPr>
              <w:pStyle w:val="DualTxt"/>
              <w:spacing w:before="40" w:after="40" w:line="200" w:lineRule="exact"/>
              <w:rPr>
                <w:sz w:val="14"/>
              </w:rPr>
            </w:pPr>
            <w:r>
              <w:rPr>
                <w:sz w:val="14"/>
              </w:rPr>
              <w:t>1997 год</w:t>
            </w:r>
          </w:p>
        </w:tc>
        <w:tc>
          <w:tcPr>
            <w:tcW w:w="774" w:type="dxa"/>
            <w:tcBorders>
              <w:bottom w:val="nil"/>
            </w:tcBorders>
            <w:vAlign w:val="bottom"/>
          </w:tcPr>
          <w:p w:rsidR="00000000" w:rsidRDefault="00000000">
            <w:pPr>
              <w:pStyle w:val="DualTxt"/>
              <w:spacing w:before="40" w:after="40" w:line="200" w:lineRule="exact"/>
              <w:rPr>
                <w:sz w:val="14"/>
              </w:rPr>
            </w:pPr>
            <w:r>
              <w:rPr>
                <w:sz w:val="14"/>
              </w:rPr>
              <w:t>1998 год</w:t>
            </w:r>
          </w:p>
        </w:tc>
        <w:tc>
          <w:tcPr>
            <w:tcW w:w="810" w:type="dxa"/>
            <w:tcBorders>
              <w:bottom w:val="nil"/>
            </w:tcBorders>
            <w:vAlign w:val="bottom"/>
          </w:tcPr>
          <w:p w:rsidR="00000000" w:rsidRDefault="00000000">
            <w:pPr>
              <w:pStyle w:val="DualTxt"/>
              <w:spacing w:before="40" w:after="40" w:line="200" w:lineRule="exact"/>
              <w:rPr>
                <w:sz w:val="14"/>
              </w:rPr>
            </w:pPr>
            <w:r>
              <w:rPr>
                <w:sz w:val="14"/>
              </w:rPr>
              <w:t>1999 год</w:t>
            </w:r>
          </w:p>
        </w:tc>
        <w:tc>
          <w:tcPr>
            <w:tcW w:w="801" w:type="dxa"/>
            <w:tcBorders>
              <w:bottom w:val="nil"/>
            </w:tcBorders>
            <w:vAlign w:val="bottom"/>
          </w:tcPr>
          <w:p w:rsidR="00000000" w:rsidRDefault="00000000">
            <w:pPr>
              <w:pStyle w:val="DualTxt"/>
              <w:spacing w:before="40" w:after="40" w:line="200" w:lineRule="exact"/>
              <w:rPr>
                <w:sz w:val="14"/>
              </w:rPr>
            </w:pPr>
            <w:r>
              <w:rPr>
                <w:sz w:val="14"/>
              </w:rPr>
              <w:t>2000 год</w:t>
            </w:r>
          </w:p>
        </w:tc>
        <w:tc>
          <w:tcPr>
            <w:tcW w:w="828" w:type="dxa"/>
            <w:tcBorders>
              <w:bottom w:val="nil"/>
            </w:tcBorders>
            <w:vAlign w:val="bottom"/>
          </w:tcPr>
          <w:p w:rsidR="00000000" w:rsidRDefault="00000000">
            <w:pPr>
              <w:pStyle w:val="DualTxt"/>
              <w:spacing w:before="40" w:after="40" w:line="200" w:lineRule="exact"/>
              <w:rPr>
                <w:sz w:val="14"/>
              </w:rPr>
            </w:pPr>
            <w:r>
              <w:rPr>
                <w:sz w:val="14"/>
              </w:rPr>
              <w:t>1995 год</w:t>
            </w:r>
          </w:p>
        </w:tc>
        <w:tc>
          <w:tcPr>
            <w:tcW w:w="792" w:type="dxa"/>
            <w:tcBorders>
              <w:bottom w:val="nil"/>
            </w:tcBorders>
            <w:vAlign w:val="bottom"/>
          </w:tcPr>
          <w:p w:rsidR="00000000" w:rsidRDefault="00000000">
            <w:pPr>
              <w:pStyle w:val="DualTxt"/>
              <w:spacing w:before="40" w:after="40" w:line="200" w:lineRule="exact"/>
              <w:rPr>
                <w:sz w:val="14"/>
              </w:rPr>
            </w:pPr>
            <w:r>
              <w:rPr>
                <w:sz w:val="14"/>
              </w:rPr>
              <w:t>1996 год</w:t>
            </w:r>
          </w:p>
        </w:tc>
        <w:tc>
          <w:tcPr>
            <w:tcW w:w="774" w:type="dxa"/>
            <w:tcBorders>
              <w:bottom w:val="nil"/>
            </w:tcBorders>
            <w:vAlign w:val="bottom"/>
          </w:tcPr>
          <w:p w:rsidR="00000000" w:rsidRDefault="00000000">
            <w:pPr>
              <w:pStyle w:val="DualTxt"/>
              <w:spacing w:before="40" w:after="40" w:line="200" w:lineRule="exact"/>
              <w:rPr>
                <w:sz w:val="14"/>
              </w:rPr>
            </w:pPr>
            <w:r>
              <w:rPr>
                <w:sz w:val="14"/>
              </w:rPr>
              <w:t>1997 год</w:t>
            </w:r>
          </w:p>
        </w:tc>
        <w:tc>
          <w:tcPr>
            <w:tcW w:w="801" w:type="dxa"/>
            <w:tcBorders>
              <w:bottom w:val="nil"/>
            </w:tcBorders>
            <w:vAlign w:val="bottom"/>
          </w:tcPr>
          <w:p w:rsidR="00000000" w:rsidRDefault="00000000">
            <w:pPr>
              <w:pStyle w:val="DualTxt"/>
              <w:spacing w:before="40" w:after="40" w:line="200" w:lineRule="exact"/>
              <w:rPr>
                <w:sz w:val="14"/>
              </w:rPr>
            </w:pPr>
            <w:r>
              <w:rPr>
                <w:sz w:val="14"/>
              </w:rPr>
              <w:t>1998 год</w:t>
            </w:r>
          </w:p>
        </w:tc>
        <w:tc>
          <w:tcPr>
            <w:tcW w:w="774" w:type="dxa"/>
            <w:tcBorders>
              <w:bottom w:val="nil"/>
              <w:right w:val="nil"/>
            </w:tcBorders>
            <w:vAlign w:val="bottom"/>
          </w:tcPr>
          <w:p w:rsidR="00000000" w:rsidRDefault="00000000">
            <w:pPr>
              <w:pStyle w:val="DualTxt"/>
              <w:spacing w:before="40" w:after="40" w:line="200" w:lineRule="exact"/>
              <w:rPr>
                <w:sz w:val="14"/>
              </w:rPr>
            </w:pPr>
            <w:r>
              <w:rPr>
                <w:sz w:val="14"/>
              </w:rPr>
              <w:t>1999 год</w:t>
            </w:r>
          </w:p>
        </w:tc>
        <w:tc>
          <w:tcPr>
            <w:tcW w:w="792" w:type="dxa"/>
            <w:tcBorders>
              <w:top w:val="single" w:sz="4" w:space="0" w:color="auto"/>
              <w:left w:val="single" w:sz="4" w:space="0" w:color="auto"/>
              <w:bottom w:val="nil"/>
              <w:right w:val="single" w:sz="4" w:space="0" w:color="auto"/>
            </w:tcBorders>
            <w:vAlign w:val="bottom"/>
          </w:tcPr>
          <w:p w:rsidR="00000000" w:rsidRDefault="00000000">
            <w:pPr>
              <w:pStyle w:val="DualTxt"/>
              <w:spacing w:before="40" w:after="40" w:line="200" w:lineRule="exact"/>
              <w:rPr>
                <w:sz w:val="14"/>
              </w:rPr>
            </w:pPr>
            <w:r>
              <w:rPr>
                <w:sz w:val="14"/>
              </w:rPr>
              <w:t>2000 год</w:t>
            </w:r>
          </w:p>
        </w:tc>
      </w:tr>
      <w:tr w:rsidR="00000000">
        <w:tblPrEx>
          <w:tblCellMar>
            <w:top w:w="0" w:type="dxa"/>
            <w:bottom w:w="0" w:type="dxa"/>
          </w:tblCellMar>
        </w:tblPrEx>
        <w:trPr>
          <w:cantSplit/>
        </w:trPr>
        <w:tc>
          <w:tcPr>
            <w:tcW w:w="2961" w:type="dxa"/>
            <w:tcBorders>
              <w:bottom w:val="nil"/>
            </w:tcBorders>
            <w:vAlign w:val="bottom"/>
          </w:tcPr>
          <w:p w:rsidR="00000000" w:rsidRDefault="00000000">
            <w:pPr>
              <w:pStyle w:val="DualTxt"/>
              <w:spacing w:after="0" w:line="80" w:lineRule="exact"/>
              <w:jc w:val="left"/>
            </w:pPr>
          </w:p>
        </w:tc>
        <w:tc>
          <w:tcPr>
            <w:tcW w:w="819" w:type="dxa"/>
            <w:tcBorders>
              <w:bottom w:val="nil"/>
            </w:tcBorders>
            <w:vAlign w:val="bottom"/>
          </w:tcPr>
          <w:p w:rsidR="00000000" w:rsidRDefault="00000000">
            <w:pPr>
              <w:pStyle w:val="DualTxt"/>
              <w:spacing w:after="0" w:line="80" w:lineRule="exact"/>
              <w:rPr>
                <w:sz w:val="16"/>
              </w:rPr>
            </w:pPr>
          </w:p>
        </w:tc>
        <w:tc>
          <w:tcPr>
            <w:tcW w:w="774" w:type="dxa"/>
            <w:tcBorders>
              <w:bottom w:val="nil"/>
            </w:tcBorders>
            <w:vAlign w:val="bottom"/>
          </w:tcPr>
          <w:p w:rsidR="00000000" w:rsidRDefault="00000000">
            <w:pPr>
              <w:pStyle w:val="DualTxt"/>
              <w:spacing w:after="0" w:line="80" w:lineRule="exact"/>
              <w:rPr>
                <w:sz w:val="16"/>
              </w:rPr>
            </w:pPr>
          </w:p>
        </w:tc>
        <w:tc>
          <w:tcPr>
            <w:tcW w:w="792" w:type="dxa"/>
            <w:tcBorders>
              <w:bottom w:val="nil"/>
            </w:tcBorders>
            <w:vAlign w:val="bottom"/>
          </w:tcPr>
          <w:p w:rsidR="00000000" w:rsidRDefault="00000000">
            <w:pPr>
              <w:pStyle w:val="DualTxt"/>
              <w:spacing w:after="0" w:line="80" w:lineRule="exact"/>
              <w:rPr>
                <w:sz w:val="16"/>
              </w:rPr>
            </w:pPr>
          </w:p>
        </w:tc>
        <w:tc>
          <w:tcPr>
            <w:tcW w:w="774" w:type="dxa"/>
            <w:tcBorders>
              <w:bottom w:val="nil"/>
            </w:tcBorders>
            <w:vAlign w:val="bottom"/>
          </w:tcPr>
          <w:p w:rsidR="00000000" w:rsidRDefault="00000000">
            <w:pPr>
              <w:pStyle w:val="DualTxt"/>
              <w:spacing w:after="0" w:line="80" w:lineRule="exact"/>
              <w:rPr>
                <w:sz w:val="16"/>
              </w:rPr>
            </w:pPr>
          </w:p>
        </w:tc>
        <w:tc>
          <w:tcPr>
            <w:tcW w:w="810" w:type="dxa"/>
            <w:tcBorders>
              <w:bottom w:val="nil"/>
            </w:tcBorders>
            <w:vAlign w:val="bottom"/>
          </w:tcPr>
          <w:p w:rsidR="00000000" w:rsidRDefault="00000000">
            <w:pPr>
              <w:pStyle w:val="DualTxt"/>
              <w:spacing w:after="0" w:line="80" w:lineRule="exact"/>
              <w:rPr>
                <w:sz w:val="16"/>
              </w:rPr>
            </w:pPr>
          </w:p>
        </w:tc>
        <w:tc>
          <w:tcPr>
            <w:tcW w:w="801" w:type="dxa"/>
            <w:tcBorders>
              <w:bottom w:val="nil"/>
            </w:tcBorders>
            <w:vAlign w:val="bottom"/>
          </w:tcPr>
          <w:p w:rsidR="00000000" w:rsidRDefault="00000000">
            <w:pPr>
              <w:pStyle w:val="DualTxt"/>
              <w:spacing w:after="0" w:line="80" w:lineRule="exact"/>
              <w:rPr>
                <w:sz w:val="16"/>
              </w:rPr>
            </w:pPr>
          </w:p>
        </w:tc>
        <w:tc>
          <w:tcPr>
            <w:tcW w:w="828" w:type="dxa"/>
            <w:tcBorders>
              <w:bottom w:val="nil"/>
            </w:tcBorders>
            <w:vAlign w:val="bottom"/>
          </w:tcPr>
          <w:p w:rsidR="00000000" w:rsidRDefault="00000000">
            <w:pPr>
              <w:pStyle w:val="DualTxt"/>
              <w:spacing w:after="0" w:line="80" w:lineRule="exact"/>
              <w:rPr>
                <w:sz w:val="16"/>
              </w:rPr>
            </w:pPr>
          </w:p>
        </w:tc>
        <w:tc>
          <w:tcPr>
            <w:tcW w:w="792" w:type="dxa"/>
            <w:tcBorders>
              <w:bottom w:val="nil"/>
            </w:tcBorders>
            <w:vAlign w:val="bottom"/>
          </w:tcPr>
          <w:p w:rsidR="00000000" w:rsidRDefault="00000000">
            <w:pPr>
              <w:pStyle w:val="DualTxt"/>
              <w:spacing w:after="0" w:line="80" w:lineRule="exact"/>
              <w:rPr>
                <w:sz w:val="16"/>
              </w:rPr>
            </w:pPr>
          </w:p>
        </w:tc>
        <w:tc>
          <w:tcPr>
            <w:tcW w:w="774" w:type="dxa"/>
            <w:tcBorders>
              <w:bottom w:val="nil"/>
            </w:tcBorders>
            <w:vAlign w:val="bottom"/>
          </w:tcPr>
          <w:p w:rsidR="00000000" w:rsidRDefault="00000000">
            <w:pPr>
              <w:pStyle w:val="DualTxt"/>
              <w:spacing w:after="0" w:line="80" w:lineRule="exact"/>
              <w:rPr>
                <w:sz w:val="16"/>
              </w:rPr>
            </w:pPr>
          </w:p>
        </w:tc>
        <w:tc>
          <w:tcPr>
            <w:tcW w:w="801" w:type="dxa"/>
            <w:tcBorders>
              <w:bottom w:val="nil"/>
            </w:tcBorders>
            <w:vAlign w:val="bottom"/>
          </w:tcPr>
          <w:p w:rsidR="00000000" w:rsidRDefault="00000000">
            <w:pPr>
              <w:pStyle w:val="DualTxt"/>
              <w:spacing w:after="0" w:line="80" w:lineRule="exact"/>
              <w:rPr>
                <w:sz w:val="16"/>
              </w:rPr>
            </w:pPr>
          </w:p>
        </w:tc>
        <w:tc>
          <w:tcPr>
            <w:tcW w:w="774" w:type="dxa"/>
            <w:tcBorders>
              <w:bottom w:val="nil"/>
              <w:right w:val="nil"/>
            </w:tcBorders>
            <w:vAlign w:val="bottom"/>
          </w:tcPr>
          <w:p w:rsidR="00000000" w:rsidRDefault="00000000">
            <w:pPr>
              <w:pStyle w:val="DualTxt"/>
              <w:spacing w:after="0" w:line="80" w:lineRule="exact"/>
              <w:rPr>
                <w:sz w:val="16"/>
              </w:rPr>
            </w:pPr>
          </w:p>
        </w:tc>
        <w:tc>
          <w:tcPr>
            <w:tcW w:w="792" w:type="dxa"/>
            <w:tcBorders>
              <w:top w:val="single" w:sz="4" w:space="0" w:color="auto"/>
              <w:left w:val="single" w:sz="4" w:space="0" w:color="auto"/>
              <w:bottom w:val="nil"/>
              <w:right w:val="single" w:sz="4" w:space="0" w:color="auto"/>
            </w:tcBorders>
            <w:vAlign w:val="bottom"/>
          </w:tcPr>
          <w:p w:rsidR="00000000" w:rsidRDefault="00000000">
            <w:pPr>
              <w:pStyle w:val="DualTxt"/>
              <w:spacing w:after="0" w:line="80" w:lineRule="exact"/>
              <w:rPr>
                <w:sz w:val="16"/>
              </w:rPr>
            </w:pPr>
          </w:p>
        </w:tc>
      </w:tr>
      <w:tr w:rsidR="00000000">
        <w:tblPrEx>
          <w:tblCellMar>
            <w:top w:w="0" w:type="dxa"/>
            <w:bottom w:w="0" w:type="dxa"/>
          </w:tblCellMar>
        </w:tblPrEx>
        <w:trPr>
          <w:cantSplit/>
        </w:trPr>
        <w:tc>
          <w:tcPr>
            <w:tcW w:w="2961" w:type="dxa"/>
            <w:tcBorders>
              <w:top w:val="nil"/>
            </w:tcBorders>
            <w:vAlign w:val="bottom"/>
          </w:tcPr>
          <w:p w:rsidR="00000000" w:rsidRDefault="00000000">
            <w:pPr>
              <w:pStyle w:val="DualTxt"/>
              <w:spacing w:before="40" w:after="40" w:line="200" w:lineRule="exact"/>
              <w:ind w:left="3" w:right="3"/>
              <w:jc w:val="left"/>
            </w:pPr>
            <w:r>
              <w:rPr>
                <w:sz w:val="16"/>
              </w:rPr>
              <w:t>Заняты во всех видах деятел</w:t>
            </w:r>
            <w:r>
              <w:rPr>
                <w:sz w:val="16"/>
              </w:rPr>
              <w:t>ь</w:t>
            </w:r>
            <w:r>
              <w:rPr>
                <w:sz w:val="16"/>
              </w:rPr>
              <w:t>ности</w:t>
            </w:r>
          </w:p>
        </w:tc>
        <w:tc>
          <w:tcPr>
            <w:tcW w:w="819" w:type="dxa"/>
            <w:tcBorders>
              <w:top w:val="nil"/>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534,3</w:t>
            </w:r>
          </w:p>
        </w:tc>
        <w:tc>
          <w:tcPr>
            <w:tcW w:w="774" w:type="dxa"/>
            <w:tcBorders>
              <w:top w:val="nil"/>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520,0</w:t>
            </w:r>
          </w:p>
        </w:tc>
        <w:tc>
          <w:tcPr>
            <w:tcW w:w="792" w:type="dxa"/>
            <w:tcBorders>
              <w:top w:val="nil"/>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527,8</w:t>
            </w:r>
          </w:p>
        </w:tc>
        <w:tc>
          <w:tcPr>
            <w:tcW w:w="774" w:type="dxa"/>
            <w:tcBorders>
              <w:top w:val="nil"/>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537,1</w:t>
            </w:r>
          </w:p>
        </w:tc>
        <w:tc>
          <w:tcPr>
            <w:tcW w:w="810" w:type="dxa"/>
            <w:tcBorders>
              <w:top w:val="nil"/>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535,1</w:t>
            </w:r>
          </w:p>
        </w:tc>
        <w:tc>
          <w:tcPr>
            <w:tcW w:w="801" w:type="dxa"/>
            <w:tcBorders>
              <w:top w:val="nil"/>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533,5</w:t>
            </w:r>
          </w:p>
        </w:tc>
        <w:tc>
          <w:tcPr>
            <w:tcW w:w="828" w:type="dxa"/>
            <w:tcBorders>
              <w:top w:val="nil"/>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511,3</w:t>
            </w:r>
          </w:p>
        </w:tc>
        <w:tc>
          <w:tcPr>
            <w:tcW w:w="792" w:type="dxa"/>
            <w:tcBorders>
              <w:top w:val="nil"/>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497,7</w:t>
            </w:r>
          </w:p>
        </w:tc>
        <w:tc>
          <w:tcPr>
            <w:tcW w:w="774" w:type="dxa"/>
            <w:tcBorders>
              <w:top w:val="nil"/>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509,0</w:t>
            </w:r>
          </w:p>
        </w:tc>
        <w:tc>
          <w:tcPr>
            <w:tcW w:w="801" w:type="dxa"/>
            <w:tcBorders>
              <w:top w:val="nil"/>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505,9</w:t>
            </w:r>
          </w:p>
        </w:tc>
        <w:tc>
          <w:tcPr>
            <w:tcW w:w="774" w:type="dxa"/>
            <w:tcBorders>
              <w:top w:val="nil"/>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502,7</w:t>
            </w:r>
          </w:p>
        </w:tc>
        <w:tc>
          <w:tcPr>
            <w:tcW w:w="792" w:type="dxa"/>
            <w:tcBorders>
              <w:top w:val="nil"/>
            </w:tcBorders>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504,4</w:t>
            </w:r>
          </w:p>
        </w:tc>
      </w:tr>
      <w:tr w:rsidR="00000000">
        <w:tblPrEx>
          <w:tblCellMar>
            <w:top w:w="0" w:type="dxa"/>
            <w:bottom w:w="0" w:type="dxa"/>
          </w:tblCellMar>
        </w:tblPrEx>
        <w:trPr>
          <w:cantSplit/>
        </w:trPr>
        <w:tc>
          <w:tcPr>
            <w:tcW w:w="2961" w:type="dxa"/>
            <w:vAlign w:val="bottom"/>
          </w:tcPr>
          <w:p w:rsidR="00000000" w:rsidRDefault="00000000">
            <w:pPr>
              <w:pStyle w:val="DualTxt"/>
              <w:spacing w:after="0" w:line="120" w:lineRule="exact"/>
              <w:jc w:val="left"/>
              <w:rPr>
                <w:sz w:val="16"/>
              </w:rPr>
            </w:pP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after="0" w:line="120" w:lineRule="exact"/>
              <w:jc w:val="left"/>
            </w:pP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after="0" w:line="120" w:lineRule="exact"/>
              <w:jc w:val="left"/>
            </w:pP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after="0" w:line="120" w:lineRule="exact"/>
              <w:jc w:val="left"/>
            </w:pP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after="0" w:line="120" w:lineRule="exact"/>
              <w:jc w:val="left"/>
            </w:pP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after="0" w:line="120" w:lineRule="exact"/>
              <w:jc w:val="left"/>
            </w:pP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after="0" w:line="120" w:lineRule="exact"/>
              <w:jc w:val="left"/>
            </w:pP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after="0" w:line="120" w:lineRule="exact"/>
              <w:jc w:val="left"/>
            </w:pP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after="0" w:line="120" w:lineRule="exact"/>
              <w:jc w:val="left"/>
            </w:pP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after="0" w:line="120" w:lineRule="exact"/>
              <w:jc w:val="left"/>
            </w:pP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after="0" w:line="120" w:lineRule="exact"/>
              <w:jc w:val="left"/>
            </w:pP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after="0" w:line="120" w:lineRule="exact"/>
              <w:jc w:val="left"/>
            </w:pP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after="0" w:line="120" w:lineRule="exact"/>
              <w:jc w:val="left"/>
            </w:pP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pPr>
            <w:r>
              <w:rPr>
                <w:sz w:val="16"/>
              </w:rPr>
              <w:t>Сельское хозяйство, охота и лесное х</w:t>
            </w:r>
            <w:r>
              <w:rPr>
                <w:sz w:val="16"/>
              </w:rPr>
              <w:t>о</w:t>
            </w:r>
            <w:r>
              <w:rPr>
                <w:sz w:val="16"/>
              </w:rPr>
              <w:t>зяйство</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118,7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114,3</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115,7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112,6</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107,2</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94,9</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69,5</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66,9</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70,9</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65,6</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64,1</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57,7</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rPr>
                <w:sz w:val="16"/>
              </w:rPr>
            </w:pPr>
            <w:r>
              <w:rPr>
                <w:sz w:val="16"/>
              </w:rPr>
              <w:t>Сельское хозяйство и охота</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105,9</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101,6</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102,8</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99,9</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94,0</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81,4</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67,8</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65,2</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9,2</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63,9</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62,4</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55,3</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pPr>
            <w:r>
              <w:rPr>
                <w:sz w:val="16"/>
              </w:rPr>
              <w:t>Лесное хозяйство</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12,8</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12,7</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12,9</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12,7</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13,2</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13,5</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1,7</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1,7</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1,7</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2,4</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rPr>
                <w:sz w:val="16"/>
              </w:rPr>
            </w:pPr>
            <w:r>
              <w:rPr>
                <w:sz w:val="16"/>
              </w:rPr>
              <w:t>Рыболовство</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4,5</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4,4</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4,8</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4,8</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4,5</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4,6</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076</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0,7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0,7</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0,7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0,7</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1,7</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rPr>
                <w:sz w:val="16"/>
              </w:rPr>
            </w:pPr>
            <w:r>
              <w:rPr>
                <w:sz w:val="16"/>
              </w:rPr>
              <w:t>Всего по промышленн</w:t>
            </w:r>
            <w:r>
              <w:rPr>
                <w:sz w:val="16"/>
              </w:rPr>
              <w:t>о</w:t>
            </w:r>
            <w:r>
              <w:rPr>
                <w:sz w:val="16"/>
              </w:rPr>
              <w:t>сти</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118,3</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111,2</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114,9</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107,3</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105,8</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107,9</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95,4</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90,7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94,3</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85,1</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78,8</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80,0</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rPr>
                <w:sz w:val="16"/>
              </w:rPr>
            </w:pPr>
            <w:r>
              <w:rPr>
                <w:sz w:val="16"/>
              </w:rPr>
              <w:t>Горнодобывающая промышленность и открытые горные разрабо</w:t>
            </w:r>
            <w:r>
              <w:rPr>
                <w:sz w:val="16"/>
              </w:rPr>
              <w:t>т</w:t>
            </w:r>
            <w:r>
              <w:rPr>
                <w:sz w:val="16"/>
              </w:rPr>
              <w:t>ки</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2,2</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2,2</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1,3</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1,5</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1,5</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0,9</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0,9</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0,6</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0,4</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0,5</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0,5</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rPr>
                <w:sz w:val="16"/>
              </w:rPr>
            </w:pPr>
            <w:r>
              <w:rPr>
                <w:sz w:val="16"/>
              </w:rPr>
              <w:t>Обрабатывающая промышле</w:t>
            </w:r>
            <w:r>
              <w:rPr>
                <w:sz w:val="16"/>
              </w:rPr>
              <w:t>н</w:t>
            </w:r>
            <w:r>
              <w:rPr>
                <w:sz w:val="16"/>
              </w:rPr>
              <w:t>ность</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102,7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94,6</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97,9</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92,0</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91,0</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93,6</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90,7</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85,3</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89,0</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79,7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73,2</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74,4</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pPr>
            <w:r>
              <w:rPr>
                <w:sz w:val="16"/>
              </w:rPr>
              <w:t>Электроснабжение, газоснабжение и водоснабж</w:t>
            </w:r>
            <w:r>
              <w:rPr>
                <w:sz w:val="16"/>
              </w:rPr>
              <w:t>е</w:t>
            </w:r>
            <w:r>
              <w:rPr>
                <w:sz w:val="16"/>
              </w:rPr>
              <w:t>ние</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13,4</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14,4</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15,3</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14,0</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13,3</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12,8</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3,8</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4,5</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4,7</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5,0</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5,1</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5,1</w:t>
            </w:r>
          </w:p>
        </w:tc>
      </w:tr>
      <w:tr w:rsidR="00000000">
        <w:tblPrEx>
          <w:tblCellMar>
            <w:top w:w="0" w:type="dxa"/>
            <w:bottom w:w="0" w:type="dxa"/>
          </w:tblCellMar>
        </w:tblPrEx>
        <w:trPr>
          <w:cantSplit/>
          <w:trHeight w:val="422"/>
        </w:trPr>
        <w:tc>
          <w:tcPr>
            <w:tcW w:w="2961" w:type="dxa"/>
            <w:vAlign w:val="bottom"/>
          </w:tcPr>
          <w:p w:rsidR="00000000" w:rsidRDefault="00000000">
            <w:pPr>
              <w:pStyle w:val="DualTxt"/>
              <w:spacing w:before="40" w:after="40" w:line="200" w:lineRule="exact"/>
              <w:ind w:left="3" w:right="3"/>
              <w:jc w:val="left"/>
            </w:pPr>
            <w:r>
              <w:rPr>
                <w:sz w:val="16"/>
              </w:rPr>
              <w:t>Строительство</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48,1</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49,0</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52,2</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54,4</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54,9</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56,1</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8,3</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8,5</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8,3</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9,0</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8,9 </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9,1</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rPr>
                <w:sz w:val="16"/>
              </w:rPr>
            </w:pPr>
            <w:r>
              <w:rPr>
                <w:sz w:val="16"/>
              </w:rPr>
              <w:t>Оптовая и розничная торговля; р</w:t>
            </w:r>
            <w:r>
              <w:rPr>
                <w:sz w:val="16"/>
              </w:rPr>
              <w:t>е</w:t>
            </w:r>
            <w:r>
              <w:rPr>
                <w:sz w:val="16"/>
              </w:rPr>
              <w:t>монт автомобилей, мотоциклов, приборов личного пользования и бытовых машин и аппар</w:t>
            </w:r>
            <w:r>
              <w:rPr>
                <w:sz w:val="16"/>
              </w:rPr>
              <w:t>а</w:t>
            </w:r>
            <w:r>
              <w:rPr>
                <w:sz w:val="16"/>
              </w:rPr>
              <w:t>туры</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56,9</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51,2</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57,9</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68,2</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69,7</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73,9</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89,7</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85,2</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94,0</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100,3</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100,2</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100,0</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pPr>
            <w:r>
              <w:rPr>
                <w:sz w:val="16"/>
              </w:rPr>
              <w:t>Отели и рестораны</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5,8</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5,2</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5,3</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4,8</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5,4</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5,7</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17,2</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15,3</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15,6</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17,6</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18,5</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19,9</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pPr>
            <w:r>
              <w:rPr>
                <w:sz w:val="16"/>
              </w:rPr>
              <w:t>Транспорт, складские хозяйства и связь</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60,7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59,4</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59,2</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59,6</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58,1</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56,3</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31,3</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30,6</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29,8</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30,4</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30,1</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29,1</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rPr>
                <w:sz w:val="16"/>
              </w:rPr>
            </w:pPr>
            <w:r>
              <w:rPr>
                <w:sz w:val="16"/>
              </w:rPr>
              <w:t>Посредничество в финансовой де</w:t>
            </w:r>
            <w:r>
              <w:rPr>
                <w:sz w:val="16"/>
              </w:rPr>
              <w:t>я</w:t>
            </w:r>
            <w:r>
              <w:rPr>
                <w:sz w:val="16"/>
              </w:rPr>
              <w:t>тел</w:t>
            </w:r>
            <w:r>
              <w:rPr>
                <w:sz w:val="16"/>
              </w:rPr>
              <w:t>ь</w:t>
            </w:r>
            <w:r>
              <w:rPr>
                <w:sz w:val="16"/>
              </w:rPr>
              <w:t>ности</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4,8</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5,0</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5,1</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5,6</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5,1</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5,4</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9,1</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9,7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10,0</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9,7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10,4</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11,0</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pPr>
            <w:r>
              <w:rPr>
                <w:sz w:val="16"/>
              </w:rPr>
              <w:t>Операции с недвижимостью, аренда и другая коммерческая деятел</w:t>
            </w:r>
            <w:r>
              <w:rPr>
                <w:sz w:val="16"/>
              </w:rPr>
              <w:t>ь</w:t>
            </w:r>
            <w:r>
              <w:rPr>
                <w:sz w:val="16"/>
              </w:rPr>
              <w:t>ность</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27,6</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22,6</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21,6</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26,8</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31,0</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32,3</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22,6</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18,5</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16,5</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20,3</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21,7</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24,7</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pPr>
            <w:r>
              <w:rPr>
                <w:sz w:val="16"/>
              </w:rPr>
              <w:t>Государственное управление и об</w:t>
            </w:r>
            <w:r>
              <w:rPr>
                <w:sz w:val="16"/>
              </w:rPr>
              <w:t>о</w:t>
            </w:r>
            <w:r>
              <w:rPr>
                <w:sz w:val="16"/>
              </w:rPr>
              <w:t>рона;</w:t>
            </w:r>
            <w:r>
              <w:rPr>
                <w:sz w:val="16"/>
                <w:lang w:val="en-US"/>
              </w:rPr>
              <w:t xml:space="preserve"> </w:t>
            </w:r>
            <w:r>
              <w:rPr>
                <w:sz w:val="16"/>
              </w:rPr>
              <w:t>обязательное социальное страхов</w:t>
            </w:r>
            <w:r>
              <w:rPr>
                <w:sz w:val="16"/>
              </w:rPr>
              <w:t>а</w:t>
            </w:r>
            <w:r>
              <w:rPr>
                <w:sz w:val="16"/>
              </w:rPr>
              <w:t>ние</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33,6</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35,9</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36,9</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37,3</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35,8</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35,9</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23,5</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25,1</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26,2</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26,3</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28,1</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27,6</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rPr>
                <w:sz w:val="16"/>
              </w:rPr>
            </w:pPr>
            <w:r>
              <w:rPr>
                <w:sz w:val="16"/>
              </w:rPr>
              <w:t>Образование</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18,9</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18,9</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18,1</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19,2</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19,0</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18,7</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71,6</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71,3</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73,0</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70,7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70,0</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68,1</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rPr>
                <w:sz w:val="16"/>
              </w:rPr>
            </w:pPr>
            <w:r>
              <w:rPr>
                <w:sz w:val="16"/>
              </w:rPr>
              <w:t>Здравоохранение и социальные у</w:t>
            </w:r>
            <w:r>
              <w:rPr>
                <w:sz w:val="16"/>
              </w:rPr>
              <w:t>с</w:t>
            </w:r>
            <w:r>
              <w:rPr>
                <w:sz w:val="16"/>
              </w:rPr>
              <w:t>луги</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10,3</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10,0</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10,2</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10,1</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 xml:space="preserve"> 8,3</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54,1</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51,8</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51,0</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51,5</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51,1</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50,7</w:t>
            </w:r>
          </w:p>
        </w:tc>
      </w:tr>
      <w:tr w:rsidR="00000000">
        <w:tblPrEx>
          <w:tblCellMar>
            <w:top w:w="0" w:type="dxa"/>
            <w:bottom w:w="0" w:type="dxa"/>
          </w:tblCellMar>
        </w:tblPrEx>
        <w:trPr>
          <w:cantSplit/>
        </w:trPr>
        <w:tc>
          <w:tcPr>
            <w:tcW w:w="2961" w:type="dxa"/>
            <w:vAlign w:val="bottom"/>
          </w:tcPr>
          <w:p w:rsidR="00000000" w:rsidRDefault="00000000">
            <w:pPr>
              <w:pStyle w:val="DualTxt"/>
              <w:spacing w:before="40" w:after="40" w:line="200" w:lineRule="exact"/>
              <w:ind w:left="3" w:right="3"/>
              <w:jc w:val="left"/>
              <w:rPr>
                <w:sz w:val="16"/>
              </w:rPr>
            </w:pPr>
            <w:r>
              <w:rPr>
                <w:sz w:val="16"/>
              </w:rPr>
              <w:t>Прочие коммунальные услуги, соц</w:t>
            </w:r>
            <w:r>
              <w:rPr>
                <w:sz w:val="16"/>
              </w:rPr>
              <w:t>и</w:t>
            </w:r>
            <w:r>
              <w:rPr>
                <w:sz w:val="16"/>
              </w:rPr>
              <w:t>альные и индивидуальные усл</w:t>
            </w:r>
            <w:r>
              <w:rPr>
                <w:sz w:val="16"/>
              </w:rPr>
              <w:t>у</w:t>
            </w:r>
            <w:r>
              <w:rPr>
                <w:sz w:val="16"/>
              </w:rPr>
              <w:t>ги</w:t>
            </w:r>
          </w:p>
        </w:tc>
        <w:tc>
          <w:tcPr>
            <w:tcW w:w="819"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25,7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32,6</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26,1</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26,3</w:t>
            </w:r>
          </w:p>
        </w:tc>
        <w:tc>
          <w:tcPr>
            <w:tcW w:w="810"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28,5</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33,5</w:t>
            </w:r>
          </w:p>
        </w:tc>
        <w:tc>
          <w:tcPr>
            <w:tcW w:w="828"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18,3</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23,4</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18,7</w:t>
            </w:r>
          </w:p>
        </w:tc>
        <w:tc>
          <w:tcPr>
            <w:tcW w:w="80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18,7</w:t>
            </w:r>
          </w:p>
        </w:tc>
        <w:tc>
          <w:tcPr>
            <w:tcW w:w="77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20,1</w:t>
            </w:r>
          </w:p>
        </w:tc>
        <w:tc>
          <w:tcPr>
            <w:tcW w:w="792"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479"/>
              </w:tabs>
              <w:spacing w:before="40" w:after="40" w:line="200" w:lineRule="exact"/>
              <w:ind w:left="3" w:right="3"/>
              <w:jc w:val="left"/>
              <w:rPr>
                <w:sz w:val="16"/>
              </w:rPr>
            </w:pPr>
            <w:r>
              <w:rPr>
                <w:sz w:val="16"/>
              </w:rPr>
              <w:t>24,2</w:t>
            </w:r>
          </w:p>
        </w:tc>
      </w:tr>
    </w:tbl>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sectPr>
      </w:pPr>
    </w:p>
    <w:p w:rsidR="00000000" w:rsidRDefault="00000000">
      <w:pPr>
        <w:pStyle w:val="SingleTxt"/>
      </w:pPr>
      <w:r>
        <w:t>63.</w:t>
      </w:r>
      <w:r>
        <w:tab/>
        <w:t>Поскольку в учреждениях, занимающихся принятием решений, сила влияния женщин, которая в значительной степени определяется опытом же</w:t>
      </w:r>
      <w:r>
        <w:t>н</w:t>
      </w:r>
      <w:r>
        <w:t>щины, ее отношением к жизни и ее оценкой социальной жизни, практически не является сбалансированной, нет никаких оснований полагать, что решения, принимаемые на национальном уровне, отражают все точки зрения. В этой св</w:t>
      </w:r>
      <w:r>
        <w:t>я</w:t>
      </w:r>
      <w:r>
        <w:t>зи неправительственные организации Латвии, которые возглавляются женщ</w:t>
      </w:r>
      <w:r>
        <w:t>и</w:t>
      </w:r>
      <w:r>
        <w:t>нами, н</w:t>
      </w:r>
      <w:r>
        <w:t>а</w:t>
      </w:r>
      <w:r>
        <w:t>чинают играть более активную роль.</w:t>
      </w:r>
    </w:p>
    <w:p w:rsidR="00000000" w:rsidRDefault="00000000">
      <w:pPr>
        <w:pStyle w:val="SingleTxt"/>
      </w:pPr>
      <w:r>
        <w:t>64.</w:t>
      </w:r>
      <w:r>
        <w:tab/>
        <w:t>В таблице ниже приводятся данные о доли женщин в государственной п</w:t>
      </w:r>
      <w:r>
        <w:t>о</w:t>
      </w:r>
      <w:r>
        <w:t>лиции за период с 1995 года по 1 января 2002 года (данные отражают полож</w:t>
      </w:r>
      <w:r>
        <w:t>е</w:t>
      </w:r>
      <w:r>
        <w:t>ние в Латвии в целом, в городе Рига и в региональных полицейских управлен</w:t>
      </w:r>
      <w:r>
        <w:t>и</w:t>
      </w:r>
      <w:r>
        <w:t>ях).</w:t>
      </w:r>
    </w:p>
    <w:p w:rsidR="00000000" w:rsidRDefault="00000000">
      <w:pPr>
        <w:pStyle w:val="SingleTxt"/>
        <w:spacing w:after="0" w:line="120" w:lineRule="exact"/>
        <w:rPr>
          <w:sz w:val="10"/>
        </w:rPr>
      </w:pPr>
    </w:p>
    <w:tbl>
      <w:tblPr>
        <w:tblW w:w="0" w:type="auto"/>
        <w:tblInd w:w="1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6"/>
        <w:gridCol w:w="855"/>
        <w:gridCol w:w="873"/>
        <w:gridCol w:w="855"/>
        <w:gridCol w:w="855"/>
        <w:gridCol w:w="855"/>
        <w:gridCol w:w="846"/>
        <w:gridCol w:w="891"/>
      </w:tblGrid>
      <w:tr w:rsidR="00000000">
        <w:tblPrEx>
          <w:tblCellMar>
            <w:top w:w="0" w:type="dxa"/>
            <w:bottom w:w="0" w:type="dxa"/>
          </w:tblCellMar>
        </w:tblPrEx>
        <w:trPr>
          <w:cantSplit/>
        </w:trPr>
        <w:tc>
          <w:tcPr>
            <w:tcW w:w="1206" w:type="dxa"/>
          </w:tcPr>
          <w:p w:rsidR="00000000" w:rsidRDefault="00000000">
            <w:pPr>
              <w:pStyle w:val="DualTxt"/>
              <w:spacing w:after="40" w:line="200" w:lineRule="exact"/>
              <w:jc w:val="left"/>
              <w:rPr>
                <w:sz w:val="14"/>
              </w:rPr>
            </w:pPr>
          </w:p>
        </w:tc>
        <w:tc>
          <w:tcPr>
            <w:tcW w:w="855" w:type="dxa"/>
          </w:tcPr>
          <w:p w:rsidR="00000000" w:rsidRDefault="00000000">
            <w:pPr>
              <w:pStyle w:val="DualTxt"/>
              <w:spacing w:after="40" w:line="200" w:lineRule="exact"/>
              <w:jc w:val="left"/>
              <w:rPr>
                <w:sz w:val="14"/>
              </w:rPr>
            </w:pPr>
            <w:r>
              <w:rPr>
                <w:sz w:val="14"/>
              </w:rPr>
              <w:t>1995 год (%)</w:t>
            </w:r>
          </w:p>
        </w:tc>
        <w:tc>
          <w:tcPr>
            <w:tcW w:w="873" w:type="dxa"/>
          </w:tcPr>
          <w:p w:rsidR="00000000" w:rsidRDefault="00000000">
            <w:pPr>
              <w:pStyle w:val="DualTxt"/>
              <w:spacing w:after="40" w:line="200" w:lineRule="exact"/>
              <w:jc w:val="left"/>
              <w:rPr>
                <w:sz w:val="14"/>
              </w:rPr>
            </w:pPr>
            <w:r>
              <w:rPr>
                <w:sz w:val="14"/>
              </w:rPr>
              <w:t>1996 год (%)</w:t>
            </w:r>
          </w:p>
        </w:tc>
        <w:tc>
          <w:tcPr>
            <w:tcW w:w="855" w:type="dxa"/>
          </w:tcPr>
          <w:p w:rsidR="00000000" w:rsidRDefault="00000000">
            <w:pPr>
              <w:pStyle w:val="DualTxt"/>
              <w:spacing w:after="40" w:line="200" w:lineRule="exact"/>
              <w:jc w:val="left"/>
              <w:rPr>
                <w:sz w:val="14"/>
              </w:rPr>
            </w:pPr>
            <w:r>
              <w:rPr>
                <w:sz w:val="14"/>
              </w:rPr>
              <w:t>1997 год (%)</w:t>
            </w:r>
          </w:p>
        </w:tc>
        <w:tc>
          <w:tcPr>
            <w:tcW w:w="855" w:type="dxa"/>
          </w:tcPr>
          <w:p w:rsidR="00000000" w:rsidRDefault="00000000">
            <w:pPr>
              <w:pStyle w:val="DualTxt"/>
              <w:spacing w:after="40" w:line="200" w:lineRule="exact"/>
              <w:jc w:val="left"/>
              <w:rPr>
                <w:sz w:val="14"/>
              </w:rPr>
            </w:pPr>
            <w:r>
              <w:rPr>
                <w:sz w:val="14"/>
              </w:rPr>
              <w:t>1998 год (%)</w:t>
            </w:r>
          </w:p>
        </w:tc>
        <w:tc>
          <w:tcPr>
            <w:tcW w:w="855" w:type="dxa"/>
          </w:tcPr>
          <w:p w:rsidR="00000000" w:rsidRDefault="00000000">
            <w:pPr>
              <w:pStyle w:val="DualTxt"/>
              <w:spacing w:after="40" w:line="200" w:lineRule="exact"/>
              <w:jc w:val="left"/>
              <w:rPr>
                <w:sz w:val="14"/>
              </w:rPr>
            </w:pPr>
            <w:r>
              <w:rPr>
                <w:sz w:val="14"/>
              </w:rPr>
              <w:t>1999 год (%)</w:t>
            </w:r>
          </w:p>
        </w:tc>
        <w:tc>
          <w:tcPr>
            <w:tcW w:w="846" w:type="dxa"/>
          </w:tcPr>
          <w:p w:rsidR="00000000" w:rsidRDefault="00000000">
            <w:pPr>
              <w:pStyle w:val="DualTxt"/>
              <w:spacing w:after="40" w:line="200" w:lineRule="exact"/>
              <w:jc w:val="left"/>
              <w:rPr>
                <w:sz w:val="14"/>
              </w:rPr>
            </w:pPr>
            <w:r>
              <w:rPr>
                <w:sz w:val="14"/>
              </w:rPr>
              <w:t>2000 год (%)</w:t>
            </w:r>
          </w:p>
        </w:tc>
        <w:tc>
          <w:tcPr>
            <w:tcW w:w="891" w:type="dxa"/>
          </w:tcPr>
          <w:p w:rsidR="00000000" w:rsidRDefault="00000000">
            <w:pPr>
              <w:pStyle w:val="DualTxt"/>
              <w:spacing w:after="40" w:line="200" w:lineRule="exact"/>
              <w:jc w:val="left"/>
              <w:rPr>
                <w:sz w:val="14"/>
              </w:rPr>
            </w:pPr>
            <w:r>
              <w:rPr>
                <w:sz w:val="14"/>
              </w:rPr>
              <w:t>2001 год (%)</w:t>
            </w:r>
          </w:p>
        </w:tc>
      </w:tr>
      <w:tr w:rsidR="00000000">
        <w:tblPrEx>
          <w:tblCellMar>
            <w:top w:w="0" w:type="dxa"/>
            <w:bottom w:w="0" w:type="dxa"/>
          </w:tblCellMar>
        </w:tblPrEx>
        <w:trPr>
          <w:cantSplit/>
        </w:trPr>
        <w:tc>
          <w:tcPr>
            <w:tcW w:w="1206" w:type="dxa"/>
          </w:tcPr>
          <w:p w:rsidR="00000000" w:rsidRDefault="00000000">
            <w:pPr>
              <w:pStyle w:val="DualTxt"/>
            </w:pPr>
            <w:r>
              <w:t>Ла</w:t>
            </w:r>
            <w:r>
              <w:t>т</w:t>
            </w:r>
            <w:r>
              <w:t>вия</w:t>
            </w:r>
          </w:p>
        </w:tc>
        <w:tc>
          <w:tcPr>
            <w:tcW w:w="855" w:type="dxa"/>
          </w:tcPr>
          <w:p w:rsidR="00000000" w:rsidRDefault="00000000">
            <w:pPr>
              <w:pStyle w:val="DualTxt"/>
            </w:pPr>
            <w:r>
              <w:t>13,7</w:t>
            </w:r>
          </w:p>
        </w:tc>
        <w:tc>
          <w:tcPr>
            <w:tcW w:w="873" w:type="dxa"/>
          </w:tcPr>
          <w:p w:rsidR="00000000" w:rsidRDefault="00000000">
            <w:pPr>
              <w:pStyle w:val="DualTxt"/>
            </w:pPr>
            <w:r>
              <w:t>14,2</w:t>
            </w:r>
          </w:p>
        </w:tc>
        <w:tc>
          <w:tcPr>
            <w:tcW w:w="855" w:type="dxa"/>
          </w:tcPr>
          <w:p w:rsidR="00000000" w:rsidRDefault="00000000">
            <w:pPr>
              <w:pStyle w:val="DualTxt"/>
            </w:pPr>
            <w:r>
              <w:t>16,5</w:t>
            </w:r>
          </w:p>
        </w:tc>
        <w:tc>
          <w:tcPr>
            <w:tcW w:w="855" w:type="dxa"/>
          </w:tcPr>
          <w:p w:rsidR="00000000" w:rsidRDefault="00000000">
            <w:pPr>
              <w:pStyle w:val="DualTxt"/>
            </w:pPr>
            <w:r>
              <w:t>18,1</w:t>
            </w:r>
          </w:p>
        </w:tc>
        <w:tc>
          <w:tcPr>
            <w:tcW w:w="855" w:type="dxa"/>
          </w:tcPr>
          <w:p w:rsidR="00000000" w:rsidRDefault="00000000">
            <w:pPr>
              <w:pStyle w:val="DualTxt"/>
            </w:pPr>
            <w:r>
              <w:t>18,2</w:t>
            </w:r>
          </w:p>
        </w:tc>
        <w:tc>
          <w:tcPr>
            <w:tcW w:w="846" w:type="dxa"/>
          </w:tcPr>
          <w:p w:rsidR="00000000" w:rsidRDefault="00000000">
            <w:pPr>
              <w:pStyle w:val="DualTxt"/>
            </w:pPr>
            <w:r>
              <w:t>19,1</w:t>
            </w:r>
          </w:p>
        </w:tc>
        <w:tc>
          <w:tcPr>
            <w:tcW w:w="891" w:type="dxa"/>
          </w:tcPr>
          <w:p w:rsidR="00000000" w:rsidRDefault="00000000">
            <w:pPr>
              <w:pStyle w:val="DualTxt"/>
            </w:pPr>
            <w:r>
              <w:t>19,2</w:t>
            </w:r>
          </w:p>
        </w:tc>
      </w:tr>
      <w:tr w:rsidR="00000000">
        <w:tblPrEx>
          <w:tblCellMar>
            <w:top w:w="0" w:type="dxa"/>
            <w:bottom w:w="0" w:type="dxa"/>
          </w:tblCellMar>
        </w:tblPrEx>
        <w:trPr>
          <w:cantSplit/>
        </w:trPr>
        <w:tc>
          <w:tcPr>
            <w:tcW w:w="1206" w:type="dxa"/>
          </w:tcPr>
          <w:p w:rsidR="00000000" w:rsidRDefault="00000000">
            <w:pPr>
              <w:pStyle w:val="DualTxt"/>
            </w:pPr>
            <w:r>
              <w:t>Рига</w:t>
            </w:r>
          </w:p>
        </w:tc>
        <w:tc>
          <w:tcPr>
            <w:tcW w:w="855" w:type="dxa"/>
          </w:tcPr>
          <w:p w:rsidR="00000000" w:rsidRDefault="00000000">
            <w:pPr>
              <w:pStyle w:val="DualTxt"/>
            </w:pPr>
            <w:r>
              <w:t>20,6</w:t>
            </w:r>
          </w:p>
        </w:tc>
        <w:tc>
          <w:tcPr>
            <w:tcW w:w="873" w:type="dxa"/>
          </w:tcPr>
          <w:p w:rsidR="00000000" w:rsidRDefault="00000000">
            <w:pPr>
              <w:pStyle w:val="DualTxt"/>
            </w:pPr>
            <w:r>
              <w:t>22,3</w:t>
            </w:r>
          </w:p>
        </w:tc>
        <w:tc>
          <w:tcPr>
            <w:tcW w:w="855" w:type="dxa"/>
          </w:tcPr>
          <w:p w:rsidR="00000000" w:rsidRDefault="00000000">
            <w:pPr>
              <w:pStyle w:val="DualTxt"/>
            </w:pPr>
            <w:r>
              <w:t>23,3</w:t>
            </w:r>
          </w:p>
        </w:tc>
        <w:tc>
          <w:tcPr>
            <w:tcW w:w="855" w:type="dxa"/>
          </w:tcPr>
          <w:p w:rsidR="00000000" w:rsidRDefault="00000000">
            <w:pPr>
              <w:pStyle w:val="DualTxt"/>
            </w:pPr>
            <w:r>
              <w:t>22,9</w:t>
            </w:r>
          </w:p>
        </w:tc>
        <w:tc>
          <w:tcPr>
            <w:tcW w:w="855" w:type="dxa"/>
          </w:tcPr>
          <w:p w:rsidR="00000000" w:rsidRDefault="00000000">
            <w:pPr>
              <w:pStyle w:val="DualTxt"/>
            </w:pPr>
            <w:r>
              <w:t>24,2</w:t>
            </w:r>
          </w:p>
        </w:tc>
        <w:tc>
          <w:tcPr>
            <w:tcW w:w="846" w:type="dxa"/>
          </w:tcPr>
          <w:p w:rsidR="00000000" w:rsidRDefault="00000000">
            <w:pPr>
              <w:pStyle w:val="DualTxt"/>
            </w:pPr>
            <w:r>
              <w:t>24,9</w:t>
            </w:r>
          </w:p>
        </w:tc>
        <w:tc>
          <w:tcPr>
            <w:tcW w:w="891" w:type="dxa"/>
          </w:tcPr>
          <w:p w:rsidR="00000000" w:rsidRDefault="00000000">
            <w:pPr>
              <w:pStyle w:val="DualTxt"/>
            </w:pPr>
            <w:r>
              <w:t>26,1</w:t>
            </w:r>
          </w:p>
        </w:tc>
      </w:tr>
      <w:tr w:rsidR="00000000">
        <w:tblPrEx>
          <w:tblCellMar>
            <w:top w:w="0" w:type="dxa"/>
            <w:bottom w:w="0" w:type="dxa"/>
          </w:tblCellMar>
        </w:tblPrEx>
        <w:trPr>
          <w:cantSplit/>
        </w:trPr>
        <w:tc>
          <w:tcPr>
            <w:tcW w:w="1206" w:type="dxa"/>
          </w:tcPr>
          <w:p w:rsidR="00000000" w:rsidRDefault="00000000">
            <w:pPr>
              <w:pStyle w:val="DualTxt"/>
            </w:pPr>
            <w:r>
              <w:t>Реги</w:t>
            </w:r>
            <w:r>
              <w:t>о</w:t>
            </w:r>
            <w:r>
              <w:t>ны</w:t>
            </w:r>
          </w:p>
        </w:tc>
        <w:tc>
          <w:tcPr>
            <w:tcW w:w="855" w:type="dxa"/>
          </w:tcPr>
          <w:p w:rsidR="00000000" w:rsidRDefault="00000000">
            <w:pPr>
              <w:pStyle w:val="DualTxt"/>
            </w:pPr>
            <w:r>
              <w:t>11,4</w:t>
            </w:r>
          </w:p>
        </w:tc>
        <w:tc>
          <w:tcPr>
            <w:tcW w:w="873" w:type="dxa"/>
          </w:tcPr>
          <w:p w:rsidR="00000000" w:rsidRDefault="00000000">
            <w:pPr>
              <w:pStyle w:val="DualTxt"/>
            </w:pPr>
            <w:r>
              <w:t>14,7</w:t>
            </w:r>
          </w:p>
        </w:tc>
        <w:tc>
          <w:tcPr>
            <w:tcW w:w="855" w:type="dxa"/>
          </w:tcPr>
          <w:p w:rsidR="00000000" w:rsidRDefault="00000000">
            <w:pPr>
              <w:pStyle w:val="DualTxt"/>
            </w:pPr>
            <w:r>
              <w:t>14,7</w:t>
            </w:r>
          </w:p>
        </w:tc>
        <w:tc>
          <w:tcPr>
            <w:tcW w:w="855" w:type="dxa"/>
          </w:tcPr>
          <w:p w:rsidR="00000000" w:rsidRDefault="00000000">
            <w:pPr>
              <w:pStyle w:val="DualTxt"/>
            </w:pPr>
            <w:r>
              <w:t>14,5</w:t>
            </w:r>
          </w:p>
        </w:tc>
        <w:tc>
          <w:tcPr>
            <w:tcW w:w="855" w:type="dxa"/>
          </w:tcPr>
          <w:p w:rsidR="00000000" w:rsidRDefault="00000000">
            <w:pPr>
              <w:pStyle w:val="DualTxt"/>
            </w:pPr>
            <w:r>
              <w:t>14,5</w:t>
            </w:r>
          </w:p>
        </w:tc>
        <w:tc>
          <w:tcPr>
            <w:tcW w:w="846" w:type="dxa"/>
          </w:tcPr>
          <w:p w:rsidR="00000000" w:rsidRDefault="00000000">
            <w:pPr>
              <w:pStyle w:val="DualTxt"/>
            </w:pPr>
            <w:r>
              <w:t>15,5</w:t>
            </w:r>
          </w:p>
        </w:tc>
        <w:tc>
          <w:tcPr>
            <w:tcW w:w="891" w:type="dxa"/>
          </w:tcPr>
          <w:p w:rsidR="00000000" w:rsidRDefault="00000000">
            <w:pPr>
              <w:pStyle w:val="DualTxt"/>
            </w:pPr>
            <w:r>
              <w:t>15,4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65.</w:t>
      </w:r>
      <w:r>
        <w:tab/>
        <w:t>Сотрудникам полиции присваиваются специальные ранги, в соответствии с которыми все сотрудники разделяются на две группы – сержантов полиции и офицеров. В таблице ниже приводятся данные о доли женщин в каждой из этих групп.</w:t>
      </w:r>
    </w:p>
    <w:p w:rsidR="00000000" w:rsidRDefault="00000000">
      <w:pPr>
        <w:pStyle w:val="SingleTxt"/>
        <w:spacing w:after="0" w:line="120" w:lineRule="exact"/>
        <w:rPr>
          <w:sz w:val="10"/>
        </w:rPr>
      </w:pPr>
    </w:p>
    <w:tbl>
      <w:tblPr>
        <w:tblW w:w="0" w:type="auto"/>
        <w:tblInd w:w="1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9"/>
        <w:gridCol w:w="1224"/>
        <w:gridCol w:w="801"/>
        <w:gridCol w:w="783"/>
        <w:gridCol w:w="792"/>
        <w:gridCol w:w="783"/>
        <w:gridCol w:w="774"/>
      </w:tblGrid>
      <w:tr w:rsidR="00000000">
        <w:tblPrEx>
          <w:tblCellMar>
            <w:top w:w="0" w:type="dxa"/>
            <w:bottom w:w="0" w:type="dxa"/>
          </w:tblCellMar>
        </w:tblPrEx>
        <w:tc>
          <w:tcPr>
            <w:tcW w:w="2079" w:type="dxa"/>
          </w:tcPr>
          <w:p w:rsidR="00000000" w:rsidRDefault="00000000">
            <w:pPr>
              <w:pStyle w:val="DualTxt"/>
              <w:spacing w:after="40" w:line="200" w:lineRule="exact"/>
              <w:jc w:val="left"/>
              <w:rPr>
                <w:sz w:val="14"/>
              </w:rPr>
            </w:pPr>
          </w:p>
        </w:tc>
        <w:tc>
          <w:tcPr>
            <w:tcW w:w="1224" w:type="dxa"/>
          </w:tcPr>
          <w:p w:rsidR="00000000" w:rsidRDefault="00000000">
            <w:pPr>
              <w:pStyle w:val="DualTxt"/>
              <w:spacing w:after="40" w:line="200" w:lineRule="exact"/>
              <w:jc w:val="left"/>
              <w:rPr>
                <w:sz w:val="14"/>
              </w:rPr>
            </w:pPr>
          </w:p>
        </w:tc>
        <w:tc>
          <w:tcPr>
            <w:tcW w:w="801" w:type="dxa"/>
          </w:tcPr>
          <w:p w:rsidR="00000000" w:rsidRDefault="00000000">
            <w:pPr>
              <w:pStyle w:val="DualTxt"/>
              <w:spacing w:after="40" w:line="200" w:lineRule="exact"/>
              <w:jc w:val="left"/>
              <w:rPr>
                <w:sz w:val="14"/>
              </w:rPr>
            </w:pPr>
            <w:r>
              <w:rPr>
                <w:sz w:val="14"/>
              </w:rPr>
              <w:t>1997 год (%)</w:t>
            </w:r>
          </w:p>
        </w:tc>
        <w:tc>
          <w:tcPr>
            <w:tcW w:w="783" w:type="dxa"/>
          </w:tcPr>
          <w:p w:rsidR="00000000" w:rsidRDefault="00000000">
            <w:pPr>
              <w:pStyle w:val="DualTxt"/>
              <w:spacing w:after="40" w:line="200" w:lineRule="exact"/>
              <w:jc w:val="left"/>
              <w:rPr>
                <w:sz w:val="14"/>
              </w:rPr>
            </w:pPr>
            <w:r>
              <w:rPr>
                <w:sz w:val="14"/>
              </w:rPr>
              <w:t>1998 год (%)</w:t>
            </w:r>
          </w:p>
        </w:tc>
        <w:tc>
          <w:tcPr>
            <w:tcW w:w="792" w:type="dxa"/>
          </w:tcPr>
          <w:p w:rsidR="00000000" w:rsidRDefault="00000000">
            <w:pPr>
              <w:pStyle w:val="DualTxt"/>
              <w:spacing w:after="40" w:line="200" w:lineRule="exact"/>
              <w:jc w:val="left"/>
              <w:rPr>
                <w:sz w:val="14"/>
              </w:rPr>
            </w:pPr>
            <w:r>
              <w:rPr>
                <w:sz w:val="14"/>
              </w:rPr>
              <w:t>1999 год (%)</w:t>
            </w:r>
          </w:p>
        </w:tc>
        <w:tc>
          <w:tcPr>
            <w:tcW w:w="783" w:type="dxa"/>
          </w:tcPr>
          <w:p w:rsidR="00000000" w:rsidRDefault="00000000">
            <w:pPr>
              <w:pStyle w:val="DualTxt"/>
              <w:spacing w:after="40" w:line="200" w:lineRule="exact"/>
              <w:jc w:val="left"/>
              <w:rPr>
                <w:sz w:val="14"/>
              </w:rPr>
            </w:pPr>
            <w:r>
              <w:rPr>
                <w:sz w:val="14"/>
              </w:rPr>
              <w:t>2000 год (%)</w:t>
            </w:r>
          </w:p>
        </w:tc>
        <w:tc>
          <w:tcPr>
            <w:tcW w:w="774" w:type="dxa"/>
          </w:tcPr>
          <w:p w:rsidR="00000000" w:rsidRDefault="00000000">
            <w:pPr>
              <w:pStyle w:val="DualTxt"/>
              <w:spacing w:after="40" w:line="200" w:lineRule="exact"/>
              <w:jc w:val="left"/>
              <w:rPr>
                <w:sz w:val="14"/>
              </w:rPr>
            </w:pPr>
            <w:r>
              <w:rPr>
                <w:sz w:val="14"/>
              </w:rPr>
              <w:t>2001 год (%)</w:t>
            </w:r>
          </w:p>
        </w:tc>
      </w:tr>
      <w:tr w:rsidR="00000000">
        <w:tblPrEx>
          <w:tblCellMar>
            <w:top w:w="0" w:type="dxa"/>
            <w:bottom w:w="0" w:type="dxa"/>
          </w:tblCellMar>
        </w:tblPrEx>
        <w:trPr>
          <w:cantSplit/>
        </w:trPr>
        <w:tc>
          <w:tcPr>
            <w:tcW w:w="2079" w:type="dxa"/>
            <w:vMerge w:val="restart"/>
          </w:tcPr>
          <w:p w:rsidR="00000000" w:rsidRDefault="00000000">
            <w:pPr>
              <w:pStyle w:val="DualTxt"/>
            </w:pPr>
            <w:r>
              <w:t>Латвия</w:t>
            </w:r>
          </w:p>
        </w:tc>
        <w:tc>
          <w:tcPr>
            <w:tcW w:w="1224" w:type="dxa"/>
          </w:tcPr>
          <w:p w:rsidR="00000000" w:rsidRDefault="00000000">
            <w:pPr>
              <w:pStyle w:val="DualTxt"/>
            </w:pPr>
            <w:r>
              <w:t>Офицеры</w:t>
            </w:r>
          </w:p>
        </w:tc>
        <w:tc>
          <w:tcPr>
            <w:tcW w:w="801" w:type="dxa"/>
          </w:tcPr>
          <w:p w:rsidR="00000000" w:rsidRDefault="00000000">
            <w:pPr>
              <w:pStyle w:val="DualTxt"/>
            </w:pPr>
            <w:r>
              <w:t>23,5</w:t>
            </w:r>
          </w:p>
        </w:tc>
        <w:tc>
          <w:tcPr>
            <w:tcW w:w="783" w:type="dxa"/>
          </w:tcPr>
          <w:p w:rsidR="00000000" w:rsidRDefault="00000000">
            <w:pPr>
              <w:pStyle w:val="DualTxt"/>
            </w:pPr>
            <w:r>
              <w:t>26,5</w:t>
            </w:r>
          </w:p>
        </w:tc>
        <w:tc>
          <w:tcPr>
            <w:tcW w:w="792" w:type="dxa"/>
          </w:tcPr>
          <w:p w:rsidR="00000000" w:rsidRDefault="00000000">
            <w:pPr>
              <w:pStyle w:val="DualTxt"/>
            </w:pPr>
            <w:r>
              <w:t>25</w:t>
            </w:r>
          </w:p>
        </w:tc>
        <w:tc>
          <w:tcPr>
            <w:tcW w:w="783" w:type="dxa"/>
          </w:tcPr>
          <w:p w:rsidR="00000000" w:rsidRDefault="00000000">
            <w:pPr>
              <w:pStyle w:val="DualTxt"/>
            </w:pPr>
            <w:r>
              <w:t>26,5</w:t>
            </w:r>
          </w:p>
        </w:tc>
        <w:tc>
          <w:tcPr>
            <w:tcW w:w="774" w:type="dxa"/>
          </w:tcPr>
          <w:p w:rsidR="00000000" w:rsidRDefault="00000000">
            <w:pPr>
              <w:pStyle w:val="DualTxt"/>
            </w:pPr>
            <w:r>
              <w:t>25</w:t>
            </w:r>
          </w:p>
        </w:tc>
      </w:tr>
      <w:tr w:rsidR="00000000">
        <w:tblPrEx>
          <w:tblCellMar>
            <w:top w:w="0" w:type="dxa"/>
            <w:bottom w:w="0" w:type="dxa"/>
          </w:tblCellMar>
        </w:tblPrEx>
        <w:trPr>
          <w:cantSplit/>
        </w:trPr>
        <w:tc>
          <w:tcPr>
            <w:tcW w:w="2079" w:type="dxa"/>
            <w:vMerge/>
          </w:tcPr>
          <w:p w:rsidR="00000000" w:rsidRDefault="00000000">
            <w:pPr>
              <w:pStyle w:val="DualTxt"/>
            </w:pPr>
          </w:p>
        </w:tc>
        <w:tc>
          <w:tcPr>
            <w:tcW w:w="1224" w:type="dxa"/>
          </w:tcPr>
          <w:p w:rsidR="00000000" w:rsidRDefault="00000000">
            <w:pPr>
              <w:pStyle w:val="DualTxt"/>
            </w:pPr>
            <w:r>
              <w:t>Сержа</w:t>
            </w:r>
            <w:r>
              <w:t>н</w:t>
            </w:r>
            <w:r>
              <w:t>ты</w:t>
            </w:r>
          </w:p>
        </w:tc>
        <w:tc>
          <w:tcPr>
            <w:tcW w:w="801" w:type="dxa"/>
          </w:tcPr>
          <w:p w:rsidR="00000000" w:rsidRDefault="00000000">
            <w:pPr>
              <w:pStyle w:val="DualTxt"/>
            </w:pPr>
            <w:r>
              <w:t>9,6</w:t>
            </w:r>
          </w:p>
        </w:tc>
        <w:tc>
          <w:tcPr>
            <w:tcW w:w="783" w:type="dxa"/>
          </w:tcPr>
          <w:p w:rsidR="00000000" w:rsidRDefault="00000000">
            <w:pPr>
              <w:pStyle w:val="DualTxt"/>
            </w:pPr>
            <w:r>
              <w:t>9,8</w:t>
            </w:r>
          </w:p>
        </w:tc>
        <w:tc>
          <w:tcPr>
            <w:tcW w:w="792" w:type="dxa"/>
          </w:tcPr>
          <w:p w:rsidR="00000000" w:rsidRDefault="00000000">
            <w:pPr>
              <w:pStyle w:val="DualTxt"/>
            </w:pPr>
            <w:r>
              <w:t>11,4</w:t>
            </w:r>
          </w:p>
        </w:tc>
        <w:tc>
          <w:tcPr>
            <w:tcW w:w="783" w:type="dxa"/>
          </w:tcPr>
          <w:p w:rsidR="00000000" w:rsidRDefault="00000000">
            <w:pPr>
              <w:pStyle w:val="DualTxt"/>
            </w:pPr>
            <w:r>
              <w:t>11,7</w:t>
            </w:r>
          </w:p>
        </w:tc>
        <w:tc>
          <w:tcPr>
            <w:tcW w:w="774" w:type="dxa"/>
          </w:tcPr>
          <w:p w:rsidR="00000000" w:rsidRDefault="00000000">
            <w:pPr>
              <w:pStyle w:val="DualTxt"/>
            </w:pPr>
            <w:r>
              <w:t>13,5</w:t>
            </w:r>
          </w:p>
        </w:tc>
      </w:tr>
      <w:tr w:rsidR="00000000">
        <w:tblPrEx>
          <w:tblCellMar>
            <w:top w:w="0" w:type="dxa"/>
            <w:bottom w:w="0" w:type="dxa"/>
          </w:tblCellMar>
        </w:tblPrEx>
        <w:trPr>
          <w:cantSplit/>
        </w:trPr>
        <w:tc>
          <w:tcPr>
            <w:tcW w:w="2079" w:type="dxa"/>
            <w:vMerge w:val="restart"/>
          </w:tcPr>
          <w:p w:rsidR="00000000" w:rsidRDefault="00000000">
            <w:pPr>
              <w:pStyle w:val="DualTxt"/>
            </w:pPr>
            <w:r>
              <w:t>Рига</w:t>
            </w:r>
          </w:p>
        </w:tc>
        <w:tc>
          <w:tcPr>
            <w:tcW w:w="1224" w:type="dxa"/>
          </w:tcPr>
          <w:p w:rsidR="00000000" w:rsidRDefault="00000000">
            <w:pPr>
              <w:pStyle w:val="DualTxt"/>
            </w:pPr>
            <w:r>
              <w:t>Офицеры</w:t>
            </w:r>
          </w:p>
        </w:tc>
        <w:tc>
          <w:tcPr>
            <w:tcW w:w="801" w:type="dxa"/>
          </w:tcPr>
          <w:p w:rsidR="00000000" w:rsidRDefault="00000000">
            <w:pPr>
              <w:pStyle w:val="DualTxt"/>
            </w:pPr>
            <w:r>
              <w:t>35</w:t>
            </w:r>
          </w:p>
        </w:tc>
        <w:tc>
          <w:tcPr>
            <w:tcW w:w="783" w:type="dxa"/>
          </w:tcPr>
          <w:p w:rsidR="00000000" w:rsidRDefault="00000000">
            <w:pPr>
              <w:pStyle w:val="DualTxt"/>
            </w:pPr>
            <w:r>
              <w:t>35,2</w:t>
            </w:r>
          </w:p>
        </w:tc>
        <w:tc>
          <w:tcPr>
            <w:tcW w:w="792" w:type="dxa"/>
          </w:tcPr>
          <w:p w:rsidR="00000000" w:rsidRDefault="00000000">
            <w:pPr>
              <w:pStyle w:val="DualTxt"/>
            </w:pPr>
            <w:r>
              <w:t>30,3</w:t>
            </w:r>
          </w:p>
        </w:tc>
        <w:tc>
          <w:tcPr>
            <w:tcW w:w="783" w:type="dxa"/>
          </w:tcPr>
          <w:p w:rsidR="00000000" w:rsidRDefault="00000000">
            <w:pPr>
              <w:pStyle w:val="DualTxt"/>
            </w:pPr>
            <w:r>
              <w:t>31,7</w:t>
            </w:r>
          </w:p>
        </w:tc>
        <w:tc>
          <w:tcPr>
            <w:tcW w:w="774" w:type="dxa"/>
          </w:tcPr>
          <w:p w:rsidR="00000000" w:rsidRDefault="00000000">
            <w:pPr>
              <w:pStyle w:val="DualTxt"/>
            </w:pPr>
            <w:r>
              <w:t>28,8</w:t>
            </w:r>
          </w:p>
        </w:tc>
      </w:tr>
      <w:tr w:rsidR="00000000">
        <w:tblPrEx>
          <w:tblCellMar>
            <w:top w:w="0" w:type="dxa"/>
            <w:bottom w:w="0" w:type="dxa"/>
          </w:tblCellMar>
        </w:tblPrEx>
        <w:trPr>
          <w:cantSplit/>
        </w:trPr>
        <w:tc>
          <w:tcPr>
            <w:tcW w:w="2079" w:type="dxa"/>
            <w:vMerge/>
          </w:tcPr>
          <w:p w:rsidR="00000000" w:rsidRDefault="00000000">
            <w:pPr>
              <w:pStyle w:val="DualTxt"/>
            </w:pPr>
          </w:p>
        </w:tc>
        <w:tc>
          <w:tcPr>
            <w:tcW w:w="1224" w:type="dxa"/>
          </w:tcPr>
          <w:p w:rsidR="00000000" w:rsidRDefault="00000000">
            <w:pPr>
              <w:pStyle w:val="DualTxt"/>
            </w:pPr>
            <w:r>
              <w:t>Сержа</w:t>
            </w:r>
            <w:r>
              <w:t>н</w:t>
            </w:r>
            <w:r>
              <w:t>ты</w:t>
            </w:r>
          </w:p>
        </w:tc>
        <w:tc>
          <w:tcPr>
            <w:tcW w:w="801" w:type="dxa"/>
          </w:tcPr>
          <w:p w:rsidR="00000000" w:rsidRDefault="00000000">
            <w:pPr>
              <w:pStyle w:val="DualTxt"/>
            </w:pPr>
            <w:r>
              <w:t>11,4</w:t>
            </w:r>
          </w:p>
        </w:tc>
        <w:tc>
          <w:tcPr>
            <w:tcW w:w="783" w:type="dxa"/>
          </w:tcPr>
          <w:p w:rsidR="00000000" w:rsidRDefault="00000000">
            <w:pPr>
              <w:pStyle w:val="DualTxt"/>
            </w:pPr>
            <w:r>
              <w:t>10,6</w:t>
            </w:r>
          </w:p>
        </w:tc>
        <w:tc>
          <w:tcPr>
            <w:tcW w:w="792" w:type="dxa"/>
          </w:tcPr>
          <w:p w:rsidR="00000000" w:rsidRDefault="00000000">
            <w:pPr>
              <w:pStyle w:val="DualTxt"/>
            </w:pPr>
            <w:r>
              <w:t>18,2</w:t>
            </w:r>
          </w:p>
        </w:tc>
        <w:tc>
          <w:tcPr>
            <w:tcW w:w="783" w:type="dxa"/>
          </w:tcPr>
          <w:p w:rsidR="00000000" w:rsidRDefault="00000000">
            <w:pPr>
              <w:pStyle w:val="DualTxt"/>
            </w:pPr>
            <w:r>
              <w:t>18,2</w:t>
            </w:r>
          </w:p>
        </w:tc>
        <w:tc>
          <w:tcPr>
            <w:tcW w:w="774" w:type="dxa"/>
          </w:tcPr>
          <w:p w:rsidR="00000000" w:rsidRDefault="00000000">
            <w:pPr>
              <w:pStyle w:val="DualTxt"/>
            </w:pPr>
            <w:r>
              <w:t>23,7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женщин принимать участие в деятельности неправительственных орг</w:t>
      </w:r>
      <w:r>
        <w:t>а</w:t>
      </w:r>
      <w:r>
        <w:t>низаций</w:t>
      </w:r>
    </w:p>
    <w:p w:rsidR="00000000" w:rsidRDefault="00000000">
      <w:pPr>
        <w:pStyle w:val="SingleTxt"/>
        <w:spacing w:after="0" w:line="120" w:lineRule="exact"/>
        <w:rPr>
          <w:sz w:val="10"/>
        </w:rPr>
      </w:pPr>
    </w:p>
    <w:p w:rsidR="00000000" w:rsidRDefault="00000000">
      <w:pPr>
        <w:pStyle w:val="SingleTxt"/>
      </w:pPr>
      <w:r>
        <w:t>66.</w:t>
      </w:r>
      <w:r>
        <w:tab/>
        <w:t>Участие женщин в деятельности неправительственных организаций не ограничено. Закон «О неправительственных организациях и их ассоциациях» предусматривает, что лицо, которое достигло возраста 16 лет, может быть чл</w:t>
      </w:r>
      <w:r>
        <w:t>е</w:t>
      </w:r>
      <w:r>
        <w:t>ном неправительственной организации и что все члены неправительственной орган</w:t>
      </w:r>
      <w:r>
        <w:t>и</w:t>
      </w:r>
      <w:r>
        <w:t>зации пользуются равными правами.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48490442"/>
      <w:r>
        <w:tab/>
      </w:r>
      <w:r>
        <w:tab/>
        <w:t>Статья 8</w:t>
      </w:r>
      <w:bookmarkEnd w:id="1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67.</w:t>
      </w:r>
      <w:r>
        <w:tab/>
        <w:t>Неограниченные права женщин представлять страну на международном уровне и участвовать в работе международных организаций проистекают из т</w:t>
      </w:r>
      <w:r>
        <w:t>о</w:t>
      </w:r>
      <w:r>
        <w:t>го факта, что участие женщин в политической жизни страны не связано ни с какими ограничениями. Законодательные акты, которые определяют порядок представления страны на международном уровне, не предписывают никаких огранич</w:t>
      </w:r>
      <w:r>
        <w:t>е</w:t>
      </w:r>
      <w:r>
        <w:t>ний в отношении пола лица, представляющего страну.</w:t>
      </w:r>
    </w:p>
    <w:p w:rsidR="00000000" w:rsidRDefault="00000000">
      <w:pPr>
        <w:pStyle w:val="SingleTxt"/>
      </w:pPr>
      <w:r>
        <w:t>68.</w:t>
      </w:r>
      <w:r>
        <w:tab/>
        <w:t>В настоящее время на международных встречах Латвию представляют Президент государства Вайра Вике-Фрейберга, а также министр культуры и министр юстиции в рамках их соответствующих компетенций.</w:t>
      </w:r>
    </w:p>
    <w:p w:rsidR="00000000" w:rsidRDefault="00000000">
      <w:pPr>
        <w:pStyle w:val="SingleTxt"/>
      </w:pPr>
      <w:r>
        <w:t>69.</w:t>
      </w:r>
      <w:r>
        <w:tab/>
        <w:t>В соответствии с Законом «О дипломатической и консульской службе» любой гражданин Латвии, занимающий пост гражданского служащего в це</w:t>
      </w:r>
      <w:r>
        <w:t>н</w:t>
      </w:r>
      <w:r>
        <w:t>тральных учреждениях министерства иностранных дел или в дипломатических и консульских представительствах за рубежом, может служить на дипломат</w:t>
      </w:r>
      <w:r>
        <w:t>и</w:t>
      </w:r>
      <w:r>
        <w:t>ческой службе Латвии.</w:t>
      </w:r>
    </w:p>
    <w:p w:rsidR="00000000" w:rsidRDefault="00000000">
      <w:pPr>
        <w:pStyle w:val="SingleTxt"/>
      </w:pPr>
      <w:r>
        <w:t>70.</w:t>
      </w:r>
      <w:r>
        <w:tab/>
        <w:t>Кроме того, следует отметить, что сравнительно большое число женщин находятся на дипломатической службе Латвии, представляя Латвию в качестве послов и дипломатов других рангов. В 2001 году в системе министерства ин</w:t>
      </w:r>
      <w:r>
        <w:t>о</w:t>
      </w:r>
      <w:r>
        <w:t>странных дел работали 61,1 процента женщин, а из общего числа сотрудников, работавших в представительствах страны за рубежом, 52,4 процента были женщины. Пять женщин-послов представляют Латвийскую Республику на уровне послов (посол в Австрии, Лихтенштейне, Словакии, Словении и Вен</w:t>
      </w:r>
      <w:r>
        <w:t>г</w:t>
      </w:r>
      <w:r>
        <w:t>рии, посол во Франции, посол в Хорватии и Чешской Республике, посол в И</w:t>
      </w:r>
      <w:r>
        <w:t>с</w:t>
      </w:r>
      <w:r>
        <w:t>пании и посол в Литве), что составляет 13,7 процента от общего числа послов Латвии. Кроме того, в настоящее время Латвия имеет представителей-женщин при ЮНЕСКО и Постоянную поверенную в делах при Всемирной торговой о</w:t>
      </w:r>
      <w:r>
        <w:t>р</w:t>
      </w:r>
      <w:r>
        <w:t>ганизации. Следует отметить, что вышеназванные страны и международные организации являются важными партнерами Латвии в области сотрудничества, и поэтому представленность страны женщинами является важным шагом вп</w:t>
      </w:r>
      <w:r>
        <w:t>е</w:t>
      </w:r>
      <w:r>
        <w:t>ред в направлении повышения роли женщин в деле представления правител</w:t>
      </w:r>
      <w:r>
        <w:t>ь</w:t>
      </w:r>
      <w:r>
        <w:t>ства страны на международном уровне.</w:t>
      </w:r>
    </w:p>
    <w:p w:rsidR="00000000" w:rsidRDefault="00000000">
      <w:pPr>
        <w:pStyle w:val="SingleTxt"/>
      </w:pPr>
      <w:r>
        <w:t>71.</w:t>
      </w:r>
      <w:r>
        <w:tab/>
        <w:t>Дипломатические представители Латвии, работающие за рубежом, пол</w:t>
      </w:r>
      <w:r>
        <w:t>у</w:t>
      </w:r>
      <w:r>
        <w:t>чают пособия, что позволяет им прибывать в страны назначения и проживать там с семьями; государство также оплачивает стоимость обучения детей д</w:t>
      </w:r>
      <w:r>
        <w:t>и</w:t>
      </w:r>
      <w:r>
        <w:t>пломатов пока они посещают общеобразовательные школы и находятся на п</w:t>
      </w:r>
      <w:r>
        <w:t>о</w:t>
      </w:r>
      <w:r>
        <w:t>печении своих родителей. Размер компенсации и пособий зависит от места службы дипломата, его/ее дипломатического ранга и должности и никоим о</w:t>
      </w:r>
      <w:r>
        <w:t>б</w:t>
      </w:r>
      <w:r>
        <w:t>разом не з</w:t>
      </w:r>
      <w:r>
        <w:t>а</w:t>
      </w:r>
      <w:r>
        <w:t>висит от пола лица.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48490443"/>
      <w:r>
        <w:tab/>
      </w:r>
      <w:r>
        <w:tab/>
        <w:t>Статья 9</w:t>
      </w:r>
      <w:bookmarkEnd w:id="1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72.</w:t>
      </w:r>
      <w:r>
        <w:tab/>
        <w:t>Вопрос о приобретении, предоставлении и лишении гражданства (по</w:t>
      </w:r>
      <w:r>
        <w:t>д</w:t>
      </w:r>
      <w:r>
        <w:t>данства) регулируется в Латвии Законом о гражданстве от 11 августа 1994 года, который был дополнен в 1998 году с учетом норм международного права и с</w:t>
      </w:r>
      <w:r>
        <w:t>о</w:t>
      </w:r>
      <w:r>
        <w:t>гласован с рекомендациями европейских учреждений.</w:t>
      </w:r>
    </w:p>
    <w:p w:rsidR="00000000" w:rsidRDefault="00000000">
      <w:pPr>
        <w:pStyle w:val="SingleTxt"/>
      </w:pPr>
      <w:r>
        <w:t>73.</w:t>
      </w:r>
      <w:r>
        <w:tab/>
        <w:t>Закон Латвии о гражданстве предусматривает, что приобретение, измен</w:t>
      </w:r>
      <w:r>
        <w:t>е</w:t>
      </w:r>
      <w:r>
        <w:t>ние и сохранение гражданства являются проявлением свободной воли каждого индивидуума. Независимо от национальности и пола лицо имеет право на ла</w:t>
      </w:r>
      <w:r>
        <w:t>т</w:t>
      </w:r>
      <w:r>
        <w:t>вийское гражданство, если это лицо может доказать свою принадлежность ла</w:t>
      </w:r>
      <w:r>
        <w:t>т</w:t>
      </w:r>
      <w:r>
        <w:t>вийскому гражданству в соответствии с процедурой, предписанной законом. Отказавшись от латвийского гражданства, лицо имеет право изменить гра</w:t>
      </w:r>
      <w:r>
        <w:t>ж</w:t>
      </w:r>
      <w:r>
        <w:t>данство независимо от пола. Закон о гражданстве предусматривает следующие процедуры для получения гражданства: натурализацию, признание гражданс</w:t>
      </w:r>
      <w:r>
        <w:t>т</w:t>
      </w:r>
      <w:r>
        <w:t>ва, регистрацию статуса гражданина и восстановление гра</w:t>
      </w:r>
      <w:r>
        <w:t>ж</w:t>
      </w:r>
      <w:r>
        <w:t>данства.</w:t>
      </w:r>
    </w:p>
    <w:p w:rsidR="00000000" w:rsidRDefault="00000000">
      <w:pPr>
        <w:pStyle w:val="SingleTxt"/>
      </w:pPr>
      <w:r>
        <w:t>74.</w:t>
      </w:r>
      <w:r>
        <w:tab/>
        <w:t>Любое лицо, достигшее возраста 15 лет, может подать ходатайство с просьбой о предоставлении гражданства при соблюдении следующих условий:</w:t>
      </w:r>
    </w:p>
    <w:p w:rsidR="00000000" w:rsidRDefault="00000000">
      <w:pPr>
        <w:pStyle w:val="SingleTxt"/>
      </w:pPr>
      <w:r>
        <w:tab/>
        <w:t>а)</w:t>
      </w:r>
      <w:r>
        <w:tab/>
        <w:t>на дату обращения с ходатайством о натурализации лицо, подавшее ходатайство, постоянно пр</w:t>
      </w:r>
      <w:r>
        <w:t>о</w:t>
      </w:r>
      <w:r>
        <w:t>живало в Латвии не менее пяти лет;</w:t>
      </w:r>
    </w:p>
    <w:p w:rsidR="00000000" w:rsidRDefault="00000000">
      <w:pPr>
        <w:pStyle w:val="SingleTxt"/>
      </w:pPr>
      <w:r>
        <w:tab/>
        <w:t>b)</w:t>
      </w:r>
      <w:r>
        <w:tab/>
        <w:t>заявитель владеет латышским языком, знает основные положения Конституции Латвийской Республики, текст национального гимна и историю Латвии (лицо, подавшее ходатайство о гражданстве, обязано пройти соответс</w:t>
      </w:r>
      <w:r>
        <w:t>т</w:t>
      </w:r>
      <w:r>
        <w:t>вующий экзамен);</w:t>
      </w:r>
    </w:p>
    <w:p w:rsidR="00000000" w:rsidRDefault="00000000">
      <w:pPr>
        <w:pStyle w:val="SingleTxt"/>
      </w:pPr>
      <w:r>
        <w:tab/>
        <w:t>с)</w:t>
      </w:r>
      <w:r>
        <w:tab/>
        <w:t>заявитель или его/ее попечитель имеют законный источник дохода;</w:t>
      </w:r>
    </w:p>
    <w:p w:rsidR="00000000" w:rsidRDefault="00000000">
      <w:pPr>
        <w:pStyle w:val="SingleTxt"/>
      </w:pPr>
      <w:r>
        <w:tab/>
        <w:t>d)</w:t>
      </w:r>
      <w:r>
        <w:tab/>
        <w:t>на заявителя не распространяются натурализационные ограничения: латвийское гражданство не может быть предоставлено лицам, которые, испол</w:t>
      </w:r>
      <w:r>
        <w:t>ь</w:t>
      </w:r>
      <w:r>
        <w:t>зуя неконституционные методы, действовали против независимости Латви</w:t>
      </w:r>
      <w:r>
        <w:t>й</w:t>
      </w:r>
      <w:r>
        <w:t>ской Республики, демократической парламентской структуры государства или существующей государственной власти в Латвии, если подобные деяния были определены постановлением суда; которые после 4 мая 1990 года пропаганд</w:t>
      </w:r>
      <w:r>
        <w:t>и</w:t>
      </w:r>
      <w:r>
        <w:t>ровали фашистские, шовинистические, национал-социалистические, коммун</w:t>
      </w:r>
      <w:r>
        <w:t>и</w:t>
      </w:r>
      <w:r>
        <w:t>стические или другие тоталитарные идеи или подстрекали к этнической или расовой ненависти или беспорядкам, если подобные деяния были определены постановлением суда; которые являются сотрудниками государственной власти, администрации или правоохранительных учреждений иностранного государс</w:t>
      </w:r>
      <w:r>
        <w:t>т</w:t>
      </w:r>
      <w:r>
        <w:t>ва; служат в вооруженных силах, внутренних войсках, службе безопасности или полиции (милиции) какого-либо иностранного государства; которые после 17 июня 1940 года избрали Латвийскую Республики местом своего проживания непосредственно после демобилизации из Вооруженных сил СССР (России) или внутренних войск СССР (России) и которые на день их призыва или зачи</w:t>
      </w:r>
      <w:r>
        <w:t>с</w:t>
      </w:r>
      <w:r>
        <w:t>ления на военную службу не проживали постоянно в Латвии; которые были с</w:t>
      </w:r>
      <w:r>
        <w:t>о</w:t>
      </w:r>
      <w:r>
        <w:t>трудниками, осведомителями, агентами или содержателями явочных квартир КГБ (Комитета государственной безопасности) СССР или Латвийской ССР (Латвийской Советской Социалистической Республики) или службы безопа</w:t>
      </w:r>
      <w:r>
        <w:t>с</w:t>
      </w:r>
      <w:r>
        <w:t>ности, разведывательной службы или другой специальной службы какого-либо иностранного государства, если этот факт был установлен в соответствии с процедурами, предписанными законом; которым было вынесено наказание в Латвии или каком-либо другом государстве за совершение преступления, кот</w:t>
      </w:r>
      <w:r>
        <w:t>о</w:t>
      </w:r>
      <w:r>
        <w:t>рое также считается преступлением в Латвии на момент вступления в силу З</w:t>
      </w:r>
      <w:r>
        <w:t>а</w:t>
      </w:r>
      <w:r>
        <w:t>кона о гражданстве; которые после 13 января 1991 года действовали против Латвийской Республики в рядах КПСС (Коммунистической партии Советского Союза), ЛКП (Латвийской коммунистической партии), Международного фро</w:t>
      </w:r>
      <w:r>
        <w:t>н</w:t>
      </w:r>
      <w:r>
        <w:t>та трудящихся Латвийской ССР, Объединенного совета трудовых коллективов, Организации ветеранов войны и труда, Вселатвийского комитета общественн</w:t>
      </w:r>
      <w:r>
        <w:t>о</w:t>
      </w:r>
      <w:r>
        <w:t>го спасения или их региональных комитетов или Союза коммунистов Латвии.</w:t>
      </w:r>
    </w:p>
    <w:p w:rsidR="00000000" w:rsidRDefault="00000000">
      <w:pPr>
        <w:pStyle w:val="SingleTxt"/>
      </w:pPr>
      <w:r>
        <w:t>75.</w:t>
      </w:r>
      <w:r>
        <w:tab/>
        <w:t>Если взрослому лицу предоставляется латвийское гражданство в резул</w:t>
      </w:r>
      <w:r>
        <w:t>ь</w:t>
      </w:r>
      <w:r>
        <w:t>тате натурализации, все несовершенные дети этого лица в возрасте до 15 лет, которые постоянно проживают на территории Латвии, автоматически в то же время приобретают латвийское гражданство.</w:t>
      </w:r>
    </w:p>
    <w:p w:rsidR="00000000" w:rsidRDefault="00000000">
      <w:pPr>
        <w:pStyle w:val="SingleTxt"/>
      </w:pPr>
      <w:r>
        <w:t>76.</w:t>
      </w:r>
      <w:r>
        <w:tab/>
        <w:t>Ребенок, родившийся в Латвии после 21 августа 1991 года, признается латви</w:t>
      </w:r>
      <w:r>
        <w:t>й</w:t>
      </w:r>
      <w:r>
        <w:t>ским гражданином при том условии, что:</w:t>
      </w:r>
    </w:p>
    <w:p w:rsidR="00000000" w:rsidRDefault="00000000">
      <w:pPr>
        <w:pStyle w:val="SingleTxt"/>
      </w:pPr>
      <w:r>
        <w:tab/>
        <w:t>a)</w:t>
      </w:r>
      <w:r>
        <w:tab/>
        <w:t>Латвия является его/ее постоянным местом жительства;</w:t>
      </w:r>
    </w:p>
    <w:p w:rsidR="00000000" w:rsidRDefault="00000000">
      <w:pPr>
        <w:pStyle w:val="SingleTxt"/>
      </w:pPr>
      <w:r>
        <w:tab/>
        <w:t>b)</w:t>
      </w:r>
      <w:r>
        <w:tab/>
        <w:t>он/она не содержался/содержалась в тюрьме в Латвии или в любой другой стране сроком более пяти лет за совершение преступления;</w:t>
      </w:r>
    </w:p>
    <w:p w:rsidR="00000000" w:rsidRDefault="00000000">
      <w:pPr>
        <w:pStyle w:val="SingleTxt"/>
      </w:pPr>
      <w:r>
        <w:tab/>
        <w:t>c)</w:t>
      </w:r>
      <w:r>
        <w:tab/>
        <w:t>он/она является лицом без гражданства или апатридом.</w:t>
      </w:r>
    </w:p>
    <w:p w:rsidR="00000000" w:rsidRDefault="00000000">
      <w:pPr>
        <w:pStyle w:val="SingleTxt"/>
      </w:pPr>
      <w:r>
        <w:t>77.</w:t>
      </w:r>
      <w:r>
        <w:tab/>
        <w:t>В соответствии со статьей 2 Закона о гражданстве латвийскими гражд</w:t>
      </w:r>
      <w:r>
        <w:t>а</w:t>
      </w:r>
      <w:r>
        <w:t>нами (лицами, которые приобретают статус латвийского гражданина на основе рег</w:t>
      </w:r>
      <w:r>
        <w:t>и</w:t>
      </w:r>
      <w:r>
        <w:t>страции) являются:</w:t>
      </w:r>
    </w:p>
    <w:p w:rsidR="00000000" w:rsidRDefault="00000000">
      <w:pPr>
        <w:pStyle w:val="SingleTxt"/>
      </w:pPr>
      <w:r>
        <w:tab/>
        <w:t>a)</w:t>
      </w:r>
      <w:r>
        <w:tab/>
        <w:t>лица, являвшиеся гражданами Латвии на 17 июня 1940 года, и их п</w:t>
      </w:r>
      <w:r>
        <w:t>о</w:t>
      </w:r>
      <w:r>
        <w:t>томки, прошедшие регистрацию в соответствии с установленными законом процедурами, за исключением лиц, которые приобрели гражданство (подданс</w:t>
      </w:r>
      <w:r>
        <w:t>т</w:t>
      </w:r>
      <w:r>
        <w:t>во) как</w:t>
      </w:r>
      <w:r>
        <w:t>о</w:t>
      </w:r>
      <w:r>
        <w:t>го-либо другого государства после 4 мая 1990 года;</w:t>
      </w:r>
    </w:p>
    <w:p w:rsidR="00000000" w:rsidRDefault="00000000">
      <w:pPr>
        <w:pStyle w:val="SingleTxt"/>
      </w:pPr>
      <w:r>
        <w:tab/>
        <w:t>b)</w:t>
      </w:r>
      <w:r>
        <w:tab/>
        <w:t>латыши и ливы, чьим постоянным местом жительства является Ла</w:t>
      </w:r>
      <w:r>
        <w:t>т</w:t>
      </w:r>
      <w:r>
        <w:t>вия и кот</w:t>
      </w:r>
      <w:r>
        <w:t>о</w:t>
      </w:r>
      <w:r>
        <w:t>рые не имеют гражданства (подданства);</w:t>
      </w:r>
    </w:p>
    <w:p w:rsidR="00000000" w:rsidRDefault="00000000">
      <w:pPr>
        <w:pStyle w:val="SingleTxt"/>
      </w:pPr>
      <w:r>
        <w:tab/>
        <w:t>c)</w:t>
      </w:r>
      <w:r>
        <w:tab/>
        <w:t>женщины, постоянным местом жительства которых является Латвия и которые в соответствии с разделом 7 «Закона о национальности» Латвийской Республики от 23 августа 1919 года потеряли свое латвийское гражданство (подданство), и их потомки, если эти лица прошли регистрацию в соответствии с установленными законом процедурами, за исключением лиц, которые прио</w:t>
      </w:r>
      <w:r>
        <w:t>б</w:t>
      </w:r>
      <w:r>
        <w:t>рели гражданство (подданство) какого-либо другого государства после 4 мая 1990 года;</w:t>
      </w:r>
    </w:p>
    <w:p w:rsidR="00000000" w:rsidRDefault="00000000">
      <w:pPr>
        <w:pStyle w:val="SingleTxt"/>
      </w:pPr>
      <w:r>
        <w:tab/>
        <w:t>d)</w:t>
      </w:r>
      <w:r>
        <w:tab/>
        <w:t>лица, постоянным местом жительства которых является Латвия и к</w:t>
      </w:r>
      <w:r>
        <w:t>о</w:t>
      </w:r>
      <w:r>
        <w:t>торые прошли полную учебную программу в общеобразовательной школе с преподаванием на латвийском языке или в общеобразовательной школе с двумя потоками, обучаясь в латвийском потоке, получив начальное или среднее обр</w:t>
      </w:r>
      <w:r>
        <w:t>а</w:t>
      </w:r>
      <w:r>
        <w:t>зование в такой школе, при условии, что они не имеют гражданства какой-либо другой страны. Если взрослое лицо регистрирует статус гражданина в соотве</w:t>
      </w:r>
      <w:r>
        <w:t>т</w:t>
      </w:r>
      <w:r>
        <w:t>ствии с этим положением, гражданство также предоставляется его/ее несове</w:t>
      </w:r>
      <w:r>
        <w:t>р</w:t>
      </w:r>
      <w:r>
        <w:t>шеннолетним детям в возрасте до 15 лет, которые постоянно проживают в Ла</w:t>
      </w:r>
      <w:r>
        <w:t>т</w:t>
      </w:r>
      <w:r>
        <w:t>вии;</w:t>
      </w:r>
    </w:p>
    <w:p w:rsidR="00000000" w:rsidRDefault="00000000">
      <w:pPr>
        <w:pStyle w:val="SingleTxt"/>
      </w:pPr>
      <w:r>
        <w:tab/>
        <w:t>e)</w:t>
      </w:r>
      <w:r>
        <w:tab/>
        <w:t>дети, находящиеся на территории Латвии, личность родителей кот</w:t>
      </w:r>
      <w:r>
        <w:t>о</w:t>
      </w:r>
      <w:r>
        <w:t>рых не у</w:t>
      </w:r>
      <w:r>
        <w:t>с</w:t>
      </w:r>
      <w:r>
        <w:t>тановлена;</w:t>
      </w:r>
    </w:p>
    <w:p w:rsidR="00000000" w:rsidRDefault="00000000">
      <w:pPr>
        <w:pStyle w:val="SingleTxt"/>
      </w:pPr>
      <w:r>
        <w:tab/>
        <w:t>f)</w:t>
      </w:r>
      <w:r>
        <w:tab/>
        <w:t>дети, не имеющие родителей и проживающие в Латвии в детских домах или специальных интернатах;</w:t>
      </w:r>
    </w:p>
    <w:p w:rsidR="00000000" w:rsidRDefault="00000000">
      <w:pPr>
        <w:pStyle w:val="SingleTxt"/>
      </w:pPr>
      <w:r>
        <w:tab/>
        <w:t>g)</w:t>
      </w:r>
      <w:r>
        <w:tab/>
        <w:t>дети, оба родителя которых являлись гражданами Латвии на день рождения детей незав</w:t>
      </w:r>
      <w:r>
        <w:t>и</w:t>
      </w:r>
      <w:r>
        <w:t>симо от места рождения детей.</w:t>
      </w:r>
    </w:p>
    <w:p w:rsidR="00000000" w:rsidRDefault="00000000">
      <w:pPr>
        <w:pStyle w:val="SingleTxt"/>
      </w:pPr>
      <w:r>
        <w:t>78.</w:t>
      </w:r>
      <w:r>
        <w:tab/>
        <w:t>Статья 25 Закона о гражданстве предусматривает, что лица, которые утр</w:t>
      </w:r>
      <w:r>
        <w:t>а</w:t>
      </w:r>
      <w:r>
        <w:t>тили свое латвийское гражданство в результате выбора, сделанного их родит</w:t>
      </w:r>
      <w:r>
        <w:t>е</w:t>
      </w:r>
      <w:r>
        <w:t>лями или приемными родителями, юридической ошибки или незаконного л</w:t>
      </w:r>
      <w:r>
        <w:t>и</w:t>
      </w:r>
      <w:r>
        <w:t>шения гражданства, могут восстановить свое латвийское гра</w:t>
      </w:r>
      <w:r>
        <w:t>ж</w:t>
      </w:r>
      <w:r>
        <w:t>данство.</w:t>
      </w:r>
    </w:p>
    <w:p w:rsidR="00000000" w:rsidRDefault="00000000">
      <w:pPr>
        <w:pStyle w:val="SingleTxt"/>
      </w:pPr>
      <w:r>
        <w:t>79.</w:t>
      </w:r>
      <w:r>
        <w:tab/>
        <w:t>Согласно статистическим данным, представленным Службой натурализ</w:t>
      </w:r>
      <w:r>
        <w:t>а</w:t>
      </w:r>
      <w:r>
        <w:t>ции, женщины проявляют большую социальную активность в процессе натур</w:t>
      </w:r>
      <w:r>
        <w:t>а</w:t>
      </w:r>
      <w:r>
        <w:t>лизации, что основывается на свободном волеизъявлении и выборе индив</w:t>
      </w:r>
      <w:r>
        <w:t>и</w:t>
      </w:r>
      <w:r>
        <w:t>дуума. К 31 октября 2001 года Служба натурализации получила 48 843 ход</w:t>
      </w:r>
      <w:r>
        <w:t>а</w:t>
      </w:r>
      <w:r>
        <w:t>тайства с просьбой предоставить гражданство Латвийской Республики, из к</w:t>
      </w:r>
      <w:r>
        <w:t>о</w:t>
      </w:r>
      <w:r>
        <w:t>торых 30 480, или 68,8 процента от общего числа заявлений, были поданы женщинами.</w:t>
      </w:r>
    </w:p>
    <w:p w:rsidR="00000000" w:rsidRDefault="00000000">
      <w:pPr>
        <w:pStyle w:val="SingleTxt"/>
      </w:pPr>
      <w:r>
        <w:t>80.</w:t>
      </w:r>
      <w:r>
        <w:tab/>
        <w:t>Согласно Закону о гражданстве гражданство Латвии может быть предо</w:t>
      </w:r>
      <w:r>
        <w:t>с</w:t>
      </w:r>
      <w:r>
        <w:t>тавлено также за особые заслуги на благо Латвии, при этом соответствующее решение принимается депутатами Сейма на основе ходатайства такого лица. В процентном отношении в рамках этой процедуры латвийское гражданство б</w:t>
      </w:r>
      <w:r>
        <w:t>ы</w:t>
      </w:r>
      <w:r>
        <w:t>ло предоставлено большему числу мужчин, чем женщин, что связано с тем фактом, что общество более высоко оценивает деятельность политиков, би</w:t>
      </w:r>
      <w:r>
        <w:t>з</w:t>
      </w:r>
      <w:r>
        <w:t>несменов и спортсменов, т.е. те профессии, где в настоящее время преобладают мужчины. Вместе с тем следует отметить, что каждый кандидат на получение гражданства за особые заслуги оценивается на индивидуальной осн</w:t>
      </w:r>
      <w:r>
        <w:t>о</w:t>
      </w:r>
      <w:r>
        <w:t>ве.</w:t>
      </w:r>
    </w:p>
    <w:p w:rsidR="00000000" w:rsidRDefault="00000000">
      <w:pPr>
        <w:pStyle w:val="SingleTxt"/>
      </w:pPr>
      <w:r>
        <w:t>81.</w:t>
      </w:r>
      <w:r>
        <w:tab/>
        <w:t>Что касается вступления гражданина Латвии в брак с иностранцем, то З</w:t>
      </w:r>
      <w:r>
        <w:t>а</w:t>
      </w:r>
      <w:r>
        <w:t>кон о гражданстве предусматривает, что заключение брака с иностранцем или лицом, не имеющим гражданства, равно как и расторжение такого брака не влечет за собой изменения гражданства для граждан Латвии. Аналогичным о</w:t>
      </w:r>
      <w:r>
        <w:t>б</w:t>
      </w:r>
      <w:r>
        <w:t>разом, если один из супругов приобретает или утрачивает гражданство Латвии, гра</w:t>
      </w:r>
      <w:r>
        <w:t>ж</w:t>
      </w:r>
      <w:r>
        <w:t>данство другого супруга не претерпевает при этом изменений.</w:t>
      </w:r>
    </w:p>
    <w:p w:rsidR="00000000" w:rsidRDefault="00000000">
      <w:pPr>
        <w:pStyle w:val="SingleTxt"/>
      </w:pPr>
      <w:r>
        <w:t>82.</w:t>
      </w:r>
      <w:r>
        <w:tab/>
        <w:t>Закон о гражданстве не предписывает никаких дискриминационных огр</w:t>
      </w:r>
      <w:r>
        <w:t>а</w:t>
      </w:r>
      <w:r>
        <w:t>ничений в отношении женщин в рамках их отношений с мужчинами в том, что касается определения гражданства их ребенка. Статья 3 Закона о гражданстве предусматривает, что если на момент рождения ребенка один из родителей р</w:t>
      </w:r>
      <w:r>
        <w:t>е</w:t>
      </w:r>
      <w:r>
        <w:t>бенка является гражданином Латвии, в то время как другой родитель является иностранцем, данный ребенок является гражданином Латвии, если этот реб</w:t>
      </w:r>
      <w:r>
        <w:t>е</w:t>
      </w:r>
      <w:r>
        <w:t>нок родился в Латвии или, в случае рождения этого ребенка за пределами Ла</w:t>
      </w:r>
      <w:r>
        <w:t>т</w:t>
      </w:r>
      <w:r>
        <w:t>вии, если на момент рождения ребенка Латвия являлась местом постоянного проживания его/ее родителей или одного из родителей, с которым проживает данный ребенок. В вышеприведенных случаях родители также могут на основе взаимного согласия выбрать для своего ребенка гражданство другой страны (не Латвии).</w:t>
      </w:r>
    </w:p>
    <w:p w:rsidR="00000000" w:rsidRDefault="00000000">
      <w:pPr>
        <w:pStyle w:val="SingleTxt"/>
      </w:pPr>
      <w:r>
        <w:t>83.</w:t>
      </w:r>
      <w:r>
        <w:tab/>
        <w:t>Если на момент рождения ребенка один из родителей является граждан</w:t>
      </w:r>
      <w:r>
        <w:t>и</w:t>
      </w:r>
      <w:r>
        <w:t>ном Латвии, в то время как другой родитель является иностранцем, и оба род</w:t>
      </w:r>
      <w:r>
        <w:t>и</w:t>
      </w:r>
      <w:r>
        <w:t>теля постоянно проживают за пределами Латвии, гражданство ребенка опред</w:t>
      </w:r>
      <w:r>
        <w:t>е</w:t>
      </w:r>
      <w:r>
        <w:t>ляется родителями на основе взаимного согласия. В своею очередь, если на момент рождения ребенка один из родителей является гражданином Латвии, в то время как другой родитель является лицом без гражданства или его/ее ли</w:t>
      </w:r>
      <w:r>
        <w:t>ч</w:t>
      </w:r>
      <w:r>
        <w:t>ность не установлена, ребенок является гражданином Латвии независимо от его/ее ме</w:t>
      </w:r>
      <w:r>
        <w:t>с</w:t>
      </w:r>
      <w:r>
        <w:t>та рождения.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Toc48490444"/>
      <w:r>
        <w:tab/>
      </w:r>
      <w:r>
        <w:tab/>
        <w:t>Статья 10</w:t>
      </w:r>
      <w:bookmarkEnd w:id="1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женщин на образование</w:t>
      </w:r>
    </w:p>
    <w:p w:rsidR="00000000" w:rsidRDefault="00000000">
      <w:pPr>
        <w:pStyle w:val="SingleTxt"/>
        <w:spacing w:after="0" w:line="120" w:lineRule="exact"/>
        <w:rPr>
          <w:sz w:val="10"/>
        </w:rPr>
      </w:pPr>
    </w:p>
    <w:p w:rsidR="00000000" w:rsidRDefault="00000000">
      <w:pPr>
        <w:pStyle w:val="SingleTxt"/>
      </w:pPr>
      <w:r>
        <w:t>84.</w:t>
      </w:r>
      <w:r>
        <w:tab/>
        <w:t>Право женщин получать образование в Латвии без дискриминации гара</w:t>
      </w:r>
      <w:r>
        <w:t>н</w:t>
      </w:r>
      <w:r>
        <w:t>тируется на конституционном уровне. «Сатверсме» (Конституция) предусма</w:t>
      </w:r>
      <w:r>
        <w:t>т</w:t>
      </w:r>
      <w:r>
        <w:t>ривает, что каждое лицо имеет право на образование и что государство обесп</w:t>
      </w:r>
      <w:r>
        <w:t>е</w:t>
      </w:r>
      <w:r>
        <w:t>чивает право каждого лица на получение бесплатного начального и среднего образования. В соответствии с «Сатверсме» (Конституцией) начальное образ</w:t>
      </w:r>
      <w:r>
        <w:t>о</w:t>
      </w:r>
      <w:r>
        <w:t>вание является обязательным.</w:t>
      </w:r>
    </w:p>
    <w:p w:rsidR="00000000" w:rsidRDefault="00000000">
      <w:pPr>
        <w:pStyle w:val="SingleTxt"/>
      </w:pPr>
      <w:r>
        <w:t>85.</w:t>
      </w:r>
      <w:r>
        <w:tab/>
        <w:t>Латвийский Закон об образовании предусматривает, что каждый гражд</w:t>
      </w:r>
      <w:r>
        <w:t>а</w:t>
      </w:r>
      <w:r>
        <w:t>нин Латвии и каждое лицо, которое имеет право на получение паспорта негр</w:t>
      </w:r>
      <w:r>
        <w:t>а</w:t>
      </w:r>
      <w:r>
        <w:t>жданина, выданного Латвийской Республикой, и которое получило разрешение на постоянное проживание, а также подданные государств — членов Европе</w:t>
      </w:r>
      <w:r>
        <w:t>й</w:t>
      </w:r>
      <w:r>
        <w:t>ского союза, которые получили разрешение на временное проживание, и их д</w:t>
      </w:r>
      <w:r>
        <w:t>е</w:t>
      </w:r>
      <w:r>
        <w:t>ти пользуются равными правами в плане доступа к образованию независимо от их имущественного и социального статуса, расы, национальности, пола, рел</w:t>
      </w:r>
      <w:r>
        <w:t>и</w:t>
      </w:r>
      <w:r>
        <w:t>гиозной и политической принадлежности, состояния здоровья, профессии и места проживания. В соответствии с вышеупомянутым Законом и «Сатверсме» (Конституцией) начальное образование или продолжение начального образов</w:t>
      </w:r>
      <w:r>
        <w:t>а</w:t>
      </w:r>
      <w:r>
        <w:t>ния вплоть до 18 лет является обязательным в Латвии.</w:t>
      </w:r>
    </w:p>
    <w:p w:rsidR="00000000" w:rsidRDefault="00000000">
      <w:pPr>
        <w:pStyle w:val="SingleTxt"/>
      </w:pPr>
      <w:r>
        <w:t>86.</w:t>
      </w:r>
      <w:r>
        <w:tab/>
        <w:t>Закон об образовании предусматривает, что в том, что касается доступа к образованию, в Латвии не существует никаких различий по признаку пола. К</w:t>
      </w:r>
      <w:r>
        <w:t>а</w:t>
      </w:r>
      <w:r>
        <w:t>ждый пользуется равными возможностями в плане доступа к образованию и получения дипломов независимо от пола. Доступ всех учащихся соответс</w:t>
      </w:r>
      <w:r>
        <w:t>т</w:t>
      </w:r>
      <w:r>
        <w:t>вующих учебных заведений к одинаковым программам обучения обеспечивае</w:t>
      </w:r>
      <w:r>
        <w:t>т</w:t>
      </w:r>
      <w:r>
        <w:t>ся н</w:t>
      </w:r>
      <w:r>
        <w:t>а</w:t>
      </w:r>
      <w:r>
        <w:t>циональными стандартами образования.</w:t>
      </w:r>
    </w:p>
    <w:p w:rsidR="00000000" w:rsidRDefault="00000000">
      <w:pPr>
        <w:pStyle w:val="SingleTxt"/>
      </w:pPr>
      <w:r>
        <w:t>87.</w:t>
      </w:r>
      <w:r>
        <w:tab/>
        <w:t>В Латвии существует несколько этапов общего образования. Этими эт</w:t>
      </w:r>
      <w:r>
        <w:t>а</w:t>
      </w:r>
      <w:r>
        <w:t>пами являются дошкольное образование, начальное образование и среднее о</w:t>
      </w:r>
      <w:r>
        <w:t>б</w:t>
      </w:r>
      <w:r>
        <w:t>разов</w:t>
      </w:r>
      <w:r>
        <w:t>а</w:t>
      </w:r>
      <w:r>
        <w:t>ние.</w:t>
      </w:r>
    </w:p>
    <w:p w:rsidR="00000000" w:rsidRDefault="00000000">
      <w:pPr>
        <w:pStyle w:val="SingleTxt"/>
      </w:pPr>
      <w:r>
        <w:t>88.</w:t>
      </w:r>
      <w:r>
        <w:tab/>
        <w:t xml:space="preserve">Закон «Об общем образовании» предусматривает, что дети в возрасте до семи лет проходят учебную программу </w:t>
      </w:r>
      <w:r>
        <w:rPr>
          <w:u w:val="single"/>
        </w:rPr>
        <w:t>дошкольного образования</w:t>
      </w:r>
      <w:r>
        <w:t>. На этом эт</w:t>
      </w:r>
      <w:r>
        <w:t>а</w:t>
      </w:r>
      <w:r>
        <w:t>пе не существует никаких ограничений по признаку пола. Дети принимаются в дошкольные учреждения органов местного самоуправления в соответствии с очередностью подачи заявлений. В свою очередь, ребенок может быть принят в специальную дошкольную группу для получения специального дошкольного образования на основе заявления, поданного родителями (попечителями), и з</w:t>
      </w:r>
      <w:r>
        <w:t>а</w:t>
      </w:r>
      <w:r>
        <w:t>явления педагогической медицинской комиссии государственного или местного органа управления.</w:t>
      </w:r>
    </w:p>
    <w:p w:rsidR="00000000" w:rsidRDefault="00000000">
      <w:pPr>
        <w:pStyle w:val="SingleTxt"/>
      </w:pPr>
      <w:r>
        <w:t>89.</w:t>
      </w:r>
      <w:r>
        <w:tab/>
        <w:t xml:space="preserve">В соответствии с Законом «Об общем образовании» </w:t>
      </w:r>
      <w:r>
        <w:rPr>
          <w:u w:val="single"/>
        </w:rPr>
        <w:t>начальное образов</w:t>
      </w:r>
      <w:r>
        <w:rPr>
          <w:u w:val="single"/>
        </w:rPr>
        <w:t>а</w:t>
      </w:r>
      <w:r>
        <w:rPr>
          <w:u w:val="single"/>
        </w:rPr>
        <w:t>ние</w:t>
      </w:r>
      <w:r>
        <w:t xml:space="preserve"> в Латвии может быть получено в учебном заведении, предлагающем уче</w:t>
      </w:r>
      <w:r>
        <w:t>б</w:t>
      </w:r>
      <w:r>
        <w:t>ную программу начального образования, а также в профессионально-технической школе, в специальном учебном заведении, в вечерней (неполного дня; сменной) школе, в интернате и в учебном заведении или классе социал</w:t>
      </w:r>
      <w:r>
        <w:t>ь</w:t>
      </w:r>
      <w:r>
        <w:t>ного или педагогического исправительного учреждения. В Латвии начальное образование является обязательным без каких-либо ограничений по признаку пола, и учебное заведение, предлагающее учебную программу начальной шк</w:t>
      </w:r>
      <w:r>
        <w:t>о</w:t>
      </w:r>
      <w:r>
        <w:t>лы, не может проводить вступительные экзамены для приема учащихся в 1–9 классы.</w:t>
      </w:r>
    </w:p>
    <w:p w:rsidR="00000000" w:rsidRDefault="00000000">
      <w:pPr>
        <w:pStyle w:val="SingleTxt"/>
      </w:pPr>
      <w:r>
        <w:t>90.</w:t>
      </w:r>
      <w:r>
        <w:tab/>
        <w:t>В соответствии с Законом «Об общем образовании» любое лицо, пол</w:t>
      </w:r>
      <w:r>
        <w:t>у</w:t>
      </w:r>
      <w:r>
        <w:t xml:space="preserve">чившее свидетельство о начальном образовании, имеет право приступить к </w:t>
      </w:r>
      <w:r>
        <w:rPr>
          <w:u w:val="single"/>
        </w:rPr>
        <w:t>среднему общему образованию</w:t>
      </w:r>
      <w:r>
        <w:t xml:space="preserve"> без каких-либо возрастных ограничений. В том, что касается получения общего образования, не существует никаких огранич</w:t>
      </w:r>
      <w:r>
        <w:t>е</w:t>
      </w:r>
      <w:r>
        <w:t>ний по признаку пола. Государственные и муниципальные общеобразовател</w:t>
      </w:r>
      <w:r>
        <w:t>ь</w:t>
      </w:r>
      <w:r>
        <w:t>ные заведения имеют право проводить вступительные экзамены в соответствии с национальным стандартом начального образования для приема учащихся в 10 класс.</w:t>
      </w:r>
    </w:p>
    <w:p w:rsidR="00000000" w:rsidRDefault="00000000">
      <w:pPr>
        <w:pStyle w:val="SingleTxt"/>
      </w:pPr>
      <w:r>
        <w:t>91.</w:t>
      </w:r>
      <w:r>
        <w:tab/>
        <w:t xml:space="preserve">Аналогичным образом женщины могут проходить обучение без каких-либо ограничений по признаку пола в рамках </w:t>
      </w:r>
      <w:r>
        <w:rPr>
          <w:u w:val="single"/>
        </w:rPr>
        <w:t>специальных образовательных программ</w:t>
      </w:r>
      <w:r>
        <w:t>, предоставляющих образование для приобретения общих практич</w:t>
      </w:r>
      <w:r>
        <w:t>е</w:t>
      </w:r>
      <w:r>
        <w:t>ских трудовых навыков и специальностей для умственно и физически отсталых учащихся и учащихся с особыми потребностями. Выполнение специальной программы обучения, соответствующей типу отсталости учащихся в развитии, их способностям и их с</w:t>
      </w:r>
      <w:r>
        <w:t>о</w:t>
      </w:r>
      <w:r>
        <w:t>стоянию здоровья, определяется медицинско-педагогической комиссией. В рамках 2000/2001 учебного года 10 250 учащихся, среди которых было 3933 девочки (38%), проходили обучение в специальных учебных заведениях и специальных классах в общеобразовательных заведен</w:t>
      </w:r>
      <w:r>
        <w:t>и</w:t>
      </w:r>
      <w:r>
        <w:t>ях Латвии.</w:t>
      </w:r>
    </w:p>
    <w:p w:rsidR="00000000" w:rsidRDefault="00000000">
      <w:pPr>
        <w:pStyle w:val="SingleTxt"/>
      </w:pPr>
      <w:r>
        <w:t>92.</w:t>
      </w:r>
      <w:r>
        <w:tab/>
        <w:t xml:space="preserve">Что касается </w:t>
      </w:r>
      <w:r>
        <w:rPr>
          <w:u w:val="single"/>
        </w:rPr>
        <w:t>профессиональной ориентации</w:t>
      </w:r>
      <w:r>
        <w:t xml:space="preserve"> учащихся и выбора ими сп</w:t>
      </w:r>
      <w:r>
        <w:t>е</w:t>
      </w:r>
      <w:r>
        <w:t>циальности, следует подчеркнуть, что с 1987 года в Латвии действует Центр профессиональной ориентации, который предоставляет квалифицированную помощь всем желающим выбрать наиболее приемлемую специальность. В ра</w:t>
      </w:r>
      <w:r>
        <w:t>м</w:t>
      </w:r>
      <w:r>
        <w:t>ках 2000/2001 учебного года 48 625 учащихся, в том числе 21 287 женщин (43%), проходили обучение в профессиональных учебных заведениях. В ра</w:t>
      </w:r>
      <w:r>
        <w:t>м</w:t>
      </w:r>
      <w:r>
        <w:t>ках 2000/2001 академического года 101 270 студентов, в том числе 62 182 ст</w:t>
      </w:r>
      <w:r>
        <w:t>у</w:t>
      </w:r>
      <w:r>
        <w:t>дентки (61%), посещали высшие учебные завед</w:t>
      </w:r>
      <w:r>
        <w:t>е</w:t>
      </w:r>
      <w:r>
        <w:t>ния Латвии.</w:t>
      </w:r>
    </w:p>
    <w:p w:rsidR="00000000" w:rsidRDefault="00000000">
      <w:pPr>
        <w:pStyle w:val="SingleTxt"/>
      </w:pPr>
      <w:r>
        <w:t>93.</w:t>
      </w:r>
      <w:r>
        <w:tab/>
        <w:t>На женщин не распространяются никакие ограничения в отношении об</w:t>
      </w:r>
      <w:r>
        <w:t>у</w:t>
      </w:r>
      <w:r>
        <w:t>чения в специализированных профессиональных учебных заведениях. Так, 20 процентов слушателей Полицейской школы являются женщинами; женщины составляют 40 процентов слушателей дневного отделения и 27,5 процентов слушателей вечернего отделения Полицейской академии. В этих учреждениях нет отдельных программ обучения для женщин, и единственное различие с</w:t>
      </w:r>
      <w:r>
        <w:t>у</w:t>
      </w:r>
      <w:r>
        <w:t>ществует лишь по предмету «Общая физическая подготовка», где в различных спортивных дисциплинах установлены различные требования с учетом физи</w:t>
      </w:r>
      <w:r>
        <w:t>о</w:t>
      </w:r>
      <w:r>
        <w:t>лог</w:t>
      </w:r>
      <w:r>
        <w:t>и</w:t>
      </w:r>
      <w:r>
        <w:t>ческих особенностей женщин.</w:t>
      </w:r>
    </w:p>
    <w:p w:rsidR="00000000" w:rsidRDefault="00000000">
      <w:pPr>
        <w:pStyle w:val="SingleTxt"/>
      </w:pPr>
      <w:r>
        <w:t>94.</w:t>
      </w:r>
      <w:r>
        <w:tab/>
        <w:t>На женщин не распространяются никакие ограничения в плане доступа к образованию и получения дипломов в Латвии (подробности приводятся в та</w:t>
      </w:r>
      <w:r>
        <w:t>б</w:t>
      </w:r>
      <w:r>
        <w:t>лице).</w:t>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4"/>
        <w:gridCol w:w="1377"/>
        <w:gridCol w:w="1224"/>
        <w:gridCol w:w="1575"/>
      </w:tblGrid>
      <w:tr w:rsidR="00000000">
        <w:tblPrEx>
          <w:tblCellMar>
            <w:top w:w="0" w:type="dxa"/>
            <w:bottom w:w="0" w:type="dxa"/>
          </w:tblCellMar>
        </w:tblPrEx>
        <w:tc>
          <w:tcPr>
            <w:tcW w:w="4374" w:type="dxa"/>
          </w:tcPr>
          <w:p w:rsidR="00000000" w:rsidRDefault="00000000">
            <w:pPr>
              <w:pStyle w:val="DualTxt"/>
              <w:spacing w:line="200" w:lineRule="exact"/>
              <w:jc w:val="left"/>
              <w:rPr>
                <w:sz w:val="17"/>
              </w:rPr>
            </w:pPr>
          </w:p>
        </w:tc>
        <w:tc>
          <w:tcPr>
            <w:tcW w:w="1377" w:type="dxa"/>
          </w:tcPr>
          <w:p w:rsidR="00000000" w:rsidRDefault="00000000">
            <w:pPr>
              <w:pStyle w:val="DualTxt"/>
              <w:rPr>
                <w:sz w:val="15"/>
              </w:rPr>
            </w:pPr>
            <w:r>
              <w:rPr>
                <w:sz w:val="15"/>
              </w:rPr>
              <w:t>Число учащи</w:t>
            </w:r>
            <w:r>
              <w:rPr>
                <w:sz w:val="15"/>
              </w:rPr>
              <w:t>х</w:t>
            </w:r>
            <w:r>
              <w:rPr>
                <w:sz w:val="15"/>
              </w:rPr>
              <w:t>ся</w:t>
            </w:r>
          </w:p>
        </w:tc>
        <w:tc>
          <w:tcPr>
            <w:tcW w:w="1224" w:type="dxa"/>
          </w:tcPr>
          <w:p w:rsidR="00000000" w:rsidRDefault="00000000">
            <w:pPr>
              <w:pStyle w:val="DualTxt"/>
              <w:rPr>
                <w:sz w:val="15"/>
              </w:rPr>
            </w:pPr>
            <w:r>
              <w:rPr>
                <w:sz w:val="15"/>
              </w:rPr>
              <w:t>Число девочек</w:t>
            </w:r>
          </w:p>
        </w:tc>
        <w:tc>
          <w:tcPr>
            <w:tcW w:w="1575" w:type="dxa"/>
          </w:tcPr>
          <w:p w:rsidR="00000000" w:rsidRDefault="00000000">
            <w:pPr>
              <w:pStyle w:val="DualTxt"/>
              <w:rPr>
                <w:sz w:val="15"/>
              </w:rPr>
            </w:pPr>
            <w:r>
              <w:rPr>
                <w:sz w:val="15"/>
              </w:rPr>
              <w:t>Число девочек в %</w:t>
            </w:r>
          </w:p>
        </w:tc>
      </w:tr>
      <w:tr w:rsidR="00000000">
        <w:tblPrEx>
          <w:tblCellMar>
            <w:top w:w="0" w:type="dxa"/>
            <w:bottom w:w="0" w:type="dxa"/>
          </w:tblCellMar>
        </w:tblPrEx>
        <w:trPr>
          <w:cantSplit/>
        </w:trPr>
        <w:tc>
          <w:tcPr>
            <w:tcW w:w="8550" w:type="dxa"/>
            <w:gridSpan w:val="4"/>
            <w:vAlign w:val="bottom"/>
          </w:tcPr>
          <w:p w:rsidR="00000000" w:rsidRDefault="00000000">
            <w:pPr>
              <w:pStyle w:val="DualTxt"/>
              <w:spacing w:before="60" w:after="60" w:line="200" w:lineRule="exact"/>
              <w:jc w:val="left"/>
              <w:rPr>
                <w:sz w:val="17"/>
              </w:rPr>
            </w:pPr>
            <w:r>
              <w:rPr>
                <w:sz w:val="17"/>
              </w:rPr>
              <w:t>2000/2001 учебный год</w:t>
            </w:r>
          </w:p>
        </w:tc>
      </w:tr>
      <w:tr w:rsidR="00000000">
        <w:tblPrEx>
          <w:tblCellMar>
            <w:top w:w="0" w:type="dxa"/>
            <w:bottom w:w="0" w:type="dxa"/>
          </w:tblCellMar>
        </w:tblPrEx>
        <w:trPr>
          <w:trHeight w:val="350"/>
        </w:trPr>
        <w:tc>
          <w:tcPr>
            <w:tcW w:w="4374" w:type="dxa"/>
            <w:vAlign w:val="bottom"/>
          </w:tcPr>
          <w:p w:rsidR="00000000" w:rsidRDefault="00000000">
            <w:pPr>
              <w:pStyle w:val="DualTxt"/>
              <w:spacing w:before="60" w:after="60" w:line="200" w:lineRule="exact"/>
              <w:jc w:val="left"/>
              <w:rPr>
                <w:sz w:val="17"/>
              </w:rPr>
            </w:pPr>
            <w:r>
              <w:rPr>
                <w:sz w:val="17"/>
              </w:rPr>
              <w:t>Обучение в (дневных) общеобразовательных шк</w:t>
            </w:r>
            <w:r>
              <w:rPr>
                <w:sz w:val="17"/>
              </w:rPr>
              <w:t>о</w:t>
            </w:r>
            <w:r>
              <w:rPr>
                <w:sz w:val="17"/>
              </w:rPr>
              <w:t xml:space="preserve">лах </w:t>
            </w:r>
          </w:p>
        </w:tc>
        <w:tc>
          <w:tcPr>
            <w:tcW w:w="1377"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38"/>
              </w:tabs>
              <w:spacing w:before="60" w:after="60" w:line="200" w:lineRule="exact"/>
              <w:ind w:right="72"/>
              <w:jc w:val="left"/>
              <w:rPr>
                <w:sz w:val="17"/>
              </w:rPr>
            </w:pPr>
            <w:r>
              <w:rPr>
                <w:sz w:val="17"/>
              </w:rPr>
              <w:t>344,822</w:t>
            </w:r>
          </w:p>
        </w:tc>
        <w:tc>
          <w:tcPr>
            <w:tcW w:w="122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621"/>
              </w:tabs>
              <w:spacing w:before="60" w:after="60" w:line="200" w:lineRule="exact"/>
              <w:ind w:right="72"/>
              <w:jc w:val="left"/>
              <w:rPr>
                <w:sz w:val="17"/>
              </w:rPr>
            </w:pPr>
            <w:r>
              <w:rPr>
                <w:sz w:val="17"/>
              </w:rPr>
              <w:t>173,238</w:t>
            </w:r>
          </w:p>
        </w:tc>
        <w:tc>
          <w:tcPr>
            <w:tcW w:w="1575"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47"/>
              </w:tabs>
              <w:spacing w:before="60" w:after="60" w:line="200" w:lineRule="exact"/>
              <w:ind w:right="72"/>
              <w:jc w:val="left"/>
              <w:rPr>
                <w:sz w:val="17"/>
              </w:rPr>
            </w:pPr>
            <w:r>
              <w:rPr>
                <w:sz w:val="17"/>
              </w:rPr>
              <w:t>50,24</w:t>
            </w:r>
          </w:p>
        </w:tc>
      </w:tr>
      <w:tr w:rsidR="00000000">
        <w:tblPrEx>
          <w:tblCellMar>
            <w:top w:w="0" w:type="dxa"/>
            <w:bottom w:w="0" w:type="dxa"/>
          </w:tblCellMar>
        </w:tblPrEx>
        <w:trPr>
          <w:cantSplit/>
        </w:trPr>
        <w:tc>
          <w:tcPr>
            <w:tcW w:w="8550" w:type="dxa"/>
            <w:gridSpan w:val="4"/>
            <w:vAlign w:val="bottom"/>
          </w:tcPr>
          <w:p w:rsidR="00000000" w:rsidRDefault="00000000">
            <w:pPr>
              <w:pStyle w:val="DualTxt"/>
              <w:spacing w:before="60" w:after="60" w:line="200" w:lineRule="exact"/>
              <w:jc w:val="left"/>
              <w:rPr>
                <w:sz w:val="17"/>
              </w:rPr>
            </w:pPr>
            <w:r>
              <w:rPr>
                <w:sz w:val="17"/>
              </w:rPr>
              <w:t>1999/2000 учебный год</w:t>
            </w:r>
          </w:p>
        </w:tc>
      </w:tr>
      <w:tr w:rsidR="00000000">
        <w:tblPrEx>
          <w:tblCellMar>
            <w:top w:w="0" w:type="dxa"/>
            <w:bottom w:w="0" w:type="dxa"/>
          </w:tblCellMar>
        </w:tblPrEx>
        <w:tc>
          <w:tcPr>
            <w:tcW w:w="4374" w:type="dxa"/>
            <w:vAlign w:val="bottom"/>
          </w:tcPr>
          <w:p w:rsidR="00000000" w:rsidRDefault="00000000">
            <w:pPr>
              <w:pStyle w:val="DualTxt"/>
              <w:spacing w:before="60" w:after="60" w:line="200" w:lineRule="exact"/>
              <w:jc w:val="left"/>
              <w:rPr>
                <w:sz w:val="17"/>
              </w:rPr>
            </w:pPr>
            <w:r>
              <w:rPr>
                <w:sz w:val="17"/>
              </w:rPr>
              <w:t>Число учащихся, закончивших 1-4 классы в (дне</w:t>
            </w:r>
            <w:r>
              <w:rPr>
                <w:sz w:val="17"/>
              </w:rPr>
              <w:t>в</w:t>
            </w:r>
            <w:r>
              <w:rPr>
                <w:sz w:val="17"/>
              </w:rPr>
              <w:t>ных) общеобразовательных шк</w:t>
            </w:r>
            <w:r>
              <w:rPr>
                <w:sz w:val="17"/>
              </w:rPr>
              <w:t>о</w:t>
            </w:r>
            <w:r>
              <w:rPr>
                <w:sz w:val="17"/>
              </w:rPr>
              <w:t xml:space="preserve">лах </w:t>
            </w:r>
          </w:p>
        </w:tc>
        <w:tc>
          <w:tcPr>
            <w:tcW w:w="1377"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38"/>
              </w:tabs>
              <w:spacing w:before="60" w:after="60" w:line="200" w:lineRule="exact"/>
              <w:jc w:val="left"/>
              <w:rPr>
                <w:sz w:val="17"/>
              </w:rPr>
            </w:pPr>
            <w:r>
              <w:rPr>
                <w:sz w:val="17"/>
              </w:rPr>
              <w:t>133,039</w:t>
            </w:r>
          </w:p>
        </w:tc>
        <w:tc>
          <w:tcPr>
            <w:tcW w:w="122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621"/>
              </w:tabs>
              <w:spacing w:before="60" w:after="60" w:line="200" w:lineRule="exact"/>
              <w:jc w:val="left"/>
              <w:rPr>
                <w:sz w:val="17"/>
              </w:rPr>
            </w:pPr>
            <w:r>
              <w:rPr>
                <w:sz w:val="17"/>
              </w:rPr>
              <w:t xml:space="preserve"> 64,542</w:t>
            </w:r>
          </w:p>
        </w:tc>
        <w:tc>
          <w:tcPr>
            <w:tcW w:w="1575"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47"/>
              </w:tabs>
              <w:spacing w:before="60" w:after="60" w:line="200" w:lineRule="exact"/>
              <w:jc w:val="left"/>
              <w:rPr>
                <w:sz w:val="17"/>
              </w:rPr>
            </w:pPr>
            <w:r>
              <w:rPr>
                <w:sz w:val="17"/>
              </w:rPr>
              <w:t>48,51</w:t>
            </w:r>
          </w:p>
        </w:tc>
      </w:tr>
      <w:tr w:rsidR="00000000">
        <w:tblPrEx>
          <w:tblCellMar>
            <w:top w:w="0" w:type="dxa"/>
            <w:bottom w:w="0" w:type="dxa"/>
          </w:tblCellMar>
        </w:tblPrEx>
        <w:tc>
          <w:tcPr>
            <w:tcW w:w="4374" w:type="dxa"/>
            <w:vAlign w:val="bottom"/>
          </w:tcPr>
          <w:p w:rsidR="00000000" w:rsidRDefault="00000000">
            <w:pPr>
              <w:pStyle w:val="DualTxt"/>
              <w:spacing w:before="60" w:after="60" w:line="200" w:lineRule="exact"/>
              <w:jc w:val="left"/>
              <w:rPr>
                <w:sz w:val="17"/>
              </w:rPr>
            </w:pPr>
            <w:r>
              <w:rPr>
                <w:sz w:val="17"/>
              </w:rPr>
              <w:t>Число учащихся, закончивших 5-9 классы в (дне</w:t>
            </w:r>
            <w:r>
              <w:rPr>
                <w:sz w:val="17"/>
              </w:rPr>
              <w:t>в</w:t>
            </w:r>
            <w:r>
              <w:rPr>
                <w:sz w:val="17"/>
              </w:rPr>
              <w:t>ных) общеобразовательных шк</w:t>
            </w:r>
            <w:r>
              <w:rPr>
                <w:sz w:val="17"/>
              </w:rPr>
              <w:t>о</w:t>
            </w:r>
            <w:r>
              <w:rPr>
                <w:sz w:val="17"/>
              </w:rPr>
              <w:t>лах</w:t>
            </w:r>
          </w:p>
        </w:tc>
        <w:tc>
          <w:tcPr>
            <w:tcW w:w="1377"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38"/>
              </w:tabs>
              <w:spacing w:before="60" w:after="60" w:line="200" w:lineRule="exact"/>
              <w:ind w:right="72"/>
              <w:jc w:val="left"/>
              <w:rPr>
                <w:sz w:val="17"/>
              </w:rPr>
            </w:pPr>
            <w:r>
              <w:rPr>
                <w:sz w:val="17"/>
              </w:rPr>
              <w:t>159,601</w:t>
            </w:r>
          </w:p>
        </w:tc>
        <w:tc>
          <w:tcPr>
            <w:tcW w:w="122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621"/>
              </w:tabs>
              <w:spacing w:before="60" w:after="60" w:line="200" w:lineRule="exact"/>
              <w:ind w:right="72"/>
              <w:jc w:val="left"/>
              <w:rPr>
                <w:sz w:val="17"/>
              </w:rPr>
            </w:pPr>
            <w:r>
              <w:rPr>
                <w:sz w:val="17"/>
              </w:rPr>
              <w:t xml:space="preserve"> 78,128</w:t>
            </w:r>
          </w:p>
        </w:tc>
        <w:tc>
          <w:tcPr>
            <w:tcW w:w="1575"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47"/>
              </w:tabs>
              <w:spacing w:before="60" w:after="60" w:line="200" w:lineRule="exact"/>
              <w:ind w:right="72"/>
              <w:jc w:val="left"/>
              <w:rPr>
                <w:sz w:val="17"/>
              </w:rPr>
            </w:pPr>
            <w:r>
              <w:rPr>
                <w:sz w:val="17"/>
              </w:rPr>
              <w:t>48,95</w:t>
            </w:r>
          </w:p>
        </w:tc>
      </w:tr>
      <w:tr w:rsidR="00000000">
        <w:tblPrEx>
          <w:tblCellMar>
            <w:top w:w="0" w:type="dxa"/>
            <w:bottom w:w="0" w:type="dxa"/>
          </w:tblCellMar>
        </w:tblPrEx>
        <w:tc>
          <w:tcPr>
            <w:tcW w:w="4374" w:type="dxa"/>
            <w:vAlign w:val="bottom"/>
          </w:tcPr>
          <w:p w:rsidR="00000000" w:rsidRDefault="00000000">
            <w:pPr>
              <w:pStyle w:val="DualTxt"/>
              <w:spacing w:before="60" w:after="60" w:line="200" w:lineRule="exact"/>
              <w:jc w:val="left"/>
              <w:rPr>
                <w:sz w:val="17"/>
              </w:rPr>
            </w:pPr>
            <w:r>
              <w:rPr>
                <w:sz w:val="17"/>
              </w:rPr>
              <w:t>Число учащихся, закончивших 10-12 классы в (дневных) общеобразовательных шк</w:t>
            </w:r>
            <w:r>
              <w:rPr>
                <w:sz w:val="17"/>
              </w:rPr>
              <w:t>о</w:t>
            </w:r>
            <w:r>
              <w:rPr>
                <w:sz w:val="17"/>
              </w:rPr>
              <w:t xml:space="preserve">лах </w:t>
            </w:r>
          </w:p>
        </w:tc>
        <w:tc>
          <w:tcPr>
            <w:tcW w:w="1377"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38"/>
              </w:tabs>
              <w:spacing w:before="60" w:after="60" w:line="200" w:lineRule="exact"/>
              <w:ind w:right="72"/>
              <w:jc w:val="left"/>
              <w:rPr>
                <w:sz w:val="17"/>
              </w:rPr>
            </w:pPr>
            <w:r>
              <w:rPr>
                <w:sz w:val="17"/>
              </w:rPr>
              <w:t>341,788</w:t>
            </w:r>
          </w:p>
        </w:tc>
        <w:tc>
          <w:tcPr>
            <w:tcW w:w="122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621"/>
              </w:tabs>
              <w:spacing w:before="60" w:after="60" w:line="200" w:lineRule="exact"/>
              <w:ind w:right="72"/>
              <w:jc w:val="left"/>
              <w:rPr>
                <w:sz w:val="17"/>
              </w:rPr>
            </w:pPr>
            <w:r>
              <w:rPr>
                <w:sz w:val="17"/>
              </w:rPr>
              <w:t>172,523</w:t>
            </w:r>
          </w:p>
        </w:tc>
        <w:tc>
          <w:tcPr>
            <w:tcW w:w="1575"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47"/>
              </w:tabs>
              <w:spacing w:before="60" w:after="60" w:line="200" w:lineRule="exact"/>
              <w:ind w:right="72"/>
              <w:jc w:val="left"/>
              <w:rPr>
                <w:sz w:val="17"/>
              </w:rPr>
            </w:pPr>
            <w:r>
              <w:rPr>
                <w:sz w:val="17"/>
              </w:rPr>
              <w:t>50,48</w:t>
            </w:r>
          </w:p>
        </w:tc>
      </w:tr>
      <w:tr w:rsidR="00000000">
        <w:tblPrEx>
          <w:tblCellMar>
            <w:top w:w="0" w:type="dxa"/>
            <w:bottom w:w="0" w:type="dxa"/>
          </w:tblCellMar>
        </w:tblPrEx>
        <w:tc>
          <w:tcPr>
            <w:tcW w:w="4374" w:type="dxa"/>
            <w:vAlign w:val="bottom"/>
          </w:tcPr>
          <w:p w:rsidR="00000000" w:rsidRDefault="00000000">
            <w:pPr>
              <w:pStyle w:val="DualTxt"/>
              <w:spacing w:before="60" w:after="60" w:line="200" w:lineRule="exact"/>
              <w:jc w:val="left"/>
              <w:rPr>
                <w:sz w:val="17"/>
              </w:rPr>
            </w:pPr>
            <w:r>
              <w:rPr>
                <w:sz w:val="17"/>
              </w:rPr>
              <w:t>Число выпускников вечерних (сменных) школ</w:t>
            </w:r>
          </w:p>
        </w:tc>
        <w:tc>
          <w:tcPr>
            <w:tcW w:w="1377"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38"/>
              </w:tabs>
              <w:spacing w:before="60" w:after="60" w:line="200" w:lineRule="exact"/>
              <w:jc w:val="left"/>
              <w:rPr>
                <w:sz w:val="17"/>
              </w:rPr>
            </w:pPr>
            <w:r>
              <w:rPr>
                <w:sz w:val="17"/>
              </w:rPr>
              <w:t xml:space="preserve"> 11,765</w:t>
            </w:r>
          </w:p>
        </w:tc>
        <w:tc>
          <w:tcPr>
            <w:tcW w:w="1224"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621"/>
              </w:tabs>
              <w:spacing w:before="60" w:after="60" w:line="200" w:lineRule="exact"/>
              <w:jc w:val="left"/>
              <w:rPr>
                <w:sz w:val="17"/>
              </w:rPr>
            </w:pPr>
            <w:r>
              <w:rPr>
                <w:sz w:val="17"/>
              </w:rPr>
              <w:t xml:space="preserve"> 5,844</w:t>
            </w:r>
          </w:p>
        </w:tc>
        <w:tc>
          <w:tcPr>
            <w:tcW w:w="1575"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decimal" w:pos="747"/>
              </w:tabs>
              <w:spacing w:before="60" w:after="60" w:line="200" w:lineRule="exact"/>
              <w:jc w:val="left"/>
              <w:rPr>
                <w:sz w:val="17"/>
              </w:rPr>
            </w:pPr>
            <w:r>
              <w:rPr>
                <w:sz w:val="17"/>
              </w:rPr>
              <w:t>49,67</w:t>
            </w:r>
          </w:p>
        </w:tc>
      </w:tr>
    </w:tbl>
    <w:p w:rsidR="00000000" w:rsidRDefault="00000000">
      <w:pPr>
        <w:pStyle w:val="SingleTxt"/>
      </w:pPr>
    </w:p>
    <w:p w:rsidR="00000000" w:rsidRDefault="00000000">
      <w:pPr>
        <w:pStyle w:val="SingleTxt"/>
      </w:pPr>
      <w:r>
        <w:t>95.</w:t>
      </w:r>
      <w:r>
        <w:tab/>
        <w:t xml:space="preserve">Доступ к </w:t>
      </w:r>
      <w:r>
        <w:rPr>
          <w:u w:val="single"/>
        </w:rPr>
        <w:t>высшему образованию</w:t>
      </w:r>
      <w:r>
        <w:t xml:space="preserve"> в Латвии регулируется Законом «О вы</w:t>
      </w:r>
      <w:r>
        <w:t>с</w:t>
      </w:r>
      <w:r>
        <w:t>ших учебных заведениях», который предусматривает, что каждый гражданин Латвии и каждое лицо, имеющее паспорт негражданина, выданный Латвийской Республикой, а также лица, которые имеют разрешение на постоянное прож</w:t>
      </w:r>
      <w:r>
        <w:t>и</w:t>
      </w:r>
      <w:r>
        <w:t>вание, имеют право учиться в высших учебных заведениях. Прием в высшие учебные заведения проводится в соответствии с процедурой, основывающейся на результатах национал</w:t>
      </w:r>
      <w:r>
        <w:t>ь</w:t>
      </w:r>
      <w:r>
        <w:t>ных централизованных экзаменов.</w:t>
      </w:r>
    </w:p>
    <w:p w:rsidR="00000000" w:rsidRDefault="00000000">
      <w:pPr>
        <w:pStyle w:val="SingleTxt"/>
      </w:pPr>
      <w:r>
        <w:t>96.</w:t>
      </w:r>
      <w:r>
        <w:tab/>
        <w:t>Что касается возможности начать обучение на более поздних его этапах, то на женщин не распространяются никакие дискриминационные нормы. Закон «О высшем образовании» предусматривает возможность начать обучение на более поздних его этапах при условии сдачи экзаменов за предыдущие этапы соответствующей учебной программы в другом высшем учебном заведении или дополнительной сдачи таких экзаменов в соответствующем высшем уче</w:t>
      </w:r>
      <w:r>
        <w:t>б</w:t>
      </w:r>
      <w:r>
        <w:t>ном заведении.</w:t>
      </w:r>
    </w:p>
    <w:p w:rsidR="00000000" w:rsidRDefault="00000000">
      <w:pPr>
        <w:pStyle w:val="SingleTxt"/>
      </w:pPr>
      <w:r>
        <w:t>97.</w:t>
      </w:r>
      <w:r>
        <w:tab/>
        <w:t>В рамках 2000/2001 академического года в высших учебных заведениях преподавались 464 различные учебные программы и 166 академических пр</w:t>
      </w:r>
      <w:r>
        <w:t>о</w:t>
      </w:r>
      <w:r>
        <w:t>грамм, 247 учебных программ профессиональной подготовки и 51 учебная программа для получения докторской степени. Учитывая наличие одинаковых учебных программ, предлагаемых несколькими высшими учебными завед</w:t>
      </w:r>
      <w:r>
        <w:t>е</w:t>
      </w:r>
      <w:r>
        <w:t>ниями, общее число программ составляет 556 программ, из которых 499 пр</w:t>
      </w:r>
      <w:r>
        <w:t>о</w:t>
      </w:r>
      <w:r>
        <w:t>грамм преподавались в государственных высших учебных заведениях, а 57 программ — в высших учебных заведениях, финансируемых юридическими лицами. В последние годы сформировалась тенденция к увеличению числа студентов, получающих специализированную профессиональную подготовку. В 2000 году 44 процента от общего числа лиц, получивших степени или квал</w:t>
      </w:r>
      <w:r>
        <w:t>и</w:t>
      </w:r>
      <w:r>
        <w:t>фикацию, получили специализированную профессиональную квалификацию. Растет число лиц, которые после обучения в высших учебных заведениях п</w:t>
      </w:r>
      <w:r>
        <w:t>о</w:t>
      </w:r>
      <w:r>
        <w:t>лучили степень магистра и профессиональную квалификацию. Нет никаких свидетельств дискриминации в отношении женщин в рамках ни одной из в</w:t>
      </w:r>
      <w:r>
        <w:t>ы</w:t>
      </w:r>
      <w:r>
        <w:t>шеуказанных пр</w:t>
      </w:r>
      <w:r>
        <w:t>о</w:t>
      </w:r>
      <w:r>
        <w:t>грамм.</w:t>
      </w:r>
    </w:p>
    <w:p w:rsidR="00000000" w:rsidRDefault="00000000">
      <w:pPr>
        <w:pStyle w:val="SingleTxt"/>
      </w:pPr>
      <w:r>
        <w:t>98.</w:t>
      </w:r>
      <w:r>
        <w:tab/>
        <w:t>В Латвии нет раздельного обучения девочек и мальчиков, и оно не пред</w:t>
      </w:r>
      <w:r>
        <w:t>у</w:t>
      </w:r>
      <w:r>
        <w:t>смотрено действующим законодательством. По этой причине в Латвии нет школ разного качества; мальчики и девочки пользуются равными правами в том, что касается доступа к школьным помещениям, оборудованию и препод</w:t>
      </w:r>
      <w:r>
        <w:t>а</w:t>
      </w:r>
      <w:r>
        <w:t>вательскому составу. Поскольку правила приема в учебные заведения не пред</w:t>
      </w:r>
      <w:r>
        <w:t>у</w:t>
      </w:r>
      <w:r>
        <w:t>сматривают никаких ограничений приема по признаку пола и поскольку прием в учебные заведения осуществляется на основе конкурентной процедуры или процедур с учетом места проживания учащегося, девочки имеют доступ к л</w:t>
      </w:r>
      <w:r>
        <w:t>ю</w:t>
      </w:r>
      <w:r>
        <w:t>бой специальности в учебных центрах профессиональной подготовки, колле</w:t>
      </w:r>
      <w:r>
        <w:t>д</w:t>
      </w:r>
      <w:r>
        <w:t>жах и высших учебных заведениях.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Меры, принятые учебными заведениями с целью ликвидации негативных ст</w:t>
      </w:r>
      <w:r>
        <w:t>е</w:t>
      </w:r>
      <w:r>
        <w:t>реотипов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99.</w:t>
      </w:r>
      <w:r>
        <w:tab/>
        <w:t>Нынешнее содержание общеобразовательных и специальных учебных дисциплин предполагает ликвидацию стереотипов относительно роли мужчин и женщин. Центр по вопросам образования и разработки учебных программ подготовил в рамках национальных базовых общеобразовательных и учебных норм проект «Преподавание общественных наук для учащихся 9 класса» и «Политика и право для средней школы», а также разработал образовательные нормы, которые предусматривают, что в ходе прохождения учебных программ по общественным дисциплинам учащиеся будут ознакомлены с соответству</w:t>
      </w:r>
      <w:r>
        <w:t>ю</w:t>
      </w:r>
      <w:r>
        <w:t>щими социально-политическими вопросами. Этот учебный курс будет также посвящен вопросам, касающимся прав и ответственности женщин, причем на уровне начальной школы этот курс будет носить более информативный хара</w:t>
      </w:r>
      <w:r>
        <w:t>к</w:t>
      </w:r>
      <w:r>
        <w:t>тер, в то время как в рамках курса «Политика и право» для средней школы в</w:t>
      </w:r>
      <w:r>
        <w:t>о</w:t>
      </w:r>
      <w:r>
        <w:t>просы равенства будут рассмотрены более подробно. В настоящее время эти курсы читаются преподавателями, которые, соответственно, либо повысили свою квалификацию, либо приобрели соответствующее высшее образования в области права или общественных наук.</w:t>
      </w:r>
    </w:p>
    <w:p w:rsidR="00000000" w:rsidRDefault="00000000">
      <w:pPr>
        <w:pStyle w:val="SingleTxt"/>
      </w:pPr>
      <w:r>
        <w:t>100.</w:t>
      </w:r>
      <w:r>
        <w:tab/>
        <w:t>Кроме того, в ходе 2001/2002 академического года Латвийский универс</w:t>
      </w:r>
      <w:r>
        <w:t>и</w:t>
      </w:r>
      <w:r>
        <w:t>тет предоставляет студентам возможность пройти профессиональный курс права для изучения методологии преподавания учебного курса под названием «Права для всех», который предназначен для учащихся средних школ.</w:t>
      </w:r>
    </w:p>
    <w:p w:rsidR="00000000" w:rsidRDefault="00000000">
      <w:pPr>
        <w:pStyle w:val="SingleTxt"/>
      </w:pPr>
      <w:r>
        <w:t>101.</w:t>
      </w:r>
      <w:r>
        <w:tab/>
        <w:t>Аналогичным образом в процессе разработки новых учебных программ и системы тестирования знаний и навыков детей Центр по вопросам проведения экзаменов и разработки учебных программ при министерстве образования и науки внедрил в школах Латвии различные новшества, которые в большей ст</w:t>
      </w:r>
      <w:r>
        <w:t>е</w:t>
      </w:r>
      <w:r>
        <w:t>пени отвечают современности. Например, в 1994 году было разработано рук</w:t>
      </w:r>
      <w:r>
        <w:t>о</w:t>
      </w:r>
      <w:r>
        <w:t>водство для изучения учебной программы «Здоровье». В средних школах в</w:t>
      </w:r>
      <w:r>
        <w:t>ы</w:t>
      </w:r>
      <w:r>
        <w:t>шеуказанный предмет был введен в качестве факультативного. Введение этого предмета в школах окажет непосредственное воздействие на формирование уверенности в себе и личной стабильности женщин. Латвийская ассоциация по вопросам планирования семьи и сексуального здоровья «Папардес зиедс» («Papardes Zieds») считает, что предметы, касающиеся сексуального здоровья и планирования размеров семьи, не могут быть факультативными, а должны пр</w:t>
      </w:r>
      <w:r>
        <w:t>е</w:t>
      </w:r>
      <w:r>
        <w:t>подаваться в качестве обязательных предметов (не только в общеобразовател</w:t>
      </w:r>
      <w:r>
        <w:t>ь</w:t>
      </w:r>
      <w:r>
        <w:t>ных заведениях, но и в учебных заведениях профессиональной подготовки). В своих замечаниях Латвийская ассоциация по вопросам гендерного равенства отмечает, что учебная программа «Здоровье» не преподается в профессионал</w:t>
      </w:r>
      <w:r>
        <w:t>ь</w:t>
      </w:r>
      <w:r>
        <w:t>но-технических учебных заведениях, техникумах и специальных учебных зав</w:t>
      </w:r>
      <w:r>
        <w:t>е</w:t>
      </w:r>
      <w:r>
        <w:t>дениях и что этот предмет приведет к укреплению уверенности и стабильности женщин только в том случае, если преподаватели будут иметь надлежащую подготовку и будут пользоваться необходимой методологией.</w:t>
      </w:r>
    </w:p>
    <w:p w:rsidR="00000000" w:rsidRDefault="00000000">
      <w:pPr>
        <w:pStyle w:val="SingleTxt"/>
      </w:pPr>
      <w:r>
        <w:t>102.</w:t>
      </w:r>
      <w:r>
        <w:tab/>
        <w:t>Что касается устранения стереотипа относительно роли мужчин и же</w:t>
      </w:r>
      <w:r>
        <w:t>н</w:t>
      </w:r>
      <w:r>
        <w:t>щин на всех уровнях образования, то Постановление кабинета министров No. 462 «О национальных нормах базового образования» (от 5 декабря 2000 года) предусматривает, что одна из главных задач программ базового образов</w:t>
      </w:r>
      <w:r>
        <w:t>а</w:t>
      </w:r>
      <w:r>
        <w:t>ния состоит в формировании понимания главных естественных и социальных процессов и морально-этических ценностей, с тем чтобы каждый гражданин Латвии мог приобрести необходимые знания и пользоваться демократическими ценностями. В свою очередь, Постановление кабинета министров No. 463 «О национальных стандартах общего среднего образования» (от 5 декабря 2000 года) также определяет формирование навыков участия в жизни гражданского общества с проявлением позитивного и уважительного отношения к себе и другим в качестве одной из главных задач общего образования. В области пр</w:t>
      </w:r>
      <w:r>
        <w:t>о</w:t>
      </w:r>
      <w:r>
        <w:t>фессионально-технического образования Постановление кабинета министров No. 211 «О национальном стандарте профессионально-технического среднего образования» (от 27 июня 2000 года) приводит формирование позитивного о</w:t>
      </w:r>
      <w:r>
        <w:t>т</w:t>
      </w:r>
      <w:r>
        <w:t>ношения учащихся к другим людям и государству в качестве одной из главных целей этого вида образования, стимулирующих уверенность в себе и спосо</w:t>
      </w:r>
      <w:r>
        <w:t>б</w:t>
      </w:r>
      <w:r>
        <w:t>ность выполнять обязанности гражданина Латвии.</w:t>
      </w:r>
    </w:p>
    <w:p w:rsidR="00000000" w:rsidRDefault="00000000">
      <w:pPr>
        <w:pStyle w:val="SingleTxt"/>
      </w:pPr>
      <w:r>
        <w:t>103.</w:t>
      </w:r>
      <w:r>
        <w:tab/>
        <w:t>Латвийская ассоциация по вопросам гендерного равенства считает, что роли обоих полов, как они отражены в учебниках и различных учебных мат</w:t>
      </w:r>
      <w:r>
        <w:t>е</w:t>
      </w:r>
      <w:r>
        <w:t>риалах, не являются сбалансированными и что в этой области необходимо предпринять дальнейшие усилия.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получать пособия на образование и студенческие займы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104.</w:t>
      </w:r>
      <w:r>
        <w:tab/>
        <w:t>Согласно «Сатверсме» (Конституции) государство обеспечивает беспла</w:t>
      </w:r>
      <w:r>
        <w:t>т</w:t>
      </w:r>
      <w:r>
        <w:t>ный доступ к начальному и среднему образованию. В то же время в Латвии есть частные начальные и средние учебные заведения, которые имеют право требовать от своих учащихся плату за обучение. Государственные и муниц</w:t>
      </w:r>
      <w:r>
        <w:t>и</w:t>
      </w:r>
      <w:r>
        <w:t>пальные специальные учебные заведения финансируются за счет субсидий из национал</w:t>
      </w:r>
      <w:r>
        <w:t>ь</w:t>
      </w:r>
      <w:r>
        <w:t>ного бюджета.</w:t>
      </w:r>
    </w:p>
    <w:p w:rsidR="00000000" w:rsidRDefault="00000000">
      <w:pPr>
        <w:pStyle w:val="SingleTxt"/>
      </w:pPr>
      <w:r>
        <w:t>105.</w:t>
      </w:r>
      <w:r>
        <w:tab/>
        <w:t>Физическое лицо, независимо от пола этого лица, может только один раз проходить обучение в высшем учебном заведении за счет национального бю</w:t>
      </w:r>
      <w:r>
        <w:t>д</w:t>
      </w:r>
      <w:r>
        <w:t>жета. В 2000/2001 академическом году 33 процента студентов от общего числа студентов в Латвии проходили обучение за счет национального бюджета; физ</w:t>
      </w:r>
      <w:r>
        <w:t>и</w:t>
      </w:r>
      <w:r>
        <w:t>ческие или юридические лица финансировали обучение 66 процентов всех ст</w:t>
      </w:r>
      <w:r>
        <w:t>у</w:t>
      </w:r>
      <w:r>
        <w:t>дентов. Число студентов, платящих за свое обучение, имеет тенденцию ро</w:t>
      </w:r>
      <w:r>
        <w:t>с</w:t>
      </w:r>
      <w:r>
        <w:t>та.</w:t>
      </w:r>
    </w:p>
    <w:p w:rsidR="00000000" w:rsidRDefault="00000000">
      <w:pPr>
        <w:pStyle w:val="SingleTxt"/>
      </w:pPr>
      <w:r>
        <w:t>106.</w:t>
      </w:r>
      <w:r>
        <w:tab/>
        <w:t>В 1999 году плата за обучение составляла 21 процент от общего финанс</w:t>
      </w:r>
      <w:r>
        <w:t>и</w:t>
      </w:r>
      <w:r>
        <w:t>рования деятельности государственных высших учебных заведений. Размер платы за обучение зависит от конкретного высшего учебного заведения и уче</w:t>
      </w:r>
      <w:r>
        <w:t>б</w:t>
      </w:r>
      <w:r>
        <w:t>ной программы.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bookmarkStart w:id="16" w:name="_Toc48490445"/>
      <w:r>
        <w:tab/>
      </w:r>
      <w:r>
        <w:tab/>
        <w:t>Плата за обучение в высших учебных заведениях Латвии</w:t>
      </w:r>
      <w:bookmarkEnd w:id="16"/>
      <w:r>
        <w:t xml:space="preserve"> в 2000/2001 академическом году (в латвийских латах)</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2070"/>
        <w:gridCol w:w="2070"/>
        <w:gridCol w:w="1980"/>
      </w:tblGrid>
      <w:tr w:rsidR="00000000">
        <w:tblPrEx>
          <w:tblCellMar>
            <w:top w:w="0" w:type="dxa"/>
            <w:bottom w:w="0" w:type="dxa"/>
          </w:tblCellMar>
        </w:tblPrEx>
        <w:tc>
          <w:tcPr>
            <w:tcW w:w="2430" w:type="dxa"/>
          </w:tcPr>
          <w:p w:rsidR="00000000" w:rsidRDefault="00000000">
            <w:pPr>
              <w:pStyle w:val="DualTxt"/>
              <w:spacing w:before="60" w:after="80" w:line="200" w:lineRule="exact"/>
              <w:rPr>
                <w:sz w:val="16"/>
              </w:rPr>
            </w:pPr>
          </w:p>
        </w:tc>
        <w:tc>
          <w:tcPr>
            <w:tcW w:w="2070" w:type="dxa"/>
          </w:tcPr>
          <w:p w:rsidR="00000000" w:rsidRDefault="00000000">
            <w:pPr>
              <w:pStyle w:val="DualTxt"/>
              <w:spacing w:before="60" w:after="80" w:line="200" w:lineRule="exact"/>
              <w:rPr>
                <w:sz w:val="16"/>
              </w:rPr>
            </w:pPr>
            <w:r>
              <w:rPr>
                <w:sz w:val="16"/>
              </w:rPr>
              <w:t>Программа для получ</w:t>
            </w:r>
            <w:r>
              <w:rPr>
                <w:sz w:val="16"/>
              </w:rPr>
              <w:t>е</w:t>
            </w:r>
            <w:r>
              <w:rPr>
                <w:sz w:val="16"/>
              </w:rPr>
              <w:t>ния степени бакала</w:t>
            </w:r>
            <w:r>
              <w:rPr>
                <w:sz w:val="16"/>
              </w:rPr>
              <w:t>в</w:t>
            </w:r>
            <w:r>
              <w:rPr>
                <w:sz w:val="16"/>
              </w:rPr>
              <w:t>ра</w:t>
            </w:r>
          </w:p>
        </w:tc>
        <w:tc>
          <w:tcPr>
            <w:tcW w:w="2070" w:type="dxa"/>
          </w:tcPr>
          <w:p w:rsidR="00000000" w:rsidRDefault="00000000">
            <w:pPr>
              <w:pStyle w:val="DualTxt"/>
              <w:spacing w:before="60" w:after="80" w:line="200" w:lineRule="exact"/>
              <w:rPr>
                <w:sz w:val="16"/>
              </w:rPr>
            </w:pPr>
            <w:r>
              <w:rPr>
                <w:sz w:val="16"/>
              </w:rPr>
              <w:t>Программа для получ</w:t>
            </w:r>
            <w:r>
              <w:rPr>
                <w:sz w:val="16"/>
              </w:rPr>
              <w:t>е</w:t>
            </w:r>
            <w:r>
              <w:rPr>
                <w:sz w:val="16"/>
              </w:rPr>
              <w:t>ния степени м</w:t>
            </w:r>
            <w:r>
              <w:rPr>
                <w:sz w:val="16"/>
              </w:rPr>
              <w:t>а</w:t>
            </w:r>
            <w:r>
              <w:rPr>
                <w:sz w:val="16"/>
              </w:rPr>
              <w:t>гистра</w:t>
            </w:r>
          </w:p>
        </w:tc>
        <w:tc>
          <w:tcPr>
            <w:tcW w:w="1980" w:type="dxa"/>
          </w:tcPr>
          <w:p w:rsidR="00000000" w:rsidRDefault="00000000">
            <w:pPr>
              <w:pStyle w:val="DualTxt"/>
              <w:spacing w:before="60" w:after="80" w:line="200" w:lineRule="exact"/>
              <w:rPr>
                <w:sz w:val="16"/>
              </w:rPr>
            </w:pPr>
            <w:r>
              <w:rPr>
                <w:sz w:val="16"/>
              </w:rPr>
              <w:t>Программа професси</w:t>
            </w:r>
            <w:r>
              <w:rPr>
                <w:sz w:val="16"/>
              </w:rPr>
              <w:t>о</w:t>
            </w:r>
            <w:r>
              <w:rPr>
                <w:sz w:val="16"/>
              </w:rPr>
              <w:t>нальной подгото</w:t>
            </w:r>
            <w:r>
              <w:rPr>
                <w:sz w:val="16"/>
              </w:rPr>
              <w:t>в</w:t>
            </w:r>
            <w:r>
              <w:rPr>
                <w:sz w:val="16"/>
              </w:rPr>
              <w:t>ки</w:t>
            </w:r>
          </w:p>
        </w:tc>
      </w:tr>
      <w:tr w:rsidR="00000000">
        <w:tblPrEx>
          <w:tblCellMar>
            <w:top w:w="0" w:type="dxa"/>
            <w:bottom w:w="0" w:type="dxa"/>
          </w:tblCellMar>
        </w:tblPrEx>
        <w:tc>
          <w:tcPr>
            <w:tcW w:w="2430" w:type="dxa"/>
          </w:tcPr>
          <w:p w:rsidR="00000000" w:rsidRDefault="00000000">
            <w:pPr>
              <w:pStyle w:val="DualTxt"/>
              <w:spacing w:before="60" w:after="80" w:line="200" w:lineRule="exact"/>
              <w:rPr>
                <w:sz w:val="17"/>
              </w:rPr>
            </w:pPr>
            <w:r>
              <w:rPr>
                <w:sz w:val="17"/>
              </w:rPr>
              <w:t>Дневное отделение (первый год обучения) (обучение полный день)</w:t>
            </w:r>
          </w:p>
        </w:tc>
        <w:tc>
          <w:tcPr>
            <w:tcW w:w="2070" w:type="dxa"/>
          </w:tcPr>
          <w:p w:rsidR="00000000" w:rsidRDefault="00000000">
            <w:pPr>
              <w:pStyle w:val="DualTxt"/>
              <w:spacing w:before="60" w:after="80" w:line="200" w:lineRule="exact"/>
              <w:jc w:val="center"/>
              <w:rPr>
                <w:sz w:val="17"/>
              </w:rPr>
            </w:pPr>
            <w:r>
              <w:rPr>
                <w:sz w:val="17"/>
              </w:rPr>
              <w:t>100-1802</w:t>
            </w:r>
          </w:p>
        </w:tc>
        <w:tc>
          <w:tcPr>
            <w:tcW w:w="2070" w:type="dxa"/>
          </w:tcPr>
          <w:p w:rsidR="00000000" w:rsidRDefault="00000000">
            <w:pPr>
              <w:pStyle w:val="DualTxt"/>
              <w:spacing w:before="60" w:after="80" w:line="200" w:lineRule="exact"/>
              <w:jc w:val="center"/>
              <w:rPr>
                <w:sz w:val="17"/>
              </w:rPr>
            </w:pPr>
            <w:r>
              <w:rPr>
                <w:sz w:val="17"/>
              </w:rPr>
              <w:t>200-1200</w:t>
            </w:r>
          </w:p>
        </w:tc>
        <w:tc>
          <w:tcPr>
            <w:tcW w:w="1980" w:type="dxa"/>
          </w:tcPr>
          <w:p w:rsidR="00000000" w:rsidRDefault="00000000">
            <w:pPr>
              <w:pStyle w:val="DualTxt"/>
              <w:spacing w:before="60" w:after="80" w:line="200" w:lineRule="exact"/>
              <w:jc w:val="center"/>
              <w:rPr>
                <w:sz w:val="17"/>
              </w:rPr>
            </w:pPr>
            <w:r>
              <w:rPr>
                <w:sz w:val="17"/>
              </w:rPr>
              <w:t>50-1802</w:t>
            </w:r>
          </w:p>
        </w:tc>
      </w:tr>
      <w:tr w:rsidR="00000000">
        <w:tblPrEx>
          <w:tblCellMar>
            <w:top w:w="0" w:type="dxa"/>
            <w:bottom w:w="0" w:type="dxa"/>
          </w:tblCellMar>
        </w:tblPrEx>
        <w:tc>
          <w:tcPr>
            <w:tcW w:w="2430" w:type="dxa"/>
          </w:tcPr>
          <w:p w:rsidR="00000000" w:rsidRDefault="00000000">
            <w:pPr>
              <w:pStyle w:val="DualTxt"/>
              <w:spacing w:before="60" w:after="80" w:line="200" w:lineRule="exact"/>
              <w:rPr>
                <w:sz w:val="17"/>
              </w:rPr>
            </w:pPr>
            <w:r>
              <w:rPr>
                <w:sz w:val="17"/>
              </w:rPr>
              <w:t>Вечернее отделение (обуч</w:t>
            </w:r>
            <w:r>
              <w:rPr>
                <w:sz w:val="17"/>
              </w:rPr>
              <w:t>е</w:t>
            </w:r>
            <w:r>
              <w:rPr>
                <w:sz w:val="17"/>
              </w:rPr>
              <w:t>ние неполный день)</w:t>
            </w:r>
          </w:p>
        </w:tc>
        <w:tc>
          <w:tcPr>
            <w:tcW w:w="2070" w:type="dxa"/>
          </w:tcPr>
          <w:p w:rsidR="00000000" w:rsidRDefault="00000000">
            <w:pPr>
              <w:pStyle w:val="DualTxt"/>
              <w:spacing w:before="60" w:after="80" w:line="200" w:lineRule="exact"/>
              <w:jc w:val="center"/>
              <w:rPr>
                <w:sz w:val="17"/>
              </w:rPr>
            </w:pPr>
            <w:r>
              <w:rPr>
                <w:sz w:val="17"/>
              </w:rPr>
              <w:t>380-413</w:t>
            </w:r>
          </w:p>
        </w:tc>
        <w:tc>
          <w:tcPr>
            <w:tcW w:w="2070" w:type="dxa"/>
          </w:tcPr>
          <w:p w:rsidR="00000000" w:rsidRDefault="00000000">
            <w:pPr>
              <w:pStyle w:val="DualTxt"/>
              <w:spacing w:before="60" w:after="80" w:line="200" w:lineRule="exact"/>
              <w:jc w:val="center"/>
              <w:rPr>
                <w:sz w:val="17"/>
              </w:rPr>
            </w:pPr>
            <w:r>
              <w:rPr>
                <w:sz w:val="17"/>
              </w:rPr>
              <w:t>60-900</w:t>
            </w:r>
          </w:p>
        </w:tc>
        <w:tc>
          <w:tcPr>
            <w:tcW w:w="1980" w:type="dxa"/>
          </w:tcPr>
          <w:p w:rsidR="00000000" w:rsidRDefault="00000000">
            <w:pPr>
              <w:pStyle w:val="DualTxt"/>
              <w:spacing w:before="60" w:after="80" w:line="200" w:lineRule="exact"/>
              <w:jc w:val="center"/>
              <w:rPr>
                <w:sz w:val="17"/>
              </w:rPr>
            </w:pPr>
            <w:r>
              <w:rPr>
                <w:sz w:val="17"/>
              </w:rPr>
              <w:t>160-990</w:t>
            </w:r>
          </w:p>
        </w:tc>
      </w:tr>
      <w:tr w:rsidR="00000000">
        <w:tblPrEx>
          <w:tblCellMar>
            <w:top w:w="0" w:type="dxa"/>
            <w:bottom w:w="0" w:type="dxa"/>
          </w:tblCellMar>
        </w:tblPrEx>
        <w:tc>
          <w:tcPr>
            <w:tcW w:w="2430" w:type="dxa"/>
          </w:tcPr>
          <w:p w:rsidR="00000000" w:rsidRDefault="00000000">
            <w:pPr>
              <w:pStyle w:val="DualTxt"/>
              <w:spacing w:before="60" w:after="80" w:line="200" w:lineRule="exact"/>
              <w:rPr>
                <w:sz w:val="17"/>
              </w:rPr>
            </w:pPr>
            <w:r>
              <w:rPr>
                <w:sz w:val="17"/>
              </w:rPr>
              <w:t>Заочное отделение (заочное обучение)</w:t>
            </w:r>
          </w:p>
        </w:tc>
        <w:tc>
          <w:tcPr>
            <w:tcW w:w="2070" w:type="dxa"/>
          </w:tcPr>
          <w:p w:rsidR="00000000" w:rsidRDefault="00000000">
            <w:pPr>
              <w:pStyle w:val="DualTxt"/>
              <w:spacing w:before="60" w:after="80" w:line="200" w:lineRule="exact"/>
              <w:jc w:val="center"/>
              <w:rPr>
                <w:sz w:val="17"/>
              </w:rPr>
            </w:pPr>
            <w:r>
              <w:rPr>
                <w:sz w:val="17"/>
              </w:rPr>
              <w:t>120-600</w:t>
            </w:r>
          </w:p>
        </w:tc>
        <w:tc>
          <w:tcPr>
            <w:tcW w:w="2070" w:type="dxa"/>
          </w:tcPr>
          <w:p w:rsidR="00000000" w:rsidRDefault="00000000">
            <w:pPr>
              <w:pStyle w:val="DualTxt"/>
              <w:spacing w:before="60" w:after="80" w:line="200" w:lineRule="exact"/>
              <w:jc w:val="center"/>
              <w:rPr>
                <w:sz w:val="17"/>
              </w:rPr>
            </w:pPr>
            <w:r>
              <w:rPr>
                <w:sz w:val="17"/>
              </w:rPr>
              <w:t>200-600</w:t>
            </w:r>
          </w:p>
        </w:tc>
        <w:tc>
          <w:tcPr>
            <w:tcW w:w="1980" w:type="dxa"/>
          </w:tcPr>
          <w:p w:rsidR="00000000" w:rsidRDefault="00000000">
            <w:pPr>
              <w:pStyle w:val="DualTxt"/>
              <w:spacing w:before="60" w:after="80" w:line="200" w:lineRule="exact"/>
              <w:jc w:val="center"/>
              <w:rPr>
                <w:sz w:val="17"/>
              </w:rPr>
            </w:pPr>
            <w:r>
              <w:rPr>
                <w:sz w:val="17"/>
              </w:rPr>
              <w:t>50-600</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107.</w:t>
      </w:r>
      <w:r>
        <w:tab/>
        <w:t>Студенты в Латвии могут брать пособия на образование и студенческие займы. Студенческие займы предполагают обеспечение социальных потребн</w:t>
      </w:r>
      <w:r>
        <w:t>о</w:t>
      </w:r>
      <w:r>
        <w:t>стей студента, в то время как пособия на образование предназначены для опл</w:t>
      </w:r>
      <w:r>
        <w:t>а</w:t>
      </w:r>
      <w:r>
        <w:t>ты стоимости обучения. Процедура предоставления займов определяется П</w:t>
      </w:r>
      <w:r>
        <w:t>о</w:t>
      </w:r>
      <w:r>
        <w:t>становлением кабинета министров «О процедуре предоставления, погашения и освобождения от уплаты пособий на образование и студенческих займов с и</w:t>
      </w:r>
      <w:r>
        <w:t>с</w:t>
      </w:r>
      <w:r>
        <w:t>пользованием ресурсов кредитных учреждений при государственной гара</w:t>
      </w:r>
      <w:r>
        <w:t>н</w:t>
      </w:r>
      <w:r>
        <w:t>тии». Эти займы предоставляются кредитными учреждениями после гарант</w:t>
      </w:r>
      <w:r>
        <w:t>и</w:t>
      </w:r>
      <w:r>
        <w:t>рования займа двумя физическими лицами; займы студентам из неимущих с</w:t>
      </w:r>
      <w:r>
        <w:t>е</w:t>
      </w:r>
      <w:r>
        <w:t>мей предоставляются после получении гарантии от соответствующего органа местного самоуправления. При предоставлении вышеуказанных займов не де</w:t>
      </w:r>
      <w:r>
        <w:t>й</w:t>
      </w:r>
      <w:r>
        <w:t>ствует н</w:t>
      </w:r>
      <w:r>
        <w:t>и</w:t>
      </w:r>
      <w:r>
        <w:t>каких ограничений по признаку пола.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Программы продолжение образования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108.</w:t>
      </w:r>
      <w:r>
        <w:tab/>
        <w:t>Закон «Об общем образовании» предусматривает равное право каждого на получение образования, а также на продолжение образования в рамках всех а</w:t>
      </w:r>
      <w:r>
        <w:t>к</w:t>
      </w:r>
      <w:r>
        <w:t>кредитованных государством учебных программ. Стандарты образования на различных уровнях обеспечивают учащимся возможность продолжать образ</w:t>
      </w:r>
      <w:r>
        <w:t>о</w:t>
      </w:r>
      <w:r>
        <w:t>вание и приобретать знания в течение всей жизни. Что касается продолжения образования, а также доступа к образованию, то в Латвии нет никаких разл</w:t>
      </w:r>
      <w:r>
        <w:t>и</w:t>
      </w:r>
      <w:r>
        <w:t>чий по признаку пола.</w:t>
      </w:r>
    </w:p>
    <w:p w:rsidR="00000000" w:rsidRDefault="00000000">
      <w:pPr>
        <w:pStyle w:val="SingleTxt"/>
      </w:pPr>
      <w:r>
        <w:t>109.</w:t>
      </w:r>
      <w:r>
        <w:tab/>
        <w:t>В Латвии нет никакого разрыва между знаниями мужчин и знаниями женщин (см. таблицу). Согласно нижеприводимой таблице, в процентном о</w:t>
      </w:r>
      <w:r>
        <w:t>т</w:t>
      </w:r>
      <w:r>
        <w:t>ношении высшее образование получают больше женщин, чем мужчин, а на всех других уровнях дальнейшего образования число женщин приблизительно соответств</w:t>
      </w:r>
      <w:r>
        <w:t>у</w:t>
      </w:r>
      <w:r>
        <w:t>ет числу мужчин.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2000/2001 учебный год</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0"/>
        <w:gridCol w:w="1962"/>
        <w:gridCol w:w="2196"/>
      </w:tblGrid>
      <w:tr w:rsidR="00000000">
        <w:tblPrEx>
          <w:tblCellMar>
            <w:top w:w="0" w:type="dxa"/>
            <w:bottom w:w="0" w:type="dxa"/>
          </w:tblCellMar>
        </w:tblPrEx>
        <w:tc>
          <w:tcPr>
            <w:tcW w:w="3330" w:type="dxa"/>
            <w:vAlign w:val="bottom"/>
          </w:tcPr>
          <w:p w:rsidR="00000000" w:rsidRDefault="00000000">
            <w:pPr>
              <w:pStyle w:val="DualTxt"/>
              <w:spacing w:before="60" w:after="80" w:line="200" w:lineRule="exact"/>
              <w:jc w:val="left"/>
              <w:rPr>
                <w:sz w:val="16"/>
              </w:rPr>
            </w:pPr>
          </w:p>
        </w:tc>
        <w:tc>
          <w:tcPr>
            <w:tcW w:w="1962" w:type="dxa"/>
            <w:vAlign w:val="bottom"/>
          </w:tcPr>
          <w:p w:rsidR="00000000" w:rsidRDefault="00000000">
            <w:pPr>
              <w:pStyle w:val="DualTxt"/>
              <w:spacing w:before="60" w:after="80" w:line="200" w:lineRule="exact"/>
              <w:jc w:val="left"/>
              <w:rPr>
                <w:sz w:val="16"/>
              </w:rPr>
            </w:pPr>
            <w:r>
              <w:rPr>
                <w:sz w:val="16"/>
              </w:rPr>
              <w:t>Общее число студе</w:t>
            </w:r>
            <w:r>
              <w:rPr>
                <w:sz w:val="16"/>
              </w:rPr>
              <w:t>н</w:t>
            </w:r>
            <w:r>
              <w:rPr>
                <w:sz w:val="16"/>
              </w:rPr>
              <w:t>тов</w:t>
            </w:r>
          </w:p>
        </w:tc>
        <w:tc>
          <w:tcPr>
            <w:tcW w:w="2196" w:type="dxa"/>
            <w:vAlign w:val="bottom"/>
          </w:tcPr>
          <w:p w:rsidR="00000000" w:rsidRDefault="00000000">
            <w:pPr>
              <w:pStyle w:val="DualTxt"/>
              <w:spacing w:before="60" w:after="80" w:line="200" w:lineRule="exact"/>
              <w:jc w:val="left"/>
              <w:rPr>
                <w:sz w:val="16"/>
              </w:rPr>
            </w:pPr>
            <w:r>
              <w:rPr>
                <w:sz w:val="16"/>
              </w:rPr>
              <w:t>Число женщин (девушек) от общего числа студе</w:t>
            </w:r>
            <w:r>
              <w:rPr>
                <w:sz w:val="16"/>
              </w:rPr>
              <w:t>н</w:t>
            </w:r>
            <w:r>
              <w:rPr>
                <w:sz w:val="16"/>
              </w:rPr>
              <w:t>тов</w:t>
            </w:r>
          </w:p>
        </w:tc>
      </w:tr>
      <w:tr w:rsidR="00000000">
        <w:tblPrEx>
          <w:tblCellMar>
            <w:top w:w="0" w:type="dxa"/>
            <w:bottom w:w="0" w:type="dxa"/>
          </w:tblCellMar>
        </w:tblPrEx>
        <w:tc>
          <w:tcPr>
            <w:tcW w:w="3330" w:type="dxa"/>
            <w:vAlign w:val="bottom"/>
          </w:tcPr>
          <w:p w:rsidR="00000000" w:rsidRDefault="00000000">
            <w:pPr>
              <w:pStyle w:val="DualTxt"/>
              <w:spacing w:before="60" w:line="200" w:lineRule="exact"/>
              <w:jc w:val="left"/>
              <w:rPr>
                <w:sz w:val="17"/>
              </w:rPr>
            </w:pPr>
            <w:r>
              <w:rPr>
                <w:sz w:val="17"/>
              </w:rPr>
              <w:t>Специальные учебные заведения, сп</w:t>
            </w:r>
            <w:r>
              <w:rPr>
                <w:sz w:val="17"/>
              </w:rPr>
              <w:t>е</w:t>
            </w:r>
            <w:r>
              <w:rPr>
                <w:sz w:val="17"/>
              </w:rPr>
              <w:t>циальные классы в общеобразовател</w:t>
            </w:r>
            <w:r>
              <w:rPr>
                <w:sz w:val="17"/>
              </w:rPr>
              <w:t>ь</w:t>
            </w:r>
            <w:r>
              <w:rPr>
                <w:sz w:val="17"/>
              </w:rPr>
              <w:t>ных учебных завед</w:t>
            </w:r>
            <w:r>
              <w:rPr>
                <w:sz w:val="17"/>
              </w:rPr>
              <w:t>е</w:t>
            </w:r>
            <w:r>
              <w:rPr>
                <w:sz w:val="17"/>
              </w:rPr>
              <w:t>ниях</w:t>
            </w:r>
          </w:p>
        </w:tc>
        <w:tc>
          <w:tcPr>
            <w:tcW w:w="1962" w:type="dxa"/>
            <w:vAlign w:val="bottom"/>
          </w:tcPr>
          <w:p w:rsidR="00000000" w:rsidRDefault="00000000">
            <w:pPr>
              <w:pStyle w:val="DualTxt"/>
              <w:spacing w:before="60" w:line="200" w:lineRule="exact"/>
              <w:jc w:val="center"/>
              <w:rPr>
                <w:sz w:val="17"/>
              </w:rPr>
            </w:pPr>
            <w:r>
              <w:rPr>
                <w:sz w:val="17"/>
              </w:rPr>
              <w:t>10 250</w:t>
            </w:r>
          </w:p>
        </w:tc>
        <w:tc>
          <w:tcPr>
            <w:tcW w:w="2196" w:type="dxa"/>
            <w:vAlign w:val="bottom"/>
          </w:tcPr>
          <w:p w:rsidR="00000000" w:rsidRDefault="00000000">
            <w:pPr>
              <w:pStyle w:val="DualTxt"/>
              <w:spacing w:before="60" w:line="200" w:lineRule="exact"/>
              <w:jc w:val="center"/>
              <w:rPr>
                <w:sz w:val="17"/>
              </w:rPr>
            </w:pPr>
            <w:r>
              <w:rPr>
                <w:sz w:val="17"/>
              </w:rPr>
              <w:t>3 933 (38%)</w:t>
            </w:r>
          </w:p>
        </w:tc>
      </w:tr>
      <w:tr w:rsidR="00000000">
        <w:tblPrEx>
          <w:tblCellMar>
            <w:top w:w="0" w:type="dxa"/>
            <w:bottom w:w="0" w:type="dxa"/>
          </w:tblCellMar>
        </w:tblPrEx>
        <w:tc>
          <w:tcPr>
            <w:tcW w:w="3330" w:type="dxa"/>
            <w:vAlign w:val="bottom"/>
          </w:tcPr>
          <w:p w:rsidR="00000000" w:rsidRDefault="00000000">
            <w:pPr>
              <w:pStyle w:val="DualTxt"/>
              <w:spacing w:before="60" w:line="200" w:lineRule="exact"/>
              <w:jc w:val="left"/>
              <w:rPr>
                <w:sz w:val="17"/>
              </w:rPr>
            </w:pPr>
            <w:r>
              <w:rPr>
                <w:sz w:val="17"/>
              </w:rPr>
              <w:t>Профессионально-технические уче</w:t>
            </w:r>
            <w:r>
              <w:rPr>
                <w:sz w:val="17"/>
              </w:rPr>
              <w:t>б</w:t>
            </w:r>
            <w:r>
              <w:rPr>
                <w:sz w:val="17"/>
              </w:rPr>
              <w:t>ные завед</w:t>
            </w:r>
            <w:r>
              <w:rPr>
                <w:sz w:val="17"/>
              </w:rPr>
              <w:t>е</w:t>
            </w:r>
            <w:r>
              <w:rPr>
                <w:sz w:val="17"/>
              </w:rPr>
              <w:t>ния</w:t>
            </w:r>
          </w:p>
        </w:tc>
        <w:tc>
          <w:tcPr>
            <w:tcW w:w="1962" w:type="dxa"/>
            <w:vAlign w:val="bottom"/>
          </w:tcPr>
          <w:p w:rsidR="00000000" w:rsidRDefault="00000000">
            <w:pPr>
              <w:pStyle w:val="DualTxt"/>
              <w:spacing w:before="60" w:line="200" w:lineRule="exact"/>
              <w:jc w:val="center"/>
              <w:rPr>
                <w:sz w:val="17"/>
              </w:rPr>
            </w:pPr>
            <w:r>
              <w:rPr>
                <w:sz w:val="17"/>
              </w:rPr>
              <w:t>48 625</w:t>
            </w:r>
          </w:p>
        </w:tc>
        <w:tc>
          <w:tcPr>
            <w:tcW w:w="2196" w:type="dxa"/>
            <w:vAlign w:val="bottom"/>
          </w:tcPr>
          <w:p w:rsidR="00000000" w:rsidRDefault="00000000">
            <w:pPr>
              <w:pStyle w:val="DualTxt"/>
              <w:spacing w:before="60" w:line="200" w:lineRule="exact"/>
              <w:jc w:val="center"/>
              <w:rPr>
                <w:sz w:val="17"/>
              </w:rPr>
            </w:pPr>
            <w:r>
              <w:rPr>
                <w:sz w:val="17"/>
              </w:rPr>
              <w:t>21 287 (43%)</w:t>
            </w:r>
          </w:p>
        </w:tc>
      </w:tr>
      <w:tr w:rsidR="00000000">
        <w:tblPrEx>
          <w:tblCellMar>
            <w:top w:w="0" w:type="dxa"/>
            <w:bottom w:w="0" w:type="dxa"/>
          </w:tblCellMar>
        </w:tblPrEx>
        <w:tc>
          <w:tcPr>
            <w:tcW w:w="3330" w:type="dxa"/>
            <w:vAlign w:val="bottom"/>
          </w:tcPr>
          <w:p w:rsidR="00000000" w:rsidRDefault="00000000">
            <w:pPr>
              <w:pStyle w:val="DualTxt"/>
              <w:spacing w:before="60" w:line="200" w:lineRule="exact"/>
              <w:jc w:val="left"/>
              <w:rPr>
                <w:sz w:val="17"/>
              </w:rPr>
            </w:pPr>
            <w:r>
              <w:rPr>
                <w:sz w:val="17"/>
              </w:rPr>
              <w:t>Высшие учебные завед</w:t>
            </w:r>
            <w:r>
              <w:rPr>
                <w:sz w:val="17"/>
              </w:rPr>
              <w:t>е</w:t>
            </w:r>
            <w:r>
              <w:rPr>
                <w:sz w:val="17"/>
              </w:rPr>
              <w:t>ния</w:t>
            </w:r>
          </w:p>
        </w:tc>
        <w:tc>
          <w:tcPr>
            <w:tcW w:w="1962" w:type="dxa"/>
            <w:vAlign w:val="bottom"/>
          </w:tcPr>
          <w:p w:rsidR="00000000" w:rsidRDefault="00000000">
            <w:pPr>
              <w:pStyle w:val="DualTxt"/>
              <w:spacing w:before="60" w:line="200" w:lineRule="exact"/>
              <w:jc w:val="center"/>
              <w:rPr>
                <w:sz w:val="17"/>
              </w:rPr>
            </w:pPr>
            <w:r>
              <w:rPr>
                <w:sz w:val="17"/>
              </w:rPr>
              <w:t>101 270</w:t>
            </w:r>
          </w:p>
        </w:tc>
        <w:tc>
          <w:tcPr>
            <w:tcW w:w="2196" w:type="dxa"/>
            <w:vAlign w:val="bottom"/>
          </w:tcPr>
          <w:p w:rsidR="00000000" w:rsidRDefault="00000000">
            <w:pPr>
              <w:pStyle w:val="DualTxt"/>
              <w:spacing w:before="60" w:line="200" w:lineRule="exact"/>
              <w:jc w:val="center"/>
              <w:rPr>
                <w:sz w:val="17"/>
              </w:rPr>
            </w:pPr>
            <w:r>
              <w:rPr>
                <w:sz w:val="17"/>
              </w:rPr>
              <w:t>62 182 (61%)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Образование лиц, не закончивших школу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110.</w:t>
      </w:r>
      <w:r>
        <w:tab/>
        <w:t>В Латвии нет никаких специальных учебных программ для девушек, к</w:t>
      </w:r>
      <w:r>
        <w:t>о</w:t>
      </w:r>
      <w:r>
        <w:t>торые не закончили школу или полностью бросили учебу в школе. Взрослые могут получать или завершать начальное образование или приобретать среднее образование в вечерних школах. В 2000/2001 учебном году 14 996 учащихся, в том числе 7147 девушек, посещали вечерние (сменные) школы общего образ</w:t>
      </w:r>
      <w:r>
        <w:t>о</w:t>
      </w:r>
      <w:r>
        <w:t>вания в Латвии; 37 учащихся (в том числе 14 девушек) из вышеприведенного общего числа учились в 1-м – 4-м классах; 1943 учащихся, в том числе 657 д</w:t>
      </w:r>
      <w:r>
        <w:t>е</w:t>
      </w:r>
      <w:r>
        <w:t>вушек, учились в 5-м – 9-м классах; а 13 016 учащихся, в том числе 6476 дев</w:t>
      </w:r>
      <w:r>
        <w:t>у</w:t>
      </w:r>
      <w:r>
        <w:t>шек, учились в 10-м – 12-м классах.</w:t>
      </w:r>
    </w:p>
    <w:p w:rsidR="00000000" w:rsidRDefault="00000000">
      <w:pPr>
        <w:pStyle w:val="SingleTxt"/>
      </w:pPr>
      <w:r>
        <w:t>111.</w:t>
      </w:r>
      <w:r>
        <w:tab/>
        <w:t>В 1999/2000 учебном году 9572 учащихся, в том числе 4152 девочки, были отчислены из дневных общеобразовательных школ (с 1-го по 12-й классы). Главными причинами отчисления учащихся из учебных заведений професси</w:t>
      </w:r>
      <w:r>
        <w:t>о</w:t>
      </w:r>
      <w:r>
        <w:t>нальной подготовки были: перевод учащихся в другие школы (834 случая), б</w:t>
      </w:r>
      <w:r>
        <w:t>о</w:t>
      </w:r>
      <w:r>
        <w:t>лезнь (199 случаев), слабая успеваемость (1996 случаев), непосещение учебн</w:t>
      </w:r>
      <w:r>
        <w:t>о</w:t>
      </w:r>
      <w:r>
        <w:t>го заведения (1292 случая), изменение места проживания (109 случаев), семе</w:t>
      </w:r>
      <w:r>
        <w:t>й</w:t>
      </w:r>
      <w:r>
        <w:t>ные причины (968 случаев) и другие причины (1287 случаев).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участвовать в занятиях спортом</w:t>
      </w:r>
    </w:p>
    <w:p w:rsidR="00000000" w:rsidRDefault="00000000">
      <w:pPr>
        <w:pStyle w:val="SingleTxt"/>
        <w:spacing w:after="0" w:line="120" w:lineRule="exact"/>
        <w:rPr>
          <w:sz w:val="10"/>
        </w:rPr>
      </w:pPr>
    </w:p>
    <w:p w:rsidR="00000000" w:rsidRDefault="00000000">
      <w:pPr>
        <w:pStyle w:val="SingleTxt"/>
      </w:pPr>
      <w:r>
        <w:t>112.</w:t>
      </w:r>
      <w:r>
        <w:tab/>
        <w:t>В соответствии с учебной программой, выполняемой учебными завед</w:t>
      </w:r>
      <w:r>
        <w:t>е</w:t>
      </w:r>
      <w:r>
        <w:t>ниями Латвии, каждый имеет доступ к активному участию в занятиях спортом и физической культурой. Согласно Постановлению кабинета министров зан</w:t>
      </w:r>
      <w:r>
        <w:t>я</w:t>
      </w:r>
      <w:r>
        <w:t>тия спортом включены в качестве обязательных в национальные нормы н</w:t>
      </w:r>
      <w:r>
        <w:t>а</w:t>
      </w:r>
      <w:r>
        <w:t>чального образования, общего среднего образования и профессионально-технической подготовки на всех уровнях.</w:t>
      </w:r>
    </w:p>
    <w:p w:rsidR="00000000" w:rsidRDefault="00000000">
      <w:pPr>
        <w:pStyle w:val="SingleTxt"/>
      </w:pPr>
      <w:r>
        <w:t>113.</w:t>
      </w:r>
      <w:r>
        <w:tab/>
        <w:t>Мальчики и девочки пользуются равным доступом к участию в занятиях спортом и физической культурой. Проект закона «О занятиях спортом», утве</w:t>
      </w:r>
      <w:r>
        <w:t>р</w:t>
      </w:r>
      <w:r>
        <w:t>жденный кабинетом министров 5 июня 2001 года, не предписывает никаких о</w:t>
      </w:r>
      <w:r>
        <w:t>г</w:t>
      </w:r>
      <w:r>
        <w:t>раничений, которые могли бы иметь отношение к дискриминации по признаку пола.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получать информацию по вопросам, касающимся здоровья семьи</w:t>
      </w:r>
    </w:p>
    <w:p w:rsidR="00000000" w:rsidRDefault="00000000">
      <w:pPr>
        <w:pStyle w:val="SingleTxt"/>
        <w:spacing w:after="0" w:line="120" w:lineRule="exact"/>
        <w:rPr>
          <w:sz w:val="10"/>
        </w:rPr>
      </w:pPr>
    </w:p>
    <w:p w:rsidR="00000000" w:rsidRDefault="00000000">
      <w:pPr>
        <w:pStyle w:val="SingleTxt"/>
      </w:pPr>
      <w:r>
        <w:t>114.</w:t>
      </w:r>
      <w:r>
        <w:tab/>
        <w:t>Вопросы, касающиеся здоровья семьи, рассматриваются в рамках предм</w:t>
      </w:r>
      <w:r>
        <w:t>е</w:t>
      </w:r>
      <w:r>
        <w:t>та «Здоровье», а также в рамках общеобразовательных предметов в соответс</w:t>
      </w:r>
      <w:r>
        <w:t>т</w:t>
      </w:r>
      <w:r>
        <w:t>вии со стандартами образования на различных уровнях.</w:t>
      </w:r>
    </w:p>
    <w:p w:rsidR="00000000" w:rsidRDefault="00000000">
      <w:pPr>
        <w:pStyle w:val="SingleTxt"/>
      </w:pPr>
      <w:r>
        <w:t>115.</w:t>
      </w:r>
      <w:r>
        <w:tab/>
        <w:t>Центр содействия здоровью, Национальный центр содействия здоровью семьи и Латвийская ассоциация по вопросам планирования семьи и сексуал</w:t>
      </w:r>
      <w:r>
        <w:t>ь</w:t>
      </w:r>
      <w:r>
        <w:t>ного здоровья предоставляют доступ к информации о здоровье семьи, обесп</w:t>
      </w:r>
      <w:r>
        <w:t>е</w:t>
      </w:r>
      <w:r>
        <w:t>чивая тем самым благосостояние семей и планирование размеров семьи. Был принят Закон «О сексуальном и репродуктивном здоровье населения», который вст</w:t>
      </w:r>
      <w:r>
        <w:t>у</w:t>
      </w:r>
      <w:r>
        <w:t>пает в силу 1 июля 2002 года.</w:t>
      </w:r>
    </w:p>
    <w:p w:rsidR="00000000" w:rsidRDefault="00000000">
      <w:pPr>
        <w:pStyle w:val="SingleTxt"/>
      </w:pPr>
      <w:r>
        <w:t>116.</w:t>
      </w:r>
      <w:r>
        <w:tab/>
        <w:t>Рижский городской родильный дом организует мероприятия, направле</w:t>
      </w:r>
      <w:r>
        <w:t>н</w:t>
      </w:r>
      <w:r>
        <w:t>ные на укрепление семьи и стимулирование рождаемости. Проводятся практ</w:t>
      </w:r>
      <w:r>
        <w:t>и</w:t>
      </w:r>
      <w:r>
        <w:t>ческие занятия и лекции по вопросам родов, развития и питания новорожде</w:t>
      </w:r>
      <w:r>
        <w:t>н</w:t>
      </w:r>
      <w:r>
        <w:t>ных, а также по вопросам отношений в семье, ожидающей ребенка. При р</w:t>
      </w:r>
      <w:r>
        <w:t>о</w:t>
      </w:r>
      <w:r>
        <w:t>дильном доме была открыта «Школа материнства», и все больше и больше л</w:t>
      </w:r>
      <w:r>
        <w:t>ю</w:t>
      </w:r>
      <w:r>
        <w:t>дей посещают проводимые этой школой мероприятия. Занятия ведут диплом</w:t>
      </w:r>
      <w:r>
        <w:t>и</w:t>
      </w:r>
      <w:r>
        <w:t>рованная акушерка, специалист по вопросам новорожденных и консультант по семейным отношениям.</w:t>
      </w:r>
    </w:p>
    <w:p w:rsidR="00000000" w:rsidRDefault="00000000">
      <w:pPr>
        <w:pStyle w:val="SingleTxt"/>
      </w:pPr>
      <w:r>
        <w:t>117.</w:t>
      </w:r>
      <w:r>
        <w:tab/>
        <w:t>В сотрудничестве с Центром содействия здоровью Рижский городской р</w:t>
      </w:r>
      <w:r>
        <w:t>о</w:t>
      </w:r>
      <w:r>
        <w:t>дильный дом подготовил для образования семей два фильма («Рождественское чудо» и «Будет так, как вы хотите»). В течение беременности женщинам пре</w:t>
      </w:r>
      <w:r>
        <w:t>д</w:t>
      </w:r>
      <w:r>
        <w:t>лагается вести «Мамин дневник»; молодые матери, а также медицинский пе</w:t>
      </w:r>
      <w:r>
        <w:t>р</w:t>
      </w:r>
      <w:r>
        <w:t>сонал, ухаживающий за беременными женщинами, удовлетворены тем, как з</w:t>
      </w:r>
      <w:r>
        <w:t>а</w:t>
      </w:r>
      <w:r>
        <w:t>полняется этот дневник. Кроме того было открыто отделение женского здор</w:t>
      </w:r>
      <w:r>
        <w:t>о</w:t>
      </w:r>
      <w:r>
        <w:t>вья, которое главным образом предназначено для образования беременных женщин и членов их семей.</w:t>
      </w:r>
    </w:p>
    <w:p w:rsidR="00000000" w:rsidRDefault="00000000">
      <w:pPr>
        <w:pStyle w:val="SingleTxt"/>
      </w:pPr>
      <w:r>
        <w:t>118.</w:t>
      </w:r>
      <w:r>
        <w:tab/>
        <w:t>В сотрудничестве с Институтом прав женщин организуются лекции и практические занятия по регулированию размеров семьи. Также развивается сотрудничество с неправительственными организациями (например, с орган</w:t>
      </w:r>
      <w:r>
        <w:t>и</w:t>
      </w:r>
      <w:r>
        <w:t>зацией «Белый дом» в городе Ливаны), которые организуют лекции по вопр</w:t>
      </w:r>
      <w:r>
        <w:t>о</w:t>
      </w:r>
      <w:r>
        <w:t>сам регулирования размеров семьи. Фонд Организации Объединенных Наций по деятельности в области народонаселения в сотрудничестве с Латвийской а</w:t>
      </w:r>
      <w:r>
        <w:t>с</w:t>
      </w:r>
      <w:r>
        <w:t>социацией по вопросам планирования семьи и женского здоровья «Папардес зиедс» осуществил проект под названием «Профессиональная подготовка по вопросам координации мер содействия гендерному равенству в области репр</w:t>
      </w:r>
      <w:r>
        <w:t>о</w:t>
      </w:r>
      <w:r>
        <w:t>дуктивного здоровья». При министерстве благосостояния была создана спец</w:t>
      </w:r>
      <w:r>
        <w:t>и</w:t>
      </w:r>
      <w:r>
        <w:t>альная Ассоциация по вопросам поощрения грудного вскармливания, которая успешно действует в этой обла</w:t>
      </w:r>
      <w:r>
        <w:t>с</w:t>
      </w:r>
      <w:r>
        <w:t>ти.</w:t>
      </w:r>
    </w:p>
    <w:p w:rsidR="00000000" w:rsidRDefault="00000000">
      <w:pPr>
        <w:pStyle w:val="SingleTxt"/>
      </w:pPr>
      <w:r>
        <w:t>119.</w:t>
      </w:r>
      <w:r>
        <w:tab/>
        <w:t>При Национальном центре здоровья семьи была создана специальная группа врачей (гинеколог, андролог, специалист по генетике, психотерапевт, сексолог, врач-лаборант, врач-диагностик, иммунолог) для лечения и реабил</w:t>
      </w:r>
      <w:r>
        <w:t>и</w:t>
      </w:r>
      <w:r>
        <w:t>тации семей, страдающих от бесплодия. Были разработаны алгоритмы осмотра и реабилитации бездетных семей. Было также разработано программное обе</w:t>
      </w:r>
      <w:r>
        <w:t>с</w:t>
      </w:r>
      <w:r>
        <w:t>печение для анализа причин мужского и женского бесплодия. В сотрудничестве с Центром венерических и кожных болезней был разработан курс лекций для семейных врачей по вопросам предотвращения венерических заболеваний.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Toc48490446"/>
      <w:bookmarkStart w:id="18" w:name="_Toc48490580"/>
      <w:r>
        <w:tab/>
      </w:r>
      <w:r>
        <w:tab/>
        <w:t>Статья 11</w:t>
      </w:r>
      <w:bookmarkEnd w:id="17"/>
      <w:bookmarkEnd w:id="1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120.</w:t>
      </w:r>
      <w:r>
        <w:tab/>
        <w:t>«Сатверсме» (Конституция) Латвии гарантирует каждому индивидууму право на свободный выбор профессии и трудоустройства в соответствии с его способностями и квалификацией. «Сатверсме» (Конституция) также включает п</w:t>
      </w:r>
      <w:r>
        <w:t>о</w:t>
      </w:r>
      <w:r>
        <w:t>ложение, запрещающее принудительный труд.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труд; запрещение дискриминации в рамках трудовых отношений</w:t>
      </w:r>
    </w:p>
    <w:p w:rsidR="00000000" w:rsidRDefault="00000000">
      <w:pPr>
        <w:pStyle w:val="SingleTxt"/>
        <w:spacing w:after="0" w:line="120" w:lineRule="exact"/>
        <w:rPr>
          <w:sz w:val="10"/>
        </w:rPr>
      </w:pPr>
    </w:p>
    <w:p w:rsidR="00000000" w:rsidRDefault="00000000">
      <w:pPr>
        <w:pStyle w:val="SingleTxt"/>
      </w:pPr>
      <w:r>
        <w:t>121.</w:t>
      </w:r>
      <w:r>
        <w:tab/>
        <w:t>В Латвии право на труд как неотъемлемое право гарантируется женщинам так же, как и мужчинам. Статья 1 Латвийского трудового кодекса предусматр</w:t>
      </w:r>
      <w:r>
        <w:t>и</w:t>
      </w:r>
      <w:r>
        <w:t>вает, что «в Латвийской Республике физическим лицам обеспечено равенство в трудовых отношениях независимо от их расы, цвета кожи, пола, возраста, р</w:t>
      </w:r>
      <w:r>
        <w:t>е</w:t>
      </w:r>
      <w:r>
        <w:t>лигиозной, политической или другой принадлежности, национального или с</w:t>
      </w:r>
      <w:r>
        <w:t>о</w:t>
      </w:r>
      <w:r>
        <w:t>циального происхождения и имущественного положения».</w:t>
      </w:r>
    </w:p>
    <w:p w:rsidR="00000000" w:rsidRDefault="00000000">
      <w:pPr>
        <w:pStyle w:val="SingleTxt"/>
      </w:pPr>
      <w:r>
        <w:t>122.</w:t>
      </w:r>
      <w:r>
        <w:tab/>
        <w:t>В свою очередь, Закон о труде</w:t>
      </w:r>
      <w:r>
        <w:rPr>
          <w:rStyle w:val="FootnoteReference"/>
        </w:rPr>
        <w:footnoteReference w:id="4"/>
      </w:r>
      <w:r>
        <w:t xml:space="preserve"> предусматривает, что каждый индивидуум пользуется равными правами на труд, на нормальные и безопасные условия труда, которые не являются вредными для здоровья, а также на справедливое вознаграждение за труд. В соответствии с Законом о труде эти права должны обеспечиваться без какой-либо прямой или косвенной дискриминации, незав</w:t>
      </w:r>
      <w:r>
        <w:t>и</w:t>
      </w:r>
      <w:r>
        <w:t>симо от расы, цвета кожи, пола, возраста, религиозной, политической или др</w:t>
      </w:r>
      <w:r>
        <w:t>у</w:t>
      </w:r>
      <w:r>
        <w:t>гой принадлежности, национального или социального происхождения, имущ</w:t>
      </w:r>
      <w:r>
        <w:t>е</w:t>
      </w:r>
      <w:r>
        <w:t>ственного положения или семейного статуса или прочих условий. Для обесп</w:t>
      </w:r>
      <w:r>
        <w:t>е</w:t>
      </w:r>
      <w:r>
        <w:t>чения этих прав также запрещается применять к работающему лицу меры н</w:t>
      </w:r>
      <w:r>
        <w:t>а</w:t>
      </w:r>
      <w:r>
        <w:t>казания или какие-либо иные меры, которые прямо или косвенно ведут к н</w:t>
      </w:r>
      <w:r>
        <w:t>е</w:t>
      </w:r>
      <w:r>
        <w:t>благоприятным для данного лица последствиям, только потому, что данный р</w:t>
      </w:r>
      <w:r>
        <w:t>а</w:t>
      </w:r>
      <w:r>
        <w:t>ботник/работница пользуется своими правами разрешенным образом в рамках трудовых отношений.</w:t>
      </w:r>
    </w:p>
    <w:p w:rsidR="00000000" w:rsidRDefault="00000000">
      <w:pPr>
        <w:pStyle w:val="SingleTxt"/>
      </w:pPr>
      <w:r>
        <w:t>123.</w:t>
      </w:r>
      <w:r>
        <w:tab/>
        <w:t>Чаще всего нарушения принципа равенства и недискриминации становя</w:t>
      </w:r>
      <w:r>
        <w:t>т</w:t>
      </w:r>
      <w:r>
        <w:t>ся возможными на этапе установления трудовых отношений. С целью предо</w:t>
      </w:r>
      <w:r>
        <w:t>т</w:t>
      </w:r>
      <w:r>
        <w:t>вращения такого положения Трудовой кодекс запрещал применение каких-либо прямых или косвенных ограничений прав, а также запрещал создавать прямые или косвенные привилегии в зависимости от расы, цвета кожи, пола, возраста, религиозной, политической или другой принадлежности, национального или социального происхождения и имущественного положения за исключением тех ограничений и привилегий, которые предписаны законами и другими норм</w:t>
      </w:r>
      <w:r>
        <w:t>а</w:t>
      </w:r>
      <w:r>
        <w:t>тивными актами.</w:t>
      </w:r>
    </w:p>
    <w:p w:rsidR="00000000" w:rsidRDefault="00000000">
      <w:pPr>
        <w:pStyle w:val="SingleTxt"/>
      </w:pPr>
      <w:r>
        <w:t>124.</w:t>
      </w:r>
      <w:r>
        <w:tab/>
        <w:t>Закон о труде также запрещает неравное обращение: неравное обращение по признаку пола запрещается при установлении трудовых отношений и в ходе трудовых отношений, особенно в том, что касается продвижения по службе, определения условий работы, вознаграждения за работу или получения пр</w:t>
      </w:r>
      <w:r>
        <w:t>о</w:t>
      </w:r>
      <w:r>
        <w:t>фессиональной подготовки, а также в случае прекращения действия трудового контракта. Этот Закон также определяет косвенную дискриминацию как ситу</w:t>
      </w:r>
      <w:r>
        <w:t>а</w:t>
      </w:r>
      <w:r>
        <w:t>цию, при которой нейтральные условия, критерии или практика приводят к н</w:t>
      </w:r>
      <w:r>
        <w:t>е</w:t>
      </w:r>
      <w:r>
        <w:t>благоприятным последствиям для значительно большой группы лиц одного п</w:t>
      </w:r>
      <w:r>
        <w:t>о</w:t>
      </w:r>
      <w:r>
        <w:t>ла за исключением того случая, когда подобные условия, критерии или практ</w:t>
      </w:r>
      <w:r>
        <w:t>и</w:t>
      </w:r>
      <w:r>
        <w:t>ка являются приемлемыми и необходимыми и могут быть оправданы объекти</w:t>
      </w:r>
      <w:r>
        <w:t>в</w:t>
      </w:r>
      <w:r>
        <w:t>ными условиями, которые не имеют отношения к полу. Согласно нормативным положениям этого Закона, различия в обращении, имеющие отношение к полу сотрудника, разрешаются только в том случае, если принадлежность к ко</w:t>
      </w:r>
      <w:r>
        <w:t>н</w:t>
      </w:r>
      <w:r>
        <w:t>кретному полу является целью и оправданным необходимым условием для в</w:t>
      </w:r>
      <w:r>
        <w:t>ы</w:t>
      </w:r>
      <w:r>
        <w:t>полнения соответствующего трудового задания или для соответствующей пр</w:t>
      </w:r>
      <w:r>
        <w:t>о</w:t>
      </w:r>
      <w:r>
        <w:t>фессии. Кроме того этот Закон также предусматривает, что, если в случае тр</w:t>
      </w:r>
      <w:r>
        <w:t>у</w:t>
      </w:r>
      <w:r>
        <w:t>дового спора работник ссылается на обстоятельства, которые могут быть пр</w:t>
      </w:r>
      <w:r>
        <w:t>и</w:t>
      </w:r>
      <w:r>
        <w:t>чиной прямой или косвенной дискриминации данного лица по признаку пола, в обязанность работодателя входит доказать, что различия в обращении основ</w:t>
      </w:r>
      <w:r>
        <w:t>а</w:t>
      </w:r>
      <w:r>
        <w:t>ны на объективных обстоятельствах, которые не имеют отношения к полу р</w:t>
      </w:r>
      <w:r>
        <w:t>а</w:t>
      </w:r>
      <w:r>
        <w:t>ботника, и что принадлежность к конкретному полу является целью и опра</w:t>
      </w:r>
      <w:r>
        <w:t>в</w:t>
      </w:r>
      <w:r>
        <w:t>данным необходимым условием для выполнения соответствующего трудового задания или для соответствующей профессии.</w:t>
      </w:r>
    </w:p>
    <w:p w:rsidR="00000000" w:rsidRDefault="00000000">
      <w:pPr>
        <w:pStyle w:val="SingleTxt"/>
      </w:pPr>
      <w:r>
        <w:t>125.</w:t>
      </w:r>
      <w:r>
        <w:tab/>
        <w:t>Трудовой кодекс не определял критерии отбора работников при найме. В свою очередь, Закон о труде включает запрет на дискриминацию по признаку пола при отборе работников. Он предусматривает, что объявленные предлож</w:t>
      </w:r>
      <w:r>
        <w:t>е</w:t>
      </w:r>
      <w:r>
        <w:t>ния труда не должны распространяться только на мужчин или только на же</w:t>
      </w:r>
      <w:r>
        <w:t>н</w:t>
      </w:r>
      <w:r>
        <w:t>щин, за исключением тех случаев, когда принадлежность к какому-либо ко</w:t>
      </w:r>
      <w:r>
        <w:t>н</w:t>
      </w:r>
      <w:r>
        <w:t>кретному полу является целью и оправданным необходимым условием для в</w:t>
      </w:r>
      <w:r>
        <w:t>ы</w:t>
      </w:r>
      <w:r>
        <w:t>полнения соответствующего трудового задания или для соответствующей пр</w:t>
      </w:r>
      <w:r>
        <w:t>о</w:t>
      </w:r>
      <w:r>
        <w:t>фессии. Вместе с тем, объявления, конкретно отдающие предпочтение канд</w:t>
      </w:r>
      <w:r>
        <w:t>и</w:t>
      </w:r>
      <w:r>
        <w:t>дату определенного пола, по-прежнему встречаются в средствах массовой и</w:t>
      </w:r>
      <w:r>
        <w:t>н</w:t>
      </w:r>
      <w:r>
        <w:t>формации. В своих замечаниях Латвийская ассоциация по вопросам гендерного равенства отмечает, что, несмотря на запрет на дискриминацию по признаку пола, установленный в существующих законодательных актах, обзоры и иссл</w:t>
      </w:r>
      <w:r>
        <w:t>е</w:t>
      </w:r>
      <w:r>
        <w:t>дования показывают, что некоторые работодатели избегают нанимать женщин, имеющих маленьких или несколько детей, особенно после продолжительного отпу</w:t>
      </w:r>
      <w:r>
        <w:t>с</w:t>
      </w:r>
      <w:r>
        <w:t>ка по уходу за ребенком.</w:t>
      </w:r>
    </w:p>
    <w:p w:rsidR="00000000" w:rsidRDefault="00000000">
      <w:pPr>
        <w:pStyle w:val="SingleTxt"/>
      </w:pPr>
      <w:r>
        <w:t>126.</w:t>
      </w:r>
      <w:r>
        <w:tab/>
        <w:t>Если после установления трудовых отношений работодатель нарушает з</w:t>
      </w:r>
      <w:r>
        <w:t>а</w:t>
      </w:r>
      <w:r>
        <w:t>прет на неравное обращение, заявители имеют право требовать, согласно Зак</w:t>
      </w:r>
      <w:r>
        <w:t>о</w:t>
      </w:r>
      <w:r>
        <w:t>ну о труде, выплаты соответствующей компенсации. В случае трудового спора размер компенсации определяется судом по его усмотрению. Если трудовые отношения не были установлены по причине нарушения запрета на неравное обращение, заявители не имеют права требовать принудительного установл</w:t>
      </w:r>
      <w:r>
        <w:t>е</w:t>
      </w:r>
      <w:r>
        <w:t>ния таких отношений. Латвийская ассоциация по вопросам гендерного раве</w:t>
      </w:r>
      <w:r>
        <w:t>н</w:t>
      </w:r>
      <w:r>
        <w:t>ства отмечает, что в Латвии, как и в других странах, трудно доказать факт ди</w:t>
      </w:r>
      <w:r>
        <w:t>с</w:t>
      </w:r>
      <w:r>
        <w:t>криминации по признаку пола, поскольку такая дискриминация может быть скрытой и осуществляться по признаку как пола, так и возраста лица. Асс</w:t>
      </w:r>
      <w:r>
        <w:t>о</w:t>
      </w:r>
      <w:r>
        <w:t>циация указывает далее, что в таких случаях можно представить индивидуал</w:t>
      </w:r>
      <w:r>
        <w:t>ь</w:t>
      </w:r>
      <w:r>
        <w:t>ное заявление в Национальное управление по правам человека или Государс</w:t>
      </w:r>
      <w:r>
        <w:t>т</w:t>
      </w:r>
      <w:r>
        <w:t>венную трудовую инспекцию. Ассоциация считает, что главными причинами такой дискриминации являются отсутствие информации и отсутствие эффе</w:t>
      </w:r>
      <w:r>
        <w:t>к</w:t>
      </w:r>
      <w:r>
        <w:t>тивного и быстро действующего механизма решения этой проблемы.</w:t>
      </w:r>
    </w:p>
    <w:p w:rsidR="00000000" w:rsidRDefault="00000000">
      <w:pPr>
        <w:pStyle w:val="SingleTxt"/>
      </w:pPr>
      <w:r>
        <w:t>127.</w:t>
      </w:r>
      <w:r>
        <w:tab/>
        <w:t>В случае любого нарушения прав женщин в области занятости лицо имеет право искать защиты в суде в соответствии с гражданской процедурой. Согла</w:t>
      </w:r>
      <w:r>
        <w:t>с</w:t>
      </w:r>
      <w:r>
        <w:t>но Гражданско-процессуальному кодексу любое физическое или юридическое лицо, которое достигло совершеннолетия и имеет полную правоспособность, может представить жалобу в суд для защиты нарушенных гражданских прав. Существуют два постановления национальных судов, касающиеся нарушения принципа гендерного равенства. В одном случае суд со ссылкой на Конвенцию, Конституцию и Трудовой кодекс вынес заключение о том, что отказ женщине в найме на работу в качестве тюремного охранника на основе того факта, что она является женщиной и что работа охранником будет для нее физически трудной, является нарушением права заявителя на свободный выбор своей профессии и места работы. В другом случае суд пришел к заключению, что начисление женщине меньшей заработной платы за ту же работу по сравнению с зарабо</w:t>
      </w:r>
      <w:r>
        <w:t>т</w:t>
      </w:r>
      <w:r>
        <w:t>ной платой мужчин противоречило запрету на дискриминацию и праву на ра</w:t>
      </w:r>
      <w:r>
        <w:t>в</w:t>
      </w:r>
      <w:r>
        <w:t>ное вознаграждение за равный труд. Эти судебные решения показывают, что гендерное равенство в области трудовых отношений обеспечивается не только законодательными актами, но и конкретной практикой, что тем самым гарант</w:t>
      </w:r>
      <w:r>
        <w:t>и</w:t>
      </w:r>
      <w:r>
        <w:t>рует воплощение в жизнь вышеуказанного принципа.</w:t>
      </w:r>
    </w:p>
    <w:p w:rsidR="00000000" w:rsidRDefault="00000000">
      <w:pPr>
        <w:pStyle w:val="SingleTxt"/>
      </w:pPr>
      <w:r>
        <w:t>128.</w:t>
      </w:r>
      <w:r>
        <w:tab/>
        <w:t>Согласно информации, представленной Национальным управлением по правам человека, Управление получило лишь несколько жалоб, касающихся четких случаев дискриминации по признаку пола (в 2000 году – 4 жалобы, в 2001 году – две жалобы), однако этот аспект часто является частью других ж</w:t>
      </w:r>
      <w:r>
        <w:t>а</w:t>
      </w:r>
      <w:r>
        <w:t>лоб, например, жалоб, касающихся права на нормальные условия труда, на с</w:t>
      </w:r>
      <w:r>
        <w:t>о</w:t>
      </w:r>
      <w:r>
        <w:t xml:space="preserve">циальное обеспечение или права ребенка.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свободный выбор профессии и трудоустройство</w:t>
      </w:r>
    </w:p>
    <w:p w:rsidR="00000000" w:rsidRDefault="00000000">
      <w:pPr>
        <w:pStyle w:val="SingleTxt"/>
        <w:spacing w:after="0" w:line="120" w:lineRule="exact"/>
        <w:rPr>
          <w:sz w:val="10"/>
        </w:rPr>
      </w:pPr>
    </w:p>
    <w:p w:rsidR="00000000" w:rsidRDefault="00000000">
      <w:pPr>
        <w:pStyle w:val="SingleTxt"/>
      </w:pPr>
      <w:r>
        <w:t>129.</w:t>
      </w:r>
      <w:r>
        <w:tab/>
        <w:t>В Латвии нет никаких ограничений по признаку пола в отношении св</w:t>
      </w:r>
      <w:r>
        <w:t>о</w:t>
      </w:r>
      <w:r>
        <w:t>бодного выбора профессии и трудоустройства. Как уже было упомянуто выше, свобода выбора профессии обеспечивается отсутствием ограничений по пр</w:t>
      </w:r>
      <w:r>
        <w:t>и</w:t>
      </w:r>
      <w:r>
        <w:t>знаку пола при получении профессиональной подготовки. Вышеупомянутый запрет на неравное отношение в ходе отбора работников при найме может быть также пр</w:t>
      </w:r>
      <w:r>
        <w:t>и</w:t>
      </w:r>
      <w:r>
        <w:t>менен и к свободе выбора работы.</w:t>
      </w:r>
    </w:p>
    <w:p w:rsidR="00000000" w:rsidRDefault="00000000">
      <w:pPr>
        <w:pStyle w:val="SingleTxt"/>
      </w:pPr>
      <w:r>
        <w:t>130.</w:t>
      </w:r>
      <w:r>
        <w:tab/>
        <w:t>Латвийское законодательство не предписывает никаких различий в отн</w:t>
      </w:r>
      <w:r>
        <w:t>о</w:t>
      </w:r>
      <w:r>
        <w:t>шении продвижения по службе мужчин и женщин. Не будучи ограниченным по признаку пола, продвижение по службе в частном секторе регулируется на о</w:t>
      </w:r>
      <w:r>
        <w:t>с</w:t>
      </w:r>
      <w:r>
        <w:t>нове принципа, запрещающего неравное обращение. В свою очередь, Закон «О гражданской службе» устанавливает процедуру проверки кандидатов на соо</w:t>
      </w:r>
      <w:r>
        <w:t>т</w:t>
      </w:r>
      <w:r>
        <w:t>ветствие должности гражданского служащего, а также определяет квалифик</w:t>
      </w:r>
      <w:r>
        <w:t>а</w:t>
      </w:r>
      <w:r>
        <w:t>ционные требования, которые не включают дискриминацию по признаку пола. Права гражданского служащего включают право на подачу заявления с прос</w:t>
      </w:r>
      <w:r>
        <w:t>ь</w:t>
      </w:r>
      <w:r>
        <w:t>бой быть нанятым на вакантную должность гражданского служащего самой высокой квалификации, а также право на участие в программах, направленных на приобретение знаний и навыков, необходимых для выполнения официал</w:t>
      </w:r>
      <w:r>
        <w:t>ь</w:t>
      </w:r>
      <w:r>
        <w:t>ных обязанностей.</w:t>
      </w:r>
    </w:p>
    <w:p w:rsidR="00000000" w:rsidRDefault="00000000">
      <w:pPr>
        <w:pStyle w:val="SingleTxt"/>
      </w:pPr>
      <w:r>
        <w:t>131.</w:t>
      </w:r>
      <w:r>
        <w:tab/>
        <w:t>Согласно информации, представленной Национальным управлением гр</w:t>
      </w:r>
      <w:r>
        <w:t>а</w:t>
      </w:r>
      <w:r>
        <w:t>жданской службы, по состоянию на 31 декабря 2000 года соотношение мужчин и женщин, занятых на государственной гражданской службе, составляло, соо</w:t>
      </w:r>
      <w:r>
        <w:t>т</w:t>
      </w:r>
      <w:r>
        <w:t>ветственно, 40 и 60 процентов, и эта разница является самой большой разницей в соотношении мужчин и женщин после введения в стране гражданской слу</w:t>
      </w:r>
      <w:r>
        <w:t>ж</w:t>
      </w:r>
      <w:r>
        <w:t>бы.</w:t>
      </w:r>
    </w:p>
    <w:p w:rsidR="00000000" w:rsidRDefault="00000000">
      <w:pPr>
        <w:pStyle w:val="SingleTxt"/>
      </w:pPr>
      <w:r>
        <w:t>132.</w:t>
      </w:r>
      <w:r>
        <w:tab/>
        <w:t>Анализ соотношения женщин и мужчин с точки зрения занимаемых должностей приводит к выводу о том, что преобладание мужчин на руковод</w:t>
      </w:r>
      <w:r>
        <w:t>я</w:t>
      </w:r>
      <w:r>
        <w:t>щих должностях по-прежнему сохраняется, хотя доля женщин на должностях такого уровня имеет тенденцию к росту. Например, по сравнению с положен</w:t>
      </w:r>
      <w:r>
        <w:t>и</w:t>
      </w:r>
      <w:r>
        <w:t>ем на 31 декабря 1999 года доля женщин, занимающих должность Государс</w:t>
      </w:r>
      <w:r>
        <w:t>т</w:t>
      </w:r>
      <w:r>
        <w:t>венного секретаря, увеличилась: 16% (2) в 1999 году и 27% (3) в 2000 году. Д</w:t>
      </w:r>
      <w:r>
        <w:t>о</w:t>
      </w:r>
      <w:r>
        <w:t>ля женщин, занимающих должность заместителя Государственного секретаря, практически не претерпела изменений: в 2000 году – 36% (10), в 1999 году – 37%. Доля женщин, занимающих должности руководителей государственных учреждений (включая должности руководителей территориальных отделений), увеличилась. В конце 2000 года доля женщин – руководителей учреждений с</w:t>
      </w:r>
      <w:r>
        <w:t>о</w:t>
      </w:r>
      <w:r>
        <w:t>ставляла 53% (109), что на 6% больше, чем по состоянию на конец 1999 года. По сравнению с положением на конец 1997 года доля женщин на должностях руководителей учреждений увеличилась в 2,5 раза. Существенной причиной, которую следует упомянуть в связи с рассмотрением вопроса о долевом соо</w:t>
      </w:r>
      <w:r>
        <w:t>т</w:t>
      </w:r>
      <w:r>
        <w:t>ношении мужчин и женщин и тенденциях развития в этой области, является тот факт, что государственная гражданская служба привлекает женщин ст</w:t>
      </w:r>
      <w:r>
        <w:t>а</w:t>
      </w:r>
      <w:r>
        <w:t>бильностью работы, регулярным доходом и дополнительными социальными гарантиями, в то время как сокращение числа мужчин может быть объяснено более низким размером вознаграждения на гражданской службе по сравнению с частным се</w:t>
      </w:r>
      <w:r>
        <w:t>к</w:t>
      </w:r>
      <w:r>
        <w:t>тором.</w:t>
      </w:r>
    </w:p>
    <w:p w:rsidR="00000000" w:rsidRDefault="00000000">
      <w:pPr>
        <w:pStyle w:val="SingleTxt"/>
      </w:pPr>
      <w:r>
        <w:t>133.</w:t>
      </w:r>
      <w:r>
        <w:tab/>
        <w:t>Профсоюзы играют активную роль в содействии обеспечению гендерного равенства в трудовых отношениях, особенно Латвийская ассоциация свобо</w:t>
      </w:r>
      <w:r>
        <w:t>д</w:t>
      </w:r>
      <w:r>
        <w:t>ных профсоюзов, Женский совет которой явился одним из основателей Латви</w:t>
      </w:r>
      <w:r>
        <w:t>й</w:t>
      </w:r>
      <w:r>
        <w:t>ской ассоциации по вопросам гендерного равенства. Представитель Женского совета входит в число членов Латвийской ассоциации по вопросам гендерного равенства. Латвийская ассоциация свободных профсоюзов разработала ко</w:t>
      </w:r>
      <w:r>
        <w:t>н</w:t>
      </w:r>
      <w:r>
        <w:t>кретную программу содействия обеспечению равенства для работающих же</w:t>
      </w:r>
      <w:r>
        <w:t>н</w:t>
      </w:r>
      <w:r>
        <w:t>щин и в 2000 и 2001 годах провела обзоры под названием «Работающие же</w:t>
      </w:r>
      <w:r>
        <w:t>н</w:t>
      </w:r>
      <w:r>
        <w:t>щины Латвии на рынке труда» и «Дискриминация по признаку пола на рабочем месте».</w:t>
      </w:r>
    </w:p>
    <w:p w:rsidR="00000000" w:rsidRDefault="00000000">
      <w:pPr>
        <w:pStyle w:val="SingleTxt"/>
      </w:pPr>
      <w:r>
        <w:t>134.</w:t>
      </w:r>
      <w:r>
        <w:tab/>
        <w:t>Аналогичным образом Трудовой кодекс предусматривает право труд</w:t>
      </w:r>
      <w:r>
        <w:t>я</w:t>
      </w:r>
      <w:r>
        <w:t>щихся заключать без какой-либо дискриминации по признаку пола коллекти</w:t>
      </w:r>
      <w:r>
        <w:t>в</w:t>
      </w:r>
      <w:r>
        <w:t>ные соглашения о трудоустройстве, размере вознаграждения и социальных г</w:t>
      </w:r>
      <w:r>
        <w:t>а</w:t>
      </w:r>
      <w:r>
        <w:t>рантиях. Закон о труде более четко определяет содержание коллективного с</w:t>
      </w:r>
      <w:r>
        <w:t>о</w:t>
      </w:r>
      <w:r>
        <w:t>глашения, предусматривая, что оно регулирует содержание трудовых отнош</w:t>
      </w:r>
      <w:r>
        <w:t>е</w:t>
      </w:r>
      <w:r>
        <w:t>ний, в частности размер вознаграждения и организацию охраны труда, уст</w:t>
      </w:r>
      <w:r>
        <w:t>а</w:t>
      </w:r>
      <w:r>
        <w:t>новление и прекращение трудовых отношений, повышение квалификации р</w:t>
      </w:r>
      <w:r>
        <w:t>а</w:t>
      </w:r>
      <w:r>
        <w:t>ботников, а также вопросы, связанные с трудовой дисциплиной, социальной защитой работников, и другие вопросы, касающиеся трудовых отношений, и предписыв</w:t>
      </w:r>
      <w:r>
        <w:t>а</w:t>
      </w:r>
      <w:r>
        <w:t>ет взаимные права и обязанности.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безопасные условия труда</w:t>
      </w:r>
    </w:p>
    <w:p w:rsidR="00000000" w:rsidRDefault="00000000">
      <w:pPr>
        <w:pStyle w:val="SingleTxt"/>
        <w:spacing w:after="0" w:line="120" w:lineRule="exact"/>
        <w:rPr>
          <w:sz w:val="10"/>
        </w:rPr>
      </w:pPr>
    </w:p>
    <w:p w:rsidR="00000000" w:rsidRDefault="00000000">
      <w:pPr>
        <w:pStyle w:val="SingleTxt"/>
      </w:pPr>
      <w:r>
        <w:t>135.</w:t>
      </w:r>
      <w:r>
        <w:tab/>
        <w:t>Закон «Об охране труда»</w:t>
      </w:r>
      <w:r>
        <w:rPr>
          <w:rStyle w:val="FootnoteReference"/>
        </w:rPr>
        <w:footnoteReference w:id="5"/>
      </w:r>
      <w:r>
        <w:t>, принятый 4 мая 1993 года, предписывал, что положения данного Закона применяются без ограничений по признаку пола, если производственные задания выполняются работниками, имеющими труд</w:t>
      </w:r>
      <w:r>
        <w:t>о</w:t>
      </w:r>
      <w:r>
        <w:t>вые отношения с работодателями, независимо от их статуса и формы акци</w:t>
      </w:r>
      <w:r>
        <w:t>о</w:t>
      </w:r>
      <w:r>
        <w:t>нерного участия; трудоспособными членами фермерских или рыбацких семей; лицами, занимающимися индивидуальной работой; учащимися средних спец</w:t>
      </w:r>
      <w:r>
        <w:t>и</w:t>
      </w:r>
      <w:r>
        <w:t>альных учебных заведений и студентами во время учебы и производственной практики; лицами, отбывающими приговоры в пенитенциарных учреждениях; лицами, которые трудятся по найму в период пребывания в попечительских з</w:t>
      </w:r>
      <w:r>
        <w:t>а</w:t>
      </w:r>
      <w:r>
        <w:t>ведениях; лицами, которые служат на обязательной государственной службе и зан</w:t>
      </w:r>
      <w:r>
        <w:t>я</w:t>
      </w:r>
      <w:r>
        <w:t>ты активным трудом.</w:t>
      </w:r>
    </w:p>
    <w:p w:rsidR="00000000" w:rsidRDefault="00000000">
      <w:pPr>
        <w:pStyle w:val="SingleTxt"/>
        <w:spacing w:after="0" w:line="120" w:lineRule="exact"/>
        <w:rPr>
          <w:sz w:val="10"/>
        </w:rPr>
      </w:pPr>
    </w:p>
    <w:p w:rsidR="00000000" w:rsidRDefault="00000000">
      <w:pPr>
        <w:pStyle w:val="SingleTxt"/>
      </w:pPr>
    </w:p>
    <w:tbl>
      <w:tblPr>
        <w:tblW w:w="0" w:type="auto"/>
        <w:tblInd w:w="1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6"/>
        <w:gridCol w:w="414"/>
        <w:gridCol w:w="405"/>
        <w:gridCol w:w="405"/>
        <w:gridCol w:w="432"/>
        <w:gridCol w:w="396"/>
        <w:gridCol w:w="468"/>
        <w:gridCol w:w="414"/>
        <w:gridCol w:w="450"/>
        <w:gridCol w:w="378"/>
        <w:gridCol w:w="441"/>
        <w:gridCol w:w="441"/>
        <w:gridCol w:w="414"/>
        <w:gridCol w:w="396"/>
        <w:gridCol w:w="432"/>
      </w:tblGrid>
      <w:tr w:rsidR="00000000">
        <w:tblPrEx>
          <w:tblCellMar>
            <w:top w:w="0" w:type="dxa"/>
            <w:bottom w:w="0" w:type="dxa"/>
          </w:tblCellMar>
        </w:tblPrEx>
        <w:trPr>
          <w:cantSplit/>
        </w:trPr>
        <w:tc>
          <w:tcPr>
            <w:tcW w:w="1926" w:type="dxa"/>
            <w:vMerge w:val="restart"/>
          </w:tcPr>
          <w:p w:rsidR="00000000" w:rsidRDefault="00000000">
            <w:pPr>
              <w:pStyle w:val="DualTxt"/>
              <w:rPr>
                <w:sz w:val="15"/>
              </w:rPr>
            </w:pPr>
          </w:p>
        </w:tc>
        <w:tc>
          <w:tcPr>
            <w:tcW w:w="819" w:type="dxa"/>
            <w:gridSpan w:val="2"/>
          </w:tcPr>
          <w:p w:rsidR="00000000" w:rsidRDefault="00000000">
            <w:pPr>
              <w:pStyle w:val="DualTxt"/>
              <w:rPr>
                <w:sz w:val="15"/>
              </w:rPr>
            </w:pPr>
            <w:r>
              <w:rPr>
                <w:sz w:val="15"/>
              </w:rPr>
              <w:t>1995 г.</w:t>
            </w:r>
          </w:p>
        </w:tc>
        <w:tc>
          <w:tcPr>
            <w:tcW w:w="837" w:type="dxa"/>
            <w:gridSpan w:val="2"/>
          </w:tcPr>
          <w:p w:rsidR="00000000" w:rsidRDefault="00000000">
            <w:pPr>
              <w:pStyle w:val="DualTxt"/>
              <w:rPr>
                <w:sz w:val="15"/>
              </w:rPr>
            </w:pPr>
            <w:r>
              <w:rPr>
                <w:sz w:val="15"/>
              </w:rPr>
              <w:t>1996 г.</w:t>
            </w:r>
          </w:p>
        </w:tc>
        <w:tc>
          <w:tcPr>
            <w:tcW w:w="864" w:type="dxa"/>
            <w:gridSpan w:val="2"/>
          </w:tcPr>
          <w:p w:rsidR="00000000" w:rsidRDefault="00000000">
            <w:pPr>
              <w:pStyle w:val="DualTxt"/>
              <w:rPr>
                <w:sz w:val="15"/>
              </w:rPr>
            </w:pPr>
            <w:r>
              <w:rPr>
                <w:sz w:val="15"/>
              </w:rPr>
              <w:t>1997 г.</w:t>
            </w:r>
          </w:p>
        </w:tc>
        <w:tc>
          <w:tcPr>
            <w:tcW w:w="864" w:type="dxa"/>
            <w:gridSpan w:val="2"/>
          </w:tcPr>
          <w:p w:rsidR="00000000" w:rsidRDefault="00000000">
            <w:pPr>
              <w:pStyle w:val="DualTxt"/>
              <w:rPr>
                <w:sz w:val="15"/>
              </w:rPr>
            </w:pPr>
            <w:r>
              <w:rPr>
                <w:sz w:val="15"/>
              </w:rPr>
              <w:t>1998 г.</w:t>
            </w:r>
          </w:p>
        </w:tc>
        <w:tc>
          <w:tcPr>
            <w:tcW w:w="819" w:type="dxa"/>
            <w:gridSpan w:val="2"/>
          </w:tcPr>
          <w:p w:rsidR="00000000" w:rsidRDefault="00000000">
            <w:pPr>
              <w:pStyle w:val="DualTxt"/>
              <w:rPr>
                <w:sz w:val="15"/>
              </w:rPr>
            </w:pPr>
            <w:r>
              <w:rPr>
                <w:sz w:val="15"/>
              </w:rPr>
              <w:t>1999 г.</w:t>
            </w:r>
          </w:p>
        </w:tc>
        <w:tc>
          <w:tcPr>
            <w:tcW w:w="855" w:type="dxa"/>
            <w:gridSpan w:val="2"/>
          </w:tcPr>
          <w:p w:rsidR="00000000" w:rsidRDefault="00000000">
            <w:pPr>
              <w:pStyle w:val="DualTxt"/>
              <w:rPr>
                <w:sz w:val="15"/>
              </w:rPr>
            </w:pPr>
            <w:r>
              <w:rPr>
                <w:sz w:val="15"/>
              </w:rPr>
              <w:t>2000 г.</w:t>
            </w:r>
          </w:p>
        </w:tc>
        <w:tc>
          <w:tcPr>
            <w:tcW w:w="828" w:type="dxa"/>
            <w:gridSpan w:val="2"/>
          </w:tcPr>
          <w:p w:rsidR="00000000" w:rsidRDefault="00000000">
            <w:pPr>
              <w:pStyle w:val="DualTxt"/>
              <w:rPr>
                <w:sz w:val="15"/>
              </w:rPr>
            </w:pPr>
            <w:r>
              <w:rPr>
                <w:sz w:val="15"/>
              </w:rPr>
              <w:t>2001 г.</w:t>
            </w:r>
          </w:p>
        </w:tc>
      </w:tr>
      <w:tr w:rsidR="00000000">
        <w:tblPrEx>
          <w:tblCellMar>
            <w:top w:w="0" w:type="dxa"/>
            <w:bottom w:w="0" w:type="dxa"/>
          </w:tblCellMar>
        </w:tblPrEx>
        <w:trPr>
          <w:cantSplit/>
          <w:trHeight w:val="1101"/>
        </w:trPr>
        <w:tc>
          <w:tcPr>
            <w:tcW w:w="1926" w:type="dxa"/>
            <w:vMerge/>
          </w:tcPr>
          <w:p w:rsidR="00000000" w:rsidRDefault="00000000">
            <w:pPr>
              <w:pStyle w:val="DualTxt"/>
              <w:rPr>
                <w:sz w:val="15"/>
              </w:rPr>
            </w:pPr>
          </w:p>
        </w:tc>
        <w:tc>
          <w:tcPr>
            <w:tcW w:w="414" w:type="dxa"/>
            <w:tcBorders>
              <w:bottom w:val="nil"/>
            </w:tcBorders>
            <w:textDirection w:val="btLr"/>
          </w:tcPr>
          <w:p w:rsidR="00000000" w:rsidRDefault="00000000">
            <w:pPr>
              <w:pStyle w:val="DualTxt"/>
              <w:rPr>
                <w:sz w:val="14"/>
              </w:rPr>
            </w:pPr>
            <w:r>
              <w:rPr>
                <w:sz w:val="14"/>
              </w:rPr>
              <w:t>Возбужд. дела</w:t>
            </w:r>
          </w:p>
        </w:tc>
        <w:tc>
          <w:tcPr>
            <w:tcW w:w="405" w:type="dxa"/>
            <w:tcBorders>
              <w:bottom w:val="nil"/>
            </w:tcBorders>
            <w:textDirection w:val="btLr"/>
          </w:tcPr>
          <w:p w:rsidR="00000000" w:rsidRDefault="00000000">
            <w:pPr>
              <w:pStyle w:val="DualTxt"/>
              <w:rPr>
                <w:sz w:val="14"/>
              </w:rPr>
            </w:pPr>
            <w:r>
              <w:rPr>
                <w:sz w:val="14"/>
              </w:rPr>
              <w:t>Раскрытые дела</w:t>
            </w:r>
          </w:p>
        </w:tc>
        <w:tc>
          <w:tcPr>
            <w:tcW w:w="405" w:type="dxa"/>
            <w:tcBorders>
              <w:bottom w:val="nil"/>
            </w:tcBorders>
            <w:textDirection w:val="btLr"/>
          </w:tcPr>
          <w:p w:rsidR="00000000" w:rsidRDefault="00000000">
            <w:pPr>
              <w:pStyle w:val="DualTxt"/>
              <w:rPr>
                <w:sz w:val="14"/>
              </w:rPr>
            </w:pPr>
            <w:r>
              <w:rPr>
                <w:sz w:val="14"/>
              </w:rPr>
              <w:t>Возбужд. дела</w:t>
            </w:r>
          </w:p>
        </w:tc>
        <w:tc>
          <w:tcPr>
            <w:tcW w:w="432" w:type="dxa"/>
            <w:tcBorders>
              <w:bottom w:val="nil"/>
            </w:tcBorders>
            <w:textDirection w:val="btLr"/>
          </w:tcPr>
          <w:p w:rsidR="00000000" w:rsidRDefault="00000000">
            <w:pPr>
              <w:pStyle w:val="DualTxt"/>
              <w:rPr>
                <w:sz w:val="14"/>
              </w:rPr>
            </w:pPr>
            <w:r>
              <w:rPr>
                <w:sz w:val="14"/>
              </w:rPr>
              <w:t>Раскрытые дела</w:t>
            </w:r>
          </w:p>
        </w:tc>
        <w:tc>
          <w:tcPr>
            <w:tcW w:w="396" w:type="dxa"/>
            <w:tcBorders>
              <w:bottom w:val="nil"/>
            </w:tcBorders>
            <w:textDirection w:val="btLr"/>
          </w:tcPr>
          <w:p w:rsidR="00000000" w:rsidRDefault="00000000">
            <w:pPr>
              <w:pStyle w:val="DualTxt"/>
              <w:rPr>
                <w:sz w:val="14"/>
              </w:rPr>
            </w:pPr>
            <w:r>
              <w:rPr>
                <w:sz w:val="14"/>
              </w:rPr>
              <w:t>Возбужд. дела</w:t>
            </w:r>
          </w:p>
        </w:tc>
        <w:tc>
          <w:tcPr>
            <w:tcW w:w="468" w:type="dxa"/>
            <w:tcBorders>
              <w:bottom w:val="nil"/>
            </w:tcBorders>
            <w:textDirection w:val="btLr"/>
          </w:tcPr>
          <w:p w:rsidR="00000000" w:rsidRDefault="00000000">
            <w:pPr>
              <w:pStyle w:val="DualTxt"/>
              <w:rPr>
                <w:sz w:val="14"/>
              </w:rPr>
            </w:pPr>
            <w:r>
              <w:rPr>
                <w:sz w:val="14"/>
              </w:rPr>
              <w:t>Раскрытые д</w:t>
            </w:r>
            <w:r>
              <w:rPr>
                <w:sz w:val="14"/>
              </w:rPr>
              <w:t>е</w:t>
            </w:r>
            <w:r>
              <w:rPr>
                <w:sz w:val="14"/>
              </w:rPr>
              <w:t>ла</w:t>
            </w:r>
          </w:p>
        </w:tc>
        <w:tc>
          <w:tcPr>
            <w:tcW w:w="414" w:type="dxa"/>
            <w:tcBorders>
              <w:bottom w:val="nil"/>
            </w:tcBorders>
            <w:textDirection w:val="btLr"/>
          </w:tcPr>
          <w:p w:rsidR="00000000" w:rsidRDefault="00000000">
            <w:pPr>
              <w:pStyle w:val="DualTxt"/>
              <w:rPr>
                <w:sz w:val="14"/>
              </w:rPr>
            </w:pPr>
            <w:r>
              <w:rPr>
                <w:sz w:val="14"/>
              </w:rPr>
              <w:t>Возбужд. дела</w:t>
            </w:r>
          </w:p>
        </w:tc>
        <w:tc>
          <w:tcPr>
            <w:tcW w:w="450" w:type="dxa"/>
            <w:tcBorders>
              <w:bottom w:val="nil"/>
            </w:tcBorders>
            <w:textDirection w:val="btLr"/>
          </w:tcPr>
          <w:p w:rsidR="00000000" w:rsidRDefault="00000000">
            <w:pPr>
              <w:pStyle w:val="DualTxt"/>
              <w:rPr>
                <w:sz w:val="14"/>
              </w:rPr>
            </w:pPr>
            <w:r>
              <w:rPr>
                <w:sz w:val="14"/>
              </w:rPr>
              <w:t>Раскрытые д</w:t>
            </w:r>
            <w:r>
              <w:rPr>
                <w:sz w:val="14"/>
              </w:rPr>
              <w:t>е</w:t>
            </w:r>
            <w:r>
              <w:rPr>
                <w:sz w:val="14"/>
              </w:rPr>
              <w:t>ла</w:t>
            </w:r>
          </w:p>
        </w:tc>
        <w:tc>
          <w:tcPr>
            <w:tcW w:w="378" w:type="dxa"/>
            <w:tcBorders>
              <w:bottom w:val="nil"/>
            </w:tcBorders>
            <w:textDirection w:val="btLr"/>
          </w:tcPr>
          <w:p w:rsidR="00000000" w:rsidRDefault="00000000">
            <w:pPr>
              <w:pStyle w:val="DualTxt"/>
              <w:rPr>
                <w:sz w:val="14"/>
              </w:rPr>
            </w:pPr>
            <w:r>
              <w:rPr>
                <w:sz w:val="14"/>
              </w:rPr>
              <w:t>Возбужд. дела</w:t>
            </w:r>
          </w:p>
        </w:tc>
        <w:tc>
          <w:tcPr>
            <w:tcW w:w="441" w:type="dxa"/>
            <w:tcBorders>
              <w:bottom w:val="nil"/>
            </w:tcBorders>
            <w:textDirection w:val="btLr"/>
          </w:tcPr>
          <w:p w:rsidR="00000000" w:rsidRDefault="00000000">
            <w:pPr>
              <w:pStyle w:val="DualTxt"/>
              <w:rPr>
                <w:sz w:val="14"/>
              </w:rPr>
            </w:pPr>
            <w:r>
              <w:rPr>
                <w:sz w:val="14"/>
              </w:rPr>
              <w:t>Раскрытые д</w:t>
            </w:r>
            <w:r>
              <w:rPr>
                <w:sz w:val="14"/>
              </w:rPr>
              <w:t>е</w:t>
            </w:r>
            <w:r>
              <w:rPr>
                <w:sz w:val="14"/>
              </w:rPr>
              <w:t>ла</w:t>
            </w:r>
          </w:p>
        </w:tc>
        <w:tc>
          <w:tcPr>
            <w:tcW w:w="441" w:type="dxa"/>
            <w:tcBorders>
              <w:bottom w:val="nil"/>
            </w:tcBorders>
            <w:textDirection w:val="btLr"/>
          </w:tcPr>
          <w:p w:rsidR="00000000" w:rsidRDefault="00000000">
            <w:pPr>
              <w:pStyle w:val="DualTxt"/>
              <w:rPr>
                <w:sz w:val="14"/>
              </w:rPr>
            </w:pPr>
            <w:r>
              <w:rPr>
                <w:sz w:val="14"/>
              </w:rPr>
              <w:t>Возбужд. д</w:t>
            </w:r>
            <w:r>
              <w:rPr>
                <w:sz w:val="14"/>
              </w:rPr>
              <w:t>е</w:t>
            </w:r>
            <w:r>
              <w:rPr>
                <w:sz w:val="14"/>
              </w:rPr>
              <w:t>ла</w:t>
            </w:r>
          </w:p>
        </w:tc>
        <w:tc>
          <w:tcPr>
            <w:tcW w:w="414" w:type="dxa"/>
            <w:tcBorders>
              <w:bottom w:val="nil"/>
            </w:tcBorders>
            <w:textDirection w:val="btLr"/>
          </w:tcPr>
          <w:p w:rsidR="00000000" w:rsidRDefault="00000000">
            <w:pPr>
              <w:pStyle w:val="DualTxt"/>
              <w:rPr>
                <w:sz w:val="14"/>
              </w:rPr>
            </w:pPr>
            <w:r>
              <w:rPr>
                <w:sz w:val="14"/>
              </w:rPr>
              <w:t>Раскрытые дела</w:t>
            </w:r>
          </w:p>
        </w:tc>
        <w:tc>
          <w:tcPr>
            <w:tcW w:w="396" w:type="dxa"/>
            <w:tcBorders>
              <w:bottom w:val="nil"/>
            </w:tcBorders>
            <w:textDirection w:val="btLr"/>
          </w:tcPr>
          <w:p w:rsidR="00000000" w:rsidRDefault="00000000">
            <w:pPr>
              <w:pStyle w:val="DualTxt"/>
              <w:rPr>
                <w:sz w:val="14"/>
              </w:rPr>
            </w:pPr>
            <w:r>
              <w:rPr>
                <w:sz w:val="14"/>
              </w:rPr>
              <w:t>Возбужд. дела</w:t>
            </w:r>
          </w:p>
        </w:tc>
        <w:tc>
          <w:tcPr>
            <w:tcW w:w="432" w:type="dxa"/>
            <w:tcBorders>
              <w:bottom w:val="nil"/>
            </w:tcBorders>
            <w:textDirection w:val="btLr"/>
          </w:tcPr>
          <w:p w:rsidR="00000000" w:rsidRDefault="00000000">
            <w:pPr>
              <w:pStyle w:val="DualTxt"/>
              <w:rPr>
                <w:sz w:val="14"/>
              </w:rPr>
            </w:pPr>
            <w:r>
              <w:rPr>
                <w:sz w:val="14"/>
              </w:rPr>
              <w:t>Раскрытые дела</w:t>
            </w:r>
          </w:p>
        </w:tc>
      </w:tr>
      <w:tr w:rsidR="00000000">
        <w:tblPrEx>
          <w:tblCellMar>
            <w:top w:w="0" w:type="dxa"/>
            <w:bottom w:w="0" w:type="dxa"/>
          </w:tblCellMar>
        </w:tblPrEx>
        <w:trPr>
          <w:cantSplit/>
        </w:trPr>
        <w:tc>
          <w:tcPr>
            <w:tcW w:w="1926" w:type="dxa"/>
            <w:tcBorders>
              <w:right w:val="nil"/>
            </w:tcBorders>
            <w:vAlign w:val="bottom"/>
          </w:tcPr>
          <w:p w:rsidR="00000000" w:rsidRDefault="00000000">
            <w:pPr>
              <w:pStyle w:val="DualTxt"/>
              <w:spacing w:before="40" w:line="200" w:lineRule="exact"/>
              <w:jc w:val="left"/>
              <w:rPr>
                <w:sz w:val="17"/>
              </w:rPr>
            </w:pPr>
            <w:r>
              <w:rPr>
                <w:sz w:val="17"/>
              </w:rPr>
              <w:t>Статья 146</w:t>
            </w:r>
          </w:p>
          <w:p w:rsidR="00000000" w:rsidRDefault="00000000">
            <w:pPr>
              <w:pStyle w:val="DualTxt"/>
              <w:spacing w:before="40" w:line="200" w:lineRule="exact"/>
              <w:jc w:val="left"/>
              <w:rPr>
                <w:sz w:val="17"/>
              </w:rPr>
            </w:pPr>
            <w:r>
              <w:rPr>
                <w:sz w:val="17"/>
              </w:rPr>
              <w:t>Нарушение полож</w:t>
            </w:r>
            <w:r>
              <w:rPr>
                <w:sz w:val="17"/>
              </w:rPr>
              <w:t>е</w:t>
            </w:r>
            <w:r>
              <w:rPr>
                <w:sz w:val="17"/>
              </w:rPr>
              <w:t>ний об охране тр</w:t>
            </w:r>
            <w:r>
              <w:rPr>
                <w:sz w:val="17"/>
              </w:rPr>
              <w:t>у</w:t>
            </w:r>
            <w:r>
              <w:rPr>
                <w:sz w:val="17"/>
              </w:rPr>
              <w:t>да</w:t>
            </w:r>
          </w:p>
        </w:tc>
        <w:tc>
          <w:tcPr>
            <w:tcW w:w="41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3</w:t>
            </w:r>
          </w:p>
        </w:tc>
        <w:tc>
          <w:tcPr>
            <w:tcW w:w="40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w:t>
            </w:r>
          </w:p>
        </w:tc>
        <w:tc>
          <w:tcPr>
            <w:tcW w:w="40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3</w:t>
            </w:r>
          </w:p>
        </w:tc>
        <w:tc>
          <w:tcPr>
            <w:tcW w:w="4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w:t>
            </w:r>
          </w:p>
        </w:tc>
        <w:tc>
          <w:tcPr>
            <w:tcW w:w="39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1</w:t>
            </w:r>
          </w:p>
        </w:tc>
        <w:tc>
          <w:tcPr>
            <w:tcW w:w="46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w:t>
            </w:r>
          </w:p>
        </w:tc>
        <w:tc>
          <w:tcPr>
            <w:tcW w:w="41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3</w:t>
            </w:r>
          </w:p>
        </w:tc>
        <w:tc>
          <w:tcPr>
            <w:tcW w:w="4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1</w:t>
            </w:r>
          </w:p>
        </w:tc>
        <w:tc>
          <w:tcPr>
            <w:tcW w:w="37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7</w:t>
            </w:r>
          </w:p>
        </w:tc>
        <w:tc>
          <w:tcPr>
            <w:tcW w:w="44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4</w:t>
            </w:r>
          </w:p>
        </w:tc>
        <w:tc>
          <w:tcPr>
            <w:tcW w:w="44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1</w:t>
            </w:r>
          </w:p>
        </w:tc>
        <w:tc>
          <w:tcPr>
            <w:tcW w:w="41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w:t>
            </w:r>
          </w:p>
        </w:tc>
        <w:tc>
          <w:tcPr>
            <w:tcW w:w="39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7</w:t>
            </w:r>
          </w:p>
        </w:tc>
        <w:tc>
          <w:tcPr>
            <w:tcW w:w="43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DualTxt"/>
              <w:spacing w:before="40" w:line="200" w:lineRule="exact"/>
              <w:rPr>
                <w:sz w:val="17"/>
              </w:rPr>
            </w:pPr>
            <w:r>
              <w:rPr>
                <w:sz w:val="17"/>
              </w:rPr>
              <w:t>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136.</w:t>
      </w:r>
      <w:r>
        <w:tab/>
        <w:t>Закон об охране труда также предусматривает, что он должен применяться во всех областях занятости, если другие законы не предусматривают иного. Далее этот Закон предусматривает, что работники, которым в силу нормати</w:t>
      </w:r>
      <w:r>
        <w:t>в</w:t>
      </w:r>
      <w:r>
        <w:t>ных актов предоставлена особая защита (лица в возрасте до 18 лет, беременные женщины, женщины в послеродовой период, инвалиды, работники, включе</w:t>
      </w:r>
      <w:r>
        <w:t>н</w:t>
      </w:r>
      <w:r>
        <w:t>ные в списки, упомянутые в разделе 2 статьи 7 вышеуказанного Закона) в соо</w:t>
      </w:r>
      <w:r>
        <w:t>т</w:t>
      </w:r>
      <w:r>
        <w:t>ветствии с оценкой рисков на рабочем месте и заявлением врача, имеют право на дополнительные смены, устанавливаемые работодателем.</w:t>
      </w:r>
    </w:p>
    <w:p w:rsidR="00000000" w:rsidRDefault="00000000">
      <w:pPr>
        <w:pStyle w:val="SingleTxt"/>
      </w:pPr>
      <w:r>
        <w:t>137.</w:t>
      </w:r>
      <w:r>
        <w:tab/>
        <w:t>В соответствии с Законом «О Государственной трудовой инспекции» и Постановлением кабинета министров «О Государственной трудовой инспе</w:t>
      </w:r>
      <w:r>
        <w:t>к</w:t>
      </w:r>
      <w:r>
        <w:t>ции» Государственная трудовая инспекция осуществляет контроль за соблюд</w:t>
      </w:r>
      <w:r>
        <w:t>е</w:t>
      </w:r>
      <w:r>
        <w:t>нием вышеупомянутых требований. Статистические данные о безопасности труда с разбивкой по признаку пола отсутствуют. Можно лишь добавить, что наибольшее число несчастных случаев на рабочем месте было зарегистриров</w:t>
      </w:r>
      <w:r>
        <w:t>а</w:t>
      </w:r>
      <w:r>
        <w:t>но в так называемых традиционно мужских отраслях: деревообрабатывающая промышленность, строительные и ремонтные работы, пищевая промышле</w:t>
      </w:r>
      <w:r>
        <w:t>н</w:t>
      </w:r>
      <w:r>
        <w:t>ность и транспорт и такси. Государственная трудовая инспекция предоставляет работодателям и трудящимся информацию и другую помощь по вопросам тр</w:t>
      </w:r>
      <w:r>
        <w:t>у</w:t>
      </w:r>
      <w:r>
        <w:t>довых отн</w:t>
      </w:r>
      <w:r>
        <w:t>о</w:t>
      </w:r>
      <w:r>
        <w:t>шений и охраны труда.</w:t>
      </w:r>
    </w:p>
    <w:p w:rsidR="00000000" w:rsidRDefault="00000000">
      <w:pPr>
        <w:pStyle w:val="SingleTxt"/>
      </w:pPr>
      <w:r>
        <w:t>138.</w:t>
      </w:r>
      <w:r>
        <w:tab/>
        <w:t>Следует отметить, что согласно информации, полученной в результате о</w:t>
      </w:r>
      <w:r>
        <w:t>п</w:t>
      </w:r>
      <w:r>
        <w:t>роса, проведенного Государственной трудовой инспекцией, около 55 процентов трудящихся не имеют в настоящее время четкого понятия о нормативных актах по вопросам безопасности труда. Кроме того, из результатов этого опроса сл</w:t>
      </w:r>
      <w:r>
        <w:t>е</w:t>
      </w:r>
      <w:r>
        <w:t>дует, что 61 процент трудящихся, работающих на предприятиях Латвии, пол</w:t>
      </w:r>
      <w:r>
        <w:t>у</w:t>
      </w:r>
      <w:r>
        <w:t>чают личное защитное снаряжение, 45 процентов работодателей проводят оценку рисков прежде, чем предоставлять защитное снаряжение, и 35 проце</w:t>
      </w:r>
      <w:r>
        <w:t>н</w:t>
      </w:r>
      <w:r>
        <w:t>тов предприятий проводят коллективные мероприятия по обеспечении техники безопасности в целях предотвращения рисков. Главными проблемами, связа</w:t>
      </w:r>
      <w:r>
        <w:t>н</w:t>
      </w:r>
      <w:r>
        <w:t>ными с обеспечением безопасности труда и проведением мероприятий по о</w:t>
      </w:r>
      <w:r>
        <w:t>х</w:t>
      </w:r>
      <w:r>
        <w:t>ране здоровья на предприятиях, являются необходимость крупных финансовых затрат, недостаточный доступ к информации, закупки безопасной технологии, отсутствие квалифицированных специалистов по охране труда, недостаточная профессиональная подготовка и отсутствие достаточного количества надлеж</w:t>
      </w:r>
      <w:r>
        <w:t>а</w:t>
      </w:r>
      <w:r>
        <w:t>щего личного защитного снаряжения.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получать вознаграждение, соответствующее выполненной работе</w:t>
      </w:r>
    </w:p>
    <w:p w:rsidR="00000000" w:rsidRDefault="00000000">
      <w:pPr>
        <w:pStyle w:val="SingleTxt"/>
        <w:spacing w:after="0" w:line="120" w:lineRule="exact"/>
        <w:rPr>
          <w:sz w:val="10"/>
        </w:rPr>
      </w:pPr>
    </w:p>
    <w:p w:rsidR="00000000" w:rsidRDefault="00000000">
      <w:pPr>
        <w:pStyle w:val="SingleTxt"/>
      </w:pPr>
      <w:r>
        <w:t>139.</w:t>
      </w:r>
      <w:r>
        <w:tab/>
        <w:t>На конституционном уровне «Сатверсме» (Конституция) предусматривает право каждого лица на вознаграждение, которое соответствует выполненному производственному заданию и размер которого не должен быть меньше мин</w:t>
      </w:r>
      <w:r>
        <w:t>и</w:t>
      </w:r>
      <w:r>
        <w:t>мального вознаграждения, установленного правительством. Размер вознагра</w:t>
      </w:r>
      <w:r>
        <w:t>ж</w:t>
      </w:r>
      <w:r>
        <w:t>дения в стране определяется на основе минимального месячного оклада. Все работодатели обязаны обеспечить своим работникам минимальный месячный оклад за работу в нормальные рабочие часы (40 часов в неделю). Размер мин</w:t>
      </w:r>
      <w:r>
        <w:t>и</w:t>
      </w:r>
      <w:r>
        <w:t>мального месячного оклада увеличивается в стране на периодической основе. Однако его размер по-прежнему ниже прожиточного минимума, рассчитанного Центральным статистическим управлением</w:t>
      </w:r>
      <w:r>
        <w:rPr>
          <w:rStyle w:val="FootnoteReference"/>
        </w:rPr>
        <w:footnoteReference w:id="6"/>
      </w:r>
      <w:r>
        <w:t xml:space="preserve"> (см. таблицу).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bookmarkStart w:id="19" w:name="_Toc48490447"/>
      <w:r>
        <w:tab/>
      </w:r>
      <w:r>
        <w:tab/>
        <w:t>Вознаграждение, минимальный месячный оклад</w:t>
      </w:r>
      <w:bookmarkEnd w:id="19"/>
      <w:r>
        <w:t xml:space="preserve"> и прожиточный минимум (1993-2000 годы)</w:t>
      </w:r>
    </w:p>
    <w:p w:rsidR="00000000" w:rsidRDefault="00000000">
      <w:pPr>
        <w:pStyle w:val="SingleTxt"/>
        <w:spacing w:after="0" w:line="120" w:lineRule="exact"/>
        <w:rPr>
          <w:sz w:val="10"/>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1512"/>
        <w:gridCol w:w="1530"/>
        <w:gridCol w:w="1710"/>
        <w:gridCol w:w="1980"/>
        <w:gridCol w:w="2259"/>
      </w:tblGrid>
      <w:tr w:rsidR="00000000">
        <w:tblPrEx>
          <w:tblCellMar>
            <w:top w:w="0" w:type="dxa"/>
            <w:bottom w:w="0" w:type="dxa"/>
          </w:tblCellMar>
        </w:tblPrEx>
        <w:tc>
          <w:tcPr>
            <w:tcW w:w="810" w:type="dxa"/>
            <w:vAlign w:val="bottom"/>
          </w:tcPr>
          <w:p w:rsidR="00000000" w:rsidRDefault="00000000">
            <w:pPr>
              <w:pStyle w:val="DualTxt"/>
              <w:spacing w:before="60" w:line="200" w:lineRule="exact"/>
              <w:jc w:val="left"/>
              <w:rPr>
                <w:sz w:val="16"/>
              </w:rPr>
            </w:pPr>
            <w:bookmarkStart w:id="20" w:name="_Toc48490448"/>
            <w:r>
              <w:rPr>
                <w:sz w:val="16"/>
              </w:rPr>
              <w:t>Год</w:t>
            </w:r>
            <w:bookmarkEnd w:id="20"/>
          </w:p>
        </w:tc>
        <w:tc>
          <w:tcPr>
            <w:tcW w:w="1512" w:type="dxa"/>
            <w:vAlign w:val="bottom"/>
          </w:tcPr>
          <w:p w:rsidR="00000000" w:rsidRDefault="00000000">
            <w:pPr>
              <w:pStyle w:val="DualTxt"/>
              <w:spacing w:before="60" w:line="200" w:lineRule="exact"/>
              <w:jc w:val="left"/>
              <w:rPr>
                <w:sz w:val="16"/>
              </w:rPr>
            </w:pPr>
            <w:bookmarkStart w:id="21" w:name="_Toc48490449"/>
            <w:r>
              <w:rPr>
                <w:sz w:val="16"/>
              </w:rPr>
              <w:t>Средний мин</w:t>
            </w:r>
            <w:r>
              <w:rPr>
                <w:sz w:val="16"/>
              </w:rPr>
              <w:t>и</w:t>
            </w:r>
            <w:r>
              <w:rPr>
                <w:sz w:val="16"/>
              </w:rPr>
              <w:t>мальный меся</w:t>
            </w:r>
            <w:r>
              <w:rPr>
                <w:sz w:val="16"/>
              </w:rPr>
              <w:t>ч</w:t>
            </w:r>
            <w:r>
              <w:rPr>
                <w:sz w:val="16"/>
              </w:rPr>
              <w:t>ный оклад в год</w:t>
            </w:r>
            <w:bookmarkEnd w:id="21"/>
          </w:p>
        </w:tc>
        <w:tc>
          <w:tcPr>
            <w:tcW w:w="1530" w:type="dxa"/>
            <w:vAlign w:val="bottom"/>
          </w:tcPr>
          <w:p w:rsidR="00000000" w:rsidRDefault="00000000">
            <w:pPr>
              <w:pStyle w:val="DualTxt"/>
              <w:spacing w:before="60" w:line="200" w:lineRule="exact"/>
              <w:jc w:val="left"/>
              <w:rPr>
                <w:sz w:val="16"/>
              </w:rPr>
            </w:pPr>
            <w:bookmarkStart w:id="22" w:name="_Toc48490450"/>
            <w:r>
              <w:rPr>
                <w:sz w:val="16"/>
              </w:rPr>
              <w:t>Средний прож</w:t>
            </w:r>
            <w:r>
              <w:rPr>
                <w:sz w:val="16"/>
              </w:rPr>
              <w:t>и</w:t>
            </w:r>
            <w:r>
              <w:rPr>
                <w:sz w:val="16"/>
              </w:rPr>
              <w:t>точный минимум в год</w:t>
            </w:r>
            <w:bookmarkEnd w:id="22"/>
          </w:p>
        </w:tc>
        <w:tc>
          <w:tcPr>
            <w:tcW w:w="1710" w:type="dxa"/>
            <w:vAlign w:val="bottom"/>
          </w:tcPr>
          <w:p w:rsidR="00000000" w:rsidRDefault="00000000">
            <w:pPr>
              <w:pStyle w:val="DualTxt"/>
              <w:spacing w:before="60" w:line="200" w:lineRule="exact"/>
              <w:jc w:val="left"/>
              <w:rPr>
                <w:sz w:val="16"/>
              </w:rPr>
            </w:pPr>
            <w:bookmarkStart w:id="23" w:name="_Toc48490451"/>
            <w:r>
              <w:rPr>
                <w:sz w:val="16"/>
              </w:rPr>
              <w:t>Минимальный м</w:t>
            </w:r>
            <w:r>
              <w:rPr>
                <w:sz w:val="16"/>
              </w:rPr>
              <w:t>е</w:t>
            </w:r>
            <w:r>
              <w:rPr>
                <w:sz w:val="16"/>
              </w:rPr>
              <w:t>сячный оклад как % от прожиточного мин</w:t>
            </w:r>
            <w:r>
              <w:rPr>
                <w:sz w:val="16"/>
              </w:rPr>
              <w:t>и</w:t>
            </w:r>
            <w:r>
              <w:rPr>
                <w:sz w:val="16"/>
              </w:rPr>
              <w:t>мума</w:t>
            </w:r>
            <w:bookmarkEnd w:id="23"/>
          </w:p>
        </w:tc>
        <w:tc>
          <w:tcPr>
            <w:tcW w:w="1980" w:type="dxa"/>
            <w:vAlign w:val="bottom"/>
          </w:tcPr>
          <w:p w:rsidR="00000000" w:rsidRDefault="00000000">
            <w:pPr>
              <w:pStyle w:val="DualTxt"/>
              <w:spacing w:before="60" w:line="200" w:lineRule="exact"/>
              <w:jc w:val="left"/>
              <w:rPr>
                <w:sz w:val="16"/>
              </w:rPr>
            </w:pPr>
            <w:bookmarkStart w:id="24" w:name="_Toc48490452"/>
            <w:r>
              <w:rPr>
                <w:sz w:val="16"/>
              </w:rPr>
              <w:t>Минимальный меся</w:t>
            </w:r>
            <w:r>
              <w:rPr>
                <w:sz w:val="16"/>
              </w:rPr>
              <w:t>ч</w:t>
            </w:r>
            <w:r>
              <w:rPr>
                <w:sz w:val="16"/>
              </w:rPr>
              <w:t>ный оклад трудящихся, занятых в национал</w:t>
            </w:r>
            <w:r>
              <w:rPr>
                <w:sz w:val="16"/>
              </w:rPr>
              <w:t>ь</w:t>
            </w:r>
            <w:r>
              <w:rPr>
                <w:sz w:val="16"/>
              </w:rPr>
              <w:t>ной экономике (в ла</w:t>
            </w:r>
            <w:r>
              <w:rPr>
                <w:sz w:val="16"/>
              </w:rPr>
              <w:t>т</w:t>
            </w:r>
            <w:r>
              <w:rPr>
                <w:sz w:val="16"/>
              </w:rPr>
              <w:t>вийских л</w:t>
            </w:r>
            <w:r>
              <w:rPr>
                <w:sz w:val="16"/>
              </w:rPr>
              <w:t>а</w:t>
            </w:r>
            <w:r>
              <w:rPr>
                <w:sz w:val="16"/>
              </w:rPr>
              <w:t>тах)</w:t>
            </w:r>
            <w:bookmarkEnd w:id="24"/>
          </w:p>
        </w:tc>
        <w:tc>
          <w:tcPr>
            <w:tcW w:w="2259" w:type="dxa"/>
            <w:vAlign w:val="bottom"/>
          </w:tcPr>
          <w:p w:rsidR="00000000" w:rsidRDefault="00000000">
            <w:pPr>
              <w:pStyle w:val="DualTxt"/>
              <w:spacing w:before="60" w:line="200" w:lineRule="exact"/>
              <w:jc w:val="left"/>
              <w:rPr>
                <w:sz w:val="16"/>
              </w:rPr>
            </w:pPr>
            <w:bookmarkStart w:id="25" w:name="_Toc48490453"/>
            <w:r>
              <w:rPr>
                <w:sz w:val="16"/>
              </w:rPr>
              <w:t>Минимальный месячный оклад как % от минимал</w:t>
            </w:r>
            <w:r>
              <w:rPr>
                <w:sz w:val="16"/>
              </w:rPr>
              <w:t>ь</w:t>
            </w:r>
            <w:r>
              <w:rPr>
                <w:sz w:val="16"/>
              </w:rPr>
              <w:t>ного месячного оклада трудящихся, занятых в н</w:t>
            </w:r>
            <w:r>
              <w:rPr>
                <w:sz w:val="16"/>
              </w:rPr>
              <w:t>а</w:t>
            </w:r>
            <w:r>
              <w:rPr>
                <w:sz w:val="16"/>
              </w:rPr>
              <w:t>циональной эконом</w:t>
            </w:r>
            <w:r>
              <w:rPr>
                <w:sz w:val="16"/>
              </w:rPr>
              <w:t>и</w:t>
            </w:r>
            <w:r>
              <w:rPr>
                <w:sz w:val="16"/>
              </w:rPr>
              <w:t>ке</w:t>
            </w:r>
            <w:bookmarkEnd w:id="25"/>
          </w:p>
        </w:tc>
      </w:tr>
      <w:tr w:rsidR="00000000">
        <w:tblPrEx>
          <w:tblCellMar>
            <w:top w:w="0" w:type="dxa"/>
            <w:bottom w:w="0" w:type="dxa"/>
          </w:tblCellMar>
        </w:tblPrEx>
        <w:tc>
          <w:tcPr>
            <w:tcW w:w="810" w:type="dxa"/>
          </w:tcPr>
          <w:p w:rsidR="00000000" w:rsidRDefault="00000000">
            <w:pPr>
              <w:pStyle w:val="DualTxt"/>
              <w:spacing w:before="60" w:after="100" w:line="220" w:lineRule="exact"/>
              <w:rPr>
                <w:sz w:val="18"/>
              </w:rPr>
            </w:pPr>
            <w:bookmarkStart w:id="26" w:name="_Toc48490454"/>
            <w:r>
              <w:rPr>
                <w:sz w:val="18"/>
              </w:rPr>
              <w:t>1993</w:t>
            </w:r>
            <w:bookmarkEnd w:id="26"/>
          </w:p>
        </w:tc>
        <w:tc>
          <w:tcPr>
            <w:tcW w:w="1512" w:type="dxa"/>
          </w:tcPr>
          <w:p w:rsidR="00000000" w:rsidRDefault="00000000">
            <w:pPr>
              <w:pStyle w:val="DualTxt"/>
              <w:spacing w:before="60" w:after="100" w:line="220" w:lineRule="exact"/>
              <w:jc w:val="center"/>
              <w:rPr>
                <w:sz w:val="18"/>
              </w:rPr>
            </w:pPr>
            <w:bookmarkStart w:id="27" w:name="_Toc48490455"/>
            <w:r>
              <w:rPr>
                <w:sz w:val="18"/>
              </w:rPr>
              <w:t>12,50</w:t>
            </w:r>
            <w:bookmarkEnd w:id="27"/>
          </w:p>
        </w:tc>
        <w:tc>
          <w:tcPr>
            <w:tcW w:w="1530" w:type="dxa"/>
          </w:tcPr>
          <w:p w:rsidR="00000000" w:rsidRDefault="00000000">
            <w:pPr>
              <w:pStyle w:val="DualTxt"/>
              <w:spacing w:before="60" w:after="100" w:line="220" w:lineRule="exact"/>
              <w:jc w:val="center"/>
              <w:rPr>
                <w:sz w:val="18"/>
              </w:rPr>
            </w:pPr>
            <w:bookmarkStart w:id="28" w:name="_Toc48490456"/>
            <w:r>
              <w:rPr>
                <w:sz w:val="18"/>
              </w:rPr>
              <w:t>37,59</w:t>
            </w:r>
            <w:bookmarkEnd w:id="28"/>
          </w:p>
        </w:tc>
        <w:tc>
          <w:tcPr>
            <w:tcW w:w="1710" w:type="dxa"/>
          </w:tcPr>
          <w:p w:rsidR="00000000" w:rsidRDefault="00000000">
            <w:pPr>
              <w:pStyle w:val="DualTxt"/>
              <w:spacing w:before="60" w:after="100" w:line="220" w:lineRule="exact"/>
              <w:jc w:val="center"/>
              <w:rPr>
                <w:sz w:val="18"/>
              </w:rPr>
            </w:pPr>
            <w:bookmarkStart w:id="29" w:name="_Toc48490457"/>
            <w:r>
              <w:rPr>
                <w:sz w:val="18"/>
              </w:rPr>
              <w:t>33,3</w:t>
            </w:r>
            <w:bookmarkEnd w:id="29"/>
          </w:p>
        </w:tc>
        <w:tc>
          <w:tcPr>
            <w:tcW w:w="1980" w:type="dxa"/>
          </w:tcPr>
          <w:p w:rsidR="00000000" w:rsidRDefault="00000000">
            <w:pPr>
              <w:pStyle w:val="DualTxt"/>
              <w:spacing w:before="60" w:after="100" w:line="220" w:lineRule="exact"/>
              <w:jc w:val="center"/>
              <w:rPr>
                <w:sz w:val="18"/>
              </w:rPr>
            </w:pPr>
            <w:bookmarkStart w:id="30" w:name="_Toc48490458"/>
            <w:r>
              <w:rPr>
                <w:sz w:val="18"/>
              </w:rPr>
              <w:t>47,23</w:t>
            </w:r>
            <w:bookmarkEnd w:id="30"/>
          </w:p>
        </w:tc>
        <w:tc>
          <w:tcPr>
            <w:tcW w:w="2259" w:type="dxa"/>
          </w:tcPr>
          <w:p w:rsidR="00000000" w:rsidRDefault="00000000">
            <w:pPr>
              <w:pStyle w:val="DualTxt"/>
              <w:spacing w:before="60" w:after="100" w:line="220" w:lineRule="exact"/>
              <w:jc w:val="center"/>
              <w:rPr>
                <w:sz w:val="18"/>
              </w:rPr>
            </w:pPr>
            <w:bookmarkStart w:id="31" w:name="_Toc48490459"/>
            <w:r>
              <w:rPr>
                <w:sz w:val="18"/>
              </w:rPr>
              <w:t>26,5</w:t>
            </w:r>
            <w:bookmarkEnd w:id="31"/>
          </w:p>
        </w:tc>
      </w:tr>
      <w:tr w:rsidR="00000000">
        <w:tblPrEx>
          <w:tblCellMar>
            <w:top w:w="0" w:type="dxa"/>
            <w:bottom w:w="0" w:type="dxa"/>
          </w:tblCellMar>
        </w:tblPrEx>
        <w:tc>
          <w:tcPr>
            <w:tcW w:w="810" w:type="dxa"/>
          </w:tcPr>
          <w:p w:rsidR="00000000" w:rsidRDefault="00000000">
            <w:pPr>
              <w:pStyle w:val="DualTxt"/>
              <w:spacing w:before="60" w:after="100" w:line="220" w:lineRule="exact"/>
              <w:rPr>
                <w:sz w:val="18"/>
              </w:rPr>
            </w:pPr>
            <w:bookmarkStart w:id="32" w:name="_Toc48490460"/>
            <w:r>
              <w:rPr>
                <w:sz w:val="18"/>
              </w:rPr>
              <w:t>1994</w:t>
            </w:r>
            <w:bookmarkEnd w:id="32"/>
          </w:p>
        </w:tc>
        <w:tc>
          <w:tcPr>
            <w:tcW w:w="1512" w:type="dxa"/>
          </w:tcPr>
          <w:p w:rsidR="00000000" w:rsidRDefault="00000000">
            <w:pPr>
              <w:pStyle w:val="DualTxt"/>
              <w:spacing w:before="60" w:after="100" w:line="220" w:lineRule="exact"/>
              <w:jc w:val="center"/>
              <w:rPr>
                <w:sz w:val="18"/>
              </w:rPr>
            </w:pPr>
            <w:bookmarkStart w:id="33" w:name="_Toc48490461"/>
            <w:r>
              <w:rPr>
                <w:sz w:val="18"/>
              </w:rPr>
              <w:t>22,00</w:t>
            </w:r>
            <w:bookmarkEnd w:id="33"/>
          </w:p>
        </w:tc>
        <w:tc>
          <w:tcPr>
            <w:tcW w:w="1530" w:type="dxa"/>
          </w:tcPr>
          <w:p w:rsidR="00000000" w:rsidRDefault="00000000">
            <w:pPr>
              <w:pStyle w:val="DualTxt"/>
              <w:spacing w:before="60" w:after="100" w:line="220" w:lineRule="exact"/>
              <w:jc w:val="center"/>
              <w:rPr>
                <w:sz w:val="18"/>
              </w:rPr>
            </w:pPr>
            <w:bookmarkStart w:id="34" w:name="_Toc48490462"/>
            <w:r>
              <w:rPr>
                <w:sz w:val="18"/>
              </w:rPr>
              <w:t>51,50</w:t>
            </w:r>
            <w:bookmarkEnd w:id="34"/>
          </w:p>
        </w:tc>
        <w:tc>
          <w:tcPr>
            <w:tcW w:w="1710" w:type="dxa"/>
          </w:tcPr>
          <w:p w:rsidR="00000000" w:rsidRDefault="00000000">
            <w:pPr>
              <w:pStyle w:val="DualTxt"/>
              <w:spacing w:before="60" w:after="100" w:line="220" w:lineRule="exact"/>
              <w:jc w:val="center"/>
              <w:rPr>
                <w:sz w:val="18"/>
              </w:rPr>
            </w:pPr>
            <w:bookmarkStart w:id="35" w:name="_Toc48490463"/>
            <w:r>
              <w:rPr>
                <w:sz w:val="18"/>
              </w:rPr>
              <w:t>42,7</w:t>
            </w:r>
            <w:bookmarkEnd w:id="35"/>
          </w:p>
        </w:tc>
        <w:tc>
          <w:tcPr>
            <w:tcW w:w="1980" w:type="dxa"/>
          </w:tcPr>
          <w:p w:rsidR="00000000" w:rsidRDefault="00000000">
            <w:pPr>
              <w:pStyle w:val="DualTxt"/>
              <w:spacing w:before="60" w:after="100" w:line="220" w:lineRule="exact"/>
              <w:jc w:val="center"/>
              <w:rPr>
                <w:sz w:val="18"/>
              </w:rPr>
            </w:pPr>
            <w:bookmarkStart w:id="36" w:name="_Toc48490464"/>
            <w:r>
              <w:rPr>
                <w:sz w:val="18"/>
              </w:rPr>
              <w:t>71,87</w:t>
            </w:r>
            <w:bookmarkEnd w:id="36"/>
          </w:p>
        </w:tc>
        <w:tc>
          <w:tcPr>
            <w:tcW w:w="2259" w:type="dxa"/>
          </w:tcPr>
          <w:p w:rsidR="00000000" w:rsidRDefault="00000000">
            <w:pPr>
              <w:pStyle w:val="DualTxt"/>
              <w:spacing w:before="60" w:after="100" w:line="220" w:lineRule="exact"/>
              <w:jc w:val="center"/>
              <w:rPr>
                <w:sz w:val="18"/>
              </w:rPr>
            </w:pPr>
            <w:bookmarkStart w:id="37" w:name="_Toc48490465"/>
            <w:r>
              <w:rPr>
                <w:sz w:val="18"/>
              </w:rPr>
              <w:t>30,6</w:t>
            </w:r>
            <w:bookmarkEnd w:id="37"/>
          </w:p>
        </w:tc>
      </w:tr>
      <w:tr w:rsidR="00000000">
        <w:tblPrEx>
          <w:tblCellMar>
            <w:top w:w="0" w:type="dxa"/>
            <w:bottom w:w="0" w:type="dxa"/>
          </w:tblCellMar>
        </w:tblPrEx>
        <w:tc>
          <w:tcPr>
            <w:tcW w:w="810" w:type="dxa"/>
          </w:tcPr>
          <w:p w:rsidR="00000000" w:rsidRDefault="00000000">
            <w:pPr>
              <w:pStyle w:val="DualTxt"/>
              <w:spacing w:before="60" w:after="100" w:line="220" w:lineRule="exact"/>
              <w:rPr>
                <w:sz w:val="18"/>
              </w:rPr>
            </w:pPr>
            <w:bookmarkStart w:id="38" w:name="_Toc48490466"/>
            <w:r>
              <w:rPr>
                <w:sz w:val="18"/>
              </w:rPr>
              <w:t>1995</w:t>
            </w:r>
            <w:bookmarkEnd w:id="38"/>
          </w:p>
        </w:tc>
        <w:tc>
          <w:tcPr>
            <w:tcW w:w="1512" w:type="dxa"/>
          </w:tcPr>
          <w:p w:rsidR="00000000" w:rsidRDefault="00000000">
            <w:pPr>
              <w:pStyle w:val="DualTxt"/>
              <w:spacing w:before="60" w:after="100" w:line="220" w:lineRule="exact"/>
              <w:jc w:val="center"/>
              <w:rPr>
                <w:sz w:val="18"/>
              </w:rPr>
            </w:pPr>
            <w:bookmarkStart w:id="39" w:name="_Toc48490467"/>
            <w:r>
              <w:rPr>
                <w:sz w:val="18"/>
              </w:rPr>
              <w:t>28,00</w:t>
            </w:r>
            <w:bookmarkEnd w:id="39"/>
          </w:p>
        </w:tc>
        <w:tc>
          <w:tcPr>
            <w:tcW w:w="1530" w:type="dxa"/>
          </w:tcPr>
          <w:p w:rsidR="00000000" w:rsidRDefault="00000000">
            <w:pPr>
              <w:pStyle w:val="DualTxt"/>
              <w:spacing w:before="60" w:after="100" w:line="220" w:lineRule="exact"/>
              <w:jc w:val="center"/>
              <w:rPr>
                <w:sz w:val="18"/>
              </w:rPr>
            </w:pPr>
            <w:bookmarkStart w:id="40" w:name="_Toc48490468"/>
            <w:r>
              <w:rPr>
                <w:sz w:val="18"/>
              </w:rPr>
              <w:t>63,82</w:t>
            </w:r>
            <w:bookmarkEnd w:id="40"/>
          </w:p>
        </w:tc>
        <w:tc>
          <w:tcPr>
            <w:tcW w:w="1710" w:type="dxa"/>
          </w:tcPr>
          <w:p w:rsidR="00000000" w:rsidRDefault="00000000">
            <w:pPr>
              <w:pStyle w:val="DualTxt"/>
              <w:spacing w:before="60" w:after="100" w:line="220" w:lineRule="exact"/>
              <w:jc w:val="center"/>
              <w:rPr>
                <w:sz w:val="18"/>
              </w:rPr>
            </w:pPr>
            <w:bookmarkStart w:id="41" w:name="_Toc48490469"/>
            <w:r>
              <w:rPr>
                <w:sz w:val="18"/>
              </w:rPr>
              <w:t>43,9</w:t>
            </w:r>
            <w:bookmarkEnd w:id="41"/>
          </w:p>
        </w:tc>
        <w:tc>
          <w:tcPr>
            <w:tcW w:w="1980" w:type="dxa"/>
          </w:tcPr>
          <w:p w:rsidR="00000000" w:rsidRDefault="00000000">
            <w:pPr>
              <w:pStyle w:val="DualTxt"/>
              <w:spacing w:before="60" w:after="100" w:line="220" w:lineRule="exact"/>
              <w:jc w:val="center"/>
              <w:rPr>
                <w:sz w:val="18"/>
              </w:rPr>
            </w:pPr>
            <w:bookmarkStart w:id="42" w:name="_Toc48490470"/>
            <w:r>
              <w:rPr>
                <w:sz w:val="18"/>
              </w:rPr>
              <w:t>89,50</w:t>
            </w:r>
            <w:bookmarkEnd w:id="42"/>
          </w:p>
        </w:tc>
        <w:tc>
          <w:tcPr>
            <w:tcW w:w="2259" w:type="dxa"/>
          </w:tcPr>
          <w:p w:rsidR="00000000" w:rsidRDefault="00000000">
            <w:pPr>
              <w:pStyle w:val="DualTxt"/>
              <w:spacing w:before="60" w:after="100" w:line="220" w:lineRule="exact"/>
              <w:jc w:val="center"/>
              <w:rPr>
                <w:sz w:val="18"/>
              </w:rPr>
            </w:pPr>
            <w:bookmarkStart w:id="43" w:name="_Toc48490471"/>
            <w:r>
              <w:rPr>
                <w:sz w:val="18"/>
              </w:rPr>
              <w:t>31,3</w:t>
            </w:r>
            <w:bookmarkEnd w:id="43"/>
          </w:p>
        </w:tc>
      </w:tr>
      <w:tr w:rsidR="00000000">
        <w:tblPrEx>
          <w:tblCellMar>
            <w:top w:w="0" w:type="dxa"/>
            <w:bottom w:w="0" w:type="dxa"/>
          </w:tblCellMar>
        </w:tblPrEx>
        <w:tc>
          <w:tcPr>
            <w:tcW w:w="810" w:type="dxa"/>
          </w:tcPr>
          <w:p w:rsidR="00000000" w:rsidRDefault="00000000">
            <w:pPr>
              <w:pStyle w:val="DualTxt"/>
              <w:spacing w:before="60" w:after="100" w:line="220" w:lineRule="exact"/>
              <w:rPr>
                <w:sz w:val="18"/>
              </w:rPr>
            </w:pPr>
            <w:bookmarkStart w:id="44" w:name="_Toc48490472"/>
            <w:r>
              <w:rPr>
                <w:sz w:val="18"/>
              </w:rPr>
              <w:t>1996</w:t>
            </w:r>
            <w:bookmarkEnd w:id="44"/>
          </w:p>
        </w:tc>
        <w:tc>
          <w:tcPr>
            <w:tcW w:w="1512" w:type="dxa"/>
          </w:tcPr>
          <w:p w:rsidR="00000000" w:rsidRDefault="00000000">
            <w:pPr>
              <w:pStyle w:val="DualTxt"/>
              <w:spacing w:before="60" w:after="100" w:line="220" w:lineRule="exact"/>
              <w:jc w:val="center"/>
              <w:rPr>
                <w:sz w:val="18"/>
              </w:rPr>
            </w:pPr>
            <w:bookmarkStart w:id="45" w:name="_Toc48490473"/>
            <w:r>
              <w:rPr>
                <w:sz w:val="18"/>
              </w:rPr>
              <w:t>35,50</w:t>
            </w:r>
            <w:bookmarkEnd w:id="45"/>
          </w:p>
        </w:tc>
        <w:tc>
          <w:tcPr>
            <w:tcW w:w="1530" w:type="dxa"/>
          </w:tcPr>
          <w:p w:rsidR="00000000" w:rsidRDefault="00000000">
            <w:pPr>
              <w:pStyle w:val="DualTxt"/>
              <w:spacing w:before="60" w:after="100" w:line="220" w:lineRule="exact"/>
              <w:jc w:val="center"/>
              <w:rPr>
                <w:sz w:val="18"/>
              </w:rPr>
            </w:pPr>
            <w:bookmarkStart w:id="46" w:name="_Toc48490474"/>
            <w:r>
              <w:rPr>
                <w:sz w:val="18"/>
              </w:rPr>
              <w:t>73,78</w:t>
            </w:r>
            <w:bookmarkEnd w:id="46"/>
          </w:p>
        </w:tc>
        <w:tc>
          <w:tcPr>
            <w:tcW w:w="1710" w:type="dxa"/>
          </w:tcPr>
          <w:p w:rsidR="00000000" w:rsidRDefault="00000000">
            <w:pPr>
              <w:pStyle w:val="DualTxt"/>
              <w:spacing w:before="60" w:after="100" w:line="220" w:lineRule="exact"/>
              <w:jc w:val="center"/>
              <w:rPr>
                <w:sz w:val="18"/>
              </w:rPr>
            </w:pPr>
            <w:bookmarkStart w:id="47" w:name="_Toc48490475"/>
            <w:r>
              <w:rPr>
                <w:sz w:val="18"/>
              </w:rPr>
              <w:t>48,1</w:t>
            </w:r>
            <w:bookmarkEnd w:id="47"/>
          </w:p>
        </w:tc>
        <w:tc>
          <w:tcPr>
            <w:tcW w:w="1980" w:type="dxa"/>
          </w:tcPr>
          <w:p w:rsidR="00000000" w:rsidRDefault="00000000">
            <w:pPr>
              <w:pStyle w:val="DualTxt"/>
              <w:spacing w:before="60" w:after="100" w:line="220" w:lineRule="exact"/>
              <w:jc w:val="center"/>
              <w:rPr>
                <w:sz w:val="18"/>
              </w:rPr>
            </w:pPr>
            <w:bookmarkStart w:id="48" w:name="_Toc48490476"/>
            <w:r>
              <w:rPr>
                <w:sz w:val="18"/>
              </w:rPr>
              <w:t>98,73</w:t>
            </w:r>
            <w:bookmarkEnd w:id="48"/>
          </w:p>
        </w:tc>
        <w:tc>
          <w:tcPr>
            <w:tcW w:w="2259" w:type="dxa"/>
          </w:tcPr>
          <w:p w:rsidR="00000000" w:rsidRDefault="00000000">
            <w:pPr>
              <w:pStyle w:val="DualTxt"/>
              <w:spacing w:before="60" w:after="100" w:line="220" w:lineRule="exact"/>
              <w:jc w:val="center"/>
              <w:rPr>
                <w:sz w:val="18"/>
              </w:rPr>
            </w:pPr>
            <w:r>
              <w:rPr>
                <w:sz w:val="18"/>
              </w:rPr>
              <w:t>36,0</w:t>
            </w:r>
          </w:p>
        </w:tc>
      </w:tr>
      <w:tr w:rsidR="00000000">
        <w:tblPrEx>
          <w:tblCellMar>
            <w:top w:w="0" w:type="dxa"/>
            <w:bottom w:w="0" w:type="dxa"/>
          </w:tblCellMar>
        </w:tblPrEx>
        <w:tc>
          <w:tcPr>
            <w:tcW w:w="810" w:type="dxa"/>
          </w:tcPr>
          <w:p w:rsidR="00000000" w:rsidRDefault="00000000">
            <w:pPr>
              <w:pStyle w:val="DualTxt"/>
              <w:spacing w:before="60" w:after="100" w:line="220" w:lineRule="exact"/>
              <w:rPr>
                <w:sz w:val="18"/>
              </w:rPr>
            </w:pPr>
            <w:bookmarkStart w:id="49" w:name="_Toc48490477"/>
            <w:r>
              <w:rPr>
                <w:sz w:val="18"/>
              </w:rPr>
              <w:t>1997</w:t>
            </w:r>
            <w:bookmarkEnd w:id="49"/>
          </w:p>
        </w:tc>
        <w:tc>
          <w:tcPr>
            <w:tcW w:w="1512" w:type="dxa"/>
          </w:tcPr>
          <w:p w:rsidR="00000000" w:rsidRDefault="00000000">
            <w:pPr>
              <w:pStyle w:val="DualTxt"/>
              <w:spacing w:before="60" w:after="100" w:line="220" w:lineRule="exact"/>
              <w:jc w:val="center"/>
              <w:rPr>
                <w:sz w:val="18"/>
              </w:rPr>
            </w:pPr>
            <w:bookmarkStart w:id="50" w:name="_Toc48490478"/>
            <w:r>
              <w:rPr>
                <w:sz w:val="18"/>
              </w:rPr>
              <w:t>38,00</w:t>
            </w:r>
            <w:bookmarkEnd w:id="50"/>
          </w:p>
        </w:tc>
        <w:tc>
          <w:tcPr>
            <w:tcW w:w="1530" w:type="dxa"/>
          </w:tcPr>
          <w:p w:rsidR="00000000" w:rsidRDefault="00000000">
            <w:pPr>
              <w:pStyle w:val="DualTxt"/>
              <w:spacing w:before="60" w:after="100" w:line="220" w:lineRule="exact"/>
              <w:jc w:val="center"/>
              <w:rPr>
                <w:sz w:val="18"/>
              </w:rPr>
            </w:pPr>
            <w:bookmarkStart w:id="51" w:name="_Toc48490479"/>
            <w:r>
              <w:rPr>
                <w:sz w:val="18"/>
              </w:rPr>
              <w:t>78,78</w:t>
            </w:r>
            <w:bookmarkEnd w:id="51"/>
          </w:p>
        </w:tc>
        <w:tc>
          <w:tcPr>
            <w:tcW w:w="1710" w:type="dxa"/>
          </w:tcPr>
          <w:p w:rsidR="00000000" w:rsidRDefault="00000000">
            <w:pPr>
              <w:pStyle w:val="DualTxt"/>
              <w:spacing w:before="60" w:after="100" w:line="220" w:lineRule="exact"/>
              <w:jc w:val="center"/>
              <w:rPr>
                <w:sz w:val="18"/>
              </w:rPr>
            </w:pPr>
            <w:bookmarkStart w:id="52" w:name="_Toc48490480"/>
            <w:r>
              <w:rPr>
                <w:sz w:val="18"/>
              </w:rPr>
              <w:t>48,2</w:t>
            </w:r>
            <w:bookmarkEnd w:id="52"/>
          </w:p>
        </w:tc>
        <w:tc>
          <w:tcPr>
            <w:tcW w:w="1980" w:type="dxa"/>
          </w:tcPr>
          <w:p w:rsidR="00000000" w:rsidRDefault="00000000">
            <w:pPr>
              <w:pStyle w:val="DualTxt"/>
              <w:spacing w:before="60" w:after="100" w:line="220" w:lineRule="exact"/>
              <w:jc w:val="center"/>
              <w:rPr>
                <w:sz w:val="18"/>
              </w:rPr>
            </w:pPr>
            <w:bookmarkStart w:id="53" w:name="_Toc48490481"/>
            <w:r>
              <w:rPr>
                <w:sz w:val="18"/>
              </w:rPr>
              <w:t>120,03</w:t>
            </w:r>
            <w:bookmarkEnd w:id="53"/>
          </w:p>
        </w:tc>
        <w:tc>
          <w:tcPr>
            <w:tcW w:w="2259" w:type="dxa"/>
          </w:tcPr>
          <w:p w:rsidR="00000000" w:rsidRDefault="00000000">
            <w:pPr>
              <w:pStyle w:val="DualTxt"/>
              <w:spacing w:before="60" w:after="100" w:line="220" w:lineRule="exact"/>
              <w:jc w:val="center"/>
              <w:rPr>
                <w:sz w:val="18"/>
              </w:rPr>
            </w:pPr>
            <w:r>
              <w:rPr>
                <w:sz w:val="18"/>
              </w:rPr>
              <w:t>31,7</w:t>
            </w:r>
          </w:p>
        </w:tc>
      </w:tr>
      <w:tr w:rsidR="00000000">
        <w:tblPrEx>
          <w:tblCellMar>
            <w:top w:w="0" w:type="dxa"/>
            <w:bottom w:w="0" w:type="dxa"/>
          </w:tblCellMar>
        </w:tblPrEx>
        <w:tc>
          <w:tcPr>
            <w:tcW w:w="810" w:type="dxa"/>
          </w:tcPr>
          <w:p w:rsidR="00000000" w:rsidRDefault="00000000">
            <w:pPr>
              <w:pStyle w:val="DualTxt"/>
              <w:spacing w:before="60" w:after="100" w:line="220" w:lineRule="exact"/>
              <w:rPr>
                <w:sz w:val="18"/>
              </w:rPr>
            </w:pPr>
            <w:bookmarkStart w:id="54" w:name="_Toc48490482"/>
            <w:r>
              <w:rPr>
                <w:sz w:val="18"/>
              </w:rPr>
              <w:t>1998</w:t>
            </w:r>
            <w:bookmarkEnd w:id="54"/>
          </w:p>
        </w:tc>
        <w:tc>
          <w:tcPr>
            <w:tcW w:w="1512" w:type="dxa"/>
          </w:tcPr>
          <w:p w:rsidR="00000000" w:rsidRDefault="00000000">
            <w:pPr>
              <w:pStyle w:val="DualTxt"/>
              <w:spacing w:before="60" w:after="100" w:line="220" w:lineRule="exact"/>
              <w:jc w:val="center"/>
              <w:rPr>
                <w:sz w:val="18"/>
              </w:rPr>
            </w:pPr>
            <w:bookmarkStart w:id="55" w:name="_Toc48490483"/>
            <w:r>
              <w:rPr>
                <w:sz w:val="18"/>
              </w:rPr>
              <w:t>42,00</w:t>
            </w:r>
            <w:bookmarkEnd w:id="55"/>
          </w:p>
        </w:tc>
        <w:tc>
          <w:tcPr>
            <w:tcW w:w="1530" w:type="dxa"/>
          </w:tcPr>
          <w:p w:rsidR="00000000" w:rsidRDefault="00000000">
            <w:pPr>
              <w:pStyle w:val="DualTxt"/>
              <w:spacing w:before="60" w:after="100" w:line="220" w:lineRule="exact"/>
              <w:jc w:val="center"/>
              <w:rPr>
                <w:sz w:val="18"/>
              </w:rPr>
            </w:pPr>
            <w:bookmarkStart w:id="56" w:name="_Toc48490484"/>
            <w:r>
              <w:rPr>
                <w:sz w:val="18"/>
              </w:rPr>
              <w:t>82,43</w:t>
            </w:r>
            <w:bookmarkEnd w:id="56"/>
          </w:p>
        </w:tc>
        <w:tc>
          <w:tcPr>
            <w:tcW w:w="1710" w:type="dxa"/>
          </w:tcPr>
          <w:p w:rsidR="00000000" w:rsidRDefault="00000000">
            <w:pPr>
              <w:pStyle w:val="DualTxt"/>
              <w:spacing w:before="60" w:after="100" w:line="220" w:lineRule="exact"/>
              <w:jc w:val="center"/>
              <w:rPr>
                <w:sz w:val="18"/>
              </w:rPr>
            </w:pPr>
            <w:bookmarkStart w:id="57" w:name="_Toc48490485"/>
            <w:r>
              <w:rPr>
                <w:sz w:val="18"/>
              </w:rPr>
              <w:t>50,9</w:t>
            </w:r>
            <w:bookmarkEnd w:id="57"/>
          </w:p>
        </w:tc>
        <w:tc>
          <w:tcPr>
            <w:tcW w:w="1980" w:type="dxa"/>
          </w:tcPr>
          <w:p w:rsidR="00000000" w:rsidRDefault="00000000">
            <w:pPr>
              <w:pStyle w:val="DualTxt"/>
              <w:spacing w:before="60" w:after="100" w:line="220" w:lineRule="exact"/>
              <w:jc w:val="center"/>
              <w:rPr>
                <w:sz w:val="18"/>
              </w:rPr>
            </w:pPr>
            <w:bookmarkStart w:id="58" w:name="_Toc48490486"/>
            <w:r>
              <w:rPr>
                <w:sz w:val="18"/>
              </w:rPr>
              <w:t>133,30</w:t>
            </w:r>
            <w:bookmarkEnd w:id="58"/>
          </w:p>
        </w:tc>
        <w:tc>
          <w:tcPr>
            <w:tcW w:w="2259" w:type="dxa"/>
          </w:tcPr>
          <w:p w:rsidR="00000000" w:rsidRDefault="00000000">
            <w:pPr>
              <w:pStyle w:val="DualTxt"/>
              <w:spacing w:before="60" w:after="100" w:line="220" w:lineRule="exact"/>
              <w:jc w:val="center"/>
              <w:rPr>
                <w:sz w:val="18"/>
              </w:rPr>
            </w:pPr>
            <w:bookmarkStart w:id="59" w:name="_Toc48490487"/>
            <w:r>
              <w:rPr>
                <w:sz w:val="18"/>
              </w:rPr>
              <w:t>31,5</w:t>
            </w:r>
            <w:bookmarkEnd w:id="59"/>
          </w:p>
        </w:tc>
      </w:tr>
      <w:tr w:rsidR="00000000">
        <w:tblPrEx>
          <w:tblCellMar>
            <w:top w:w="0" w:type="dxa"/>
            <w:bottom w:w="0" w:type="dxa"/>
          </w:tblCellMar>
        </w:tblPrEx>
        <w:tc>
          <w:tcPr>
            <w:tcW w:w="810" w:type="dxa"/>
          </w:tcPr>
          <w:p w:rsidR="00000000" w:rsidRDefault="00000000">
            <w:pPr>
              <w:pStyle w:val="DualTxt"/>
              <w:spacing w:before="60" w:after="100" w:line="220" w:lineRule="exact"/>
              <w:rPr>
                <w:sz w:val="18"/>
              </w:rPr>
            </w:pPr>
            <w:bookmarkStart w:id="60" w:name="_Toc48490488"/>
            <w:r>
              <w:rPr>
                <w:sz w:val="18"/>
              </w:rPr>
              <w:t>1999</w:t>
            </w:r>
            <w:bookmarkEnd w:id="60"/>
          </w:p>
        </w:tc>
        <w:tc>
          <w:tcPr>
            <w:tcW w:w="1512" w:type="dxa"/>
          </w:tcPr>
          <w:p w:rsidR="00000000" w:rsidRDefault="00000000">
            <w:pPr>
              <w:pStyle w:val="DualTxt"/>
              <w:spacing w:before="60" w:after="100" w:line="220" w:lineRule="exact"/>
              <w:jc w:val="center"/>
              <w:rPr>
                <w:sz w:val="18"/>
              </w:rPr>
            </w:pPr>
            <w:bookmarkStart w:id="61" w:name="_Toc48490489"/>
            <w:r>
              <w:rPr>
                <w:sz w:val="18"/>
              </w:rPr>
              <w:t>50,00</w:t>
            </w:r>
            <w:bookmarkEnd w:id="61"/>
          </w:p>
        </w:tc>
        <w:tc>
          <w:tcPr>
            <w:tcW w:w="1530" w:type="dxa"/>
          </w:tcPr>
          <w:p w:rsidR="00000000" w:rsidRDefault="00000000">
            <w:pPr>
              <w:pStyle w:val="DualTxt"/>
              <w:spacing w:before="60" w:after="100" w:line="220" w:lineRule="exact"/>
              <w:jc w:val="center"/>
              <w:rPr>
                <w:sz w:val="18"/>
              </w:rPr>
            </w:pPr>
            <w:bookmarkStart w:id="62" w:name="_Toc48490490"/>
            <w:r>
              <w:rPr>
                <w:sz w:val="18"/>
              </w:rPr>
              <w:t>83,18</w:t>
            </w:r>
            <w:bookmarkEnd w:id="62"/>
          </w:p>
        </w:tc>
        <w:tc>
          <w:tcPr>
            <w:tcW w:w="1710" w:type="dxa"/>
          </w:tcPr>
          <w:p w:rsidR="00000000" w:rsidRDefault="00000000">
            <w:pPr>
              <w:pStyle w:val="DualTxt"/>
              <w:spacing w:before="60" w:after="100" w:line="220" w:lineRule="exact"/>
              <w:jc w:val="center"/>
              <w:rPr>
                <w:sz w:val="18"/>
              </w:rPr>
            </w:pPr>
            <w:bookmarkStart w:id="63" w:name="_Toc48490491"/>
            <w:r>
              <w:rPr>
                <w:sz w:val="18"/>
              </w:rPr>
              <w:t>60,1</w:t>
            </w:r>
            <w:bookmarkEnd w:id="63"/>
          </w:p>
        </w:tc>
        <w:tc>
          <w:tcPr>
            <w:tcW w:w="1980" w:type="dxa"/>
          </w:tcPr>
          <w:p w:rsidR="00000000" w:rsidRDefault="00000000">
            <w:pPr>
              <w:pStyle w:val="DualTxt"/>
              <w:spacing w:before="60" w:after="100" w:line="220" w:lineRule="exact"/>
              <w:jc w:val="center"/>
              <w:rPr>
                <w:sz w:val="18"/>
              </w:rPr>
            </w:pPr>
            <w:bookmarkStart w:id="64" w:name="_Toc48490492"/>
            <w:r>
              <w:rPr>
                <w:sz w:val="18"/>
              </w:rPr>
              <w:t>140,99</w:t>
            </w:r>
            <w:bookmarkEnd w:id="64"/>
          </w:p>
        </w:tc>
        <w:tc>
          <w:tcPr>
            <w:tcW w:w="2259" w:type="dxa"/>
          </w:tcPr>
          <w:p w:rsidR="00000000" w:rsidRDefault="00000000">
            <w:pPr>
              <w:pStyle w:val="DualTxt"/>
              <w:spacing w:before="60" w:after="100" w:line="220" w:lineRule="exact"/>
              <w:jc w:val="center"/>
              <w:rPr>
                <w:sz w:val="18"/>
              </w:rPr>
            </w:pPr>
            <w:bookmarkStart w:id="65" w:name="_Toc48490493"/>
            <w:r>
              <w:rPr>
                <w:sz w:val="18"/>
              </w:rPr>
              <w:t>35,5</w:t>
            </w:r>
            <w:bookmarkEnd w:id="65"/>
          </w:p>
        </w:tc>
      </w:tr>
      <w:tr w:rsidR="00000000">
        <w:tblPrEx>
          <w:tblCellMar>
            <w:top w:w="0" w:type="dxa"/>
            <w:bottom w:w="0" w:type="dxa"/>
          </w:tblCellMar>
        </w:tblPrEx>
        <w:tc>
          <w:tcPr>
            <w:tcW w:w="810" w:type="dxa"/>
          </w:tcPr>
          <w:p w:rsidR="00000000" w:rsidRDefault="00000000">
            <w:pPr>
              <w:pStyle w:val="DualTxt"/>
              <w:spacing w:before="60" w:after="100" w:line="220" w:lineRule="exact"/>
              <w:rPr>
                <w:sz w:val="18"/>
              </w:rPr>
            </w:pPr>
            <w:bookmarkStart w:id="66" w:name="_Toc48490494"/>
            <w:r>
              <w:rPr>
                <w:sz w:val="18"/>
              </w:rPr>
              <w:t>2000</w:t>
            </w:r>
            <w:bookmarkEnd w:id="66"/>
          </w:p>
        </w:tc>
        <w:tc>
          <w:tcPr>
            <w:tcW w:w="1512" w:type="dxa"/>
          </w:tcPr>
          <w:p w:rsidR="00000000" w:rsidRDefault="00000000">
            <w:pPr>
              <w:pStyle w:val="DualTxt"/>
              <w:spacing w:before="60" w:after="100" w:line="220" w:lineRule="exact"/>
              <w:jc w:val="center"/>
              <w:rPr>
                <w:sz w:val="18"/>
              </w:rPr>
            </w:pPr>
            <w:bookmarkStart w:id="67" w:name="_Toc48490495"/>
            <w:r>
              <w:rPr>
                <w:sz w:val="18"/>
              </w:rPr>
              <w:t>50,00</w:t>
            </w:r>
            <w:bookmarkEnd w:id="67"/>
          </w:p>
        </w:tc>
        <w:tc>
          <w:tcPr>
            <w:tcW w:w="1530" w:type="dxa"/>
          </w:tcPr>
          <w:p w:rsidR="00000000" w:rsidRDefault="00000000">
            <w:pPr>
              <w:pStyle w:val="DualTxt"/>
              <w:spacing w:before="60" w:after="100" w:line="220" w:lineRule="exact"/>
              <w:jc w:val="center"/>
              <w:rPr>
                <w:sz w:val="18"/>
              </w:rPr>
            </w:pPr>
            <w:bookmarkStart w:id="68" w:name="_Toc48490496"/>
            <w:r>
              <w:rPr>
                <w:sz w:val="18"/>
              </w:rPr>
              <w:t>84,47</w:t>
            </w:r>
            <w:bookmarkEnd w:id="68"/>
          </w:p>
        </w:tc>
        <w:tc>
          <w:tcPr>
            <w:tcW w:w="1710" w:type="dxa"/>
          </w:tcPr>
          <w:p w:rsidR="00000000" w:rsidRDefault="00000000">
            <w:pPr>
              <w:pStyle w:val="DualTxt"/>
              <w:spacing w:before="60" w:after="100" w:line="220" w:lineRule="exact"/>
              <w:jc w:val="center"/>
              <w:rPr>
                <w:sz w:val="18"/>
              </w:rPr>
            </w:pPr>
            <w:bookmarkStart w:id="69" w:name="_Toc48490497"/>
            <w:r>
              <w:rPr>
                <w:sz w:val="18"/>
              </w:rPr>
              <w:t>59,2</w:t>
            </w:r>
            <w:bookmarkEnd w:id="69"/>
          </w:p>
        </w:tc>
        <w:tc>
          <w:tcPr>
            <w:tcW w:w="1980" w:type="dxa"/>
          </w:tcPr>
          <w:p w:rsidR="00000000" w:rsidRDefault="00000000">
            <w:pPr>
              <w:pStyle w:val="DualTxt"/>
              <w:spacing w:before="60" w:after="100" w:line="220" w:lineRule="exact"/>
              <w:jc w:val="center"/>
              <w:rPr>
                <w:sz w:val="18"/>
              </w:rPr>
            </w:pPr>
            <w:bookmarkStart w:id="70" w:name="_Toc48490498"/>
            <w:r>
              <w:rPr>
                <w:sz w:val="18"/>
              </w:rPr>
              <w:t>149,53</w:t>
            </w:r>
            <w:bookmarkEnd w:id="70"/>
          </w:p>
        </w:tc>
        <w:tc>
          <w:tcPr>
            <w:tcW w:w="2259" w:type="dxa"/>
          </w:tcPr>
          <w:p w:rsidR="00000000" w:rsidRDefault="00000000">
            <w:pPr>
              <w:pStyle w:val="DualTxt"/>
              <w:spacing w:before="60" w:after="100" w:line="220" w:lineRule="exact"/>
              <w:jc w:val="center"/>
              <w:rPr>
                <w:sz w:val="18"/>
              </w:rPr>
            </w:pPr>
            <w:bookmarkStart w:id="71" w:name="_Toc48490499"/>
            <w:r>
              <w:rPr>
                <w:sz w:val="18"/>
              </w:rPr>
              <w:t>33,4</w:t>
            </w:r>
            <w:bookmarkEnd w:id="71"/>
          </w:p>
        </w:tc>
      </w:tr>
      <w:tr w:rsidR="00000000">
        <w:tblPrEx>
          <w:tblCellMar>
            <w:top w:w="0" w:type="dxa"/>
            <w:bottom w:w="0" w:type="dxa"/>
          </w:tblCellMar>
        </w:tblPrEx>
        <w:tc>
          <w:tcPr>
            <w:tcW w:w="810" w:type="dxa"/>
          </w:tcPr>
          <w:p w:rsidR="00000000" w:rsidRDefault="00000000">
            <w:pPr>
              <w:pStyle w:val="DualTxt"/>
              <w:spacing w:before="60" w:after="100" w:line="220" w:lineRule="exact"/>
              <w:rPr>
                <w:sz w:val="18"/>
              </w:rPr>
            </w:pPr>
            <w:bookmarkStart w:id="72" w:name="_Toc48490500"/>
            <w:r>
              <w:rPr>
                <w:sz w:val="18"/>
              </w:rPr>
              <w:t>2001</w:t>
            </w:r>
            <w:bookmarkEnd w:id="72"/>
          </w:p>
        </w:tc>
        <w:tc>
          <w:tcPr>
            <w:tcW w:w="1512" w:type="dxa"/>
          </w:tcPr>
          <w:p w:rsidR="00000000" w:rsidRDefault="00000000">
            <w:pPr>
              <w:pStyle w:val="DualTxt"/>
              <w:spacing w:before="60" w:after="100" w:line="220" w:lineRule="exact"/>
              <w:jc w:val="center"/>
              <w:rPr>
                <w:sz w:val="18"/>
              </w:rPr>
            </w:pPr>
            <w:bookmarkStart w:id="73" w:name="_Toc48490501"/>
            <w:r>
              <w:rPr>
                <w:sz w:val="18"/>
              </w:rPr>
              <w:t>55,00</w:t>
            </w:r>
            <w:bookmarkEnd w:id="73"/>
          </w:p>
        </w:tc>
        <w:tc>
          <w:tcPr>
            <w:tcW w:w="1530" w:type="dxa"/>
          </w:tcPr>
          <w:p w:rsidR="00000000" w:rsidRDefault="00000000">
            <w:pPr>
              <w:pStyle w:val="DualTxt"/>
              <w:spacing w:before="60" w:after="100" w:line="220" w:lineRule="exact"/>
              <w:jc w:val="center"/>
              <w:rPr>
                <w:sz w:val="18"/>
              </w:rPr>
            </w:pPr>
            <w:bookmarkStart w:id="74" w:name="_Toc48490502"/>
            <w:r>
              <w:rPr>
                <w:sz w:val="18"/>
              </w:rPr>
              <w:t>86,93</w:t>
            </w:r>
            <w:bookmarkEnd w:id="74"/>
          </w:p>
        </w:tc>
        <w:tc>
          <w:tcPr>
            <w:tcW w:w="1710" w:type="dxa"/>
          </w:tcPr>
          <w:p w:rsidR="00000000" w:rsidRDefault="00000000">
            <w:pPr>
              <w:pStyle w:val="DualTxt"/>
              <w:spacing w:before="60" w:after="100" w:line="220" w:lineRule="exact"/>
              <w:jc w:val="center"/>
              <w:rPr>
                <w:sz w:val="18"/>
              </w:rPr>
            </w:pPr>
            <w:bookmarkStart w:id="75" w:name="_Toc48490503"/>
            <w:r>
              <w:rPr>
                <w:sz w:val="18"/>
              </w:rPr>
              <w:t>69,0</w:t>
            </w:r>
            <w:bookmarkEnd w:id="75"/>
          </w:p>
        </w:tc>
        <w:tc>
          <w:tcPr>
            <w:tcW w:w="1980" w:type="dxa"/>
          </w:tcPr>
          <w:p w:rsidR="00000000" w:rsidRDefault="00000000">
            <w:pPr>
              <w:pStyle w:val="DualTxt"/>
              <w:spacing w:before="60" w:after="100" w:line="220" w:lineRule="exact"/>
              <w:jc w:val="center"/>
              <w:rPr>
                <w:sz w:val="18"/>
              </w:rPr>
            </w:pPr>
            <w:bookmarkStart w:id="76" w:name="_Toc48490504"/>
            <w:r>
              <w:rPr>
                <w:sz w:val="18"/>
              </w:rPr>
              <w:t>160,61</w:t>
            </w:r>
            <w:bookmarkEnd w:id="76"/>
            <w:r>
              <w:rPr>
                <w:sz w:val="18"/>
              </w:rPr>
              <w:br/>
              <w:t>(прогноз)</w:t>
            </w:r>
          </w:p>
        </w:tc>
        <w:tc>
          <w:tcPr>
            <w:tcW w:w="2259" w:type="dxa"/>
          </w:tcPr>
          <w:p w:rsidR="00000000" w:rsidRDefault="00000000">
            <w:pPr>
              <w:pStyle w:val="DualTxt"/>
              <w:spacing w:before="60" w:after="100" w:line="220" w:lineRule="exact"/>
              <w:jc w:val="center"/>
              <w:rPr>
                <w:sz w:val="18"/>
              </w:rPr>
            </w:pPr>
            <w:r>
              <w:rPr>
                <w:sz w:val="18"/>
              </w:rPr>
              <w:t>34,2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140.</w:t>
      </w:r>
      <w:r>
        <w:tab/>
        <w:t>Трудовой кодекс предусматривал общее равенство физических лиц в тр</w:t>
      </w:r>
      <w:r>
        <w:t>у</w:t>
      </w:r>
      <w:r>
        <w:t>довых отношениях. Он также предусматривал, что после заключения трудового ко</w:t>
      </w:r>
      <w:r>
        <w:t>н</w:t>
      </w:r>
      <w:r>
        <w:t>тракта с работодателем трудящийся получает право на вознаграждение.</w:t>
      </w:r>
    </w:p>
    <w:p w:rsidR="00000000" w:rsidRDefault="00000000">
      <w:pPr>
        <w:pStyle w:val="SingleTxt"/>
      </w:pPr>
      <w:r>
        <w:t>141.</w:t>
      </w:r>
      <w:r>
        <w:tab/>
        <w:t>Закон о труде предусматривает, что, заключая трудовой контракт, труд</w:t>
      </w:r>
      <w:r>
        <w:t>я</w:t>
      </w:r>
      <w:r>
        <w:t>щийся берет обязательство выполнить определенное производственное задание в соответствии с установленной рабочей процедурой и инструкциями, данными работодателем, в то время как работодатель берет обязательство выплатить с</w:t>
      </w:r>
      <w:r>
        <w:t>о</w:t>
      </w:r>
      <w:r>
        <w:t>гласованное вознаграждение и обеспечить нормальные и безопасные для зд</w:t>
      </w:r>
      <w:r>
        <w:t>о</w:t>
      </w:r>
      <w:r>
        <w:t>ровья условия работы. Работодатель обязан устанавливать равный размер во</w:t>
      </w:r>
      <w:r>
        <w:t>з</w:t>
      </w:r>
      <w:r>
        <w:t>награждения для мужчин и для женщин за одинаковую работу или за работу, имеющую одинаковую ценность. Если работодатель нарушает положения, с</w:t>
      </w:r>
      <w:r>
        <w:t>о</w:t>
      </w:r>
      <w:r>
        <w:t>держащиеся в соответствующей статье, работник имеет право требовать возн</w:t>
      </w:r>
      <w:r>
        <w:t>а</w:t>
      </w:r>
      <w:r>
        <w:t>граждение, которое обычно выплачивается работодателем за такую же работу или за работу такой же ценности.</w:t>
      </w:r>
    </w:p>
    <w:p w:rsidR="00000000" w:rsidRDefault="00000000">
      <w:pPr>
        <w:pStyle w:val="SingleTxt"/>
      </w:pPr>
      <w:r>
        <w:t>142.</w:t>
      </w:r>
      <w:r>
        <w:tab/>
        <w:t>Что касается оценки интеллектуальной работы, то кабинет министров принял 28 мая 1996 года Постановление No. 185 «Постановление об основных методах оценки интеллектуального труда и определения квалификационных категорий», положения которого применяются для оценки интеллектуальной работы на предприятиях, в государственных и религиозных организациях, п</w:t>
      </w:r>
      <w:r>
        <w:t>о</w:t>
      </w:r>
      <w:r>
        <w:t>литических партиях и т.д. Учреждения, финансируемые из государственного бюджета, обязаны применять вышеуказанное Постановление. В настоящее время гот</w:t>
      </w:r>
      <w:r>
        <w:t>о</w:t>
      </w:r>
      <w:r>
        <w:t>вится проект постановления об оценке физического труда.</w:t>
      </w:r>
    </w:p>
    <w:p w:rsidR="00000000" w:rsidRDefault="00000000">
      <w:pPr>
        <w:pStyle w:val="SingleTxt"/>
      </w:pPr>
      <w:r>
        <w:t>143.</w:t>
      </w:r>
      <w:r>
        <w:tab/>
        <w:t>Размер вознаграждения за дополнительный труд и сверхурочное время также рассчитывается независимо от пола работника.</w:t>
      </w:r>
    </w:p>
    <w:p w:rsidR="00000000" w:rsidRDefault="00000000">
      <w:pPr>
        <w:pStyle w:val="SingleTxt"/>
      </w:pPr>
      <w:r>
        <w:t>144.</w:t>
      </w:r>
      <w:r>
        <w:tab/>
        <w:t>В Латвии существует несколько законодательных актов (например, законы «О судопроизводстве», «О государственном контроле», «О Прокуратуре»), к</w:t>
      </w:r>
      <w:r>
        <w:t>о</w:t>
      </w:r>
      <w:r>
        <w:t>торые регулируют системы вознаграждения для работников учреждений, ф</w:t>
      </w:r>
      <w:r>
        <w:t>и</w:t>
      </w:r>
      <w:r>
        <w:t>нансируемых за счет государственного бюджета. В этом случае вознаграждение работников определяется в зависимости от должности и квалификационной к</w:t>
      </w:r>
      <w:r>
        <w:t>а</w:t>
      </w:r>
      <w:r>
        <w:t>т</w:t>
      </w:r>
      <w:r>
        <w:t>е</w:t>
      </w:r>
      <w:r>
        <w:t>гории.</w:t>
      </w:r>
    </w:p>
    <w:p w:rsidR="00000000" w:rsidRDefault="00000000">
      <w:pPr>
        <w:pStyle w:val="SingleTxt"/>
      </w:pPr>
      <w:r>
        <w:t>145.</w:t>
      </w:r>
      <w:r>
        <w:tab/>
        <w:t>Каждый из вышеупомянутых нормативных актов утверждает принцип равного вознаграждения за работу одинаковой ценности. Однако учитывая тот факт, что вознаграждение трудящихся, работающих в различных учреждениях, финансируемых за счет государственного бюджета, регулируется конкретными законодательными актами, этот принцип не всегда выполняется, и в различных учреждениях за работу одинаковой ценности может выплачиваться разное во</w:t>
      </w:r>
      <w:r>
        <w:t>з</w:t>
      </w:r>
      <w:r>
        <w:t>награждение. Размер этого вознаграждения не связан с полом лица, а опоср</w:t>
      </w:r>
      <w:r>
        <w:t>е</w:t>
      </w:r>
      <w:r>
        <w:t>дован наличием различных систем вознаграждения: анализ базовых окладов в рамках этих систем не был взаимно скоординирован, что обусловило сущес</w:t>
      </w:r>
      <w:r>
        <w:t>т</w:t>
      </w:r>
      <w:r>
        <w:t>венные различия в размере базовых окладов и других расходов на выполнение работы одинаковой ценности. Чтобы устранить существующие противоречия и улучшить положение в области определения размера вознаграждений, мин</w:t>
      </w:r>
      <w:r>
        <w:t>и</w:t>
      </w:r>
      <w:r>
        <w:t>стерство финансов приступило к работе по проведению реформы системы во</w:t>
      </w:r>
      <w:r>
        <w:t>з</w:t>
      </w:r>
      <w:r>
        <w:t>награждения, которая предусматривает создание двух новых систем вознагр</w:t>
      </w:r>
      <w:r>
        <w:t>а</w:t>
      </w:r>
      <w:r>
        <w:t>ждения.</w:t>
      </w:r>
    </w:p>
    <w:p w:rsidR="00000000" w:rsidRDefault="00000000">
      <w:pPr>
        <w:pStyle w:val="SingleTxt"/>
      </w:pPr>
      <w:r>
        <w:t>146.</w:t>
      </w:r>
      <w:r>
        <w:tab/>
        <w:t>В соответствии с Законом 2001 года «О государственной гражданской службе» кабинет министров принял Постановление No.20 «Постановление о вознаграждении и пособиях для государственных гражданских служащих» (2 января 2001 года). Это Постановление устанавливает процедуру определ</w:t>
      </w:r>
      <w:r>
        <w:t>е</w:t>
      </w:r>
      <w:r>
        <w:t>ния вознаграждений и пособий, а также их размеров для гражданских служ</w:t>
      </w:r>
      <w:r>
        <w:t>а</w:t>
      </w:r>
      <w:r>
        <w:t>щих до полного осуществления новой системы вознаграждения для государс</w:t>
      </w:r>
      <w:r>
        <w:t>т</w:t>
      </w:r>
      <w:r>
        <w:t>венных у</w:t>
      </w:r>
      <w:r>
        <w:t>ч</w:t>
      </w:r>
      <w:r>
        <w:t>реждений.</w:t>
      </w:r>
    </w:p>
    <w:p w:rsidR="00000000" w:rsidRDefault="00000000">
      <w:pPr>
        <w:pStyle w:val="SingleTxt"/>
      </w:pPr>
      <w:r>
        <w:t>147.</w:t>
      </w:r>
      <w:r>
        <w:tab/>
        <w:t>Статья 85 Закона о труде предусматривала, что вознаграждение работн</w:t>
      </w:r>
      <w:r>
        <w:t>и</w:t>
      </w:r>
      <w:r>
        <w:t>ков государственных и местных учреждений, предприятий и организаций о</w:t>
      </w:r>
      <w:r>
        <w:t>п</w:t>
      </w:r>
      <w:r>
        <w:t>ределяется в соответствии с финансовыми возможностями соответствующего учреждения, предприятия или организации на основе коллективного трудового контракта или индивидуального трудового контракта независимо от пола р</w:t>
      </w:r>
      <w:r>
        <w:t>а</w:t>
      </w:r>
      <w:r>
        <w:t>ботника. Та же статья предусматривала, что название официальной должности, ремесла, профессии или специальности определяется работодателем на основе Классификации профессий, а квалификационные категории присваиваются с</w:t>
      </w:r>
      <w:r>
        <w:t>о</w:t>
      </w:r>
      <w:r>
        <w:t>гласно выполняемой работе. В соответствии со статьей 36 Закона «О госуда</w:t>
      </w:r>
      <w:r>
        <w:t>р</w:t>
      </w:r>
      <w:r>
        <w:t>ственной гражданской службе» и пунктом 2 Постановления No.185 кабинета министров от 28 мая 1996 года, озаглавленного «Постановление об основных методах оценки интеллектуального труда и определения квалификационных категорий», кабинет министров выпустил 23 октября 2001 года Инструкцию No.5 «Процедура оценки должностей и определения профессиональных кв</w:t>
      </w:r>
      <w:r>
        <w:t>а</w:t>
      </w:r>
      <w:r>
        <w:t>лификационных категорий», которая устанавливает единую процедуру и ед</w:t>
      </w:r>
      <w:r>
        <w:t>и</w:t>
      </w:r>
      <w:r>
        <w:t>ные критерии для оценки должностей и определения квалификационных кат</w:t>
      </w:r>
      <w:r>
        <w:t>е</w:t>
      </w:r>
      <w:r>
        <w:t>горий, применимых к должностям гражданской службы.</w:t>
      </w:r>
    </w:p>
    <w:p w:rsidR="00000000" w:rsidRDefault="00000000">
      <w:pPr>
        <w:pStyle w:val="SingleTxt"/>
      </w:pPr>
      <w:r>
        <w:t>148.</w:t>
      </w:r>
      <w:r>
        <w:tab/>
        <w:t>В настоящее время осуществляется первый этап реформы системы возн</w:t>
      </w:r>
      <w:r>
        <w:t>а</w:t>
      </w:r>
      <w:r>
        <w:t>граждения: разрабатывается единая система вознаграждения для должностных лиц и работников государственных административных учреждений, которая является одним из элементов государственной административной реформы. В соответствии с новой системой вознаграждения размер вознаграждения для должностных лиц и работников государственных административных учрежд</w:t>
      </w:r>
      <w:r>
        <w:t>е</w:t>
      </w:r>
      <w:r>
        <w:t>ний будет устанавливаться с учетом следующих факторов:</w:t>
      </w:r>
    </w:p>
    <w:p w:rsidR="00000000" w:rsidRDefault="00000000">
      <w:pPr>
        <w:pStyle w:val="SingleTxt"/>
      </w:pPr>
      <w:r>
        <w:tab/>
        <w:t>a)</w:t>
      </w:r>
      <w:r>
        <w:tab/>
        <w:t>квалификационных категорий должностей, которые будут опред</w:t>
      </w:r>
      <w:r>
        <w:t>е</w:t>
      </w:r>
      <w:r>
        <w:t>ляться на основе оценки должности в соответствии с методологией оценки должностей;</w:t>
      </w:r>
    </w:p>
    <w:p w:rsidR="00000000" w:rsidRDefault="00000000">
      <w:pPr>
        <w:pStyle w:val="SingleTxt"/>
      </w:pPr>
      <w:r>
        <w:tab/>
        <w:t>b)</w:t>
      </w:r>
      <w:r>
        <w:tab/>
        <w:t>квалификационных разрядов должностных лиц и работников, кот</w:t>
      </w:r>
      <w:r>
        <w:t>о</w:t>
      </w:r>
      <w:r>
        <w:t>рые будут присваиваться на основе методологии оценки должностей.</w:t>
      </w:r>
    </w:p>
    <w:p w:rsidR="00000000" w:rsidRDefault="00000000">
      <w:pPr>
        <w:pStyle w:val="SingleTxt"/>
      </w:pPr>
      <w:r>
        <w:t>149.</w:t>
      </w:r>
      <w:r>
        <w:tab/>
        <w:t>Таким образом главным критерием оценки в рамках новой системы возн</w:t>
      </w:r>
      <w:r>
        <w:t>а</w:t>
      </w:r>
      <w:r>
        <w:t>граждения будет личный вклад должностного лица или работника и повышение качества труда; в результате размер вознаграждения каждого должностного л</w:t>
      </w:r>
      <w:r>
        <w:t>и</w:t>
      </w:r>
      <w:r>
        <w:t>ца и работника будет зависеть от их трудовых результатов. В соответствии с вышесказанным в рамках новой системы вознаграждения будет учитываться принцип гендерного равенства, и вознаграждение конкретного лица не будет зависеть от его расы, цвета кожи, пола, возраста, религиозной, политической или иной принадлежности, национального или социального происхождения и имущественного положения.</w:t>
      </w:r>
    </w:p>
    <w:p w:rsidR="00000000" w:rsidRDefault="00000000">
      <w:pPr>
        <w:pStyle w:val="SingleTxt"/>
      </w:pPr>
      <w:r>
        <w:t>150.</w:t>
      </w:r>
      <w:r>
        <w:tab/>
        <w:t>В Латвии сравнительно мало женщин-работодателей (см. таблицу):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Распределение занятого населения по положению в области занятости (в %)</w:t>
      </w:r>
    </w:p>
    <w:p w:rsidR="00000000" w:rsidRDefault="00000000">
      <w:pPr>
        <w:pStyle w:val="SingleTxt"/>
        <w:spacing w:after="0" w:line="120" w:lineRule="exact"/>
        <w:rPr>
          <w:b/>
          <w:sz w:val="10"/>
        </w:rPr>
      </w:pPr>
    </w:p>
    <w:p w:rsidR="00000000" w:rsidRDefault="00000000">
      <w:pPr>
        <w:pStyle w:val="SingleTxt"/>
        <w:rPr>
          <w:b/>
        </w:rPr>
      </w:pPr>
    </w:p>
    <w:tbl>
      <w:tblPr>
        <w:tblW w:w="0" w:type="auto"/>
        <w:tblInd w:w="1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4"/>
        <w:gridCol w:w="972"/>
        <w:gridCol w:w="972"/>
        <w:gridCol w:w="999"/>
        <w:gridCol w:w="990"/>
        <w:gridCol w:w="963"/>
        <w:gridCol w:w="981"/>
        <w:gridCol w:w="972"/>
        <w:gridCol w:w="963"/>
      </w:tblGrid>
      <w:tr w:rsidR="00000000">
        <w:tblPrEx>
          <w:tblCellMar>
            <w:top w:w="0" w:type="dxa"/>
            <w:bottom w:w="0" w:type="dxa"/>
          </w:tblCellMar>
        </w:tblPrEx>
        <w:trPr>
          <w:cantSplit/>
        </w:trPr>
        <w:tc>
          <w:tcPr>
            <w:tcW w:w="774" w:type="dxa"/>
            <w:vAlign w:val="bottom"/>
          </w:tcPr>
          <w:p w:rsidR="00000000" w:rsidRDefault="00000000">
            <w:pPr>
              <w:pStyle w:val="DualTxt"/>
              <w:spacing w:before="60" w:line="200" w:lineRule="exact"/>
              <w:jc w:val="left"/>
              <w:rPr>
                <w:sz w:val="16"/>
              </w:rPr>
            </w:pPr>
          </w:p>
        </w:tc>
        <w:tc>
          <w:tcPr>
            <w:tcW w:w="1944" w:type="dxa"/>
            <w:gridSpan w:val="2"/>
            <w:vAlign w:val="bottom"/>
          </w:tcPr>
          <w:p w:rsidR="00000000" w:rsidRDefault="00000000">
            <w:pPr>
              <w:pStyle w:val="DualTxt"/>
              <w:spacing w:before="60" w:line="200" w:lineRule="exact"/>
              <w:jc w:val="left"/>
              <w:rPr>
                <w:sz w:val="16"/>
              </w:rPr>
            </w:pPr>
            <w:r>
              <w:rPr>
                <w:sz w:val="16"/>
              </w:rPr>
              <w:t>Трудящиеся</w:t>
            </w:r>
          </w:p>
        </w:tc>
        <w:tc>
          <w:tcPr>
            <w:tcW w:w="1989" w:type="dxa"/>
            <w:gridSpan w:val="2"/>
            <w:vAlign w:val="bottom"/>
          </w:tcPr>
          <w:p w:rsidR="00000000" w:rsidRDefault="00000000">
            <w:pPr>
              <w:pStyle w:val="DualTxt"/>
              <w:spacing w:before="60" w:line="200" w:lineRule="exact"/>
              <w:jc w:val="left"/>
              <w:rPr>
                <w:sz w:val="16"/>
              </w:rPr>
            </w:pPr>
            <w:r>
              <w:rPr>
                <w:sz w:val="16"/>
              </w:rPr>
              <w:t>Работодатели</w:t>
            </w:r>
          </w:p>
        </w:tc>
        <w:tc>
          <w:tcPr>
            <w:tcW w:w="1944" w:type="dxa"/>
            <w:gridSpan w:val="2"/>
            <w:vAlign w:val="bottom"/>
          </w:tcPr>
          <w:p w:rsidR="00000000" w:rsidRDefault="00000000">
            <w:pPr>
              <w:pStyle w:val="DualTxt"/>
              <w:spacing w:before="60" w:line="200" w:lineRule="exact"/>
              <w:jc w:val="left"/>
              <w:rPr>
                <w:sz w:val="16"/>
              </w:rPr>
            </w:pPr>
            <w:r>
              <w:rPr>
                <w:sz w:val="16"/>
              </w:rPr>
              <w:t>Работающие не по найму</w:t>
            </w:r>
          </w:p>
        </w:tc>
        <w:tc>
          <w:tcPr>
            <w:tcW w:w="1935" w:type="dxa"/>
            <w:gridSpan w:val="2"/>
            <w:vAlign w:val="bottom"/>
          </w:tcPr>
          <w:p w:rsidR="00000000" w:rsidRDefault="00000000">
            <w:pPr>
              <w:pStyle w:val="DualTxt"/>
              <w:spacing w:before="60" w:line="200" w:lineRule="exact"/>
              <w:jc w:val="left"/>
              <w:rPr>
                <w:sz w:val="16"/>
              </w:rPr>
            </w:pPr>
            <w:r>
              <w:rPr>
                <w:sz w:val="16"/>
              </w:rPr>
              <w:t>Не получающие возн</w:t>
            </w:r>
            <w:r>
              <w:rPr>
                <w:sz w:val="16"/>
              </w:rPr>
              <w:t>а</w:t>
            </w:r>
            <w:r>
              <w:rPr>
                <w:sz w:val="16"/>
              </w:rPr>
              <w:t>граждения члены с</w:t>
            </w:r>
            <w:r>
              <w:rPr>
                <w:sz w:val="16"/>
              </w:rPr>
              <w:t>е</w:t>
            </w:r>
            <w:r>
              <w:rPr>
                <w:sz w:val="16"/>
              </w:rPr>
              <w:t>мей, ро</w:t>
            </w:r>
            <w:r>
              <w:rPr>
                <w:sz w:val="16"/>
              </w:rPr>
              <w:t>д</w:t>
            </w:r>
            <w:r>
              <w:rPr>
                <w:sz w:val="16"/>
              </w:rPr>
              <w:t>ственники</w:t>
            </w:r>
          </w:p>
        </w:tc>
      </w:tr>
      <w:tr w:rsidR="00000000">
        <w:tblPrEx>
          <w:tblCellMar>
            <w:top w:w="0" w:type="dxa"/>
            <w:bottom w:w="0" w:type="dxa"/>
          </w:tblCellMar>
        </w:tblPrEx>
        <w:tc>
          <w:tcPr>
            <w:tcW w:w="774" w:type="dxa"/>
          </w:tcPr>
          <w:p w:rsidR="00000000" w:rsidRDefault="00000000">
            <w:pPr>
              <w:pStyle w:val="DualTxt"/>
              <w:spacing w:before="60" w:after="100" w:line="180" w:lineRule="exact"/>
              <w:rPr>
                <w:sz w:val="16"/>
              </w:rPr>
            </w:pPr>
            <w:r>
              <w:rPr>
                <w:sz w:val="16"/>
              </w:rPr>
              <w:t>Год</w:t>
            </w:r>
          </w:p>
        </w:tc>
        <w:tc>
          <w:tcPr>
            <w:tcW w:w="972" w:type="dxa"/>
          </w:tcPr>
          <w:p w:rsidR="00000000" w:rsidRDefault="00000000">
            <w:pPr>
              <w:pStyle w:val="DualTxt"/>
              <w:spacing w:before="60" w:after="100" w:line="180" w:lineRule="exact"/>
              <w:rPr>
                <w:sz w:val="16"/>
              </w:rPr>
            </w:pPr>
            <w:r>
              <w:rPr>
                <w:sz w:val="16"/>
              </w:rPr>
              <w:t>Мужч</w:t>
            </w:r>
            <w:r>
              <w:rPr>
                <w:sz w:val="16"/>
              </w:rPr>
              <w:t>и</w:t>
            </w:r>
            <w:r>
              <w:rPr>
                <w:sz w:val="16"/>
              </w:rPr>
              <w:t>ны</w:t>
            </w:r>
          </w:p>
        </w:tc>
        <w:tc>
          <w:tcPr>
            <w:tcW w:w="972" w:type="dxa"/>
          </w:tcPr>
          <w:p w:rsidR="00000000" w:rsidRDefault="00000000">
            <w:pPr>
              <w:pStyle w:val="DualTxt"/>
              <w:spacing w:before="60" w:after="100" w:line="180" w:lineRule="exact"/>
              <w:rPr>
                <w:sz w:val="16"/>
              </w:rPr>
            </w:pPr>
            <w:r>
              <w:rPr>
                <w:sz w:val="16"/>
              </w:rPr>
              <w:t>Женщ</w:t>
            </w:r>
            <w:r>
              <w:rPr>
                <w:sz w:val="16"/>
              </w:rPr>
              <w:t>и</w:t>
            </w:r>
            <w:r>
              <w:rPr>
                <w:sz w:val="16"/>
              </w:rPr>
              <w:t>ны</w:t>
            </w:r>
          </w:p>
        </w:tc>
        <w:tc>
          <w:tcPr>
            <w:tcW w:w="999" w:type="dxa"/>
          </w:tcPr>
          <w:p w:rsidR="00000000" w:rsidRDefault="00000000">
            <w:pPr>
              <w:pStyle w:val="DualTxt"/>
              <w:spacing w:before="60" w:after="100" w:line="180" w:lineRule="exact"/>
              <w:rPr>
                <w:sz w:val="16"/>
              </w:rPr>
            </w:pPr>
            <w:r>
              <w:rPr>
                <w:sz w:val="16"/>
              </w:rPr>
              <w:t>Мужч</w:t>
            </w:r>
            <w:r>
              <w:rPr>
                <w:sz w:val="16"/>
              </w:rPr>
              <w:t>и</w:t>
            </w:r>
            <w:r>
              <w:rPr>
                <w:sz w:val="16"/>
              </w:rPr>
              <w:t>ны</w:t>
            </w:r>
          </w:p>
        </w:tc>
        <w:tc>
          <w:tcPr>
            <w:tcW w:w="990" w:type="dxa"/>
          </w:tcPr>
          <w:p w:rsidR="00000000" w:rsidRDefault="00000000">
            <w:pPr>
              <w:pStyle w:val="DualTxt"/>
              <w:spacing w:before="60" w:after="100" w:line="180" w:lineRule="exact"/>
              <w:rPr>
                <w:sz w:val="16"/>
              </w:rPr>
            </w:pPr>
            <w:r>
              <w:rPr>
                <w:sz w:val="16"/>
              </w:rPr>
              <w:t>Женщ</w:t>
            </w:r>
            <w:r>
              <w:rPr>
                <w:sz w:val="16"/>
              </w:rPr>
              <w:t>и</w:t>
            </w:r>
            <w:r>
              <w:rPr>
                <w:sz w:val="16"/>
              </w:rPr>
              <w:t>ны</w:t>
            </w:r>
          </w:p>
        </w:tc>
        <w:tc>
          <w:tcPr>
            <w:tcW w:w="963" w:type="dxa"/>
          </w:tcPr>
          <w:p w:rsidR="00000000" w:rsidRDefault="00000000">
            <w:pPr>
              <w:pStyle w:val="DualTxt"/>
              <w:spacing w:before="60" w:after="100" w:line="180" w:lineRule="exact"/>
              <w:rPr>
                <w:sz w:val="16"/>
              </w:rPr>
            </w:pPr>
            <w:r>
              <w:rPr>
                <w:sz w:val="16"/>
              </w:rPr>
              <w:t>Мужч</w:t>
            </w:r>
            <w:r>
              <w:rPr>
                <w:sz w:val="16"/>
              </w:rPr>
              <w:t>и</w:t>
            </w:r>
            <w:r>
              <w:rPr>
                <w:sz w:val="16"/>
              </w:rPr>
              <w:t>ны</w:t>
            </w:r>
          </w:p>
        </w:tc>
        <w:tc>
          <w:tcPr>
            <w:tcW w:w="981" w:type="dxa"/>
          </w:tcPr>
          <w:p w:rsidR="00000000" w:rsidRDefault="00000000">
            <w:pPr>
              <w:pStyle w:val="DualTxt"/>
              <w:spacing w:before="60" w:after="100" w:line="180" w:lineRule="exact"/>
              <w:rPr>
                <w:sz w:val="16"/>
              </w:rPr>
            </w:pPr>
            <w:r>
              <w:rPr>
                <w:sz w:val="16"/>
              </w:rPr>
              <w:t>Женщины</w:t>
            </w:r>
          </w:p>
        </w:tc>
        <w:tc>
          <w:tcPr>
            <w:tcW w:w="972" w:type="dxa"/>
          </w:tcPr>
          <w:p w:rsidR="00000000" w:rsidRDefault="00000000">
            <w:pPr>
              <w:pStyle w:val="DualTxt"/>
              <w:spacing w:before="60" w:after="100" w:line="180" w:lineRule="exact"/>
              <w:rPr>
                <w:sz w:val="16"/>
              </w:rPr>
            </w:pPr>
            <w:r>
              <w:rPr>
                <w:sz w:val="16"/>
              </w:rPr>
              <w:t xml:space="preserve">Мужчины </w:t>
            </w:r>
          </w:p>
        </w:tc>
        <w:tc>
          <w:tcPr>
            <w:tcW w:w="963" w:type="dxa"/>
          </w:tcPr>
          <w:p w:rsidR="00000000" w:rsidRDefault="00000000">
            <w:pPr>
              <w:pStyle w:val="DualTxt"/>
              <w:spacing w:before="60" w:after="100" w:line="180" w:lineRule="exact"/>
              <w:rPr>
                <w:sz w:val="16"/>
              </w:rPr>
            </w:pPr>
            <w:r>
              <w:rPr>
                <w:sz w:val="16"/>
              </w:rPr>
              <w:t>Женщ</w:t>
            </w:r>
            <w:r>
              <w:rPr>
                <w:sz w:val="16"/>
              </w:rPr>
              <w:t>и</w:t>
            </w:r>
            <w:r>
              <w:rPr>
                <w:sz w:val="16"/>
              </w:rPr>
              <w:t>ны</w:t>
            </w:r>
          </w:p>
        </w:tc>
      </w:tr>
      <w:tr w:rsidR="00000000">
        <w:tblPrEx>
          <w:tblCellMar>
            <w:top w:w="0" w:type="dxa"/>
            <w:bottom w:w="0" w:type="dxa"/>
          </w:tblCellMar>
        </w:tblPrEx>
        <w:tc>
          <w:tcPr>
            <w:tcW w:w="774" w:type="dxa"/>
          </w:tcPr>
          <w:p w:rsidR="00000000" w:rsidRDefault="00000000">
            <w:pPr>
              <w:pStyle w:val="DualTxt"/>
              <w:spacing w:before="60" w:after="100" w:line="220" w:lineRule="exact"/>
            </w:pPr>
            <w:r>
              <w:t>1995</w:t>
            </w:r>
          </w:p>
        </w:tc>
        <w:tc>
          <w:tcPr>
            <w:tcW w:w="972" w:type="dxa"/>
          </w:tcPr>
          <w:p w:rsidR="00000000" w:rsidRDefault="00000000">
            <w:pPr>
              <w:pStyle w:val="DualTxt"/>
              <w:spacing w:before="60" w:after="100" w:line="220" w:lineRule="exact"/>
              <w:jc w:val="center"/>
            </w:pPr>
            <w:r>
              <w:t>51,7</w:t>
            </w:r>
          </w:p>
        </w:tc>
        <w:tc>
          <w:tcPr>
            <w:tcW w:w="972" w:type="dxa"/>
          </w:tcPr>
          <w:p w:rsidR="00000000" w:rsidRDefault="00000000">
            <w:pPr>
              <w:pStyle w:val="DualTxt"/>
              <w:spacing w:before="60" w:after="100" w:line="220" w:lineRule="exact"/>
              <w:jc w:val="center"/>
            </w:pPr>
            <w:r>
              <w:t>48,3</w:t>
            </w:r>
          </w:p>
        </w:tc>
        <w:tc>
          <w:tcPr>
            <w:tcW w:w="999" w:type="dxa"/>
          </w:tcPr>
          <w:p w:rsidR="00000000" w:rsidRDefault="00000000">
            <w:pPr>
              <w:pStyle w:val="DualTxt"/>
              <w:spacing w:before="60" w:after="100" w:line="220" w:lineRule="exact"/>
              <w:jc w:val="center"/>
            </w:pPr>
            <w:r>
              <w:t>70,3</w:t>
            </w:r>
          </w:p>
        </w:tc>
        <w:tc>
          <w:tcPr>
            <w:tcW w:w="990" w:type="dxa"/>
          </w:tcPr>
          <w:p w:rsidR="00000000" w:rsidRDefault="00000000">
            <w:pPr>
              <w:pStyle w:val="DualTxt"/>
              <w:spacing w:before="60" w:after="100" w:line="220" w:lineRule="exact"/>
              <w:jc w:val="center"/>
            </w:pPr>
            <w:r>
              <w:t>29,7</w:t>
            </w:r>
          </w:p>
        </w:tc>
        <w:tc>
          <w:tcPr>
            <w:tcW w:w="963" w:type="dxa"/>
          </w:tcPr>
          <w:p w:rsidR="00000000" w:rsidRDefault="00000000">
            <w:pPr>
              <w:pStyle w:val="DualTxt"/>
              <w:spacing w:before="60" w:after="100" w:line="220" w:lineRule="exact"/>
              <w:jc w:val="center"/>
            </w:pPr>
            <w:r>
              <w:t>64,6</w:t>
            </w:r>
          </w:p>
        </w:tc>
        <w:tc>
          <w:tcPr>
            <w:tcW w:w="981" w:type="dxa"/>
          </w:tcPr>
          <w:p w:rsidR="00000000" w:rsidRDefault="00000000">
            <w:pPr>
              <w:pStyle w:val="DualTxt"/>
              <w:spacing w:before="60" w:after="100" w:line="220" w:lineRule="exact"/>
              <w:jc w:val="center"/>
            </w:pPr>
            <w:r>
              <w:t>35,4</w:t>
            </w:r>
          </w:p>
        </w:tc>
        <w:tc>
          <w:tcPr>
            <w:tcW w:w="972" w:type="dxa"/>
          </w:tcPr>
          <w:p w:rsidR="00000000" w:rsidRDefault="00000000">
            <w:pPr>
              <w:pStyle w:val="DualTxt"/>
              <w:spacing w:before="60" w:after="100" w:line="220" w:lineRule="exact"/>
              <w:jc w:val="center"/>
            </w:pPr>
            <w:r>
              <w:t>45,3</w:t>
            </w:r>
          </w:p>
        </w:tc>
        <w:tc>
          <w:tcPr>
            <w:tcW w:w="963" w:type="dxa"/>
          </w:tcPr>
          <w:p w:rsidR="00000000" w:rsidRDefault="00000000">
            <w:pPr>
              <w:pStyle w:val="DualTxt"/>
              <w:spacing w:before="60" w:after="100" w:line="220" w:lineRule="exact"/>
              <w:jc w:val="center"/>
            </w:pPr>
            <w:r>
              <w:t>54,7</w:t>
            </w:r>
          </w:p>
        </w:tc>
      </w:tr>
      <w:tr w:rsidR="00000000">
        <w:tblPrEx>
          <w:tblCellMar>
            <w:top w:w="0" w:type="dxa"/>
            <w:bottom w:w="0" w:type="dxa"/>
          </w:tblCellMar>
        </w:tblPrEx>
        <w:tc>
          <w:tcPr>
            <w:tcW w:w="774" w:type="dxa"/>
          </w:tcPr>
          <w:p w:rsidR="00000000" w:rsidRDefault="00000000">
            <w:pPr>
              <w:pStyle w:val="DualTxt"/>
              <w:spacing w:before="60" w:after="100" w:line="220" w:lineRule="exact"/>
            </w:pPr>
            <w:r>
              <w:t>1996</w:t>
            </w:r>
          </w:p>
        </w:tc>
        <w:tc>
          <w:tcPr>
            <w:tcW w:w="972" w:type="dxa"/>
          </w:tcPr>
          <w:p w:rsidR="00000000" w:rsidRDefault="00000000">
            <w:pPr>
              <w:pStyle w:val="DualTxt"/>
              <w:spacing w:before="60" w:after="100" w:line="220" w:lineRule="exact"/>
              <w:jc w:val="center"/>
            </w:pPr>
            <w:r>
              <w:t>51,1</w:t>
            </w:r>
          </w:p>
        </w:tc>
        <w:tc>
          <w:tcPr>
            <w:tcW w:w="972" w:type="dxa"/>
          </w:tcPr>
          <w:p w:rsidR="00000000" w:rsidRDefault="00000000">
            <w:pPr>
              <w:pStyle w:val="DualTxt"/>
              <w:spacing w:before="60" w:after="100" w:line="220" w:lineRule="exact"/>
              <w:jc w:val="center"/>
            </w:pPr>
            <w:r>
              <w:t>48,9</w:t>
            </w:r>
          </w:p>
        </w:tc>
        <w:tc>
          <w:tcPr>
            <w:tcW w:w="999" w:type="dxa"/>
          </w:tcPr>
          <w:p w:rsidR="00000000" w:rsidRDefault="00000000">
            <w:pPr>
              <w:pStyle w:val="DualTxt"/>
              <w:spacing w:before="60" w:after="100" w:line="220" w:lineRule="exact"/>
              <w:jc w:val="center"/>
            </w:pPr>
            <w:r>
              <w:t>72,0</w:t>
            </w:r>
          </w:p>
        </w:tc>
        <w:tc>
          <w:tcPr>
            <w:tcW w:w="990" w:type="dxa"/>
          </w:tcPr>
          <w:p w:rsidR="00000000" w:rsidRDefault="00000000">
            <w:pPr>
              <w:pStyle w:val="DualTxt"/>
              <w:spacing w:before="60" w:after="100" w:line="220" w:lineRule="exact"/>
              <w:jc w:val="center"/>
            </w:pPr>
            <w:r>
              <w:t>28,0</w:t>
            </w:r>
          </w:p>
        </w:tc>
        <w:tc>
          <w:tcPr>
            <w:tcW w:w="963" w:type="dxa"/>
          </w:tcPr>
          <w:p w:rsidR="00000000" w:rsidRDefault="00000000">
            <w:pPr>
              <w:pStyle w:val="DualTxt"/>
              <w:spacing w:before="60" w:after="100" w:line="220" w:lineRule="exact"/>
              <w:jc w:val="center"/>
            </w:pPr>
            <w:r>
              <w:t>60,3</w:t>
            </w:r>
          </w:p>
        </w:tc>
        <w:tc>
          <w:tcPr>
            <w:tcW w:w="981" w:type="dxa"/>
          </w:tcPr>
          <w:p w:rsidR="00000000" w:rsidRDefault="00000000">
            <w:pPr>
              <w:pStyle w:val="DualTxt"/>
              <w:spacing w:before="60" w:after="100" w:line="220" w:lineRule="exact"/>
              <w:jc w:val="center"/>
            </w:pPr>
            <w:r>
              <w:t>39,7</w:t>
            </w:r>
          </w:p>
        </w:tc>
        <w:tc>
          <w:tcPr>
            <w:tcW w:w="972" w:type="dxa"/>
          </w:tcPr>
          <w:p w:rsidR="00000000" w:rsidRDefault="00000000">
            <w:pPr>
              <w:pStyle w:val="DualTxt"/>
              <w:spacing w:before="60" w:after="100" w:line="220" w:lineRule="exact"/>
              <w:jc w:val="center"/>
            </w:pPr>
            <w:r>
              <w:t>46,1</w:t>
            </w:r>
          </w:p>
        </w:tc>
        <w:tc>
          <w:tcPr>
            <w:tcW w:w="963" w:type="dxa"/>
          </w:tcPr>
          <w:p w:rsidR="00000000" w:rsidRDefault="00000000">
            <w:pPr>
              <w:pStyle w:val="DualTxt"/>
              <w:spacing w:before="60" w:after="100" w:line="220" w:lineRule="exact"/>
              <w:jc w:val="center"/>
            </w:pPr>
            <w:r>
              <w:t>53,9</w:t>
            </w:r>
          </w:p>
        </w:tc>
      </w:tr>
      <w:tr w:rsidR="00000000">
        <w:tblPrEx>
          <w:tblCellMar>
            <w:top w:w="0" w:type="dxa"/>
            <w:bottom w:w="0" w:type="dxa"/>
          </w:tblCellMar>
        </w:tblPrEx>
        <w:tc>
          <w:tcPr>
            <w:tcW w:w="774" w:type="dxa"/>
          </w:tcPr>
          <w:p w:rsidR="00000000" w:rsidRDefault="00000000">
            <w:pPr>
              <w:pStyle w:val="DualTxt"/>
              <w:spacing w:before="60" w:after="100" w:line="220" w:lineRule="exact"/>
            </w:pPr>
            <w:r>
              <w:t>1997</w:t>
            </w:r>
          </w:p>
        </w:tc>
        <w:tc>
          <w:tcPr>
            <w:tcW w:w="972" w:type="dxa"/>
          </w:tcPr>
          <w:p w:rsidR="00000000" w:rsidRDefault="00000000">
            <w:pPr>
              <w:pStyle w:val="DualTxt"/>
              <w:spacing w:before="60" w:after="100" w:line="220" w:lineRule="exact"/>
              <w:jc w:val="center"/>
            </w:pPr>
            <w:r>
              <w:t>51,2</w:t>
            </w:r>
          </w:p>
        </w:tc>
        <w:tc>
          <w:tcPr>
            <w:tcW w:w="972" w:type="dxa"/>
          </w:tcPr>
          <w:p w:rsidR="00000000" w:rsidRDefault="00000000">
            <w:pPr>
              <w:pStyle w:val="DualTxt"/>
              <w:spacing w:before="60" w:after="100" w:line="220" w:lineRule="exact"/>
              <w:jc w:val="center"/>
            </w:pPr>
            <w:r>
              <w:t>48,8</w:t>
            </w:r>
          </w:p>
        </w:tc>
        <w:tc>
          <w:tcPr>
            <w:tcW w:w="999" w:type="dxa"/>
          </w:tcPr>
          <w:p w:rsidR="00000000" w:rsidRDefault="00000000">
            <w:pPr>
              <w:pStyle w:val="DualTxt"/>
              <w:spacing w:before="60" w:after="100" w:line="220" w:lineRule="exact"/>
              <w:jc w:val="center"/>
            </w:pPr>
            <w:r>
              <w:t>75,6</w:t>
            </w:r>
          </w:p>
        </w:tc>
        <w:tc>
          <w:tcPr>
            <w:tcW w:w="990" w:type="dxa"/>
          </w:tcPr>
          <w:p w:rsidR="00000000" w:rsidRDefault="00000000">
            <w:pPr>
              <w:pStyle w:val="DualTxt"/>
              <w:spacing w:before="60" w:after="100" w:line="220" w:lineRule="exact"/>
              <w:jc w:val="center"/>
            </w:pPr>
            <w:r>
              <w:t>24,4</w:t>
            </w:r>
          </w:p>
        </w:tc>
        <w:tc>
          <w:tcPr>
            <w:tcW w:w="963" w:type="dxa"/>
          </w:tcPr>
          <w:p w:rsidR="00000000" w:rsidRDefault="00000000">
            <w:pPr>
              <w:pStyle w:val="DualTxt"/>
              <w:spacing w:before="60" w:after="100" w:line="220" w:lineRule="exact"/>
              <w:jc w:val="center"/>
            </w:pPr>
            <w:r>
              <w:t>54,8</w:t>
            </w:r>
          </w:p>
        </w:tc>
        <w:tc>
          <w:tcPr>
            <w:tcW w:w="981" w:type="dxa"/>
          </w:tcPr>
          <w:p w:rsidR="00000000" w:rsidRDefault="00000000">
            <w:pPr>
              <w:pStyle w:val="DualTxt"/>
              <w:spacing w:before="60" w:after="100" w:line="220" w:lineRule="exact"/>
              <w:jc w:val="center"/>
            </w:pPr>
            <w:r>
              <w:t>45,2</w:t>
            </w:r>
          </w:p>
        </w:tc>
        <w:tc>
          <w:tcPr>
            <w:tcW w:w="972" w:type="dxa"/>
          </w:tcPr>
          <w:p w:rsidR="00000000" w:rsidRDefault="00000000">
            <w:pPr>
              <w:pStyle w:val="DualTxt"/>
              <w:spacing w:before="60" w:after="100" w:line="220" w:lineRule="exact"/>
              <w:jc w:val="center"/>
            </w:pPr>
            <w:r>
              <w:t>43,0</w:t>
            </w:r>
          </w:p>
        </w:tc>
        <w:tc>
          <w:tcPr>
            <w:tcW w:w="963" w:type="dxa"/>
          </w:tcPr>
          <w:p w:rsidR="00000000" w:rsidRDefault="00000000">
            <w:pPr>
              <w:pStyle w:val="DualTxt"/>
              <w:spacing w:before="60" w:after="100" w:line="220" w:lineRule="exact"/>
              <w:jc w:val="center"/>
            </w:pPr>
            <w:r>
              <w:t>57,0</w:t>
            </w:r>
          </w:p>
        </w:tc>
      </w:tr>
      <w:tr w:rsidR="00000000">
        <w:tblPrEx>
          <w:tblCellMar>
            <w:top w:w="0" w:type="dxa"/>
            <w:bottom w:w="0" w:type="dxa"/>
          </w:tblCellMar>
        </w:tblPrEx>
        <w:tc>
          <w:tcPr>
            <w:tcW w:w="774" w:type="dxa"/>
          </w:tcPr>
          <w:p w:rsidR="00000000" w:rsidRDefault="00000000">
            <w:pPr>
              <w:pStyle w:val="DualTxt"/>
              <w:spacing w:before="60" w:after="100" w:line="220" w:lineRule="exact"/>
            </w:pPr>
            <w:r>
              <w:t>1998</w:t>
            </w:r>
          </w:p>
        </w:tc>
        <w:tc>
          <w:tcPr>
            <w:tcW w:w="972" w:type="dxa"/>
          </w:tcPr>
          <w:p w:rsidR="00000000" w:rsidRDefault="00000000">
            <w:pPr>
              <w:pStyle w:val="DualTxt"/>
              <w:spacing w:before="60" w:after="100" w:line="220" w:lineRule="exact"/>
              <w:jc w:val="center"/>
            </w:pPr>
            <w:r>
              <w:t>52,3</w:t>
            </w:r>
          </w:p>
        </w:tc>
        <w:tc>
          <w:tcPr>
            <w:tcW w:w="972" w:type="dxa"/>
          </w:tcPr>
          <w:p w:rsidR="00000000" w:rsidRDefault="00000000">
            <w:pPr>
              <w:pStyle w:val="DualTxt"/>
              <w:spacing w:before="60" w:after="100" w:line="220" w:lineRule="exact"/>
              <w:jc w:val="center"/>
            </w:pPr>
            <w:r>
              <w:t>47,7</w:t>
            </w:r>
          </w:p>
        </w:tc>
        <w:tc>
          <w:tcPr>
            <w:tcW w:w="999" w:type="dxa"/>
          </w:tcPr>
          <w:p w:rsidR="00000000" w:rsidRDefault="00000000">
            <w:pPr>
              <w:pStyle w:val="DualTxt"/>
              <w:spacing w:before="60" w:after="100" w:line="220" w:lineRule="exact"/>
              <w:jc w:val="center"/>
            </w:pPr>
            <w:r>
              <w:t>69,3</w:t>
            </w:r>
          </w:p>
        </w:tc>
        <w:tc>
          <w:tcPr>
            <w:tcW w:w="990" w:type="dxa"/>
          </w:tcPr>
          <w:p w:rsidR="00000000" w:rsidRDefault="00000000">
            <w:pPr>
              <w:pStyle w:val="DualTxt"/>
              <w:spacing w:before="60" w:after="100" w:line="220" w:lineRule="exact"/>
              <w:jc w:val="center"/>
            </w:pPr>
            <w:r>
              <w:t>30,7</w:t>
            </w:r>
          </w:p>
        </w:tc>
        <w:tc>
          <w:tcPr>
            <w:tcW w:w="963" w:type="dxa"/>
          </w:tcPr>
          <w:p w:rsidR="00000000" w:rsidRDefault="00000000">
            <w:pPr>
              <w:pStyle w:val="DualTxt"/>
              <w:spacing w:before="60" w:after="100" w:line="220" w:lineRule="exact"/>
              <w:jc w:val="center"/>
            </w:pPr>
            <w:r>
              <w:t>57,4</w:t>
            </w:r>
          </w:p>
        </w:tc>
        <w:tc>
          <w:tcPr>
            <w:tcW w:w="981" w:type="dxa"/>
          </w:tcPr>
          <w:p w:rsidR="00000000" w:rsidRDefault="00000000">
            <w:pPr>
              <w:pStyle w:val="DualTxt"/>
              <w:spacing w:before="60" w:after="100" w:line="220" w:lineRule="exact"/>
              <w:jc w:val="center"/>
            </w:pPr>
            <w:r>
              <w:t>42,6</w:t>
            </w:r>
          </w:p>
        </w:tc>
        <w:tc>
          <w:tcPr>
            <w:tcW w:w="972" w:type="dxa"/>
          </w:tcPr>
          <w:p w:rsidR="00000000" w:rsidRDefault="00000000">
            <w:pPr>
              <w:pStyle w:val="DualTxt"/>
              <w:spacing w:before="60" w:after="100" w:line="220" w:lineRule="exact"/>
              <w:jc w:val="center"/>
            </w:pPr>
            <w:r>
              <w:t>45,9</w:t>
            </w:r>
          </w:p>
        </w:tc>
        <w:tc>
          <w:tcPr>
            <w:tcW w:w="963" w:type="dxa"/>
          </w:tcPr>
          <w:p w:rsidR="00000000" w:rsidRDefault="00000000">
            <w:pPr>
              <w:pStyle w:val="DualTxt"/>
              <w:spacing w:before="60" w:after="100" w:line="220" w:lineRule="exact"/>
              <w:jc w:val="center"/>
            </w:pPr>
            <w:r>
              <w:t>54,1</w:t>
            </w:r>
          </w:p>
        </w:tc>
      </w:tr>
      <w:tr w:rsidR="00000000">
        <w:tblPrEx>
          <w:tblCellMar>
            <w:top w:w="0" w:type="dxa"/>
            <w:bottom w:w="0" w:type="dxa"/>
          </w:tblCellMar>
        </w:tblPrEx>
        <w:tc>
          <w:tcPr>
            <w:tcW w:w="774" w:type="dxa"/>
          </w:tcPr>
          <w:p w:rsidR="00000000" w:rsidRDefault="00000000">
            <w:pPr>
              <w:pStyle w:val="DualTxt"/>
              <w:spacing w:before="60" w:after="100" w:line="220" w:lineRule="exact"/>
            </w:pPr>
            <w:r>
              <w:t>1999</w:t>
            </w:r>
          </w:p>
        </w:tc>
        <w:tc>
          <w:tcPr>
            <w:tcW w:w="972" w:type="dxa"/>
          </w:tcPr>
          <w:p w:rsidR="00000000" w:rsidRDefault="00000000">
            <w:pPr>
              <w:pStyle w:val="DualTxt"/>
              <w:spacing w:before="60" w:after="100" w:line="220" w:lineRule="exact"/>
              <w:jc w:val="center"/>
            </w:pPr>
            <w:r>
              <w:t>51,6</w:t>
            </w:r>
          </w:p>
        </w:tc>
        <w:tc>
          <w:tcPr>
            <w:tcW w:w="972" w:type="dxa"/>
          </w:tcPr>
          <w:p w:rsidR="00000000" w:rsidRDefault="00000000">
            <w:pPr>
              <w:pStyle w:val="DualTxt"/>
              <w:spacing w:before="60" w:after="100" w:line="220" w:lineRule="exact"/>
              <w:jc w:val="center"/>
            </w:pPr>
            <w:r>
              <w:t>48,4</w:t>
            </w:r>
          </w:p>
        </w:tc>
        <w:tc>
          <w:tcPr>
            <w:tcW w:w="999" w:type="dxa"/>
          </w:tcPr>
          <w:p w:rsidR="00000000" w:rsidRDefault="00000000">
            <w:pPr>
              <w:pStyle w:val="DualTxt"/>
              <w:spacing w:before="60" w:after="100" w:line="220" w:lineRule="exact"/>
              <w:jc w:val="center"/>
            </w:pPr>
            <w:r>
              <w:t>70,5</w:t>
            </w:r>
          </w:p>
        </w:tc>
        <w:tc>
          <w:tcPr>
            <w:tcW w:w="990" w:type="dxa"/>
          </w:tcPr>
          <w:p w:rsidR="00000000" w:rsidRDefault="00000000">
            <w:pPr>
              <w:pStyle w:val="DualTxt"/>
              <w:spacing w:before="60" w:after="100" w:line="220" w:lineRule="exact"/>
              <w:jc w:val="center"/>
            </w:pPr>
            <w:r>
              <w:t>29,5</w:t>
            </w:r>
          </w:p>
        </w:tc>
        <w:tc>
          <w:tcPr>
            <w:tcW w:w="963" w:type="dxa"/>
          </w:tcPr>
          <w:p w:rsidR="00000000" w:rsidRDefault="00000000">
            <w:pPr>
              <w:pStyle w:val="DualTxt"/>
              <w:spacing w:before="60" w:after="100" w:line="220" w:lineRule="exact"/>
              <w:jc w:val="center"/>
            </w:pPr>
            <w:r>
              <w:t>52,2</w:t>
            </w:r>
          </w:p>
        </w:tc>
        <w:tc>
          <w:tcPr>
            <w:tcW w:w="981" w:type="dxa"/>
          </w:tcPr>
          <w:p w:rsidR="00000000" w:rsidRDefault="00000000">
            <w:pPr>
              <w:pStyle w:val="DualTxt"/>
              <w:spacing w:before="60" w:after="100" w:line="220" w:lineRule="exact"/>
              <w:jc w:val="center"/>
            </w:pPr>
            <w:r>
              <w:t>47,8</w:t>
            </w:r>
          </w:p>
        </w:tc>
        <w:tc>
          <w:tcPr>
            <w:tcW w:w="972" w:type="dxa"/>
          </w:tcPr>
          <w:p w:rsidR="00000000" w:rsidRDefault="00000000">
            <w:pPr>
              <w:pStyle w:val="DualTxt"/>
              <w:spacing w:before="60" w:after="100" w:line="220" w:lineRule="exact"/>
              <w:jc w:val="center"/>
            </w:pPr>
            <w:r>
              <w:t>44,3</w:t>
            </w:r>
          </w:p>
        </w:tc>
        <w:tc>
          <w:tcPr>
            <w:tcW w:w="963" w:type="dxa"/>
          </w:tcPr>
          <w:p w:rsidR="00000000" w:rsidRDefault="00000000">
            <w:pPr>
              <w:pStyle w:val="DualTxt"/>
              <w:spacing w:before="60" w:after="100" w:line="220" w:lineRule="exact"/>
              <w:jc w:val="center"/>
            </w:pPr>
            <w:r>
              <w:t>55,7</w:t>
            </w:r>
          </w:p>
        </w:tc>
      </w:tr>
      <w:tr w:rsidR="00000000">
        <w:tblPrEx>
          <w:tblCellMar>
            <w:top w:w="0" w:type="dxa"/>
            <w:bottom w:w="0" w:type="dxa"/>
          </w:tblCellMar>
        </w:tblPrEx>
        <w:tc>
          <w:tcPr>
            <w:tcW w:w="774" w:type="dxa"/>
          </w:tcPr>
          <w:p w:rsidR="00000000" w:rsidRDefault="00000000">
            <w:pPr>
              <w:pStyle w:val="DualTxt"/>
              <w:spacing w:before="60" w:line="220" w:lineRule="exact"/>
            </w:pPr>
            <w:r>
              <w:t>2000</w:t>
            </w:r>
          </w:p>
        </w:tc>
        <w:tc>
          <w:tcPr>
            <w:tcW w:w="972" w:type="dxa"/>
          </w:tcPr>
          <w:p w:rsidR="00000000" w:rsidRDefault="00000000">
            <w:pPr>
              <w:pStyle w:val="DualTxt"/>
              <w:spacing w:before="60" w:line="220" w:lineRule="exact"/>
              <w:jc w:val="center"/>
            </w:pPr>
            <w:r>
              <w:t>50,0</w:t>
            </w:r>
          </w:p>
        </w:tc>
        <w:tc>
          <w:tcPr>
            <w:tcW w:w="972" w:type="dxa"/>
          </w:tcPr>
          <w:p w:rsidR="00000000" w:rsidRDefault="00000000">
            <w:pPr>
              <w:pStyle w:val="DualTxt"/>
              <w:spacing w:before="60" w:line="220" w:lineRule="exact"/>
              <w:jc w:val="center"/>
            </w:pPr>
            <w:r>
              <w:t>50,0</w:t>
            </w:r>
          </w:p>
        </w:tc>
        <w:tc>
          <w:tcPr>
            <w:tcW w:w="999" w:type="dxa"/>
          </w:tcPr>
          <w:p w:rsidR="00000000" w:rsidRDefault="00000000">
            <w:pPr>
              <w:pStyle w:val="DualTxt"/>
              <w:spacing w:before="60" w:line="220" w:lineRule="exact"/>
              <w:jc w:val="center"/>
            </w:pPr>
            <w:r>
              <w:t>70,9</w:t>
            </w:r>
          </w:p>
        </w:tc>
        <w:tc>
          <w:tcPr>
            <w:tcW w:w="990" w:type="dxa"/>
          </w:tcPr>
          <w:p w:rsidR="00000000" w:rsidRDefault="00000000">
            <w:pPr>
              <w:pStyle w:val="DualTxt"/>
              <w:spacing w:before="60" w:line="220" w:lineRule="exact"/>
              <w:jc w:val="center"/>
            </w:pPr>
            <w:r>
              <w:t>29,1</w:t>
            </w:r>
          </w:p>
        </w:tc>
        <w:tc>
          <w:tcPr>
            <w:tcW w:w="963" w:type="dxa"/>
          </w:tcPr>
          <w:p w:rsidR="00000000" w:rsidRDefault="00000000">
            <w:pPr>
              <w:pStyle w:val="DualTxt"/>
              <w:spacing w:before="60" w:line="220" w:lineRule="exact"/>
              <w:jc w:val="center"/>
            </w:pPr>
            <w:r>
              <w:t>51,3</w:t>
            </w:r>
          </w:p>
        </w:tc>
        <w:tc>
          <w:tcPr>
            <w:tcW w:w="981" w:type="dxa"/>
          </w:tcPr>
          <w:p w:rsidR="00000000" w:rsidRDefault="00000000">
            <w:pPr>
              <w:pStyle w:val="DualTxt"/>
              <w:spacing w:before="60" w:line="220" w:lineRule="exact"/>
              <w:jc w:val="center"/>
            </w:pPr>
            <w:r>
              <w:t>48,7</w:t>
            </w:r>
          </w:p>
        </w:tc>
        <w:tc>
          <w:tcPr>
            <w:tcW w:w="972" w:type="dxa"/>
          </w:tcPr>
          <w:p w:rsidR="00000000" w:rsidRDefault="00000000">
            <w:pPr>
              <w:pStyle w:val="DualTxt"/>
              <w:spacing w:before="60" w:line="220" w:lineRule="exact"/>
              <w:jc w:val="center"/>
            </w:pPr>
            <w:r>
              <w:t>47,9</w:t>
            </w:r>
          </w:p>
        </w:tc>
        <w:tc>
          <w:tcPr>
            <w:tcW w:w="963" w:type="dxa"/>
          </w:tcPr>
          <w:p w:rsidR="00000000" w:rsidRDefault="00000000">
            <w:pPr>
              <w:pStyle w:val="DualTxt"/>
              <w:spacing w:before="60" w:line="220" w:lineRule="exact"/>
              <w:jc w:val="center"/>
            </w:pPr>
            <w:r>
              <w:t>52,1</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151.</w:t>
      </w:r>
      <w:r>
        <w:tab/>
        <w:t>Согласно информации, представленной Центральным статистическим управлением, средний размер валового месячного оклада женщин меньше во</w:t>
      </w:r>
      <w:r>
        <w:t>з</w:t>
      </w:r>
      <w:r>
        <w:t>нагр</w:t>
      </w:r>
      <w:r>
        <w:t>а</w:t>
      </w:r>
      <w:r>
        <w:t>ждения получаемого мужчинами всех профессий.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Средний размер валового вознаграждения мужчин и женщин, занятых в национальной экономике</w:t>
      </w:r>
    </w:p>
    <w:p w:rsidR="00000000" w:rsidRDefault="00000000">
      <w:pPr>
        <w:pStyle w:val="SingleTxt"/>
        <w:spacing w:after="0" w:line="120" w:lineRule="exact"/>
        <w:rPr>
          <w:b/>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800"/>
        <w:gridCol w:w="2214"/>
        <w:gridCol w:w="2214"/>
      </w:tblGrid>
      <w:tr w:rsidR="00000000">
        <w:tblPrEx>
          <w:tblCellMar>
            <w:top w:w="0" w:type="dxa"/>
            <w:bottom w:w="0" w:type="dxa"/>
          </w:tblCellMar>
        </w:tblPrEx>
        <w:tc>
          <w:tcPr>
            <w:tcW w:w="1260" w:type="dxa"/>
            <w:vAlign w:val="bottom"/>
          </w:tcPr>
          <w:p w:rsidR="00000000" w:rsidRDefault="00000000">
            <w:pPr>
              <w:pStyle w:val="DualTxt"/>
              <w:spacing w:before="40" w:after="80" w:line="200" w:lineRule="exact"/>
              <w:jc w:val="left"/>
              <w:rPr>
                <w:sz w:val="16"/>
              </w:rPr>
            </w:pPr>
            <w:r>
              <w:rPr>
                <w:sz w:val="16"/>
              </w:rPr>
              <w:t>Год</w:t>
            </w:r>
          </w:p>
        </w:tc>
        <w:tc>
          <w:tcPr>
            <w:tcW w:w="1800" w:type="dxa"/>
            <w:vAlign w:val="bottom"/>
          </w:tcPr>
          <w:p w:rsidR="00000000" w:rsidRDefault="00000000">
            <w:pPr>
              <w:pStyle w:val="DualTxt"/>
              <w:spacing w:before="40" w:after="80" w:line="200" w:lineRule="exact"/>
              <w:jc w:val="center"/>
              <w:rPr>
                <w:sz w:val="16"/>
              </w:rPr>
            </w:pPr>
            <w:r>
              <w:rPr>
                <w:sz w:val="16"/>
              </w:rPr>
              <w:t>Женщины</w:t>
            </w:r>
          </w:p>
        </w:tc>
        <w:tc>
          <w:tcPr>
            <w:tcW w:w="2214" w:type="dxa"/>
            <w:vAlign w:val="bottom"/>
          </w:tcPr>
          <w:p w:rsidR="00000000" w:rsidRDefault="00000000">
            <w:pPr>
              <w:pStyle w:val="DualTxt"/>
              <w:spacing w:before="40" w:after="80" w:line="200" w:lineRule="exact"/>
              <w:jc w:val="center"/>
              <w:rPr>
                <w:sz w:val="16"/>
              </w:rPr>
            </w:pPr>
            <w:r>
              <w:rPr>
                <w:sz w:val="16"/>
              </w:rPr>
              <w:t>Мужчины</w:t>
            </w:r>
          </w:p>
        </w:tc>
        <w:tc>
          <w:tcPr>
            <w:tcW w:w="2214" w:type="dxa"/>
            <w:vAlign w:val="bottom"/>
          </w:tcPr>
          <w:p w:rsidR="00000000" w:rsidRDefault="00000000">
            <w:pPr>
              <w:pStyle w:val="DualTxt"/>
              <w:spacing w:before="40" w:after="80" w:line="200" w:lineRule="exact"/>
              <w:jc w:val="center"/>
              <w:rPr>
                <w:sz w:val="16"/>
              </w:rPr>
            </w:pPr>
            <w:r>
              <w:rPr>
                <w:sz w:val="16"/>
              </w:rPr>
              <w:t>Оклад женщин в процен</w:t>
            </w:r>
            <w:r>
              <w:rPr>
                <w:sz w:val="16"/>
              </w:rPr>
              <w:t>т</w:t>
            </w:r>
            <w:r>
              <w:rPr>
                <w:sz w:val="16"/>
              </w:rPr>
              <w:t>ном отношении к окладу мужчин</w:t>
            </w:r>
          </w:p>
        </w:tc>
      </w:tr>
      <w:tr w:rsidR="00000000">
        <w:tblPrEx>
          <w:tblCellMar>
            <w:top w:w="0" w:type="dxa"/>
            <w:bottom w:w="0" w:type="dxa"/>
          </w:tblCellMar>
        </w:tblPrEx>
        <w:tc>
          <w:tcPr>
            <w:tcW w:w="1260" w:type="dxa"/>
          </w:tcPr>
          <w:p w:rsidR="00000000" w:rsidRDefault="00000000">
            <w:pPr>
              <w:pStyle w:val="DualTxt"/>
              <w:spacing w:before="80" w:line="220" w:lineRule="exact"/>
            </w:pPr>
            <w:r>
              <w:t>1995</w:t>
            </w:r>
          </w:p>
        </w:tc>
        <w:tc>
          <w:tcPr>
            <w:tcW w:w="1800" w:type="dxa"/>
          </w:tcPr>
          <w:p w:rsidR="00000000" w:rsidRDefault="00000000">
            <w:pPr>
              <w:pStyle w:val="DualTxt"/>
              <w:spacing w:before="80" w:line="220" w:lineRule="exact"/>
              <w:jc w:val="center"/>
            </w:pPr>
            <w:r>
              <w:t>72,64</w:t>
            </w:r>
          </w:p>
        </w:tc>
        <w:tc>
          <w:tcPr>
            <w:tcW w:w="2214" w:type="dxa"/>
          </w:tcPr>
          <w:p w:rsidR="00000000" w:rsidRDefault="00000000">
            <w:pPr>
              <w:pStyle w:val="DualTxt"/>
              <w:spacing w:before="80" w:line="220" w:lineRule="exact"/>
              <w:jc w:val="center"/>
            </w:pPr>
            <w:r>
              <w:t>92,82</w:t>
            </w:r>
          </w:p>
        </w:tc>
        <w:tc>
          <w:tcPr>
            <w:tcW w:w="2214" w:type="dxa"/>
          </w:tcPr>
          <w:p w:rsidR="00000000" w:rsidRDefault="00000000">
            <w:pPr>
              <w:pStyle w:val="DualTxt"/>
              <w:spacing w:before="80" w:line="220" w:lineRule="exact"/>
              <w:jc w:val="center"/>
            </w:pPr>
            <w:r>
              <w:t>78,3</w:t>
            </w:r>
          </w:p>
        </w:tc>
      </w:tr>
      <w:tr w:rsidR="00000000">
        <w:tblPrEx>
          <w:tblCellMar>
            <w:top w:w="0" w:type="dxa"/>
            <w:bottom w:w="0" w:type="dxa"/>
          </w:tblCellMar>
        </w:tblPrEx>
        <w:tc>
          <w:tcPr>
            <w:tcW w:w="1260" w:type="dxa"/>
          </w:tcPr>
          <w:p w:rsidR="00000000" w:rsidRDefault="00000000">
            <w:pPr>
              <w:pStyle w:val="DualTxt"/>
              <w:spacing w:before="80" w:line="220" w:lineRule="exact"/>
            </w:pPr>
            <w:r>
              <w:t>1996</w:t>
            </w:r>
          </w:p>
        </w:tc>
        <w:tc>
          <w:tcPr>
            <w:tcW w:w="1800" w:type="dxa"/>
          </w:tcPr>
          <w:p w:rsidR="00000000" w:rsidRDefault="00000000">
            <w:pPr>
              <w:pStyle w:val="DualTxt"/>
              <w:spacing w:before="80" w:line="220" w:lineRule="exact"/>
              <w:jc w:val="center"/>
            </w:pPr>
            <w:r>
              <w:t>79,07</w:t>
            </w:r>
          </w:p>
        </w:tc>
        <w:tc>
          <w:tcPr>
            <w:tcW w:w="2214" w:type="dxa"/>
          </w:tcPr>
          <w:p w:rsidR="00000000" w:rsidRDefault="00000000">
            <w:pPr>
              <w:pStyle w:val="DualTxt"/>
              <w:spacing w:before="80" w:line="220" w:lineRule="exact"/>
              <w:jc w:val="center"/>
            </w:pPr>
            <w:r>
              <w:t>100,73</w:t>
            </w:r>
          </w:p>
        </w:tc>
        <w:tc>
          <w:tcPr>
            <w:tcW w:w="2214" w:type="dxa"/>
          </w:tcPr>
          <w:p w:rsidR="00000000" w:rsidRDefault="00000000">
            <w:pPr>
              <w:pStyle w:val="DualTxt"/>
              <w:spacing w:before="80" w:line="220" w:lineRule="exact"/>
              <w:jc w:val="center"/>
            </w:pPr>
            <w:r>
              <w:t>78,5</w:t>
            </w:r>
          </w:p>
        </w:tc>
      </w:tr>
      <w:tr w:rsidR="00000000">
        <w:tblPrEx>
          <w:tblCellMar>
            <w:top w:w="0" w:type="dxa"/>
            <w:bottom w:w="0" w:type="dxa"/>
          </w:tblCellMar>
        </w:tblPrEx>
        <w:tc>
          <w:tcPr>
            <w:tcW w:w="1260" w:type="dxa"/>
          </w:tcPr>
          <w:p w:rsidR="00000000" w:rsidRDefault="00000000">
            <w:pPr>
              <w:pStyle w:val="DualTxt"/>
              <w:spacing w:before="80" w:line="220" w:lineRule="exact"/>
            </w:pPr>
            <w:r>
              <w:t>1997</w:t>
            </w:r>
          </w:p>
        </w:tc>
        <w:tc>
          <w:tcPr>
            <w:tcW w:w="1800" w:type="dxa"/>
          </w:tcPr>
          <w:p w:rsidR="00000000" w:rsidRDefault="00000000">
            <w:pPr>
              <w:pStyle w:val="DualTxt"/>
              <w:spacing w:before="80" w:line="220" w:lineRule="exact"/>
              <w:jc w:val="center"/>
            </w:pPr>
            <w:r>
              <w:t>97,91</w:t>
            </w:r>
          </w:p>
        </w:tc>
        <w:tc>
          <w:tcPr>
            <w:tcW w:w="2214" w:type="dxa"/>
          </w:tcPr>
          <w:p w:rsidR="00000000" w:rsidRDefault="00000000">
            <w:pPr>
              <w:pStyle w:val="DualTxt"/>
              <w:spacing w:before="80" w:line="220" w:lineRule="exact"/>
              <w:jc w:val="center"/>
            </w:pPr>
            <w:r>
              <w:t>122,83</w:t>
            </w:r>
          </w:p>
        </w:tc>
        <w:tc>
          <w:tcPr>
            <w:tcW w:w="2214" w:type="dxa"/>
          </w:tcPr>
          <w:p w:rsidR="00000000" w:rsidRDefault="00000000">
            <w:pPr>
              <w:pStyle w:val="DualTxt"/>
              <w:spacing w:before="80" w:line="220" w:lineRule="exact"/>
              <w:jc w:val="center"/>
            </w:pPr>
            <w:r>
              <w:t>79,7</w:t>
            </w:r>
          </w:p>
        </w:tc>
      </w:tr>
      <w:tr w:rsidR="00000000">
        <w:tblPrEx>
          <w:tblCellMar>
            <w:top w:w="0" w:type="dxa"/>
            <w:bottom w:w="0" w:type="dxa"/>
          </w:tblCellMar>
        </w:tblPrEx>
        <w:tc>
          <w:tcPr>
            <w:tcW w:w="1260" w:type="dxa"/>
          </w:tcPr>
          <w:p w:rsidR="00000000" w:rsidRDefault="00000000">
            <w:pPr>
              <w:pStyle w:val="DualTxt"/>
              <w:spacing w:before="80" w:line="220" w:lineRule="exact"/>
            </w:pPr>
            <w:r>
              <w:t>1998</w:t>
            </w:r>
          </w:p>
        </w:tc>
        <w:tc>
          <w:tcPr>
            <w:tcW w:w="1800" w:type="dxa"/>
          </w:tcPr>
          <w:p w:rsidR="00000000" w:rsidRDefault="00000000">
            <w:pPr>
              <w:pStyle w:val="DualTxt"/>
              <w:spacing w:before="80" w:line="220" w:lineRule="exact"/>
              <w:jc w:val="center"/>
            </w:pPr>
            <w:r>
              <w:t>109,26</w:t>
            </w:r>
          </w:p>
        </w:tc>
        <w:tc>
          <w:tcPr>
            <w:tcW w:w="2214" w:type="dxa"/>
          </w:tcPr>
          <w:p w:rsidR="00000000" w:rsidRDefault="00000000">
            <w:pPr>
              <w:pStyle w:val="DualTxt"/>
              <w:spacing w:before="80" w:line="220" w:lineRule="exact"/>
              <w:jc w:val="center"/>
            </w:pPr>
            <w:r>
              <w:t>137,71</w:t>
            </w:r>
          </w:p>
        </w:tc>
        <w:tc>
          <w:tcPr>
            <w:tcW w:w="2214" w:type="dxa"/>
          </w:tcPr>
          <w:p w:rsidR="00000000" w:rsidRDefault="00000000">
            <w:pPr>
              <w:pStyle w:val="DualTxt"/>
              <w:spacing w:before="80" w:line="220" w:lineRule="exact"/>
              <w:jc w:val="center"/>
            </w:pPr>
            <w:r>
              <w:t>79,3</w:t>
            </w:r>
          </w:p>
        </w:tc>
      </w:tr>
      <w:tr w:rsidR="00000000">
        <w:tblPrEx>
          <w:tblCellMar>
            <w:top w:w="0" w:type="dxa"/>
            <w:bottom w:w="0" w:type="dxa"/>
          </w:tblCellMar>
        </w:tblPrEx>
        <w:tc>
          <w:tcPr>
            <w:tcW w:w="1260" w:type="dxa"/>
          </w:tcPr>
          <w:p w:rsidR="00000000" w:rsidRDefault="00000000">
            <w:pPr>
              <w:pStyle w:val="DualTxt"/>
              <w:spacing w:before="80" w:line="220" w:lineRule="exact"/>
            </w:pPr>
            <w:r>
              <w:t>1999</w:t>
            </w:r>
          </w:p>
        </w:tc>
        <w:tc>
          <w:tcPr>
            <w:tcW w:w="1800" w:type="dxa"/>
          </w:tcPr>
          <w:p w:rsidR="00000000" w:rsidRDefault="00000000">
            <w:pPr>
              <w:pStyle w:val="DualTxt"/>
              <w:spacing w:before="80" w:line="220" w:lineRule="exact"/>
              <w:jc w:val="center"/>
            </w:pPr>
            <w:r>
              <w:t>118,48</w:t>
            </w:r>
          </w:p>
        </w:tc>
        <w:tc>
          <w:tcPr>
            <w:tcW w:w="2214" w:type="dxa"/>
          </w:tcPr>
          <w:p w:rsidR="00000000" w:rsidRDefault="00000000">
            <w:pPr>
              <w:pStyle w:val="DualTxt"/>
              <w:spacing w:before="80" w:line="220" w:lineRule="exact"/>
              <w:jc w:val="center"/>
            </w:pPr>
            <w:r>
              <w:t>148,10</w:t>
            </w:r>
          </w:p>
        </w:tc>
        <w:tc>
          <w:tcPr>
            <w:tcW w:w="2214" w:type="dxa"/>
          </w:tcPr>
          <w:p w:rsidR="00000000" w:rsidRDefault="00000000">
            <w:pPr>
              <w:pStyle w:val="DualTxt"/>
              <w:spacing w:before="80" w:line="220" w:lineRule="exact"/>
              <w:jc w:val="center"/>
            </w:pPr>
            <w:r>
              <w:t>80</w:t>
            </w:r>
          </w:p>
        </w:tc>
      </w:tr>
      <w:tr w:rsidR="00000000">
        <w:tblPrEx>
          <w:tblCellMar>
            <w:top w:w="0" w:type="dxa"/>
            <w:bottom w:w="0" w:type="dxa"/>
          </w:tblCellMar>
        </w:tblPrEx>
        <w:tc>
          <w:tcPr>
            <w:tcW w:w="1260" w:type="dxa"/>
          </w:tcPr>
          <w:p w:rsidR="00000000" w:rsidRDefault="00000000">
            <w:pPr>
              <w:pStyle w:val="DualTxt"/>
              <w:spacing w:before="80" w:line="220" w:lineRule="exact"/>
            </w:pPr>
            <w:r>
              <w:t>2000</w:t>
            </w:r>
          </w:p>
        </w:tc>
        <w:tc>
          <w:tcPr>
            <w:tcW w:w="1800" w:type="dxa"/>
          </w:tcPr>
          <w:p w:rsidR="00000000" w:rsidRDefault="00000000">
            <w:pPr>
              <w:pStyle w:val="DualTxt"/>
              <w:spacing w:before="80" w:line="220" w:lineRule="exact"/>
              <w:jc w:val="center"/>
            </w:pPr>
            <w:r>
              <w:t>126,16</w:t>
            </w:r>
          </w:p>
        </w:tc>
        <w:tc>
          <w:tcPr>
            <w:tcW w:w="2214" w:type="dxa"/>
          </w:tcPr>
          <w:p w:rsidR="00000000" w:rsidRDefault="00000000">
            <w:pPr>
              <w:pStyle w:val="DualTxt"/>
              <w:spacing w:before="80" w:line="220" w:lineRule="exact"/>
              <w:jc w:val="center"/>
            </w:pPr>
            <w:r>
              <w:t>160,45</w:t>
            </w:r>
          </w:p>
        </w:tc>
        <w:tc>
          <w:tcPr>
            <w:tcW w:w="2214" w:type="dxa"/>
          </w:tcPr>
          <w:p w:rsidR="00000000" w:rsidRDefault="00000000">
            <w:pPr>
              <w:pStyle w:val="DualTxt"/>
              <w:spacing w:before="80" w:line="220" w:lineRule="exact"/>
              <w:jc w:val="center"/>
            </w:pPr>
            <w:r>
              <w:t>78,6</w:t>
            </w:r>
          </w:p>
        </w:tc>
      </w:tr>
      <w:tr w:rsidR="00000000">
        <w:tblPrEx>
          <w:tblCellMar>
            <w:top w:w="0" w:type="dxa"/>
            <w:bottom w:w="0" w:type="dxa"/>
          </w:tblCellMar>
        </w:tblPrEx>
        <w:tc>
          <w:tcPr>
            <w:tcW w:w="1260" w:type="dxa"/>
          </w:tcPr>
          <w:p w:rsidR="00000000" w:rsidRDefault="00000000">
            <w:pPr>
              <w:pStyle w:val="DualTxt"/>
              <w:spacing w:before="80" w:line="220" w:lineRule="exact"/>
            </w:pPr>
            <w:r>
              <w:t>2001</w:t>
            </w:r>
          </w:p>
        </w:tc>
        <w:tc>
          <w:tcPr>
            <w:tcW w:w="1800" w:type="dxa"/>
          </w:tcPr>
          <w:p w:rsidR="00000000" w:rsidRDefault="00000000">
            <w:pPr>
              <w:pStyle w:val="DualTxt"/>
              <w:spacing w:before="80" w:line="220" w:lineRule="exact"/>
              <w:jc w:val="center"/>
            </w:pPr>
            <w:r>
              <w:t>133,38</w:t>
            </w:r>
          </w:p>
        </w:tc>
        <w:tc>
          <w:tcPr>
            <w:tcW w:w="2214" w:type="dxa"/>
          </w:tcPr>
          <w:p w:rsidR="00000000" w:rsidRDefault="00000000">
            <w:pPr>
              <w:pStyle w:val="DualTxt"/>
              <w:spacing w:before="80" w:line="220" w:lineRule="exact"/>
              <w:jc w:val="center"/>
            </w:pPr>
            <w:r>
              <w:t>167,67</w:t>
            </w:r>
          </w:p>
        </w:tc>
        <w:tc>
          <w:tcPr>
            <w:tcW w:w="2214" w:type="dxa"/>
          </w:tcPr>
          <w:p w:rsidR="00000000" w:rsidRDefault="00000000">
            <w:pPr>
              <w:pStyle w:val="DualTxt"/>
              <w:spacing w:before="80" w:line="220" w:lineRule="exact"/>
              <w:jc w:val="center"/>
            </w:pPr>
            <w:r>
              <w:t>79,5</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152.</w:t>
      </w:r>
      <w:r>
        <w:tab/>
        <w:t>Наблюдаемые здесь проблемы связаны с разделением рынка труда по пр</w:t>
      </w:r>
      <w:r>
        <w:t>и</w:t>
      </w:r>
      <w:r>
        <w:t>знаку пола – разделением занятости на так называемые «мужские» и «же</w:t>
      </w:r>
      <w:r>
        <w:t>н</w:t>
      </w:r>
      <w:r>
        <w:t>ские» отрасли. В настоящее время большая часть женщин занята в таких о</w:t>
      </w:r>
      <w:r>
        <w:t>т</w:t>
      </w:r>
      <w:r>
        <w:t>раслях, как образование, здравоохранение и социальная помощь, и размер их среднего вознаграждения, равно как и возможности продвижения по службе уступают ан</w:t>
      </w:r>
      <w:r>
        <w:t>а</w:t>
      </w:r>
      <w:r>
        <w:t>логичным показателям в отраслях, где преобладают мужчины.</w:t>
      </w:r>
    </w:p>
    <w:p w:rsidR="00000000" w:rsidRDefault="00000000">
      <w:pPr>
        <w:pStyle w:val="SingleTxt"/>
      </w:pPr>
      <w:r>
        <w:t>153.</w:t>
      </w:r>
      <w:r>
        <w:tab/>
        <w:t>Статистические данные свидетельствуют о том, что большинство женщин предпочитают работать в государственных или муниципальных учреждениях, предоставляющих стабильные и устойчивые социальные гарантии, несмотря на то, что они получают меньшее вознаграждение. В этом заключается один из примеров того, как косвенная дискриминация, проявляющаяся в форме неод</w:t>
      </w:r>
      <w:r>
        <w:t>и</w:t>
      </w:r>
      <w:r>
        <w:t>наковых обязанностей различных полов (ибо женщины значительно чаще в</w:t>
      </w:r>
      <w:r>
        <w:t>ы</w:t>
      </w:r>
      <w:r>
        <w:t>нуждены ухаживать за детьми и задумываться о социальных гарантиях для с</w:t>
      </w:r>
      <w:r>
        <w:t>е</w:t>
      </w:r>
      <w:r>
        <w:t>мьи), преобразуется в косвенную дискриминацию в экономической жизни, ибо в силу социальных причин женщины имеют меньше возможностей получать доступ к тем областям, где работа оплачивается лучше. В то же время сущес</w:t>
      </w:r>
      <w:r>
        <w:t>т</w:t>
      </w:r>
      <w:r>
        <w:t>вует большое число людей, которые очень часто не получают никакого возн</w:t>
      </w:r>
      <w:r>
        <w:t>а</w:t>
      </w:r>
      <w:r>
        <w:t>граждения за их вклад в жизнь общества, и таким образом эти люди не пол</w:t>
      </w:r>
      <w:r>
        <w:t>у</w:t>
      </w:r>
      <w:r>
        <w:t>чают социальных гарантий, что создает порочный круг нищеты в сельских районах.</w:t>
      </w:r>
    </w:p>
    <w:p w:rsidR="00000000" w:rsidRDefault="00000000">
      <w:pPr>
        <w:pStyle w:val="SingleTxt"/>
      </w:pPr>
      <w:r>
        <w:t>154.</w:t>
      </w:r>
      <w:r>
        <w:tab/>
        <w:t>Для того, чтобы обеспечить расчет суммы взноса по обязательному соц</w:t>
      </w:r>
      <w:r>
        <w:t>и</w:t>
      </w:r>
      <w:r>
        <w:t>альному страхованию, обеспечить его уплату в соответствии с нормативными актами и не допустить уклонения работодателей от уплаты данной суммы, а также в целях борьбы с сокрытием реальной суммы вознаграждения работн</w:t>
      </w:r>
      <w:r>
        <w:t>и</w:t>
      </w:r>
      <w:r>
        <w:t>ков, Государственная налоговая служба взяла на себя задачи осуществления контроля путем проведения тематических проверок работодателей и налогов</w:t>
      </w:r>
      <w:r>
        <w:t>о</w:t>
      </w:r>
      <w:r>
        <w:t>го аудита. Кроме того, в целях совершенствования услуг, предоставляемых н</w:t>
      </w:r>
      <w:r>
        <w:t>а</w:t>
      </w:r>
      <w:r>
        <w:t>логоплательщикам, в области налогообложения были предприняты следующие меры: акцептование счетов и деклараций, а также информирование и просв</w:t>
      </w:r>
      <w:r>
        <w:t>е</w:t>
      </w:r>
      <w:r>
        <w:t>щение налогоплательщиков и предоставление им консультаций по вопросам налогообложения. Информация о подготовленных методических пособиях и поправках, введенных Государственной налоговой службой, регулярно пом</w:t>
      </w:r>
      <w:r>
        <w:t>е</w:t>
      </w:r>
      <w:r>
        <w:t>щается на домашней странице Государственной налоговой службы. В 2002 году региональные отделения Государственной налоговой службы предоставили н</w:t>
      </w:r>
      <w:r>
        <w:t>а</w:t>
      </w:r>
      <w:r>
        <w:t>логоплательщикам 298 тысяч консультаций и провели 1 357 различных мер</w:t>
      </w:r>
      <w:r>
        <w:t>о</w:t>
      </w:r>
      <w:r>
        <w:t>приятий образовательного характера: семинаров, лекций, дискуссий и т.д. В целях улучшения отношений с общественностью Государственная налоговая служба провела в 2002 году 1 915 мероприятий информативного характера: публикации в прессе, выступления по радио и телевидению, встречи в школах, встречи со студентами, неправительственными организациями и т.д.</w:t>
      </w:r>
    </w:p>
    <w:p w:rsidR="00000000" w:rsidRDefault="00000000">
      <w:pPr>
        <w:pStyle w:val="SingleTxt"/>
      </w:pPr>
      <w:r>
        <w:t>155.</w:t>
      </w:r>
      <w:r>
        <w:tab/>
        <w:t>Для того, чтобы обнародовать случаи, когда работодатель не подписывает трудовой контракт с работником, не проводит расчет заработной платы или к</w:t>
      </w:r>
      <w:r>
        <w:t>о</w:t>
      </w:r>
      <w:r>
        <w:t>гда в «Отчете о взносах, взимаемых из доходов работников в счет обязательн</w:t>
      </w:r>
      <w:r>
        <w:t>о</w:t>
      </w:r>
      <w:r>
        <w:t>го социального страхования, и о подоходном налоге населения» работодатель указывает размеры выплаченных окладов в размере государственных фиксир</w:t>
      </w:r>
      <w:r>
        <w:t>о</w:t>
      </w:r>
      <w:r>
        <w:t>ванных минимальных окладов или меньших сумм, а остальную часть окладов уплачивает в иной форме, Государственная налоговая служба организовала проведение тематических обзоров (по теме «Работодатели») для обсуждения нарушений данного вида. Около 60 процентов всех обзоров были проведены за пределами города Риги. В 2002 году Государственная налоговая служба пров</w:t>
      </w:r>
      <w:r>
        <w:t>е</w:t>
      </w:r>
      <w:r>
        <w:t>ла 13221 обзор по теме «Работодатели», что составило 64 процента от всех т</w:t>
      </w:r>
      <w:r>
        <w:t>е</w:t>
      </w:r>
      <w:r>
        <w:t>матических обзоров, и в пропорциональном плане эта тема обсуждалась чаще всего. По сравнению с 2001 годом, число обзоров по теме «Работодатели» ув</w:t>
      </w:r>
      <w:r>
        <w:t>е</w:t>
      </w:r>
      <w:r>
        <w:t>личилось на 16 процентов, а нарушения были раскрыты в 7 процентах случаев. По сравнению с 2001 годом число раскрытых нарушений увеличилось на 2 процента.</w:t>
      </w:r>
    </w:p>
    <w:p w:rsidR="00000000" w:rsidRDefault="00000000">
      <w:pPr>
        <w:pStyle w:val="SingleTxt"/>
      </w:pPr>
      <w:r>
        <w:t>156.</w:t>
      </w:r>
      <w:r>
        <w:tab/>
        <w:t>Ежегодно Государственная налоговая служба подтверждает Процедуру планирования налогового аудита и финансовой отчетности, в соответствии с которой на протяжении уже нескольких лет из всех видов предпринимател</w:t>
      </w:r>
      <w:r>
        <w:t>ь</w:t>
      </w:r>
      <w:r>
        <w:t>ской деятельности ежегодный аудит проводится в первую очередь в торговых компаниях. При определении короткого списка налогоплательщиков для целей проведения налогового аудита применяются следующие критерии риска: и</w:t>
      </w:r>
      <w:r>
        <w:t>н</w:t>
      </w:r>
      <w:r>
        <w:t>формация, которой располагает региональное отделение Государственной н</w:t>
      </w:r>
      <w:r>
        <w:t>а</w:t>
      </w:r>
      <w:r>
        <w:t>логовой службы в отношении той или иной компании, которая не рассчитывает оклады своих работников или в которой такие оклады равняются минимальным окладам, установленным кабинетом министров, или несколько превышают их; в которой наблюдается большая текучесть кадров, но зарегистрировано н</w:t>
      </w:r>
      <w:r>
        <w:t>е</w:t>
      </w:r>
      <w:r>
        <w:t>большое число работников; которая не объявила о ведении оплачиваемой де</w:t>
      </w:r>
      <w:r>
        <w:t>я</w:t>
      </w:r>
      <w:r>
        <w:t>тельности или занимается другими видами деятельности, которые рассматр</w:t>
      </w:r>
      <w:r>
        <w:t>и</w:t>
      </w:r>
      <w:r>
        <w:t>ваются в качестве фактора риска. В 2002 году при составлении короткого сп</w:t>
      </w:r>
      <w:r>
        <w:t>и</w:t>
      </w:r>
      <w:r>
        <w:t>ска налогоплательщиков для целей проведения налогового аудита 633 комп</w:t>
      </w:r>
      <w:r>
        <w:t>а</w:t>
      </w:r>
      <w:r>
        <w:t>нии рассматривались как компании, имеющие фактор риска, что составило 58 процентов от всех компаний (1096), включенных в аудит. В 2002 году взносы в обязательное социальное страхование были проверены в рамках 1152 налог</w:t>
      </w:r>
      <w:r>
        <w:t>о</w:t>
      </w:r>
      <w:r>
        <w:t>вых аудитов, а именно в 67 процентах случаев от общего числа налоговых а</w:t>
      </w:r>
      <w:r>
        <w:t>у</w:t>
      </w:r>
      <w:r>
        <w:t>дитов. Что касается этого вида платежей, то в рамках этих аудитов были д</w:t>
      </w:r>
      <w:r>
        <w:t>о</w:t>
      </w:r>
      <w:r>
        <w:t>полнительно выя</w:t>
      </w:r>
      <w:r>
        <w:t>в</w:t>
      </w:r>
      <w:r>
        <w:t>лены 673,2 тысяч латвийских лат.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получение льгот в области труда</w:t>
      </w:r>
    </w:p>
    <w:p w:rsidR="00000000" w:rsidRDefault="00000000">
      <w:pPr>
        <w:pStyle w:val="SingleTxt"/>
        <w:keepNext/>
        <w:spacing w:after="0" w:line="120" w:lineRule="exact"/>
        <w:rPr>
          <w:sz w:val="10"/>
        </w:rPr>
      </w:pPr>
    </w:p>
    <w:p w:rsidR="00000000" w:rsidRDefault="00000000">
      <w:pPr>
        <w:pStyle w:val="SingleTxt"/>
      </w:pPr>
      <w:r>
        <w:t>157.</w:t>
      </w:r>
      <w:r>
        <w:tab/>
        <w:t>В вопросах получения льгот в области труда никакого различия между мужчинами и женщинами в Латвии не проводится, кроме случаев, когда это определяется психологическими особенностями, препятствующими представ</w:t>
      </w:r>
      <w:r>
        <w:t>и</w:t>
      </w:r>
      <w:r>
        <w:t>телям того или иного пола выполнять определенные виды работ, или семейн</w:t>
      </w:r>
      <w:r>
        <w:t>ы</w:t>
      </w:r>
      <w:r>
        <w:t>ми условиями работника, независимо от пола последнего.</w:t>
      </w:r>
    </w:p>
    <w:p w:rsidR="00000000" w:rsidRDefault="00000000">
      <w:pPr>
        <w:pStyle w:val="SingleTxt"/>
      </w:pPr>
      <w:r>
        <w:t>158.</w:t>
      </w:r>
      <w:r>
        <w:tab/>
        <w:t>Нормы Трудового кодекса применяются ко всем работникам и работодат</w:t>
      </w:r>
      <w:r>
        <w:t>е</w:t>
      </w:r>
      <w:r>
        <w:t>лям, независимо от их статуса и формы участия в производстве, если трудовые отношения основываются на трудовом договоре. В Трудовом кодексе опред</w:t>
      </w:r>
      <w:r>
        <w:t>е</w:t>
      </w:r>
      <w:r>
        <w:t>ляются категории работников, которые имеют право на сокращенную продо</w:t>
      </w:r>
      <w:r>
        <w:t>л</w:t>
      </w:r>
      <w:r>
        <w:t>жительность рабочего времени, - это работники в возрасте 16-18 лет, работн</w:t>
      </w:r>
      <w:r>
        <w:t>и</w:t>
      </w:r>
      <w:r>
        <w:t>ки на работах с вредными и тяжелыми условиями труда и женщины, имеющие детей в возрасте до трех лет. Установлены также ограничения на работу в но</w:t>
      </w:r>
      <w:r>
        <w:t>ч</w:t>
      </w:r>
      <w:r>
        <w:t>ное время для работников в возрасте до 18 лет, беременных женщин, женщин, имеющих детей в возрасте до трех лет, отцов, которые воспитывают детей в возрасте до трех лет без матери, а также опекунов детей в возрасте до трех лет. По предварительной договоренности с работодателем допускается работа на условиях неполного рабочего времени, если об этом просит беременная же</w:t>
      </w:r>
      <w:r>
        <w:t>н</w:t>
      </w:r>
      <w:r>
        <w:t>щина, один из супругов, которые имеют ребенка в возрасте до 14 лет, или отец, который воспитывает без матери ребенка в возрасте до 14 лет (ребенка-инвалида в возрасте до 16 лет), опекун ребенка упомянутого возраста или лицо, которое, согласно медицинской справке, обеспечивает уход за больным членом семьи. Латвийская ассоциация по вопросам гендерного равенства в своих ко</w:t>
      </w:r>
      <w:r>
        <w:t>м</w:t>
      </w:r>
      <w:r>
        <w:t>ментариях указывает, что, по данным обследования по вопросу об осведомле</w:t>
      </w:r>
      <w:r>
        <w:t>н</w:t>
      </w:r>
      <w:r>
        <w:t>ности работодателей и работников о трудовых отношениях, проведенного по просьбе министерства благосостояния, уровень их осведомленности о таких льготах является довольно низким.</w:t>
      </w:r>
    </w:p>
    <w:p w:rsidR="00000000" w:rsidRDefault="00000000">
      <w:pPr>
        <w:pStyle w:val="SingleTxt"/>
      </w:pPr>
      <w:r>
        <w:t>159.</w:t>
      </w:r>
      <w:r>
        <w:tab/>
        <w:t>Закон о труде запрещает нанимать детей на постоянную работу, а также, при наличии соответствующей медицинской справки, нанимать беременных женщин, женщин в послеродовой период в течение одного года и женщин, кормящих грудью, в течение всего периода кормления, если известно, что в</w:t>
      </w:r>
      <w:r>
        <w:t>ы</w:t>
      </w:r>
      <w:r>
        <w:t>полнение соответствующей работы создает угрозу безопасности и здоровью женщины или ее ребенка.</w:t>
      </w:r>
    </w:p>
    <w:p w:rsidR="00000000" w:rsidRDefault="00000000">
      <w:pPr>
        <w:pStyle w:val="SingleTxt"/>
      </w:pPr>
      <w:r>
        <w:t>160.</w:t>
      </w:r>
      <w:r>
        <w:tab/>
        <w:t>Законом о труде предусмотрена возможность достижения договоренности о работе на условиях неполного рабочего времени, если об этом просит бер</w:t>
      </w:r>
      <w:r>
        <w:t>е</w:t>
      </w:r>
      <w:r>
        <w:t>менная женщина, женщина в послеродовой период в течение одного года, женщина, кормящая грудью, в течение всего периода кормления, а также р</w:t>
      </w:r>
      <w:r>
        <w:t>а</w:t>
      </w:r>
      <w:r>
        <w:t>ботник, который имеет ребенка в возрасте до 14 лет или ребенка-инвалида в возрасте до 16 лет. Кроме того, отказ работника переходить с работы на усл</w:t>
      </w:r>
      <w:r>
        <w:t>о</w:t>
      </w:r>
      <w:r>
        <w:t>виях полного рабочего времени на работу на условиях неполного рабочего времени и наоборот не может служить основанием для прекращения трудового договора или иных ограничений прав данного работника. Закон о труде запр</w:t>
      </w:r>
      <w:r>
        <w:t>е</w:t>
      </w:r>
      <w:r>
        <w:t>щает сверхурочную работу и работу в ночное время для лиц в возрасте до 18 лет, беременных женщин, женщин в послеродовой период в течение одного г</w:t>
      </w:r>
      <w:r>
        <w:t>о</w:t>
      </w:r>
      <w:r>
        <w:t>да, женщин, кормящих грудью, в течение всего периода кормления. Допускае</w:t>
      </w:r>
      <w:r>
        <w:t>т</w:t>
      </w:r>
      <w:r>
        <w:t>ся использовать работника, имеющего ребенка в возрасте до трех лет, на но</w:t>
      </w:r>
      <w:r>
        <w:t>ч</w:t>
      </w:r>
      <w:r>
        <w:t>ной работе только с согласия последнего. По данным Национального управл</w:t>
      </w:r>
      <w:r>
        <w:t>е</w:t>
      </w:r>
      <w:r>
        <w:t>ния по правам человека, положения законодательства о возможности работы на условиях неполного рабочего времени для женщин, имеющих детей в возрасте до трех лет, на практике не действуют главным образом по следующим двум причинам: работодатель не соглашается предоставлять работу на условиях н</w:t>
      </w:r>
      <w:r>
        <w:t>е</w:t>
      </w:r>
      <w:r>
        <w:t>полного рабочего времени или достигается формальная договоренность о раб</w:t>
      </w:r>
      <w:r>
        <w:t>о</w:t>
      </w:r>
      <w:r>
        <w:t>те на таких условиях, но женщина продолжает работать полное рабочее время.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оплачиваемый ежегодный отпуск</w:t>
      </w:r>
    </w:p>
    <w:p w:rsidR="00000000" w:rsidRDefault="00000000">
      <w:pPr>
        <w:pStyle w:val="SingleTxt"/>
        <w:spacing w:after="0" w:line="120" w:lineRule="exact"/>
        <w:rPr>
          <w:sz w:val="10"/>
        </w:rPr>
      </w:pPr>
    </w:p>
    <w:p w:rsidR="00000000" w:rsidRDefault="00000000">
      <w:pPr>
        <w:pStyle w:val="SingleTxt"/>
      </w:pPr>
      <w:r>
        <w:t>161.</w:t>
      </w:r>
      <w:r>
        <w:tab/>
        <w:t>Трудовой кодекс гласит, что всем работникам ежегодно предоставляется отпуск с сохранением должности и среднего заработка. Предоставляемый р</w:t>
      </w:r>
      <w:r>
        <w:t>а</w:t>
      </w:r>
      <w:r>
        <w:t>ботникам ежегодный отпуск составляет не менее четырех календарных недель, не считая праздничных дней. Замена отпуска денежной компенсацией не д</w:t>
      </w:r>
      <w:r>
        <w:t>о</w:t>
      </w:r>
      <w:r>
        <w:t>пускается, кроме случаев, когда работник, который не использовал своего о</w:t>
      </w:r>
      <w:r>
        <w:t>т</w:t>
      </w:r>
      <w:r>
        <w:t>пуска, увольняется. Отпуск за первый год работы предоставляется работникам, когда они проработали на соответствующем предприятии, в учреждении или организации в течение шести месяцев без перерыва. Отпуск за первый год р</w:t>
      </w:r>
      <w:r>
        <w:t>а</w:t>
      </w:r>
      <w:r>
        <w:t>боты в случае, если работник не проработал шести месяцев без перерыва, м</w:t>
      </w:r>
      <w:r>
        <w:t>о</w:t>
      </w:r>
      <w:r>
        <w:t>жет предоставляться женщинам перед отпуском по беременности и родам или непосредственно после этого отпуска, а также женщинам, имеющим детей в возрасте до 12 лет; работникам в возрасте до 18 лет, жертвам политических р</w:t>
      </w:r>
      <w:r>
        <w:t>е</w:t>
      </w:r>
      <w:r>
        <w:t>прессий и в других случаях, предусмотренных законом. Отпуск за второй и п</w:t>
      </w:r>
      <w:r>
        <w:t>о</w:t>
      </w:r>
      <w:r>
        <w:t>следующие годы работы может предоставляться в любое время рабочего года в соответствии с очередностью предоставления отпусков. Женщины, имеющие трех детей и более в возрасте до 16 лет или ребенка-инвалида, имеют право на дополнительный отпуск в размере трех рабочих дней.</w:t>
      </w:r>
    </w:p>
    <w:p w:rsidR="00000000" w:rsidRDefault="00000000">
      <w:pPr>
        <w:pStyle w:val="SingleTxt"/>
      </w:pPr>
      <w:r>
        <w:t>162.</w:t>
      </w:r>
      <w:r>
        <w:tab/>
        <w:t>Закон о труде гласит, что каждый работник имеет право на оплачиваемый ежегодный отпуск. Упомянутый отпуск должен составлять не менее четырех календарных недель, не считая праздничных дней. Лицам в возрасте до 18 лет ежегодно предоставляется оплачиваемый отпуск в размере одного месяца. В исключительных случаях, когда предоставление в полном объеме оплачиваем</w:t>
      </w:r>
      <w:r>
        <w:t>о</w:t>
      </w:r>
      <w:r>
        <w:t>го ежегодного отпуска работнику в течение текущего года может оказать отр</w:t>
      </w:r>
      <w:r>
        <w:t>и</w:t>
      </w:r>
      <w:r>
        <w:t>цательное воздействие на обычный ход работы предприятия, допускается п</w:t>
      </w:r>
      <w:r>
        <w:t>е</w:t>
      </w:r>
      <w:r>
        <w:t>реносить часть отпуска на следующий год с письменного согласия работника. Эти положения не применимы к лицам в возрасте до 18 лет, беременным же</w:t>
      </w:r>
      <w:r>
        <w:t>н</w:t>
      </w:r>
      <w:r>
        <w:t>щинам, женщинам в послеродовой период в течение одного года и женщинам, кормящим грудью, в течение всего периода кормления. Замена ежегодного о</w:t>
      </w:r>
      <w:r>
        <w:t>п</w:t>
      </w:r>
      <w:r>
        <w:t>лачиваемого отпуска денежной компенсацией не допускается, кроме случаев, когда трудовые отношения прекращаются, а работник не использовал своего ежегодного оплачиваемого отпуска. Вопреки Трудовому кодексу дополнител</w:t>
      </w:r>
      <w:r>
        <w:t>ь</w:t>
      </w:r>
      <w:r>
        <w:t>ный отпуск в размере трех дней предоставляется работникам независимо от их пола, имеющим трех или более детей в возрасте до 16 лет или р</w:t>
      </w:r>
      <w:r>
        <w:t>е</w:t>
      </w:r>
      <w:r>
        <w:t>бенка-инвалида. Работник может просить предоставления ему ежегодного оплач</w:t>
      </w:r>
      <w:r>
        <w:t>и</w:t>
      </w:r>
      <w:r>
        <w:t>ваемого отпуска за первый год работы, если он проработал на данного работ</w:t>
      </w:r>
      <w:r>
        <w:t>о</w:t>
      </w:r>
      <w:r>
        <w:t>дателя не менее шести месяцев без перерыва. Работодатель обязан предост</w:t>
      </w:r>
      <w:r>
        <w:t>а</w:t>
      </w:r>
      <w:r>
        <w:t>вить такой отпуск в полном объеме. Женщинам предоставляется ежегодный оплачиваемый отпуск до отпуска по беременности и родам или непосредстве</w:t>
      </w:r>
      <w:r>
        <w:t>н</w:t>
      </w:r>
      <w:r>
        <w:t>но после него по их просьбе, независимо от того, сколько времени проработала женщина на данного работодателя.</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социальное обеспечение</w:t>
      </w:r>
    </w:p>
    <w:p w:rsidR="00000000" w:rsidRDefault="00000000">
      <w:pPr>
        <w:pStyle w:val="SingleTxt"/>
        <w:keepNext/>
        <w:spacing w:after="0" w:line="120" w:lineRule="exact"/>
        <w:rPr>
          <w:sz w:val="10"/>
        </w:rPr>
      </w:pPr>
    </w:p>
    <w:p w:rsidR="00000000" w:rsidRDefault="00000000">
      <w:pPr>
        <w:pStyle w:val="SingleTxt"/>
      </w:pPr>
      <w:r>
        <w:t>163.</w:t>
      </w:r>
      <w:r>
        <w:tab/>
        <w:t>Политика, которую проводит Латвия в вопросах социального обеспеч</w:t>
      </w:r>
      <w:r>
        <w:t>е</w:t>
      </w:r>
      <w:r>
        <w:t>ния, состоит в том, что уплата социального налога рассматривается как нео</w:t>
      </w:r>
      <w:r>
        <w:t>б</w:t>
      </w:r>
      <w:r>
        <w:t>ходимое условие для получения большинства социальных гарантий.</w:t>
      </w:r>
    </w:p>
    <w:p w:rsidR="00000000" w:rsidRDefault="00000000">
      <w:pPr>
        <w:pStyle w:val="SingleTxt"/>
      </w:pPr>
      <w:r>
        <w:t>164.</w:t>
      </w:r>
      <w:r>
        <w:tab/>
        <w:t>Со времени восстановления независимости в национальной политике в области социального обеспечения произошли значительные изменения. Пр</w:t>
      </w:r>
      <w:r>
        <w:t>и</w:t>
      </w:r>
      <w:r>
        <w:t>шлось изменить законодательную базу, которая гарантировала социальное обеспечение, поскольку оказалось невозможным продолжать предоставлять социальные гарантии, которые действовали в советский период; кроме того, в результате внедрения принципов рыночной экономики, населению пришлось взять на себя большую долю ответственности за свою жизнь. На начальном этапе правительство пыталось продолжать проводить политику, которая пред</w:t>
      </w:r>
      <w:r>
        <w:t>у</w:t>
      </w:r>
      <w:r>
        <w:t>сматривала максимум значительных социальных гарантий (это проявилось, н</w:t>
      </w:r>
      <w:r>
        <w:t>а</w:t>
      </w:r>
      <w:r>
        <w:t>пример, в принятии в 1991 году закона “О государственных пенсиях”). Однако осуществление этой политики оказалось невозможным и создало угрозу для подрыва бюджета социальной помощи.</w:t>
      </w:r>
    </w:p>
    <w:p w:rsidR="00000000" w:rsidRDefault="00000000">
      <w:pPr>
        <w:pStyle w:val="SingleTxt"/>
      </w:pPr>
      <w:r>
        <w:t>165.</w:t>
      </w:r>
      <w:r>
        <w:tab/>
        <w:t>Нынешняя модель политики в области социального обеспечения основ</w:t>
      </w:r>
      <w:r>
        <w:t>ы</w:t>
      </w:r>
      <w:r>
        <w:t>вается на том принципе, что необходимым условием для получения больши</w:t>
      </w:r>
      <w:r>
        <w:t>н</w:t>
      </w:r>
      <w:r>
        <w:t>ства социальных гарантий является выплата социального налога. Кроме того, размер этих выплат определяет также размер пособий и будущих пенсий. Пе</w:t>
      </w:r>
      <w:r>
        <w:t>р</w:t>
      </w:r>
      <w:r>
        <w:t>сонифицированные выплаты социального налога, осуществляемые каждым жителем, регистрируются на его индивидуальном счете в Государственном агентстве социального страхования. 13 марта 2001 года Конституционный суд вынес решение о том, что даже если работодатель не производил отчислений социального налога в отношении того или иного работника, последний имеет право на получение пособий по линии социального обеспечения. Отмечалось, что работник не в состоянии оказывать влияние на поведение работодателя, и поэтому он автоматически регистрируется как участник системы социального страхования, а государство обязуется обеспечить функционирование системы с</w:t>
      </w:r>
      <w:r>
        <w:t>о</w:t>
      </w:r>
      <w:r>
        <w:t>циального страхования и сбор выплат по линии этой системы.</w:t>
      </w:r>
    </w:p>
    <w:p w:rsidR="00000000" w:rsidRDefault="00000000">
      <w:pPr>
        <w:pStyle w:val="SingleTxt"/>
      </w:pPr>
      <w:r>
        <w:t>166.</w:t>
      </w:r>
      <w:r>
        <w:tab/>
        <w:t>Основным принципом работы системы социального обеспечения является гарантия равенства в получении социальных услуг, независимо от пола, наци</w:t>
      </w:r>
      <w:r>
        <w:t>о</w:t>
      </w:r>
      <w:r>
        <w:t>нальности и религиозных убеждений. Система социального обеспечения охв</w:t>
      </w:r>
      <w:r>
        <w:t>а</w:t>
      </w:r>
      <w:r>
        <w:t>тывает две области: государственное социальное страхование и социальную помощь.</w:t>
      </w:r>
    </w:p>
    <w:p w:rsidR="00000000" w:rsidRDefault="00000000">
      <w:pPr>
        <w:pStyle w:val="SingleTxt"/>
      </w:pPr>
      <w:r>
        <w:t>167.</w:t>
      </w:r>
      <w:r>
        <w:tab/>
        <w:t>Одним из компонентов системы социального обеспечения являются мер</w:t>
      </w:r>
      <w:r>
        <w:t>о</w:t>
      </w:r>
      <w:r>
        <w:t xml:space="preserve">приятия по линии </w:t>
      </w:r>
      <w:r>
        <w:rPr>
          <w:u w:val="single"/>
        </w:rPr>
        <w:t>социальной помощи</w:t>
      </w:r>
      <w:r>
        <w:t>, направленные на обеспечение социал</w:t>
      </w:r>
      <w:r>
        <w:t>ь</w:t>
      </w:r>
      <w:r>
        <w:t>ной защиты тех жителей, которые живут за чертой бедности или подвержены другим видам социального риска, а также тех жителей, на которых не распр</w:t>
      </w:r>
      <w:r>
        <w:t>о</w:t>
      </w:r>
      <w:r>
        <w:t>страняются другие мероприятия по линии социального обеспечения или для которых такое обеспечение является недостаточным. Функции по оказанию с</w:t>
      </w:r>
      <w:r>
        <w:t>о</w:t>
      </w:r>
      <w:r>
        <w:t>циальной помощи распределяются между государством и органами местного самоуправления. Согласно закону “О социальной помощи”, основными форм</w:t>
      </w:r>
      <w:r>
        <w:t>а</w:t>
      </w:r>
      <w:r>
        <w:t>ми социальной помощи, оказываемой государством, являются помощь в соц</w:t>
      </w:r>
      <w:r>
        <w:t>и</w:t>
      </w:r>
      <w:r>
        <w:t>ально-правовых вопросах, материальная помощь и социальная реабилитация.</w:t>
      </w:r>
    </w:p>
    <w:p w:rsidR="00000000" w:rsidRDefault="00000000">
      <w:pPr>
        <w:pStyle w:val="SingleTxt"/>
      </w:pPr>
      <w:r>
        <w:t>168.</w:t>
      </w:r>
      <w:r>
        <w:tab/>
        <w:t>В соответствии с законом “О социальной помощи” правом на получение услуг по линии социальной помощи пользуются граждане Латвии, неграждане, иностранцы и лица без гражданства, которым присвоен индивидуальный иде</w:t>
      </w:r>
      <w:r>
        <w:t>н</w:t>
      </w:r>
      <w:r>
        <w:t>тификационный код, кроме лиц, имеющих разрешение на временное прожив</w:t>
      </w:r>
      <w:r>
        <w:t>а</w:t>
      </w:r>
      <w:r>
        <w:t>ние. Это право не зависит от размера выплаченных взносов по линии социал</w:t>
      </w:r>
      <w:r>
        <w:t>ь</w:t>
      </w:r>
      <w:r>
        <w:t>ного страхования. В Латвии система социальных пособий включает общие г</w:t>
      </w:r>
      <w:r>
        <w:t>о</w:t>
      </w:r>
      <w:r>
        <w:t>сударственные социальные пособия, которые предоставляются в зависимости от принадлежности лица к соответствующей группе населения, а также мун</w:t>
      </w:r>
      <w:r>
        <w:t>и</w:t>
      </w:r>
      <w:r>
        <w:t>ципальные социальные пособия, предоставляемые по результатам проверки уровня доходов.</w:t>
      </w:r>
    </w:p>
    <w:p w:rsidR="00000000" w:rsidRDefault="00000000">
      <w:pPr>
        <w:pStyle w:val="SingleTxt"/>
      </w:pPr>
      <w:r>
        <w:t>169.</w:t>
      </w:r>
      <w:r>
        <w:tab/>
        <w:t>Между государственными социальными пособиями и муниципальными социальными пособиями проводится различие. Различают государственные с</w:t>
      </w:r>
      <w:r>
        <w:t>о</w:t>
      </w:r>
      <w:r>
        <w:t>циальные пособия, выплачиваемые на регулярной основе, и единовременные (разовые) пособия. Государственные социальные пособия, выплачиваемые на регулярной основе, включают:</w:t>
      </w:r>
    </w:p>
    <w:p w:rsidR="00000000" w:rsidRDefault="00000000">
      <w:pPr>
        <w:pStyle w:val="SingleTxt"/>
      </w:pPr>
      <w:r>
        <w:tab/>
        <w:t>a)</w:t>
      </w:r>
      <w:r>
        <w:tab/>
        <w:t>государственное пособие по линии социального обеспечения;</w:t>
      </w:r>
    </w:p>
    <w:p w:rsidR="00000000" w:rsidRDefault="00000000">
      <w:pPr>
        <w:pStyle w:val="SingleTxt"/>
      </w:pPr>
      <w:r>
        <w:tab/>
        <w:t>b)</w:t>
      </w:r>
      <w:r>
        <w:tab/>
        <w:t>пособие по уходу за детьми;</w:t>
      </w:r>
    </w:p>
    <w:p w:rsidR="00000000" w:rsidRDefault="00000000">
      <w:pPr>
        <w:pStyle w:val="SingleTxt"/>
      </w:pPr>
      <w:r>
        <w:tab/>
        <w:t>c)</w:t>
      </w:r>
      <w:r>
        <w:tab/>
        <w:t>семейное государственное пособие;</w:t>
      </w:r>
    </w:p>
    <w:p w:rsidR="00000000" w:rsidRDefault="00000000">
      <w:pPr>
        <w:pStyle w:val="SingleTxt"/>
      </w:pPr>
      <w:r>
        <w:tab/>
        <w:t>d)</w:t>
      </w:r>
      <w:r>
        <w:tab/>
        <w:t>пособие в порядке компенсации транспортных расходов предоста</w:t>
      </w:r>
      <w:r>
        <w:t>в</w:t>
      </w:r>
      <w:r>
        <w:t>ляется инвалидам с двигательными нарушениями, которые имеют справку от врача или специалиста о необходимости специализированного транспортного средства (это пособие выплачивается дважды в год);</w:t>
      </w:r>
    </w:p>
    <w:p w:rsidR="00000000" w:rsidRDefault="00000000">
      <w:pPr>
        <w:pStyle w:val="SingleTxt"/>
      </w:pPr>
      <w:r>
        <w:tab/>
        <w:t>e)</w:t>
      </w:r>
      <w:r>
        <w:tab/>
        <w:t>вознаграждение опекунам;</w:t>
      </w:r>
    </w:p>
    <w:p w:rsidR="00000000" w:rsidRDefault="00000000">
      <w:pPr>
        <w:pStyle w:val="SingleTxt"/>
      </w:pPr>
      <w:r>
        <w:tab/>
        <w:t>f)</w:t>
      </w:r>
      <w:r>
        <w:tab/>
        <w:t>вознаграждение семьям, взявшим на воспитание ребенка;</w:t>
      </w:r>
    </w:p>
    <w:p w:rsidR="00000000" w:rsidRDefault="00000000">
      <w:pPr>
        <w:pStyle w:val="SingleTxt"/>
      </w:pPr>
      <w:r>
        <w:tab/>
        <w:t>g)</w:t>
      </w:r>
      <w:r>
        <w:tab/>
        <w:t>вознаграждение опекунам за кормление ребенка.</w:t>
      </w:r>
    </w:p>
    <w:p w:rsidR="00000000" w:rsidRDefault="00000000">
      <w:pPr>
        <w:pStyle w:val="SingleTxt"/>
      </w:pPr>
      <w:r>
        <w:t>170.</w:t>
      </w:r>
      <w:r>
        <w:tab/>
        <w:t>Пособие при рождении ребенка и пособие на погребение представляют собой единовременные выплаты.</w:t>
      </w:r>
    </w:p>
    <w:p w:rsidR="00000000" w:rsidRDefault="00000000">
      <w:pPr>
        <w:pStyle w:val="SingleTxt"/>
      </w:pPr>
      <w:r>
        <w:t>171.</w:t>
      </w:r>
      <w:r>
        <w:tab/>
        <w:t>Согласно закону «О социальной помощи», органы местного самоуправл</w:t>
      </w:r>
      <w:r>
        <w:t>е</w:t>
      </w:r>
      <w:r>
        <w:t>ния отвечают за предоставление следующих социальных пособий:</w:t>
      </w:r>
    </w:p>
    <w:p w:rsidR="00000000" w:rsidRDefault="00000000">
      <w:pPr>
        <w:pStyle w:val="SingleTxt"/>
      </w:pPr>
      <w:r>
        <w:tab/>
        <w:t>a)</w:t>
      </w:r>
      <w:r>
        <w:tab/>
        <w:t>пособий нуждающимся семьям по линии социальной помощи;</w:t>
      </w:r>
    </w:p>
    <w:p w:rsidR="00000000" w:rsidRDefault="00000000">
      <w:pPr>
        <w:pStyle w:val="SingleTxt"/>
      </w:pPr>
      <w:r>
        <w:tab/>
        <w:t>b)</w:t>
      </w:r>
      <w:r>
        <w:tab/>
        <w:t>пособий на жилье;</w:t>
      </w:r>
    </w:p>
    <w:p w:rsidR="00000000" w:rsidRDefault="00000000">
      <w:pPr>
        <w:pStyle w:val="SingleTxt"/>
      </w:pPr>
      <w:r>
        <w:tab/>
        <w:t>c)</w:t>
      </w:r>
      <w:r>
        <w:tab/>
        <w:t>пособий на оплату услуг медсестры.</w:t>
      </w:r>
    </w:p>
    <w:p w:rsidR="00000000" w:rsidRDefault="00000000">
      <w:pPr>
        <w:pStyle w:val="SingleTxt"/>
      </w:pPr>
      <w:r>
        <w:t>172.</w:t>
      </w:r>
      <w:r>
        <w:tab/>
        <w:t>Органы местного самоуправления с учетом своих местных возможностей могут предоставлять и другие п</w:t>
      </w:r>
      <w:r>
        <w:t>о</w:t>
      </w:r>
      <w:r>
        <w:t>собия.</w:t>
      </w:r>
    </w:p>
    <w:p w:rsidR="00000000" w:rsidRDefault="00000000">
      <w:pPr>
        <w:pStyle w:val="SingleTxt"/>
      </w:pPr>
      <w:r>
        <w:t>173.</w:t>
      </w:r>
      <w:r>
        <w:tab/>
        <w:t>Следует отметить, что, по данным Национального управления по правам человека, бедность в Латвии носит ярко выраженную гендерную окраску. По мере увеличения числа членов семей растет также риск обнищания женщин. Женщины с детьми нуждаются в большей степени, чем женщины без детей: необходимость заботиться о ребенке ограничивает экономические возможности женщин. Семьи, в которых женщина сама воспитывает маленьких детей, ос</w:t>
      </w:r>
      <w:r>
        <w:t>о</w:t>
      </w:r>
      <w:r>
        <w:t>бенно подвержены риску: отец ребенка (детей) часто уклоняется от уплаты алиментов, несмотря на наличие действующего судебного решения, предпис</w:t>
      </w:r>
      <w:r>
        <w:t>ы</w:t>
      </w:r>
      <w:r>
        <w:t>вающего производить такие выплаты. Довольно часто правоохранительные о</w:t>
      </w:r>
      <w:r>
        <w:t>р</w:t>
      </w:r>
      <w:r>
        <w:t>ганы не в состоянии обеспечить исполнение таких судебных решений.</w:t>
      </w:r>
    </w:p>
    <w:p w:rsidR="00000000" w:rsidRDefault="00000000">
      <w:pPr>
        <w:pStyle w:val="SingleTxt"/>
      </w:pPr>
      <w:r>
        <w:t>174.</w:t>
      </w:r>
      <w:r>
        <w:tab/>
      </w:r>
      <w:r>
        <w:rPr>
          <w:u w:val="single"/>
        </w:rPr>
        <w:t>Социальное страхование</w:t>
      </w:r>
      <w:r>
        <w:t xml:space="preserve"> обеспечивает социальную стабильность и защ</w:t>
      </w:r>
      <w:r>
        <w:t>и</w:t>
      </w:r>
      <w:r>
        <w:t>щенность в обществе, гарантируя каждому плательщику взносов на социальное страхование возмещение потерянных доходов в размере, пропорциональном сумме выплаченных им взносов на момент потери нынешнего дохода. Соц</w:t>
      </w:r>
      <w:r>
        <w:t>и</w:t>
      </w:r>
      <w:r>
        <w:t>альное страхование – это ряд мероприятий, организованных государством для страхования риска потери дохода от работы, которому подвержен человек или его иждивенцы в случае болезни, нетрудоспособности, беременности и рожд</w:t>
      </w:r>
      <w:r>
        <w:t>е</w:t>
      </w:r>
      <w:r>
        <w:t>ния ребенка, безработицы, старости, несчастного случая на производстве или профессионального заболевания застрахованного лица, а также возникновения дополнительных расходов в случае смерти застрахованного лица или иждиве</w:t>
      </w:r>
      <w:r>
        <w:t>н</w:t>
      </w:r>
      <w:r>
        <w:t>ца данного лица. В законе «О государственном социальном страховании» опр</w:t>
      </w:r>
      <w:r>
        <w:t>е</w:t>
      </w:r>
      <w:r>
        <w:t>деляются виды социального страхов</w:t>
      </w:r>
      <w:r>
        <w:t>а</w:t>
      </w:r>
      <w:r>
        <w:t>ния.</w:t>
      </w:r>
    </w:p>
    <w:p w:rsidR="00000000" w:rsidRDefault="00000000">
      <w:pPr>
        <w:pStyle w:val="SingleTxt"/>
      </w:pPr>
      <w:r>
        <w:t>175.</w:t>
      </w:r>
      <w:r>
        <w:tab/>
        <w:t>В соответствии с действующими в настоящее время нормативными акт</w:t>
      </w:r>
      <w:r>
        <w:t>а</w:t>
      </w:r>
      <w:r>
        <w:t xml:space="preserve">ми в Латвии существует трехуровневая </w:t>
      </w:r>
      <w:r>
        <w:rPr>
          <w:u w:val="single"/>
        </w:rPr>
        <w:t>система пенсий по старости.</w:t>
      </w:r>
      <w:r>
        <w:t xml:space="preserve"> Уровни этой системы дополняют друг друга. Пенсию по старости можно получить п</w:t>
      </w:r>
      <w:r>
        <w:t>о</w:t>
      </w:r>
      <w:r>
        <w:t>средством выплаты обязательных взносов на социальное страхование (первый уровень пенсионной системы), посредством участия в государственных пенс</w:t>
      </w:r>
      <w:r>
        <w:t>и</w:t>
      </w:r>
      <w:r>
        <w:t>онных фондах, в которых накапливаются пенсионные средства, что обеспеч</w:t>
      </w:r>
      <w:r>
        <w:t>и</w:t>
      </w:r>
      <w:r>
        <w:t>вает их оборот (второй уровень пенсионной системы, который начал действ</w:t>
      </w:r>
      <w:r>
        <w:t>о</w:t>
      </w:r>
      <w:r>
        <w:t>вать с июля 2001 года), и путем инвестирования средств в частные пенсионные фонды (третий уровень пенсионной системы).</w:t>
      </w:r>
    </w:p>
    <w:p w:rsidR="00000000" w:rsidRDefault="00000000">
      <w:pPr>
        <w:pStyle w:val="SingleTxt"/>
      </w:pPr>
      <w:r>
        <w:t>176.</w:t>
      </w:r>
      <w:r>
        <w:tab/>
        <w:t>Размер пенсий зависит от суммы выплаченных взносов на социальное страхование и продолжительности срока, в течение которого эти взносы в</w:t>
      </w:r>
      <w:r>
        <w:t>ы</w:t>
      </w:r>
      <w:r>
        <w:t>плачивались. Здесь действуют два принципа: «чем больше выплатишь, тем больше получишь» и «чем позже выйдешь на пенсию, тем больше получишь».</w:t>
      </w:r>
    </w:p>
    <w:p w:rsidR="00000000" w:rsidRDefault="00000000">
      <w:pPr>
        <w:pStyle w:val="SingleTxt"/>
      </w:pPr>
      <w:r>
        <w:t>177.</w:t>
      </w:r>
      <w:r>
        <w:tab/>
        <w:t>В государственной пенсионной системе пол учитывается только при уст</w:t>
      </w:r>
      <w:r>
        <w:t>а</w:t>
      </w:r>
      <w:r>
        <w:t>новлении возраста на пенсию. В 1995 году минимальный возраст выхода на пенсию для женщин составлял 55 лет, а для мужчин – 60-62 года. В 1996 году возраст выхода на пенсию для женщин повышен до 56 лет, а затем в соответс</w:t>
      </w:r>
      <w:r>
        <w:t>т</w:t>
      </w:r>
      <w:r>
        <w:t>вии с законом «О государственных пенсиях» каждые проработанные женщиной полгода зачитываются как календарный год, пока не будет достигнут уровень в 62 года. В 2001 году право на пенсию по старости имели лица (мужчины и женщины), которые достигли возраста 62 лет и продолжительность срока стр</w:t>
      </w:r>
      <w:r>
        <w:t>а</w:t>
      </w:r>
      <w:r>
        <w:t>хования которых составляет не менее десяти лет. Лица, которые достигли во</w:t>
      </w:r>
      <w:r>
        <w:t>з</w:t>
      </w:r>
      <w:r>
        <w:t>раста 60 лет, имеют право просить о выходе на пенсию до достижения пенс</w:t>
      </w:r>
      <w:r>
        <w:t>и</w:t>
      </w:r>
      <w:r>
        <w:t>онного возраста, если продолжительность периода их социального страхования составляет не менее 30 лет.</w:t>
      </w:r>
    </w:p>
    <w:p w:rsidR="00000000" w:rsidRDefault="00000000">
      <w:pPr>
        <w:pStyle w:val="SingleTxt"/>
      </w:pPr>
      <w:r>
        <w:t>178.</w:t>
      </w:r>
      <w:r>
        <w:tab/>
        <w:t>Мужчины и женщины могут выйти на пенсию за два года до наступления официально установленного возраста выхода на пенсию, если продолжител</w:t>
      </w:r>
      <w:r>
        <w:t>ь</w:t>
      </w:r>
      <w:r>
        <w:t>ность периода их социального страхования составляет не менее 30 лет. В сл</w:t>
      </w:r>
      <w:r>
        <w:t>у</w:t>
      </w:r>
      <w:r>
        <w:t>чае выхода на пенсию до наступления пенсионного возраста выплачивается лишь 80 процентов размера установленной пенсии.</w:t>
      </w:r>
    </w:p>
    <w:p w:rsidR="00000000" w:rsidRDefault="00000000">
      <w:pPr>
        <w:pStyle w:val="SingleTxt"/>
      </w:pPr>
      <w:r>
        <w:t>179.</w:t>
      </w:r>
      <w:r>
        <w:tab/>
        <w:t>Поскольку женщины получают более низкие оклады чем мужчины, сре</w:t>
      </w:r>
      <w:r>
        <w:t>д</w:t>
      </w:r>
      <w:r>
        <w:t>ний размер их пенсий также ниже. Латвийская ассоциация по вопросам ге</w:t>
      </w:r>
      <w:r>
        <w:t>н</w:t>
      </w:r>
      <w:r>
        <w:t>дерного равенства в своих комментариях отмечает, что выплата женщинам пенсий по старости пропорционально их взносам на социальное страхование является дискриминационной, во-первых, потому, что оклады у женщин в среднем ниже в силу профессиональной и отраслевой сегрегации, и, во-вторых, потому, что у них есть разрывы в профессиональном стаже, вызванные необх</w:t>
      </w:r>
      <w:r>
        <w:t>о</w:t>
      </w:r>
      <w:r>
        <w:t>димостью ухода за ребенком, так как в течение этого периода государство в</w:t>
      </w:r>
      <w:r>
        <w:t>ы</w:t>
      </w:r>
      <w:r>
        <w:t>плачивает взносы на социальное страхование, исходя из минимального размера заработной платы, в результате чего окончательная сумма накоплений на пе</w:t>
      </w:r>
      <w:r>
        <w:t>н</w:t>
      </w:r>
      <w:r>
        <w:t>сию по ст</w:t>
      </w:r>
      <w:r>
        <w:t>а</w:t>
      </w:r>
      <w:r>
        <w:t>рости оказывается меньшей.</w:t>
      </w:r>
    </w:p>
    <w:p w:rsidR="00000000" w:rsidRDefault="00000000">
      <w:pPr>
        <w:pStyle w:val="SingleTxt"/>
        <w:spacing w:after="0" w:line="120" w:lineRule="exact"/>
        <w:rPr>
          <w:sz w:val="10"/>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9"/>
        <w:gridCol w:w="666"/>
        <w:gridCol w:w="675"/>
        <w:gridCol w:w="711"/>
        <w:gridCol w:w="693"/>
        <w:gridCol w:w="675"/>
        <w:gridCol w:w="675"/>
        <w:gridCol w:w="720"/>
        <w:gridCol w:w="657"/>
        <w:gridCol w:w="675"/>
        <w:gridCol w:w="693"/>
      </w:tblGrid>
      <w:tr w:rsidR="00000000">
        <w:tblPrEx>
          <w:tblCellMar>
            <w:top w:w="0" w:type="dxa"/>
            <w:bottom w:w="0" w:type="dxa"/>
          </w:tblCellMar>
        </w:tblPrEx>
        <w:tc>
          <w:tcPr>
            <w:tcW w:w="9819" w:type="dxa"/>
            <w:gridSpan w:val="11"/>
          </w:tcPr>
          <w:p w:rsidR="00000000" w:rsidRDefault="00000000">
            <w:pPr>
              <w:pStyle w:val="DualTxt"/>
              <w:spacing w:before="60" w:after="100" w:line="200" w:lineRule="exact"/>
              <w:rPr>
                <w:sz w:val="16"/>
              </w:rPr>
            </w:pPr>
            <w:r>
              <w:rPr>
                <w:sz w:val="16"/>
              </w:rPr>
              <w:t>Средний ежемесячный размер пенсий по старости в латвийских латах в месяц в фактич</w:t>
            </w:r>
            <w:r>
              <w:rPr>
                <w:sz w:val="16"/>
              </w:rPr>
              <w:t>е</w:t>
            </w:r>
            <w:r>
              <w:rPr>
                <w:sz w:val="16"/>
              </w:rPr>
              <w:t>ских ценах</w:t>
            </w:r>
          </w:p>
        </w:tc>
      </w:tr>
      <w:tr w:rsidR="00000000">
        <w:tblPrEx>
          <w:tblCellMar>
            <w:top w:w="0" w:type="dxa"/>
            <w:left w:w="72" w:type="dxa"/>
            <w:bottom w:w="0" w:type="dxa"/>
            <w:right w:w="72" w:type="dxa"/>
          </w:tblCellMar>
        </w:tblPrEx>
        <w:tc>
          <w:tcPr>
            <w:tcW w:w="2979" w:type="dxa"/>
          </w:tcPr>
          <w:p w:rsidR="00000000" w:rsidRDefault="00000000">
            <w:pPr>
              <w:pStyle w:val="DualTxt"/>
              <w:spacing w:before="60" w:after="100" w:line="200" w:lineRule="exact"/>
              <w:rPr>
                <w:sz w:val="16"/>
              </w:rPr>
            </w:pPr>
          </w:p>
        </w:tc>
        <w:tc>
          <w:tcPr>
            <w:tcW w:w="666" w:type="dxa"/>
          </w:tcPr>
          <w:p w:rsidR="00000000" w:rsidRDefault="00000000">
            <w:pPr>
              <w:pStyle w:val="DualTxt"/>
              <w:spacing w:before="60" w:after="100" w:line="200" w:lineRule="exact"/>
              <w:rPr>
                <w:sz w:val="16"/>
              </w:rPr>
            </w:pPr>
            <w:r>
              <w:rPr>
                <w:sz w:val="16"/>
              </w:rPr>
              <w:t>1992 г.</w:t>
            </w:r>
          </w:p>
        </w:tc>
        <w:tc>
          <w:tcPr>
            <w:tcW w:w="675" w:type="dxa"/>
          </w:tcPr>
          <w:p w:rsidR="00000000" w:rsidRDefault="00000000">
            <w:pPr>
              <w:pStyle w:val="DualTxt"/>
              <w:spacing w:before="60" w:after="100" w:line="200" w:lineRule="exact"/>
              <w:rPr>
                <w:sz w:val="16"/>
              </w:rPr>
            </w:pPr>
            <w:r>
              <w:rPr>
                <w:sz w:val="16"/>
              </w:rPr>
              <w:t>1993 г.</w:t>
            </w:r>
          </w:p>
        </w:tc>
        <w:tc>
          <w:tcPr>
            <w:tcW w:w="711" w:type="dxa"/>
          </w:tcPr>
          <w:p w:rsidR="00000000" w:rsidRDefault="00000000">
            <w:pPr>
              <w:pStyle w:val="DualTxt"/>
              <w:spacing w:before="60" w:after="100" w:line="200" w:lineRule="exact"/>
              <w:rPr>
                <w:sz w:val="16"/>
              </w:rPr>
            </w:pPr>
            <w:r>
              <w:rPr>
                <w:sz w:val="16"/>
              </w:rPr>
              <w:t>1994 г.</w:t>
            </w:r>
          </w:p>
        </w:tc>
        <w:tc>
          <w:tcPr>
            <w:tcW w:w="693" w:type="dxa"/>
          </w:tcPr>
          <w:p w:rsidR="00000000" w:rsidRDefault="00000000">
            <w:pPr>
              <w:pStyle w:val="DualTxt"/>
              <w:spacing w:before="60" w:after="100" w:line="200" w:lineRule="exact"/>
              <w:rPr>
                <w:sz w:val="16"/>
              </w:rPr>
            </w:pPr>
            <w:r>
              <w:rPr>
                <w:sz w:val="16"/>
              </w:rPr>
              <w:t>1995 г.</w:t>
            </w:r>
          </w:p>
        </w:tc>
        <w:tc>
          <w:tcPr>
            <w:tcW w:w="675" w:type="dxa"/>
          </w:tcPr>
          <w:p w:rsidR="00000000" w:rsidRDefault="00000000">
            <w:pPr>
              <w:pStyle w:val="DualTxt"/>
              <w:spacing w:before="60" w:after="100" w:line="200" w:lineRule="exact"/>
              <w:rPr>
                <w:sz w:val="16"/>
              </w:rPr>
            </w:pPr>
            <w:r>
              <w:rPr>
                <w:sz w:val="16"/>
              </w:rPr>
              <w:t>1996 г.</w:t>
            </w:r>
          </w:p>
        </w:tc>
        <w:tc>
          <w:tcPr>
            <w:tcW w:w="675" w:type="dxa"/>
          </w:tcPr>
          <w:p w:rsidR="00000000" w:rsidRDefault="00000000">
            <w:pPr>
              <w:pStyle w:val="DualTxt"/>
              <w:spacing w:before="60" w:after="100" w:line="200" w:lineRule="exact"/>
              <w:rPr>
                <w:sz w:val="16"/>
              </w:rPr>
            </w:pPr>
            <w:r>
              <w:rPr>
                <w:sz w:val="16"/>
              </w:rPr>
              <w:t>1997 г.</w:t>
            </w:r>
          </w:p>
        </w:tc>
        <w:tc>
          <w:tcPr>
            <w:tcW w:w="720" w:type="dxa"/>
          </w:tcPr>
          <w:p w:rsidR="00000000" w:rsidRDefault="00000000">
            <w:pPr>
              <w:pStyle w:val="DualTxt"/>
              <w:spacing w:before="60" w:after="100" w:line="200" w:lineRule="exact"/>
              <w:rPr>
                <w:sz w:val="16"/>
              </w:rPr>
            </w:pPr>
            <w:r>
              <w:rPr>
                <w:sz w:val="16"/>
              </w:rPr>
              <w:t>1998 г.</w:t>
            </w:r>
          </w:p>
        </w:tc>
        <w:tc>
          <w:tcPr>
            <w:tcW w:w="657" w:type="dxa"/>
          </w:tcPr>
          <w:p w:rsidR="00000000" w:rsidRDefault="00000000">
            <w:pPr>
              <w:pStyle w:val="DualTxt"/>
              <w:spacing w:before="60" w:after="100" w:line="200" w:lineRule="exact"/>
              <w:rPr>
                <w:sz w:val="16"/>
              </w:rPr>
            </w:pPr>
            <w:r>
              <w:rPr>
                <w:sz w:val="16"/>
              </w:rPr>
              <w:t>1999 г.</w:t>
            </w:r>
          </w:p>
        </w:tc>
        <w:tc>
          <w:tcPr>
            <w:tcW w:w="675" w:type="dxa"/>
          </w:tcPr>
          <w:p w:rsidR="00000000" w:rsidRDefault="00000000">
            <w:pPr>
              <w:pStyle w:val="DualTxt"/>
              <w:spacing w:before="60" w:after="100" w:line="200" w:lineRule="exact"/>
              <w:rPr>
                <w:sz w:val="16"/>
              </w:rPr>
            </w:pPr>
            <w:r>
              <w:rPr>
                <w:sz w:val="16"/>
              </w:rPr>
              <w:t>2000 г.</w:t>
            </w:r>
          </w:p>
        </w:tc>
        <w:tc>
          <w:tcPr>
            <w:tcW w:w="693" w:type="dxa"/>
          </w:tcPr>
          <w:p w:rsidR="00000000" w:rsidRDefault="00000000">
            <w:pPr>
              <w:pStyle w:val="DualTxt"/>
              <w:spacing w:before="60" w:after="100" w:line="200" w:lineRule="exact"/>
              <w:rPr>
                <w:sz w:val="16"/>
              </w:rPr>
            </w:pPr>
            <w:r>
              <w:rPr>
                <w:sz w:val="16"/>
              </w:rPr>
              <w:t>2001 г.</w:t>
            </w:r>
          </w:p>
        </w:tc>
      </w:tr>
      <w:tr w:rsidR="00000000">
        <w:tblPrEx>
          <w:tblCellMar>
            <w:top w:w="0" w:type="dxa"/>
            <w:bottom w:w="0" w:type="dxa"/>
          </w:tblCellMar>
        </w:tblPrEx>
        <w:tc>
          <w:tcPr>
            <w:tcW w:w="2979" w:type="dxa"/>
            <w:vAlign w:val="bottom"/>
          </w:tcPr>
          <w:p w:rsidR="00000000" w:rsidRDefault="00000000">
            <w:pPr>
              <w:pStyle w:val="DualTxt"/>
              <w:jc w:val="left"/>
              <w:rPr>
                <w:sz w:val="18"/>
              </w:rPr>
            </w:pPr>
            <w:r>
              <w:rPr>
                <w:sz w:val="18"/>
              </w:rPr>
              <w:t>Средний размер по всем видам пенсий</w:t>
            </w:r>
          </w:p>
        </w:tc>
        <w:tc>
          <w:tcPr>
            <w:tcW w:w="666" w:type="dxa"/>
            <w:vAlign w:val="bottom"/>
          </w:tcPr>
          <w:p w:rsidR="00000000" w:rsidRDefault="00000000">
            <w:pPr>
              <w:pStyle w:val="DualTxt"/>
              <w:jc w:val="left"/>
              <w:rPr>
                <w:sz w:val="18"/>
              </w:rPr>
            </w:pPr>
            <w:r>
              <w:rPr>
                <w:sz w:val="18"/>
              </w:rPr>
              <w:t>8,29</w:t>
            </w:r>
          </w:p>
        </w:tc>
        <w:tc>
          <w:tcPr>
            <w:tcW w:w="675" w:type="dxa"/>
            <w:vAlign w:val="bottom"/>
          </w:tcPr>
          <w:p w:rsidR="00000000" w:rsidRDefault="00000000">
            <w:pPr>
              <w:pStyle w:val="DualTxt"/>
              <w:jc w:val="left"/>
              <w:rPr>
                <w:sz w:val="18"/>
              </w:rPr>
            </w:pPr>
            <w:r>
              <w:rPr>
                <w:sz w:val="18"/>
              </w:rPr>
              <w:t>10,50</w:t>
            </w:r>
          </w:p>
        </w:tc>
        <w:tc>
          <w:tcPr>
            <w:tcW w:w="711" w:type="dxa"/>
            <w:vAlign w:val="bottom"/>
          </w:tcPr>
          <w:p w:rsidR="00000000" w:rsidRDefault="00000000">
            <w:pPr>
              <w:pStyle w:val="DualTxt"/>
              <w:jc w:val="left"/>
              <w:rPr>
                <w:sz w:val="18"/>
              </w:rPr>
            </w:pPr>
            <w:r>
              <w:rPr>
                <w:sz w:val="18"/>
              </w:rPr>
              <w:t>27,00</w:t>
            </w:r>
          </w:p>
        </w:tc>
        <w:tc>
          <w:tcPr>
            <w:tcW w:w="693" w:type="dxa"/>
            <w:vAlign w:val="bottom"/>
          </w:tcPr>
          <w:p w:rsidR="00000000" w:rsidRDefault="00000000">
            <w:pPr>
              <w:pStyle w:val="DualTxt"/>
              <w:jc w:val="left"/>
              <w:rPr>
                <w:sz w:val="18"/>
              </w:rPr>
            </w:pPr>
            <w:r>
              <w:rPr>
                <w:sz w:val="18"/>
              </w:rPr>
              <w:t>32,72</w:t>
            </w:r>
          </w:p>
        </w:tc>
        <w:tc>
          <w:tcPr>
            <w:tcW w:w="675" w:type="dxa"/>
            <w:vAlign w:val="bottom"/>
          </w:tcPr>
          <w:p w:rsidR="00000000" w:rsidRDefault="00000000">
            <w:pPr>
              <w:pStyle w:val="DualTxt"/>
              <w:jc w:val="left"/>
              <w:rPr>
                <w:sz w:val="18"/>
              </w:rPr>
            </w:pPr>
            <w:r>
              <w:rPr>
                <w:sz w:val="18"/>
              </w:rPr>
              <w:t>38,50</w:t>
            </w:r>
          </w:p>
        </w:tc>
        <w:tc>
          <w:tcPr>
            <w:tcW w:w="675" w:type="dxa"/>
            <w:vAlign w:val="bottom"/>
          </w:tcPr>
          <w:p w:rsidR="00000000" w:rsidRDefault="00000000">
            <w:pPr>
              <w:pStyle w:val="DualTxt"/>
              <w:jc w:val="left"/>
              <w:rPr>
                <w:sz w:val="18"/>
              </w:rPr>
            </w:pPr>
            <w:r>
              <w:rPr>
                <w:sz w:val="18"/>
              </w:rPr>
              <w:t>42,42</w:t>
            </w:r>
          </w:p>
        </w:tc>
        <w:tc>
          <w:tcPr>
            <w:tcW w:w="720" w:type="dxa"/>
            <w:vAlign w:val="bottom"/>
          </w:tcPr>
          <w:p w:rsidR="00000000" w:rsidRDefault="00000000">
            <w:pPr>
              <w:pStyle w:val="DualTxt"/>
              <w:jc w:val="left"/>
              <w:rPr>
                <w:sz w:val="18"/>
              </w:rPr>
            </w:pPr>
            <w:r>
              <w:rPr>
                <w:sz w:val="18"/>
              </w:rPr>
              <w:t>51,23</w:t>
            </w:r>
          </w:p>
        </w:tc>
        <w:tc>
          <w:tcPr>
            <w:tcW w:w="657" w:type="dxa"/>
            <w:vAlign w:val="bottom"/>
          </w:tcPr>
          <w:p w:rsidR="00000000" w:rsidRDefault="00000000">
            <w:pPr>
              <w:pStyle w:val="DualTxt"/>
              <w:jc w:val="left"/>
              <w:rPr>
                <w:sz w:val="18"/>
              </w:rPr>
            </w:pPr>
            <w:r>
              <w:rPr>
                <w:sz w:val="18"/>
              </w:rPr>
              <w:t>58,00</w:t>
            </w:r>
          </w:p>
        </w:tc>
        <w:tc>
          <w:tcPr>
            <w:tcW w:w="675" w:type="dxa"/>
            <w:vAlign w:val="bottom"/>
          </w:tcPr>
          <w:p w:rsidR="00000000" w:rsidRDefault="00000000">
            <w:pPr>
              <w:pStyle w:val="DualTxt"/>
              <w:jc w:val="left"/>
              <w:rPr>
                <w:sz w:val="18"/>
              </w:rPr>
            </w:pPr>
            <w:r>
              <w:rPr>
                <w:sz w:val="18"/>
              </w:rPr>
              <w:t>58,54</w:t>
            </w:r>
          </w:p>
        </w:tc>
        <w:tc>
          <w:tcPr>
            <w:tcW w:w="693" w:type="dxa"/>
            <w:vAlign w:val="bottom"/>
          </w:tcPr>
          <w:p w:rsidR="00000000" w:rsidRDefault="00000000">
            <w:pPr>
              <w:pStyle w:val="DualTxt"/>
              <w:jc w:val="left"/>
              <w:rPr>
                <w:sz w:val="18"/>
              </w:rPr>
            </w:pPr>
            <w:r>
              <w:rPr>
                <w:sz w:val="18"/>
              </w:rPr>
              <w:t>58,87</w:t>
            </w:r>
          </w:p>
        </w:tc>
      </w:tr>
      <w:tr w:rsidR="00000000">
        <w:tblPrEx>
          <w:tblCellMar>
            <w:top w:w="0" w:type="dxa"/>
            <w:bottom w:w="0" w:type="dxa"/>
          </w:tblCellMar>
        </w:tblPrEx>
        <w:tc>
          <w:tcPr>
            <w:tcW w:w="2979" w:type="dxa"/>
            <w:vAlign w:val="bottom"/>
          </w:tcPr>
          <w:p w:rsidR="00000000" w:rsidRDefault="00000000">
            <w:pPr>
              <w:pStyle w:val="DualTxt"/>
              <w:jc w:val="left"/>
              <w:rPr>
                <w:sz w:val="18"/>
              </w:rPr>
            </w:pPr>
            <w:r>
              <w:rPr>
                <w:sz w:val="18"/>
              </w:rPr>
              <w:tab/>
              <w:t>мужчины</w:t>
            </w:r>
          </w:p>
        </w:tc>
        <w:tc>
          <w:tcPr>
            <w:tcW w:w="666" w:type="dxa"/>
            <w:vAlign w:val="bottom"/>
          </w:tcPr>
          <w:p w:rsidR="00000000" w:rsidRDefault="00000000">
            <w:pPr>
              <w:pStyle w:val="DualTxt"/>
              <w:jc w:val="left"/>
              <w:rPr>
                <w:sz w:val="18"/>
              </w:rPr>
            </w:pPr>
            <w:r>
              <w:rPr>
                <w:sz w:val="18"/>
              </w:rPr>
              <w:t>Х</w:t>
            </w:r>
          </w:p>
        </w:tc>
        <w:tc>
          <w:tcPr>
            <w:tcW w:w="675" w:type="dxa"/>
            <w:vAlign w:val="bottom"/>
          </w:tcPr>
          <w:p w:rsidR="00000000" w:rsidRDefault="00000000">
            <w:pPr>
              <w:pStyle w:val="DualTxt"/>
              <w:jc w:val="left"/>
              <w:rPr>
                <w:sz w:val="18"/>
              </w:rPr>
            </w:pPr>
            <w:r>
              <w:rPr>
                <w:sz w:val="18"/>
              </w:rPr>
              <w:t>Х</w:t>
            </w:r>
          </w:p>
        </w:tc>
        <w:tc>
          <w:tcPr>
            <w:tcW w:w="711" w:type="dxa"/>
            <w:vAlign w:val="bottom"/>
          </w:tcPr>
          <w:p w:rsidR="00000000" w:rsidRDefault="00000000">
            <w:pPr>
              <w:pStyle w:val="DualTxt"/>
              <w:jc w:val="left"/>
              <w:rPr>
                <w:sz w:val="18"/>
              </w:rPr>
            </w:pPr>
            <w:r>
              <w:rPr>
                <w:sz w:val="18"/>
              </w:rPr>
              <w:t>Х</w:t>
            </w:r>
          </w:p>
        </w:tc>
        <w:tc>
          <w:tcPr>
            <w:tcW w:w="693" w:type="dxa"/>
            <w:vAlign w:val="bottom"/>
          </w:tcPr>
          <w:p w:rsidR="00000000" w:rsidRDefault="00000000">
            <w:pPr>
              <w:pStyle w:val="DualTxt"/>
              <w:jc w:val="left"/>
              <w:rPr>
                <w:sz w:val="18"/>
              </w:rPr>
            </w:pPr>
            <w:r>
              <w:rPr>
                <w:sz w:val="18"/>
              </w:rPr>
              <w:t>Х</w:t>
            </w:r>
          </w:p>
        </w:tc>
        <w:tc>
          <w:tcPr>
            <w:tcW w:w="675" w:type="dxa"/>
            <w:vAlign w:val="bottom"/>
          </w:tcPr>
          <w:p w:rsidR="00000000" w:rsidRDefault="00000000">
            <w:pPr>
              <w:pStyle w:val="DualTxt"/>
              <w:jc w:val="left"/>
              <w:rPr>
                <w:sz w:val="18"/>
              </w:rPr>
            </w:pPr>
            <w:r>
              <w:rPr>
                <w:sz w:val="18"/>
              </w:rPr>
              <w:t>Х</w:t>
            </w:r>
          </w:p>
        </w:tc>
        <w:tc>
          <w:tcPr>
            <w:tcW w:w="675" w:type="dxa"/>
            <w:vAlign w:val="bottom"/>
          </w:tcPr>
          <w:p w:rsidR="00000000" w:rsidRDefault="00000000">
            <w:pPr>
              <w:pStyle w:val="DualTxt"/>
              <w:jc w:val="left"/>
              <w:rPr>
                <w:sz w:val="18"/>
              </w:rPr>
            </w:pPr>
            <w:r>
              <w:rPr>
                <w:sz w:val="18"/>
              </w:rPr>
              <w:t>44,36</w:t>
            </w:r>
          </w:p>
        </w:tc>
        <w:tc>
          <w:tcPr>
            <w:tcW w:w="720" w:type="dxa"/>
            <w:vAlign w:val="bottom"/>
          </w:tcPr>
          <w:p w:rsidR="00000000" w:rsidRDefault="00000000">
            <w:pPr>
              <w:pStyle w:val="DualTxt"/>
              <w:jc w:val="left"/>
              <w:rPr>
                <w:sz w:val="18"/>
              </w:rPr>
            </w:pPr>
            <w:r>
              <w:rPr>
                <w:sz w:val="18"/>
              </w:rPr>
              <w:t>53,78</w:t>
            </w:r>
          </w:p>
        </w:tc>
        <w:tc>
          <w:tcPr>
            <w:tcW w:w="657" w:type="dxa"/>
            <w:vAlign w:val="bottom"/>
          </w:tcPr>
          <w:p w:rsidR="00000000" w:rsidRDefault="00000000">
            <w:pPr>
              <w:pStyle w:val="DualTxt"/>
              <w:jc w:val="left"/>
              <w:rPr>
                <w:sz w:val="18"/>
              </w:rPr>
            </w:pPr>
            <w:r>
              <w:rPr>
                <w:sz w:val="18"/>
              </w:rPr>
              <w:t>62,34</w:t>
            </w:r>
          </w:p>
        </w:tc>
        <w:tc>
          <w:tcPr>
            <w:tcW w:w="675" w:type="dxa"/>
            <w:vAlign w:val="bottom"/>
          </w:tcPr>
          <w:p w:rsidR="00000000" w:rsidRDefault="00000000">
            <w:pPr>
              <w:pStyle w:val="DualTxt"/>
              <w:jc w:val="left"/>
              <w:rPr>
                <w:sz w:val="18"/>
              </w:rPr>
            </w:pPr>
            <w:r>
              <w:rPr>
                <w:sz w:val="18"/>
              </w:rPr>
              <w:t>62,91</w:t>
            </w:r>
          </w:p>
        </w:tc>
        <w:tc>
          <w:tcPr>
            <w:tcW w:w="693" w:type="dxa"/>
            <w:vAlign w:val="bottom"/>
          </w:tcPr>
          <w:p w:rsidR="00000000" w:rsidRDefault="00000000">
            <w:pPr>
              <w:pStyle w:val="DualTxt"/>
              <w:jc w:val="left"/>
              <w:rPr>
                <w:sz w:val="18"/>
              </w:rPr>
            </w:pPr>
            <w:r>
              <w:rPr>
                <w:sz w:val="18"/>
              </w:rPr>
              <w:t>63,19</w:t>
            </w:r>
          </w:p>
        </w:tc>
      </w:tr>
      <w:tr w:rsidR="00000000">
        <w:tblPrEx>
          <w:tblCellMar>
            <w:top w:w="0" w:type="dxa"/>
            <w:bottom w:w="0" w:type="dxa"/>
          </w:tblCellMar>
        </w:tblPrEx>
        <w:tc>
          <w:tcPr>
            <w:tcW w:w="2979" w:type="dxa"/>
            <w:vAlign w:val="bottom"/>
          </w:tcPr>
          <w:p w:rsidR="00000000" w:rsidRDefault="00000000">
            <w:pPr>
              <w:pStyle w:val="DualTxt"/>
              <w:jc w:val="left"/>
              <w:rPr>
                <w:sz w:val="18"/>
              </w:rPr>
            </w:pPr>
            <w:r>
              <w:rPr>
                <w:sz w:val="18"/>
              </w:rPr>
              <w:tab/>
              <w:t>женщины</w:t>
            </w:r>
          </w:p>
        </w:tc>
        <w:tc>
          <w:tcPr>
            <w:tcW w:w="666" w:type="dxa"/>
            <w:vAlign w:val="bottom"/>
          </w:tcPr>
          <w:p w:rsidR="00000000" w:rsidRDefault="00000000">
            <w:pPr>
              <w:pStyle w:val="DualTxt"/>
              <w:jc w:val="left"/>
              <w:rPr>
                <w:sz w:val="18"/>
              </w:rPr>
            </w:pPr>
            <w:r>
              <w:rPr>
                <w:sz w:val="18"/>
              </w:rPr>
              <w:t>Х</w:t>
            </w:r>
          </w:p>
        </w:tc>
        <w:tc>
          <w:tcPr>
            <w:tcW w:w="675" w:type="dxa"/>
            <w:vAlign w:val="bottom"/>
          </w:tcPr>
          <w:p w:rsidR="00000000" w:rsidRDefault="00000000">
            <w:pPr>
              <w:pStyle w:val="DualTxt"/>
              <w:jc w:val="left"/>
              <w:rPr>
                <w:sz w:val="18"/>
              </w:rPr>
            </w:pPr>
            <w:r>
              <w:rPr>
                <w:sz w:val="18"/>
              </w:rPr>
              <w:t>Х</w:t>
            </w:r>
          </w:p>
        </w:tc>
        <w:tc>
          <w:tcPr>
            <w:tcW w:w="711" w:type="dxa"/>
            <w:vAlign w:val="bottom"/>
          </w:tcPr>
          <w:p w:rsidR="00000000" w:rsidRDefault="00000000">
            <w:pPr>
              <w:pStyle w:val="DualTxt"/>
              <w:jc w:val="left"/>
              <w:rPr>
                <w:sz w:val="18"/>
              </w:rPr>
            </w:pPr>
            <w:r>
              <w:rPr>
                <w:sz w:val="18"/>
              </w:rPr>
              <w:t>Х</w:t>
            </w:r>
          </w:p>
        </w:tc>
        <w:tc>
          <w:tcPr>
            <w:tcW w:w="693" w:type="dxa"/>
            <w:vAlign w:val="bottom"/>
          </w:tcPr>
          <w:p w:rsidR="00000000" w:rsidRDefault="00000000">
            <w:pPr>
              <w:pStyle w:val="DualTxt"/>
              <w:jc w:val="left"/>
              <w:rPr>
                <w:sz w:val="18"/>
              </w:rPr>
            </w:pPr>
            <w:r>
              <w:rPr>
                <w:sz w:val="18"/>
              </w:rPr>
              <w:t>Х</w:t>
            </w:r>
          </w:p>
        </w:tc>
        <w:tc>
          <w:tcPr>
            <w:tcW w:w="675" w:type="dxa"/>
            <w:vAlign w:val="bottom"/>
          </w:tcPr>
          <w:p w:rsidR="00000000" w:rsidRDefault="00000000">
            <w:pPr>
              <w:pStyle w:val="DualTxt"/>
              <w:jc w:val="left"/>
              <w:rPr>
                <w:sz w:val="18"/>
              </w:rPr>
            </w:pPr>
            <w:r>
              <w:rPr>
                <w:sz w:val="18"/>
              </w:rPr>
              <w:t>Х</w:t>
            </w:r>
          </w:p>
        </w:tc>
        <w:tc>
          <w:tcPr>
            <w:tcW w:w="675" w:type="dxa"/>
            <w:vAlign w:val="bottom"/>
          </w:tcPr>
          <w:p w:rsidR="00000000" w:rsidRDefault="00000000">
            <w:pPr>
              <w:pStyle w:val="DualTxt"/>
              <w:jc w:val="left"/>
              <w:rPr>
                <w:sz w:val="18"/>
              </w:rPr>
            </w:pPr>
            <w:r>
              <w:rPr>
                <w:sz w:val="18"/>
              </w:rPr>
              <w:t>41,90</w:t>
            </w:r>
          </w:p>
        </w:tc>
        <w:tc>
          <w:tcPr>
            <w:tcW w:w="720" w:type="dxa"/>
            <w:vAlign w:val="bottom"/>
          </w:tcPr>
          <w:p w:rsidR="00000000" w:rsidRDefault="00000000">
            <w:pPr>
              <w:pStyle w:val="DualTxt"/>
              <w:jc w:val="left"/>
              <w:rPr>
                <w:sz w:val="18"/>
              </w:rPr>
            </w:pPr>
            <w:r>
              <w:rPr>
                <w:sz w:val="18"/>
              </w:rPr>
              <w:t>50,56</w:t>
            </w:r>
          </w:p>
        </w:tc>
        <w:tc>
          <w:tcPr>
            <w:tcW w:w="657" w:type="dxa"/>
            <w:vAlign w:val="bottom"/>
          </w:tcPr>
          <w:p w:rsidR="00000000" w:rsidRDefault="00000000">
            <w:pPr>
              <w:pStyle w:val="DualTxt"/>
              <w:jc w:val="left"/>
              <w:rPr>
                <w:sz w:val="18"/>
              </w:rPr>
            </w:pPr>
            <w:r>
              <w:rPr>
                <w:sz w:val="18"/>
              </w:rPr>
              <w:t>56,56</w:t>
            </w:r>
          </w:p>
        </w:tc>
        <w:tc>
          <w:tcPr>
            <w:tcW w:w="675" w:type="dxa"/>
            <w:vAlign w:val="bottom"/>
          </w:tcPr>
          <w:p w:rsidR="00000000" w:rsidRDefault="00000000">
            <w:pPr>
              <w:pStyle w:val="DualTxt"/>
              <w:jc w:val="left"/>
              <w:rPr>
                <w:sz w:val="18"/>
              </w:rPr>
            </w:pPr>
            <w:r>
              <w:rPr>
                <w:sz w:val="18"/>
              </w:rPr>
              <w:t>57,16</w:t>
            </w:r>
          </w:p>
        </w:tc>
        <w:tc>
          <w:tcPr>
            <w:tcW w:w="693" w:type="dxa"/>
            <w:vAlign w:val="bottom"/>
          </w:tcPr>
          <w:p w:rsidR="00000000" w:rsidRDefault="00000000">
            <w:pPr>
              <w:pStyle w:val="DualTxt"/>
              <w:jc w:val="left"/>
              <w:rPr>
                <w:sz w:val="18"/>
              </w:rPr>
            </w:pPr>
            <w:r>
              <w:rPr>
                <w:sz w:val="18"/>
              </w:rPr>
              <w:t>57,55</w:t>
            </w:r>
          </w:p>
        </w:tc>
      </w:tr>
      <w:tr w:rsidR="00000000">
        <w:tblPrEx>
          <w:tblCellMar>
            <w:top w:w="0" w:type="dxa"/>
            <w:bottom w:w="0" w:type="dxa"/>
          </w:tblCellMar>
        </w:tblPrEx>
        <w:tc>
          <w:tcPr>
            <w:tcW w:w="2979" w:type="dxa"/>
            <w:vAlign w:val="bottom"/>
          </w:tcPr>
          <w:p w:rsidR="00000000" w:rsidRDefault="00000000">
            <w:pPr>
              <w:pStyle w:val="DualTxt"/>
              <w:jc w:val="left"/>
              <w:rPr>
                <w:sz w:val="18"/>
              </w:rPr>
            </w:pPr>
            <w:r>
              <w:rPr>
                <w:sz w:val="18"/>
              </w:rPr>
              <w:t>В том чи</w:t>
            </w:r>
            <w:r>
              <w:rPr>
                <w:sz w:val="18"/>
              </w:rPr>
              <w:t>с</w:t>
            </w:r>
            <w:r>
              <w:rPr>
                <w:sz w:val="18"/>
              </w:rPr>
              <w:t>ле:</w:t>
            </w:r>
          </w:p>
        </w:tc>
        <w:tc>
          <w:tcPr>
            <w:tcW w:w="666" w:type="dxa"/>
            <w:vAlign w:val="bottom"/>
          </w:tcPr>
          <w:p w:rsidR="00000000" w:rsidRDefault="00000000">
            <w:pPr>
              <w:pStyle w:val="DualTxt"/>
              <w:jc w:val="left"/>
              <w:rPr>
                <w:sz w:val="18"/>
              </w:rPr>
            </w:pPr>
          </w:p>
        </w:tc>
        <w:tc>
          <w:tcPr>
            <w:tcW w:w="675" w:type="dxa"/>
            <w:vAlign w:val="bottom"/>
          </w:tcPr>
          <w:p w:rsidR="00000000" w:rsidRDefault="00000000">
            <w:pPr>
              <w:pStyle w:val="DualTxt"/>
              <w:jc w:val="left"/>
              <w:rPr>
                <w:sz w:val="18"/>
              </w:rPr>
            </w:pPr>
          </w:p>
        </w:tc>
        <w:tc>
          <w:tcPr>
            <w:tcW w:w="711" w:type="dxa"/>
            <w:vAlign w:val="bottom"/>
          </w:tcPr>
          <w:p w:rsidR="00000000" w:rsidRDefault="00000000">
            <w:pPr>
              <w:pStyle w:val="DualTxt"/>
              <w:jc w:val="left"/>
              <w:rPr>
                <w:sz w:val="18"/>
              </w:rPr>
            </w:pPr>
          </w:p>
        </w:tc>
        <w:tc>
          <w:tcPr>
            <w:tcW w:w="693" w:type="dxa"/>
            <w:vAlign w:val="bottom"/>
          </w:tcPr>
          <w:p w:rsidR="00000000" w:rsidRDefault="00000000">
            <w:pPr>
              <w:pStyle w:val="DualTxt"/>
              <w:jc w:val="left"/>
              <w:rPr>
                <w:sz w:val="18"/>
              </w:rPr>
            </w:pPr>
          </w:p>
        </w:tc>
        <w:tc>
          <w:tcPr>
            <w:tcW w:w="675" w:type="dxa"/>
            <w:vAlign w:val="bottom"/>
          </w:tcPr>
          <w:p w:rsidR="00000000" w:rsidRDefault="00000000">
            <w:pPr>
              <w:pStyle w:val="DualTxt"/>
              <w:jc w:val="left"/>
              <w:rPr>
                <w:sz w:val="18"/>
              </w:rPr>
            </w:pPr>
          </w:p>
        </w:tc>
        <w:tc>
          <w:tcPr>
            <w:tcW w:w="675" w:type="dxa"/>
            <w:vAlign w:val="bottom"/>
          </w:tcPr>
          <w:p w:rsidR="00000000" w:rsidRDefault="00000000">
            <w:pPr>
              <w:pStyle w:val="DualTxt"/>
              <w:jc w:val="left"/>
              <w:rPr>
                <w:sz w:val="18"/>
              </w:rPr>
            </w:pPr>
          </w:p>
        </w:tc>
        <w:tc>
          <w:tcPr>
            <w:tcW w:w="720" w:type="dxa"/>
            <w:vAlign w:val="bottom"/>
          </w:tcPr>
          <w:p w:rsidR="00000000" w:rsidRDefault="00000000">
            <w:pPr>
              <w:pStyle w:val="DualTxt"/>
              <w:jc w:val="left"/>
              <w:rPr>
                <w:sz w:val="18"/>
              </w:rPr>
            </w:pPr>
          </w:p>
        </w:tc>
        <w:tc>
          <w:tcPr>
            <w:tcW w:w="657" w:type="dxa"/>
            <w:vAlign w:val="bottom"/>
          </w:tcPr>
          <w:p w:rsidR="00000000" w:rsidRDefault="00000000">
            <w:pPr>
              <w:pStyle w:val="DualTxt"/>
              <w:jc w:val="left"/>
              <w:rPr>
                <w:sz w:val="18"/>
              </w:rPr>
            </w:pPr>
          </w:p>
        </w:tc>
        <w:tc>
          <w:tcPr>
            <w:tcW w:w="675" w:type="dxa"/>
            <w:vAlign w:val="bottom"/>
          </w:tcPr>
          <w:p w:rsidR="00000000" w:rsidRDefault="00000000">
            <w:pPr>
              <w:pStyle w:val="DualTxt"/>
              <w:jc w:val="left"/>
              <w:rPr>
                <w:sz w:val="18"/>
              </w:rPr>
            </w:pPr>
          </w:p>
        </w:tc>
        <w:tc>
          <w:tcPr>
            <w:tcW w:w="693" w:type="dxa"/>
            <w:vAlign w:val="bottom"/>
          </w:tcPr>
          <w:p w:rsidR="00000000" w:rsidRDefault="00000000">
            <w:pPr>
              <w:pStyle w:val="DualTxt"/>
              <w:jc w:val="left"/>
              <w:rPr>
                <w:sz w:val="18"/>
              </w:rPr>
            </w:pPr>
          </w:p>
        </w:tc>
      </w:tr>
      <w:tr w:rsidR="00000000">
        <w:tblPrEx>
          <w:tblCellMar>
            <w:top w:w="0" w:type="dxa"/>
            <w:bottom w:w="0" w:type="dxa"/>
          </w:tblCellMar>
        </w:tblPrEx>
        <w:tc>
          <w:tcPr>
            <w:tcW w:w="2979" w:type="dxa"/>
            <w:vAlign w:val="bottom"/>
          </w:tcPr>
          <w:p w:rsidR="00000000" w:rsidRDefault="00000000">
            <w:pPr>
              <w:pStyle w:val="DualTxt"/>
              <w:jc w:val="left"/>
              <w:rPr>
                <w:sz w:val="18"/>
              </w:rPr>
            </w:pPr>
            <w:r>
              <w:rPr>
                <w:sz w:val="18"/>
              </w:rPr>
              <w:tab/>
              <w:t>пенсии по старости</w:t>
            </w:r>
          </w:p>
        </w:tc>
        <w:tc>
          <w:tcPr>
            <w:tcW w:w="666" w:type="dxa"/>
            <w:vAlign w:val="bottom"/>
          </w:tcPr>
          <w:p w:rsidR="00000000" w:rsidRDefault="00000000">
            <w:pPr>
              <w:pStyle w:val="DualTxt"/>
              <w:jc w:val="left"/>
              <w:rPr>
                <w:sz w:val="18"/>
              </w:rPr>
            </w:pPr>
            <w:r>
              <w:rPr>
                <w:sz w:val="18"/>
              </w:rPr>
              <w:t>7,42</w:t>
            </w:r>
          </w:p>
        </w:tc>
        <w:tc>
          <w:tcPr>
            <w:tcW w:w="675" w:type="dxa"/>
            <w:vAlign w:val="bottom"/>
          </w:tcPr>
          <w:p w:rsidR="00000000" w:rsidRDefault="00000000">
            <w:pPr>
              <w:pStyle w:val="DualTxt"/>
              <w:jc w:val="left"/>
              <w:rPr>
                <w:sz w:val="18"/>
              </w:rPr>
            </w:pPr>
            <w:r>
              <w:rPr>
                <w:sz w:val="18"/>
              </w:rPr>
              <w:t>9,90</w:t>
            </w:r>
          </w:p>
        </w:tc>
        <w:tc>
          <w:tcPr>
            <w:tcW w:w="711" w:type="dxa"/>
            <w:vAlign w:val="bottom"/>
          </w:tcPr>
          <w:p w:rsidR="00000000" w:rsidRDefault="00000000">
            <w:pPr>
              <w:pStyle w:val="DualTxt"/>
              <w:jc w:val="left"/>
              <w:rPr>
                <w:sz w:val="18"/>
              </w:rPr>
            </w:pPr>
            <w:r>
              <w:rPr>
                <w:sz w:val="18"/>
              </w:rPr>
              <w:t>27,30</w:t>
            </w:r>
          </w:p>
        </w:tc>
        <w:tc>
          <w:tcPr>
            <w:tcW w:w="693" w:type="dxa"/>
            <w:vAlign w:val="bottom"/>
          </w:tcPr>
          <w:p w:rsidR="00000000" w:rsidRDefault="00000000">
            <w:pPr>
              <w:pStyle w:val="DualTxt"/>
              <w:jc w:val="left"/>
              <w:rPr>
                <w:sz w:val="18"/>
              </w:rPr>
            </w:pPr>
            <w:r>
              <w:rPr>
                <w:sz w:val="18"/>
              </w:rPr>
              <w:t>32,60</w:t>
            </w:r>
          </w:p>
        </w:tc>
        <w:tc>
          <w:tcPr>
            <w:tcW w:w="675" w:type="dxa"/>
            <w:vAlign w:val="bottom"/>
          </w:tcPr>
          <w:p w:rsidR="00000000" w:rsidRDefault="00000000">
            <w:pPr>
              <w:pStyle w:val="DualTxt"/>
              <w:jc w:val="left"/>
              <w:rPr>
                <w:sz w:val="18"/>
              </w:rPr>
            </w:pPr>
            <w:r>
              <w:rPr>
                <w:sz w:val="18"/>
              </w:rPr>
              <w:t>38,30</w:t>
            </w:r>
          </w:p>
        </w:tc>
        <w:tc>
          <w:tcPr>
            <w:tcW w:w="675" w:type="dxa"/>
            <w:vAlign w:val="bottom"/>
          </w:tcPr>
          <w:p w:rsidR="00000000" w:rsidRDefault="00000000">
            <w:pPr>
              <w:pStyle w:val="DualTxt"/>
              <w:jc w:val="left"/>
              <w:rPr>
                <w:sz w:val="18"/>
              </w:rPr>
            </w:pPr>
            <w:r>
              <w:rPr>
                <w:sz w:val="18"/>
              </w:rPr>
              <w:t>42,55</w:t>
            </w:r>
          </w:p>
        </w:tc>
        <w:tc>
          <w:tcPr>
            <w:tcW w:w="720" w:type="dxa"/>
            <w:vAlign w:val="bottom"/>
          </w:tcPr>
          <w:p w:rsidR="00000000" w:rsidRDefault="00000000">
            <w:pPr>
              <w:pStyle w:val="DualTxt"/>
              <w:jc w:val="left"/>
              <w:rPr>
                <w:sz w:val="18"/>
              </w:rPr>
            </w:pPr>
            <w:r>
              <w:rPr>
                <w:sz w:val="18"/>
              </w:rPr>
              <w:t>51,57</w:t>
            </w:r>
          </w:p>
        </w:tc>
        <w:tc>
          <w:tcPr>
            <w:tcW w:w="657" w:type="dxa"/>
            <w:vAlign w:val="bottom"/>
          </w:tcPr>
          <w:p w:rsidR="00000000" w:rsidRDefault="00000000">
            <w:pPr>
              <w:pStyle w:val="DualTxt"/>
              <w:jc w:val="left"/>
              <w:rPr>
                <w:sz w:val="18"/>
              </w:rPr>
            </w:pPr>
            <w:r>
              <w:rPr>
                <w:sz w:val="18"/>
              </w:rPr>
              <w:t>58,92</w:t>
            </w:r>
          </w:p>
        </w:tc>
        <w:tc>
          <w:tcPr>
            <w:tcW w:w="675" w:type="dxa"/>
            <w:vAlign w:val="bottom"/>
          </w:tcPr>
          <w:p w:rsidR="00000000" w:rsidRDefault="00000000">
            <w:pPr>
              <w:pStyle w:val="DualTxt"/>
              <w:jc w:val="left"/>
              <w:rPr>
                <w:sz w:val="18"/>
              </w:rPr>
            </w:pPr>
            <w:r>
              <w:rPr>
                <w:sz w:val="18"/>
              </w:rPr>
              <w:t>59,76</w:t>
            </w:r>
          </w:p>
        </w:tc>
        <w:tc>
          <w:tcPr>
            <w:tcW w:w="693" w:type="dxa"/>
            <w:vAlign w:val="bottom"/>
          </w:tcPr>
          <w:p w:rsidR="00000000" w:rsidRDefault="00000000">
            <w:pPr>
              <w:pStyle w:val="DualTxt"/>
              <w:jc w:val="left"/>
              <w:rPr>
                <w:sz w:val="18"/>
              </w:rPr>
            </w:pPr>
            <w:r>
              <w:rPr>
                <w:sz w:val="18"/>
              </w:rPr>
              <w:t>60,27</w:t>
            </w:r>
          </w:p>
        </w:tc>
      </w:tr>
      <w:tr w:rsidR="00000000">
        <w:tblPrEx>
          <w:tblCellMar>
            <w:top w:w="0" w:type="dxa"/>
            <w:bottom w:w="0" w:type="dxa"/>
          </w:tblCellMar>
        </w:tblPrEx>
        <w:tc>
          <w:tcPr>
            <w:tcW w:w="2979" w:type="dxa"/>
            <w:vAlign w:val="bottom"/>
          </w:tcPr>
          <w:p w:rsidR="00000000" w:rsidRDefault="00000000">
            <w:pPr>
              <w:pStyle w:val="DualTxt"/>
              <w:jc w:val="left"/>
              <w:rPr>
                <w:sz w:val="18"/>
              </w:rPr>
            </w:pPr>
            <w:r>
              <w:rPr>
                <w:sz w:val="18"/>
              </w:rPr>
              <w:tab/>
              <w:t>мужчины</w:t>
            </w:r>
          </w:p>
        </w:tc>
        <w:tc>
          <w:tcPr>
            <w:tcW w:w="666" w:type="dxa"/>
            <w:vAlign w:val="bottom"/>
          </w:tcPr>
          <w:p w:rsidR="00000000" w:rsidRDefault="00000000">
            <w:pPr>
              <w:pStyle w:val="DualTxt"/>
              <w:jc w:val="left"/>
              <w:rPr>
                <w:sz w:val="18"/>
              </w:rPr>
            </w:pPr>
            <w:r>
              <w:rPr>
                <w:sz w:val="18"/>
              </w:rPr>
              <w:t>Х</w:t>
            </w:r>
          </w:p>
        </w:tc>
        <w:tc>
          <w:tcPr>
            <w:tcW w:w="675" w:type="dxa"/>
            <w:vAlign w:val="bottom"/>
          </w:tcPr>
          <w:p w:rsidR="00000000" w:rsidRDefault="00000000">
            <w:pPr>
              <w:pStyle w:val="DualTxt"/>
              <w:jc w:val="left"/>
              <w:rPr>
                <w:sz w:val="18"/>
              </w:rPr>
            </w:pPr>
            <w:r>
              <w:rPr>
                <w:sz w:val="18"/>
              </w:rPr>
              <w:t>Х</w:t>
            </w:r>
          </w:p>
        </w:tc>
        <w:tc>
          <w:tcPr>
            <w:tcW w:w="711" w:type="dxa"/>
            <w:vAlign w:val="bottom"/>
          </w:tcPr>
          <w:p w:rsidR="00000000" w:rsidRDefault="00000000">
            <w:pPr>
              <w:pStyle w:val="DualTxt"/>
              <w:jc w:val="left"/>
              <w:rPr>
                <w:sz w:val="18"/>
              </w:rPr>
            </w:pPr>
            <w:r>
              <w:rPr>
                <w:sz w:val="18"/>
              </w:rPr>
              <w:t>Х</w:t>
            </w:r>
          </w:p>
        </w:tc>
        <w:tc>
          <w:tcPr>
            <w:tcW w:w="693" w:type="dxa"/>
            <w:vAlign w:val="bottom"/>
          </w:tcPr>
          <w:p w:rsidR="00000000" w:rsidRDefault="00000000">
            <w:pPr>
              <w:pStyle w:val="DualTxt"/>
              <w:jc w:val="left"/>
              <w:rPr>
                <w:sz w:val="18"/>
              </w:rPr>
            </w:pPr>
            <w:r>
              <w:rPr>
                <w:sz w:val="18"/>
              </w:rPr>
              <w:t>Х</w:t>
            </w:r>
          </w:p>
        </w:tc>
        <w:tc>
          <w:tcPr>
            <w:tcW w:w="675" w:type="dxa"/>
            <w:vAlign w:val="bottom"/>
          </w:tcPr>
          <w:p w:rsidR="00000000" w:rsidRDefault="00000000">
            <w:pPr>
              <w:pStyle w:val="DualTxt"/>
              <w:jc w:val="left"/>
              <w:rPr>
                <w:sz w:val="18"/>
              </w:rPr>
            </w:pPr>
            <w:r>
              <w:rPr>
                <w:sz w:val="18"/>
              </w:rPr>
              <w:t>Х</w:t>
            </w:r>
          </w:p>
        </w:tc>
        <w:tc>
          <w:tcPr>
            <w:tcW w:w="675" w:type="dxa"/>
            <w:vAlign w:val="bottom"/>
          </w:tcPr>
          <w:p w:rsidR="00000000" w:rsidRDefault="00000000">
            <w:pPr>
              <w:pStyle w:val="DualTxt"/>
              <w:jc w:val="left"/>
              <w:rPr>
                <w:sz w:val="18"/>
              </w:rPr>
            </w:pPr>
            <w:r>
              <w:rPr>
                <w:sz w:val="18"/>
              </w:rPr>
              <w:t>44,50</w:t>
            </w:r>
          </w:p>
        </w:tc>
        <w:tc>
          <w:tcPr>
            <w:tcW w:w="720" w:type="dxa"/>
            <w:vAlign w:val="bottom"/>
          </w:tcPr>
          <w:p w:rsidR="00000000" w:rsidRDefault="00000000">
            <w:pPr>
              <w:pStyle w:val="DualTxt"/>
              <w:jc w:val="left"/>
              <w:rPr>
                <w:sz w:val="18"/>
              </w:rPr>
            </w:pPr>
            <w:r>
              <w:rPr>
                <w:sz w:val="18"/>
              </w:rPr>
              <w:t>54,20</w:t>
            </w:r>
          </w:p>
        </w:tc>
        <w:tc>
          <w:tcPr>
            <w:tcW w:w="657" w:type="dxa"/>
            <w:vAlign w:val="bottom"/>
          </w:tcPr>
          <w:p w:rsidR="00000000" w:rsidRDefault="00000000">
            <w:pPr>
              <w:pStyle w:val="DualTxt"/>
              <w:jc w:val="left"/>
              <w:rPr>
                <w:sz w:val="18"/>
              </w:rPr>
            </w:pPr>
            <w:r>
              <w:rPr>
                <w:sz w:val="18"/>
              </w:rPr>
              <w:t>64,03</w:t>
            </w:r>
          </w:p>
        </w:tc>
        <w:tc>
          <w:tcPr>
            <w:tcW w:w="675" w:type="dxa"/>
            <w:vAlign w:val="bottom"/>
          </w:tcPr>
          <w:p w:rsidR="00000000" w:rsidRDefault="00000000">
            <w:pPr>
              <w:pStyle w:val="DualTxt"/>
              <w:jc w:val="left"/>
              <w:rPr>
                <w:sz w:val="18"/>
              </w:rPr>
            </w:pPr>
            <w:r>
              <w:rPr>
                <w:sz w:val="18"/>
              </w:rPr>
              <w:t>65,02</w:t>
            </w:r>
          </w:p>
        </w:tc>
        <w:tc>
          <w:tcPr>
            <w:tcW w:w="693" w:type="dxa"/>
            <w:vAlign w:val="bottom"/>
          </w:tcPr>
          <w:p w:rsidR="00000000" w:rsidRDefault="00000000">
            <w:pPr>
              <w:pStyle w:val="DualTxt"/>
              <w:jc w:val="left"/>
              <w:rPr>
                <w:sz w:val="18"/>
              </w:rPr>
            </w:pPr>
            <w:r>
              <w:rPr>
                <w:sz w:val="18"/>
              </w:rPr>
              <w:t>65,51</w:t>
            </w:r>
          </w:p>
        </w:tc>
      </w:tr>
      <w:tr w:rsidR="00000000">
        <w:tblPrEx>
          <w:tblCellMar>
            <w:top w:w="0" w:type="dxa"/>
            <w:bottom w:w="0" w:type="dxa"/>
          </w:tblCellMar>
        </w:tblPrEx>
        <w:tc>
          <w:tcPr>
            <w:tcW w:w="2979" w:type="dxa"/>
            <w:vAlign w:val="bottom"/>
          </w:tcPr>
          <w:p w:rsidR="00000000" w:rsidRDefault="00000000">
            <w:pPr>
              <w:pStyle w:val="DualTxt"/>
              <w:jc w:val="left"/>
              <w:rPr>
                <w:sz w:val="18"/>
              </w:rPr>
            </w:pPr>
            <w:r>
              <w:rPr>
                <w:sz w:val="18"/>
              </w:rPr>
              <w:tab/>
              <w:t>женщины</w:t>
            </w:r>
          </w:p>
        </w:tc>
        <w:tc>
          <w:tcPr>
            <w:tcW w:w="666" w:type="dxa"/>
            <w:vAlign w:val="bottom"/>
          </w:tcPr>
          <w:p w:rsidR="00000000" w:rsidRDefault="00000000">
            <w:pPr>
              <w:pStyle w:val="DualTxt"/>
              <w:jc w:val="left"/>
              <w:rPr>
                <w:sz w:val="18"/>
              </w:rPr>
            </w:pPr>
            <w:r>
              <w:rPr>
                <w:sz w:val="18"/>
              </w:rPr>
              <w:t>Х</w:t>
            </w:r>
          </w:p>
        </w:tc>
        <w:tc>
          <w:tcPr>
            <w:tcW w:w="675" w:type="dxa"/>
            <w:vAlign w:val="bottom"/>
          </w:tcPr>
          <w:p w:rsidR="00000000" w:rsidRDefault="00000000">
            <w:pPr>
              <w:pStyle w:val="DualTxt"/>
              <w:jc w:val="left"/>
              <w:rPr>
                <w:sz w:val="18"/>
              </w:rPr>
            </w:pPr>
            <w:r>
              <w:rPr>
                <w:sz w:val="18"/>
              </w:rPr>
              <w:t>Х</w:t>
            </w:r>
          </w:p>
        </w:tc>
        <w:tc>
          <w:tcPr>
            <w:tcW w:w="711" w:type="dxa"/>
            <w:vAlign w:val="bottom"/>
          </w:tcPr>
          <w:p w:rsidR="00000000" w:rsidRDefault="00000000">
            <w:pPr>
              <w:pStyle w:val="DualTxt"/>
              <w:jc w:val="left"/>
              <w:rPr>
                <w:sz w:val="18"/>
              </w:rPr>
            </w:pPr>
            <w:r>
              <w:rPr>
                <w:sz w:val="18"/>
              </w:rPr>
              <w:t>Х</w:t>
            </w:r>
          </w:p>
        </w:tc>
        <w:tc>
          <w:tcPr>
            <w:tcW w:w="693" w:type="dxa"/>
            <w:vAlign w:val="bottom"/>
          </w:tcPr>
          <w:p w:rsidR="00000000" w:rsidRDefault="00000000">
            <w:pPr>
              <w:pStyle w:val="DualTxt"/>
              <w:jc w:val="left"/>
              <w:rPr>
                <w:sz w:val="18"/>
              </w:rPr>
            </w:pPr>
            <w:r>
              <w:rPr>
                <w:sz w:val="18"/>
              </w:rPr>
              <w:t>Х</w:t>
            </w:r>
          </w:p>
        </w:tc>
        <w:tc>
          <w:tcPr>
            <w:tcW w:w="675" w:type="dxa"/>
            <w:vAlign w:val="bottom"/>
          </w:tcPr>
          <w:p w:rsidR="00000000" w:rsidRDefault="00000000">
            <w:pPr>
              <w:pStyle w:val="DualTxt"/>
              <w:jc w:val="left"/>
              <w:rPr>
                <w:sz w:val="18"/>
              </w:rPr>
            </w:pPr>
            <w:r>
              <w:rPr>
                <w:sz w:val="18"/>
              </w:rPr>
              <w:t>Х</w:t>
            </w:r>
          </w:p>
        </w:tc>
        <w:tc>
          <w:tcPr>
            <w:tcW w:w="675" w:type="dxa"/>
            <w:vAlign w:val="bottom"/>
          </w:tcPr>
          <w:p w:rsidR="00000000" w:rsidRDefault="00000000">
            <w:pPr>
              <w:pStyle w:val="DualTxt"/>
              <w:jc w:val="left"/>
              <w:rPr>
                <w:sz w:val="18"/>
              </w:rPr>
            </w:pPr>
            <w:r>
              <w:rPr>
                <w:sz w:val="18"/>
              </w:rPr>
              <w:t>41,74</w:t>
            </w:r>
          </w:p>
        </w:tc>
        <w:tc>
          <w:tcPr>
            <w:tcW w:w="720" w:type="dxa"/>
            <w:vAlign w:val="bottom"/>
          </w:tcPr>
          <w:p w:rsidR="00000000" w:rsidRDefault="00000000">
            <w:pPr>
              <w:pStyle w:val="DualTxt"/>
              <w:jc w:val="left"/>
              <w:rPr>
                <w:sz w:val="18"/>
              </w:rPr>
            </w:pPr>
            <w:r>
              <w:rPr>
                <w:sz w:val="18"/>
              </w:rPr>
              <w:t>50,44</w:t>
            </w:r>
          </w:p>
        </w:tc>
        <w:tc>
          <w:tcPr>
            <w:tcW w:w="657" w:type="dxa"/>
            <w:vAlign w:val="bottom"/>
          </w:tcPr>
          <w:p w:rsidR="00000000" w:rsidRDefault="00000000">
            <w:pPr>
              <w:pStyle w:val="DualTxt"/>
              <w:jc w:val="left"/>
              <w:rPr>
                <w:sz w:val="18"/>
              </w:rPr>
            </w:pPr>
            <w:r>
              <w:rPr>
                <w:sz w:val="18"/>
              </w:rPr>
              <w:t>56,69</w:t>
            </w:r>
          </w:p>
        </w:tc>
        <w:tc>
          <w:tcPr>
            <w:tcW w:w="675" w:type="dxa"/>
            <w:vAlign w:val="bottom"/>
          </w:tcPr>
          <w:p w:rsidR="00000000" w:rsidRDefault="00000000">
            <w:pPr>
              <w:pStyle w:val="DualTxt"/>
              <w:jc w:val="left"/>
              <w:rPr>
                <w:sz w:val="18"/>
              </w:rPr>
            </w:pPr>
            <w:r>
              <w:rPr>
                <w:sz w:val="18"/>
              </w:rPr>
              <w:t>57,42</w:t>
            </w:r>
          </w:p>
        </w:tc>
        <w:tc>
          <w:tcPr>
            <w:tcW w:w="693" w:type="dxa"/>
            <w:vAlign w:val="bottom"/>
          </w:tcPr>
          <w:p w:rsidR="00000000" w:rsidRDefault="00000000">
            <w:pPr>
              <w:pStyle w:val="DualTxt"/>
              <w:jc w:val="left"/>
              <w:rPr>
                <w:sz w:val="18"/>
              </w:rPr>
            </w:pPr>
            <w:r>
              <w:rPr>
                <w:sz w:val="18"/>
              </w:rPr>
              <w:t>57,91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180.</w:t>
      </w:r>
      <w:r>
        <w:tab/>
        <w:t>В законе «О страховании по безработице» определяются процедура пр</w:t>
      </w:r>
      <w:r>
        <w:t>е</w:t>
      </w:r>
      <w:r>
        <w:t>доставления услуг, предусмотренных социальным страхованием на случай бе</w:t>
      </w:r>
      <w:r>
        <w:t>з</w:t>
      </w:r>
      <w:r>
        <w:t xml:space="preserve">работицы </w:t>
      </w:r>
      <w:r>
        <w:rPr>
          <w:u w:val="single"/>
        </w:rPr>
        <w:t>(страхование по безработице)</w:t>
      </w:r>
      <w:r>
        <w:t>, категории лиц, имеющих право на т</w:t>
      </w:r>
      <w:r>
        <w:t>а</w:t>
      </w:r>
      <w:r>
        <w:t>кое обслуживание, их обязанности и обязательства. В соответствии с выш</w:t>
      </w:r>
      <w:r>
        <w:t>е</w:t>
      </w:r>
      <w:r>
        <w:t>упомянутым законом предоставляются следующие услуги: пособие по безр</w:t>
      </w:r>
      <w:r>
        <w:t>а</w:t>
      </w:r>
      <w:r>
        <w:t>ботице, пособие на погребение в случае смерти безработного, субсидия во вр</w:t>
      </w:r>
      <w:r>
        <w:t>е</w:t>
      </w:r>
      <w:r>
        <w:t>мя профессиональной подготовки или переподготовки безработного. Право на получение этих услуг имеют лица, которые застрахованы от безработицы в с</w:t>
      </w:r>
      <w:r>
        <w:t>о</w:t>
      </w:r>
      <w:r>
        <w:t>ответствии с законом «О государственном социальном страховании», продо</w:t>
      </w:r>
      <w:r>
        <w:t>л</w:t>
      </w:r>
      <w:r>
        <w:t>жительность периода социального страхования которых составляет не менее одного года (взносы выплачивались в течение не менее девяти месяцев за пр</w:t>
      </w:r>
      <w:r>
        <w:t>е</w:t>
      </w:r>
      <w:r>
        <w:t>дыдущий год) и которые имеют статус безработного в соответствии с процед</w:t>
      </w:r>
      <w:r>
        <w:t>у</w:t>
      </w:r>
      <w:r>
        <w:t>рой, установленной законом «О занятости».</w:t>
      </w:r>
    </w:p>
    <w:p w:rsidR="00000000" w:rsidRDefault="00000000">
      <w:pPr>
        <w:pStyle w:val="SingleTxt"/>
      </w:pPr>
      <w:r>
        <w:t>181.</w:t>
      </w:r>
      <w:r>
        <w:tab/>
        <w:t>Какая-либо дискриминация по признаку пола при предоставлении статуса безработного на основании закона «О занятости» отсутствует. В качестве бе</w:t>
      </w:r>
      <w:r>
        <w:t>з</w:t>
      </w:r>
      <w:r>
        <w:t>работного признается любой гражданин Латвийской Республики или иностр</w:t>
      </w:r>
      <w:r>
        <w:t>а</w:t>
      </w:r>
      <w:r>
        <w:t>нец (лицо без гражданства), который имеет разрешение на постоянное прож</w:t>
      </w:r>
      <w:r>
        <w:t>и</w:t>
      </w:r>
      <w:r>
        <w:t>вание в стране или печать реестра населения в своем паспорте с индивидуал</w:t>
      </w:r>
      <w:r>
        <w:t>ь</w:t>
      </w:r>
      <w:r>
        <w:t>ным идентификационным кодом, может работать, но не работает, достиг труд</w:t>
      </w:r>
      <w:r>
        <w:t>о</w:t>
      </w:r>
      <w:r>
        <w:t>способного возраста, не участвует в предпринимательской деятельности, ищет работу, зарегистрирован в Государственной службе занятости по месту жител</w:t>
      </w:r>
      <w:r>
        <w:t>ь</w:t>
      </w:r>
      <w:r>
        <w:t>ства и посещает упомянутую Службу не реже о</w:t>
      </w:r>
      <w:r>
        <w:t>д</w:t>
      </w:r>
      <w:r>
        <w:t>ного раза в месяц.</w:t>
      </w:r>
    </w:p>
    <w:p w:rsidR="00000000" w:rsidRDefault="00000000">
      <w:pPr>
        <w:pStyle w:val="SingleTxt"/>
      </w:pPr>
      <w:r>
        <w:t>182.</w:t>
      </w:r>
      <w:r>
        <w:tab/>
        <w:t>Пол лица не учитывается также при утрате статуса безработного. Безр</w:t>
      </w:r>
      <w:r>
        <w:t>а</w:t>
      </w:r>
      <w:r>
        <w:t>ботный утрачивает статус безработного, если он заключает бессрочный или срочный трудовой договор сроком более чем на два месяца, в соответствии с законом получает право на пенсию по старости, переходит на полное содерж</w:t>
      </w:r>
      <w:r>
        <w:t>а</w:t>
      </w:r>
      <w:r>
        <w:t>ние государства, поступает на дневной факультет учебного заведения, два раза подряд отказывается от предложения занять подходящее рабочее место, два раза подряд отказывается пройти профессиональную подготовку или перепо</w:t>
      </w:r>
      <w:r>
        <w:t>д</w:t>
      </w:r>
      <w:r>
        <w:t>готовку, без уважительной причины не посещает занятий в системе профе</w:t>
      </w:r>
      <w:r>
        <w:t>с</w:t>
      </w:r>
      <w:r>
        <w:t>сиональной подготовки или переподготовки или не выполняет условий труд</w:t>
      </w:r>
      <w:r>
        <w:t>о</w:t>
      </w:r>
      <w:r>
        <w:t>вого договора по оплачиваемой временной общественной работе, представил ложную информацию с целью получить статус безработного или выезжает на постоянное жительство за пределы территории Латви</w:t>
      </w:r>
      <w:r>
        <w:t>й</w:t>
      </w:r>
      <w:r>
        <w:t>ской Республики.</w:t>
      </w:r>
    </w:p>
    <w:p w:rsidR="00000000" w:rsidRDefault="00000000">
      <w:pPr>
        <w:pStyle w:val="SingleTxt"/>
      </w:pPr>
      <w:r>
        <w:t>183.</w:t>
      </w:r>
      <w:r>
        <w:tab/>
        <w:t>В соответствии с законом «О государственном социальном страховании» на всех лиц, имеющих трудовые отношения и относящихся к конкретным уя</w:t>
      </w:r>
      <w:r>
        <w:t>з</w:t>
      </w:r>
      <w:r>
        <w:t>вимым категориям населения, которые не имеют трудовых отношений, распр</w:t>
      </w:r>
      <w:r>
        <w:t>о</w:t>
      </w:r>
      <w:r>
        <w:t>страняется страхование по безработице. Такими лицами являются военносл</w:t>
      </w:r>
      <w:r>
        <w:t>у</w:t>
      </w:r>
      <w:r>
        <w:t>жащие, находящиеся на обязательной действительной воинской службе, лица, осуществляющие уход за ребенком в возрасте до 18 месяцев, и лица, получа</w:t>
      </w:r>
      <w:r>
        <w:t>ю</w:t>
      </w:r>
      <w:r>
        <w:t>щие пособия по болезни.</w:t>
      </w:r>
    </w:p>
    <w:p w:rsidR="00000000" w:rsidRDefault="00000000">
      <w:pPr>
        <w:pStyle w:val="SingleTxt"/>
      </w:pPr>
      <w:r>
        <w:t>184.</w:t>
      </w:r>
      <w:r>
        <w:tab/>
        <w:t>Размер пособия по безработице устанавливается, независимо от пола п</w:t>
      </w:r>
      <w:r>
        <w:t>о</w:t>
      </w:r>
      <w:r>
        <w:t>лучателя, пропорционально продолжительности периода социального страх</w:t>
      </w:r>
      <w:r>
        <w:t>о</w:t>
      </w:r>
      <w:r>
        <w:t>вания данного лица и размеру дохода, из которого выплачиваются взносы по социальному страхованию.</w:t>
      </w:r>
    </w:p>
    <w:p w:rsidR="00000000" w:rsidRDefault="00000000">
      <w:pPr>
        <w:pStyle w:val="SingleTxt"/>
      </w:pPr>
      <w:r>
        <w:t>185.</w:t>
      </w:r>
      <w:r>
        <w:tab/>
        <w:t>На конец 2001 года 57,4 процента общей численности безработных, зар</w:t>
      </w:r>
      <w:r>
        <w:t>е</w:t>
      </w:r>
      <w:r>
        <w:t>гистрированных в Государственной службе занятости, были женщины. По сравнению с предыдущим годом в 2001 году число безработных женщин в о</w:t>
      </w:r>
      <w:r>
        <w:t>б</w:t>
      </w:r>
      <w:r>
        <w:t>щей численности безработных возросло на 0,2 процента. Латвийская ассоци</w:t>
      </w:r>
      <w:r>
        <w:t>а</w:t>
      </w:r>
      <w:r>
        <w:t>ция по вопросам гендерного равенства в своих комментариях отмечает, что лишаются работы и остаются безработными в течение длительного времени чаще всего пожилые женщины. Поэтому женщин предпенсионного возраста следует рассматривать как социальную группу, особенно подверженную риску нищеты. Из-за низкого уровня занятости многие женщины предпенсионного возраста, которые не состоят в трудовых отношениях, используют возможность выхода на пенсию до наступления официального пенсионного возраста, чтобы получать хотя бы минимальный доход. По данным обследования на тему «Ф</w:t>
      </w:r>
      <w:r>
        <w:t>е</w:t>
      </w:r>
      <w:r>
        <w:t>минизация нищеты: изменение факторов риска в Латвии в период с 1991 по 2000 год» (которое проводилось по просьбе министерства благосостояния), в 1998 году из общей численности вышедших на пенсию женщин 80 процентов прекратили работу до наступления официального пенсионного возраста.</w:t>
      </w:r>
    </w:p>
    <w:p w:rsidR="00000000" w:rsidRDefault="00000000">
      <w:pPr>
        <w:pStyle w:val="SingleTxt"/>
      </w:pPr>
      <w:r>
        <w:t>186.</w:t>
      </w:r>
      <w:r>
        <w:tab/>
        <w:t>Высокий уровень безработицы среди женщин объясняется также тем, что:</w:t>
      </w:r>
    </w:p>
    <w:p w:rsidR="00000000" w:rsidRDefault="00000000">
      <w:pPr>
        <w:pStyle w:val="SingleTxt"/>
      </w:pPr>
      <w:r>
        <w:tab/>
        <w:t>a)</w:t>
      </w:r>
      <w:r>
        <w:tab/>
        <w:t>пока ребенок не достигает, по крайней мере, школьного возраста, р</w:t>
      </w:r>
      <w:r>
        <w:t>а</w:t>
      </w:r>
      <w:r>
        <w:t>ботодатели не склонны нанимать женщину с ребенком дошкольного возраста, так как это зачастую мешает ее работе;</w:t>
      </w:r>
    </w:p>
    <w:p w:rsidR="00000000" w:rsidRDefault="00000000">
      <w:pPr>
        <w:pStyle w:val="SingleTxt"/>
      </w:pPr>
      <w:r>
        <w:tab/>
        <w:t>b)</w:t>
      </w:r>
      <w:r>
        <w:tab/>
        <w:t>по возвращении на рынок труда из отпуска по уходу за ребенком женщине зачастую трудно адаптироваться, поскольку во многих случаях за время ее отсутствия на работе ее профессиональная квалификация понизилась и ей необх</w:t>
      </w:r>
      <w:r>
        <w:t>о</w:t>
      </w:r>
      <w:r>
        <w:t>димо приобретать новые навыки, необходимые для работы;</w:t>
      </w:r>
    </w:p>
    <w:p w:rsidR="00000000" w:rsidRDefault="00000000">
      <w:pPr>
        <w:pStyle w:val="SingleTxt"/>
      </w:pPr>
      <w:r>
        <w:tab/>
        <w:t>c)</w:t>
      </w:r>
      <w:r>
        <w:tab/>
        <w:t>молодых женщин берут на работу неохотно, так как всегда есть в</w:t>
      </w:r>
      <w:r>
        <w:t>е</w:t>
      </w:r>
      <w:r>
        <w:t>роятность того, что настанет время, когда женщина возьмет отпуск в связи с рождением ребенка.</w:t>
      </w:r>
    </w:p>
    <w:p w:rsidR="00000000" w:rsidRDefault="00000000">
      <w:pPr>
        <w:pStyle w:val="SingleTxt"/>
      </w:pPr>
      <w:r>
        <w:t>187.</w:t>
      </w:r>
      <w:r>
        <w:tab/>
        <w:t>На Государственную службу занятости возложена задача предоставлять статус безработного, осуществлять переподготовку безработных и применять другие процедуры, связанные с решением проблем безработицы. По данным, предоставленным Государственной службой занятости, число женщин, выр</w:t>
      </w:r>
      <w:r>
        <w:t>а</w:t>
      </w:r>
      <w:r>
        <w:t>зивших желание учиться, пройти переподготовку или повысить свою квалиф</w:t>
      </w:r>
      <w:r>
        <w:t>и</w:t>
      </w:r>
      <w:r>
        <w:t>кацию, примерно в два раза превышает соответствующее число мужчин; число женщин, направляемых Государственной службой занятости на подготовку, п</w:t>
      </w:r>
      <w:r>
        <w:t>е</w:t>
      </w:r>
      <w:r>
        <w:t>реподготовку и повышение квалификации, также превышает соответствующее число мужчин (см. таблицу).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2250"/>
        <w:gridCol w:w="2070"/>
        <w:gridCol w:w="1980"/>
      </w:tblGrid>
      <w:tr w:rsidR="00000000">
        <w:tblPrEx>
          <w:tblCellMar>
            <w:top w:w="0" w:type="dxa"/>
            <w:bottom w:w="0" w:type="dxa"/>
          </w:tblCellMar>
        </w:tblPrEx>
        <w:trPr>
          <w:cantSplit/>
        </w:trPr>
        <w:tc>
          <w:tcPr>
            <w:tcW w:w="8550" w:type="dxa"/>
            <w:gridSpan w:val="4"/>
            <w:vAlign w:val="bottom"/>
          </w:tcPr>
          <w:p w:rsidR="00000000" w:rsidRDefault="00000000">
            <w:pPr>
              <w:pStyle w:val="DualTxt"/>
              <w:spacing w:before="60" w:after="80" w:line="210" w:lineRule="exact"/>
              <w:ind w:right="14"/>
              <w:jc w:val="left"/>
              <w:rPr>
                <w:sz w:val="17"/>
              </w:rPr>
            </w:pPr>
            <w:r>
              <w:rPr>
                <w:sz w:val="17"/>
              </w:rPr>
              <w:t>Пожелали пройти подготовку, переподготовку или повышение квалификации</w:t>
            </w:r>
          </w:p>
        </w:tc>
      </w:tr>
      <w:tr w:rsidR="00000000">
        <w:tblPrEx>
          <w:tblCellMar>
            <w:top w:w="0" w:type="dxa"/>
            <w:bottom w:w="0" w:type="dxa"/>
          </w:tblCellMar>
        </w:tblPrEx>
        <w:tc>
          <w:tcPr>
            <w:tcW w:w="2250" w:type="dxa"/>
            <w:vAlign w:val="bottom"/>
          </w:tcPr>
          <w:p w:rsidR="00000000" w:rsidRDefault="00000000">
            <w:pPr>
              <w:pStyle w:val="DualTxt"/>
              <w:spacing w:before="60" w:after="80" w:line="210" w:lineRule="exact"/>
              <w:ind w:right="14"/>
              <w:jc w:val="left"/>
              <w:rPr>
                <w:sz w:val="17"/>
              </w:rPr>
            </w:pPr>
            <w:r>
              <w:rPr>
                <w:sz w:val="17"/>
              </w:rPr>
              <w:t>Год</w:t>
            </w:r>
          </w:p>
        </w:tc>
        <w:tc>
          <w:tcPr>
            <w:tcW w:w="2250" w:type="dxa"/>
            <w:vAlign w:val="bottom"/>
          </w:tcPr>
          <w:p w:rsidR="00000000" w:rsidRDefault="00000000">
            <w:pPr>
              <w:pStyle w:val="DualTxt"/>
              <w:spacing w:before="60" w:after="80" w:line="210" w:lineRule="exact"/>
              <w:ind w:right="14"/>
              <w:jc w:val="left"/>
              <w:rPr>
                <w:sz w:val="17"/>
              </w:rPr>
            </w:pPr>
            <w:r>
              <w:rPr>
                <w:sz w:val="17"/>
              </w:rPr>
              <w:t>Всего</w:t>
            </w:r>
          </w:p>
        </w:tc>
        <w:tc>
          <w:tcPr>
            <w:tcW w:w="2070" w:type="dxa"/>
            <w:vAlign w:val="bottom"/>
          </w:tcPr>
          <w:p w:rsidR="00000000" w:rsidRDefault="00000000">
            <w:pPr>
              <w:pStyle w:val="DualTxt"/>
              <w:spacing w:before="60" w:after="80" w:line="210" w:lineRule="exact"/>
              <w:ind w:right="14"/>
              <w:jc w:val="left"/>
              <w:rPr>
                <w:sz w:val="17"/>
              </w:rPr>
            </w:pPr>
            <w:r>
              <w:rPr>
                <w:sz w:val="17"/>
              </w:rPr>
              <w:t>в том числе: женщины</w:t>
            </w:r>
          </w:p>
        </w:tc>
        <w:tc>
          <w:tcPr>
            <w:tcW w:w="1980" w:type="dxa"/>
            <w:vAlign w:val="bottom"/>
          </w:tcPr>
          <w:p w:rsidR="00000000" w:rsidRDefault="00000000">
            <w:pPr>
              <w:pStyle w:val="DualTxt"/>
              <w:spacing w:before="60" w:after="80" w:line="210" w:lineRule="exact"/>
              <w:ind w:right="14"/>
              <w:jc w:val="left"/>
              <w:rPr>
                <w:sz w:val="17"/>
              </w:rPr>
            </w:pPr>
            <w:r>
              <w:rPr>
                <w:sz w:val="17"/>
              </w:rPr>
              <w:t>в том числе: мужч</w:t>
            </w:r>
            <w:r>
              <w:rPr>
                <w:sz w:val="17"/>
              </w:rPr>
              <w:t>и</w:t>
            </w:r>
            <w:r>
              <w:rPr>
                <w:sz w:val="17"/>
              </w:rPr>
              <w:t>ны</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1995</w:t>
            </w:r>
          </w:p>
        </w:tc>
        <w:tc>
          <w:tcPr>
            <w:tcW w:w="2250" w:type="dxa"/>
          </w:tcPr>
          <w:p w:rsidR="00000000" w:rsidRDefault="00000000">
            <w:pPr>
              <w:pStyle w:val="DualTxt"/>
              <w:spacing w:before="60" w:after="80" w:line="210" w:lineRule="exact"/>
              <w:ind w:right="14"/>
              <w:rPr>
                <w:sz w:val="17"/>
              </w:rPr>
            </w:pPr>
            <w:r>
              <w:rPr>
                <w:sz w:val="17"/>
              </w:rPr>
              <w:t>13857</w:t>
            </w:r>
          </w:p>
        </w:tc>
        <w:tc>
          <w:tcPr>
            <w:tcW w:w="2070" w:type="dxa"/>
          </w:tcPr>
          <w:p w:rsidR="00000000" w:rsidRDefault="00000000">
            <w:pPr>
              <w:pStyle w:val="DualTxt"/>
              <w:spacing w:before="60" w:after="80" w:line="210" w:lineRule="exact"/>
              <w:ind w:right="14"/>
              <w:rPr>
                <w:sz w:val="17"/>
              </w:rPr>
            </w:pPr>
            <w:r>
              <w:rPr>
                <w:sz w:val="17"/>
              </w:rPr>
              <w:t>8374</w:t>
            </w:r>
          </w:p>
        </w:tc>
        <w:tc>
          <w:tcPr>
            <w:tcW w:w="1980" w:type="dxa"/>
          </w:tcPr>
          <w:p w:rsidR="00000000" w:rsidRDefault="00000000">
            <w:pPr>
              <w:pStyle w:val="DualTxt"/>
              <w:spacing w:before="60" w:after="80" w:line="210" w:lineRule="exact"/>
              <w:ind w:right="14"/>
              <w:rPr>
                <w:sz w:val="17"/>
              </w:rPr>
            </w:pPr>
            <w:r>
              <w:rPr>
                <w:sz w:val="17"/>
              </w:rPr>
              <w:t>5483</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1996</w:t>
            </w:r>
          </w:p>
        </w:tc>
        <w:tc>
          <w:tcPr>
            <w:tcW w:w="2250" w:type="dxa"/>
          </w:tcPr>
          <w:p w:rsidR="00000000" w:rsidRDefault="00000000">
            <w:pPr>
              <w:pStyle w:val="DualTxt"/>
              <w:spacing w:before="60" w:after="80" w:line="210" w:lineRule="exact"/>
              <w:ind w:right="14"/>
              <w:rPr>
                <w:sz w:val="17"/>
              </w:rPr>
            </w:pPr>
            <w:r>
              <w:rPr>
                <w:sz w:val="17"/>
              </w:rPr>
              <w:t>16589</w:t>
            </w:r>
          </w:p>
        </w:tc>
        <w:tc>
          <w:tcPr>
            <w:tcW w:w="2070" w:type="dxa"/>
          </w:tcPr>
          <w:p w:rsidR="00000000" w:rsidRDefault="00000000">
            <w:pPr>
              <w:pStyle w:val="DualTxt"/>
              <w:spacing w:before="60" w:after="80" w:line="210" w:lineRule="exact"/>
              <w:ind w:right="14"/>
              <w:rPr>
                <w:sz w:val="17"/>
              </w:rPr>
            </w:pPr>
            <w:r>
              <w:rPr>
                <w:sz w:val="17"/>
              </w:rPr>
              <w:t>10291</w:t>
            </w:r>
          </w:p>
        </w:tc>
        <w:tc>
          <w:tcPr>
            <w:tcW w:w="1980" w:type="dxa"/>
          </w:tcPr>
          <w:p w:rsidR="00000000" w:rsidRDefault="00000000">
            <w:pPr>
              <w:pStyle w:val="DualTxt"/>
              <w:spacing w:before="60" w:after="80" w:line="210" w:lineRule="exact"/>
              <w:ind w:right="14"/>
              <w:rPr>
                <w:sz w:val="17"/>
              </w:rPr>
            </w:pPr>
            <w:r>
              <w:rPr>
                <w:sz w:val="17"/>
              </w:rPr>
              <w:t>6298</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1997</w:t>
            </w:r>
          </w:p>
        </w:tc>
        <w:tc>
          <w:tcPr>
            <w:tcW w:w="2250" w:type="dxa"/>
          </w:tcPr>
          <w:p w:rsidR="00000000" w:rsidRDefault="00000000">
            <w:pPr>
              <w:pStyle w:val="DualTxt"/>
              <w:spacing w:before="60" w:after="80" w:line="210" w:lineRule="exact"/>
              <w:ind w:right="14"/>
              <w:rPr>
                <w:sz w:val="17"/>
              </w:rPr>
            </w:pPr>
            <w:r>
              <w:rPr>
                <w:sz w:val="17"/>
              </w:rPr>
              <w:t>15337</w:t>
            </w:r>
          </w:p>
        </w:tc>
        <w:tc>
          <w:tcPr>
            <w:tcW w:w="2070" w:type="dxa"/>
          </w:tcPr>
          <w:p w:rsidR="00000000" w:rsidRDefault="00000000">
            <w:pPr>
              <w:pStyle w:val="DualTxt"/>
              <w:spacing w:before="60" w:after="80" w:line="210" w:lineRule="exact"/>
              <w:ind w:right="14"/>
              <w:rPr>
                <w:sz w:val="17"/>
              </w:rPr>
            </w:pPr>
            <w:r>
              <w:rPr>
                <w:sz w:val="17"/>
              </w:rPr>
              <w:t>10128</w:t>
            </w:r>
          </w:p>
        </w:tc>
        <w:tc>
          <w:tcPr>
            <w:tcW w:w="1980" w:type="dxa"/>
          </w:tcPr>
          <w:p w:rsidR="00000000" w:rsidRDefault="00000000">
            <w:pPr>
              <w:pStyle w:val="DualTxt"/>
              <w:spacing w:before="60" w:after="80" w:line="210" w:lineRule="exact"/>
              <w:ind w:right="14"/>
              <w:rPr>
                <w:sz w:val="17"/>
              </w:rPr>
            </w:pPr>
            <w:r>
              <w:rPr>
                <w:sz w:val="17"/>
              </w:rPr>
              <w:t>5209</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1998</w:t>
            </w:r>
          </w:p>
        </w:tc>
        <w:tc>
          <w:tcPr>
            <w:tcW w:w="2250" w:type="dxa"/>
          </w:tcPr>
          <w:p w:rsidR="00000000" w:rsidRDefault="00000000">
            <w:pPr>
              <w:pStyle w:val="DualTxt"/>
              <w:spacing w:before="60" w:after="80" w:line="210" w:lineRule="exact"/>
              <w:ind w:right="14"/>
              <w:rPr>
                <w:sz w:val="17"/>
              </w:rPr>
            </w:pPr>
            <w:r>
              <w:rPr>
                <w:sz w:val="17"/>
              </w:rPr>
              <w:t>24542</w:t>
            </w:r>
          </w:p>
        </w:tc>
        <w:tc>
          <w:tcPr>
            <w:tcW w:w="2070" w:type="dxa"/>
          </w:tcPr>
          <w:p w:rsidR="00000000" w:rsidRDefault="00000000">
            <w:pPr>
              <w:pStyle w:val="DualTxt"/>
              <w:spacing w:before="60" w:after="80" w:line="210" w:lineRule="exact"/>
              <w:ind w:right="14"/>
              <w:rPr>
                <w:sz w:val="17"/>
              </w:rPr>
            </w:pPr>
            <w:r>
              <w:rPr>
                <w:sz w:val="17"/>
              </w:rPr>
              <w:t>16243</w:t>
            </w:r>
          </w:p>
        </w:tc>
        <w:tc>
          <w:tcPr>
            <w:tcW w:w="1980" w:type="dxa"/>
          </w:tcPr>
          <w:p w:rsidR="00000000" w:rsidRDefault="00000000">
            <w:pPr>
              <w:pStyle w:val="DualTxt"/>
              <w:spacing w:before="60" w:after="80" w:line="210" w:lineRule="exact"/>
              <w:ind w:right="14"/>
              <w:rPr>
                <w:sz w:val="17"/>
              </w:rPr>
            </w:pPr>
            <w:r>
              <w:rPr>
                <w:sz w:val="17"/>
              </w:rPr>
              <w:t>8299</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1999</w:t>
            </w:r>
          </w:p>
        </w:tc>
        <w:tc>
          <w:tcPr>
            <w:tcW w:w="2250" w:type="dxa"/>
          </w:tcPr>
          <w:p w:rsidR="00000000" w:rsidRDefault="00000000">
            <w:pPr>
              <w:pStyle w:val="DualTxt"/>
              <w:spacing w:before="60" w:after="80" w:line="210" w:lineRule="exact"/>
              <w:ind w:right="14"/>
              <w:rPr>
                <w:sz w:val="17"/>
              </w:rPr>
            </w:pPr>
            <w:r>
              <w:rPr>
                <w:sz w:val="17"/>
              </w:rPr>
              <w:t>29395</w:t>
            </w:r>
          </w:p>
        </w:tc>
        <w:tc>
          <w:tcPr>
            <w:tcW w:w="2070" w:type="dxa"/>
          </w:tcPr>
          <w:p w:rsidR="00000000" w:rsidRDefault="00000000">
            <w:pPr>
              <w:pStyle w:val="DualTxt"/>
              <w:spacing w:before="60" w:after="80" w:line="210" w:lineRule="exact"/>
              <w:ind w:right="14"/>
              <w:rPr>
                <w:sz w:val="17"/>
              </w:rPr>
            </w:pPr>
            <w:r>
              <w:rPr>
                <w:sz w:val="17"/>
              </w:rPr>
              <w:t>18512</w:t>
            </w:r>
          </w:p>
        </w:tc>
        <w:tc>
          <w:tcPr>
            <w:tcW w:w="1980" w:type="dxa"/>
          </w:tcPr>
          <w:p w:rsidR="00000000" w:rsidRDefault="00000000">
            <w:pPr>
              <w:pStyle w:val="DualTxt"/>
              <w:spacing w:before="60" w:after="80" w:line="210" w:lineRule="exact"/>
              <w:ind w:right="14"/>
              <w:rPr>
                <w:sz w:val="17"/>
              </w:rPr>
            </w:pPr>
            <w:r>
              <w:rPr>
                <w:sz w:val="17"/>
              </w:rPr>
              <w:t>10883</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2000</w:t>
            </w:r>
          </w:p>
        </w:tc>
        <w:tc>
          <w:tcPr>
            <w:tcW w:w="2250" w:type="dxa"/>
          </w:tcPr>
          <w:p w:rsidR="00000000" w:rsidRDefault="00000000">
            <w:pPr>
              <w:pStyle w:val="DualTxt"/>
              <w:spacing w:before="60" w:after="80" w:line="210" w:lineRule="exact"/>
              <w:ind w:right="14"/>
              <w:rPr>
                <w:sz w:val="17"/>
              </w:rPr>
            </w:pPr>
            <w:r>
              <w:rPr>
                <w:sz w:val="17"/>
              </w:rPr>
              <w:t>28025</w:t>
            </w:r>
          </w:p>
        </w:tc>
        <w:tc>
          <w:tcPr>
            <w:tcW w:w="2070" w:type="dxa"/>
          </w:tcPr>
          <w:p w:rsidR="00000000" w:rsidRDefault="00000000">
            <w:pPr>
              <w:pStyle w:val="DualTxt"/>
              <w:spacing w:before="60" w:after="80" w:line="210" w:lineRule="exact"/>
              <w:ind w:right="14"/>
              <w:rPr>
                <w:sz w:val="17"/>
              </w:rPr>
            </w:pPr>
            <w:r>
              <w:rPr>
                <w:sz w:val="17"/>
              </w:rPr>
              <w:t>17488</w:t>
            </w:r>
          </w:p>
        </w:tc>
        <w:tc>
          <w:tcPr>
            <w:tcW w:w="1980" w:type="dxa"/>
          </w:tcPr>
          <w:p w:rsidR="00000000" w:rsidRDefault="00000000">
            <w:pPr>
              <w:pStyle w:val="DualTxt"/>
              <w:spacing w:before="60" w:after="80" w:line="210" w:lineRule="exact"/>
              <w:ind w:right="14"/>
              <w:rPr>
                <w:sz w:val="17"/>
              </w:rPr>
            </w:pPr>
            <w:r>
              <w:rPr>
                <w:sz w:val="17"/>
              </w:rPr>
              <w:t>10537</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2001</w:t>
            </w:r>
          </w:p>
        </w:tc>
        <w:tc>
          <w:tcPr>
            <w:tcW w:w="2250" w:type="dxa"/>
          </w:tcPr>
          <w:p w:rsidR="00000000" w:rsidRDefault="00000000">
            <w:pPr>
              <w:pStyle w:val="DualTxt"/>
              <w:spacing w:before="60" w:after="80" w:line="210" w:lineRule="exact"/>
              <w:ind w:right="14"/>
              <w:rPr>
                <w:sz w:val="17"/>
              </w:rPr>
            </w:pPr>
            <w:r>
              <w:rPr>
                <w:sz w:val="17"/>
              </w:rPr>
              <w:t>31192</w:t>
            </w:r>
          </w:p>
        </w:tc>
        <w:tc>
          <w:tcPr>
            <w:tcW w:w="2070" w:type="dxa"/>
          </w:tcPr>
          <w:p w:rsidR="00000000" w:rsidRDefault="00000000">
            <w:pPr>
              <w:pStyle w:val="DualTxt"/>
              <w:spacing w:before="60" w:after="80" w:line="210" w:lineRule="exact"/>
              <w:ind w:right="14"/>
              <w:rPr>
                <w:sz w:val="17"/>
              </w:rPr>
            </w:pPr>
            <w:r>
              <w:rPr>
                <w:sz w:val="17"/>
              </w:rPr>
              <w:t>19358</w:t>
            </w:r>
          </w:p>
        </w:tc>
        <w:tc>
          <w:tcPr>
            <w:tcW w:w="1980" w:type="dxa"/>
          </w:tcPr>
          <w:p w:rsidR="00000000" w:rsidRDefault="00000000">
            <w:pPr>
              <w:pStyle w:val="DualTxt"/>
              <w:spacing w:before="60" w:after="80" w:line="210" w:lineRule="exact"/>
              <w:ind w:right="14"/>
              <w:rPr>
                <w:sz w:val="17"/>
              </w:rPr>
            </w:pPr>
            <w:r>
              <w:rPr>
                <w:sz w:val="17"/>
              </w:rPr>
              <w:t>11834</w:t>
            </w:r>
          </w:p>
        </w:tc>
      </w:tr>
      <w:tr w:rsidR="00000000">
        <w:tblPrEx>
          <w:tblCellMar>
            <w:top w:w="0" w:type="dxa"/>
            <w:bottom w:w="0" w:type="dxa"/>
          </w:tblCellMar>
        </w:tblPrEx>
        <w:trPr>
          <w:cantSplit/>
        </w:trPr>
        <w:tc>
          <w:tcPr>
            <w:tcW w:w="8550" w:type="dxa"/>
            <w:gridSpan w:val="4"/>
          </w:tcPr>
          <w:p w:rsidR="00000000" w:rsidRDefault="00000000">
            <w:pPr>
              <w:pStyle w:val="DualTxt"/>
              <w:spacing w:before="60" w:after="80" w:line="210" w:lineRule="exact"/>
              <w:ind w:right="14"/>
              <w:rPr>
                <w:sz w:val="17"/>
              </w:rPr>
            </w:pPr>
            <w:r>
              <w:rPr>
                <w:sz w:val="17"/>
              </w:rPr>
              <w:t>Направлено на подготовку, переподготовку или п</w:t>
            </w:r>
            <w:r>
              <w:rPr>
                <w:sz w:val="17"/>
              </w:rPr>
              <w:t>о</w:t>
            </w:r>
            <w:r>
              <w:rPr>
                <w:sz w:val="17"/>
              </w:rPr>
              <w:t>вышение квалификации</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 xml:space="preserve">Год </w:t>
            </w:r>
          </w:p>
        </w:tc>
        <w:tc>
          <w:tcPr>
            <w:tcW w:w="2250" w:type="dxa"/>
          </w:tcPr>
          <w:p w:rsidR="00000000" w:rsidRDefault="00000000">
            <w:pPr>
              <w:pStyle w:val="DualTxt"/>
              <w:spacing w:before="60" w:after="80" w:line="210" w:lineRule="exact"/>
              <w:ind w:right="14"/>
              <w:rPr>
                <w:sz w:val="17"/>
              </w:rPr>
            </w:pPr>
            <w:r>
              <w:rPr>
                <w:sz w:val="17"/>
              </w:rPr>
              <w:t>Всего</w:t>
            </w:r>
          </w:p>
        </w:tc>
        <w:tc>
          <w:tcPr>
            <w:tcW w:w="2070" w:type="dxa"/>
          </w:tcPr>
          <w:p w:rsidR="00000000" w:rsidRDefault="00000000">
            <w:pPr>
              <w:pStyle w:val="DualTxt"/>
              <w:spacing w:before="60" w:after="80" w:line="210" w:lineRule="exact"/>
              <w:ind w:right="14"/>
              <w:rPr>
                <w:sz w:val="17"/>
              </w:rPr>
            </w:pPr>
            <w:r>
              <w:rPr>
                <w:sz w:val="17"/>
              </w:rPr>
              <w:t>в том числе: женщины</w:t>
            </w:r>
          </w:p>
        </w:tc>
        <w:tc>
          <w:tcPr>
            <w:tcW w:w="1980" w:type="dxa"/>
          </w:tcPr>
          <w:p w:rsidR="00000000" w:rsidRDefault="00000000">
            <w:pPr>
              <w:pStyle w:val="DualTxt"/>
              <w:spacing w:before="60" w:after="80" w:line="210" w:lineRule="exact"/>
              <w:ind w:right="14"/>
              <w:rPr>
                <w:sz w:val="17"/>
              </w:rPr>
            </w:pPr>
            <w:r>
              <w:rPr>
                <w:sz w:val="17"/>
              </w:rPr>
              <w:t>в том числе: мужчины</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1995</w:t>
            </w:r>
          </w:p>
        </w:tc>
        <w:tc>
          <w:tcPr>
            <w:tcW w:w="2250" w:type="dxa"/>
          </w:tcPr>
          <w:p w:rsidR="00000000" w:rsidRDefault="00000000">
            <w:pPr>
              <w:pStyle w:val="DualTxt"/>
              <w:spacing w:before="60" w:after="80" w:line="210" w:lineRule="exact"/>
              <w:ind w:right="14"/>
              <w:rPr>
                <w:sz w:val="17"/>
              </w:rPr>
            </w:pPr>
            <w:r>
              <w:rPr>
                <w:sz w:val="17"/>
              </w:rPr>
              <w:t>6339</w:t>
            </w:r>
          </w:p>
        </w:tc>
        <w:tc>
          <w:tcPr>
            <w:tcW w:w="2070" w:type="dxa"/>
          </w:tcPr>
          <w:p w:rsidR="00000000" w:rsidRDefault="00000000">
            <w:pPr>
              <w:pStyle w:val="DualTxt"/>
              <w:spacing w:before="60" w:after="80" w:line="210" w:lineRule="exact"/>
              <w:ind w:right="14"/>
              <w:rPr>
                <w:sz w:val="17"/>
              </w:rPr>
            </w:pPr>
            <w:r>
              <w:rPr>
                <w:sz w:val="17"/>
              </w:rPr>
              <w:t>4206</w:t>
            </w:r>
          </w:p>
        </w:tc>
        <w:tc>
          <w:tcPr>
            <w:tcW w:w="1980" w:type="dxa"/>
          </w:tcPr>
          <w:p w:rsidR="00000000" w:rsidRDefault="00000000">
            <w:pPr>
              <w:pStyle w:val="DualTxt"/>
              <w:spacing w:before="60" w:after="80" w:line="210" w:lineRule="exact"/>
              <w:ind w:right="14"/>
              <w:rPr>
                <w:sz w:val="17"/>
              </w:rPr>
            </w:pPr>
            <w:r>
              <w:rPr>
                <w:sz w:val="17"/>
              </w:rPr>
              <w:t>2133</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1996</w:t>
            </w:r>
          </w:p>
        </w:tc>
        <w:tc>
          <w:tcPr>
            <w:tcW w:w="2250" w:type="dxa"/>
          </w:tcPr>
          <w:p w:rsidR="00000000" w:rsidRDefault="00000000">
            <w:pPr>
              <w:pStyle w:val="DualTxt"/>
              <w:spacing w:before="60" w:after="80" w:line="210" w:lineRule="exact"/>
              <w:ind w:right="14"/>
              <w:rPr>
                <w:sz w:val="17"/>
              </w:rPr>
            </w:pPr>
            <w:r>
              <w:rPr>
                <w:sz w:val="17"/>
              </w:rPr>
              <w:t>8831</w:t>
            </w:r>
          </w:p>
        </w:tc>
        <w:tc>
          <w:tcPr>
            <w:tcW w:w="2070" w:type="dxa"/>
          </w:tcPr>
          <w:p w:rsidR="00000000" w:rsidRDefault="00000000">
            <w:pPr>
              <w:pStyle w:val="DualTxt"/>
              <w:spacing w:before="60" w:after="80" w:line="210" w:lineRule="exact"/>
              <w:ind w:right="14"/>
              <w:rPr>
                <w:sz w:val="17"/>
              </w:rPr>
            </w:pPr>
            <w:r>
              <w:rPr>
                <w:sz w:val="17"/>
              </w:rPr>
              <w:t>5562</w:t>
            </w:r>
          </w:p>
        </w:tc>
        <w:tc>
          <w:tcPr>
            <w:tcW w:w="1980" w:type="dxa"/>
          </w:tcPr>
          <w:p w:rsidR="00000000" w:rsidRDefault="00000000">
            <w:pPr>
              <w:pStyle w:val="DualTxt"/>
              <w:spacing w:before="60" w:after="80" w:line="210" w:lineRule="exact"/>
              <w:ind w:right="14"/>
              <w:rPr>
                <w:sz w:val="17"/>
              </w:rPr>
            </w:pPr>
            <w:r>
              <w:rPr>
                <w:sz w:val="17"/>
              </w:rPr>
              <w:t>3269</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1997</w:t>
            </w:r>
          </w:p>
        </w:tc>
        <w:tc>
          <w:tcPr>
            <w:tcW w:w="2250" w:type="dxa"/>
          </w:tcPr>
          <w:p w:rsidR="00000000" w:rsidRDefault="00000000">
            <w:pPr>
              <w:pStyle w:val="DualTxt"/>
              <w:spacing w:before="60" w:after="80" w:line="210" w:lineRule="exact"/>
              <w:ind w:right="14"/>
              <w:rPr>
                <w:sz w:val="17"/>
              </w:rPr>
            </w:pPr>
            <w:r>
              <w:rPr>
                <w:sz w:val="17"/>
              </w:rPr>
              <w:t>7950</w:t>
            </w:r>
          </w:p>
        </w:tc>
        <w:tc>
          <w:tcPr>
            <w:tcW w:w="2070" w:type="dxa"/>
          </w:tcPr>
          <w:p w:rsidR="00000000" w:rsidRDefault="00000000">
            <w:pPr>
              <w:pStyle w:val="DualTxt"/>
              <w:spacing w:before="60" w:after="80" w:line="210" w:lineRule="exact"/>
              <w:ind w:right="14"/>
              <w:rPr>
                <w:sz w:val="17"/>
              </w:rPr>
            </w:pPr>
            <w:r>
              <w:rPr>
                <w:sz w:val="17"/>
              </w:rPr>
              <w:t>5049</w:t>
            </w:r>
          </w:p>
        </w:tc>
        <w:tc>
          <w:tcPr>
            <w:tcW w:w="1980" w:type="dxa"/>
          </w:tcPr>
          <w:p w:rsidR="00000000" w:rsidRDefault="00000000">
            <w:pPr>
              <w:pStyle w:val="DualTxt"/>
              <w:spacing w:before="60" w:after="80" w:line="210" w:lineRule="exact"/>
              <w:ind w:right="14"/>
              <w:rPr>
                <w:sz w:val="17"/>
              </w:rPr>
            </w:pPr>
            <w:r>
              <w:rPr>
                <w:sz w:val="17"/>
              </w:rPr>
              <w:t>2901</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1998</w:t>
            </w:r>
          </w:p>
        </w:tc>
        <w:tc>
          <w:tcPr>
            <w:tcW w:w="2250" w:type="dxa"/>
          </w:tcPr>
          <w:p w:rsidR="00000000" w:rsidRDefault="00000000">
            <w:pPr>
              <w:pStyle w:val="DualTxt"/>
              <w:spacing w:before="60" w:after="80" w:line="210" w:lineRule="exact"/>
              <w:ind w:right="14"/>
              <w:rPr>
                <w:sz w:val="17"/>
              </w:rPr>
            </w:pPr>
            <w:r>
              <w:rPr>
                <w:sz w:val="17"/>
              </w:rPr>
              <w:t>16602</w:t>
            </w:r>
          </w:p>
        </w:tc>
        <w:tc>
          <w:tcPr>
            <w:tcW w:w="2070" w:type="dxa"/>
          </w:tcPr>
          <w:p w:rsidR="00000000" w:rsidRDefault="00000000">
            <w:pPr>
              <w:pStyle w:val="DualTxt"/>
              <w:spacing w:before="60" w:after="80" w:line="210" w:lineRule="exact"/>
              <w:ind w:right="14"/>
              <w:rPr>
                <w:sz w:val="17"/>
              </w:rPr>
            </w:pPr>
            <w:r>
              <w:rPr>
                <w:sz w:val="17"/>
              </w:rPr>
              <w:t>11671</w:t>
            </w:r>
          </w:p>
        </w:tc>
        <w:tc>
          <w:tcPr>
            <w:tcW w:w="1980" w:type="dxa"/>
          </w:tcPr>
          <w:p w:rsidR="00000000" w:rsidRDefault="00000000">
            <w:pPr>
              <w:pStyle w:val="DualTxt"/>
              <w:spacing w:before="60" w:after="80" w:line="210" w:lineRule="exact"/>
              <w:ind w:right="14"/>
              <w:rPr>
                <w:sz w:val="17"/>
              </w:rPr>
            </w:pPr>
            <w:r>
              <w:rPr>
                <w:sz w:val="17"/>
              </w:rPr>
              <w:t>4931</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1999</w:t>
            </w:r>
          </w:p>
        </w:tc>
        <w:tc>
          <w:tcPr>
            <w:tcW w:w="2250" w:type="dxa"/>
          </w:tcPr>
          <w:p w:rsidR="00000000" w:rsidRDefault="00000000">
            <w:pPr>
              <w:pStyle w:val="DualTxt"/>
              <w:spacing w:before="60" w:after="80" w:line="210" w:lineRule="exact"/>
              <w:ind w:right="14"/>
              <w:rPr>
                <w:sz w:val="17"/>
              </w:rPr>
            </w:pPr>
            <w:r>
              <w:rPr>
                <w:sz w:val="17"/>
              </w:rPr>
              <w:t>9704</w:t>
            </w:r>
          </w:p>
        </w:tc>
        <w:tc>
          <w:tcPr>
            <w:tcW w:w="2070" w:type="dxa"/>
          </w:tcPr>
          <w:p w:rsidR="00000000" w:rsidRDefault="00000000">
            <w:pPr>
              <w:pStyle w:val="DualTxt"/>
              <w:spacing w:before="60" w:after="80" w:line="210" w:lineRule="exact"/>
              <w:ind w:right="14"/>
              <w:rPr>
                <w:sz w:val="17"/>
              </w:rPr>
            </w:pPr>
            <w:r>
              <w:rPr>
                <w:sz w:val="17"/>
              </w:rPr>
              <w:t>6186</w:t>
            </w:r>
          </w:p>
        </w:tc>
        <w:tc>
          <w:tcPr>
            <w:tcW w:w="1980" w:type="dxa"/>
          </w:tcPr>
          <w:p w:rsidR="00000000" w:rsidRDefault="00000000">
            <w:pPr>
              <w:pStyle w:val="DualTxt"/>
              <w:spacing w:before="60" w:after="80" w:line="210" w:lineRule="exact"/>
              <w:ind w:right="14"/>
              <w:rPr>
                <w:sz w:val="17"/>
              </w:rPr>
            </w:pPr>
            <w:r>
              <w:rPr>
                <w:sz w:val="17"/>
              </w:rPr>
              <w:t>3518</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2000</w:t>
            </w:r>
          </w:p>
        </w:tc>
        <w:tc>
          <w:tcPr>
            <w:tcW w:w="2250" w:type="dxa"/>
          </w:tcPr>
          <w:p w:rsidR="00000000" w:rsidRDefault="00000000">
            <w:pPr>
              <w:pStyle w:val="DualTxt"/>
              <w:spacing w:before="60" w:after="80" w:line="210" w:lineRule="exact"/>
              <w:ind w:right="14"/>
              <w:rPr>
                <w:sz w:val="17"/>
              </w:rPr>
            </w:pPr>
            <w:r>
              <w:rPr>
                <w:sz w:val="17"/>
              </w:rPr>
              <w:t>10267</w:t>
            </w:r>
          </w:p>
        </w:tc>
        <w:tc>
          <w:tcPr>
            <w:tcW w:w="2070" w:type="dxa"/>
          </w:tcPr>
          <w:p w:rsidR="00000000" w:rsidRDefault="00000000">
            <w:pPr>
              <w:pStyle w:val="DualTxt"/>
              <w:spacing w:before="60" w:after="80" w:line="210" w:lineRule="exact"/>
              <w:ind w:right="14"/>
              <w:rPr>
                <w:sz w:val="17"/>
              </w:rPr>
            </w:pPr>
            <w:r>
              <w:rPr>
                <w:sz w:val="17"/>
              </w:rPr>
              <w:t>6592</w:t>
            </w:r>
          </w:p>
        </w:tc>
        <w:tc>
          <w:tcPr>
            <w:tcW w:w="1980" w:type="dxa"/>
          </w:tcPr>
          <w:p w:rsidR="00000000" w:rsidRDefault="00000000">
            <w:pPr>
              <w:pStyle w:val="DualTxt"/>
              <w:spacing w:before="60" w:after="80" w:line="210" w:lineRule="exact"/>
              <w:ind w:right="14"/>
              <w:rPr>
                <w:sz w:val="17"/>
              </w:rPr>
            </w:pPr>
            <w:r>
              <w:rPr>
                <w:sz w:val="17"/>
              </w:rPr>
              <w:t>3675</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2001</w:t>
            </w:r>
          </w:p>
        </w:tc>
        <w:tc>
          <w:tcPr>
            <w:tcW w:w="2250" w:type="dxa"/>
          </w:tcPr>
          <w:p w:rsidR="00000000" w:rsidRDefault="00000000">
            <w:pPr>
              <w:pStyle w:val="DualTxt"/>
              <w:spacing w:before="60" w:after="80" w:line="210" w:lineRule="exact"/>
              <w:ind w:right="14"/>
              <w:rPr>
                <w:sz w:val="17"/>
              </w:rPr>
            </w:pPr>
            <w:r>
              <w:rPr>
                <w:sz w:val="17"/>
              </w:rPr>
              <w:t>10269</w:t>
            </w:r>
          </w:p>
        </w:tc>
        <w:tc>
          <w:tcPr>
            <w:tcW w:w="2070" w:type="dxa"/>
          </w:tcPr>
          <w:p w:rsidR="00000000" w:rsidRDefault="00000000">
            <w:pPr>
              <w:pStyle w:val="DualTxt"/>
              <w:spacing w:before="60" w:after="80" w:line="210" w:lineRule="exact"/>
              <w:ind w:right="14"/>
              <w:rPr>
                <w:sz w:val="17"/>
              </w:rPr>
            </w:pPr>
            <w:r>
              <w:rPr>
                <w:sz w:val="17"/>
              </w:rPr>
              <w:t>6925</w:t>
            </w:r>
          </w:p>
        </w:tc>
        <w:tc>
          <w:tcPr>
            <w:tcW w:w="1980" w:type="dxa"/>
          </w:tcPr>
          <w:p w:rsidR="00000000" w:rsidRDefault="00000000">
            <w:pPr>
              <w:pStyle w:val="DualTxt"/>
              <w:spacing w:before="60" w:after="80" w:line="210" w:lineRule="exact"/>
              <w:ind w:right="14"/>
              <w:rPr>
                <w:sz w:val="17"/>
              </w:rPr>
            </w:pPr>
            <w:r>
              <w:rPr>
                <w:sz w:val="17"/>
              </w:rPr>
              <w:t>3344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188.</w:t>
      </w:r>
      <w:r>
        <w:tab/>
        <w:t>За время работы Государственной службы занятости желание участвовать во временной общественной работе выразило примерно одинаковое число мужчин и женщин (см. таблицу).</w:t>
      </w:r>
    </w:p>
    <w:p w:rsidR="00000000" w:rsidRDefault="00000000">
      <w:pPr>
        <w:pStyle w:val="SingleTxt"/>
      </w:pPr>
    </w:p>
    <w:p w:rsidR="00000000" w:rsidRDefault="00000000">
      <w:pPr>
        <w:pStyle w:val="SingleTxt"/>
      </w:pPr>
      <w:r>
        <w:br w:type="page"/>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2250"/>
        <w:gridCol w:w="2070"/>
        <w:gridCol w:w="1979"/>
        <w:gridCol w:w="1"/>
      </w:tblGrid>
      <w:tr w:rsidR="00000000">
        <w:tblPrEx>
          <w:tblCellMar>
            <w:top w:w="0" w:type="dxa"/>
            <w:bottom w:w="0" w:type="dxa"/>
          </w:tblCellMar>
        </w:tblPrEx>
        <w:trPr>
          <w:cantSplit/>
        </w:trPr>
        <w:tc>
          <w:tcPr>
            <w:tcW w:w="8550" w:type="dxa"/>
            <w:gridSpan w:val="5"/>
          </w:tcPr>
          <w:p w:rsidR="00000000" w:rsidRDefault="00000000">
            <w:pPr>
              <w:pStyle w:val="DualTxt"/>
              <w:spacing w:before="60" w:after="80" w:line="210" w:lineRule="exact"/>
              <w:ind w:right="14"/>
              <w:jc w:val="left"/>
              <w:rPr>
                <w:sz w:val="17"/>
              </w:rPr>
            </w:pPr>
            <w:r>
              <w:rPr>
                <w:sz w:val="17"/>
              </w:rPr>
              <w:t>Пожелали участвовать в оплачиваемой временной общественной раб</w:t>
            </w:r>
            <w:r>
              <w:rPr>
                <w:sz w:val="17"/>
              </w:rPr>
              <w:t>о</w:t>
            </w:r>
            <w:r>
              <w:rPr>
                <w:sz w:val="17"/>
              </w:rPr>
              <w:t>те</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jc w:val="left"/>
              <w:rPr>
                <w:sz w:val="17"/>
              </w:rPr>
            </w:pPr>
            <w:r>
              <w:rPr>
                <w:sz w:val="17"/>
              </w:rPr>
              <w:t>Год</w:t>
            </w:r>
          </w:p>
        </w:tc>
        <w:tc>
          <w:tcPr>
            <w:tcW w:w="2250" w:type="dxa"/>
          </w:tcPr>
          <w:p w:rsidR="00000000" w:rsidRDefault="00000000">
            <w:pPr>
              <w:pStyle w:val="DualTxt"/>
              <w:spacing w:before="60" w:after="80" w:line="210" w:lineRule="exact"/>
              <w:ind w:right="14"/>
              <w:jc w:val="left"/>
              <w:rPr>
                <w:sz w:val="17"/>
              </w:rPr>
            </w:pPr>
            <w:r>
              <w:rPr>
                <w:sz w:val="17"/>
              </w:rPr>
              <w:t>Всего</w:t>
            </w:r>
          </w:p>
        </w:tc>
        <w:tc>
          <w:tcPr>
            <w:tcW w:w="2070" w:type="dxa"/>
          </w:tcPr>
          <w:p w:rsidR="00000000" w:rsidRDefault="00000000">
            <w:pPr>
              <w:pStyle w:val="DualTxt"/>
              <w:spacing w:before="60" w:after="80" w:line="210" w:lineRule="exact"/>
              <w:ind w:right="14"/>
              <w:jc w:val="left"/>
              <w:rPr>
                <w:sz w:val="17"/>
              </w:rPr>
            </w:pPr>
            <w:r>
              <w:rPr>
                <w:sz w:val="17"/>
              </w:rPr>
              <w:t>в том числе: же</w:t>
            </w:r>
            <w:r>
              <w:rPr>
                <w:sz w:val="17"/>
              </w:rPr>
              <w:t>н</w:t>
            </w:r>
            <w:r>
              <w:rPr>
                <w:sz w:val="17"/>
              </w:rPr>
              <w:t>щины</w:t>
            </w:r>
          </w:p>
        </w:tc>
        <w:tc>
          <w:tcPr>
            <w:tcW w:w="1980" w:type="dxa"/>
            <w:gridSpan w:val="2"/>
          </w:tcPr>
          <w:p w:rsidR="00000000" w:rsidRDefault="00000000">
            <w:pPr>
              <w:pStyle w:val="DualTxt"/>
              <w:spacing w:before="60" w:after="80" w:line="210" w:lineRule="exact"/>
              <w:ind w:right="14"/>
              <w:jc w:val="left"/>
              <w:rPr>
                <w:sz w:val="17"/>
              </w:rPr>
            </w:pPr>
            <w:r>
              <w:rPr>
                <w:sz w:val="17"/>
              </w:rPr>
              <w:t>в том числе: му</w:t>
            </w:r>
            <w:r>
              <w:rPr>
                <w:sz w:val="17"/>
              </w:rPr>
              <w:t>ж</w:t>
            </w:r>
            <w:r>
              <w:rPr>
                <w:sz w:val="17"/>
              </w:rPr>
              <w:t>чины</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1995</w:t>
            </w:r>
          </w:p>
        </w:tc>
        <w:tc>
          <w:tcPr>
            <w:tcW w:w="2250" w:type="dxa"/>
          </w:tcPr>
          <w:p w:rsidR="00000000" w:rsidRDefault="00000000">
            <w:pPr>
              <w:pStyle w:val="DualTxt"/>
              <w:spacing w:before="60" w:after="80" w:line="210" w:lineRule="exact"/>
              <w:ind w:right="14"/>
              <w:rPr>
                <w:sz w:val="17"/>
              </w:rPr>
            </w:pPr>
            <w:r>
              <w:rPr>
                <w:sz w:val="17"/>
              </w:rPr>
              <w:t>37189</w:t>
            </w:r>
          </w:p>
        </w:tc>
        <w:tc>
          <w:tcPr>
            <w:tcW w:w="2070" w:type="dxa"/>
          </w:tcPr>
          <w:p w:rsidR="00000000" w:rsidRDefault="00000000">
            <w:pPr>
              <w:pStyle w:val="DualTxt"/>
              <w:spacing w:before="60" w:after="80" w:line="210" w:lineRule="exact"/>
              <w:ind w:right="14"/>
              <w:rPr>
                <w:sz w:val="17"/>
              </w:rPr>
            </w:pPr>
            <w:r>
              <w:rPr>
                <w:sz w:val="17"/>
              </w:rPr>
              <w:t>17210</w:t>
            </w:r>
          </w:p>
        </w:tc>
        <w:tc>
          <w:tcPr>
            <w:tcW w:w="1980" w:type="dxa"/>
            <w:gridSpan w:val="2"/>
          </w:tcPr>
          <w:p w:rsidR="00000000" w:rsidRDefault="00000000">
            <w:pPr>
              <w:pStyle w:val="DualTxt"/>
              <w:spacing w:before="60" w:after="80" w:line="210" w:lineRule="exact"/>
              <w:ind w:right="14"/>
              <w:rPr>
                <w:sz w:val="17"/>
              </w:rPr>
            </w:pPr>
            <w:r>
              <w:rPr>
                <w:sz w:val="17"/>
              </w:rPr>
              <w:t>19979</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1996</w:t>
            </w:r>
          </w:p>
        </w:tc>
        <w:tc>
          <w:tcPr>
            <w:tcW w:w="2250" w:type="dxa"/>
          </w:tcPr>
          <w:p w:rsidR="00000000" w:rsidRDefault="00000000">
            <w:pPr>
              <w:pStyle w:val="DualTxt"/>
              <w:spacing w:before="60" w:after="80" w:line="210" w:lineRule="exact"/>
              <w:ind w:right="14"/>
              <w:rPr>
                <w:sz w:val="17"/>
              </w:rPr>
            </w:pPr>
            <w:r>
              <w:rPr>
                <w:sz w:val="17"/>
              </w:rPr>
              <w:t>38052</w:t>
            </w:r>
          </w:p>
        </w:tc>
        <w:tc>
          <w:tcPr>
            <w:tcW w:w="2070" w:type="dxa"/>
          </w:tcPr>
          <w:p w:rsidR="00000000" w:rsidRDefault="00000000">
            <w:pPr>
              <w:pStyle w:val="DualTxt"/>
              <w:spacing w:before="60" w:after="80" w:line="210" w:lineRule="exact"/>
              <w:ind w:right="14"/>
              <w:rPr>
                <w:sz w:val="17"/>
              </w:rPr>
            </w:pPr>
            <w:r>
              <w:rPr>
                <w:sz w:val="17"/>
              </w:rPr>
              <w:t>17749</w:t>
            </w:r>
          </w:p>
        </w:tc>
        <w:tc>
          <w:tcPr>
            <w:tcW w:w="1980" w:type="dxa"/>
            <w:gridSpan w:val="2"/>
          </w:tcPr>
          <w:p w:rsidR="00000000" w:rsidRDefault="00000000">
            <w:pPr>
              <w:pStyle w:val="DualTxt"/>
              <w:spacing w:before="60" w:after="80" w:line="210" w:lineRule="exact"/>
              <w:ind w:right="14"/>
              <w:rPr>
                <w:sz w:val="17"/>
              </w:rPr>
            </w:pPr>
            <w:r>
              <w:rPr>
                <w:sz w:val="17"/>
              </w:rPr>
              <w:t>20303</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1997</w:t>
            </w:r>
          </w:p>
        </w:tc>
        <w:tc>
          <w:tcPr>
            <w:tcW w:w="2250" w:type="dxa"/>
          </w:tcPr>
          <w:p w:rsidR="00000000" w:rsidRDefault="00000000">
            <w:pPr>
              <w:pStyle w:val="DualTxt"/>
              <w:spacing w:before="60" w:after="80" w:line="210" w:lineRule="exact"/>
              <w:ind w:right="14"/>
              <w:rPr>
                <w:sz w:val="17"/>
              </w:rPr>
            </w:pPr>
            <w:r>
              <w:rPr>
                <w:sz w:val="17"/>
              </w:rPr>
              <w:t>32786</w:t>
            </w:r>
          </w:p>
        </w:tc>
        <w:tc>
          <w:tcPr>
            <w:tcW w:w="2070" w:type="dxa"/>
          </w:tcPr>
          <w:p w:rsidR="00000000" w:rsidRDefault="00000000">
            <w:pPr>
              <w:pStyle w:val="DualTxt"/>
              <w:spacing w:before="60" w:after="80" w:line="210" w:lineRule="exact"/>
              <w:ind w:right="14"/>
              <w:rPr>
                <w:sz w:val="17"/>
              </w:rPr>
            </w:pPr>
            <w:r>
              <w:rPr>
                <w:sz w:val="17"/>
              </w:rPr>
              <w:t>16913</w:t>
            </w:r>
          </w:p>
        </w:tc>
        <w:tc>
          <w:tcPr>
            <w:tcW w:w="1980" w:type="dxa"/>
            <w:gridSpan w:val="2"/>
          </w:tcPr>
          <w:p w:rsidR="00000000" w:rsidRDefault="00000000">
            <w:pPr>
              <w:pStyle w:val="DualTxt"/>
              <w:spacing w:before="60" w:after="80" w:line="210" w:lineRule="exact"/>
              <w:ind w:right="14"/>
              <w:rPr>
                <w:sz w:val="17"/>
              </w:rPr>
            </w:pPr>
            <w:r>
              <w:rPr>
                <w:sz w:val="17"/>
              </w:rPr>
              <w:t>15873</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1998</w:t>
            </w:r>
          </w:p>
        </w:tc>
        <w:tc>
          <w:tcPr>
            <w:tcW w:w="2250" w:type="dxa"/>
          </w:tcPr>
          <w:p w:rsidR="00000000" w:rsidRDefault="00000000">
            <w:pPr>
              <w:pStyle w:val="DualTxt"/>
              <w:spacing w:before="60" w:after="80" w:line="210" w:lineRule="exact"/>
              <w:ind w:right="14"/>
              <w:rPr>
                <w:sz w:val="17"/>
              </w:rPr>
            </w:pPr>
            <w:r>
              <w:rPr>
                <w:sz w:val="17"/>
              </w:rPr>
              <w:t>39911</w:t>
            </w:r>
          </w:p>
        </w:tc>
        <w:tc>
          <w:tcPr>
            <w:tcW w:w="2070" w:type="dxa"/>
          </w:tcPr>
          <w:p w:rsidR="00000000" w:rsidRDefault="00000000">
            <w:pPr>
              <w:pStyle w:val="DualTxt"/>
              <w:spacing w:before="60" w:after="80" w:line="210" w:lineRule="exact"/>
              <w:ind w:right="14"/>
              <w:rPr>
                <w:sz w:val="17"/>
              </w:rPr>
            </w:pPr>
            <w:r>
              <w:rPr>
                <w:sz w:val="17"/>
              </w:rPr>
              <w:t>19937</w:t>
            </w:r>
          </w:p>
        </w:tc>
        <w:tc>
          <w:tcPr>
            <w:tcW w:w="1980" w:type="dxa"/>
            <w:gridSpan w:val="2"/>
          </w:tcPr>
          <w:p w:rsidR="00000000" w:rsidRDefault="00000000">
            <w:pPr>
              <w:pStyle w:val="DualTxt"/>
              <w:spacing w:before="60" w:after="80" w:line="210" w:lineRule="exact"/>
              <w:ind w:right="14"/>
              <w:rPr>
                <w:sz w:val="17"/>
              </w:rPr>
            </w:pPr>
            <w:r>
              <w:rPr>
                <w:sz w:val="17"/>
              </w:rPr>
              <w:t>19974</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1999</w:t>
            </w:r>
          </w:p>
        </w:tc>
        <w:tc>
          <w:tcPr>
            <w:tcW w:w="2250" w:type="dxa"/>
          </w:tcPr>
          <w:p w:rsidR="00000000" w:rsidRDefault="00000000">
            <w:pPr>
              <w:pStyle w:val="DualTxt"/>
              <w:spacing w:before="60" w:after="80" w:line="210" w:lineRule="exact"/>
              <w:ind w:right="14"/>
              <w:rPr>
                <w:sz w:val="17"/>
              </w:rPr>
            </w:pPr>
            <w:r>
              <w:rPr>
                <w:sz w:val="17"/>
              </w:rPr>
              <w:t>34946</w:t>
            </w:r>
          </w:p>
        </w:tc>
        <w:tc>
          <w:tcPr>
            <w:tcW w:w="2070" w:type="dxa"/>
          </w:tcPr>
          <w:p w:rsidR="00000000" w:rsidRDefault="00000000">
            <w:pPr>
              <w:pStyle w:val="DualTxt"/>
              <w:spacing w:before="60" w:after="80" w:line="210" w:lineRule="exact"/>
              <w:ind w:right="14"/>
              <w:rPr>
                <w:sz w:val="17"/>
              </w:rPr>
            </w:pPr>
            <w:r>
              <w:rPr>
                <w:sz w:val="17"/>
              </w:rPr>
              <w:t>16754</w:t>
            </w:r>
          </w:p>
        </w:tc>
        <w:tc>
          <w:tcPr>
            <w:tcW w:w="1980" w:type="dxa"/>
            <w:gridSpan w:val="2"/>
          </w:tcPr>
          <w:p w:rsidR="00000000" w:rsidRDefault="00000000">
            <w:pPr>
              <w:pStyle w:val="DualTxt"/>
              <w:spacing w:before="60" w:after="80" w:line="210" w:lineRule="exact"/>
              <w:ind w:right="14"/>
              <w:rPr>
                <w:sz w:val="17"/>
              </w:rPr>
            </w:pPr>
            <w:r>
              <w:rPr>
                <w:sz w:val="17"/>
              </w:rPr>
              <w:t>18192</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2000</w:t>
            </w:r>
          </w:p>
        </w:tc>
        <w:tc>
          <w:tcPr>
            <w:tcW w:w="2250" w:type="dxa"/>
          </w:tcPr>
          <w:p w:rsidR="00000000" w:rsidRDefault="00000000">
            <w:pPr>
              <w:pStyle w:val="DualTxt"/>
              <w:spacing w:before="60" w:after="80" w:line="210" w:lineRule="exact"/>
              <w:ind w:right="14"/>
              <w:rPr>
                <w:sz w:val="17"/>
              </w:rPr>
            </w:pPr>
            <w:r>
              <w:rPr>
                <w:sz w:val="17"/>
              </w:rPr>
              <w:t>31539</w:t>
            </w:r>
          </w:p>
        </w:tc>
        <w:tc>
          <w:tcPr>
            <w:tcW w:w="2070" w:type="dxa"/>
          </w:tcPr>
          <w:p w:rsidR="00000000" w:rsidRDefault="00000000">
            <w:pPr>
              <w:pStyle w:val="DualTxt"/>
              <w:spacing w:before="60" w:after="80" w:line="210" w:lineRule="exact"/>
              <w:ind w:right="14"/>
              <w:rPr>
                <w:sz w:val="17"/>
              </w:rPr>
            </w:pPr>
            <w:r>
              <w:rPr>
                <w:sz w:val="17"/>
              </w:rPr>
              <w:t>15738</w:t>
            </w:r>
          </w:p>
        </w:tc>
        <w:tc>
          <w:tcPr>
            <w:tcW w:w="1980" w:type="dxa"/>
            <w:gridSpan w:val="2"/>
          </w:tcPr>
          <w:p w:rsidR="00000000" w:rsidRDefault="00000000">
            <w:pPr>
              <w:pStyle w:val="DualTxt"/>
              <w:spacing w:before="60" w:after="80" w:line="210" w:lineRule="exact"/>
              <w:ind w:right="14"/>
              <w:rPr>
                <w:sz w:val="17"/>
              </w:rPr>
            </w:pPr>
            <w:r>
              <w:rPr>
                <w:sz w:val="17"/>
              </w:rPr>
              <w:t>15801</w:t>
            </w:r>
          </w:p>
        </w:tc>
      </w:tr>
      <w:tr w:rsidR="00000000">
        <w:tblPrEx>
          <w:tblCellMar>
            <w:top w:w="0" w:type="dxa"/>
            <w:bottom w:w="0" w:type="dxa"/>
          </w:tblCellMar>
        </w:tblPrEx>
        <w:tc>
          <w:tcPr>
            <w:tcW w:w="2250" w:type="dxa"/>
          </w:tcPr>
          <w:p w:rsidR="00000000" w:rsidRDefault="00000000">
            <w:pPr>
              <w:pStyle w:val="DualTxt"/>
              <w:spacing w:before="60" w:after="80" w:line="210" w:lineRule="exact"/>
              <w:ind w:right="14"/>
              <w:rPr>
                <w:sz w:val="17"/>
              </w:rPr>
            </w:pPr>
            <w:r>
              <w:rPr>
                <w:sz w:val="17"/>
              </w:rPr>
              <w:t>2001</w:t>
            </w:r>
          </w:p>
        </w:tc>
        <w:tc>
          <w:tcPr>
            <w:tcW w:w="2250" w:type="dxa"/>
          </w:tcPr>
          <w:p w:rsidR="00000000" w:rsidRDefault="00000000">
            <w:pPr>
              <w:pStyle w:val="DualTxt"/>
              <w:spacing w:before="60" w:after="80" w:line="210" w:lineRule="exact"/>
              <w:ind w:right="14"/>
              <w:rPr>
                <w:sz w:val="17"/>
              </w:rPr>
            </w:pPr>
            <w:r>
              <w:rPr>
                <w:sz w:val="17"/>
              </w:rPr>
              <w:t>32620</w:t>
            </w:r>
          </w:p>
        </w:tc>
        <w:tc>
          <w:tcPr>
            <w:tcW w:w="2070" w:type="dxa"/>
          </w:tcPr>
          <w:p w:rsidR="00000000" w:rsidRDefault="00000000">
            <w:pPr>
              <w:pStyle w:val="DualTxt"/>
              <w:spacing w:before="60" w:after="80" w:line="210" w:lineRule="exact"/>
              <w:ind w:right="14"/>
              <w:rPr>
                <w:sz w:val="17"/>
              </w:rPr>
            </w:pPr>
            <w:r>
              <w:rPr>
                <w:sz w:val="17"/>
              </w:rPr>
              <w:t>15914</w:t>
            </w:r>
          </w:p>
        </w:tc>
        <w:tc>
          <w:tcPr>
            <w:tcW w:w="1980" w:type="dxa"/>
            <w:gridSpan w:val="2"/>
          </w:tcPr>
          <w:p w:rsidR="00000000" w:rsidRDefault="00000000">
            <w:pPr>
              <w:pStyle w:val="DualTxt"/>
              <w:spacing w:before="60" w:after="80" w:line="210" w:lineRule="exact"/>
              <w:ind w:right="14"/>
              <w:rPr>
                <w:sz w:val="17"/>
              </w:rPr>
            </w:pPr>
            <w:r>
              <w:rPr>
                <w:sz w:val="17"/>
              </w:rPr>
              <w:t>16706</w:t>
            </w:r>
          </w:p>
        </w:tc>
      </w:tr>
      <w:tr w:rsidR="00000000">
        <w:tblPrEx>
          <w:tblCellMar>
            <w:top w:w="0" w:type="dxa"/>
            <w:bottom w:w="0" w:type="dxa"/>
          </w:tblCellMar>
        </w:tblPrEx>
        <w:trPr>
          <w:cantSplit/>
        </w:trPr>
        <w:tc>
          <w:tcPr>
            <w:tcW w:w="8550" w:type="dxa"/>
            <w:gridSpan w:val="5"/>
          </w:tcPr>
          <w:p w:rsidR="00000000" w:rsidRDefault="00000000">
            <w:pPr>
              <w:pStyle w:val="DualTxt"/>
              <w:spacing w:before="60" w:after="80" w:line="210" w:lineRule="exact"/>
              <w:ind w:right="14"/>
              <w:jc w:val="left"/>
              <w:rPr>
                <w:sz w:val="17"/>
              </w:rPr>
            </w:pPr>
            <w:r>
              <w:rPr>
                <w:sz w:val="17"/>
              </w:rPr>
              <w:t>Направлено участвовать во временно оплачиваемой общественной р</w:t>
            </w:r>
            <w:r>
              <w:rPr>
                <w:sz w:val="17"/>
              </w:rPr>
              <w:t>а</w:t>
            </w:r>
            <w:r>
              <w:rPr>
                <w:sz w:val="17"/>
              </w:rPr>
              <w:t>боте</w:t>
            </w:r>
          </w:p>
        </w:tc>
      </w:tr>
      <w:tr w:rsidR="00000000">
        <w:tblPrEx>
          <w:tblCellMar>
            <w:top w:w="0" w:type="dxa"/>
            <w:bottom w:w="0" w:type="dxa"/>
          </w:tblCellMar>
        </w:tblPrEx>
        <w:trPr>
          <w:gridAfter w:val="1"/>
        </w:trPr>
        <w:tc>
          <w:tcPr>
            <w:tcW w:w="2250" w:type="dxa"/>
          </w:tcPr>
          <w:p w:rsidR="00000000" w:rsidRDefault="00000000">
            <w:pPr>
              <w:pStyle w:val="DualTxt"/>
              <w:spacing w:before="60" w:after="80" w:line="210" w:lineRule="exact"/>
              <w:ind w:right="14"/>
              <w:jc w:val="left"/>
              <w:rPr>
                <w:sz w:val="17"/>
              </w:rPr>
            </w:pPr>
            <w:r>
              <w:rPr>
                <w:sz w:val="17"/>
              </w:rPr>
              <w:t>Год</w:t>
            </w:r>
          </w:p>
        </w:tc>
        <w:tc>
          <w:tcPr>
            <w:tcW w:w="2250" w:type="dxa"/>
          </w:tcPr>
          <w:p w:rsidR="00000000" w:rsidRDefault="00000000">
            <w:pPr>
              <w:pStyle w:val="DualTxt"/>
              <w:spacing w:before="60" w:after="80" w:line="210" w:lineRule="exact"/>
              <w:ind w:right="14"/>
              <w:jc w:val="left"/>
              <w:rPr>
                <w:sz w:val="17"/>
              </w:rPr>
            </w:pPr>
            <w:r>
              <w:rPr>
                <w:sz w:val="17"/>
              </w:rPr>
              <w:t>Всего</w:t>
            </w:r>
          </w:p>
        </w:tc>
        <w:tc>
          <w:tcPr>
            <w:tcW w:w="2070" w:type="dxa"/>
          </w:tcPr>
          <w:p w:rsidR="00000000" w:rsidRDefault="00000000">
            <w:pPr>
              <w:pStyle w:val="DualTxt"/>
              <w:spacing w:before="60" w:after="80" w:line="210" w:lineRule="exact"/>
              <w:ind w:right="14"/>
              <w:jc w:val="left"/>
              <w:rPr>
                <w:sz w:val="17"/>
              </w:rPr>
            </w:pPr>
            <w:r>
              <w:rPr>
                <w:sz w:val="17"/>
              </w:rPr>
              <w:t>в том числе: же</w:t>
            </w:r>
            <w:r>
              <w:rPr>
                <w:sz w:val="17"/>
              </w:rPr>
              <w:t>н</w:t>
            </w:r>
            <w:r>
              <w:rPr>
                <w:sz w:val="17"/>
              </w:rPr>
              <w:t>щины</w:t>
            </w:r>
          </w:p>
        </w:tc>
        <w:tc>
          <w:tcPr>
            <w:tcW w:w="1979" w:type="dxa"/>
          </w:tcPr>
          <w:p w:rsidR="00000000" w:rsidRDefault="00000000">
            <w:pPr>
              <w:pStyle w:val="DualTxt"/>
              <w:spacing w:before="60" w:after="80" w:line="210" w:lineRule="exact"/>
              <w:ind w:right="14"/>
              <w:jc w:val="left"/>
              <w:rPr>
                <w:sz w:val="17"/>
              </w:rPr>
            </w:pPr>
            <w:r>
              <w:rPr>
                <w:sz w:val="17"/>
              </w:rPr>
              <w:t>в том числе: му</w:t>
            </w:r>
            <w:r>
              <w:rPr>
                <w:sz w:val="17"/>
              </w:rPr>
              <w:t>ж</w:t>
            </w:r>
            <w:r>
              <w:rPr>
                <w:sz w:val="17"/>
              </w:rPr>
              <w:t>чины</w:t>
            </w:r>
          </w:p>
        </w:tc>
      </w:tr>
      <w:tr w:rsidR="00000000">
        <w:tblPrEx>
          <w:tblCellMar>
            <w:top w:w="0" w:type="dxa"/>
            <w:bottom w:w="0" w:type="dxa"/>
          </w:tblCellMar>
        </w:tblPrEx>
        <w:trPr>
          <w:gridAfter w:val="1"/>
        </w:trPr>
        <w:tc>
          <w:tcPr>
            <w:tcW w:w="2250" w:type="dxa"/>
          </w:tcPr>
          <w:p w:rsidR="00000000" w:rsidRDefault="00000000">
            <w:pPr>
              <w:pStyle w:val="DualTxt"/>
              <w:spacing w:before="60" w:after="80" w:line="210" w:lineRule="exact"/>
              <w:ind w:right="14"/>
              <w:rPr>
                <w:sz w:val="17"/>
              </w:rPr>
            </w:pPr>
            <w:r>
              <w:rPr>
                <w:sz w:val="17"/>
              </w:rPr>
              <w:t>1995</w:t>
            </w:r>
          </w:p>
        </w:tc>
        <w:tc>
          <w:tcPr>
            <w:tcW w:w="2250" w:type="dxa"/>
          </w:tcPr>
          <w:p w:rsidR="00000000" w:rsidRDefault="00000000">
            <w:pPr>
              <w:pStyle w:val="DualTxt"/>
              <w:spacing w:before="60" w:after="80" w:line="210" w:lineRule="exact"/>
              <w:ind w:right="14"/>
              <w:rPr>
                <w:sz w:val="17"/>
              </w:rPr>
            </w:pPr>
            <w:r>
              <w:rPr>
                <w:sz w:val="17"/>
              </w:rPr>
              <w:t>14034</w:t>
            </w:r>
          </w:p>
        </w:tc>
        <w:tc>
          <w:tcPr>
            <w:tcW w:w="2070" w:type="dxa"/>
          </w:tcPr>
          <w:p w:rsidR="00000000" w:rsidRDefault="00000000">
            <w:pPr>
              <w:pStyle w:val="DualTxt"/>
              <w:spacing w:before="60" w:after="80" w:line="210" w:lineRule="exact"/>
              <w:ind w:right="14"/>
              <w:rPr>
                <w:sz w:val="17"/>
              </w:rPr>
            </w:pPr>
            <w:r>
              <w:rPr>
                <w:sz w:val="17"/>
              </w:rPr>
              <w:t>5474</w:t>
            </w:r>
          </w:p>
        </w:tc>
        <w:tc>
          <w:tcPr>
            <w:tcW w:w="1979" w:type="dxa"/>
          </w:tcPr>
          <w:p w:rsidR="00000000" w:rsidRDefault="00000000">
            <w:pPr>
              <w:pStyle w:val="DualTxt"/>
              <w:spacing w:before="60" w:after="80" w:line="210" w:lineRule="exact"/>
              <w:ind w:right="14"/>
              <w:rPr>
                <w:sz w:val="17"/>
              </w:rPr>
            </w:pPr>
            <w:r>
              <w:rPr>
                <w:sz w:val="17"/>
              </w:rPr>
              <w:t>8560</w:t>
            </w:r>
          </w:p>
        </w:tc>
      </w:tr>
      <w:tr w:rsidR="00000000">
        <w:tblPrEx>
          <w:tblCellMar>
            <w:top w:w="0" w:type="dxa"/>
            <w:bottom w:w="0" w:type="dxa"/>
          </w:tblCellMar>
        </w:tblPrEx>
        <w:trPr>
          <w:gridAfter w:val="1"/>
        </w:trPr>
        <w:tc>
          <w:tcPr>
            <w:tcW w:w="2250" w:type="dxa"/>
          </w:tcPr>
          <w:p w:rsidR="00000000" w:rsidRDefault="00000000">
            <w:pPr>
              <w:pStyle w:val="DualTxt"/>
              <w:spacing w:before="60" w:after="80" w:line="210" w:lineRule="exact"/>
              <w:ind w:right="14"/>
              <w:rPr>
                <w:sz w:val="17"/>
              </w:rPr>
            </w:pPr>
            <w:r>
              <w:rPr>
                <w:sz w:val="17"/>
              </w:rPr>
              <w:t>1996</w:t>
            </w:r>
          </w:p>
        </w:tc>
        <w:tc>
          <w:tcPr>
            <w:tcW w:w="2250" w:type="dxa"/>
          </w:tcPr>
          <w:p w:rsidR="00000000" w:rsidRDefault="00000000">
            <w:pPr>
              <w:pStyle w:val="DualTxt"/>
              <w:spacing w:before="60" w:after="80" w:line="210" w:lineRule="exact"/>
              <w:ind w:right="14"/>
              <w:rPr>
                <w:sz w:val="17"/>
              </w:rPr>
            </w:pPr>
            <w:r>
              <w:rPr>
                <w:sz w:val="17"/>
              </w:rPr>
              <w:t>10212</w:t>
            </w:r>
          </w:p>
        </w:tc>
        <w:tc>
          <w:tcPr>
            <w:tcW w:w="2070" w:type="dxa"/>
          </w:tcPr>
          <w:p w:rsidR="00000000" w:rsidRDefault="00000000">
            <w:pPr>
              <w:pStyle w:val="DualTxt"/>
              <w:spacing w:before="60" w:after="80" w:line="210" w:lineRule="exact"/>
              <w:ind w:right="14"/>
              <w:rPr>
                <w:sz w:val="17"/>
              </w:rPr>
            </w:pPr>
            <w:r>
              <w:rPr>
                <w:sz w:val="17"/>
              </w:rPr>
              <w:t>4077</w:t>
            </w:r>
          </w:p>
        </w:tc>
        <w:tc>
          <w:tcPr>
            <w:tcW w:w="1979" w:type="dxa"/>
          </w:tcPr>
          <w:p w:rsidR="00000000" w:rsidRDefault="00000000">
            <w:pPr>
              <w:pStyle w:val="DualTxt"/>
              <w:spacing w:before="60" w:after="80" w:line="210" w:lineRule="exact"/>
              <w:ind w:right="14"/>
              <w:rPr>
                <w:sz w:val="17"/>
              </w:rPr>
            </w:pPr>
            <w:r>
              <w:rPr>
                <w:sz w:val="17"/>
              </w:rPr>
              <w:t>6135</w:t>
            </w:r>
          </w:p>
        </w:tc>
      </w:tr>
      <w:tr w:rsidR="00000000">
        <w:tblPrEx>
          <w:tblCellMar>
            <w:top w:w="0" w:type="dxa"/>
            <w:bottom w:w="0" w:type="dxa"/>
          </w:tblCellMar>
        </w:tblPrEx>
        <w:trPr>
          <w:gridAfter w:val="1"/>
        </w:trPr>
        <w:tc>
          <w:tcPr>
            <w:tcW w:w="2250" w:type="dxa"/>
          </w:tcPr>
          <w:p w:rsidR="00000000" w:rsidRDefault="00000000">
            <w:pPr>
              <w:pStyle w:val="DualTxt"/>
              <w:spacing w:before="60" w:after="80" w:line="210" w:lineRule="exact"/>
              <w:ind w:right="14"/>
              <w:rPr>
                <w:sz w:val="17"/>
              </w:rPr>
            </w:pPr>
            <w:r>
              <w:rPr>
                <w:sz w:val="17"/>
              </w:rPr>
              <w:t>1997</w:t>
            </w:r>
          </w:p>
        </w:tc>
        <w:tc>
          <w:tcPr>
            <w:tcW w:w="2250" w:type="dxa"/>
          </w:tcPr>
          <w:p w:rsidR="00000000" w:rsidRDefault="00000000">
            <w:pPr>
              <w:pStyle w:val="DualTxt"/>
              <w:spacing w:before="60" w:after="80" w:line="210" w:lineRule="exact"/>
              <w:ind w:right="14"/>
              <w:rPr>
                <w:sz w:val="17"/>
              </w:rPr>
            </w:pPr>
            <w:r>
              <w:rPr>
                <w:sz w:val="17"/>
              </w:rPr>
              <w:t>8825</w:t>
            </w:r>
          </w:p>
        </w:tc>
        <w:tc>
          <w:tcPr>
            <w:tcW w:w="2070" w:type="dxa"/>
          </w:tcPr>
          <w:p w:rsidR="00000000" w:rsidRDefault="00000000">
            <w:pPr>
              <w:pStyle w:val="DualTxt"/>
              <w:spacing w:before="60" w:after="80" w:line="210" w:lineRule="exact"/>
              <w:ind w:right="14"/>
              <w:rPr>
                <w:sz w:val="17"/>
              </w:rPr>
            </w:pPr>
            <w:r>
              <w:rPr>
                <w:sz w:val="17"/>
              </w:rPr>
              <w:t>3631</w:t>
            </w:r>
          </w:p>
        </w:tc>
        <w:tc>
          <w:tcPr>
            <w:tcW w:w="1979" w:type="dxa"/>
          </w:tcPr>
          <w:p w:rsidR="00000000" w:rsidRDefault="00000000">
            <w:pPr>
              <w:pStyle w:val="DualTxt"/>
              <w:spacing w:before="60" w:after="80" w:line="210" w:lineRule="exact"/>
              <w:ind w:right="14"/>
              <w:rPr>
                <w:sz w:val="17"/>
              </w:rPr>
            </w:pPr>
            <w:r>
              <w:rPr>
                <w:sz w:val="17"/>
              </w:rPr>
              <w:t>5194</w:t>
            </w:r>
          </w:p>
        </w:tc>
      </w:tr>
      <w:tr w:rsidR="00000000">
        <w:tblPrEx>
          <w:tblCellMar>
            <w:top w:w="0" w:type="dxa"/>
            <w:bottom w:w="0" w:type="dxa"/>
          </w:tblCellMar>
        </w:tblPrEx>
        <w:trPr>
          <w:gridAfter w:val="1"/>
        </w:trPr>
        <w:tc>
          <w:tcPr>
            <w:tcW w:w="2250" w:type="dxa"/>
          </w:tcPr>
          <w:p w:rsidR="00000000" w:rsidRDefault="00000000">
            <w:pPr>
              <w:pStyle w:val="DualTxt"/>
              <w:spacing w:before="60" w:after="80" w:line="210" w:lineRule="exact"/>
              <w:ind w:right="14"/>
              <w:rPr>
                <w:sz w:val="17"/>
              </w:rPr>
            </w:pPr>
            <w:r>
              <w:rPr>
                <w:sz w:val="17"/>
              </w:rPr>
              <w:t>1998</w:t>
            </w:r>
          </w:p>
        </w:tc>
        <w:tc>
          <w:tcPr>
            <w:tcW w:w="2250" w:type="dxa"/>
          </w:tcPr>
          <w:p w:rsidR="00000000" w:rsidRDefault="00000000">
            <w:pPr>
              <w:pStyle w:val="DualTxt"/>
              <w:spacing w:before="60" w:after="80" w:line="210" w:lineRule="exact"/>
              <w:ind w:right="14"/>
              <w:rPr>
                <w:sz w:val="17"/>
              </w:rPr>
            </w:pPr>
            <w:r>
              <w:rPr>
                <w:sz w:val="17"/>
              </w:rPr>
              <w:t>12358</w:t>
            </w:r>
          </w:p>
        </w:tc>
        <w:tc>
          <w:tcPr>
            <w:tcW w:w="2070" w:type="dxa"/>
          </w:tcPr>
          <w:p w:rsidR="00000000" w:rsidRDefault="00000000">
            <w:pPr>
              <w:pStyle w:val="DualTxt"/>
              <w:spacing w:before="60" w:after="80" w:line="210" w:lineRule="exact"/>
              <w:ind w:right="14"/>
              <w:rPr>
                <w:sz w:val="17"/>
              </w:rPr>
            </w:pPr>
            <w:r>
              <w:rPr>
                <w:sz w:val="17"/>
              </w:rPr>
              <w:t>5363</w:t>
            </w:r>
          </w:p>
        </w:tc>
        <w:tc>
          <w:tcPr>
            <w:tcW w:w="1979" w:type="dxa"/>
          </w:tcPr>
          <w:p w:rsidR="00000000" w:rsidRDefault="00000000">
            <w:pPr>
              <w:pStyle w:val="DualTxt"/>
              <w:spacing w:before="60" w:after="80" w:line="210" w:lineRule="exact"/>
              <w:ind w:right="14"/>
              <w:rPr>
                <w:sz w:val="17"/>
              </w:rPr>
            </w:pPr>
            <w:r>
              <w:rPr>
                <w:sz w:val="17"/>
              </w:rPr>
              <w:t>6995</w:t>
            </w:r>
          </w:p>
        </w:tc>
      </w:tr>
      <w:tr w:rsidR="00000000">
        <w:tblPrEx>
          <w:tblCellMar>
            <w:top w:w="0" w:type="dxa"/>
            <w:bottom w:w="0" w:type="dxa"/>
          </w:tblCellMar>
        </w:tblPrEx>
        <w:trPr>
          <w:gridAfter w:val="1"/>
        </w:trPr>
        <w:tc>
          <w:tcPr>
            <w:tcW w:w="2250" w:type="dxa"/>
          </w:tcPr>
          <w:p w:rsidR="00000000" w:rsidRDefault="00000000">
            <w:pPr>
              <w:pStyle w:val="DualTxt"/>
              <w:spacing w:before="60" w:after="80" w:line="210" w:lineRule="exact"/>
              <w:ind w:right="14"/>
              <w:rPr>
                <w:sz w:val="17"/>
              </w:rPr>
            </w:pPr>
            <w:r>
              <w:rPr>
                <w:sz w:val="17"/>
              </w:rPr>
              <w:t>1999</w:t>
            </w:r>
          </w:p>
        </w:tc>
        <w:tc>
          <w:tcPr>
            <w:tcW w:w="2250" w:type="dxa"/>
          </w:tcPr>
          <w:p w:rsidR="00000000" w:rsidRDefault="00000000">
            <w:pPr>
              <w:pStyle w:val="DualTxt"/>
              <w:spacing w:before="60" w:after="80" w:line="210" w:lineRule="exact"/>
              <w:ind w:right="14"/>
              <w:rPr>
                <w:sz w:val="17"/>
              </w:rPr>
            </w:pPr>
            <w:r>
              <w:rPr>
                <w:sz w:val="17"/>
              </w:rPr>
              <w:t>11404</w:t>
            </w:r>
          </w:p>
        </w:tc>
        <w:tc>
          <w:tcPr>
            <w:tcW w:w="2070" w:type="dxa"/>
          </w:tcPr>
          <w:p w:rsidR="00000000" w:rsidRDefault="00000000">
            <w:pPr>
              <w:pStyle w:val="DualTxt"/>
              <w:spacing w:before="60" w:after="80" w:line="210" w:lineRule="exact"/>
              <w:ind w:right="14"/>
              <w:rPr>
                <w:sz w:val="17"/>
              </w:rPr>
            </w:pPr>
            <w:r>
              <w:rPr>
                <w:sz w:val="17"/>
              </w:rPr>
              <w:t>4584</w:t>
            </w:r>
          </w:p>
        </w:tc>
        <w:tc>
          <w:tcPr>
            <w:tcW w:w="1979" w:type="dxa"/>
          </w:tcPr>
          <w:p w:rsidR="00000000" w:rsidRDefault="00000000">
            <w:pPr>
              <w:pStyle w:val="DualTxt"/>
              <w:spacing w:before="60" w:after="80" w:line="210" w:lineRule="exact"/>
              <w:ind w:right="14"/>
              <w:rPr>
                <w:sz w:val="17"/>
              </w:rPr>
            </w:pPr>
            <w:r>
              <w:rPr>
                <w:sz w:val="17"/>
              </w:rPr>
              <w:t>6820</w:t>
            </w:r>
          </w:p>
        </w:tc>
      </w:tr>
      <w:tr w:rsidR="00000000">
        <w:tblPrEx>
          <w:tblCellMar>
            <w:top w:w="0" w:type="dxa"/>
            <w:bottom w:w="0" w:type="dxa"/>
          </w:tblCellMar>
        </w:tblPrEx>
        <w:trPr>
          <w:gridAfter w:val="1"/>
        </w:trPr>
        <w:tc>
          <w:tcPr>
            <w:tcW w:w="2250" w:type="dxa"/>
          </w:tcPr>
          <w:p w:rsidR="00000000" w:rsidRDefault="00000000">
            <w:pPr>
              <w:pStyle w:val="DualTxt"/>
              <w:spacing w:before="60" w:after="80" w:line="210" w:lineRule="exact"/>
              <w:ind w:right="14"/>
              <w:rPr>
                <w:sz w:val="17"/>
              </w:rPr>
            </w:pPr>
            <w:r>
              <w:rPr>
                <w:sz w:val="17"/>
              </w:rPr>
              <w:t>2000</w:t>
            </w:r>
          </w:p>
        </w:tc>
        <w:tc>
          <w:tcPr>
            <w:tcW w:w="2250" w:type="dxa"/>
          </w:tcPr>
          <w:p w:rsidR="00000000" w:rsidRDefault="00000000">
            <w:pPr>
              <w:pStyle w:val="DualTxt"/>
              <w:spacing w:before="60" w:after="80" w:line="210" w:lineRule="exact"/>
              <w:ind w:right="14"/>
              <w:rPr>
                <w:sz w:val="17"/>
              </w:rPr>
            </w:pPr>
            <w:r>
              <w:rPr>
                <w:sz w:val="17"/>
              </w:rPr>
              <w:t>9993</w:t>
            </w:r>
          </w:p>
        </w:tc>
        <w:tc>
          <w:tcPr>
            <w:tcW w:w="2070" w:type="dxa"/>
          </w:tcPr>
          <w:p w:rsidR="00000000" w:rsidRDefault="00000000">
            <w:pPr>
              <w:pStyle w:val="DualTxt"/>
              <w:spacing w:before="60" w:after="80" w:line="210" w:lineRule="exact"/>
              <w:ind w:right="14"/>
              <w:rPr>
                <w:sz w:val="17"/>
              </w:rPr>
            </w:pPr>
            <w:r>
              <w:rPr>
                <w:sz w:val="17"/>
              </w:rPr>
              <w:t>4230</w:t>
            </w:r>
          </w:p>
        </w:tc>
        <w:tc>
          <w:tcPr>
            <w:tcW w:w="1979" w:type="dxa"/>
          </w:tcPr>
          <w:p w:rsidR="00000000" w:rsidRDefault="00000000">
            <w:pPr>
              <w:pStyle w:val="DualTxt"/>
              <w:spacing w:before="60" w:after="80" w:line="210" w:lineRule="exact"/>
              <w:ind w:right="14"/>
              <w:rPr>
                <w:sz w:val="17"/>
              </w:rPr>
            </w:pPr>
            <w:r>
              <w:rPr>
                <w:sz w:val="17"/>
              </w:rPr>
              <w:t>5763</w:t>
            </w:r>
          </w:p>
        </w:tc>
      </w:tr>
      <w:tr w:rsidR="00000000">
        <w:tblPrEx>
          <w:tblCellMar>
            <w:top w:w="0" w:type="dxa"/>
            <w:bottom w:w="0" w:type="dxa"/>
          </w:tblCellMar>
        </w:tblPrEx>
        <w:trPr>
          <w:gridAfter w:val="1"/>
        </w:trPr>
        <w:tc>
          <w:tcPr>
            <w:tcW w:w="2250" w:type="dxa"/>
          </w:tcPr>
          <w:p w:rsidR="00000000" w:rsidRDefault="00000000">
            <w:pPr>
              <w:pStyle w:val="DualTxt"/>
              <w:spacing w:before="60" w:after="80" w:line="210" w:lineRule="exact"/>
              <w:ind w:right="14"/>
              <w:rPr>
                <w:sz w:val="17"/>
              </w:rPr>
            </w:pPr>
            <w:r>
              <w:rPr>
                <w:sz w:val="17"/>
              </w:rPr>
              <w:t>2001</w:t>
            </w:r>
          </w:p>
        </w:tc>
        <w:tc>
          <w:tcPr>
            <w:tcW w:w="2250" w:type="dxa"/>
          </w:tcPr>
          <w:p w:rsidR="00000000" w:rsidRDefault="00000000">
            <w:pPr>
              <w:pStyle w:val="DualTxt"/>
              <w:spacing w:before="60" w:after="80" w:line="210" w:lineRule="exact"/>
              <w:ind w:right="14"/>
              <w:rPr>
                <w:sz w:val="17"/>
              </w:rPr>
            </w:pPr>
            <w:r>
              <w:rPr>
                <w:sz w:val="17"/>
              </w:rPr>
              <w:t>15218</w:t>
            </w:r>
          </w:p>
        </w:tc>
        <w:tc>
          <w:tcPr>
            <w:tcW w:w="2070" w:type="dxa"/>
          </w:tcPr>
          <w:p w:rsidR="00000000" w:rsidRDefault="00000000">
            <w:pPr>
              <w:pStyle w:val="DualTxt"/>
              <w:spacing w:before="60" w:after="80" w:line="210" w:lineRule="exact"/>
              <w:ind w:right="14"/>
              <w:rPr>
                <w:sz w:val="17"/>
              </w:rPr>
            </w:pPr>
            <w:r>
              <w:rPr>
                <w:sz w:val="17"/>
              </w:rPr>
              <w:t>6691</w:t>
            </w:r>
          </w:p>
        </w:tc>
        <w:tc>
          <w:tcPr>
            <w:tcW w:w="1979" w:type="dxa"/>
          </w:tcPr>
          <w:p w:rsidR="00000000" w:rsidRDefault="00000000">
            <w:pPr>
              <w:pStyle w:val="DualTxt"/>
              <w:spacing w:before="60" w:after="80" w:line="210" w:lineRule="exact"/>
              <w:ind w:right="14"/>
              <w:rPr>
                <w:sz w:val="17"/>
              </w:rPr>
            </w:pPr>
            <w:r>
              <w:rPr>
                <w:sz w:val="17"/>
              </w:rPr>
              <w:t>8527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189.</w:t>
      </w:r>
      <w:r>
        <w:tab/>
        <w:t>Кроме того, число мужчин и женщин в общем количестве ищущих работу, которые нашли рабочие места при содействии Государственной службы зан</w:t>
      </w:r>
      <w:r>
        <w:t>я</w:t>
      </w:r>
      <w:r>
        <w:t>тости, примерно одинаково (см. табл</w:t>
      </w:r>
      <w:r>
        <w:t>и</w:t>
      </w:r>
      <w:r>
        <w:t>цу).</w:t>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41"/>
        <w:gridCol w:w="9"/>
        <w:gridCol w:w="2250"/>
        <w:gridCol w:w="2052"/>
        <w:gridCol w:w="9"/>
        <w:gridCol w:w="1971"/>
      </w:tblGrid>
      <w:tr w:rsidR="00000000">
        <w:tblPrEx>
          <w:tblCellMar>
            <w:top w:w="0" w:type="dxa"/>
            <w:bottom w:w="0" w:type="dxa"/>
          </w:tblCellMar>
        </w:tblPrEx>
        <w:trPr>
          <w:cantSplit/>
        </w:trPr>
        <w:tc>
          <w:tcPr>
            <w:tcW w:w="8532" w:type="dxa"/>
            <w:gridSpan w:val="6"/>
          </w:tcPr>
          <w:p w:rsidR="00000000" w:rsidRDefault="00000000">
            <w:pPr>
              <w:pStyle w:val="DualTxt"/>
              <w:spacing w:before="60" w:after="80" w:line="210" w:lineRule="exact"/>
              <w:ind w:right="14"/>
              <w:jc w:val="left"/>
              <w:rPr>
                <w:sz w:val="17"/>
              </w:rPr>
            </w:pPr>
            <w:r>
              <w:rPr>
                <w:sz w:val="17"/>
              </w:rPr>
              <w:t>Нашли работу (при содействии Государственной службы занятости)</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Год</w:t>
            </w:r>
          </w:p>
        </w:tc>
        <w:tc>
          <w:tcPr>
            <w:tcW w:w="2259" w:type="dxa"/>
            <w:gridSpan w:val="2"/>
          </w:tcPr>
          <w:p w:rsidR="00000000" w:rsidRDefault="00000000">
            <w:pPr>
              <w:pStyle w:val="DualTxt"/>
              <w:spacing w:before="60" w:after="80" w:line="210" w:lineRule="exact"/>
              <w:ind w:right="14"/>
              <w:rPr>
                <w:sz w:val="17"/>
              </w:rPr>
            </w:pPr>
            <w:r>
              <w:rPr>
                <w:sz w:val="17"/>
              </w:rPr>
              <w:t>Всего</w:t>
            </w:r>
          </w:p>
        </w:tc>
        <w:tc>
          <w:tcPr>
            <w:tcW w:w="2061" w:type="dxa"/>
            <w:gridSpan w:val="2"/>
          </w:tcPr>
          <w:p w:rsidR="00000000" w:rsidRDefault="00000000">
            <w:pPr>
              <w:pStyle w:val="DualTxt"/>
              <w:spacing w:before="60" w:after="80" w:line="210" w:lineRule="exact"/>
              <w:ind w:right="14"/>
              <w:rPr>
                <w:sz w:val="17"/>
              </w:rPr>
            </w:pPr>
            <w:r>
              <w:rPr>
                <w:sz w:val="17"/>
              </w:rPr>
              <w:t>в том числе: же</w:t>
            </w:r>
            <w:r>
              <w:rPr>
                <w:sz w:val="17"/>
              </w:rPr>
              <w:t>н</w:t>
            </w:r>
            <w:r>
              <w:rPr>
                <w:sz w:val="17"/>
              </w:rPr>
              <w:t>щины</w:t>
            </w:r>
          </w:p>
        </w:tc>
        <w:tc>
          <w:tcPr>
            <w:tcW w:w="1971" w:type="dxa"/>
          </w:tcPr>
          <w:p w:rsidR="00000000" w:rsidRDefault="00000000">
            <w:pPr>
              <w:pStyle w:val="DualTxt"/>
              <w:spacing w:before="60" w:after="80" w:line="210" w:lineRule="exact"/>
              <w:ind w:right="14"/>
              <w:rPr>
                <w:sz w:val="17"/>
              </w:rPr>
            </w:pPr>
            <w:r>
              <w:rPr>
                <w:sz w:val="17"/>
              </w:rPr>
              <w:t>в том числе: мужч</w:t>
            </w:r>
            <w:r>
              <w:rPr>
                <w:sz w:val="17"/>
              </w:rPr>
              <w:t>и</w:t>
            </w:r>
            <w:r>
              <w:rPr>
                <w:sz w:val="17"/>
              </w:rPr>
              <w:t>ны</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1995</w:t>
            </w:r>
          </w:p>
        </w:tc>
        <w:tc>
          <w:tcPr>
            <w:tcW w:w="2259" w:type="dxa"/>
            <w:gridSpan w:val="2"/>
          </w:tcPr>
          <w:p w:rsidR="00000000" w:rsidRDefault="00000000">
            <w:pPr>
              <w:pStyle w:val="DualTxt"/>
              <w:spacing w:before="60" w:after="80" w:line="210" w:lineRule="exact"/>
              <w:ind w:right="14"/>
              <w:rPr>
                <w:sz w:val="17"/>
              </w:rPr>
            </w:pPr>
            <w:r>
              <w:rPr>
                <w:sz w:val="17"/>
              </w:rPr>
              <w:t>19272</w:t>
            </w:r>
          </w:p>
        </w:tc>
        <w:tc>
          <w:tcPr>
            <w:tcW w:w="2061" w:type="dxa"/>
            <w:gridSpan w:val="2"/>
          </w:tcPr>
          <w:p w:rsidR="00000000" w:rsidRDefault="00000000">
            <w:pPr>
              <w:pStyle w:val="DualTxt"/>
              <w:spacing w:before="60" w:after="80" w:line="210" w:lineRule="exact"/>
              <w:ind w:right="14"/>
              <w:rPr>
                <w:sz w:val="17"/>
              </w:rPr>
            </w:pPr>
            <w:r>
              <w:rPr>
                <w:sz w:val="17"/>
              </w:rPr>
              <w:t>9599</w:t>
            </w:r>
          </w:p>
        </w:tc>
        <w:tc>
          <w:tcPr>
            <w:tcW w:w="1971" w:type="dxa"/>
          </w:tcPr>
          <w:p w:rsidR="00000000" w:rsidRDefault="00000000">
            <w:pPr>
              <w:pStyle w:val="DualTxt"/>
              <w:spacing w:before="60" w:after="80" w:line="210" w:lineRule="exact"/>
              <w:ind w:right="14"/>
              <w:rPr>
                <w:sz w:val="17"/>
              </w:rPr>
            </w:pPr>
            <w:r>
              <w:rPr>
                <w:sz w:val="17"/>
              </w:rPr>
              <w:t>9673</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1996</w:t>
            </w:r>
          </w:p>
        </w:tc>
        <w:tc>
          <w:tcPr>
            <w:tcW w:w="2259" w:type="dxa"/>
            <w:gridSpan w:val="2"/>
          </w:tcPr>
          <w:p w:rsidR="00000000" w:rsidRDefault="00000000">
            <w:pPr>
              <w:pStyle w:val="DualTxt"/>
              <w:spacing w:before="60" w:after="80" w:line="210" w:lineRule="exact"/>
              <w:ind w:right="14"/>
              <w:rPr>
                <w:sz w:val="17"/>
              </w:rPr>
            </w:pPr>
            <w:r>
              <w:rPr>
                <w:sz w:val="17"/>
              </w:rPr>
              <w:t>15323</w:t>
            </w:r>
          </w:p>
        </w:tc>
        <w:tc>
          <w:tcPr>
            <w:tcW w:w="2061" w:type="dxa"/>
            <w:gridSpan w:val="2"/>
          </w:tcPr>
          <w:p w:rsidR="00000000" w:rsidRDefault="00000000">
            <w:pPr>
              <w:pStyle w:val="DualTxt"/>
              <w:spacing w:before="60" w:after="80" w:line="210" w:lineRule="exact"/>
              <w:ind w:right="14"/>
              <w:rPr>
                <w:sz w:val="17"/>
              </w:rPr>
            </w:pPr>
            <w:r>
              <w:rPr>
                <w:sz w:val="17"/>
              </w:rPr>
              <w:t>7858</w:t>
            </w:r>
          </w:p>
        </w:tc>
        <w:tc>
          <w:tcPr>
            <w:tcW w:w="1971" w:type="dxa"/>
          </w:tcPr>
          <w:p w:rsidR="00000000" w:rsidRDefault="00000000">
            <w:pPr>
              <w:pStyle w:val="DualTxt"/>
              <w:spacing w:before="60" w:after="80" w:line="210" w:lineRule="exact"/>
              <w:ind w:right="14"/>
              <w:rPr>
                <w:sz w:val="17"/>
              </w:rPr>
            </w:pPr>
            <w:r>
              <w:rPr>
                <w:sz w:val="17"/>
              </w:rPr>
              <w:t>7465</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1997</w:t>
            </w:r>
          </w:p>
        </w:tc>
        <w:tc>
          <w:tcPr>
            <w:tcW w:w="2259" w:type="dxa"/>
            <w:gridSpan w:val="2"/>
          </w:tcPr>
          <w:p w:rsidR="00000000" w:rsidRDefault="00000000">
            <w:pPr>
              <w:pStyle w:val="DualTxt"/>
              <w:spacing w:before="60" w:after="80" w:line="210" w:lineRule="exact"/>
              <w:ind w:right="14"/>
              <w:rPr>
                <w:sz w:val="17"/>
              </w:rPr>
            </w:pPr>
            <w:r>
              <w:rPr>
                <w:sz w:val="17"/>
              </w:rPr>
              <w:t>30327</w:t>
            </w:r>
          </w:p>
        </w:tc>
        <w:tc>
          <w:tcPr>
            <w:tcW w:w="2061" w:type="dxa"/>
            <w:gridSpan w:val="2"/>
          </w:tcPr>
          <w:p w:rsidR="00000000" w:rsidRDefault="00000000">
            <w:pPr>
              <w:pStyle w:val="DualTxt"/>
              <w:spacing w:before="60" w:after="80" w:line="210" w:lineRule="exact"/>
              <w:ind w:right="14"/>
              <w:rPr>
                <w:sz w:val="17"/>
              </w:rPr>
            </w:pPr>
            <w:r>
              <w:rPr>
                <w:sz w:val="17"/>
              </w:rPr>
              <w:t>16546</w:t>
            </w:r>
          </w:p>
        </w:tc>
        <w:tc>
          <w:tcPr>
            <w:tcW w:w="1971" w:type="dxa"/>
          </w:tcPr>
          <w:p w:rsidR="00000000" w:rsidRDefault="00000000">
            <w:pPr>
              <w:pStyle w:val="DualTxt"/>
              <w:spacing w:before="60" w:after="80" w:line="210" w:lineRule="exact"/>
              <w:ind w:right="14"/>
              <w:rPr>
                <w:sz w:val="17"/>
              </w:rPr>
            </w:pPr>
            <w:r>
              <w:rPr>
                <w:sz w:val="17"/>
              </w:rPr>
              <w:t>13781</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1998</w:t>
            </w:r>
          </w:p>
        </w:tc>
        <w:tc>
          <w:tcPr>
            <w:tcW w:w="2259" w:type="dxa"/>
            <w:gridSpan w:val="2"/>
          </w:tcPr>
          <w:p w:rsidR="00000000" w:rsidRDefault="00000000">
            <w:pPr>
              <w:pStyle w:val="DualTxt"/>
              <w:spacing w:before="60" w:after="80" w:line="210" w:lineRule="exact"/>
              <w:ind w:right="14"/>
              <w:rPr>
                <w:sz w:val="17"/>
              </w:rPr>
            </w:pPr>
            <w:r>
              <w:rPr>
                <w:sz w:val="17"/>
              </w:rPr>
              <w:t>13195</w:t>
            </w:r>
          </w:p>
        </w:tc>
        <w:tc>
          <w:tcPr>
            <w:tcW w:w="2061" w:type="dxa"/>
            <w:gridSpan w:val="2"/>
          </w:tcPr>
          <w:p w:rsidR="00000000" w:rsidRDefault="00000000">
            <w:pPr>
              <w:pStyle w:val="DualTxt"/>
              <w:spacing w:before="60" w:after="80" w:line="210" w:lineRule="exact"/>
              <w:ind w:right="14"/>
              <w:rPr>
                <w:sz w:val="17"/>
              </w:rPr>
            </w:pPr>
            <w:r>
              <w:rPr>
                <w:sz w:val="17"/>
              </w:rPr>
              <w:t>7184</w:t>
            </w:r>
          </w:p>
        </w:tc>
        <w:tc>
          <w:tcPr>
            <w:tcW w:w="1971" w:type="dxa"/>
          </w:tcPr>
          <w:p w:rsidR="00000000" w:rsidRDefault="00000000">
            <w:pPr>
              <w:pStyle w:val="DualTxt"/>
              <w:spacing w:before="60" w:after="80" w:line="210" w:lineRule="exact"/>
              <w:ind w:right="14"/>
              <w:rPr>
                <w:sz w:val="17"/>
              </w:rPr>
            </w:pPr>
            <w:r>
              <w:rPr>
                <w:sz w:val="17"/>
              </w:rPr>
              <w:t>6011</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1999</w:t>
            </w:r>
          </w:p>
        </w:tc>
        <w:tc>
          <w:tcPr>
            <w:tcW w:w="2259" w:type="dxa"/>
            <w:gridSpan w:val="2"/>
          </w:tcPr>
          <w:p w:rsidR="00000000" w:rsidRDefault="00000000">
            <w:pPr>
              <w:pStyle w:val="DualTxt"/>
              <w:spacing w:before="60" w:after="80" w:line="210" w:lineRule="exact"/>
              <w:ind w:right="14"/>
              <w:rPr>
                <w:sz w:val="17"/>
              </w:rPr>
            </w:pPr>
            <w:r>
              <w:rPr>
                <w:sz w:val="17"/>
              </w:rPr>
              <w:t>41384</w:t>
            </w:r>
          </w:p>
        </w:tc>
        <w:tc>
          <w:tcPr>
            <w:tcW w:w="2061" w:type="dxa"/>
            <w:gridSpan w:val="2"/>
          </w:tcPr>
          <w:p w:rsidR="00000000" w:rsidRDefault="00000000">
            <w:pPr>
              <w:pStyle w:val="DualTxt"/>
              <w:spacing w:before="60" w:after="80" w:line="210" w:lineRule="exact"/>
              <w:ind w:right="14"/>
              <w:rPr>
                <w:sz w:val="17"/>
              </w:rPr>
            </w:pPr>
            <w:r>
              <w:rPr>
                <w:sz w:val="17"/>
              </w:rPr>
              <w:t>23013</w:t>
            </w:r>
          </w:p>
        </w:tc>
        <w:tc>
          <w:tcPr>
            <w:tcW w:w="1971" w:type="dxa"/>
          </w:tcPr>
          <w:p w:rsidR="00000000" w:rsidRDefault="00000000">
            <w:pPr>
              <w:pStyle w:val="DualTxt"/>
              <w:spacing w:before="60" w:after="80" w:line="210" w:lineRule="exact"/>
              <w:ind w:right="14"/>
              <w:rPr>
                <w:sz w:val="17"/>
              </w:rPr>
            </w:pPr>
            <w:r>
              <w:rPr>
                <w:sz w:val="17"/>
              </w:rPr>
              <w:t>18371</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2000</w:t>
            </w:r>
          </w:p>
        </w:tc>
        <w:tc>
          <w:tcPr>
            <w:tcW w:w="2259" w:type="dxa"/>
            <w:gridSpan w:val="2"/>
          </w:tcPr>
          <w:p w:rsidR="00000000" w:rsidRDefault="00000000">
            <w:pPr>
              <w:pStyle w:val="DualTxt"/>
              <w:spacing w:before="60" w:after="80" w:line="210" w:lineRule="exact"/>
              <w:ind w:right="14"/>
              <w:rPr>
                <w:sz w:val="17"/>
              </w:rPr>
            </w:pPr>
            <w:r>
              <w:rPr>
                <w:sz w:val="17"/>
              </w:rPr>
              <w:t>43656</w:t>
            </w:r>
          </w:p>
        </w:tc>
        <w:tc>
          <w:tcPr>
            <w:tcW w:w="2061" w:type="dxa"/>
            <w:gridSpan w:val="2"/>
          </w:tcPr>
          <w:p w:rsidR="00000000" w:rsidRDefault="00000000">
            <w:pPr>
              <w:pStyle w:val="DualTxt"/>
              <w:spacing w:before="60" w:after="80" w:line="210" w:lineRule="exact"/>
              <w:ind w:right="14"/>
              <w:rPr>
                <w:sz w:val="17"/>
              </w:rPr>
            </w:pPr>
            <w:r>
              <w:rPr>
                <w:sz w:val="17"/>
              </w:rPr>
              <w:t>24784</w:t>
            </w:r>
          </w:p>
        </w:tc>
        <w:tc>
          <w:tcPr>
            <w:tcW w:w="1971" w:type="dxa"/>
          </w:tcPr>
          <w:p w:rsidR="00000000" w:rsidRDefault="00000000">
            <w:pPr>
              <w:pStyle w:val="DualTxt"/>
              <w:spacing w:before="60" w:after="80" w:line="210" w:lineRule="exact"/>
              <w:ind w:right="14"/>
              <w:rPr>
                <w:sz w:val="17"/>
              </w:rPr>
            </w:pPr>
            <w:r>
              <w:rPr>
                <w:sz w:val="17"/>
              </w:rPr>
              <w:t>18872</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2001</w:t>
            </w:r>
          </w:p>
        </w:tc>
        <w:tc>
          <w:tcPr>
            <w:tcW w:w="2259" w:type="dxa"/>
            <w:gridSpan w:val="2"/>
          </w:tcPr>
          <w:p w:rsidR="00000000" w:rsidRDefault="00000000">
            <w:pPr>
              <w:pStyle w:val="DualTxt"/>
              <w:spacing w:before="60" w:after="80" w:line="210" w:lineRule="exact"/>
              <w:ind w:right="14"/>
              <w:rPr>
                <w:sz w:val="17"/>
              </w:rPr>
            </w:pPr>
            <w:r>
              <w:rPr>
                <w:sz w:val="17"/>
              </w:rPr>
              <w:t>39906</w:t>
            </w:r>
          </w:p>
        </w:tc>
        <w:tc>
          <w:tcPr>
            <w:tcW w:w="2061" w:type="dxa"/>
            <w:gridSpan w:val="2"/>
          </w:tcPr>
          <w:p w:rsidR="00000000" w:rsidRDefault="00000000">
            <w:pPr>
              <w:pStyle w:val="DualTxt"/>
              <w:spacing w:before="60" w:after="80" w:line="210" w:lineRule="exact"/>
              <w:ind w:right="14"/>
              <w:rPr>
                <w:sz w:val="17"/>
              </w:rPr>
            </w:pPr>
            <w:r>
              <w:rPr>
                <w:sz w:val="17"/>
              </w:rPr>
              <w:t>23013</w:t>
            </w:r>
          </w:p>
        </w:tc>
        <w:tc>
          <w:tcPr>
            <w:tcW w:w="1971" w:type="dxa"/>
          </w:tcPr>
          <w:p w:rsidR="00000000" w:rsidRDefault="00000000">
            <w:pPr>
              <w:pStyle w:val="DualTxt"/>
              <w:spacing w:before="60" w:after="80" w:line="210" w:lineRule="exact"/>
              <w:ind w:right="14"/>
              <w:rPr>
                <w:sz w:val="17"/>
              </w:rPr>
            </w:pPr>
            <w:r>
              <w:rPr>
                <w:sz w:val="17"/>
              </w:rPr>
              <w:t>16893</w:t>
            </w:r>
          </w:p>
        </w:tc>
      </w:tr>
      <w:tr w:rsidR="00000000">
        <w:tblPrEx>
          <w:tblCellMar>
            <w:top w:w="0" w:type="dxa"/>
            <w:bottom w:w="0" w:type="dxa"/>
          </w:tblCellMar>
        </w:tblPrEx>
        <w:trPr>
          <w:cantSplit/>
        </w:trPr>
        <w:tc>
          <w:tcPr>
            <w:tcW w:w="8532" w:type="dxa"/>
            <w:gridSpan w:val="6"/>
          </w:tcPr>
          <w:p w:rsidR="00000000" w:rsidRDefault="00000000">
            <w:pPr>
              <w:pStyle w:val="DualTxt"/>
              <w:pageBreakBefore/>
              <w:spacing w:before="60" w:after="80" w:line="210" w:lineRule="exact"/>
              <w:ind w:right="14"/>
              <w:jc w:val="left"/>
              <w:rPr>
                <w:sz w:val="17"/>
              </w:rPr>
            </w:pPr>
            <w:r>
              <w:rPr>
                <w:sz w:val="17"/>
              </w:rPr>
              <w:t>В том числе рабочие места, найденные для безр</w:t>
            </w:r>
            <w:r>
              <w:rPr>
                <w:sz w:val="17"/>
              </w:rPr>
              <w:t>а</w:t>
            </w:r>
            <w:r>
              <w:rPr>
                <w:sz w:val="17"/>
              </w:rPr>
              <w:t>ботных</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Год</w:t>
            </w:r>
          </w:p>
        </w:tc>
        <w:tc>
          <w:tcPr>
            <w:tcW w:w="2259" w:type="dxa"/>
            <w:gridSpan w:val="2"/>
          </w:tcPr>
          <w:p w:rsidR="00000000" w:rsidRDefault="00000000">
            <w:pPr>
              <w:pStyle w:val="DualTxt"/>
              <w:spacing w:before="60" w:after="80" w:line="210" w:lineRule="exact"/>
              <w:ind w:right="14"/>
              <w:rPr>
                <w:sz w:val="17"/>
              </w:rPr>
            </w:pPr>
            <w:r>
              <w:rPr>
                <w:sz w:val="17"/>
              </w:rPr>
              <w:t>Всего</w:t>
            </w:r>
          </w:p>
        </w:tc>
        <w:tc>
          <w:tcPr>
            <w:tcW w:w="2052" w:type="dxa"/>
          </w:tcPr>
          <w:p w:rsidR="00000000" w:rsidRDefault="00000000">
            <w:pPr>
              <w:pStyle w:val="DualTxt"/>
              <w:spacing w:before="60" w:after="80" w:line="210" w:lineRule="exact"/>
              <w:ind w:right="14"/>
              <w:rPr>
                <w:sz w:val="17"/>
              </w:rPr>
            </w:pPr>
            <w:r>
              <w:rPr>
                <w:sz w:val="17"/>
              </w:rPr>
              <w:t>в том числе: же</w:t>
            </w:r>
            <w:r>
              <w:rPr>
                <w:sz w:val="17"/>
              </w:rPr>
              <w:t>н</w:t>
            </w:r>
            <w:r>
              <w:rPr>
                <w:sz w:val="17"/>
              </w:rPr>
              <w:t>щины</w:t>
            </w:r>
          </w:p>
        </w:tc>
        <w:tc>
          <w:tcPr>
            <w:tcW w:w="1980" w:type="dxa"/>
            <w:gridSpan w:val="2"/>
          </w:tcPr>
          <w:p w:rsidR="00000000" w:rsidRDefault="00000000">
            <w:pPr>
              <w:pStyle w:val="DualTxt"/>
              <w:spacing w:before="60" w:after="80" w:line="210" w:lineRule="exact"/>
              <w:ind w:right="14"/>
              <w:rPr>
                <w:sz w:val="17"/>
              </w:rPr>
            </w:pPr>
            <w:r>
              <w:rPr>
                <w:sz w:val="17"/>
              </w:rPr>
              <w:t>в том числе: му</w:t>
            </w:r>
            <w:r>
              <w:rPr>
                <w:sz w:val="17"/>
              </w:rPr>
              <w:t>ж</w:t>
            </w:r>
            <w:r>
              <w:rPr>
                <w:sz w:val="17"/>
              </w:rPr>
              <w:t>чины</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1995</w:t>
            </w:r>
          </w:p>
        </w:tc>
        <w:tc>
          <w:tcPr>
            <w:tcW w:w="2259" w:type="dxa"/>
            <w:gridSpan w:val="2"/>
          </w:tcPr>
          <w:p w:rsidR="00000000" w:rsidRDefault="00000000">
            <w:pPr>
              <w:pStyle w:val="DualTxt"/>
              <w:spacing w:before="60" w:after="80" w:line="210" w:lineRule="exact"/>
              <w:ind w:right="14"/>
              <w:rPr>
                <w:sz w:val="17"/>
              </w:rPr>
            </w:pPr>
            <w:r>
              <w:rPr>
                <w:sz w:val="17"/>
              </w:rPr>
              <w:t>17616</w:t>
            </w:r>
          </w:p>
        </w:tc>
        <w:tc>
          <w:tcPr>
            <w:tcW w:w="2052" w:type="dxa"/>
          </w:tcPr>
          <w:p w:rsidR="00000000" w:rsidRDefault="00000000">
            <w:pPr>
              <w:pStyle w:val="DualTxt"/>
              <w:spacing w:before="60" w:after="80" w:line="210" w:lineRule="exact"/>
              <w:ind w:right="14"/>
              <w:rPr>
                <w:sz w:val="17"/>
              </w:rPr>
            </w:pPr>
            <w:r>
              <w:rPr>
                <w:sz w:val="17"/>
              </w:rPr>
              <w:t>8985</w:t>
            </w:r>
          </w:p>
        </w:tc>
        <w:tc>
          <w:tcPr>
            <w:tcW w:w="1980" w:type="dxa"/>
            <w:gridSpan w:val="2"/>
          </w:tcPr>
          <w:p w:rsidR="00000000" w:rsidRDefault="00000000">
            <w:pPr>
              <w:pStyle w:val="DualTxt"/>
              <w:spacing w:before="60" w:after="80" w:line="210" w:lineRule="exact"/>
              <w:ind w:right="14"/>
              <w:rPr>
                <w:sz w:val="17"/>
              </w:rPr>
            </w:pPr>
            <w:r>
              <w:rPr>
                <w:sz w:val="17"/>
              </w:rPr>
              <w:t>8631</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1996</w:t>
            </w:r>
          </w:p>
        </w:tc>
        <w:tc>
          <w:tcPr>
            <w:tcW w:w="2259" w:type="dxa"/>
            <w:gridSpan w:val="2"/>
          </w:tcPr>
          <w:p w:rsidR="00000000" w:rsidRDefault="00000000">
            <w:pPr>
              <w:pStyle w:val="DualTxt"/>
              <w:spacing w:before="60" w:after="80" w:line="210" w:lineRule="exact"/>
              <w:ind w:right="14"/>
              <w:rPr>
                <w:sz w:val="17"/>
              </w:rPr>
            </w:pPr>
            <w:r>
              <w:rPr>
                <w:sz w:val="17"/>
              </w:rPr>
              <w:t>14068</w:t>
            </w:r>
          </w:p>
        </w:tc>
        <w:tc>
          <w:tcPr>
            <w:tcW w:w="2052" w:type="dxa"/>
          </w:tcPr>
          <w:p w:rsidR="00000000" w:rsidRDefault="00000000">
            <w:pPr>
              <w:pStyle w:val="DualTxt"/>
              <w:spacing w:before="60" w:after="80" w:line="210" w:lineRule="exact"/>
              <w:ind w:right="14"/>
              <w:rPr>
                <w:sz w:val="17"/>
              </w:rPr>
            </w:pPr>
            <w:r>
              <w:rPr>
                <w:sz w:val="17"/>
              </w:rPr>
              <w:t>7328</w:t>
            </w:r>
          </w:p>
        </w:tc>
        <w:tc>
          <w:tcPr>
            <w:tcW w:w="1980" w:type="dxa"/>
            <w:gridSpan w:val="2"/>
          </w:tcPr>
          <w:p w:rsidR="00000000" w:rsidRDefault="00000000">
            <w:pPr>
              <w:pStyle w:val="DualTxt"/>
              <w:spacing w:before="60" w:after="80" w:line="210" w:lineRule="exact"/>
              <w:ind w:right="14"/>
              <w:rPr>
                <w:sz w:val="17"/>
              </w:rPr>
            </w:pPr>
            <w:r>
              <w:rPr>
                <w:sz w:val="17"/>
              </w:rPr>
              <w:t>6740</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1997</w:t>
            </w:r>
          </w:p>
        </w:tc>
        <w:tc>
          <w:tcPr>
            <w:tcW w:w="2259" w:type="dxa"/>
            <w:gridSpan w:val="2"/>
          </w:tcPr>
          <w:p w:rsidR="00000000" w:rsidRDefault="00000000">
            <w:pPr>
              <w:pStyle w:val="DualTxt"/>
              <w:spacing w:before="60" w:after="80" w:line="210" w:lineRule="exact"/>
              <w:ind w:right="14"/>
              <w:rPr>
                <w:sz w:val="17"/>
              </w:rPr>
            </w:pPr>
            <w:r>
              <w:rPr>
                <w:sz w:val="17"/>
              </w:rPr>
              <w:t>29350</w:t>
            </w:r>
          </w:p>
        </w:tc>
        <w:tc>
          <w:tcPr>
            <w:tcW w:w="2052" w:type="dxa"/>
          </w:tcPr>
          <w:p w:rsidR="00000000" w:rsidRDefault="00000000">
            <w:pPr>
              <w:pStyle w:val="DualTxt"/>
              <w:spacing w:before="60" w:after="80" w:line="210" w:lineRule="exact"/>
              <w:ind w:right="14"/>
              <w:rPr>
                <w:sz w:val="17"/>
              </w:rPr>
            </w:pPr>
            <w:r>
              <w:rPr>
                <w:sz w:val="17"/>
              </w:rPr>
              <w:t>16106</w:t>
            </w:r>
          </w:p>
        </w:tc>
        <w:tc>
          <w:tcPr>
            <w:tcW w:w="1980" w:type="dxa"/>
            <w:gridSpan w:val="2"/>
          </w:tcPr>
          <w:p w:rsidR="00000000" w:rsidRDefault="00000000">
            <w:pPr>
              <w:pStyle w:val="DualTxt"/>
              <w:spacing w:before="60" w:after="80" w:line="210" w:lineRule="exact"/>
              <w:ind w:right="14"/>
              <w:rPr>
                <w:sz w:val="17"/>
              </w:rPr>
            </w:pPr>
            <w:r>
              <w:rPr>
                <w:sz w:val="17"/>
              </w:rPr>
              <w:t>13244</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1998</w:t>
            </w:r>
          </w:p>
        </w:tc>
        <w:tc>
          <w:tcPr>
            <w:tcW w:w="2259" w:type="dxa"/>
            <w:gridSpan w:val="2"/>
          </w:tcPr>
          <w:p w:rsidR="00000000" w:rsidRDefault="00000000">
            <w:pPr>
              <w:pStyle w:val="DualTxt"/>
              <w:spacing w:before="60" w:after="80" w:line="210" w:lineRule="exact"/>
              <w:ind w:right="14"/>
              <w:rPr>
                <w:sz w:val="17"/>
              </w:rPr>
            </w:pPr>
            <w:r>
              <w:rPr>
                <w:sz w:val="17"/>
              </w:rPr>
              <w:t>31239</w:t>
            </w:r>
          </w:p>
        </w:tc>
        <w:tc>
          <w:tcPr>
            <w:tcW w:w="2052" w:type="dxa"/>
          </w:tcPr>
          <w:p w:rsidR="00000000" w:rsidRDefault="00000000">
            <w:pPr>
              <w:pStyle w:val="DualTxt"/>
              <w:spacing w:before="60" w:after="80" w:line="210" w:lineRule="exact"/>
              <w:ind w:right="14"/>
              <w:rPr>
                <w:sz w:val="17"/>
              </w:rPr>
            </w:pPr>
            <w:r>
              <w:rPr>
                <w:sz w:val="17"/>
              </w:rPr>
              <w:t>17491</w:t>
            </w:r>
          </w:p>
        </w:tc>
        <w:tc>
          <w:tcPr>
            <w:tcW w:w="1980" w:type="dxa"/>
            <w:gridSpan w:val="2"/>
          </w:tcPr>
          <w:p w:rsidR="00000000" w:rsidRDefault="00000000">
            <w:pPr>
              <w:pStyle w:val="DualTxt"/>
              <w:spacing w:before="60" w:after="80" w:line="210" w:lineRule="exact"/>
              <w:ind w:right="14"/>
              <w:rPr>
                <w:sz w:val="17"/>
              </w:rPr>
            </w:pPr>
            <w:r>
              <w:rPr>
                <w:sz w:val="17"/>
              </w:rPr>
              <w:t>13748</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1999</w:t>
            </w:r>
          </w:p>
        </w:tc>
        <w:tc>
          <w:tcPr>
            <w:tcW w:w="2259" w:type="dxa"/>
            <w:gridSpan w:val="2"/>
          </w:tcPr>
          <w:p w:rsidR="00000000" w:rsidRDefault="00000000">
            <w:pPr>
              <w:pStyle w:val="DualTxt"/>
              <w:spacing w:before="60" w:after="80" w:line="210" w:lineRule="exact"/>
              <w:ind w:right="14"/>
              <w:rPr>
                <w:sz w:val="17"/>
              </w:rPr>
            </w:pPr>
            <w:r>
              <w:rPr>
                <w:sz w:val="17"/>
              </w:rPr>
              <w:t>40981</w:t>
            </w:r>
          </w:p>
        </w:tc>
        <w:tc>
          <w:tcPr>
            <w:tcW w:w="2052" w:type="dxa"/>
          </w:tcPr>
          <w:p w:rsidR="00000000" w:rsidRDefault="00000000">
            <w:pPr>
              <w:pStyle w:val="DualTxt"/>
              <w:spacing w:before="60" w:after="80" w:line="210" w:lineRule="exact"/>
              <w:ind w:right="14"/>
              <w:rPr>
                <w:sz w:val="17"/>
              </w:rPr>
            </w:pPr>
            <w:r>
              <w:rPr>
                <w:sz w:val="17"/>
              </w:rPr>
              <w:t>22856</w:t>
            </w:r>
          </w:p>
        </w:tc>
        <w:tc>
          <w:tcPr>
            <w:tcW w:w="1980" w:type="dxa"/>
            <w:gridSpan w:val="2"/>
          </w:tcPr>
          <w:p w:rsidR="00000000" w:rsidRDefault="00000000">
            <w:pPr>
              <w:pStyle w:val="DualTxt"/>
              <w:spacing w:before="60" w:after="80" w:line="210" w:lineRule="exact"/>
              <w:ind w:right="14"/>
              <w:rPr>
                <w:sz w:val="17"/>
              </w:rPr>
            </w:pPr>
            <w:r>
              <w:rPr>
                <w:sz w:val="17"/>
              </w:rPr>
              <w:t>18125</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2000</w:t>
            </w:r>
          </w:p>
        </w:tc>
        <w:tc>
          <w:tcPr>
            <w:tcW w:w="2259" w:type="dxa"/>
            <w:gridSpan w:val="2"/>
          </w:tcPr>
          <w:p w:rsidR="00000000" w:rsidRDefault="00000000">
            <w:pPr>
              <w:pStyle w:val="DualTxt"/>
              <w:spacing w:before="60" w:after="80" w:line="210" w:lineRule="exact"/>
              <w:ind w:right="14"/>
              <w:rPr>
                <w:sz w:val="17"/>
              </w:rPr>
            </w:pPr>
            <w:r>
              <w:rPr>
                <w:sz w:val="17"/>
              </w:rPr>
              <w:t>43143</w:t>
            </w:r>
          </w:p>
        </w:tc>
        <w:tc>
          <w:tcPr>
            <w:tcW w:w="2052" w:type="dxa"/>
          </w:tcPr>
          <w:p w:rsidR="00000000" w:rsidRDefault="00000000">
            <w:pPr>
              <w:pStyle w:val="DualTxt"/>
              <w:spacing w:before="60" w:after="80" w:line="210" w:lineRule="exact"/>
              <w:ind w:right="14"/>
              <w:rPr>
                <w:sz w:val="17"/>
              </w:rPr>
            </w:pPr>
            <w:r>
              <w:rPr>
                <w:sz w:val="17"/>
              </w:rPr>
              <w:t>24566</w:t>
            </w:r>
          </w:p>
        </w:tc>
        <w:tc>
          <w:tcPr>
            <w:tcW w:w="1980" w:type="dxa"/>
            <w:gridSpan w:val="2"/>
          </w:tcPr>
          <w:p w:rsidR="00000000" w:rsidRDefault="00000000">
            <w:pPr>
              <w:pStyle w:val="DualTxt"/>
              <w:spacing w:before="60" w:after="80" w:line="210" w:lineRule="exact"/>
              <w:ind w:right="14"/>
              <w:rPr>
                <w:sz w:val="17"/>
              </w:rPr>
            </w:pPr>
            <w:r>
              <w:rPr>
                <w:sz w:val="17"/>
              </w:rPr>
              <w:t>18577</w:t>
            </w:r>
          </w:p>
        </w:tc>
      </w:tr>
      <w:tr w:rsidR="00000000">
        <w:tblPrEx>
          <w:tblCellMar>
            <w:top w:w="0" w:type="dxa"/>
            <w:bottom w:w="0" w:type="dxa"/>
          </w:tblCellMar>
        </w:tblPrEx>
        <w:tc>
          <w:tcPr>
            <w:tcW w:w="2241" w:type="dxa"/>
          </w:tcPr>
          <w:p w:rsidR="00000000" w:rsidRDefault="00000000">
            <w:pPr>
              <w:pStyle w:val="DualTxt"/>
              <w:spacing w:before="60" w:after="80" w:line="210" w:lineRule="exact"/>
              <w:ind w:right="14"/>
              <w:rPr>
                <w:sz w:val="17"/>
              </w:rPr>
            </w:pPr>
            <w:r>
              <w:rPr>
                <w:sz w:val="17"/>
              </w:rPr>
              <w:t>2001</w:t>
            </w:r>
          </w:p>
        </w:tc>
        <w:tc>
          <w:tcPr>
            <w:tcW w:w="2259" w:type="dxa"/>
            <w:gridSpan w:val="2"/>
          </w:tcPr>
          <w:p w:rsidR="00000000" w:rsidRDefault="00000000">
            <w:pPr>
              <w:pStyle w:val="DualTxt"/>
              <w:spacing w:before="60" w:after="80" w:line="210" w:lineRule="exact"/>
              <w:ind w:right="14"/>
              <w:rPr>
                <w:sz w:val="17"/>
              </w:rPr>
            </w:pPr>
            <w:r>
              <w:rPr>
                <w:sz w:val="17"/>
              </w:rPr>
              <w:t>39462</w:t>
            </w:r>
          </w:p>
        </w:tc>
        <w:tc>
          <w:tcPr>
            <w:tcW w:w="2052" w:type="dxa"/>
          </w:tcPr>
          <w:p w:rsidR="00000000" w:rsidRDefault="00000000">
            <w:pPr>
              <w:pStyle w:val="DualTxt"/>
              <w:spacing w:before="60" w:after="80" w:line="210" w:lineRule="exact"/>
              <w:ind w:right="14"/>
              <w:rPr>
                <w:sz w:val="17"/>
              </w:rPr>
            </w:pPr>
            <w:r>
              <w:rPr>
                <w:sz w:val="17"/>
              </w:rPr>
              <w:t>227986</w:t>
            </w:r>
          </w:p>
        </w:tc>
        <w:tc>
          <w:tcPr>
            <w:tcW w:w="1980" w:type="dxa"/>
            <w:gridSpan w:val="2"/>
          </w:tcPr>
          <w:p w:rsidR="00000000" w:rsidRDefault="00000000">
            <w:pPr>
              <w:pStyle w:val="DualTxt"/>
              <w:spacing w:before="60" w:after="80" w:line="210" w:lineRule="exact"/>
              <w:ind w:right="14"/>
              <w:rPr>
                <w:sz w:val="17"/>
              </w:rPr>
            </w:pPr>
            <w:r>
              <w:rPr>
                <w:sz w:val="17"/>
              </w:rPr>
              <w:t>16664</w:t>
            </w:r>
          </w:p>
        </w:tc>
      </w:tr>
      <w:tr w:rsidR="00000000">
        <w:tblPrEx>
          <w:tblCellMar>
            <w:top w:w="0" w:type="dxa"/>
            <w:bottom w:w="0" w:type="dxa"/>
          </w:tblCellMar>
        </w:tblPrEx>
        <w:trPr>
          <w:cantSplit/>
        </w:trPr>
        <w:tc>
          <w:tcPr>
            <w:tcW w:w="8532" w:type="dxa"/>
            <w:gridSpan w:val="6"/>
          </w:tcPr>
          <w:p w:rsidR="00000000" w:rsidRDefault="00000000">
            <w:pPr>
              <w:pStyle w:val="DualTxt"/>
              <w:spacing w:before="60" w:after="80" w:line="210" w:lineRule="exact"/>
              <w:ind w:right="14"/>
              <w:jc w:val="left"/>
              <w:rPr>
                <w:sz w:val="17"/>
              </w:rPr>
            </w:pPr>
            <w:r>
              <w:rPr>
                <w:sz w:val="17"/>
              </w:rPr>
              <w:t>Направлено участвовать в мероприятиях Клуба ищущих работу</w:t>
            </w:r>
          </w:p>
        </w:tc>
      </w:tr>
      <w:tr w:rsidR="00000000">
        <w:tblPrEx>
          <w:tblCellMar>
            <w:top w:w="0" w:type="dxa"/>
            <w:bottom w:w="0" w:type="dxa"/>
          </w:tblCellMar>
        </w:tblPrEx>
        <w:tc>
          <w:tcPr>
            <w:tcW w:w="2250" w:type="dxa"/>
            <w:gridSpan w:val="2"/>
            <w:vAlign w:val="bottom"/>
          </w:tcPr>
          <w:p w:rsidR="00000000" w:rsidRDefault="00000000">
            <w:pPr>
              <w:pStyle w:val="DualTxt"/>
              <w:spacing w:before="60" w:after="80" w:line="210" w:lineRule="exact"/>
              <w:ind w:right="14"/>
              <w:rPr>
                <w:sz w:val="17"/>
              </w:rPr>
            </w:pPr>
            <w:r>
              <w:rPr>
                <w:sz w:val="17"/>
              </w:rPr>
              <w:t>Год</w:t>
            </w:r>
          </w:p>
        </w:tc>
        <w:tc>
          <w:tcPr>
            <w:tcW w:w="2250" w:type="dxa"/>
            <w:vAlign w:val="bottom"/>
          </w:tcPr>
          <w:p w:rsidR="00000000" w:rsidRDefault="00000000">
            <w:pPr>
              <w:pStyle w:val="DualTxt"/>
              <w:spacing w:before="60" w:after="80" w:line="210" w:lineRule="exact"/>
              <w:ind w:right="14"/>
              <w:rPr>
                <w:sz w:val="17"/>
              </w:rPr>
            </w:pPr>
            <w:r>
              <w:rPr>
                <w:sz w:val="17"/>
              </w:rPr>
              <w:t>Всего</w:t>
            </w:r>
          </w:p>
        </w:tc>
        <w:tc>
          <w:tcPr>
            <w:tcW w:w="2052" w:type="dxa"/>
            <w:vAlign w:val="bottom"/>
          </w:tcPr>
          <w:p w:rsidR="00000000" w:rsidRDefault="00000000">
            <w:pPr>
              <w:pStyle w:val="DualTxt"/>
              <w:spacing w:before="60" w:after="80" w:line="210" w:lineRule="exact"/>
              <w:ind w:right="14"/>
              <w:rPr>
                <w:sz w:val="17"/>
              </w:rPr>
            </w:pPr>
            <w:r>
              <w:rPr>
                <w:sz w:val="17"/>
              </w:rPr>
              <w:t>в том числе: же</w:t>
            </w:r>
            <w:r>
              <w:rPr>
                <w:sz w:val="17"/>
              </w:rPr>
              <w:t>н</w:t>
            </w:r>
            <w:r>
              <w:rPr>
                <w:sz w:val="17"/>
              </w:rPr>
              <w:t>щин</w:t>
            </w:r>
          </w:p>
        </w:tc>
        <w:tc>
          <w:tcPr>
            <w:tcW w:w="1980" w:type="dxa"/>
            <w:gridSpan w:val="2"/>
            <w:vAlign w:val="bottom"/>
          </w:tcPr>
          <w:p w:rsidR="00000000" w:rsidRDefault="00000000">
            <w:pPr>
              <w:pStyle w:val="DualTxt"/>
              <w:spacing w:before="60" w:after="80" w:line="210" w:lineRule="exact"/>
              <w:ind w:right="14"/>
              <w:rPr>
                <w:sz w:val="17"/>
              </w:rPr>
            </w:pPr>
            <w:r>
              <w:rPr>
                <w:sz w:val="17"/>
              </w:rPr>
              <w:t>в том чи</w:t>
            </w:r>
            <w:r>
              <w:rPr>
                <w:sz w:val="17"/>
              </w:rPr>
              <w:t>с</w:t>
            </w:r>
            <w:r>
              <w:rPr>
                <w:sz w:val="17"/>
              </w:rPr>
              <w:t>ле: мужчин</w:t>
            </w:r>
          </w:p>
        </w:tc>
      </w:tr>
      <w:tr w:rsidR="00000000">
        <w:tblPrEx>
          <w:tblCellMar>
            <w:top w:w="0" w:type="dxa"/>
            <w:bottom w:w="0" w:type="dxa"/>
          </w:tblCellMar>
        </w:tblPrEx>
        <w:tc>
          <w:tcPr>
            <w:tcW w:w="2250" w:type="dxa"/>
            <w:gridSpan w:val="2"/>
          </w:tcPr>
          <w:p w:rsidR="00000000" w:rsidRDefault="00000000">
            <w:pPr>
              <w:pStyle w:val="DualTxt"/>
              <w:spacing w:before="60" w:after="80" w:line="210" w:lineRule="exact"/>
              <w:ind w:right="14"/>
              <w:rPr>
                <w:sz w:val="17"/>
              </w:rPr>
            </w:pPr>
            <w:r>
              <w:rPr>
                <w:sz w:val="17"/>
              </w:rPr>
              <w:t>1995</w:t>
            </w:r>
          </w:p>
        </w:tc>
        <w:tc>
          <w:tcPr>
            <w:tcW w:w="2250" w:type="dxa"/>
          </w:tcPr>
          <w:p w:rsidR="00000000" w:rsidRDefault="00000000">
            <w:pPr>
              <w:pStyle w:val="DualTxt"/>
              <w:spacing w:before="60" w:after="80" w:line="210" w:lineRule="exact"/>
              <w:ind w:right="14"/>
              <w:rPr>
                <w:sz w:val="17"/>
              </w:rPr>
            </w:pPr>
            <w:r>
              <w:rPr>
                <w:sz w:val="17"/>
              </w:rPr>
              <w:t>-</w:t>
            </w:r>
          </w:p>
        </w:tc>
        <w:tc>
          <w:tcPr>
            <w:tcW w:w="2052" w:type="dxa"/>
          </w:tcPr>
          <w:p w:rsidR="00000000" w:rsidRDefault="00000000">
            <w:pPr>
              <w:pStyle w:val="DualTxt"/>
              <w:spacing w:before="60" w:after="80" w:line="210" w:lineRule="exact"/>
              <w:ind w:right="14"/>
              <w:rPr>
                <w:sz w:val="17"/>
              </w:rPr>
            </w:pPr>
            <w:r>
              <w:rPr>
                <w:sz w:val="17"/>
              </w:rPr>
              <w:t>-</w:t>
            </w:r>
          </w:p>
        </w:tc>
        <w:tc>
          <w:tcPr>
            <w:tcW w:w="1980" w:type="dxa"/>
            <w:gridSpan w:val="2"/>
          </w:tcPr>
          <w:p w:rsidR="00000000" w:rsidRDefault="00000000">
            <w:pPr>
              <w:pStyle w:val="DualTxt"/>
              <w:spacing w:before="60" w:after="80" w:line="210" w:lineRule="exact"/>
              <w:ind w:right="14"/>
              <w:rPr>
                <w:sz w:val="17"/>
              </w:rPr>
            </w:pPr>
            <w:r>
              <w:rPr>
                <w:sz w:val="17"/>
              </w:rPr>
              <w:t>-</w:t>
            </w:r>
          </w:p>
        </w:tc>
      </w:tr>
      <w:tr w:rsidR="00000000">
        <w:tblPrEx>
          <w:tblCellMar>
            <w:top w:w="0" w:type="dxa"/>
            <w:bottom w:w="0" w:type="dxa"/>
          </w:tblCellMar>
        </w:tblPrEx>
        <w:tc>
          <w:tcPr>
            <w:tcW w:w="2250" w:type="dxa"/>
            <w:gridSpan w:val="2"/>
          </w:tcPr>
          <w:p w:rsidR="00000000" w:rsidRDefault="00000000">
            <w:pPr>
              <w:pStyle w:val="DualTxt"/>
              <w:spacing w:before="60" w:after="80" w:line="210" w:lineRule="exact"/>
              <w:ind w:right="14"/>
              <w:rPr>
                <w:sz w:val="17"/>
              </w:rPr>
            </w:pPr>
            <w:r>
              <w:rPr>
                <w:sz w:val="17"/>
              </w:rPr>
              <w:t>1996</w:t>
            </w:r>
          </w:p>
        </w:tc>
        <w:tc>
          <w:tcPr>
            <w:tcW w:w="2250" w:type="dxa"/>
          </w:tcPr>
          <w:p w:rsidR="00000000" w:rsidRDefault="00000000">
            <w:pPr>
              <w:pStyle w:val="DualTxt"/>
              <w:spacing w:before="60" w:after="80" w:line="210" w:lineRule="exact"/>
              <w:ind w:right="14"/>
              <w:rPr>
                <w:sz w:val="17"/>
              </w:rPr>
            </w:pPr>
            <w:r>
              <w:rPr>
                <w:sz w:val="17"/>
              </w:rPr>
              <w:t>1551</w:t>
            </w:r>
          </w:p>
        </w:tc>
        <w:tc>
          <w:tcPr>
            <w:tcW w:w="2052" w:type="dxa"/>
          </w:tcPr>
          <w:p w:rsidR="00000000" w:rsidRDefault="00000000">
            <w:pPr>
              <w:pStyle w:val="DualTxt"/>
              <w:spacing w:before="60" w:after="80" w:line="210" w:lineRule="exact"/>
              <w:ind w:right="14"/>
              <w:rPr>
                <w:sz w:val="17"/>
              </w:rPr>
            </w:pPr>
            <w:r>
              <w:rPr>
                <w:sz w:val="17"/>
              </w:rPr>
              <w:t>-</w:t>
            </w:r>
          </w:p>
        </w:tc>
        <w:tc>
          <w:tcPr>
            <w:tcW w:w="1980" w:type="dxa"/>
            <w:gridSpan w:val="2"/>
          </w:tcPr>
          <w:p w:rsidR="00000000" w:rsidRDefault="00000000">
            <w:pPr>
              <w:pStyle w:val="DualTxt"/>
              <w:spacing w:before="60" w:after="80" w:line="210" w:lineRule="exact"/>
              <w:ind w:right="14"/>
              <w:rPr>
                <w:sz w:val="17"/>
              </w:rPr>
            </w:pPr>
            <w:r>
              <w:rPr>
                <w:sz w:val="17"/>
              </w:rPr>
              <w:t>-</w:t>
            </w:r>
          </w:p>
        </w:tc>
      </w:tr>
      <w:tr w:rsidR="00000000">
        <w:tblPrEx>
          <w:tblCellMar>
            <w:top w:w="0" w:type="dxa"/>
            <w:bottom w:w="0" w:type="dxa"/>
          </w:tblCellMar>
        </w:tblPrEx>
        <w:tc>
          <w:tcPr>
            <w:tcW w:w="2250" w:type="dxa"/>
            <w:gridSpan w:val="2"/>
          </w:tcPr>
          <w:p w:rsidR="00000000" w:rsidRDefault="00000000">
            <w:pPr>
              <w:pStyle w:val="DualTxt"/>
              <w:spacing w:before="60" w:after="80" w:line="210" w:lineRule="exact"/>
              <w:ind w:right="14"/>
              <w:rPr>
                <w:sz w:val="17"/>
              </w:rPr>
            </w:pPr>
            <w:r>
              <w:rPr>
                <w:sz w:val="17"/>
              </w:rPr>
              <w:t>1997</w:t>
            </w:r>
          </w:p>
        </w:tc>
        <w:tc>
          <w:tcPr>
            <w:tcW w:w="2250" w:type="dxa"/>
          </w:tcPr>
          <w:p w:rsidR="00000000" w:rsidRDefault="00000000">
            <w:pPr>
              <w:pStyle w:val="DualTxt"/>
              <w:spacing w:before="60" w:after="80" w:line="210" w:lineRule="exact"/>
              <w:ind w:right="14"/>
              <w:rPr>
                <w:sz w:val="17"/>
              </w:rPr>
            </w:pPr>
            <w:r>
              <w:rPr>
                <w:sz w:val="17"/>
              </w:rPr>
              <w:t>5501</w:t>
            </w:r>
          </w:p>
        </w:tc>
        <w:tc>
          <w:tcPr>
            <w:tcW w:w="2052" w:type="dxa"/>
          </w:tcPr>
          <w:p w:rsidR="00000000" w:rsidRDefault="00000000">
            <w:pPr>
              <w:pStyle w:val="DualTxt"/>
              <w:spacing w:before="60" w:after="80" w:line="210" w:lineRule="exact"/>
              <w:ind w:right="14"/>
              <w:rPr>
                <w:sz w:val="17"/>
              </w:rPr>
            </w:pPr>
            <w:r>
              <w:rPr>
                <w:sz w:val="17"/>
              </w:rPr>
              <w:t>4657</w:t>
            </w:r>
          </w:p>
        </w:tc>
        <w:tc>
          <w:tcPr>
            <w:tcW w:w="1980" w:type="dxa"/>
            <w:gridSpan w:val="2"/>
          </w:tcPr>
          <w:p w:rsidR="00000000" w:rsidRDefault="00000000">
            <w:pPr>
              <w:pStyle w:val="DualTxt"/>
              <w:spacing w:before="60" w:after="80" w:line="210" w:lineRule="exact"/>
              <w:ind w:right="14"/>
              <w:rPr>
                <w:sz w:val="17"/>
              </w:rPr>
            </w:pPr>
            <w:r>
              <w:rPr>
                <w:sz w:val="17"/>
              </w:rPr>
              <w:t>844</w:t>
            </w:r>
          </w:p>
        </w:tc>
      </w:tr>
      <w:tr w:rsidR="00000000">
        <w:tblPrEx>
          <w:tblCellMar>
            <w:top w:w="0" w:type="dxa"/>
            <w:bottom w:w="0" w:type="dxa"/>
          </w:tblCellMar>
        </w:tblPrEx>
        <w:tc>
          <w:tcPr>
            <w:tcW w:w="2250" w:type="dxa"/>
            <w:gridSpan w:val="2"/>
          </w:tcPr>
          <w:p w:rsidR="00000000" w:rsidRDefault="00000000">
            <w:pPr>
              <w:pStyle w:val="DualTxt"/>
              <w:spacing w:before="60" w:after="80" w:line="210" w:lineRule="exact"/>
              <w:ind w:right="14"/>
              <w:rPr>
                <w:sz w:val="17"/>
              </w:rPr>
            </w:pPr>
            <w:r>
              <w:rPr>
                <w:sz w:val="17"/>
              </w:rPr>
              <w:t>1998</w:t>
            </w:r>
          </w:p>
        </w:tc>
        <w:tc>
          <w:tcPr>
            <w:tcW w:w="2250" w:type="dxa"/>
          </w:tcPr>
          <w:p w:rsidR="00000000" w:rsidRDefault="00000000">
            <w:pPr>
              <w:pStyle w:val="DualTxt"/>
              <w:spacing w:before="60" w:after="80" w:line="210" w:lineRule="exact"/>
              <w:ind w:right="14"/>
              <w:rPr>
                <w:sz w:val="17"/>
              </w:rPr>
            </w:pPr>
            <w:r>
              <w:rPr>
                <w:sz w:val="17"/>
              </w:rPr>
              <w:t>7710</w:t>
            </w:r>
          </w:p>
        </w:tc>
        <w:tc>
          <w:tcPr>
            <w:tcW w:w="2052" w:type="dxa"/>
          </w:tcPr>
          <w:p w:rsidR="00000000" w:rsidRDefault="00000000">
            <w:pPr>
              <w:pStyle w:val="DualTxt"/>
              <w:spacing w:before="60" w:after="80" w:line="210" w:lineRule="exact"/>
              <w:ind w:right="14"/>
              <w:rPr>
                <w:sz w:val="17"/>
              </w:rPr>
            </w:pPr>
            <w:r>
              <w:rPr>
                <w:sz w:val="17"/>
              </w:rPr>
              <w:t>6601</w:t>
            </w:r>
          </w:p>
        </w:tc>
        <w:tc>
          <w:tcPr>
            <w:tcW w:w="1980" w:type="dxa"/>
            <w:gridSpan w:val="2"/>
          </w:tcPr>
          <w:p w:rsidR="00000000" w:rsidRDefault="00000000">
            <w:pPr>
              <w:pStyle w:val="DualTxt"/>
              <w:spacing w:before="60" w:after="80" w:line="210" w:lineRule="exact"/>
              <w:ind w:right="14"/>
              <w:rPr>
                <w:sz w:val="17"/>
              </w:rPr>
            </w:pPr>
            <w:r>
              <w:rPr>
                <w:sz w:val="17"/>
              </w:rPr>
              <w:t>1109</w:t>
            </w:r>
          </w:p>
        </w:tc>
      </w:tr>
      <w:tr w:rsidR="00000000">
        <w:tblPrEx>
          <w:tblCellMar>
            <w:top w:w="0" w:type="dxa"/>
            <w:bottom w:w="0" w:type="dxa"/>
          </w:tblCellMar>
        </w:tblPrEx>
        <w:tc>
          <w:tcPr>
            <w:tcW w:w="2250" w:type="dxa"/>
            <w:gridSpan w:val="2"/>
          </w:tcPr>
          <w:p w:rsidR="00000000" w:rsidRDefault="00000000">
            <w:pPr>
              <w:pStyle w:val="DualTxt"/>
              <w:spacing w:before="60" w:after="80" w:line="210" w:lineRule="exact"/>
              <w:ind w:right="14"/>
              <w:rPr>
                <w:sz w:val="17"/>
              </w:rPr>
            </w:pPr>
            <w:r>
              <w:rPr>
                <w:sz w:val="17"/>
              </w:rPr>
              <w:t>1999</w:t>
            </w:r>
          </w:p>
        </w:tc>
        <w:tc>
          <w:tcPr>
            <w:tcW w:w="2250" w:type="dxa"/>
          </w:tcPr>
          <w:p w:rsidR="00000000" w:rsidRDefault="00000000">
            <w:pPr>
              <w:pStyle w:val="DualTxt"/>
              <w:spacing w:before="60" w:after="80" w:line="210" w:lineRule="exact"/>
              <w:ind w:right="14"/>
              <w:rPr>
                <w:sz w:val="17"/>
              </w:rPr>
            </w:pPr>
            <w:r>
              <w:rPr>
                <w:sz w:val="17"/>
              </w:rPr>
              <w:t>15835</w:t>
            </w:r>
          </w:p>
        </w:tc>
        <w:tc>
          <w:tcPr>
            <w:tcW w:w="2052" w:type="dxa"/>
          </w:tcPr>
          <w:p w:rsidR="00000000" w:rsidRDefault="00000000">
            <w:pPr>
              <w:pStyle w:val="DualTxt"/>
              <w:spacing w:before="60" w:after="80" w:line="210" w:lineRule="exact"/>
              <w:ind w:right="14"/>
              <w:rPr>
                <w:sz w:val="17"/>
              </w:rPr>
            </w:pPr>
            <w:r>
              <w:rPr>
                <w:sz w:val="17"/>
              </w:rPr>
              <w:t>12973</w:t>
            </w:r>
          </w:p>
        </w:tc>
        <w:tc>
          <w:tcPr>
            <w:tcW w:w="1980" w:type="dxa"/>
            <w:gridSpan w:val="2"/>
          </w:tcPr>
          <w:p w:rsidR="00000000" w:rsidRDefault="00000000">
            <w:pPr>
              <w:pStyle w:val="DualTxt"/>
              <w:spacing w:before="60" w:after="80" w:line="210" w:lineRule="exact"/>
              <w:ind w:right="14"/>
              <w:rPr>
                <w:sz w:val="17"/>
              </w:rPr>
            </w:pPr>
            <w:r>
              <w:rPr>
                <w:sz w:val="17"/>
              </w:rPr>
              <w:t>2862</w:t>
            </w:r>
          </w:p>
        </w:tc>
      </w:tr>
      <w:tr w:rsidR="00000000">
        <w:tblPrEx>
          <w:tblCellMar>
            <w:top w:w="0" w:type="dxa"/>
            <w:bottom w:w="0" w:type="dxa"/>
          </w:tblCellMar>
        </w:tblPrEx>
        <w:tc>
          <w:tcPr>
            <w:tcW w:w="2250" w:type="dxa"/>
            <w:gridSpan w:val="2"/>
          </w:tcPr>
          <w:p w:rsidR="00000000" w:rsidRDefault="00000000">
            <w:pPr>
              <w:pStyle w:val="DualTxt"/>
              <w:spacing w:before="60" w:after="80" w:line="210" w:lineRule="exact"/>
              <w:ind w:right="14"/>
              <w:rPr>
                <w:sz w:val="17"/>
              </w:rPr>
            </w:pPr>
            <w:r>
              <w:rPr>
                <w:sz w:val="17"/>
              </w:rPr>
              <w:t>2000</w:t>
            </w:r>
          </w:p>
        </w:tc>
        <w:tc>
          <w:tcPr>
            <w:tcW w:w="2250" w:type="dxa"/>
          </w:tcPr>
          <w:p w:rsidR="00000000" w:rsidRDefault="00000000">
            <w:pPr>
              <w:pStyle w:val="DualTxt"/>
              <w:spacing w:before="60" w:after="80" w:line="210" w:lineRule="exact"/>
              <w:ind w:right="14"/>
              <w:rPr>
                <w:sz w:val="17"/>
              </w:rPr>
            </w:pPr>
            <w:r>
              <w:rPr>
                <w:sz w:val="17"/>
              </w:rPr>
              <w:t>17940</w:t>
            </w:r>
          </w:p>
        </w:tc>
        <w:tc>
          <w:tcPr>
            <w:tcW w:w="2052" w:type="dxa"/>
          </w:tcPr>
          <w:p w:rsidR="00000000" w:rsidRDefault="00000000">
            <w:pPr>
              <w:pStyle w:val="DualTxt"/>
              <w:spacing w:before="60" w:after="80" w:line="210" w:lineRule="exact"/>
              <w:ind w:right="14"/>
              <w:rPr>
                <w:sz w:val="17"/>
              </w:rPr>
            </w:pPr>
            <w:r>
              <w:rPr>
                <w:sz w:val="17"/>
              </w:rPr>
              <w:t>14419</w:t>
            </w:r>
          </w:p>
        </w:tc>
        <w:tc>
          <w:tcPr>
            <w:tcW w:w="1980" w:type="dxa"/>
            <w:gridSpan w:val="2"/>
          </w:tcPr>
          <w:p w:rsidR="00000000" w:rsidRDefault="00000000">
            <w:pPr>
              <w:pStyle w:val="DualTxt"/>
              <w:spacing w:before="60" w:after="80" w:line="210" w:lineRule="exact"/>
              <w:ind w:right="14"/>
              <w:rPr>
                <w:sz w:val="17"/>
              </w:rPr>
            </w:pPr>
            <w:r>
              <w:rPr>
                <w:sz w:val="17"/>
              </w:rPr>
              <w:t>3521</w:t>
            </w:r>
          </w:p>
        </w:tc>
      </w:tr>
      <w:tr w:rsidR="00000000">
        <w:tblPrEx>
          <w:tblCellMar>
            <w:top w:w="0" w:type="dxa"/>
            <w:bottom w:w="0" w:type="dxa"/>
          </w:tblCellMar>
        </w:tblPrEx>
        <w:tc>
          <w:tcPr>
            <w:tcW w:w="2250" w:type="dxa"/>
            <w:gridSpan w:val="2"/>
          </w:tcPr>
          <w:p w:rsidR="00000000" w:rsidRDefault="00000000">
            <w:pPr>
              <w:pStyle w:val="DualTxt"/>
              <w:spacing w:before="60" w:after="80" w:line="210" w:lineRule="exact"/>
              <w:ind w:right="14"/>
              <w:rPr>
                <w:sz w:val="17"/>
              </w:rPr>
            </w:pPr>
            <w:r>
              <w:rPr>
                <w:sz w:val="17"/>
              </w:rPr>
              <w:t>2001</w:t>
            </w:r>
          </w:p>
        </w:tc>
        <w:tc>
          <w:tcPr>
            <w:tcW w:w="2250" w:type="dxa"/>
          </w:tcPr>
          <w:p w:rsidR="00000000" w:rsidRDefault="00000000">
            <w:pPr>
              <w:pStyle w:val="DualTxt"/>
              <w:spacing w:before="60" w:after="80" w:line="210" w:lineRule="exact"/>
              <w:ind w:right="14"/>
              <w:rPr>
                <w:sz w:val="17"/>
              </w:rPr>
            </w:pPr>
            <w:r>
              <w:rPr>
                <w:sz w:val="17"/>
              </w:rPr>
              <w:t>24667</w:t>
            </w:r>
          </w:p>
        </w:tc>
        <w:tc>
          <w:tcPr>
            <w:tcW w:w="2052" w:type="dxa"/>
          </w:tcPr>
          <w:p w:rsidR="00000000" w:rsidRDefault="00000000">
            <w:pPr>
              <w:pStyle w:val="DualTxt"/>
              <w:spacing w:before="60" w:after="80" w:line="210" w:lineRule="exact"/>
              <w:ind w:right="14"/>
              <w:rPr>
                <w:sz w:val="17"/>
              </w:rPr>
            </w:pPr>
            <w:r>
              <w:rPr>
                <w:sz w:val="17"/>
              </w:rPr>
              <w:t>18261</w:t>
            </w:r>
          </w:p>
        </w:tc>
        <w:tc>
          <w:tcPr>
            <w:tcW w:w="1980" w:type="dxa"/>
            <w:gridSpan w:val="2"/>
          </w:tcPr>
          <w:p w:rsidR="00000000" w:rsidRDefault="00000000">
            <w:pPr>
              <w:pStyle w:val="DualTxt"/>
              <w:spacing w:before="60" w:after="80" w:line="210" w:lineRule="exact"/>
              <w:ind w:right="14"/>
              <w:rPr>
                <w:sz w:val="17"/>
              </w:rPr>
            </w:pPr>
            <w:r>
              <w:rPr>
                <w:sz w:val="17"/>
              </w:rPr>
              <w:t>6406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190.</w:t>
      </w:r>
      <w:r>
        <w:tab/>
        <w:t>В соответствии с законом «О страховании на случай беременности и вр</w:t>
      </w:r>
      <w:r>
        <w:t>е</w:t>
      </w:r>
      <w:r>
        <w:t>менной нетрудоспособности» лица, которые были застрахованы согласно зак</w:t>
      </w:r>
      <w:r>
        <w:t>о</w:t>
      </w:r>
      <w:r>
        <w:t xml:space="preserve">ну «О социальном страховании», имеют право на </w:t>
      </w:r>
      <w:r>
        <w:rPr>
          <w:u w:val="single"/>
        </w:rPr>
        <w:t>пособие по болезни.</w:t>
      </w:r>
    </w:p>
    <w:p w:rsidR="00000000" w:rsidRDefault="00000000">
      <w:pPr>
        <w:pStyle w:val="SingleTxt"/>
      </w:pPr>
      <w:r>
        <w:t>191.</w:t>
      </w:r>
      <w:r>
        <w:tab/>
        <w:t>Пособие по болезни выплачивается лицу, независимо от его пола, если это лицо не приходит на работу и таким образом теряет доход, который оно пол</w:t>
      </w:r>
      <w:r>
        <w:t>у</w:t>
      </w:r>
      <w:r>
        <w:t>чало бы, работая на оплачиваемой должности; или если самостоятельно зан</w:t>
      </w:r>
      <w:r>
        <w:t>я</w:t>
      </w:r>
      <w:r>
        <w:t>тое лицо теряет доход по следующим причинам: потеря трудоспособности вследствие болезни или травмы, необходимость получить медицинскую или профилактическую помощь, изоляция, необходимая из соображений карантина, восстановление трудоспособности на основании медицинской справки, уход за больным ребенком в возрасте до 14 лет, прохождение в стационаре процедур, связанных с протезирован</w:t>
      </w:r>
      <w:r>
        <w:t>и</w:t>
      </w:r>
      <w:r>
        <w:t xml:space="preserve">ем или ортопедией. </w:t>
      </w:r>
    </w:p>
    <w:p w:rsidR="00000000" w:rsidRDefault="00000000">
      <w:pPr>
        <w:pStyle w:val="SingleTxt"/>
      </w:pPr>
      <w:r>
        <w:t>192.</w:t>
      </w:r>
      <w:r>
        <w:tab/>
        <w:t>В соответствии с законом «О социальном обеспечении» те лица (граждане Латвии, неграждане, иностранцы и лица без гражданства, имеющие индивид</w:t>
      </w:r>
      <w:r>
        <w:t>у</w:t>
      </w:r>
      <w:r>
        <w:t>альный идентификационный код, кроме лиц, имеющих разрешение на време</w:t>
      </w:r>
      <w:r>
        <w:t>н</w:t>
      </w:r>
      <w:r>
        <w:t>ное проживание), которые живут в Латвийской Республике в течение как м</w:t>
      </w:r>
      <w:r>
        <w:t>и</w:t>
      </w:r>
      <w:r>
        <w:t>нимум 12 месяцев без перерыва, но не менее 60 месяцев в совокупности, им</w:t>
      </w:r>
      <w:r>
        <w:t>е</w:t>
      </w:r>
      <w:r>
        <w:t xml:space="preserve">ют право получать </w:t>
      </w:r>
      <w:r>
        <w:rPr>
          <w:u w:val="single"/>
        </w:rPr>
        <w:t>государственное пособие по социальному страхованию в случае потери трудоспособности.</w:t>
      </w:r>
      <w:r>
        <w:t xml:space="preserve"> В этом законе не проводится никакого разл</w:t>
      </w:r>
      <w:r>
        <w:t>и</w:t>
      </w:r>
      <w:r>
        <w:t>чия в предоставлении социального страхования по признаку пола. Размер пе</w:t>
      </w:r>
      <w:r>
        <w:t>н</w:t>
      </w:r>
      <w:r>
        <w:t>сии по нетрудоспособности одинаков для мужчин и женщин и зависит от пр</w:t>
      </w:r>
      <w:r>
        <w:t>о</w:t>
      </w:r>
      <w:r>
        <w:t>должительности периода уплаты взносов по социальному страхованию, а та</w:t>
      </w:r>
      <w:r>
        <w:t>к</w:t>
      </w:r>
      <w:r>
        <w:t>же от размера дохода, из которого выплачивались эти взносы (см. таблицу).</w:t>
      </w:r>
    </w:p>
    <w:p w:rsidR="00000000" w:rsidRDefault="00000000">
      <w:pPr>
        <w:pStyle w:val="SingleTxt"/>
        <w:spacing w:after="0" w:line="120" w:lineRule="exact"/>
        <w:rPr>
          <w:sz w:val="10"/>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7"/>
        <w:gridCol w:w="711"/>
        <w:gridCol w:w="747"/>
        <w:gridCol w:w="756"/>
        <w:gridCol w:w="738"/>
        <w:gridCol w:w="747"/>
        <w:gridCol w:w="729"/>
        <w:gridCol w:w="747"/>
        <w:gridCol w:w="720"/>
        <w:gridCol w:w="747"/>
        <w:gridCol w:w="711"/>
      </w:tblGrid>
      <w:tr w:rsidR="00000000">
        <w:tblPrEx>
          <w:tblCellMar>
            <w:top w:w="0" w:type="dxa"/>
            <w:bottom w:w="0" w:type="dxa"/>
          </w:tblCellMar>
        </w:tblPrEx>
        <w:trPr>
          <w:cantSplit/>
        </w:trPr>
        <w:tc>
          <w:tcPr>
            <w:tcW w:w="9810" w:type="dxa"/>
            <w:gridSpan w:val="11"/>
          </w:tcPr>
          <w:p w:rsidR="00000000" w:rsidRDefault="00000000">
            <w:pPr>
              <w:pStyle w:val="DualTxt"/>
              <w:spacing w:before="60" w:after="100" w:line="200" w:lineRule="exact"/>
              <w:rPr>
                <w:sz w:val="16"/>
              </w:rPr>
            </w:pPr>
            <w:r>
              <w:rPr>
                <w:sz w:val="16"/>
              </w:rPr>
              <w:t>Средний ежемесячный размер пенсии по нетрудоспособности в латвийских латах в фактических ценах</w:t>
            </w:r>
          </w:p>
        </w:tc>
      </w:tr>
      <w:tr w:rsidR="00000000">
        <w:tblPrEx>
          <w:tblCellMar>
            <w:top w:w="0" w:type="dxa"/>
            <w:bottom w:w="0" w:type="dxa"/>
          </w:tblCellMar>
        </w:tblPrEx>
        <w:tc>
          <w:tcPr>
            <w:tcW w:w="2457" w:type="dxa"/>
          </w:tcPr>
          <w:p w:rsidR="00000000" w:rsidRDefault="00000000">
            <w:pPr>
              <w:pStyle w:val="DualTxt"/>
              <w:spacing w:before="60" w:after="100" w:line="200" w:lineRule="exact"/>
              <w:rPr>
                <w:sz w:val="16"/>
              </w:rPr>
            </w:pPr>
          </w:p>
        </w:tc>
        <w:tc>
          <w:tcPr>
            <w:tcW w:w="711" w:type="dxa"/>
          </w:tcPr>
          <w:p w:rsidR="00000000" w:rsidRDefault="00000000">
            <w:pPr>
              <w:pStyle w:val="DualTxt"/>
              <w:spacing w:before="60" w:after="100" w:line="200" w:lineRule="exact"/>
              <w:rPr>
                <w:sz w:val="16"/>
              </w:rPr>
            </w:pPr>
            <w:r>
              <w:rPr>
                <w:sz w:val="16"/>
              </w:rPr>
              <w:t>1992 г.</w:t>
            </w:r>
          </w:p>
        </w:tc>
        <w:tc>
          <w:tcPr>
            <w:tcW w:w="747" w:type="dxa"/>
          </w:tcPr>
          <w:p w:rsidR="00000000" w:rsidRDefault="00000000">
            <w:pPr>
              <w:pStyle w:val="DualTxt"/>
              <w:spacing w:before="60" w:after="100" w:line="200" w:lineRule="exact"/>
              <w:rPr>
                <w:sz w:val="16"/>
              </w:rPr>
            </w:pPr>
            <w:r>
              <w:rPr>
                <w:sz w:val="16"/>
              </w:rPr>
              <w:t>1993 г.</w:t>
            </w:r>
          </w:p>
        </w:tc>
        <w:tc>
          <w:tcPr>
            <w:tcW w:w="756" w:type="dxa"/>
          </w:tcPr>
          <w:p w:rsidR="00000000" w:rsidRDefault="00000000">
            <w:pPr>
              <w:pStyle w:val="DualTxt"/>
              <w:spacing w:before="60" w:after="100" w:line="200" w:lineRule="exact"/>
              <w:rPr>
                <w:sz w:val="16"/>
              </w:rPr>
            </w:pPr>
            <w:r>
              <w:rPr>
                <w:sz w:val="16"/>
              </w:rPr>
              <w:t>1994 г.</w:t>
            </w:r>
          </w:p>
        </w:tc>
        <w:tc>
          <w:tcPr>
            <w:tcW w:w="738" w:type="dxa"/>
          </w:tcPr>
          <w:p w:rsidR="00000000" w:rsidRDefault="00000000">
            <w:pPr>
              <w:pStyle w:val="DualTxt"/>
              <w:spacing w:before="60" w:after="100" w:line="200" w:lineRule="exact"/>
              <w:rPr>
                <w:sz w:val="16"/>
              </w:rPr>
            </w:pPr>
            <w:r>
              <w:rPr>
                <w:sz w:val="16"/>
              </w:rPr>
              <w:t>1995 г.</w:t>
            </w:r>
          </w:p>
        </w:tc>
        <w:tc>
          <w:tcPr>
            <w:tcW w:w="747" w:type="dxa"/>
          </w:tcPr>
          <w:p w:rsidR="00000000" w:rsidRDefault="00000000">
            <w:pPr>
              <w:pStyle w:val="DualTxt"/>
              <w:spacing w:before="60" w:after="100" w:line="200" w:lineRule="exact"/>
              <w:rPr>
                <w:sz w:val="16"/>
              </w:rPr>
            </w:pPr>
            <w:r>
              <w:rPr>
                <w:sz w:val="16"/>
              </w:rPr>
              <w:t>1996 г.</w:t>
            </w:r>
          </w:p>
        </w:tc>
        <w:tc>
          <w:tcPr>
            <w:tcW w:w="729" w:type="dxa"/>
          </w:tcPr>
          <w:p w:rsidR="00000000" w:rsidRDefault="00000000">
            <w:pPr>
              <w:pStyle w:val="DualTxt"/>
              <w:spacing w:before="60" w:after="100" w:line="200" w:lineRule="exact"/>
              <w:rPr>
                <w:sz w:val="16"/>
              </w:rPr>
            </w:pPr>
            <w:r>
              <w:rPr>
                <w:sz w:val="16"/>
              </w:rPr>
              <w:t>1997 г.</w:t>
            </w:r>
          </w:p>
        </w:tc>
        <w:tc>
          <w:tcPr>
            <w:tcW w:w="747" w:type="dxa"/>
          </w:tcPr>
          <w:p w:rsidR="00000000" w:rsidRDefault="00000000">
            <w:pPr>
              <w:pStyle w:val="DualTxt"/>
              <w:spacing w:before="60" w:after="100" w:line="200" w:lineRule="exact"/>
              <w:rPr>
                <w:sz w:val="16"/>
              </w:rPr>
            </w:pPr>
            <w:r>
              <w:rPr>
                <w:sz w:val="16"/>
              </w:rPr>
              <w:t>1998 г.</w:t>
            </w:r>
          </w:p>
        </w:tc>
        <w:tc>
          <w:tcPr>
            <w:tcW w:w="720" w:type="dxa"/>
          </w:tcPr>
          <w:p w:rsidR="00000000" w:rsidRDefault="00000000">
            <w:pPr>
              <w:pStyle w:val="DualTxt"/>
              <w:spacing w:before="60" w:after="100" w:line="200" w:lineRule="exact"/>
              <w:rPr>
                <w:sz w:val="16"/>
              </w:rPr>
            </w:pPr>
            <w:r>
              <w:rPr>
                <w:sz w:val="16"/>
              </w:rPr>
              <w:t>1999 г.</w:t>
            </w:r>
          </w:p>
        </w:tc>
        <w:tc>
          <w:tcPr>
            <w:tcW w:w="747" w:type="dxa"/>
          </w:tcPr>
          <w:p w:rsidR="00000000" w:rsidRDefault="00000000">
            <w:pPr>
              <w:pStyle w:val="DualTxt"/>
              <w:spacing w:before="60" w:after="100" w:line="200" w:lineRule="exact"/>
              <w:rPr>
                <w:sz w:val="16"/>
              </w:rPr>
            </w:pPr>
            <w:r>
              <w:rPr>
                <w:sz w:val="16"/>
              </w:rPr>
              <w:t>2000 г.</w:t>
            </w:r>
          </w:p>
        </w:tc>
        <w:tc>
          <w:tcPr>
            <w:tcW w:w="711" w:type="dxa"/>
          </w:tcPr>
          <w:p w:rsidR="00000000" w:rsidRDefault="00000000">
            <w:pPr>
              <w:pStyle w:val="DualTxt"/>
              <w:spacing w:before="60" w:after="100" w:line="200" w:lineRule="exact"/>
              <w:rPr>
                <w:sz w:val="16"/>
              </w:rPr>
            </w:pPr>
            <w:r>
              <w:rPr>
                <w:sz w:val="16"/>
              </w:rPr>
              <w:t>2001 г.</w:t>
            </w:r>
          </w:p>
        </w:tc>
      </w:tr>
      <w:tr w:rsidR="00000000">
        <w:tblPrEx>
          <w:tblCellMar>
            <w:top w:w="0" w:type="dxa"/>
            <w:bottom w:w="0" w:type="dxa"/>
          </w:tblCellMar>
        </w:tblPrEx>
        <w:tc>
          <w:tcPr>
            <w:tcW w:w="2457" w:type="dxa"/>
          </w:tcPr>
          <w:p w:rsidR="00000000" w:rsidRDefault="00000000">
            <w:pPr>
              <w:pStyle w:val="DualTxt"/>
              <w:jc w:val="left"/>
              <w:rPr>
                <w:sz w:val="18"/>
              </w:rPr>
            </w:pPr>
            <w:r>
              <w:rPr>
                <w:sz w:val="18"/>
              </w:rPr>
              <w:t>Средний размер по всем видам пенсий:</w:t>
            </w:r>
          </w:p>
        </w:tc>
        <w:tc>
          <w:tcPr>
            <w:tcW w:w="711" w:type="dxa"/>
          </w:tcPr>
          <w:p w:rsidR="00000000" w:rsidRDefault="00000000">
            <w:pPr>
              <w:pStyle w:val="DualTxt"/>
              <w:jc w:val="left"/>
              <w:rPr>
                <w:sz w:val="18"/>
              </w:rPr>
            </w:pPr>
            <w:r>
              <w:rPr>
                <w:sz w:val="18"/>
              </w:rPr>
              <w:t>8,29</w:t>
            </w:r>
          </w:p>
        </w:tc>
        <w:tc>
          <w:tcPr>
            <w:tcW w:w="747" w:type="dxa"/>
          </w:tcPr>
          <w:p w:rsidR="00000000" w:rsidRDefault="00000000">
            <w:pPr>
              <w:pStyle w:val="DualTxt"/>
              <w:jc w:val="left"/>
              <w:rPr>
                <w:sz w:val="18"/>
              </w:rPr>
            </w:pPr>
            <w:r>
              <w:rPr>
                <w:sz w:val="18"/>
              </w:rPr>
              <w:t>10,50</w:t>
            </w:r>
          </w:p>
        </w:tc>
        <w:tc>
          <w:tcPr>
            <w:tcW w:w="756" w:type="dxa"/>
          </w:tcPr>
          <w:p w:rsidR="00000000" w:rsidRDefault="00000000">
            <w:pPr>
              <w:pStyle w:val="DualTxt"/>
              <w:jc w:val="left"/>
              <w:rPr>
                <w:sz w:val="18"/>
              </w:rPr>
            </w:pPr>
            <w:r>
              <w:rPr>
                <w:sz w:val="18"/>
              </w:rPr>
              <w:t>27,00</w:t>
            </w:r>
          </w:p>
        </w:tc>
        <w:tc>
          <w:tcPr>
            <w:tcW w:w="738" w:type="dxa"/>
          </w:tcPr>
          <w:p w:rsidR="00000000" w:rsidRDefault="00000000">
            <w:pPr>
              <w:pStyle w:val="DualTxt"/>
              <w:jc w:val="left"/>
              <w:rPr>
                <w:sz w:val="18"/>
              </w:rPr>
            </w:pPr>
            <w:r>
              <w:rPr>
                <w:sz w:val="18"/>
              </w:rPr>
              <w:t>32,72</w:t>
            </w:r>
          </w:p>
        </w:tc>
        <w:tc>
          <w:tcPr>
            <w:tcW w:w="747" w:type="dxa"/>
          </w:tcPr>
          <w:p w:rsidR="00000000" w:rsidRDefault="00000000">
            <w:pPr>
              <w:pStyle w:val="DualTxt"/>
              <w:jc w:val="left"/>
              <w:rPr>
                <w:sz w:val="18"/>
              </w:rPr>
            </w:pPr>
            <w:r>
              <w:rPr>
                <w:sz w:val="18"/>
              </w:rPr>
              <w:t>38,50</w:t>
            </w:r>
          </w:p>
        </w:tc>
        <w:tc>
          <w:tcPr>
            <w:tcW w:w="729" w:type="dxa"/>
          </w:tcPr>
          <w:p w:rsidR="00000000" w:rsidRDefault="00000000">
            <w:pPr>
              <w:pStyle w:val="DualTxt"/>
              <w:jc w:val="left"/>
              <w:rPr>
                <w:sz w:val="18"/>
              </w:rPr>
            </w:pPr>
            <w:r>
              <w:rPr>
                <w:sz w:val="18"/>
              </w:rPr>
              <w:t>42,42</w:t>
            </w:r>
          </w:p>
        </w:tc>
        <w:tc>
          <w:tcPr>
            <w:tcW w:w="747" w:type="dxa"/>
          </w:tcPr>
          <w:p w:rsidR="00000000" w:rsidRDefault="00000000">
            <w:pPr>
              <w:pStyle w:val="DualTxt"/>
              <w:jc w:val="left"/>
              <w:rPr>
                <w:sz w:val="18"/>
              </w:rPr>
            </w:pPr>
            <w:r>
              <w:rPr>
                <w:sz w:val="18"/>
              </w:rPr>
              <w:t>51,23</w:t>
            </w:r>
          </w:p>
        </w:tc>
        <w:tc>
          <w:tcPr>
            <w:tcW w:w="720" w:type="dxa"/>
          </w:tcPr>
          <w:p w:rsidR="00000000" w:rsidRDefault="00000000">
            <w:pPr>
              <w:pStyle w:val="DualTxt"/>
              <w:jc w:val="left"/>
              <w:rPr>
                <w:sz w:val="18"/>
              </w:rPr>
            </w:pPr>
            <w:r>
              <w:rPr>
                <w:sz w:val="18"/>
              </w:rPr>
              <w:t>58,00</w:t>
            </w:r>
          </w:p>
        </w:tc>
        <w:tc>
          <w:tcPr>
            <w:tcW w:w="747" w:type="dxa"/>
          </w:tcPr>
          <w:p w:rsidR="00000000" w:rsidRDefault="00000000">
            <w:pPr>
              <w:pStyle w:val="DualTxt"/>
              <w:jc w:val="left"/>
              <w:rPr>
                <w:sz w:val="18"/>
              </w:rPr>
            </w:pPr>
            <w:r>
              <w:rPr>
                <w:sz w:val="18"/>
              </w:rPr>
              <w:t>58,54</w:t>
            </w:r>
          </w:p>
        </w:tc>
        <w:tc>
          <w:tcPr>
            <w:tcW w:w="711" w:type="dxa"/>
          </w:tcPr>
          <w:p w:rsidR="00000000" w:rsidRDefault="00000000">
            <w:pPr>
              <w:pStyle w:val="DualTxt"/>
              <w:jc w:val="left"/>
              <w:rPr>
                <w:sz w:val="18"/>
              </w:rPr>
            </w:pPr>
            <w:r>
              <w:rPr>
                <w:sz w:val="18"/>
              </w:rPr>
              <w:t>58,87</w:t>
            </w:r>
          </w:p>
        </w:tc>
      </w:tr>
      <w:tr w:rsidR="00000000">
        <w:tblPrEx>
          <w:tblCellMar>
            <w:top w:w="0" w:type="dxa"/>
            <w:bottom w:w="0" w:type="dxa"/>
          </w:tblCellMar>
        </w:tblPrEx>
        <w:tc>
          <w:tcPr>
            <w:tcW w:w="2457" w:type="dxa"/>
          </w:tcPr>
          <w:p w:rsidR="00000000" w:rsidRDefault="00000000">
            <w:pPr>
              <w:pStyle w:val="DualTxt"/>
              <w:jc w:val="left"/>
              <w:rPr>
                <w:sz w:val="18"/>
              </w:rPr>
            </w:pPr>
            <w:r>
              <w:rPr>
                <w:sz w:val="18"/>
              </w:rPr>
              <w:t>мужчины</w:t>
            </w:r>
          </w:p>
        </w:tc>
        <w:tc>
          <w:tcPr>
            <w:tcW w:w="711" w:type="dxa"/>
          </w:tcPr>
          <w:p w:rsidR="00000000" w:rsidRDefault="00000000">
            <w:pPr>
              <w:pStyle w:val="DualTxt"/>
              <w:jc w:val="left"/>
              <w:rPr>
                <w:sz w:val="18"/>
              </w:rPr>
            </w:pPr>
            <w:r>
              <w:rPr>
                <w:sz w:val="18"/>
              </w:rPr>
              <w:t>Х</w:t>
            </w:r>
          </w:p>
        </w:tc>
        <w:tc>
          <w:tcPr>
            <w:tcW w:w="747" w:type="dxa"/>
          </w:tcPr>
          <w:p w:rsidR="00000000" w:rsidRDefault="00000000">
            <w:pPr>
              <w:pStyle w:val="DualTxt"/>
              <w:jc w:val="left"/>
              <w:rPr>
                <w:sz w:val="18"/>
              </w:rPr>
            </w:pPr>
            <w:r>
              <w:rPr>
                <w:sz w:val="18"/>
              </w:rPr>
              <w:t>Х</w:t>
            </w:r>
          </w:p>
        </w:tc>
        <w:tc>
          <w:tcPr>
            <w:tcW w:w="756" w:type="dxa"/>
          </w:tcPr>
          <w:p w:rsidR="00000000" w:rsidRDefault="00000000">
            <w:pPr>
              <w:pStyle w:val="DualTxt"/>
              <w:jc w:val="left"/>
              <w:rPr>
                <w:sz w:val="18"/>
              </w:rPr>
            </w:pPr>
            <w:r>
              <w:rPr>
                <w:sz w:val="18"/>
              </w:rPr>
              <w:t>Х</w:t>
            </w:r>
          </w:p>
        </w:tc>
        <w:tc>
          <w:tcPr>
            <w:tcW w:w="738" w:type="dxa"/>
          </w:tcPr>
          <w:p w:rsidR="00000000" w:rsidRDefault="00000000">
            <w:pPr>
              <w:pStyle w:val="DualTxt"/>
              <w:jc w:val="left"/>
              <w:rPr>
                <w:sz w:val="18"/>
              </w:rPr>
            </w:pPr>
            <w:r>
              <w:rPr>
                <w:sz w:val="18"/>
              </w:rPr>
              <w:t>Х</w:t>
            </w:r>
          </w:p>
        </w:tc>
        <w:tc>
          <w:tcPr>
            <w:tcW w:w="747" w:type="dxa"/>
          </w:tcPr>
          <w:p w:rsidR="00000000" w:rsidRDefault="00000000">
            <w:pPr>
              <w:pStyle w:val="DualTxt"/>
              <w:jc w:val="left"/>
              <w:rPr>
                <w:sz w:val="18"/>
              </w:rPr>
            </w:pPr>
            <w:r>
              <w:rPr>
                <w:sz w:val="18"/>
              </w:rPr>
              <w:t>Х</w:t>
            </w:r>
          </w:p>
        </w:tc>
        <w:tc>
          <w:tcPr>
            <w:tcW w:w="729" w:type="dxa"/>
          </w:tcPr>
          <w:p w:rsidR="00000000" w:rsidRDefault="00000000">
            <w:pPr>
              <w:pStyle w:val="DualTxt"/>
              <w:jc w:val="left"/>
              <w:rPr>
                <w:sz w:val="18"/>
              </w:rPr>
            </w:pPr>
            <w:r>
              <w:rPr>
                <w:sz w:val="18"/>
              </w:rPr>
              <w:t>44,36</w:t>
            </w:r>
          </w:p>
        </w:tc>
        <w:tc>
          <w:tcPr>
            <w:tcW w:w="747" w:type="dxa"/>
          </w:tcPr>
          <w:p w:rsidR="00000000" w:rsidRDefault="00000000">
            <w:pPr>
              <w:pStyle w:val="DualTxt"/>
              <w:jc w:val="left"/>
              <w:rPr>
                <w:sz w:val="18"/>
              </w:rPr>
            </w:pPr>
            <w:r>
              <w:rPr>
                <w:sz w:val="18"/>
              </w:rPr>
              <w:t>53,78</w:t>
            </w:r>
          </w:p>
        </w:tc>
        <w:tc>
          <w:tcPr>
            <w:tcW w:w="720" w:type="dxa"/>
          </w:tcPr>
          <w:p w:rsidR="00000000" w:rsidRDefault="00000000">
            <w:pPr>
              <w:pStyle w:val="DualTxt"/>
              <w:jc w:val="left"/>
              <w:rPr>
                <w:sz w:val="18"/>
              </w:rPr>
            </w:pPr>
            <w:r>
              <w:rPr>
                <w:sz w:val="18"/>
              </w:rPr>
              <w:t>62,34</w:t>
            </w:r>
          </w:p>
        </w:tc>
        <w:tc>
          <w:tcPr>
            <w:tcW w:w="747" w:type="dxa"/>
          </w:tcPr>
          <w:p w:rsidR="00000000" w:rsidRDefault="00000000">
            <w:pPr>
              <w:pStyle w:val="DualTxt"/>
              <w:jc w:val="left"/>
              <w:rPr>
                <w:sz w:val="18"/>
              </w:rPr>
            </w:pPr>
            <w:r>
              <w:rPr>
                <w:sz w:val="18"/>
              </w:rPr>
              <w:t>62,91</w:t>
            </w:r>
          </w:p>
        </w:tc>
        <w:tc>
          <w:tcPr>
            <w:tcW w:w="711" w:type="dxa"/>
          </w:tcPr>
          <w:p w:rsidR="00000000" w:rsidRDefault="00000000">
            <w:pPr>
              <w:pStyle w:val="DualTxt"/>
              <w:jc w:val="left"/>
              <w:rPr>
                <w:sz w:val="18"/>
              </w:rPr>
            </w:pPr>
            <w:r>
              <w:rPr>
                <w:sz w:val="18"/>
              </w:rPr>
              <w:t>63,19</w:t>
            </w:r>
          </w:p>
        </w:tc>
      </w:tr>
      <w:tr w:rsidR="00000000">
        <w:tblPrEx>
          <w:tblCellMar>
            <w:top w:w="0" w:type="dxa"/>
            <w:bottom w:w="0" w:type="dxa"/>
          </w:tblCellMar>
        </w:tblPrEx>
        <w:tc>
          <w:tcPr>
            <w:tcW w:w="2457" w:type="dxa"/>
          </w:tcPr>
          <w:p w:rsidR="00000000" w:rsidRDefault="00000000">
            <w:pPr>
              <w:pStyle w:val="DualTxt"/>
              <w:jc w:val="left"/>
              <w:rPr>
                <w:sz w:val="18"/>
              </w:rPr>
            </w:pPr>
            <w:r>
              <w:rPr>
                <w:sz w:val="18"/>
              </w:rPr>
              <w:t>женщины</w:t>
            </w:r>
          </w:p>
        </w:tc>
        <w:tc>
          <w:tcPr>
            <w:tcW w:w="711" w:type="dxa"/>
          </w:tcPr>
          <w:p w:rsidR="00000000" w:rsidRDefault="00000000">
            <w:pPr>
              <w:pStyle w:val="DualTxt"/>
              <w:jc w:val="left"/>
              <w:rPr>
                <w:sz w:val="18"/>
              </w:rPr>
            </w:pPr>
            <w:r>
              <w:rPr>
                <w:sz w:val="18"/>
              </w:rPr>
              <w:t>Х</w:t>
            </w:r>
          </w:p>
        </w:tc>
        <w:tc>
          <w:tcPr>
            <w:tcW w:w="747" w:type="dxa"/>
          </w:tcPr>
          <w:p w:rsidR="00000000" w:rsidRDefault="00000000">
            <w:pPr>
              <w:pStyle w:val="DualTxt"/>
              <w:jc w:val="left"/>
              <w:rPr>
                <w:sz w:val="18"/>
              </w:rPr>
            </w:pPr>
            <w:r>
              <w:rPr>
                <w:sz w:val="18"/>
              </w:rPr>
              <w:t>Х</w:t>
            </w:r>
          </w:p>
        </w:tc>
        <w:tc>
          <w:tcPr>
            <w:tcW w:w="756" w:type="dxa"/>
          </w:tcPr>
          <w:p w:rsidR="00000000" w:rsidRDefault="00000000">
            <w:pPr>
              <w:pStyle w:val="DualTxt"/>
              <w:jc w:val="left"/>
              <w:rPr>
                <w:sz w:val="18"/>
              </w:rPr>
            </w:pPr>
            <w:r>
              <w:rPr>
                <w:sz w:val="18"/>
              </w:rPr>
              <w:t>Х</w:t>
            </w:r>
          </w:p>
        </w:tc>
        <w:tc>
          <w:tcPr>
            <w:tcW w:w="738" w:type="dxa"/>
          </w:tcPr>
          <w:p w:rsidR="00000000" w:rsidRDefault="00000000">
            <w:pPr>
              <w:pStyle w:val="DualTxt"/>
              <w:jc w:val="left"/>
              <w:rPr>
                <w:sz w:val="18"/>
              </w:rPr>
            </w:pPr>
            <w:r>
              <w:rPr>
                <w:sz w:val="18"/>
              </w:rPr>
              <w:t>Х</w:t>
            </w:r>
          </w:p>
        </w:tc>
        <w:tc>
          <w:tcPr>
            <w:tcW w:w="747" w:type="dxa"/>
          </w:tcPr>
          <w:p w:rsidR="00000000" w:rsidRDefault="00000000">
            <w:pPr>
              <w:pStyle w:val="DualTxt"/>
              <w:jc w:val="left"/>
              <w:rPr>
                <w:sz w:val="18"/>
              </w:rPr>
            </w:pPr>
            <w:r>
              <w:rPr>
                <w:sz w:val="18"/>
              </w:rPr>
              <w:t>Х</w:t>
            </w:r>
          </w:p>
        </w:tc>
        <w:tc>
          <w:tcPr>
            <w:tcW w:w="729" w:type="dxa"/>
          </w:tcPr>
          <w:p w:rsidR="00000000" w:rsidRDefault="00000000">
            <w:pPr>
              <w:pStyle w:val="DualTxt"/>
              <w:jc w:val="left"/>
              <w:rPr>
                <w:sz w:val="18"/>
              </w:rPr>
            </w:pPr>
            <w:r>
              <w:rPr>
                <w:sz w:val="18"/>
              </w:rPr>
              <w:t>41,90</w:t>
            </w:r>
          </w:p>
        </w:tc>
        <w:tc>
          <w:tcPr>
            <w:tcW w:w="747" w:type="dxa"/>
          </w:tcPr>
          <w:p w:rsidR="00000000" w:rsidRDefault="00000000">
            <w:pPr>
              <w:pStyle w:val="DualTxt"/>
              <w:jc w:val="left"/>
              <w:rPr>
                <w:sz w:val="18"/>
              </w:rPr>
            </w:pPr>
            <w:r>
              <w:rPr>
                <w:sz w:val="18"/>
              </w:rPr>
              <w:t>50,56</w:t>
            </w:r>
          </w:p>
        </w:tc>
        <w:tc>
          <w:tcPr>
            <w:tcW w:w="720" w:type="dxa"/>
          </w:tcPr>
          <w:p w:rsidR="00000000" w:rsidRDefault="00000000">
            <w:pPr>
              <w:pStyle w:val="DualTxt"/>
              <w:jc w:val="left"/>
              <w:rPr>
                <w:sz w:val="18"/>
              </w:rPr>
            </w:pPr>
            <w:r>
              <w:rPr>
                <w:sz w:val="18"/>
              </w:rPr>
              <w:t>56,56</w:t>
            </w:r>
          </w:p>
        </w:tc>
        <w:tc>
          <w:tcPr>
            <w:tcW w:w="747" w:type="dxa"/>
          </w:tcPr>
          <w:p w:rsidR="00000000" w:rsidRDefault="00000000">
            <w:pPr>
              <w:pStyle w:val="DualTxt"/>
              <w:jc w:val="left"/>
              <w:rPr>
                <w:sz w:val="18"/>
              </w:rPr>
            </w:pPr>
            <w:r>
              <w:rPr>
                <w:sz w:val="18"/>
              </w:rPr>
              <w:t>57,16</w:t>
            </w:r>
          </w:p>
        </w:tc>
        <w:tc>
          <w:tcPr>
            <w:tcW w:w="711" w:type="dxa"/>
          </w:tcPr>
          <w:p w:rsidR="00000000" w:rsidRDefault="00000000">
            <w:pPr>
              <w:pStyle w:val="DualTxt"/>
              <w:jc w:val="left"/>
              <w:rPr>
                <w:sz w:val="18"/>
              </w:rPr>
            </w:pPr>
            <w:r>
              <w:rPr>
                <w:sz w:val="18"/>
              </w:rPr>
              <w:t>57,55</w:t>
            </w:r>
          </w:p>
        </w:tc>
      </w:tr>
      <w:tr w:rsidR="00000000">
        <w:tblPrEx>
          <w:tblCellMar>
            <w:top w:w="0" w:type="dxa"/>
            <w:bottom w:w="0" w:type="dxa"/>
          </w:tblCellMar>
        </w:tblPrEx>
        <w:tc>
          <w:tcPr>
            <w:tcW w:w="2457" w:type="dxa"/>
          </w:tcPr>
          <w:p w:rsidR="00000000" w:rsidRDefault="00000000">
            <w:pPr>
              <w:pStyle w:val="DualTxt"/>
              <w:jc w:val="left"/>
              <w:rPr>
                <w:sz w:val="18"/>
              </w:rPr>
            </w:pPr>
            <w:r>
              <w:rPr>
                <w:sz w:val="18"/>
              </w:rPr>
              <w:t>в том чи</w:t>
            </w:r>
            <w:r>
              <w:rPr>
                <w:sz w:val="18"/>
              </w:rPr>
              <w:t>с</w:t>
            </w:r>
            <w:r>
              <w:rPr>
                <w:sz w:val="18"/>
              </w:rPr>
              <w:t>ле:</w:t>
            </w:r>
          </w:p>
        </w:tc>
        <w:tc>
          <w:tcPr>
            <w:tcW w:w="711" w:type="dxa"/>
          </w:tcPr>
          <w:p w:rsidR="00000000" w:rsidRDefault="00000000">
            <w:pPr>
              <w:pStyle w:val="DualTxt"/>
              <w:jc w:val="left"/>
              <w:rPr>
                <w:sz w:val="18"/>
              </w:rPr>
            </w:pPr>
          </w:p>
        </w:tc>
        <w:tc>
          <w:tcPr>
            <w:tcW w:w="747" w:type="dxa"/>
          </w:tcPr>
          <w:p w:rsidR="00000000" w:rsidRDefault="00000000">
            <w:pPr>
              <w:pStyle w:val="DualTxt"/>
              <w:jc w:val="left"/>
              <w:rPr>
                <w:sz w:val="18"/>
              </w:rPr>
            </w:pPr>
          </w:p>
        </w:tc>
        <w:tc>
          <w:tcPr>
            <w:tcW w:w="756" w:type="dxa"/>
          </w:tcPr>
          <w:p w:rsidR="00000000" w:rsidRDefault="00000000">
            <w:pPr>
              <w:pStyle w:val="DualTxt"/>
              <w:jc w:val="left"/>
              <w:rPr>
                <w:sz w:val="18"/>
              </w:rPr>
            </w:pPr>
          </w:p>
        </w:tc>
        <w:tc>
          <w:tcPr>
            <w:tcW w:w="738" w:type="dxa"/>
          </w:tcPr>
          <w:p w:rsidR="00000000" w:rsidRDefault="00000000">
            <w:pPr>
              <w:pStyle w:val="DualTxt"/>
              <w:jc w:val="left"/>
              <w:rPr>
                <w:sz w:val="18"/>
              </w:rPr>
            </w:pPr>
          </w:p>
        </w:tc>
        <w:tc>
          <w:tcPr>
            <w:tcW w:w="747" w:type="dxa"/>
          </w:tcPr>
          <w:p w:rsidR="00000000" w:rsidRDefault="00000000">
            <w:pPr>
              <w:pStyle w:val="DualTxt"/>
              <w:jc w:val="left"/>
              <w:rPr>
                <w:sz w:val="18"/>
              </w:rPr>
            </w:pPr>
          </w:p>
        </w:tc>
        <w:tc>
          <w:tcPr>
            <w:tcW w:w="729" w:type="dxa"/>
          </w:tcPr>
          <w:p w:rsidR="00000000" w:rsidRDefault="00000000">
            <w:pPr>
              <w:pStyle w:val="DualTxt"/>
              <w:jc w:val="left"/>
              <w:rPr>
                <w:sz w:val="18"/>
              </w:rPr>
            </w:pPr>
          </w:p>
        </w:tc>
        <w:tc>
          <w:tcPr>
            <w:tcW w:w="747" w:type="dxa"/>
          </w:tcPr>
          <w:p w:rsidR="00000000" w:rsidRDefault="00000000">
            <w:pPr>
              <w:pStyle w:val="DualTxt"/>
              <w:jc w:val="left"/>
              <w:rPr>
                <w:sz w:val="18"/>
              </w:rPr>
            </w:pPr>
          </w:p>
        </w:tc>
        <w:tc>
          <w:tcPr>
            <w:tcW w:w="720" w:type="dxa"/>
          </w:tcPr>
          <w:p w:rsidR="00000000" w:rsidRDefault="00000000">
            <w:pPr>
              <w:pStyle w:val="DualTxt"/>
              <w:jc w:val="left"/>
              <w:rPr>
                <w:sz w:val="18"/>
              </w:rPr>
            </w:pPr>
          </w:p>
        </w:tc>
        <w:tc>
          <w:tcPr>
            <w:tcW w:w="747" w:type="dxa"/>
          </w:tcPr>
          <w:p w:rsidR="00000000" w:rsidRDefault="00000000">
            <w:pPr>
              <w:pStyle w:val="DualTxt"/>
              <w:jc w:val="left"/>
              <w:rPr>
                <w:sz w:val="18"/>
              </w:rPr>
            </w:pPr>
          </w:p>
        </w:tc>
        <w:tc>
          <w:tcPr>
            <w:tcW w:w="711" w:type="dxa"/>
          </w:tcPr>
          <w:p w:rsidR="00000000" w:rsidRDefault="00000000">
            <w:pPr>
              <w:pStyle w:val="DualTxt"/>
              <w:jc w:val="left"/>
              <w:rPr>
                <w:sz w:val="18"/>
              </w:rPr>
            </w:pPr>
          </w:p>
        </w:tc>
      </w:tr>
      <w:tr w:rsidR="00000000">
        <w:tblPrEx>
          <w:tblCellMar>
            <w:top w:w="0" w:type="dxa"/>
            <w:bottom w:w="0" w:type="dxa"/>
          </w:tblCellMar>
        </w:tblPrEx>
        <w:tc>
          <w:tcPr>
            <w:tcW w:w="2457" w:type="dxa"/>
          </w:tcPr>
          <w:p w:rsidR="00000000" w:rsidRDefault="00000000">
            <w:pPr>
              <w:pStyle w:val="DualTxt"/>
              <w:jc w:val="left"/>
              <w:rPr>
                <w:sz w:val="18"/>
              </w:rPr>
            </w:pPr>
            <w:r>
              <w:rPr>
                <w:sz w:val="18"/>
              </w:rPr>
              <w:t>пенсии по инвалидн</w:t>
            </w:r>
            <w:r>
              <w:rPr>
                <w:sz w:val="18"/>
              </w:rPr>
              <w:t>о</w:t>
            </w:r>
            <w:r>
              <w:rPr>
                <w:sz w:val="18"/>
              </w:rPr>
              <w:t>сти</w:t>
            </w:r>
          </w:p>
        </w:tc>
        <w:tc>
          <w:tcPr>
            <w:tcW w:w="711" w:type="dxa"/>
          </w:tcPr>
          <w:p w:rsidR="00000000" w:rsidRDefault="00000000">
            <w:pPr>
              <w:pStyle w:val="DualTxt"/>
              <w:jc w:val="left"/>
              <w:rPr>
                <w:sz w:val="18"/>
              </w:rPr>
            </w:pPr>
            <w:r>
              <w:rPr>
                <w:sz w:val="18"/>
              </w:rPr>
              <w:t>13,29</w:t>
            </w:r>
          </w:p>
        </w:tc>
        <w:tc>
          <w:tcPr>
            <w:tcW w:w="747" w:type="dxa"/>
          </w:tcPr>
          <w:p w:rsidR="00000000" w:rsidRDefault="00000000">
            <w:pPr>
              <w:pStyle w:val="DualTxt"/>
              <w:jc w:val="left"/>
              <w:rPr>
                <w:sz w:val="18"/>
              </w:rPr>
            </w:pPr>
            <w:r>
              <w:rPr>
                <w:sz w:val="18"/>
              </w:rPr>
              <w:t>14,00</w:t>
            </w:r>
          </w:p>
        </w:tc>
        <w:tc>
          <w:tcPr>
            <w:tcW w:w="756" w:type="dxa"/>
          </w:tcPr>
          <w:p w:rsidR="00000000" w:rsidRDefault="00000000">
            <w:pPr>
              <w:pStyle w:val="DualTxt"/>
              <w:jc w:val="left"/>
              <w:rPr>
                <w:sz w:val="18"/>
              </w:rPr>
            </w:pPr>
            <w:r>
              <w:rPr>
                <w:sz w:val="18"/>
              </w:rPr>
              <w:t>28,30</w:t>
            </w:r>
          </w:p>
        </w:tc>
        <w:tc>
          <w:tcPr>
            <w:tcW w:w="738" w:type="dxa"/>
          </w:tcPr>
          <w:p w:rsidR="00000000" w:rsidRDefault="00000000">
            <w:pPr>
              <w:pStyle w:val="DualTxt"/>
              <w:jc w:val="left"/>
              <w:rPr>
                <w:sz w:val="18"/>
              </w:rPr>
            </w:pPr>
            <w:r>
              <w:rPr>
                <w:sz w:val="18"/>
              </w:rPr>
              <w:t>33,90</w:t>
            </w:r>
          </w:p>
        </w:tc>
        <w:tc>
          <w:tcPr>
            <w:tcW w:w="747" w:type="dxa"/>
          </w:tcPr>
          <w:p w:rsidR="00000000" w:rsidRDefault="00000000">
            <w:pPr>
              <w:pStyle w:val="DualTxt"/>
              <w:jc w:val="left"/>
              <w:rPr>
                <w:sz w:val="18"/>
              </w:rPr>
            </w:pPr>
            <w:r>
              <w:rPr>
                <w:sz w:val="18"/>
              </w:rPr>
              <w:t>39,20</w:t>
            </w:r>
          </w:p>
        </w:tc>
        <w:tc>
          <w:tcPr>
            <w:tcW w:w="729" w:type="dxa"/>
          </w:tcPr>
          <w:p w:rsidR="00000000" w:rsidRDefault="00000000">
            <w:pPr>
              <w:pStyle w:val="DualTxt"/>
              <w:jc w:val="left"/>
              <w:rPr>
                <w:sz w:val="18"/>
              </w:rPr>
            </w:pPr>
            <w:r>
              <w:rPr>
                <w:sz w:val="18"/>
              </w:rPr>
              <w:t>42,81</w:t>
            </w:r>
          </w:p>
        </w:tc>
        <w:tc>
          <w:tcPr>
            <w:tcW w:w="747" w:type="dxa"/>
          </w:tcPr>
          <w:p w:rsidR="00000000" w:rsidRDefault="00000000">
            <w:pPr>
              <w:pStyle w:val="DualTxt"/>
              <w:jc w:val="left"/>
              <w:rPr>
                <w:sz w:val="18"/>
              </w:rPr>
            </w:pPr>
            <w:r>
              <w:rPr>
                <w:sz w:val="18"/>
              </w:rPr>
              <w:t>50,86</w:t>
            </w:r>
          </w:p>
        </w:tc>
        <w:tc>
          <w:tcPr>
            <w:tcW w:w="720" w:type="dxa"/>
          </w:tcPr>
          <w:p w:rsidR="00000000" w:rsidRDefault="00000000">
            <w:pPr>
              <w:pStyle w:val="DualTxt"/>
              <w:jc w:val="left"/>
              <w:rPr>
                <w:sz w:val="18"/>
              </w:rPr>
            </w:pPr>
            <w:r>
              <w:rPr>
                <w:sz w:val="18"/>
              </w:rPr>
              <w:t>54,70</w:t>
            </w:r>
          </w:p>
        </w:tc>
        <w:tc>
          <w:tcPr>
            <w:tcW w:w="747" w:type="dxa"/>
          </w:tcPr>
          <w:p w:rsidR="00000000" w:rsidRDefault="00000000">
            <w:pPr>
              <w:pStyle w:val="DualTxt"/>
              <w:jc w:val="left"/>
              <w:rPr>
                <w:sz w:val="18"/>
              </w:rPr>
            </w:pPr>
            <w:r>
              <w:rPr>
                <w:sz w:val="18"/>
              </w:rPr>
              <w:t>53,98</w:t>
            </w:r>
          </w:p>
        </w:tc>
        <w:tc>
          <w:tcPr>
            <w:tcW w:w="711" w:type="dxa"/>
          </w:tcPr>
          <w:p w:rsidR="00000000" w:rsidRDefault="00000000">
            <w:pPr>
              <w:pStyle w:val="DualTxt"/>
              <w:jc w:val="left"/>
              <w:rPr>
                <w:sz w:val="18"/>
              </w:rPr>
            </w:pPr>
            <w:r>
              <w:rPr>
                <w:sz w:val="18"/>
              </w:rPr>
              <w:t>53,40</w:t>
            </w:r>
          </w:p>
        </w:tc>
      </w:tr>
      <w:tr w:rsidR="00000000">
        <w:tblPrEx>
          <w:tblCellMar>
            <w:top w:w="0" w:type="dxa"/>
            <w:bottom w:w="0" w:type="dxa"/>
          </w:tblCellMar>
        </w:tblPrEx>
        <w:tc>
          <w:tcPr>
            <w:tcW w:w="2457" w:type="dxa"/>
          </w:tcPr>
          <w:p w:rsidR="00000000" w:rsidRDefault="00000000">
            <w:pPr>
              <w:pStyle w:val="DualTxt"/>
              <w:jc w:val="left"/>
              <w:rPr>
                <w:sz w:val="18"/>
              </w:rPr>
            </w:pPr>
            <w:r>
              <w:rPr>
                <w:sz w:val="18"/>
              </w:rPr>
              <w:t>мужчины</w:t>
            </w:r>
          </w:p>
        </w:tc>
        <w:tc>
          <w:tcPr>
            <w:tcW w:w="711" w:type="dxa"/>
          </w:tcPr>
          <w:p w:rsidR="00000000" w:rsidRDefault="00000000">
            <w:pPr>
              <w:pStyle w:val="DualTxt"/>
              <w:jc w:val="left"/>
              <w:rPr>
                <w:sz w:val="18"/>
              </w:rPr>
            </w:pPr>
            <w:r>
              <w:rPr>
                <w:sz w:val="18"/>
              </w:rPr>
              <w:t>Х</w:t>
            </w:r>
          </w:p>
        </w:tc>
        <w:tc>
          <w:tcPr>
            <w:tcW w:w="747" w:type="dxa"/>
          </w:tcPr>
          <w:p w:rsidR="00000000" w:rsidRDefault="00000000">
            <w:pPr>
              <w:pStyle w:val="DualTxt"/>
              <w:jc w:val="left"/>
              <w:rPr>
                <w:sz w:val="18"/>
              </w:rPr>
            </w:pPr>
            <w:r>
              <w:rPr>
                <w:sz w:val="18"/>
              </w:rPr>
              <w:t>Х</w:t>
            </w:r>
          </w:p>
        </w:tc>
        <w:tc>
          <w:tcPr>
            <w:tcW w:w="756" w:type="dxa"/>
          </w:tcPr>
          <w:p w:rsidR="00000000" w:rsidRDefault="00000000">
            <w:pPr>
              <w:pStyle w:val="DualTxt"/>
              <w:jc w:val="left"/>
              <w:rPr>
                <w:sz w:val="18"/>
              </w:rPr>
            </w:pPr>
            <w:r>
              <w:rPr>
                <w:sz w:val="18"/>
              </w:rPr>
              <w:t>Х</w:t>
            </w:r>
          </w:p>
        </w:tc>
        <w:tc>
          <w:tcPr>
            <w:tcW w:w="738" w:type="dxa"/>
          </w:tcPr>
          <w:p w:rsidR="00000000" w:rsidRDefault="00000000">
            <w:pPr>
              <w:pStyle w:val="DualTxt"/>
              <w:jc w:val="left"/>
              <w:rPr>
                <w:sz w:val="18"/>
              </w:rPr>
            </w:pPr>
            <w:r>
              <w:rPr>
                <w:sz w:val="18"/>
              </w:rPr>
              <w:t>Х</w:t>
            </w:r>
          </w:p>
        </w:tc>
        <w:tc>
          <w:tcPr>
            <w:tcW w:w="747" w:type="dxa"/>
          </w:tcPr>
          <w:p w:rsidR="00000000" w:rsidRDefault="00000000">
            <w:pPr>
              <w:pStyle w:val="DualTxt"/>
              <w:jc w:val="left"/>
              <w:rPr>
                <w:sz w:val="18"/>
              </w:rPr>
            </w:pPr>
            <w:r>
              <w:rPr>
                <w:sz w:val="18"/>
              </w:rPr>
              <w:t>Х</w:t>
            </w:r>
          </w:p>
        </w:tc>
        <w:tc>
          <w:tcPr>
            <w:tcW w:w="729" w:type="dxa"/>
          </w:tcPr>
          <w:p w:rsidR="00000000" w:rsidRDefault="00000000">
            <w:pPr>
              <w:pStyle w:val="DualTxt"/>
              <w:jc w:val="left"/>
              <w:rPr>
                <w:sz w:val="18"/>
              </w:rPr>
            </w:pPr>
            <w:r>
              <w:rPr>
                <w:sz w:val="18"/>
              </w:rPr>
              <w:t>42,49</w:t>
            </w:r>
          </w:p>
        </w:tc>
        <w:tc>
          <w:tcPr>
            <w:tcW w:w="747" w:type="dxa"/>
          </w:tcPr>
          <w:p w:rsidR="00000000" w:rsidRDefault="00000000">
            <w:pPr>
              <w:pStyle w:val="DualTxt"/>
              <w:jc w:val="left"/>
              <w:rPr>
                <w:sz w:val="18"/>
              </w:rPr>
            </w:pPr>
            <w:r>
              <w:rPr>
                <w:sz w:val="18"/>
              </w:rPr>
              <w:t>50,28</w:t>
            </w:r>
          </w:p>
        </w:tc>
        <w:tc>
          <w:tcPr>
            <w:tcW w:w="720" w:type="dxa"/>
          </w:tcPr>
          <w:p w:rsidR="00000000" w:rsidRDefault="00000000">
            <w:pPr>
              <w:pStyle w:val="DualTxt"/>
              <w:jc w:val="left"/>
              <w:rPr>
                <w:sz w:val="18"/>
              </w:rPr>
            </w:pPr>
            <w:r>
              <w:rPr>
                <w:sz w:val="18"/>
              </w:rPr>
              <w:t>53,82</w:t>
            </w:r>
          </w:p>
        </w:tc>
        <w:tc>
          <w:tcPr>
            <w:tcW w:w="747" w:type="dxa"/>
          </w:tcPr>
          <w:p w:rsidR="00000000" w:rsidRDefault="00000000">
            <w:pPr>
              <w:pStyle w:val="DualTxt"/>
              <w:jc w:val="left"/>
              <w:rPr>
                <w:sz w:val="18"/>
              </w:rPr>
            </w:pPr>
            <w:r>
              <w:rPr>
                <w:sz w:val="18"/>
              </w:rPr>
              <w:t>52,84</w:t>
            </w:r>
          </w:p>
        </w:tc>
        <w:tc>
          <w:tcPr>
            <w:tcW w:w="711" w:type="dxa"/>
          </w:tcPr>
          <w:p w:rsidR="00000000" w:rsidRDefault="00000000">
            <w:pPr>
              <w:pStyle w:val="DualTxt"/>
              <w:jc w:val="left"/>
              <w:rPr>
                <w:sz w:val="18"/>
              </w:rPr>
            </w:pPr>
            <w:r>
              <w:rPr>
                <w:sz w:val="18"/>
              </w:rPr>
              <w:t>52,06</w:t>
            </w:r>
          </w:p>
        </w:tc>
      </w:tr>
      <w:tr w:rsidR="00000000">
        <w:tblPrEx>
          <w:tblCellMar>
            <w:top w:w="0" w:type="dxa"/>
            <w:bottom w:w="0" w:type="dxa"/>
          </w:tblCellMar>
        </w:tblPrEx>
        <w:tc>
          <w:tcPr>
            <w:tcW w:w="2457" w:type="dxa"/>
          </w:tcPr>
          <w:p w:rsidR="00000000" w:rsidRDefault="00000000">
            <w:pPr>
              <w:pStyle w:val="DualTxt"/>
              <w:jc w:val="left"/>
              <w:rPr>
                <w:sz w:val="18"/>
              </w:rPr>
            </w:pPr>
            <w:r>
              <w:rPr>
                <w:sz w:val="18"/>
              </w:rPr>
              <w:t>женщины</w:t>
            </w:r>
          </w:p>
        </w:tc>
        <w:tc>
          <w:tcPr>
            <w:tcW w:w="711" w:type="dxa"/>
          </w:tcPr>
          <w:p w:rsidR="00000000" w:rsidRDefault="00000000">
            <w:pPr>
              <w:pStyle w:val="DualTxt"/>
              <w:jc w:val="left"/>
              <w:rPr>
                <w:sz w:val="18"/>
              </w:rPr>
            </w:pPr>
            <w:r>
              <w:rPr>
                <w:sz w:val="18"/>
              </w:rPr>
              <w:t>Х</w:t>
            </w:r>
          </w:p>
        </w:tc>
        <w:tc>
          <w:tcPr>
            <w:tcW w:w="747" w:type="dxa"/>
          </w:tcPr>
          <w:p w:rsidR="00000000" w:rsidRDefault="00000000">
            <w:pPr>
              <w:pStyle w:val="DualTxt"/>
              <w:jc w:val="left"/>
              <w:rPr>
                <w:sz w:val="18"/>
              </w:rPr>
            </w:pPr>
            <w:r>
              <w:rPr>
                <w:sz w:val="18"/>
              </w:rPr>
              <w:t>Х</w:t>
            </w:r>
          </w:p>
        </w:tc>
        <w:tc>
          <w:tcPr>
            <w:tcW w:w="756" w:type="dxa"/>
          </w:tcPr>
          <w:p w:rsidR="00000000" w:rsidRDefault="00000000">
            <w:pPr>
              <w:pStyle w:val="DualTxt"/>
              <w:jc w:val="left"/>
              <w:rPr>
                <w:sz w:val="18"/>
              </w:rPr>
            </w:pPr>
            <w:r>
              <w:rPr>
                <w:sz w:val="18"/>
              </w:rPr>
              <w:t>Х</w:t>
            </w:r>
          </w:p>
        </w:tc>
        <w:tc>
          <w:tcPr>
            <w:tcW w:w="738" w:type="dxa"/>
          </w:tcPr>
          <w:p w:rsidR="00000000" w:rsidRDefault="00000000">
            <w:pPr>
              <w:pStyle w:val="DualTxt"/>
              <w:jc w:val="left"/>
              <w:rPr>
                <w:sz w:val="18"/>
              </w:rPr>
            </w:pPr>
            <w:r>
              <w:rPr>
                <w:sz w:val="18"/>
              </w:rPr>
              <w:t>Х</w:t>
            </w:r>
          </w:p>
        </w:tc>
        <w:tc>
          <w:tcPr>
            <w:tcW w:w="747" w:type="dxa"/>
          </w:tcPr>
          <w:p w:rsidR="00000000" w:rsidRDefault="00000000">
            <w:pPr>
              <w:pStyle w:val="DualTxt"/>
              <w:jc w:val="left"/>
              <w:rPr>
                <w:sz w:val="18"/>
              </w:rPr>
            </w:pPr>
            <w:r>
              <w:rPr>
                <w:sz w:val="18"/>
              </w:rPr>
              <w:t>Х</w:t>
            </w:r>
          </w:p>
        </w:tc>
        <w:tc>
          <w:tcPr>
            <w:tcW w:w="729" w:type="dxa"/>
          </w:tcPr>
          <w:p w:rsidR="00000000" w:rsidRDefault="00000000">
            <w:pPr>
              <w:pStyle w:val="DualTxt"/>
              <w:jc w:val="left"/>
              <w:rPr>
                <w:sz w:val="18"/>
              </w:rPr>
            </w:pPr>
            <w:r>
              <w:rPr>
                <w:sz w:val="18"/>
              </w:rPr>
              <w:t>43,14</w:t>
            </w:r>
          </w:p>
        </w:tc>
        <w:tc>
          <w:tcPr>
            <w:tcW w:w="747" w:type="dxa"/>
          </w:tcPr>
          <w:p w:rsidR="00000000" w:rsidRDefault="00000000">
            <w:pPr>
              <w:pStyle w:val="DualTxt"/>
              <w:jc w:val="left"/>
              <w:rPr>
                <w:sz w:val="18"/>
              </w:rPr>
            </w:pPr>
            <w:r>
              <w:rPr>
                <w:sz w:val="18"/>
              </w:rPr>
              <w:t>51,43</w:t>
            </w:r>
          </w:p>
        </w:tc>
        <w:tc>
          <w:tcPr>
            <w:tcW w:w="720" w:type="dxa"/>
          </w:tcPr>
          <w:p w:rsidR="00000000" w:rsidRDefault="00000000">
            <w:pPr>
              <w:pStyle w:val="DualTxt"/>
              <w:jc w:val="left"/>
              <w:rPr>
                <w:sz w:val="18"/>
              </w:rPr>
            </w:pPr>
            <w:r>
              <w:rPr>
                <w:sz w:val="18"/>
              </w:rPr>
              <w:t>55,56</w:t>
            </w:r>
          </w:p>
        </w:tc>
        <w:tc>
          <w:tcPr>
            <w:tcW w:w="747" w:type="dxa"/>
          </w:tcPr>
          <w:p w:rsidR="00000000" w:rsidRDefault="00000000">
            <w:pPr>
              <w:pStyle w:val="DualTxt"/>
              <w:jc w:val="left"/>
              <w:rPr>
                <w:sz w:val="18"/>
              </w:rPr>
            </w:pPr>
            <w:r>
              <w:rPr>
                <w:sz w:val="18"/>
              </w:rPr>
              <w:t>55,11</w:t>
            </w:r>
          </w:p>
        </w:tc>
        <w:tc>
          <w:tcPr>
            <w:tcW w:w="711" w:type="dxa"/>
          </w:tcPr>
          <w:p w:rsidR="00000000" w:rsidRDefault="00000000">
            <w:pPr>
              <w:pStyle w:val="DualTxt"/>
              <w:jc w:val="left"/>
              <w:rPr>
                <w:sz w:val="18"/>
              </w:rPr>
            </w:pPr>
            <w:r>
              <w:rPr>
                <w:sz w:val="18"/>
              </w:rPr>
              <w:t>54,70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193.</w:t>
      </w:r>
      <w:r>
        <w:tab/>
        <w:t>В соответствии с принципами, установленными законом «О медицинской и социальной помощи инвалидам», все инвалиды пользуются равными правами на получение медицинской и социальной помощи. В вышеупомянутом законе приводится также определение инвалида: в Латвии инвалидом считается лицо, которое требует дополнительной медицинской и социальной помощи вследс</w:t>
      </w:r>
      <w:r>
        <w:t>т</w:t>
      </w:r>
      <w:r>
        <w:t>вие функциональных расстройств в работе различных органов, вызванных б</w:t>
      </w:r>
      <w:r>
        <w:t>о</w:t>
      </w:r>
      <w:r>
        <w:t>лезнями, травмами или врожденными дефектами, и инвалидность которых у</w:t>
      </w:r>
      <w:r>
        <w:t>с</w:t>
      </w:r>
      <w:r>
        <w:t>тановлена в соответствие с пр</w:t>
      </w:r>
      <w:r>
        <w:t>о</w:t>
      </w:r>
      <w:r>
        <w:t>цедурой, предписанной законом.</w:t>
      </w:r>
    </w:p>
    <w:p w:rsidR="00000000" w:rsidRDefault="00000000">
      <w:pPr>
        <w:pStyle w:val="SingleTxt"/>
      </w:pPr>
      <w:r>
        <w:t>194.</w:t>
      </w:r>
      <w:r>
        <w:tab/>
        <w:t>Экспертная проверка инвалидности проводится комиссиями в составе т</w:t>
      </w:r>
      <w:r>
        <w:t>е</w:t>
      </w:r>
      <w:r>
        <w:t>рапевтов и врачей-специалистов по вопросам здоровья и трудоспособности в соответствии с процедурой, установленной постановлением кабинета минис</w:t>
      </w:r>
      <w:r>
        <w:t>т</w:t>
      </w:r>
      <w:r>
        <w:t>ров No 263 «О процедуре экспертной проверки нетрудоспособности Государс</w:t>
      </w:r>
      <w:r>
        <w:t>т</w:t>
      </w:r>
      <w:r>
        <w:t>венной комиссией медицинских экспертов по вопросам здоровья и трудосп</w:t>
      </w:r>
      <w:r>
        <w:t>о</w:t>
      </w:r>
      <w:r>
        <w:t>собности» (от 16 июля 1996 года). Медицинская комиссия проводит обследов</w:t>
      </w:r>
      <w:r>
        <w:t>а</w:t>
      </w:r>
      <w:r>
        <w:t>ние граждан Латвийской Республики, а также иностранцев и лиц без гражда</w:t>
      </w:r>
      <w:r>
        <w:t>н</w:t>
      </w:r>
      <w:r>
        <w:t>ства, имеющих разрешение на постоянное проживание, в возрасте от 16 лет до установленного законом пенсионного возраста, в месте проживания соответс</w:t>
      </w:r>
      <w:r>
        <w:t>т</w:t>
      </w:r>
      <w:r>
        <w:t>вующего лица и с учетом категории заболевания. Инвалидность детей до 16 лет устанавливает педиатр. Медицинская комиссия осматривает лиц, возраст кот</w:t>
      </w:r>
      <w:r>
        <w:t>о</w:t>
      </w:r>
      <w:r>
        <w:t>рых превышает пенсионный, если ограниченные умственные и физические способности этих лиц не связаны с изменениями, произошедшими в организме человека под влиянием старости.</w:t>
      </w:r>
    </w:p>
    <w:p w:rsidR="00000000" w:rsidRDefault="00000000">
      <w:pPr>
        <w:pStyle w:val="SingleTxt"/>
      </w:pPr>
      <w:r>
        <w:t>195.</w:t>
      </w:r>
      <w:r>
        <w:tab/>
        <w:t>В Латвии каждый инвалид имеет право на социальную и медицинскую помощь, помощь в трудоустройстве и содействие в социальной интеграции, в которой такое лицо нуждается. Цель такой помощи состоит в том, чтобы пр</w:t>
      </w:r>
      <w:r>
        <w:t>е</w:t>
      </w:r>
      <w:r>
        <w:t>дупредить инвалидность или ее дальнейшее развитие или уменьшить ее п</w:t>
      </w:r>
      <w:r>
        <w:t>о</w:t>
      </w:r>
      <w:r>
        <w:t>следствия. Медицинское обслуживание обеспечивают публичные и муниц</w:t>
      </w:r>
      <w:r>
        <w:t>и</w:t>
      </w:r>
      <w:r>
        <w:t>пальные медицинские учреждения и врачи по оказанию первичной помощи. Расходы, связанные с оказанием помощи в трудоустройстве, финансируются из специального государственного бюджета соц</w:t>
      </w:r>
      <w:r>
        <w:t>и</w:t>
      </w:r>
      <w:r>
        <w:t>ального страхования.</w:t>
      </w:r>
    </w:p>
    <w:p w:rsidR="00000000" w:rsidRDefault="00000000">
      <w:pPr>
        <w:pStyle w:val="SingleTxt"/>
      </w:pPr>
      <w:r>
        <w:t>196.</w:t>
      </w:r>
      <w:r>
        <w:tab/>
        <w:t>Департамент социального страхования министерства благосостояния ра</w:t>
      </w:r>
      <w:r>
        <w:t>з</w:t>
      </w:r>
      <w:r>
        <w:t>рабатывает национальную политику в области социального страхования и н</w:t>
      </w:r>
      <w:r>
        <w:t>е</w:t>
      </w:r>
      <w:r>
        <w:t>сет ответственность за ее претворение в жизнь. Упомянутый департамент ра</w:t>
      </w:r>
      <w:r>
        <w:t>з</w:t>
      </w:r>
      <w:r>
        <w:t>рабатывает и осуществляет национальную политику в вопросах предоставл</w:t>
      </w:r>
      <w:r>
        <w:t>е</w:t>
      </w:r>
      <w:r>
        <w:t>ния государственных социальных пособий для семей с детьми и престарелыми, решает вопросы социального страхования, обеспечивает разработку законод</w:t>
      </w:r>
      <w:r>
        <w:t>а</w:t>
      </w:r>
      <w:r>
        <w:t>тельства в области социального страхования в соответствии с требованиями, содержащимися в нормативных актах Европейского союза. Департамент соц</w:t>
      </w:r>
      <w:r>
        <w:t>и</w:t>
      </w:r>
      <w:r>
        <w:t>альной помощи разрабатывает единообразную государственную политику по вопросам социальной помощи, отвечает за ее претворение в жизнь и осущест</w:t>
      </w:r>
      <w:r>
        <w:t>в</w:t>
      </w:r>
      <w:r>
        <w:t>ляет надзор за ее реализацией в Латвии. Существует фонд социальной помощи, который преследует следующие цели: обеспечивать участие государства в с</w:t>
      </w:r>
      <w:r>
        <w:t>о</w:t>
      </w:r>
      <w:r>
        <w:t>циальной помощи, предоставляемой муниципалитетами; осуществлять ко</w:t>
      </w:r>
      <w:r>
        <w:t>н</w:t>
      </w:r>
      <w:r>
        <w:t>троль и надзор за расходованием бюджетных средств на социальную помощь; обеспечивать сбор, обработку и анализ данных, необходимых для осуществл</w:t>
      </w:r>
      <w:r>
        <w:t>е</w:t>
      </w:r>
      <w:r>
        <w:t>ния, надзора и оценки политики в области социальной помощи; создавать и систематически обновлять базу данных о тех, кто предоставляет и получает социальную помощь.</w:t>
      </w:r>
    </w:p>
    <w:p w:rsidR="00000000" w:rsidRDefault="00000000">
      <w:pPr>
        <w:pStyle w:val="SingleTxt"/>
      </w:pPr>
      <w:r>
        <w:t>197.</w:t>
      </w:r>
      <w:r>
        <w:tab/>
        <w:t>С 1 января 1997 года пособия и пенсии по линии социальной помощи предоставляются через Государственный фонд социального страхования, кот</w:t>
      </w:r>
      <w:r>
        <w:t>о</w:t>
      </w:r>
      <w:r>
        <w:t>рый с 1 января 1998 года был преобразован в публичную акционерную комп</w:t>
      </w:r>
      <w:r>
        <w:t>а</w:t>
      </w:r>
      <w:r>
        <w:t>нию «Государственное агентство социального страхования». Таким образом, в отличие от ранее существовавшей практики, согласно которой соответству</w:t>
      </w:r>
      <w:r>
        <w:t>ю</w:t>
      </w:r>
      <w:r>
        <w:t>щие пособия выплачивались по месту работы за счет социального налога, т</w:t>
      </w:r>
      <w:r>
        <w:t>е</w:t>
      </w:r>
      <w:r>
        <w:t>перь обеспечивается более эффективный контроль за расходованием средств. Основная задача Государственного агентства социального страхования закл</w:t>
      </w:r>
      <w:r>
        <w:t>ю</w:t>
      </w:r>
      <w:r>
        <w:t>чается в исполнении специального бюджета социального страхования и пр</w:t>
      </w:r>
      <w:r>
        <w:t>е</w:t>
      </w:r>
      <w:r>
        <w:t>доставлении государс</w:t>
      </w:r>
      <w:r>
        <w:t>т</w:t>
      </w:r>
      <w:r>
        <w:t>венных социальных услуг.</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Запрещение дискриминации по причине замужества или материнства</w:t>
      </w:r>
    </w:p>
    <w:p w:rsidR="00000000" w:rsidRDefault="00000000">
      <w:pPr>
        <w:pStyle w:val="SingleTxt"/>
        <w:spacing w:after="0" w:line="120" w:lineRule="exact"/>
        <w:rPr>
          <w:sz w:val="10"/>
        </w:rPr>
      </w:pPr>
    </w:p>
    <w:p w:rsidR="00000000" w:rsidRDefault="00000000">
      <w:pPr>
        <w:pStyle w:val="SingleTxt"/>
      </w:pPr>
      <w:r>
        <w:t>198.</w:t>
      </w:r>
      <w:r>
        <w:tab/>
        <w:t>Чтобы предупредить дискриминацию в отношении женщин по причине замужества или материнства, в Закон о труде включена норма, запрещающая задавать вопросы относительно беременности во время собеседований при приеме на работу за исключением случаев, когда конкретный вид работы или занятий невозможно выполнять во время беременности, а также вопросов о</w:t>
      </w:r>
      <w:r>
        <w:t>т</w:t>
      </w:r>
      <w:r>
        <w:t>носительно брачного статуса или семейного положения.</w:t>
      </w:r>
    </w:p>
    <w:p w:rsidR="00000000" w:rsidRDefault="00000000">
      <w:pPr>
        <w:pStyle w:val="SingleTxt"/>
      </w:pPr>
      <w:r>
        <w:t>199.</w:t>
      </w:r>
      <w:r>
        <w:tab/>
        <w:t>Трудовой кодекс содержит положение, запрещающее увольнять с работы по инициативе работодателя беременных женщин и женщин с ребенком в во</w:t>
      </w:r>
      <w:r>
        <w:t>з</w:t>
      </w:r>
      <w:r>
        <w:t>расте до трех лет или сокращать их вознаграждение в случае беременности или необходимости ухода за ребенком. Увольнение с работы допускается только в том случае, когда предприятие, учреждение или организация ликвидируется (эта норма применяется также в отношении отцов и опекунов, которые восп</w:t>
      </w:r>
      <w:r>
        <w:t>и</w:t>
      </w:r>
      <w:r>
        <w:t>тывают ребенка в возрасте до 14 лет без матери). Трудовой кодекс гласит та</w:t>
      </w:r>
      <w:r>
        <w:t>к</w:t>
      </w:r>
      <w:r>
        <w:t>же, что в случае сокращения персонала при выборе работников, которых сл</w:t>
      </w:r>
      <w:r>
        <w:t>е</w:t>
      </w:r>
      <w:r>
        <w:t>дует оставить на работе, предпочтение следует отдавать женщинам с детьми в возрасте до 14 лет (детьми-инвалидами в возрасте до 16 лет) или работникам, имеющим двух или более иждивенцев, при условии, что производительность и квалификация таких р</w:t>
      </w:r>
      <w:r>
        <w:t>а</w:t>
      </w:r>
      <w:r>
        <w:t>ботников не ниже других.</w:t>
      </w:r>
    </w:p>
    <w:p w:rsidR="00000000" w:rsidRDefault="00000000">
      <w:pPr>
        <w:pStyle w:val="SingleTxt"/>
      </w:pPr>
      <w:r>
        <w:t>200.</w:t>
      </w:r>
      <w:r>
        <w:tab/>
        <w:t>Трудовой кодекс запрещает прекращать трудовой договор с беременными женщинами, женщинами в послеродовой период в течение одного года, же</w:t>
      </w:r>
      <w:r>
        <w:t>н</w:t>
      </w:r>
      <w:r>
        <w:t>щинами, кормящими грудью, в течение всего периода кормления. За исключ</w:t>
      </w:r>
      <w:r>
        <w:t>е</w:t>
      </w:r>
      <w:r>
        <w:t>нием случаев, когда работник без какой-либо уважительной причины нарушил трудовой договор или установленный порядок работы, совершил незаконные действия при выполнении своей работы и таким образом утратил доверие р</w:t>
      </w:r>
      <w:r>
        <w:t>а</w:t>
      </w:r>
      <w:r>
        <w:t>ботодателя, действовал с нарушением норм морали при выполнении своей р</w:t>
      </w:r>
      <w:r>
        <w:t>а</w:t>
      </w:r>
      <w:r>
        <w:t>боты и совершал действия, не совместимые с продолжением трудовых отнош</w:t>
      </w:r>
      <w:r>
        <w:t>е</w:t>
      </w:r>
      <w:r>
        <w:t>ний, находился в состоянии алкогольного, наркотического или токсического опьянения при исполнении своей работы, нарушал правила техники безопасн</w:t>
      </w:r>
      <w:r>
        <w:t>о</w:t>
      </w:r>
      <w:r>
        <w:t>сти и охраны труда, создавал угрозу для безопасности и здоровья других л</w:t>
      </w:r>
      <w:r>
        <w:t>ю</w:t>
      </w:r>
      <w:r>
        <w:t>дей, а также в том случае, когда предприятие работодателя подлежит ликвид</w:t>
      </w:r>
      <w:r>
        <w:t>а</w:t>
      </w:r>
      <w:r>
        <w:t>ции.</w:t>
      </w:r>
    </w:p>
    <w:p w:rsidR="00000000" w:rsidRDefault="00000000">
      <w:pPr>
        <w:pStyle w:val="SingleTxt"/>
      </w:pPr>
      <w:r>
        <w:t>201.</w:t>
      </w:r>
      <w:r>
        <w:tab/>
        <w:t>Закон о труде гласит также, что в случае увольнения в связи с сокращен</w:t>
      </w:r>
      <w:r>
        <w:t>и</w:t>
      </w:r>
      <w:r>
        <w:t>ем персонала при выборе работников, которых следует оставить на работе, предпочтение следует отдавать тем, кто воспитывает ребенка в возрасте до 14 лет или ребенка-инвалида в возрасте до 16 лет, при условии, что производ</w:t>
      </w:r>
      <w:r>
        <w:t>и</w:t>
      </w:r>
      <w:r>
        <w:t>тельность и квал</w:t>
      </w:r>
      <w:r>
        <w:t>и</w:t>
      </w:r>
      <w:r>
        <w:t>фикация таких работников не ниже других.</w:t>
      </w:r>
    </w:p>
    <w:p w:rsidR="00000000" w:rsidRDefault="00000000">
      <w:pPr>
        <w:pStyle w:val="SingleTxt"/>
      </w:pPr>
      <w:r>
        <w:t>202.</w:t>
      </w:r>
      <w:r>
        <w:tab/>
        <w:t>Если прекращение трудового договора работодателем привело к наруш</w:t>
      </w:r>
      <w:r>
        <w:t>е</w:t>
      </w:r>
      <w:r>
        <w:t>нию прав работника, последний, независимо от его пола, имеет право в течение одного месяца с даты получения извещения об уведомлении обратиться в суд с требованием признать прекращение трудового договора с работодателем н</w:t>
      </w:r>
      <w:r>
        <w:t>е</w:t>
      </w:r>
      <w:r>
        <w:t>действительным. Согласно требованиям Закона о труде работодатель обязан доказать, что прекращение трудового договора законно обосновано и соотве</w:t>
      </w:r>
      <w:r>
        <w:t>т</w:t>
      </w:r>
      <w:r>
        <w:t>ствует установленной процедуре расторжения трудовых договоров. В иных случаях при обращении работника в суд с требованием о восстановлении его на работе работодатель должен доказать, что при увольнении данного работн</w:t>
      </w:r>
      <w:r>
        <w:t>и</w:t>
      </w:r>
      <w:r>
        <w:t>ка он не нарушил права последнего на продолжение трудовых отношений.</w:t>
      </w:r>
    </w:p>
    <w:p w:rsidR="00000000" w:rsidRDefault="00000000">
      <w:pPr>
        <w:pStyle w:val="SingleTxt"/>
      </w:pPr>
      <w:r>
        <w:t>203.</w:t>
      </w:r>
      <w:r>
        <w:tab/>
        <w:t>Кодекс административных нарушений предусматривает штраф в размере до 200 латвийских лат, взимаемый с работодателя или должностного лица за нарушение законов о трудовых отношениях или законов об охране труда и др</w:t>
      </w:r>
      <w:r>
        <w:t>у</w:t>
      </w:r>
      <w:r>
        <w:t>гих нормативных актов, регулирующих эти вопросы, тогда как нарушение з</w:t>
      </w:r>
      <w:r>
        <w:t>а</w:t>
      </w:r>
      <w:r>
        <w:t>конов о занятости или других нормативных актов, регулирующих эти вопросы, наказуемо штрафом в размере 150 латвийских лат, взимаемым с работодателя или должностного лица. Вышеупомянутые положения действуют с 19 июля 1995 года.</w:t>
      </w:r>
    </w:p>
    <w:p w:rsidR="00000000" w:rsidRDefault="00000000">
      <w:pPr>
        <w:pStyle w:val="SingleTxt"/>
      </w:pPr>
      <w:r>
        <w:t>204.</w:t>
      </w:r>
      <w:r>
        <w:tab/>
        <w:t>В Латвии женщинам предоставляются отпуска и пособия по беременн</w:t>
      </w:r>
      <w:r>
        <w:t>о</w:t>
      </w:r>
      <w:r>
        <w:t>сти и родам в течение соответствующего периода. Трудовой кодекс предусма</w:t>
      </w:r>
      <w:r>
        <w:t>т</w:t>
      </w:r>
      <w:r>
        <w:t>ривает, что отпуск по беременности в течение 56 календарных дней и отпуск по родам в течение 56 календарных дней объединяются и женщинам предо</w:t>
      </w:r>
      <w:r>
        <w:t>с</w:t>
      </w:r>
      <w:r>
        <w:t>тавляются 112 календарных дней отпуска, независимо от количества дней о</w:t>
      </w:r>
      <w:r>
        <w:t>т</w:t>
      </w:r>
      <w:r>
        <w:t>пуска по беременности, использованных до рождения ребенка. Женщинам, м</w:t>
      </w:r>
      <w:r>
        <w:t>е</w:t>
      </w:r>
      <w:r>
        <w:t>дицинское обслуживание которых в связи с беременностью началось в мед</w:t>
      </w:r>
      <w:r>
        <w:t>и</w:t>
      </w:r>
      <w:r>
        <w:t>цинском учреждении с двенадцатой недели беременности и продолжалось в течение всего периода беременности, предоставляется дополнительный отпуск в размере 14 календарных дней, которые добавляются к отпуску по беременн</w:t>
      </w:r>
      <w:r>
        <w:t>о</w:t>
      </w:r>
      <w:r>
        <w:t>сти, что в совокупности дает 70 календарных дней. Женщине предоставляется дополнительный отпуск по родам в размере 14 календарных дней, который д</w:t>
      </w:r>
      <w:r>
        <w:t>о</w:t>
      </w:r>
      <w:r>
        <w:t>бавляется к отпуску по беременности, что в совокупности дает 70 календарных дней, в связи с осложнениями во время беременности, родов и в послеродовой период, а также в случае рождения двух или более детей. Женщинам по их просьбе предоставляется отпуск по уходу за ребенком до достижения ребенком трехлетнего возраста и в течение этого периода им выплачивается государс</w:t>
      </w:r>
      <w:r>
        <w:t>т</w:t>
      </w:r>
      <w:r>
        <w:t>венное пособие по социальному страхованию. Время по уходу за ребенком до достижения им трехлетнего возраста включается в продолжительность общего непрерывного тр</w:t>
      </w:r>
      <w:r>
        <w:t>у</w:t>
      </w:r>
      <w:r>
        <w:t>дового стажа.</w:t>
      </w:r>
    </w:p>
    <w:p w:rsidR="00000000" w:rsidRDefault="00000000">
      <w:pPr>
        <w:pStyle w:val="SingleTxt"/>
      </w:pPr>
      <w:r>
        <w:t>205.</w:t>
      </w:r>
      <w:r>
        <w:tab/>
        <w:t>Вышеупомянутый закон предусматривает также, что до отпуска по бер</w:t>
      </w:r>
      <w:r>
        <w:t>е</w:t>
      </w:r>
      <w:r>
        <w:t>менности и родам или же сразу после этого отпуска женщине предоставляется по ее просьбе ее ежегодный отпуск, независимо от продолжительности ее ст</w:t>
      </w:r>
      <w:r>
        <w:t>а</w:t>
      </w:r>
      <w:r>
        <w:t>жа работы на соответс</w:t>
      </w:r>
      <w:r>
        <w:t>т</w:t>
      </w:r>
      <w:r>
        <w:t>вующего работодателя.</w:t>
      </w:r>
    </w:p>
    <w:p w:rsidR="00000000" w:rsidRDefault="00000000">
      <w:pPr>
        <w:pStyle w:val="SingleTxt"/>
      </w:pPr>
      <w:r>
        <w:t>206.</w:t>
      </w:r>
      <w:r>
        <w:tab/>
        <w:t>Содержащиеся в Законе о труде нормы, касающиеся продолжительности отпусков по беременности и родам и процедуры подсчета их продолжительн</w:t>
      </w:r>
      <w:r>
        <w:t>о</w:t>
      </w:r>
      <w:r>
        <w:t>сти, а также дополнительных отпусков по беременности и родам, совпадают с нормами Трудового кодекса, что — с учетом давнего существования и самооч</w:t>
      </w:r>
      <w:r>
        <w:t>е</w:t>
      </w:r>
      <w:r>
        <w:t>видности этих норм в восприятии общественности — устраняет ошибки при подсчете продолжительности отпусков по беременности и родам и позволяет женщинам прогнозировать продолжительность этих о</w:t>
      </w:r>
      <w:r>
        <w:t>т</w:t>
      </w:r>
      <w:r>
        <w:t>пусков.</w:t>
      </w:r>
    </w:p>
    <w:p w:rsidR="00000000" w:rsidRDefault="00000000">
      <w:pPr>
        <w:pStyle w:val="SingleTxt"/>
      </w:pPr>
      <w:r>
        <w:t>207.</w:t>
      </w:r>
      <w:r>
        <w:tab/>
        <w:t>В соответствии с Законом о труде отпуск, предоставляемый в связи с б</w:t>
      </w:r>
      <w:r>
        <w:t>е</w:t>
      </w:r>
      <w:r>
        <w:t>ременностью и родами, не включается в ежегодный о</w:t>
      </w:r>
      <w:r>
        <w:t>п</w:t>
      </w:r>
      <w:r>
        <w:t>лачиваемый отпуск.</w:t>
      </w:r>
    </w:p>
    <w:p w:rsidR="00000000" w:rsidRDefault="00000000">
      <w:pPr>
        <w:pStyle w:val="SingleTxt"/>
      </w:pPr>
      <w:r>
        <w:t>208.</w:t>
      </w:r>
      <w:r>
        <w:tab/>
        <w:t>Закон о труде гласит, что каждый работник, независимо от его пола, имеет право на отпуск по уходу за ребенком в связи с рождением или усыновлением ребенка. Этот отпуск предоставляется на период, который не превышает пол</w:t>
      </w:r>
      <w:r>
        <w:t>у</w:t>
      </w:r>
      <w:r>
        <w:t>тора лет, до достижения ребенком восьмилетнего возраста. Отпуск по уходу за ребенком по просьбе работника предоставляется на весь период или по частям. Работник обязан за месяц до этого уведомить работодателя в письменной фо</w:t>
      </w:r>
      <w:r>
        <w:t>р</w:t>
      </w:r>
      <w:r>
        <w:t>ме о начале и продолжительности всего отпуска по уходу за ребенком или его части. Время отпуска работника по уходу за ребенком включается в общий стаж его работы. За работником, который использует отпуск по уходу за ребе</w:t>
      </w:r>
      <w:r>
        <w:t>н</w:t>
      </w:r>
      <w:r>
        <w:t>ком, сохраняется его должность. Если это невозможно, работодатель предо</w:t>
      </w:r>
      <w:r>
        <w:t>с</w:t>
      </w:r>
      <w:r>
        <w:t>тавляет работнику эквивалентную или аналогичную должность.</w:t>
      </w:r>
    </w:p>
    <w:p w:rsidR="00000000" w:rsidRDefault="00000000">
      <w:pPr>
        <w:pStyle w:val="SingleTxt"/>
      </w:pPr>
      <w:r>
        <w:t>209.</w:t>
      </w:r>
      <w:r>
        <w:tab/>
        <w:t>До реформы системы социального обеспечения социальные пособия во время отпусков по беременности и родам предоставлялись в соответствии с постановлениями Совета Министров СССР и Всесоюзного Центрального С</w:t>
      </w:r>
      <w:r>
        <w:t>о</w:t>
      </w:r>
      <w:r>
        <w:t>вета Профессиональных Союзов «О предоставлении государственных пособий по социальному страхованию» (от 23 февраля 1984 года) и постановлением Всесоюзного Центрального Совета Профессиональных Союзов «О процедуре предоставления государственных пособий по социальному страхованию» (от 12 ноября 1984 года), которыми устанавливался порядок исчисления и предо</w:t>
      </w:r>
      <w:r>
        <w:t>с</w:t>
      </w:r>
      <w:r>
        <w:t>тавления пособий по беременности и родам до 1 января 1997 года.</w:t>
      </w:r>
    </w:p>
    <w:p w:rsidR="00000000" w:rsidRDefault="00000000">
      <w:pPr>
        <w:pStyle w:val="SingleTxt"/>
      </w:pPr>
      <w:r>
        <w:t>210.</w:t>
      </w:r>
      <w:r>
        <w:tab/>
        <w:t>Закон «О страховании на случай беременности и временной нетрудосп</w:t>
      </w:r>
      <w:r>
        <w:t>о</w:t>
      </w:r>
      <w:r>
        <w:t>собности»</w:t>
      </w:r>
      <w:r>
        <w:rPr>
          <w:rStyle w:val="FootnoteReference"/>
        </w:rPr>
        <w:footnoteReference w:customMarkFollows="1" w:id="7"/>
        <w:t>6</w:t>
      </w:r>
      <w:r>
        <w:t xml:space="preserve"> устанавливает процедуру предоставления и выплаты пособий по беременности и родам в течение всего периода отпусков по беременности и р</w:t>
      </w:r>
      <w:r>
        <w:t>о</w:t>
      </w:r>
      <w:r>
        <w:t>дам, если женщина не ходит на работу и таким образом лишается дохода, зар</w:t>
      </w:r>
      <w:r>
        <w:t>а</w:t>
      </w:r>
      <w:r>
        <w:t>батываемого на оплачиваемой работе, или если самостоятельно занятая же</w:t>
      </w:r>
      <w:r>
        <w:t>н</w:t>
      </w:r>
      <w:r>
        <w:t>щина утрачивает свой доход. Цель вышеупомянутого закона состоит в обесп</w:t>
      </w:r>
      <w:r>
        <w:t>е</w:t>
      </w:r>
      <w:r>
        <w:t>чении компенсации дохода в случае временной нетрудоспособности, связанной с болезнью, предродовым и послеродовым периодами.</w:t>
      </w:r>
    </w:p>
    <w:p w:rsidR="00000000" w:rsidRDefault="00000000">
      <w:pPr>
        <w:pStyle w:val="SingleTxt"/>
      </w:pPr>
      <w:r>
        <w:t>211.</w:t>
      </w:r>
      <w:r>
        <w:tab/>
        <w:t>В соответствии с законом «О страховании на случай беременности и вр</w:t>
      </w:r>
      <w:r>
        <w:t>е</w:t>
      </w:r>
      <w:r>
        <w:t>менной нетрудоспособности» пособие по беременности и родам предоставл</w:t>
      </w:r>
      <w:r>
        <w:t>я</w:t>
      </w:r>
      <w:r>
        <w:t>ется в размере 100 процентов среднего оклада работающей женщины, испол</w:t>
      </w:r>
      <w:r>
        <w:t>ь</w:t>
      </w:r>
      <w:r>
        <w:t>зуемого для целей исчисления страхового взноса. Судя по статье 67 Конвенции МОТ No 102, в 2000 году размер пособия по беременности и родам превышал минимальные нормы, установленные Конвенцией, более чем в два раза.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Количественные показатели страхования на случай беременности</w:t>
      </w:r>
      <w:r>
        <w:rPr>
          <w:rStyle w:val="FootnoteReference"/>
        </w:rPr>
        <w:footnoteReference w:customMarkFollows="1" w:id="8"/>
        <w:t>7</w:t>
      </w:r>
    </w:p>
    <w:p w:rsidR="00000000" w:rsidRDefault="00000000">
      <w:pPr>
        <w:pStyle w:val="SingleTxt"/>
        <w:spacing w:after="0"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59"/>
        <w:gridCol w:w="855"/>
        <w:gridCol w:w="837"/>
        <w:gridCol w:w="801"/>
        <w:gridCol w:w="1026"/>
        <w:gridCol w:w="774"/>
        <w:gridCol w:w="738"/>
        <w:gridCol w:w="720"/>
      </w:tblGrid>
      <w:tr w:rsidR="00000000">
        <w:tblPrEx>
          <w:tblCellMar>
            <w:top w:w="0" w:type="dxa"/>
            <w:bottom w:w="0" w:type="dxa"/>
          </w:tblCellMar>
        </w:tblPrEx>
        <w:tc>
          <w:tcPr>
            <w:tcW w:w="4059" w:type="dxa"/>
            <w:tcBorders>
              <w:bottom w:val="single" w:sz="4" w:space="0" w:color="auto"/>
            </w:tcBorders>
          </w:tcPr>
          <w:p w:rsidR="00000000" w:rsidRDefault="00000000">
            <w:pPr>
              <w:pStyle w:val="DualTxt"/>
              <w:spacing w:before="80" w:line="200" w:lineRule="exact"/>
              <w:rPr>
                <w:sz w:val="16"/>
              </w:rPr>
            </w:pPr>
          </w:p>
        </w:tc>
        <w:tc>
          <w:tcPr>
            <w:tcW w:w="855" w:type="dxa"/>
          </w:tcPr>
          <w:p w:rsidR="00000000" w:rsidRDefault="00000000">
            <w:pPr>
              <w:pStyle w:val="DualTxt"/>
              <w:spacing w:before="80" w:line="200" w:lineRule="exact"/>
              <w:rPr>
                <w:sz w:val="16"/>
              </w:rPr>
            </w:pPr>
            <w:r>
              <w:rPr>
                <w:sz w:val="16"/>
              </w:rPr>
              <w:t>1995 г.</w:t>
            </w:r>
          </w:p>
        </w:tc>
        <w:tc>
          <w:tcPr>
            <w:tcW w:w="837" w:type="dxa"/>
          </w:tcPr>
          <w:p w:rsidR="00000000" w:rsidRDefault="00000000">
            <w:pPr>
              <w:pStyle w:val="DualTxt"/>
              <w:spacing w:before="80" w:line="200" w:lineRule="exact"/>
              <w:rPr>
                <w:sz w:val="16"/>
              </w:rPr>
            </w:pPr>
            <w:r>
              <w:rPr>
                <w:sz w:val="16"/>
              </w:rPr>
              <w:t>1996 г.</w:t>
            </w:r>
          </w:p>
        </w:tc>
        <w:tc>
          <w:tcPr>
            <w:tcW w:w="801" w:type="dxa"/>
          </w:tcPr>
          <w:p w:rsidR="00000000" w:rsidRDefault="00000000">
            <w:pPr>
              <w:pStyle w:val="DualTxt"/>
              <w:spacing w:before="80" w:line="200" w:lineRule="exact"/>
              <w:rPr>
                <w:sz w:val="16"/>
              </w:rPr>
            </w:pPr>
            <w:r>
              <w:rPr>
                <w:sz w:val="16"/>
              </w:rPr>
              <w:t>1997 г.</w:t>
            </w:r>
          </w:p>
        </w:tc>
        <w:tc>
          <w:tcPr>
            <w:tcW w:w="1026" w:type="dxa"/>
          </w:tcPr>
          <w:p w:rsidR="00000000" w:rsidRDefault="00000000">
            <w:pPr>
              <w:pStyle w:val="DualTxt"/>
              <w:spacing w:before="80" w:line="200" w:lineRule="exact"/>
              <w:rPr>
                <w:sz w:val="16"/>
              </w:rPr>
            </w:pPr>
            <w:r>
              <w:rPr>
                <w:sz w:val="16"/>
              </w:rPr>
              <w:t>1998 г.</w:t>
            </w:r>
          </w:p>
        </w:tc>
        <w:tc>
          <w:tcPr>
            <w:tcW w:w="774" w:type="dxa"/>
          </w:tcPr>
          <w:p w:rsidR="00000000" w:rsidRDefault="00000000">
            <w:pPr>
              <w:pStyle w:val="DualTxt"/>
              <w:spacing w:before="80" w:line="200" w:lineRule="exact"/>
              <w:rPr>
                <w:sz w:val="16"/>
              </w:rPr>
            </w:pPr>
            <w:r>
              <w:rPr>
                <w:sz w:val="16"/>
              </w:rPr>
              <w:t>1999 г.</w:t>
            </w:r>
          </w:p>
        </w:tc>
        <w:tc>
          <w:tcPr>
            <w:tcW w:w="738" w:type="dxa"/>
          </w:tcPr>
          <w:p w:rsidR="00000000" w:rsidRDefault="00000000">
            <w:pPr>
              <w:pStyle w:val="DualTxt"/>
              <w:spacing w:before="80" w:line="200" w:lineRule="exact"/>
              <w:rPr>
                <w:sz w:val="16"/>
              </w:rPr>
            </w:pPr>
            <w:r>
              <w:rPr>
                <w:sz w:val="16"/>
              </w:rPr>
              <w:t>2000 г.</w:t>
            </w:r>
          </w:p>
        </w:tc>
        <w:tc>
          <w:tcPr>
            <w:tcW w:w="720" w:type="dxa"/>
          </w:tcPr>
          <w:p w:rsidR="00000000" w:rsidRDefault="00000000">
            <w:pPr>
              <w:pStyle w:val="DualTxt"/>
              <w:spacing w:before="80" w:line="200" w:lineRule="exact"/>
              <w:rPr>
                <w:sz w:val="16"/>
              </w:rPr>
            </w:pPr>
            <w:r>
              <w:rPr>
                <w:sz w:val="16"/>
              </w:rPr>
              <w:t>2001 г.</w:t>
            </w:r>
          </w:p>
        </w:tc>
      </w:tr>
      <w:tr w:rsidR="00000000">
        <w:tblPrEx>
          <w:tblCellMar>
            <w:top w:w="0" w:type="dxa"/>
            <w:bottom w:w="0" w:type="dxa"/>
          </w:tblCellMar>
        </w:tblPrEx>
        <w:tc>
          <w:tcPr>
            <w:tcW w:w="4059" w:type="dxa"/>
            <w:tcBorders>
              <w:right w:val="nil"/>
            </w:tcBorders>
          </w:tcPr>
          <w:p w:rsidR="00000000" w:rsidRDefault="00000000">
            <w:pPr>
              <w:pStyle w:val="DualTxt"/>
              <w:spacing w:before="60" w:after="80" w:line="220" w:lineRule="exact"/>
              <w:ind w:right="29"/>
              <w:rPr>
                <w:sz w:val="18"/>
              </w:rPr>
            </w:pPr>
            <w:r>
              <w:rPr>
                <w:sz w:val="18"/>
              </w:rPr>
              <w:t>Расходы (в млн. латвийских лат по фактич</w:t>
            </w:r>
            <w:r>
              <w:rPr>
                <w:sz w:val="18"/>
              </w:rPr>
              <w:t>е</w:t>
            </w:r>
            <w:r>
              <w:rPr>
                <w:sz w:val="18"/>
              </w:rPr>
              <w:t>ским ценам):</w:t>
            </w:r>
          </w:p>
        </w:tc>
        <w:tc>
          <w:tcPr>
            <w:tcW w:w="855" w:type="dxa"/>
            <w:tcBorders>
              <w:left w:val="nil"/>
            </w:tcBorders>
          </w:tcPr>
          <w:p w:rsidR="00000000" w:rsidRDefault="00000000">
            <w:pPr>
              <w:pStyle w:val="DualTxt"/>
              <w:spacing w:before="60" w:after="80" w:line="220" w:lineRule="exact"/>
              <w:ind w:right="29"/>
              <w:rPr>
                <w:sz w:val="18"/>
              </w:rPr>
            </w:pPr>
          </w:p>
        </w:tc>
        <w:tc>
          <w:tcPr>
            <w:tcW w:w="837" w:type="dxa"/>
          </w:tcPr>
          <w:p w:rsidR="00000000" w:rsidRDefault="00000000">
            <w:pPr>
              <w:pStyle w:val="DualTxt"/>
              <w:spacing w:before="60" w:after="80" w:line="220" w:lineRule="exact"/>
              <w:ind w:right="29"/>
              <w:rPr>
                <w:sz w:val="18"/>
              </w:rPr>
            </w:pPr>
          </w:p>
        </w:tc>
        <w:tc>
          <w:tcPr>
            <w:tcW w:w="801" w:type="dxa"/>
          </w:tcPr>
          <w:p w:rsidR="00000000" w:rsidRDefault="00000000">
            <w:pPr>
              <w:pStyle w:val="DualTxt"/>
              <w:spacing w:before="60" w:after="80" w:line="220" w:lineRule="exact"/>
              <w:ind w:right="29"/>
              <w:rPr>
                <w:sz w:val="18"/>
              </w:rPr>
            </w:pPr>
          </w:p>
        </w:tc>
        <w:tc>
          <w:tcPr>
            <w:tcW w:w="1026" w:type="dxa"/>
          </w:tcPr>
          <w:p w:rsidR="00000000" w:rsidRDefault="00000000">
            <w:pPr>
              <w:pStyle w:val="DualTxt"/>
              <w:spacing w:before="60" w:after="80" w:line="220" w:lineRule="exact"/>
              <w:ind w:right="29"/>
              <w:rPr>
                <w:sz w:val="18"/>
              </w:rPr>
            </w:pPr>
          </w:p>
        </w:tc>
        <w:tc>
          <w:tcPr>
            <w:tcW w:w="774" w:type="dxa"/>
          </w:tcPr>
          <w:p w:rsidR="00000000" w:rsidRDefault="00000000">
            <w:pPr>
              <w:pStyle w:val="DualTxt"/>
              <w:spacing w:before="60" w:after="80" w:line="220" w:lineRule="exact"/>
              <w:ind w:right="29"/>
              <w:rPr>
                <w:sz w:val="18"/>
              </w:rPr>
            </w:pPr>
          </w:p>
        </w:tc>
        <w:tc>
          <w:tcPr>
            <w:tcW w:w="738" w:type="dxa"/>
          </w:tcPr>
          <w:p w:rsidR="00000000" w:rsidRDefault="00000000">
            <w:pPr>
              <w:pStyle w:val="DualTxt"/>
              <w:spacing w:before="60" w:after="80" w:line="220" w:lineRule="exact"/>
              <w:ind w:right="29"/>
              <w:rPr>
                <w:sz w:val="18"/>
              </w:rPr>
            </w:pPr>
          </w:p>
        </w:tc>
        <w:tc>
          <w:tcPr>
            <w:tcW w:w="720" w:type="dxa"/>
          </w:tcPr>
          <w:p w:rsidR="00000000" w:rsidRDefault="00000000">
            <w:pPr>
              <w:pStyle w:val="DualTxt"/>
              <w:spacing w:before="60" w:after="80" w:line="220" w:lineRule="exact"/>
              <w:ind w:right="29"/>
              <w:rPr>
                <w:sz w:val="18"/>
              </w:rPr>
            </w:pPr>
          </w:p>
        </w:tc>
      </w:tr>
      <w:tr w:rsidR="00000000">
        <w:tblPrEx>
          <w:tblCellMar>
            <w:top w:w="0" w:type="dxa"/>
            <w:bottom w:w="0" w:type="dxa"/>
          </w:tblCellMar>
        </w:tblPrEx>
        <w:tc>
          <w:tcPr>
            <w:tcW w:w="4059" w:type="dxa"/>
            <w:tcBorders>
              <w:bottom w:val="single" w:sz="4" w:space="0" w:color="auto"/>
            </w:tcBorders>
          </w:tcPr>
          <w:p w:rsidR="00000000" w:rsidRDefault="00000000">
            <w:pPr>
              <w:pStyle w:val="DualTxt"/>
              <w:spacing w:before="60" w:after="80" w:line="220" w:lineRule="exact"/>
              <w:ind w:right="29"/>
              <w:rPr>
                <w:sz w:val="18"/>
              </w:rPr>
            </w:pPr>
            <w:r>
              <w:rPr>
                <w:sz w:val="18"/>
              </w:rPr>
              <w:t>Пособия по беременности и родам</w:t>
            </w:r>
          </w:p>
        </w:tc>
        <w:tc>
          <w:tcPr>
            <w:tcW w:w="855" w:type="dxa"/>
          </w:tcPr>
          <w:p w:rsidR="00000000" w:rsidRDefault="00000000">
            <w:pPr>
              <w:pStyle w:val="DualTxt"/>
              <w:spacing w:before="60" w:after="80" w:line="220" w:lineRule="exact"/>
              <w:ind w:right="29"/>
              <w:rPr>
                <w:sz w:val="18"/>
              </w:rPr>
            </w:pPr>
            <w:r>
              <w:rPr>
                <w:sz w:val="18"/>
              </w:rPr>
              <w:t>2,5</w:t>
            </w:r>
          </w:p>
        </w:tc>
        <w:tc>
          <w:tcPr>
            <w:tcW w:w="837" w:type="dxa"/>
          </w:tcPr>
          <w:p w:rsidR="00000000" w:rsidRDefault="00000000">
            <w:pPr>
              <w:pStyle w:val="DualTxt"/>
              <w:spacing w:before="60" w:after="80" w:line="220" w:lineRule="exact"/>
              <w:ind w:right="29"/>
              <w:rPr>
                <w:sz w:val="18"/>
              </w:rPr>
            </w:pPr>
            <w:r>
              <w:rPr>
                <w:sz w:val="18"/>
              </w:rPr>
              <w:t>2,6</w:t>
            </w:r>
          </w:p>
        </w:tc>
        <w:tc>
          <w:tcPr>
            <w:tcW w:w="801" w:type="dxa"/>
          </w:tcPr>
          <w:p w:rsidR="00000000" w:rsidRDefault="00000000">
            <w:pPr>
              <w:pStyle w:val="DualTxt"/>
              <w:spacing w:before="60" w:after="80" w:line="220" w:lineRule="exact"/>
              <w:ind w:right="29"/>
              <w:rPr>
                <w:sz w:val="18"/>
              </w:rPr>
            </w:pPr>
            <w:r>
              <w:rPr>
                <w:sz w:val="18"/>
              </w:rPr>
              <w:t>2,7</w:t>
            </w:r>
          </w:p>
        </w:tc>
        <w:tc>
          <w:tcPr>
            <w:tcW w:w="1026" w:type="dxa"/>
          </w:tcPr>
          <w:p w:rsidR="00000000" w:rsidRDefault="00000000">
            <w:pPr>
              <w:pStyle w:val="DualTxt"/>
              <w:spacing w:before="60" w:after="80" w:line="220" w:lineRule="exact"/>
              <w:ind w:right="29"/>
              <w:rPr>
                <w:sz w:val="18"/>
              </w:rPr>
            </w:pPr>
            <w:r>
              <w:rPr>
                <w:sz w:val="18"/>
              </w:rPr>
              <w:t>3,9</w:t>
            </w:r>
          </w:p>
        </w:tc>
        <w:tc>
          <w:tcPr>
            <w:tcW w:w="774" w:type="dxa"/>
          </w:tcPr>
          <w:p w:rsidR="00000000" w:rsidRDefault="00000000">
            <w:pPr>
              <w:pStyle w:val="DualTxt"/>
              <w:spacing w:before="60" w:after="80" w:line="220" w:lineRule="exact"/>
              <w:ind w:right="29"/>
              <w:rPr>
                <w:sz w:val="18"/>
              </w:rPr>
            </w:pPr>
            <w:r>
              <w:rPr>
                <w:sz w:val="18"/>
              </w:rPr>
              <w:t>4,8</w:t>
            </w:r>
          </w:p>
        </w:tc>
        <w:tc>
          <w:tcPr>
            <w:tcW w:w="738" w:type="dxa"/>
          </w:tcPr>
          <w:p w:rsidR="00000000" w:rsidRDefault="00000000">
            <w:pPr>
              <w:pStyle w:val="DualTxt"/>
              <w:spacing w:before="60" w:after="80" w:line="220" w:lineRule="exact"/>
              <w:ind w:right="29"/>
              <w:rPr>
                <w:sz w:val="18"/>
              </w:rPr>
            </w:pPr>
            <w:r>
              <w:rPr>
                <w:sz w:val="18"/>
              </w:rPr>
              <w:t>4,9</w:t>
            </w:r>
          </w:p>
        </w:tc>
        <w:tc>
          <w:tcPr>
            <w:tcW w:w="720" w:type="dxa"/>
          </w:tcPr>
          <w:p w:rsidR="00000000" w:rsidRDefault="00000000">
            <w:pPr>
              <w:pStyle w:val="DualTxt"/>
              <w:spacing w:before="60" w:after="80" w:line="220" w:lineRule="exact"/>
              <w:ind w:right="29"/>
              <w:rPr>
                <w:sz w:val="18"/>
              </w:rPr>
            </w:pPr>
            <w:r>
              <w:rPr>
                <w:sz w:val="18"/>
              </w:rPr>
              <w:t>5,7</w:t>
            </w:r>
          </w:p>
        </w:tc>
      </w:tr>
      <w:tr w:rsidR="00000000">
        <w:tblPrEx>
          <w:tblCellMar>
            <w:top w:w="0" w:type="dxa"/>
            <w:bottom w:w="0" w:type="dxa"/>
          </w:tblCellMar>
        </w:tblPrEx>
        <w:tc>
          <w:tcPr>
            <w:tcW w:w="4059" w:type="dxa"/>
            <w:tcBorders>
              <w:right w:val="nil"/>
            </w:tcBorders>
          </w:tcPr>
          <w:p w:rsidR="00000000" w:rsidRDefault="00000000">
            <w:pPr>
              <w:pStyle w:val="DualTxt"/>
              <w:spacing w:before="60" w:after="80" w:line="220" w:lineRule="exact"/>
              <w:ind w:right="29"/>
              <w:rPr>
                <w:sz w:val="18"/>
              </w:rPr>
            </w:pPr>
            <w:r>
              <w:rPr>
                <w:sz w:val="18"/>
              </w:rPr>
              <w:t>Количественные показатели (в среднем в тыс. в месяц):</w:t>
            </w:r>
          </w:p>
        </w:tc>
        <w:tc>
          <w:tcPr>
            <w:tcW w:w="855" w:type="dxa"/>
            <w:tcBorders>
              <w:left w:val="nil"/>
            </w:tcBorders>
          </w:tcPr>
          <w:p w:rsidR="00000000" w:rsidRDefault="00000000">
            <w:pPr>
              <w:pStyle w:val="DualTxt"/>
              <w:spacing w:before="60" w:after="80" w:line="220" w:lineRule="exact"/>
              <w:ind w:right="29"/>
              <w:rPr>
                <w:sz w:val="18"/>
              </w:rPr>
            </w:pPr>
          </w:p>
        </w:tc>
        <w:tc>
          <w:tcPr>
            <w:tcW w:w="837" w:type="dxa"/>
          </w:tcPr>
          <w:p w:rsidR="00000000" w:rsidRDefault="00000000">
            <w:pPr>
              <w:pStyle w:val="DualTxt"/>
              <w:spacing w:before="60" w:after="80" w:line="220" w:lineRule="exact"/>
              <w:ind w:right="29"/>
              <w:rPr>
                <w:sz w:val="18"/>
              </w:rPr>
            </w:pPr>
          </w:p>
        </w:tc>
        <w:tc>
          <w:tcPr>
            <w:tcW w:w="801" w:type="dxa"/>
          </w:tcPr>
          <w:p w:rsidR="00000000" w:rsidRDefault="00000000">
            <w:pPr>
              <w:pStyle w:val="DualTxt"/>
              <w:spacing w:before="60" w:after="80" w:line="220" w:lineRule="exact"/>
              <w:ind w:right="29"/>
              <w:rPr>
                <w:sz w:val="18"/>
              </w:rPr>
            </w:pPr>
          </w:p>
        </w:tc>
        <w:tc>
          <w:tcPr>
            <w:tcW w:w="1026" w:type="dxa"/>
          </w:tcPr>
          <w:p w:rsidR="00000000" w:rsidRDefault="00000000">
            <w:pPr>
              <w:pStyle w:val="DualTxt"/>
              <w:spacing w:before="60" w:after="80" w:line="220" w:lineRule="exact"/>
              <w:ind w:right="29"/>
              <w:rPr>
                <w:sz w:val="18"/>
              </w:rPr>
            </w:pPr>
          </w:p>
        </w:tc>
        <w:tc>
          <w:tcPr>
            <w:tcW w:w="774" w:type="dxa"/>
          </w:tcPr>
          <w:p w:rsidR="00000000" w:rsidRDefault="00000000">
            <w:pPr>
              <w:pStyle w:val="DualTxt"/>
              <w:spacing w:before="60" w:after="80" w:line="220" w:lineRule="exact"/>
              <w:ind w:right="29"/>
              <w:rPr>
                <w:sz w:val="18"/>
              </w:rPr>
            </w:pPr>
          </w:p>
        </w:tc>
        <w:tc>
          <w:tcPr>
            <w:tcW w:w="738" w:type="dxa"/>
          </w:tcPr>
          <w:p w:rsidR="00000000" w:rsidRDefault="00000000">
            <w:pPr>
              <w:pStyle w:val="DualTxt"/>
              <w:spacing w:before="60" w:after="80" w:line="220" w:lineRule="exact"/>
              <w:ind w:right="29"/>
              <w:rPr>
                <w:sz w:val="18"/>
              </w:rPr>
            </w:pPr>
          </w:p>
        </w:tc>
        <w:tc>
          <w:tcPr>
            <w:tcW w:w="720" w:type="dxa"/>
          </w:tcPr>
          <w:p w:rsidR="00000000" w:rsidRDefault="00000000">
            <w:pPr>
              <w:pStyle w:val="DualTxt"/>
              <w:spacing w:before="60" w:after="80" w:line="220" w:lineRule="exact"/>
              <w:ind w:right="29"/>
              <w:rPr>
                <w:sz w:val="18"/>
              </w:rPr>
            </w:pPr>
          </w:p>
        </w:tc>
      </w:tr>
      <w:tr w:rsidR="00000000">
        <w:tblPrEx>
          <w:tblCellMar>
            <w:top w:w="0" w:type="dxa"/>
            <w:bottom w:w="0" w:type="dxa"/>
          </w:tblCellMar>
        </w:tblPrEx>
        <w:tc>
          <w:tcPr>
            <w:tcW w:w="4059" w:type="dxa"/>
            <w:tcBorders>
              <w:bottom w:val="single" w:sz="4" w:space="0" w:color="auto"/>
            </w:tcBorders>
          </w:tcPr>
          <w:p w:rsidR="00000000" w:rsidRDefault="00000000">
            <w:pPr>
              <w:pStyle w:val="DualTxt"/>
              <w:spacing w:before="60" w:after="80" w:line="220" w:lineRule="exact"/>
              <w:ind w:right="29"/>
              <w:rPr>
                <w:sz w:val="18"/>
              </w:rPr>
            </w:pPr>
            <w:r>
              <w:rPr>
                <w:sz w:val="18"/>
              </w:rPr>
              <w:t>Число оплаченных дней в связи с беременн</w:t>
            </w:r>
            <w:r>
              <w:rPr>
                <w:sz w:val="18"/>
              </w:rPr>
              <w:t>о</w:t>
            </w:r>
            <w:r>
              <w:rPr>
                <w:sz w:val="18"/>
              </w:rPr>
              <w:t>стью и родами</w:t>
            </w:r>
          </w:p>
        </w:tc>
        <w:tc>
          <w:tcPr>
            <w:tcW w:w="855" w:type="dxa"/>
          </w:tcPr>
          <w:p w:rsidR="00000000" w:rsidRDefault="00000000">
            <w:pPr>
              <w:pStyle w:val="DualTxt"/>
              <w:spacing w:before="60" w:after="80" w:line="220" w:lineRule="exact"/>
              <w:ind w:right="29"/>
              <w:rPr>
                <w:sz w:val="18"/>
              </w:rPr>
            </w:pPr>
            <w:r>
              <w:rPr>
                <w:sz w:val="18"/>
              </w:rPr>
              <w:t>70,2</w:t>
            </w:r>
          </w:p>
        </w:tc>
        <w:tc>
          <w:tcPr>
            <w:tcW w:w="837" w:type="dxa"/>
          </w:tcPr>
          <w:p w:rsidR="00000000" w:rsidRDefault="00000000">
            <w:pPr>
              <w:pStyle w:val="DualTxt"/>
              <w:spacing w:before="60" w:after="80" w:line="220" w:lineRule="exact"/>
              <w:ind w:right="29"/>
              <w:rPr>
                <w:sz w:val="18"/>
              </w:rPr>
            </w:pPr>
            <w:r>
              <w:rPr>
                <w:sz w:val="18"/>
              </w:rPr>
              <w:t>63,7</w:t>
            </w:r>
          </w:p>
        </w:tc>
        <w:tc>
          <w:tcPr>
            <w:tcW w:w="801" w:type="dxa"/>
          </w:tcPr>
          <w:p w:rsidR="00000000" w:rsidRDefault="00000000">
            <w:pPr>
              <w:pStyle w:val="DualTxt"/>
              <w:spacing w:before="60" w:after="80" w:line="220" w:lineRule="exact"/>
              <w:ind w:right="29"/>
              <w:rPr>
                <w:sz w:val="18"/>
              </w:rPr>
            </w:pPr>
            <w:r>
              <w:rPr>
                <w:sz w:val="18"/>
              </w:rPr>
              <w:t>74,3</w:t>
            </w:r>
          </w:p>
        </w:tc>
        <w:tc>
          <w:tcPr>
            <w:tcW w:w="1026" w:type="dxa"/>
          </w:tcPr>
          <w:p w:rsidR="00000000" w:rsidRDefault="00000000">
            <w:pPr>
              <w:pStyle w:val="DualTxt"/>
              <w:spacing w:before="60" w:after="80" w:line="220" w:lineRule="exact"/>
              <w:ind w:right="29"/>
              <w:rPr>
                <w:sz w:val="18"/>
              </w:rPr>
            </w:pPr>
            <w:r>
              <w:rPr>
                <w:sz w:val="18"/>
              </w:rPr>
              <w:t>95,3</w:t>
            </w:r>
          </w:p>
        </w:tc>
        <w:tc>
          <w:tcPr>
            <w:tcW w:w="774" w:type="dxa"/>
          </w:tcPr>
          <w:p w:rsidR="00000000" w:rsidRDefault="00000000">
            <w:pPr>
              <w:pStyle w:val="DualTxt"/>
              <w:spacing w:before="60" w:after="80" w:line="220" w:lineRule="exact"/>
              <w:ind w:right="29"/>
              <w:rPr>
                <w:sz w:val="18"/>
              </w:rPr>
            </w:pPr>
            <w:r>
              <w:rPr>
                <w:sz w:val="18"/>
              </w:rPr>
              <w:t>96,0</w:t>
            </w:r>
          </w:p>
        </w:tc>
        <w:tc>
          <w:tcPr>
            <w:tcW w:w="738" w:type="dxa"/>
          </w:tcPr>
          <w:p w:rsidR="00000000" w:rsidRDefault="00000000">
            <w:pPr>
              <w:pStyle w:val="DualTxt"/>
              <w:spacing w:before="60" w:after="80" w:line="220" w:lineRule="exact"/>
              <w:ind w:right="29"/>
              <w:rPr>
                <w:sz w:val="18"/>
              </w:rPr>
            </w:pPr>
            <w:r>
              <w:rPr>
                <w:sz w:val="18"/>
              </w:rPr>
              <w:t>102,1</w:t>
            </w:r>
          </w:p>
        </w:tc>
        <w:tc>
          <w:tcPr>
            <w:tcW w:w="720" w:type="dxa"/>
          </w:tcPr>
          <w:p w:rsidR="00000000" w:rsidRDefault="00000000">
            <w:pPr>
              <w:pStyle w:val="DualTxt"/>
              <w:spacing w:before="60" w:after="80" w:line="220" w:lineRule="exact"/>
              <w:ind w:right="29"/>
              <w:rPr>
                <w:sz w:val="18"/>
              </w:rPr>
            </w:pPr>
            <w:r>
              <w:rPr>
                <w:sz w:val="18"/>
              </w:rPr>
              <w:t>105,1</w:t>
            </w:r>
          </w:p>
        </w:tc>
      </w:tr>
      <w:tr w:rsidR="00000000">
        <w:tblPrEx>
          <w:tblCellMar>
            <w:top w:w="0" w:type="dxa"/>
            <w:bottom w:w="0" w:type="dxa"/>
          </w:tblCellMar>
        </w:tblPrEx>
        <w:tc>
          <w:tcPr>
            <w:tcW w:w="4059" w:type="dxa"/>
            <w:tcBorders>
              <w:right w:val="nil"/>
            </w:tcBorders>
          </w:tcPr>
          <w:p w:rsidR="00000000" w:rsidRDefault="00000000">
            <w:pPr>
              <w:pStyle w:val="DualTxt"/>
              <w:spacing w:before="60" w:after="80" w:line="220" w:lineRule="exact"/>
              <w:ind w:right="29"/>
              <w:rPr>
                <w:sz w:val="18"/>
              </w:rPr>
            </w:pPr>
            <w:r>
              <w:rPr>
                <w:sz w:val="18"/>
              </w:rPr>
              <w:t>Средний размер пособия (в латвийских латах по фактическим ценам)</w:t>
            </w:r>
          </w:p>
        </w:tc>
        <w:tc>
          <w:tcPr>
            <w:tcW w:w="855" w:type="dxa"/>
            <w:tcBorders>
              <w:left w:val="nil"/>
            </w:tcBorders>
          </w:tcPr>
          <w:p w:rsidR="00000000" w:rsidRDefault="00000000">
            <w:pPr>
              <w:pStyle w:val="DualTxt"/>
              <w:spacing w:before="60" w:after="80" w:line="220" w:lineRule="exact"/>
              <w:ind w:right="29"/>
              <w:rPr>
                <w:sz w:val="18"/>
              </w:rPr>
            </w:pPr>
          </w:p>
        </w:tc>
        <w:tc>
          <w:tcPr>
            <w:tcW w:w="837" w:type="dxa"/>
          </w:tcPr>
          <w:p w:rsidR="00000000" w:rsidRDefault="00000000">
            <w:pPr>
              <w:pStyle w:val="DualTxt"/>
              <w:spacing w:before="60" w:after="80" w:line="220" w:lineRule="exact"/>
              <w:ind w:right="29"/>
              <w:rPr>
                <w:sz w:val="18"/>
              </w:rPr>
            </w:pPr>
          </w:p>
        </w:tc>
        <w:tc>
          <w:tcPr>
            <w:tcW w:w="801" w:type="dxa"/>
          </w:tcPr>
          <w:p w:rsidR="00000000" w:rsidRDefault="00000000">
            <w:pPr>
              <w:pStyle w:val="DualTxt"/>
              <w:spacing w:before="60" w:after="80" w:line="220" w:lineRule="exact"/>
              <w:ind w:right="29"/>
              <w:rPr>
                <w:sz w:val="18"/>
              </w:rPr>
            </w:pPr>
          </w:p>
        </w:tc>
        <w:tc>
          <w:tcPr>
            <w:tcW w:w="1026" w:type="dxa"/>
          </w:tcPr>
          <w:p w:rsidR="00000000" w:rsidRDefault="00000000">
            <w:pPr>
              <w:pStyle w:val="DualTxt"/>
              <w:spacing w:before="60" w:after="80" w:line="220" w:lineRule="exact"/>
              <w:ind w:right="29"/>
              <w:rPr>
                <w:sz w:val="18"/>
              </w:rPr>
            </w:pPr>
          </w:p>
        </w:tc>
        <w:tc>
          <w:tcPr>
            <w:tcW w:w="774" w:type="dxa"/>
          </w:tcPr>
          <w:p w:rsidR="00000000" w:rsidRDefault="00000000">
            <w:pPr>
              <w:pStyle w:val="DualTxt"/>
              <w:spacing w:before="60" w:after="80" w:line="220" w:lineRule="exact"/>
              <w:ind w:right="29"/>
              <w:rPr>
                <w:sz w:val="18"/>
              </w:rPr>
            </w:pPr>
          </w:p>
        </w:tc>
        <w:tc>
          <w:tcPr>
            <w:tcW w:w="738" w:type="dxa"/>
          </w:tcPr>
          <w:p w:rsidR="00000000" w:rsidRDefault="00000000">
            <w:pPr>
              <w:pStyle w:val="DualTxt"/>
              <w:spacing w:before="60" w:after="80" w:line="220" w:lineRule="exact"/>
              <w:ind w:right="29"/>
              <w:rPr>
                <w:sz w:val="18"/>
              </w:rPr>
            </w:pPr>
          </w:p>
        </w:tc>
        <w:tc>
          <w:tcPr>
            <w:tcW w:w="720" w:type="dxa"/>
          </w:tcPr>
          <w:p w:rsidR="00000000" w:rsidRDefault="00000000">
            <w:pPr>
              <w:pStyle w:val="DualTxt"/>
              <w:spacing w:before="60" w:after="80" w:line="220" w:lineRule="exact"/>
              <w:ind w:right="29"/>
              <w:rPr>
                <w:sz w:val="18"/>
              </w:rPr>
            </w:pPr>
          </w:p>
        </w:tc>
      </w:tr>
      <w:tr w:rsidR="00000000">
        <w:tblPrEx>
          <w:tblCellMar>
            <w:top w:w="0" w:type="dxa"/>
            <w:bottom w:w="0" w:type="dxa"/>
          </w:tblCellMar>
        </w:tblPrEx>
        <w:tc>
          <w:tcPr>
            <w:tcW w:w="4059" w:type="dxa"/>
          </w:tcPr>
          <w:p w:rsidR="00000000" w:rsidRDefault="00000000">
            <w:pPr>
              <w:pStyle w:val="DualTxt"/>
              <w:spacing w:before="60" w:after="80" w:line="220" w:lineRule="exact"/>
              <w:ind w:right="29"/>
              <w:rPr>
                <w:sz w:val="18"/>
              </w:rPr>
            </w:pPr>
            <w:r>
              <w:rPr>
                <w:sz w:val="18"/>
              </w:rPr>
              <w:t>пособия по беременности и родам (в день)</w:t>
            </w:r>
          </w:p>
        </w:tc>
        <w:tc>
          <w:tcPr>
            <w:tcW w:w="855" w:type="dxa"/>
          </w:tcPr>
          <w:p w:rsidR="00000000" w:rsidRDefault="00000000">
            <w:pPr>
              <w:pStyle w:val="DualTxt"/>
              <w:spacing w:before="60" w:after="80" w:line="220" w:lineRule="exact"/>
              <w:ind w:right="29"/>
              <w:rPr>
                <w:sz w:val="18"/>
              </w:rPr>
            </w:pPr>
            <w:r>
              <w:rPr>
                <w:sz w:val="18"/>
              </w:rPr>
              <w:t>2,91</w:t>
            </w:r>
          </w:p>
        </w:tc>
        <w:tc>
          <w:tcPr>
            <w:tcW w:w="837" w:type="dxa"/>
          </w:tcPr>
          <w:p w:rsidR="00000000" w:rsidRDefault="00000000">
            <w:pPr>
              <w:pStyle w:val="DualTxt"/>
              <w:spacing w:before="60" w:after="80" w:line="220" w:lineRule="exact"/>
              <w:ind w:right="29"/>
              <w:rPr>
                <w:sz w:val="18"/>
              </w:rPr>
            </w:pPr>
            <w:r>
              <w:rPr>
                <w:sz w:val="18"/>
              </w:rPr>
              <w:t>3,35</w:t>
            </w:r>
          </w:p>
        </w:tc>
        <w:tc>
          <w:tcPr>
            <w:tcW w:w="801" w:type="dxa"/>
          </w:tcPr>
          <w:p w:rsidR="00000000" w:rsidRDefault="00000000">
            <w:pPr>
              <w:pStyle w:val="DualTxt"/>
              <w:spacing w:before="60" w:after="80" w:line="220" w:lineRule="exact"/>
              <w:ind w:right="29"/>
              <w:rPr>
                <w:sz w:val="18"/>
              </w:rPr>
            </w:pPr>
            <w:r>
              <w:rPr>
                <w:sz w:val="18"/>
              </w:rPr>
              <w:t>2,98</w:t>
            </w:r>
          </w:p>
        </w:tc>
        <w:tc>
          <w:tcPr>
            <w:tcW w:w="1026" w:type="dxa"/>
          </w:tcPr>
          <w:p w:rsidR="00000000" w:rsidRDefault="00000000">
            <w:pPr>
              <w:pStyle w:val="DualTxt"/>
              <w:spacing w:before="60" w:after="80" w:line="220" w:lineRule="exact"/>
              <w:ind w:right="29"/>
              <w:rPr>
                <w:sz w:val="18"/>
              </w:rPr>
            </w:pPr>
            <w:r>
              <w:rPr>
                <w:sz w:val="18"/>
              </w:rPr>
              <w:t>3,48</w:t>
            </w:r>
          </w:p>
        </w:tc>
        <w:tc>
          <w:tcPr>
            <w:tcW w:w="774" w:type="dxa"/>
          </w:tcPr>
          <w:p w:rsidR="00000000" w:rsidRDefault="00000000">
            <w:pPr>
              <w:pStyle w:val="DualTxt"/>
              <w:spacing w:before="60" w:after="80" w:line="220" w:lineRule="exact"/>
              <w:ind w:right="29"/>
              <w:rPr>
                <w:sz w:val="18"/>
              </w:rPr>
            </w:pPr>
            <w:r>
              <w:rPr>
                <w:sz w:val="18"/>
              </w:rPr>
              <w:t>4,00</w:t>
            </w:r>
          </w:p>
        </w:tc>
        <w:tc>
          <w:tcPr>
            <w:tcW w:w="738" w:type="dxa"/>
          </w:tcPr>
          <w:p w:rsidR="00000000" w:rsidRDefault="00000000">
            <w:pPr>
              <w:pStyle w:val="DualTxt"/>
              <w:spacing w:before="60" w:after="80" w:line="220" w:lineRule="exact"/>
              <w:ind w:right="29"/>
              <w:rPr>
                <w:sz w:val="18"/>
              </w:rPr>
            </w:pPr>
            <w:r>
              <w:rPr>
                <w:sz w:val="18"/>
              </w:rPr>
              <w:t>4,01</w:t>
            </w:r>
          </w:p>
        </w:tc>
        <w:tc>
          <w:tcPr>
            <w:tcW w:w="720" w:type="dxa"/>
          </w:tcPr>
          <w:p w:rsidR="00000000" w:rsidRDefault="00000000">
            <w:pPr>
              <w:pStyle w:val="DualTxt"/>
              <w:spacing w:before="60" w:after="80" w:line="220" w:lineRule="exact"/>
              <w:ind w:right="29"/>
              <w:rPr>
                <w:sz w:val="18"/>
              </w:rPr>
            </w:pPr>
            <w:r>
              <w:rPr>
                <w:sz w:val="18"/>
              </w:rPr>
              <w:t>4,52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212.</w:t>
      </w:r>
      <w:r>
        <w:tab/>
        <w:t>Расчеты показывают, что в 2000 году 47 процентов всех матерей, роди</w:t>
      </w:r>
      <w:r>
        <w:t>в</w:t>
      </w:r>
      <w:r>
        <w:t>ших ребенка, получали пособие по беременности и родам. По сравнению с предыдущим годом число женщин, которые просили предоставить им пособие по беременности и родам, возросло на семь процентов. Однако по-прежнему большинство детей рождается от женщин, которые никогда не работали и не вносили взносов по обязательному социальному страхованию, а поэтому не получают пособий по беременности и родам (см. таблицу).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Число новорожденных и число получателей пособий по беременности и родам</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837"/>
        <w:gridCol w:w="828"/>
        <w:gridCol w:w="846"/>
        <w:gridCol w:w="801"/>
        <w:gridCol w:w="846"/>
      </w:tblGrid>
      <w:tr w:rsidR="00000000">
        <w:tblPrEx>
          <w:tblCellMar>
            <w:top w:w="0" w:type="dxa"/>
            <w:bottom w:w="0" w:type="dxa"/>
          </w:tblCellMar>
        </w:tblPrEx>
        <w:tc>
          <w:tcPr>
            <w:tcW w:w="3240" w:type="dxa"/>
          </w:tcPr>
          <w:p w:rsidR="00000000" w:rsidRDefault="00000000">
            <w:pPr>
              <w:pStyle w:val="DualTxt"/>
              <w:spacing w:before="60" w:line="220" w:lineRule="exact"/>
              <w:rPr>
                <w:sz w:val="16"/>
              </w:rPr>
            </w:pPr>
          </w:p>
        </w:tc>
        <w:tc>
          <w:tcPr>
            <w:tcW w:w="837" w:type="dxa"/>
          </w:tcPr>
          <w:p w:rsidR="00000000" w:rsidRDefault="00000000">
            <w:pPr>
              <w:pStyle w:val="DualTxt"/>
              <w:spacing w:before="60" w:line="220" w:lineRule="exact"/>
              <w:rPr>
                <w:sz w:val="16"/>
              </w:rPr>
            </w:pPr>
            <w:r>
              <w:rPr>
                <w:sz w:val="16"/>
              </w:rPr>
              <w:t>1997 г.</w:t>
            </w:r>
          </w:p>
        </w:tc>
        <w:tc>
          <w:tcPr>
            <w:tcW w:w="828" w:type="dxa"/>
          </w:tcPr>
          <w:p w:rsidR="00000000" w:rsidRDefault="00000000">
            <w:pPr>
              <w:pStyle w:val="DualTxt"/>
              <w:spacing w:before="60" w:line="220" w:lineRule="exact"/>
              <w:rPr>
                <w:sz w:val="16"/>
              </w:rPr>
            </w:pPr>
            <w:r>
              <w:rPr>
                <w:sz w:val="16"/>
              </w:rPr>
              <w:t>1998 г.</w:t>
            </w:r>
          </w:p>
        </w:tc>
        <w:tc>
          <w:tcPr>
            <w:tcW w:w="846" w:type="dxa"/>
          </w:tcPr>
          <w:p w:rsidR="00000000" w:rsidRDefault="00000000">
            <w:pPr>
              <w:pStyle w:val="DualTxt"/>
              <w:spacing w:before="60" w:line="220" w:lineRule="exact"/>
              <w:rPr>
                <w:sz w:val="16"/>
              </w:rPr>
            </w:pPr>
            <w:r>
              <w:rPr>
                <w:sz w:val="16"/>
              </w:rPr>
              <w:t>1999 г.</w:t>
            </w:r>
          </w:p>
        </w:tc>
        <w:tc>
          <w:tcPr>
            <w:tcW w:w="801" w:type="dxa"/>
          </w:tcPr>
          <w:p w:rsidR="00000000" w:rsidRDefault="00000000">
            <w:pPr>
              <w:pStyle w:val="DualTxt"/>
              <w:spacing w:before="60" w:line="220" w:lineRule="exact"/>
              <w:rPr>
                <w:sz w:val="16"/>
              </w:rPr>
            </w:pPr>
            <w:r>
              <w:rPr>
                <w:sz w:val="16"/>
              </w:rPr>
              <w:t>2000 г.</w:t>
            </w:r>
          </w:p>
        </w:tc>
        <w:tc>
          <w:tcPr>
            <w:tcW w:w="846" w:type="dxa"/>
          </w:tcPr>
          <w:p w:rsidR="00000000" w:rsidRDefault="00000000">
            <w:pPr>
              <w:pStyle w:val="DualTxt"/>
              <w:spacing w:before="60" w:line="220" w:lineRule="exact"/>
              <w:rPr>
                <w:sz w:val="16"/>
              </w:rPr>
            </w:pPr>
            <w:r>
              <w:rPr>
                <w:sz w:val="16"/>
              </w:rPr>
              <w:t>2001 г.</w:t>
            </w:r>
          </w:p>
        </w:tc>
      </w:tr>
      <w:tr w:rsidR="00000000">
        <w:tblPrEx>
          <w:tblCellMar>
            <w:top w:w="0" w:type="dxa"/>
            <w:bottom w:w="0" w:type="dxa"/>
          </w:tblCellMar>
        </w:tblPrEx>
        <w:tc>
          <w:tcPr>
            <w:tcW w:w="3240" w:type="dxa"/>
          </w:tcPr>
          <w:p w:rsidR="00000000" w:rsidRDefault="00000000">
            <w:pPr>
              <w:pStyle w:val="DualTxt"/>
              <w:spacing w:before="60" w:line="220" w:lineRule="exact"/>
            </w:pPr>
            <w:r>
              <w:t>Число новор</w:t>
            </w:r>
            <w:r>
              <w:t>о</w:t>
            </w:r>
            <w:r>
              <w:t>жденных</w:t>
            </w:r>
          </w:p>
        </w:tc>
        <w:tc>
          <w:tcPr>
            <w:tcW w:w="837" w:type="dxa"/>
          </w:tcPr>
          <w:p w:rsidR="00000000" w:rsidRDefault="00000000">
            <w:pPr>
              <w:pStyle w:val="DualTxt"/>
              <w:spacing w:before="60" w:line="220" w:lineRule="exact"/>
            </w:pPr>
            <w:r>
              <w:t>18830</w:t>
            </w:r>
          </w:p>
        </w:tc>
        <w:tc>
          <w:tcPr>
            <w:tcW w:w="828" w:type="dxa"/>
          </w:tcPr>
          <w:p w:rsidR="00000000" w:rsidRDefault="00000000">
            <w:pPr>
              <w:pStyle w:val="DualTxt"/>
              <w:spacing w:before="60" w:line="220" w:lineRule="exact"/>
            </w:pPr>
            <w:r>
              <w:t>18410</w:t>
            </w:r>
          </w:p>
        </w:tc>
        <w:tc>
          <w:tcPr>
            <w:tcW w:w="846" w:type="dxa"/>
          </w:tcPr>
          <w:p w:rsidR="00000000" w:rsidRDefault="00000000">
            <w:pPr>
              <w:pStyle w:val="DualTxt"/>
              <w:spacing w:before="60" w:line="220" w:lineRule="exact"/>
            </w:pPr>
            <w:r>
              <w:t>19396</w:t>
            </w:r>
          </w:p>
        </w:tc>
        <w:tc>
          <w:tcPr>
            <w:tcW w:w="801" w:type="dxa"/>
          </w:tcPr>
          <w:p w:rsidR="00000000" w:rsidRDefault="00000000">
            <w:pPr>
              <w:pStyle w:val="DualTxt"/>
              <w:spacing w:before="60" w:line="220" w:lineRule="exact"/>
            </w:pPr>
            <w:r>
              <w:t>20248</w:t>
            </w:r>
          </w:p>
        </w:tc>
        <w:tc>
          <w:tcPr>
            <w:tcW w:w="846" w:type="dxa"/>
          </w:tcPr>
          <w:p w:rsidR="00000000" w:rsidRDefault="00000000">
            <w:pPr>
              <w:pStyle w:val="DualTxt"/>
              <w:spacing w:before="60" w:line="220" w:lineRule="exact"/>
            </w:pPr>
            <w:r>
              <w:t>19690</w:t>
            </w:r>
          </w:p>
        </w:tc>
      </w:tr>
      <w:tr w:rsidR="00000000">
        <w:tblPrEx>
          <w:tblCellMar>
            <w:top w:w="0" w:type="dxa"/>
            <w:bottom w:w="0" w:type="dxa"/>
          </w:tblCellMar>
        </w:tblPrEx>
        <w:tc>
          <w:tcPr>
            <w:tcW w:w="3240" w:type="dxa"/>
          </w:tcPr>
          <w:p w:rsidR="00000000" w:rsidRDefault="00000000">
            <w:pPr>
              <w:pStyle w:val="DualTxt"/>
              <w:spacing w:before="60" w:line="220" w:lineRule="exact"/>
            </w:pPr>
            <w:r>
              <w:t>Число получателей пособий по беременности и р</w:t>
            </w:r>
            <w:r>
              <w:t>о</w:t>
            </w:r>
            <w:r>
              <w:t>дам</w:t>
            </w:r>
          </w:p>
        </w:tc>
        <w:tc>
          <w:tcPr>
            <w:tcW w:w="837" w:type="dxa"/>
          </w:tcPr>
          <w:p w:rsidR="00000000" w:rsidRDefault="00000000">
            <w:pPr>
              <w:pStyle w:val="DualTxt"/>
              <w:spacing w:before="60" w:line="220" w:lineRule="exact"/>
            </w:pPr>
            <w:r>
              <w:t>13279</w:t>
            </w:r>
          </w:p>
        </w:tc>
        <w:tc>
          <w:tcPr>
            <w:tcW w:w="828" w:type="dxa"/>
          </w:tcPr>
          <w:p w:rsidR="00000000" w:rsidRDefault="00000000">
            <w:pPr>
              <w:pStyle w:val="DualTxt"/>
              <w:spacing w:before="60" w:line="220" w:lineRule="exact"/>
            </w:pPr>
            <w:r>
              <w:t>16281</w:t>
            </w:r>
          </w:p>
        </w:tc>
        <w:tc>
          <w:tcPr>
            <w:tcW w:w="846" w:type="dxa"/>
          </w:tcPr>
          <w:p w:rsidR="00000000" w:rsidRDefault="00000000">
            <w:pPr>
              <w:pStyle w:val="DualTxt"/>
              <w:spacing w:before="60" w:line="220" w:lineRule="exact"/>
            </w:pPr>
            <w:r>
              <w:t>10724</w:t>
            </w:r>
            <w:r>
              <w:rPr>
                <w:rStyle w:val="FootnoteReference"/>
              </w:rPr>
              <w:footnoteReference w:customMarkFollows="1" w:id="9"/>
              <w:t>8</w:t>
            </w:r>
          </w:p>
        </w:tc>
        <w:tc>
          <w:tcPr>
            <w:tcW w:w="801" w:type="dxa"/>
          </w:tcPr>
          <w:p w:rsidR="00000000" w:rsidRDefault="00000000">
            <w:pPr>
              <w:pStyle w:val="DualTxt"/>
              <w:spacing w:before="60" w:line="220" w:lineRule="exact"/>
            </w:pPr>
            <w:r>
              <w:t>11486</w:t>
            </w:r>
          </w:p>
        </w:tc>
        <w:tc>
          <w:tcPr>
            <w:tcW w:w="846" w:type="dxa"/>
          </w:tcPr>
          <w:p w:rsidR="00000000" w:rsidRDefault="00000000">
            <w:pPr>
              <w:pStyle w:val="DualTxt"/>
              <w:spacing w:before="60" w:line="220" w:lineRule="exact"/>
            </w:pPr>
            <w:r>
              <w:t>11811</w:t>
            </w:r>
          </w:p>
        </w:tc>
      </w:tr>
    </w:tbl>
    <w:p w:rsidR="00000000" w:rsidRDefault="00000000">
      <w:pPr>
        <w:pStyle w:val="SingleTxt"/>
      </w:pPr>
    </w:p>
    <w:p w:rsidR="00000000" w:rsidRDefault="00000000">
      <w:pPr>
        <w:pStyle w:val="SingleTxt"/>
      </w:pPr>
      <w:r>
        <w:t>213.</w:t>
      </w:r>
      <w:r>
        <w:tab/>
        <w:t>В той экономической ситуации, в которой находится Латвия, где женщины зачастую лишаются работы во время беременности или, ожидая ребенка, не могут найти нового места работы и вынуждены становиться безработными, особое значение приобретает норма закона «О страховании на случай береме</w:t>
      </w:r>
      <w:r>
        <w:t>н</w:t>
      </w:r>
      <w:r>
        <w:t>ности и временной нетрудоспособности», которая гласит, что пособие по мат</w:t>
      </w:r>
      <w:r>
        <w:t>е</w:t>
      </w:r>
      <w:r>
        <w:t>ринству и родам предоставляется женщинам, которые были уволены в связи с ликвидацией учреждения, предприятия или организации в соответствии с о</w:t>
      </w:r>
      <w:r>
        <w:t>б</w:t>
      </w:r>
      <w:r>
        <w:t>щей процедурой, если право на отпуск по беременности и родам востребовано не позднее, чем через 210 дней после их увольнения.</w:t>
      </w:r>
    </w:p>
    <w:p w:rsidR="00000000" w:rsidRDefault="00000000">
      <w:pPr>
        <w:pStyle w:val="SingleTxt"/>
      </w:pPr>
      <w:r>
        <w:t>214.</w:t>
      </w:r>
      <w:r>
        <w:tab/>
        <w:t>В соответствии с нормами, содержащимися в законах «О государственном социальном страховании», «О социальном обеспечении», «О социальном нал</w:t>
      </w:r>
      <w:r>
        <w:t>о</w:t>
      </w:r>
      <w:r>
        <w:t>ге», «О государственных пенсиях», «Об обязательном социальном страховании по безработице», «О страховании от несчастных случаев на производстве и профессиональных заболеваний», получение пособий по беременности и родам не ограничивает права на получение каких-либо других пособий или услуг по линии социального страхования.</w:t>
      </w:r>
    </w:p>
    <w:p w:rsidR="00000000" w:rsidRDefault="00000000">
      <w:pPr>
        <w:pStyle w:val="SingleTxt"/>
      </w:pPr>
      <w:r>
        <w:t>215.</w:t>
      </w:r>
      <w:r>
        <w:tab/>
        <w:t>В соответствии с законом «Об обязательном государственном страхов</w:t>
      </w:r>
      <w:r>
        <w:t>а</w:t>
      </w:r>
      <w:r>
        <w:t>нии» на женщин, которые получают пособие по беременности и родам, распр</w:t>
      </w:r>
      <w:r>
        <w:t>о</w:t>
      </w:r>
      <w:r>
        <w:t>страняется также обязательное социальное страхование. На лица, которые обеспечивают уход за ребенком в возрасте до полутора лет, также распростр</w:t>
      </w:r>
      <w:r>
        <w:t>а</w:t>
      </w:r>
      <w:r>
        <w:t>няется пенсионное страхование и страхование по безработице. Взносы в гос</w:t>
      </w:r>
      <w:r>
        <w:t>у</w:t>
      </w:r>
      <w:r>
        <w:t>дарственный фонд социального страхования производятся из основного бю</w:t>
      </w:r>
      <w:r>
        <w:t>д</w:t>
      </w:r>
      <w:r>
        <w:t>жета центрального правительства Латвии. На лица, которые получают пособия по беременности и родам, распространяется также пенсионное страхование, при этом покрытие соответствующих расходов производится из специального бюджета страхования на случай инвалидности, беременности и родов и боле</w:t>
      </w:r>
      <w:r>
        <w:t>з</w:t>
      </w:r>
      <w:r>
        <w:t>ни. Вопросами предоставления пособий по беременности и родам ведает Гос</w:t>
      </w:r>
      <w:r>
        <w:t>у</w:t>
      </w:r>
      <w:r>
        <w:t>дарственное агентство социального страхования.</w:t>
      </w:r>
    </w:p>
    <w:p w:rsidR="00000000" w:rsidRDefault="00000000">
      <w:pPr>
        <w:pStyle w:val="SingleTxt"/>
      </w:pPr>
      <w:r>
        <w:t>216.</w:t>
      </w:r>
      <w:r>
        <w:tab/>
        <w:t>Статья 7 закона «О социальной помощи» гласит, что органы местного с</w:t>
      </w:r>
      <w:r>
        <w:t>а</w:t>
      </w:r>
      <w:r>
        <w:t>моуправления обязаны предоставлять детям-инвалидам возможность получать социальную помощь и услуги по реабилитации, иными словами, органы мес</w:t>
      </w:r>
      <w:r>
        <w:t>т</w:t>
      </w:r>
      <w:r>
        <w:t>ного самоуправления предлагают услуги специализированным детским садам и центрам по уходу за детьми в дневное время, а также услуги на дому, хотя, к сожалению, объем таких услуг не соответствует спросу. Статья 6 закона «О с</w:t>
      </w:r>
      <w:r>
        <w:t>о</w:t>
      </w:r>
      <w:r>
        <w:t>циальной помощи», в свою очередь , гласит, что государство обязано предо</w:t>
      </w:r>
      <w:r>
        <w:t>с</w:t>
      </w:r>
      <w:r>
        <w:t>тавлять социальную помощь и услуги по реабилитации в учреждениях и це</w:t>
      </w:r>
      <w:r>
        <w:t>н</w:t>
      </w:r>
      <w:r>
        <w:t>трах для детей с отклонениями в умственном развитии. Раздел 3 статьи 55 з</w:t>
      </w:r>
      <w:r>
        <w:t>а</w:t>
      </w:r>
      <w:r>
        <w:t>кона «О защите прав детей» также гласит, что государство должно полностью брать на себя заботу о ребенке, испытывающем особые потребности, если с</w:t>
      </w:r>
      <w:r>
        <w:t>е</w:t>
      </w:r>
      <w:r>
        <w:t>мья не в состоянии обеспечить уход за ним. Министерство благосостояния осуществляет надзор за тремя специализированными центрами социальной помощи для детей, в которых содержатся дети, имеющие серьезную форму и</w:t>
      </w:r>
      <w:r>
        <w:t>н</w:t>
      </w:r>
      <w:r>
        <w:t>валидн</w:t>
      </w:r>
      <w:r>
        <w:t>о</w:t>
      </w:r>
      <w:r>
        <w:t>сти.</w:t>
      </w:r>
    </w:p>
    <w:p w:rsidR="00000000" w:rsidRDefault="00000000">
      <w:pPr>
        <w:pStyle w:val="SingleTxt"/>
      </w:pPr>
      <w:r>
        <w:t>217.</w:t>
      </w:r>
      <w:r>
        <w:tab/>
        <w:t>Согласно данным Государственного агентства социального страхования, дополнительно государственные семейные пособия для детей-инвалидов пол</w:t>
      </w:r>
      <w:r>
        <w:t>у</w:t>
      </w:r>
      <w:r>
        <w:t>чали 9712 детей. По данным Государственного фонда социальной помощи, 1 января 2001 года в детских и учебных заведениях насчитывалось 805 детей-инвалидов, из которых 291 содержался в детских сиротских центрах, 453 – в специализированных центрах социальной помощи для детей, 61 – в домашних сиротских приютах для детей.</w:t>
      </w:r>
    </w:p>
    <w:p w:rsidR="00000000" w:rsidRDefault="00000000">
      <w:pPr>
        <w:pStyle w:val="SingleTxt"/>
      </w:pPr>
      <w:r>
        <w:t>218.</w:t>
      </w:r>
      <w:r>
        <w:tab/>
        <w:t>Трудовой кодекс запрещает использовать женщин на работах с тяжелыми и вредными условиями труда. Перечни таких работ, на которых запрещается использовать женщин, утверждаются кабинетом министров, который обеспеч</w:t>
      </w:r>
      <w:r>
        <w:t>и</w:t>
      </w:r>
      <w:r>
        <w:t>вает координацию этих перечней с профессиональными организациями в стр</w:t>
      </w:r>
      <w:r>
        <w:t>а</w:t>
      </w:r>
      <w:r>
        <w:t>не. Запрещается использовать женщин для переноски и передвижения тяжелых предметов, вес которых превышает максимальные нормы, закрепленные в з</w:t>
      </w:r>
      <w:r>
        <w:t>а</w:t>
      </w:r>
      <w:r>
        <w:t>конодательных актах. Предусматривается также, что при наличии соответс</w:t>
      </w:r>
      <w:r>
        <w:t>т</w:t>
      </w:r>
      <w:r>
        <w:t>вующей медицинской справки нормы выработки для беременных женщин с</w:t>
      </w:r>
      <w:r>
        <w:t>о</w:t>
      </w:r>
      <w:r>
        <w:t>кращаются или женщины переводятся на более легкую работу, которая искл</w:t>
      </w:r>
      <w:r>
        <w:t>ю</w:t>
      </w:r>
      <w:r>
        <w:t>чает воздействие неблагоприятных факторов, с сохранением средней зарабо</w:t>
      </w:r>
      <w:r>
        <w:t>т</w:t>
      </w:r>
      <w:r>
        <w:t>ной платы, которую женщина получала на предыдущей должн</w:t>
      </w:r>
      <w:r>
        <w:t>о</w:t>
      </w:r>
      <w:r>
        <w:t>сти.</w:t>
      </w:r>
    </w:p>
    <w:p w:rsidR="00000000" w:rsidRDefault="00000000">
      <w:pPr>
        <w:pStyle w:val="SingleTxt"/>
      </w:pPr>
      <w:r>
        <w:t>219.</w:t>
      </w:r>
      <w:r>
        <w:tab/>
        <w:t>Закон о труде гласит, что по предъявлении соответствующей медицинской справки работодатель не имеет права использовать на работах беременных женщин и женщин в послеродовой период в течение одного года, а также же</w:t>
      </w:r>
      <w:r>
        <w:t>н</w:t>
      </w:r>
      <w:r>
        <w:t>щин, кормящих грудью, в течение всего срока кормления, если признается, что выполнение конкретной работы создает угрозу безопасности и здоровью же</w:t>
      </w:r>
      <w:r>
        <w:t>н</w:t>
      </w:r>
      <w:r>
        <w:t>щины и ее ребенка.</w:t>
      </w:r>
    </w:p>
    <w:p w:rsidR="00000000" w:rsidRDefault="00000000">
      <w:pPr>
        <w:pStyle w:val="SingleTxt"/>
      </w:pPr>
      <w:r>
        <w:t>220.</w:t>
      </w:r>
      <w:r>
        <w:tab/>
        <w:t>Законодательство Латвии, касающееся защиты прав, перечисленных в статье 11 Конвенции, периодически пересматривается и изменяется для обе</w:t>
      </w:r>
      <w:r>
        <w:t>с</w:t>
      </w:r>
      <w:r>
        <w:t>печения более эффективной защиты прав женщин. После восстановления нез</w:t>
      </w:r>
      <w:r>
        <w:t>а</w:t>
      </w:r>
      <w:r>
        <w:t>висимости в стране была проведена реформа системы социального обеспеч</w:t>
      </w:r>
      <w:r>
        <w:t>е</w:t>
      </w:r>
      <w:r>
        <w:t>ния, был принят новый Закон о труде; постановления кабинета министров, к</w:t>
      </w:r>
      <w:r>
        <w:t>а</w:t>
      </w:r>
      <w:r>
        <w:t>сающиеся осуществления этих законов и предписывающие их исполнение, также регулярно пересматриваются с учетом ситуации, существующей в стр</w:t>
      </w:r>
      <w:r>
        <w:t>а</w:t>
      </w:r>
      <w:r>
        <w:t>не. В своих комментариях Национальное управление по правам человека по</w:t>
      </w:r>
      <w:r>
        <w:t>д</w:t>
      </w:r>
      <w:r>
        <w:t>черкивает, что вступление в силу нового Закона о труде позволит улучшить с</w:t>
      </w:r>
      <w:r>
        <w:t>и</w:t>
      </w:r>
      <w:r>
        <w:t>туацию в области занятости, поскольку этот закон подробно регулирует пор</w:t>
      </w:r>
      <w:r>
        <w:t>я</w:t>
      </w:r>
      <w:r>
        <w:t>док объявлений о найме на работу, проведения собеседований при приеме на работу и вопросы равного вознаграждения за равный труд, а также устанавл</w:t>
      </w:r>
      <w:r>
        <w:t>и</w:t>
      </w:r>
      <w:r>
        <w:t>вает ответственность за дискриминацию по признаку пола.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221.</w:t>
      </w:r>
      <w:r>
        <w:tab/>
        <w:t>В Латвии женщины не подвергаются дискриминации при осуществлении своих прав в области здравоохранения. Закон о медицинском обслуживании</w:t>
      </w:r>
      <w:r>
        <w:rPr>
          <w:rStyle w:val="FootnoteReference"/>
        </w:rPr>
        <w:footnoteReference w:customMarkFollows="1" w:id="10"/>
        <w:t>9</w:t>
      </w:r>
      <w:r>
        <w:t xml:space="preserve"> гласит, что пациент, его ближайшие родственники или законные представители (попечители, опекуны) имеют право выбирать медицинское лечебное завед</w:t>
      </w:r>
      <w:r>
        <w:t>е</w:t>
      </w:r>
      <w:r>
        <w:t>ние, расположенное в Латвии, и врача для диагностики и лечения заболеваний и травм, а также реабилитации пациента. Пациент имеет право на получение качественного, значительного и уважительного медицинского обслуживания и ухода.</w:t>
      </w:r>
    </w:p>
    <w:p w:rsidR="00000000" w:rsidRDefault="00000000">
      <w:pPr>
        <w:pStyle w:val="SingleTxt"/>
      </w:pPr>
      <w:r>
        <w:t>222.</w:t>
      </w:r>
      <w:r>
        <w:tab/>
        <w:t>Закон о медицинском обслуживании гласит, что каждый человек имеет право на получение неотложной помощи в соответствии с порядком, устано</w:t>
      </w:r>
      <w:r>
        <w:t>в</w:t>
      </w:r>
      <w:r>
        <w:t>ленным кабинетом министров. Согласно этому порядку целый ряд услуг по оказанию гарантированной государством медицинской помощи предоставляе</w:t>
      </w:r>
      <w:r>
        <w:t>т</w:t>
      </w:r>
      <w:r>
        <w:t>ся гражданам Латвийской Республики, негражданам, иностранцам и лицам без гражданства, которые имеют индивидуальный идентификационный код в своих паспортах и зарегистрированы в реестре населения, а также лицам, которые содержатся под стражей, под арестом, осуждены или отбывают сроки наказ</w:t>
      </w:r>
      <w:r>
        <w:t>а</w:t>
      </w:r>
      <w:r>
        <w:t>ния в исправительных учреждениях. Такая помощь предоставляется в требу</w:t>
      </w:r>
      <w:r>
        <w:t>е</w:t>
      </w:r>
      <w:r>
        <w:t>мые сроки и в нужном месте, и лечение в таких случаях обеспечивается в соо</w:t>
      </w:r>
      <w:r>
        <w:t>т</w:t>
      </w:r>
      <w:r>
        <w:t>ветс</w:t>
      </w:r>
      <w:r>
        <w:t>т</w:t>
      </w:r>
      <w:r>
        <w:t>вии со стандартом, утвержденным министерством благосостояния.</w:t>
      </w:r>
    </w:p>
    <w:p w:rsidR="00000000" w:rsidRDefault="00000000">
      <w:pPr>
        <w:pStyle w:val="SingleTxt"/>
      </w:pPr>
      <w:r>
        <w:t>223.</w:t>
      </w:r>
      <w:r>
        <w:tab/>
        <w:t>Каждый ребенок на территории Латвии, а также любой ребенок, который не имеет индивидуального идентификационного кода и не зарегистрирован в реестре населения, имеет право на получение гарантируемой государством м</w:t>
      </w:r>
      <w:r>
        <w:t>е</w:t>
      </w:r>
      <w:r>
        <w:t>дицинской помощи. Каждый ребенок имеет право на бесплатную медицинскую помощь, гарантируемую государством.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Количество случаев госпитализации и посещений врача</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1170"/>
        <w:gridCol w:w="1350"/>
        <w:gridCol w:w="1620"/>
        <w:gridCol w:w="2160"/>
      </w:tblGrid>
      <w:tr w:rsidR="00000000">
        <w:tblPrEx>
          <w:tblCellMar>
            <w:top w:w="0" w:type="dxa"/>
            <w:bottom w:w="0" w:type="dxa"/>
          </w:tblCellMar>
        </w:tblPrEx>
        <w:trPr>
          <w:cantSplit/>
        </w:trPr>
        <w:tc>
          <w:tcPr>
            <w:tcW w:w="1170" w:type="dxa"/>
            <w:vAlign w:val="bottom"/>
          </w:tcPr>
          <w:p w:rsidR="00000000" w:rsidRDefault="00000000">
            <w:pPr>
              <w:pStyle w:val="DualTxt"/>
              <w:jc w:val="left"/>
              <w:rPr>
                <w:sz w:val="16"/>
              </w:rPr>
            </w:pPr>
          </w:p>
        </w:tc>
        <w:tc>
          <w:tcPr>
            <w:tcW w:w="2520" w:type="dxa"/>
            <w:gridSpan w:val="2"/>
            <w:vAlign w:val="bottom"/>
          </w:tcPr>
          <w:p w:rsidR="00000000" w:rsidRDefault="00000000">
            <w:pPr>
              <w:pStyle w:val="DualTxt"/>
              <w:jc w:val="left"/>
              <w:rPr>
                <w:sz w:val="16"/>
              </w:rPr>
            </w:pPr>
            <w:r>
              <w:rPr>
                <w:sz w:val="16"/>
              </w:rPr>
              <w:t>Случаи госпитализ</w:t>
            </w:r>
            <w:r>
              <w:rPr>
                <w:sz w:val="16"/>
              </w:rPr>
              <w:t>а</w:t>
            </w:r>
            <w:r>
              <w:rPr>
                <w:sz w:val="16"/>
              </w:rPr>
              <w:t>ции</w:t>
            </w:r>
          </w:p>
        </w:tc>
        <w:tc>
          <w:tcPr>
            <w:tcW w:w="3780" w:type="dxa"/>
            <w:gridSpan w:val="2"/>
            <w:vAlign w:val="bottom"/>
          </w:tcPr>
          <w:p w:rsidR="00000000" w:rsidRDefault="00000000">
            <w:pPr>
              <w:pStyle w:val="DualTxt"/>
              <w:jc w:val="left"/>
              <w:rPr>
                <w:sz w:val="16"/>
              </w:rPr>
            </w:pPr>
            <w:r>
              <w:rPr>
                <w:sz w:val="16"/>
              </w:rPr>
              <w:t>Посещения учреждений амбулаторного л</w:t>
            </w:r>
            <w:r>
              <w:rPr>
                <w:sz w:val="16"/>
              </w:rPr>
              <w:t>е</w:t>
            </w:r>
            <w:r>
              <w:rPr>
                <w:sz w:val="16"/>
              </w:rPr>
              <w:t>чения</w:t>
            </w:r>
          </w:p>
        </w:tc>
      </w:tr>
      <w:tr w:rsidR="00000000">
        <w:tblPrEx>
          <w:tblCellMar>
            <w:top w:w="0" w:type="dxa"/>
            <w:bottom w:w="0" w:type="dxa"/>
          </w:tblCellMar>
        </w:tblPrEx>
        <w:tc>
          <w:tcPr>
            <w:tcW w:w="1170" w:type="dxa"/>
          </w:tcPr>
          <w:p w:rsidR="00000000" w:rsidRDefault="00000000">
            <w:pPr>
              <w:pStyle w:val="DualTxt"/>
              <w:rPr>
                <w:sz w:val="16"/>
              </w:rPr>
            </w:pPr>
          </w:p>
        </w:tc>
        <w:tc>
          <w:tcPr>
            <w:tcW w:w="1170" w:type="dxa"/>
          </w:tcPr>
          <w:p w:rsidR="00000000" w:rsidRDefault="00000000">
            <w:pPr>
              <w:pStyle w:val="DualTxt"/>
              <w:rPr>
                <w:sz w:val="16"/>
              </w:rPr>
            </w:pPr>
            <w:r>
              <w:rPr>
                <w:sz w:val="16"/>
              </w:rPr>
              <w:t>мужч</w:t>
            </w:r>
            <w:r>
              <w:rPr>
                <w:sz w:val="16"/>
              </w:rPr>
              <w:t>и</w:t>
            </w:r>
            <w:r>
              <w:rPr>
                <w:sz w:val="16"/>
              </w:rPr>
              <w:t>ны</w:t>
            </w:r>
          </w:p>
        </w:tc>
        <w:tc>
          <w:tcPr>
            <w:tcW w:w="1350" w:type="dxa"/>
          </w:tcPr>
          <w:p w:rsidR="00000000" w:rsidRDefault="00000000">
            <w:pPr>
              <w:pStyle w:val="DualTxt"/>
              <w:rPr>
                <w:sz w:val="16"/>
              </w:rPr>
            </w:pPr>
            <w:r>
              <w:rPr>
                <w:sz w:val="16"/>
              </w:rPr>
              <w:t>женщ</w:t>
            </w:r>
            <w:r>
              <w:rPr>
                <w:sz w:val="16"/>
              </w:rPr>
              <w:t>и</w:t>
            </w:r>
            <w:r>
              <w:rPr>
                <w:sz w:val="16"/>
              </w:rPr>
              <w:t>ны</w:t>
            </w:r>
          </w:p>
        </w:tc>
        <w:tc>
          <w:tcPr>
            <w:tcW w:w="1620" w:type="dxa"/>
          </w:tcPr>
          <w:p w:rsidR="00000000" w:rsidRDefault="00000000">
            <w:pPr>
              <w:pStyle w:val="DualTxt"/>
              <w:rPr>
                <w:sz w:val="16"/>
              </w:rPr>
            </w:pPr>
            <w:r>
              <w:rPr>
                <w:sz w:val="16"/>
              </w:rPr>
              <w:t>Мужч</w:t>
            </w:r>
            <w:r>
              <w:rPr>
                <w:sz w:val="16"/>
              </w:rPr>
              <w:t>и</w:t>
            </w:r>
            <w:r>
              <w:rPr>
                <w:sz w:val="16"/>
              </w:rPr>
              <w:t>ны</w:t>
            </w:r>
          </w:p>
        </w:tc>
        <w:tc>
          <w:tcPr>
            <w:tcW w:w="2160" w:type="dxa"/>
          </w:tcPr>
          <w:p w:rsidR="00000000" w:rsidRDefault="00000000">
            <w:pPr>
              <w:pStyle w:val="DualTxt"/>
              <w:rPr>
                <w:sz w:val="16"/>
              </w:rPr>
            </w:pPr>
            <w:r>
              <w:rPr>
                <w:sz w:val="16"/>
              </w:rPr>
              <w:t>женщины</w:t>
            </w:r>
          </w:p>
        </w:tc>
      </w:tr>
      <w:tr w:rsidR="00000000">
        <w:tblPrEx>
          <w:tblCellMar>
            <w:top w:w="0" w:type="dxa"/>
            <w:bottom w:w="0" w:type="dxa"/>
          </w:tblCellMar>
        </w:tblPrEx>
        <w:tc>
          <w:tcPr>
            <w:tcW w:w="1170" w:type="dxa"/>
          </w:tcPr>
          <w:p w:rsidR="00000000" w:rsidRDefault="00000000">
            <w:pPr>
              <w:pStyle w:val="DualTxt"/>
              <w:spacing w:before="60"/>
            </w:pPr>
            <w:r>
              <w:t>1997 год</w:t>
            </w:r>
          </w:p>
        </w:tc>
        <w:tc>
          <w:tcPr>
            <w:tcW w:w="1170" w:type="dxa"/>
          </w:tcPr>
          <w:p w:rsidR="00000000" w:rsidRDefault="00000000">
            <w:pPr>
              <w:pStyle w:val="DualTxt"/>
              <w:spacing w:before="60"/>
            </w:pPr>
            <w:r>
              <w:t>272003</w:t>
            </w:r>
          </w:p>
        </w:tc>
        <w:tc>
          <w:tcPr>
            <w:tcW w:w="1350" w:type="dxa"/>
          </w:tcPr>
          <w:p w:rsidR="00000000" w:rsidRDefault="00000000">
            <w:pPr>
              <w:pStyle w:val="DualTxt"/>
              <w:spacing w:before="60"/>
            </w:pPr>
            <w:r>
              <w:t>260628</w:t>
            </w:r>
          </w:p>
        </w:tc>
        <w:tc>
          <w:tcPr>
            <w:tcW w:w="1620" w:type="dxa"/>
          </w:tcPr>
          <w:p w:rsidR="00000000" w:rsidRDefault="00000000">
            <w:pPr>
              <w:pStyle w:val="DualTxt"/>
              <w:spacing w:before="60"/>
            </w:pPr>
            <w:r>
              <w:t>4887761</w:t>
            </w:r>
          </w:p>
        </w:tc>
        <w:tc>
          <w:tcPr>
            <w:tcW w:w="2160" w:type="dxa"/>
          </w:tcPr>
          <w:p w:rsidR="00000000" w:rsidRDefault="00000000">
            <w:pPr>
              <w:pStyle w:val="DualTxt"/>
              <w:spacing w:before="60"/>
            </w:pPr>
            <w:r>
              <w:t>6135448</w:t>
            </w:r>
          </w:p>
        </w:tc>
      </w:tr>
      <w:tr w:rsidR="00000000">
        <w:tblPrEx>
          <w:tblCellMar>
            <w:top w:w="0" w:type="dxa"/>
            <w:bottom w:w="0" w:type="dxa"/>
          </w:tblCellMar>
        </w:tblPrEx>
        <w:tc>
          <w:tcPr>
            <w:tcW w:w="1170" w:type="dxa"/>
          </w:tcPr>
          <w:p w:rsidR="00000000" w:rsidRDefault="00000000">
            <w:pPr>
              <w:pStyle w:val="DualTxt"/>
              <w:spacing w:before="60"/>
            </w:pPr>
            <w:r>
              <w:t>1998 год</w:t>
            </w:r>
          </w:p>
        </w:tc>
        <w:tc>
          <w:tcPr>
            <w:tcW w:w="1170" w:type="dxa"/>
          </w:tcPr>
          <w:p w:rsidR="00000000" w:rsidRDefault="00000000">
            <w:pPr>
              <w:pStyle w:val="DualTxt"/>
              <w:spacing w:before="60"/>
            </w:pPr>
            <w:r>
              <w:t>194961</w:t>
            </w:r>
          </w:p>
        </w:tc>
        <w:tc>
          <w:tcPr>
            <w:tcW w:w="1350" w:type="dxa"/>
          </w:tcPr>
          <w:p w:rsidR="00000000" w:rsidRDefault="00000000">
            <w:pPr>
              <w:pStyle w:val="DualTxt"/>
              <w:spacing w:before="60"/>
            </w:pPr>
            <w:r>
              <w:t>268619</w:t>
            </w:r>
          </w:p>
        </w:tc>
        <w:tc>
          <w:tcPr>
            <w:tcW w:w="1620" w:type="dxa"/>
          </w:tcPr>
          <w:p w:rsidR="00000000" w:rsidRDefault="00000000">
            <w:pPr>
              <w:pStyle w:val="DualTxt"/>
              <w:spacing w:before="60"/>
            </w:pPr>
            <w:r>
              <w:t>3244590</w:t>
            </w:r>
          </w:p>
        </w:tc>
        <w:tc>
          <w:tcPr>
            <w:tcW w:w="2160" w:type="dxa"/>
          </w:tcPr>
          <w:p w:rsidR="00000000" w:rsidRDefault="00000000">
            <w:pPr>
              <w:pStyle w:val="DualTxt"/>
              <w:spacing w:before="60"/>
            </w:pPr>
            <w:r>
              <w:t>6211437</w:t>
            </w:r>
          </w:p>
        </w:tc>
      </w:tr>
      <w:tr w:rsidR="00000000">
        <w:tblPrEx>
          <w:tblCellMar>
            <w:top w:w="0" w:type="dxa"/>
            <w:bottom w:w="0" w:type="dxa"/>
          </w:tblCellMar>
        </w:tblPrEx>
        <w:tc>
          <w:tcPr>
            <w:tcW w:w="1170" w:type="dxa"/>
          </w:tcPr>
          <w:p w:rsidR="00000000" w:rsidRDefault="00000000">
            <w:pPr>
              <w:pStyle w:val="DualTxt"/>
              <w:spacing w:before="60"/>
            </w:pPr>
            <w:r>
              <w:t>1999 год</w:t>
            </w:r>
          </w:p>
        </w:tc>
        <w:tc>
          <w:tcPr>
            <w:tcW w:w="1170" w:type="dxa"/>
          </w:tcPr>
          <w:p w:rsidR="00000000" w:rsidRDefault="00000000">
            <w:pPr>
              <w:pStyle w:val="DualTxt"/>
              <w:spacing w:before="60"/>
            </w:pPr>
            <w:r>
              <w:t>210744</w:t>
            </w:r>
          </w:p>
        </w:tc>
        <w:tc>
          <w:tcPr>
            <w:tcW w:w="1350" w:type="dxa"/>
          </w:tcPr>
          <w:p w:rsidR="00000000" w:rsidRDefault="00000000">
            <w:pPr>
              <w:pStyle w:val="DualTxt"/>
              <w:spacing w:before="60"/>
            </w:pPr>
            <w:r>
              <w:t>263856</w:t>
            </w:r>
          </w:p>
        </w:tc>
        <w:tc>
          <w:tcPr>
            <w:tcW w:w="1620" w:type="dxa"/>
          </w:tcPr>
          <w:p w:rsidR="00000000" w:rsidRDefault="00000000">
            <w:pPr>
              <w:pStyle w:val="DualTxt"/>
              <w:spacing w:before="60"/>
            </w:pPr>
            <w:r>
              <w:t>3436536</w:t>
            </w:r>
          </w:p>
        </w:tc>
        <w:tc>
          <w:tcPr>
            <w:tcW w:w="2160" w:type="dxa"/>
          </w:tcPr>
          <w:p w:rsidR="00000000" w:rsidRDefault="00000000">
            <w:pPr>
              <w:pStyle w:val="DualTxt"/>
              <w:spacing w:before="60"/>
            </w:pPr>
            <w:r>
              <w:t>6380160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224.</w:t>
      </w:r>
      <w:r>
        <w:tab/>
        <w:t>Важным показателем, характеризующим состояние здоровья населения, является предполагаемая продолжительность жизни при рождении, которая указывает на то, что в Латвии существует заметная разница между мужчинами и женщинами (см. таблицу): средняя предполагаемая продолжительность жи</w:t>
      </w:r>
      <w:r>
        <w:t>з</w:t>
      </w:r>
      <w:r>
        <w:t>ни у мужчин на 11 лет короче, чем у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t xml:space="preserv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Средняя предполагаемая продолжительность жизни при рождении</w:t>
      </w:r>
    </w:p>
    <w:p w:rsidR="00000000" w:rsidRDefault="00000000">
      <w:pPr>
        <w:pStyle w:val="SingleTxt"/>
        <w:spacing w:after="0" w:line="120" w:lineRule="exact"/>
        <w:rPr>
          <w:sz w:val="10"/>
        </w:rPr>
      </w:pPr>
    </w:p>
    <w:p w:rsidR="00000000" w:rsidRDefault="00000000">
      <w:pPr>
        <w:pStyle w:val="SingleTxt"/>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1"/>
        <w:gridCol w:w="963"/>
        <w:gridCol w:w="1035"/>
        <w:gridCol w:w="1107"/>
        <w:gridCol w:w="1026"/>
        <w:gridCol w:w="1071"/>
        <w:gridCol w:w="1098"/>
      </w:tblGrid>
      <w:tr w:rsidR="00000000">
        <w:tblPrEx>
          <w:tblCellMar>
            <w:top w:w="0" w:type="dxa"/>
            <w:bottom w:w="0" w:type="dxa"/>
          </w:tblCellMar>
        </w:tblPrEx>
        <w:trPr>
          <w:cantSplit/>
        </w:trPr>
        <w:tc>
          <w:tcPr>
            <w:tcW w:w="1161" w:type="dxa"/>
            <w:vMerge w:val="restart"/>
            <w:vAlign w:val="bottom"/>
          </w:tcPr>
          <w:p w:rsidR="00000000" w:rsidRDefault="00000000">
            <w:pPr>
              <w:pStyle w:val="DualTxt"/>
              <w:jc w:val="left"/>
              <w:rPr>
                <w:sz w:val="16"/>
              </w:rPr>
            </w:pPr>
          </w:p>
        </w:tc>
        <w:tc>
          <w:tcPr>
            <w:tcW w:w="1998" w:type="dxa"/>
            <w:gridSpan w:val="2"/>
            <w:vAlign w:val="bottom"/>
          </w:tcPr>
          <w:p w:rsidR="00000000" w:rsidRDefault="00000000">
            <w:pPr>
              <w:pStyle w:val="DualTxt"/>
              <w:jc w:val="left"/>
              <w:rPr>
                <w:sz w:val="16"/>
              </w:rPr>
            </w:pPr>
            <w:r>
              <w:rPr>
                <w:sz w:val="16"/>
              </w:rPr>
              <w:t>Латвия</w:t>
            </w:r>
          </w:p>
        </w:tc>
        <w:tc>
          <w:tcPr>
            <w:tcW w:w="2133" w:type="dxa"/>
            <w:gridSpan w:val="2"/>
            <w:vAlign w:val="bottom"/>
          </w:tcPr>
          <w:p w:rsidR="00000000" w:rsidRDefault="00000000">
            <w:pPr>
              <w:pStyle w:val="DualTxt"/>
              <w:jc w:val="left"/>
              <w:rPr>
                <w:sz w:val="16"/>
              </w:rPr>
            </w:pPr>
            <w:r>
              <w:rPr>
                <w:sz w:val="16"/>
              </w:rPr>
              <w:t>Города</w:t>
            </w:r>
          </w:p>
        </w:tc>
        <w:tc>
          <w:tcPr>
            <w:tcW w:w="2169" w:type="dxa"/>
            <w:gridSpan w:val="2"/>
            <w:vAlign w:val="bottom"/>
          </w:tcPr>
          <w:p w:rsidR="00000000" w:rsidRDefault="00000000">
            <w:pPr>
              <w:pStyle w:val="DualTxt"/>
              <w:jc w:val="left"/>
              <w:rPr>
                <w:sz w:val="16"/>
              </w:rPr>
            </w:pPr>
            <w:r>
              <w:rPr>
                <w:sz w:val="16"/>
              </w:rPr>
              <w:t>Сельские районы</w:t>
            </w:r>
          </w:p>
        </w:tc>
      </w:tr>
      <w:tr w:rsidR="00000000">
        <w:tblPrEx>
          <w:tblCellMar>
            <w:top w:w="0" w:type="dxa"/>
            <w:bottom w:w="0" w:type="dxa"/>
          </w:tblCellMar>
        </w:tblPrEx>
        <w:trPr>
          <w:cantSplit/>
        </w:trPr>
        <w:tc>
          <w:tcPr>
            <w:tcW w:w="1161" w:type="dxa"/>
            <w:vMerge/>
            <w:vAlign w:val="bottom"/>
          </w:tcPr>
          <w:p w:rsidR="00000000" w:rsidRDefault="00000000">
            <w:pPr>
              <w:pStyle w:val="DualTxt"/>
              <w:jc w:val="left"/>
              <w:rPr>
                <w:sz w:val="16"/>
              </w:rPr>
            </w:pPr>
          </w:p>
        </w:tc>
        <w:tc>
          <w:tcPr>
            <w:tcW w:w="963" w:type="dxa"/>
            <w:vAlign w:val="bottom"/>
          </w:tcPr>
          <w:p w:rsidR="00000000" w:rsidRDefault="00000000">
            <w:pPr>
              <w:pStyle w:val="DualTxt"/>
              <w:jc w:val="left"/>
              <w:rPr>
                <w:sz w:val="16"/>
              </w:rPr>
            </w:pPr>
            <w:r>
              <w:rPr>
                <w:sz w:val="16"/>
              </w:rPr>
              <w:t>Мужчины</w:t>
            </w:r>
          </w:p>
        </w:tc>
        <w:tc>
          <w:tcPr>
            <w:tcW w:w="1035" w:type="dxa"/>
            <w:vAlign w:val="bottom"/>
          </w:tcPr>
          <w:p w:rsidR="00000000" w:rsidRDefault="00000000">
            <w:pPr>
              <w:pStyle w:val="DualTxt"/>
              <w:jc w:val="left"/>
              <w:rPr>
                <w:sz w:val="16"/>
              </w:rPr>
            </w:pPr>
            <w:r>
              <w:rPr>
                <w:sz w:val="16"/>
              </w:rPr>
              <w:t>Женщины</w:t>
            </w:r>
          </w:p>
        </w:tc>
        <w:tc>
          <w:tcPr>
            <w:tcW w:w="1107" w:type="dxa"/>
            <w:vAlign w:val="bottom"/>
          </w:tcPr>
          <w:p w:rsidR="00000000" w:rsidRDefault="00000000">
            <w:pPr>
              <w:pStyle w:val="DualTxt"/>
              <w:jc w:val="left"/>
              <w:rPr>
                <w:sz w:val="16"/>
              </w:rPr>
            </w:pPr>
            <w:r>
              <w:rPr>
                <w:sz w:val="16"/>
              </w:rPr>
              <w:t>Мужчины</w:t>
            </w:r>
          </w:p>
        </w:tc>
        <w:tc>
          <w:tcPr>
            <w:tcW w:w="1026" w:type="dxa"/>
            <w:vAlign w:val="bottom"/>
          </w:tcPr>
          <w:p w:rsidR="00000000" w:rsidRDefault="00000000">
            <w:pPr>
              <w:pStyle w:val="DualTxt"/>
              <w:jc w:val="left"/>
              <w:rPr>
                <w:sz w:val="16"/>
              </w:rPr>
            </w:pPr>
            <w:r>
              <w:rPr>
                <w:sz w:val="16"/>
              </w:rPr>
              <w:t>Женщины</w:t>
            </w:r>
          </w:p>
        </w:tc>
        <w:tc>
          <w:tcPr>
            <w:tcW w:w="1071" w:type="dxa"/>
            <w:vAlign w:val="bottom"/>
          </w:tcPr>
          <w:p w:rsidR="00000000" w:rsidRDefault="00000000">
            <w:pPr>
              <w:pStyle w:val="DualTxt"/>
              <w:jc w:val="left"/>
              <w:rPr>
                <w:sz w:val="16"/>
              </w:rPr>
            </w:pPr>
            <w:r>
              <w:rPr>
                <w:sz w:val="16"/>
              </w:rPr>
              <w:t>Мужчины</w:t>
            </w:r>
          </w:p>
        </w:tc>
        <w:tc>
          <w:tcPr>
            <w:tcW w:w="1098" w:type="dxa"/>
            <w:vAlign w:val="bottom"/>
          </w:tcPr>
          <w:p w:rsidR="00000000" w:rsidRDefault="00000000">
            <w:pPr>
              <w:pStyle w:val="DualTxt"/>
              <w:jc w:val="left"/>
              <w:rPr>
                <w:sz w:val="16"/>
              </w:rPr>
            </w:pPr>
            <w:r>
              <w:rPr>
                <w:sz w:val="16"/>
              </w:rPr>
              <w:t>Женщины</w:t>
            </w:r>
          </w:p>
        </w:tc>
      </w:tr>
      <w:tr w:rsidR="00000000">
        <w:tblPrEx>
          <w:tblCellMar>
            <w:top w:w="0" w:type="dxa"/>
            <w:bottom w:w="0" w:type="dxa"/>
          </w:tblCellMar>
        </w:tblPrEx>
        <w:tc>
          <w:tcPr>
            <w:tcW w:w="1161" w:type="dxa"/>
          </w:tcPr>
          <w:p w:rsidR="00000000" w:rsidRDefault="00000000">
            <w:pPr>
              <w:pStyle w:val="DualTxt"/>
            </w:pPr>
            <w:r>
              <w:t>1995 г.</w:t>
            </w:r>
          </w:p>
        </w:tc>
        <w:tc>
          <w:tcPr>
            <w:tcW w:w="963" w:type="dxa"/>
          </w:tcPr>
          <w:p w:rsidR="00000000" w:rsidRDefault="00000000">
            <w:pPr>
              <w:pStyle w:val="DualTxt"/>
            </w:pPr>
            <w:r>
              <w:t>60,76</w:t>
            </w:r>
          </w:p>
        </w:tc>
        <w:tc>
          <w:tcPr>
            <w:tcW w:w="1035" w:type="dxa"/>
          </w:tcPr>
          <w:p w:rsidR="00000000" w:rsidRDefault="00000000">
            <w:pPr>
              <w:pStyle w:val="DualTxt"/>
            </w:pPr>
            <w:r>
              <w:t>73,10</w:t>
            </w:r>
          </w:p>
        </w:tc>
        <w:tc>
          <w:tcPr>
            <w:tcW w:w="1107" w:type="dxa"/>
          </w:tcPr>
          <w:p w:rsidR="00000000" w:rsidRDefault="00000000">
            <w:pPr>
              <w:pStyle w:val="DualTxt"/>
            </w:pPr>
            <w:r>
              <w:t>60,99</w:t>
            </w:r>
          </w:p>
        </w:tc>
        <w:tc>
          <w:tcPr>
            <w:tcW w:w="1026" w:type="dxa"/>
          </w:tcPr>
          <w:p w:rsidR="00000000" w:rsidRDefault="00000000">
            <w:pPr>
              <w:pStyle w:val="DualTxt"/>
            </w:pPr>
            <w:r>
              <w:t>73,82</w:t>
            </w:r>
          </w:p>
        </w:tc>
        <w:tc>
          <w:tcPr>
            <w:tcW w:w="1071" w:type="dxa"/>
          </w:tcPr>
          <w:p w:rsidR="00000000" w:rsidRDefault="00000000">
            <w:pPr>
              <w:pStyle w:val="DualTxt"/>
            </w:pPr>
            <w:r>
              <w:t>59,57</w:t>
            </w:r>
          </w:p>
        </w:tc>
        <w:tc>
          <w:tcPr>
            <w:tcW w:w="1098" w:type="dxa"/>
          </w:tcPr>
          <w:p w:rsidR="00000000" w:rsidRDefault="00000000">
            <w:pPr>
              <w:pStyle w:val="DualTxt"/>
            </w:pPr>
            <w:r>
              <w:t>72,74</w:t>
            </w:r>
          </w:p>
        </w:tc>
      </w:tr>
      <w:tr w:rsidR="00000000">
        <w:tblPrEx>
          <w:tblCellMar>
            <w:top w:w="0" w:type="dxa"/>
            <w:bottom w:w="0" w:type="dxa"/>
          </w:tblCellMar>
        </w:tblPrEx>
        <w:tc>
          <w:tcPr>
            <w:tcW w:w="1161" w:type="dxa"/>
          </w:tcPr>
          <w:p w:rsidR="00000000" w:rsidRDefault="00000000">
            <w:pPr>
              <w:pStyle w:val="DualTxt"/>
            </w:pPr>
            <w:r>
              <w:t>1996 г.</w:t>
            </w:r>
          </w:p>
        </w:tc>
        <w:tc>
          <w:tcPr>
            <w:tcW w:w="963" w:type="dxa"/>
          </w:tcPr>
          <w:p w:rsidR="00000000" w:rsidRDefault="00000000">
            <w:pPr>
              <w:pStyle w:val="DualTxt"/>
            </w:pPr>
            <w:r>
              <w:t>63,94</w:t>
            </w:r>
          </w:p>
        </w:tc>
        <w:tc>
          <w:tcPr>
            <w:tcW w:w="1035" w:type="dxa"/>
          </w:tcPr>
          <w:p w:rsidR="00000000" w:rsidRDefault="00000000">
            <w:pPr>
              <w:pStyle w:val="DualTxt"/>
            </w:pPr>
            <w:r>
              <w:t>75,62</w:t>
            </w:r>
          </w:p>
        </w:tc>
        <w:tc>
          <w:tcPr>
            <w:tcW w:w="1107" w:type="dxa"/>
          </w:tcPr>
          <w:p w:rsidR="00000000" w:rsidRDefault="00000000">
            <w:pPr>
              <w:pStyle w:val="DualTxt"/>
            </w:pPr>
            <w:r>
              <w:t>64,25</w:t>
            </w:r>
          </w:p>
        </w:tc>
        <w:tc>
          <w:tcPr>
            <w:tcW w:w="1026" w:type="dxa"/>
          </w:tcPr>
          <w:p w:rsidR="00000000" w:rsidRDefault="00000000">
            <w:pPr>
              <w:pStyle w:val="DualTxt"/>
            </w:pPr>
            <w:r>
              <w:t>75,97</w:t>
            </w:r>
          </w:p>
        </w:tc>
        <w:tc>
          <w:tcPr>
            <w:tcW w:w="1071" w:type="dxa"/>
          </w:tcPr>
          <w:p w:rsidR="00000000" w:rsidRDefault="00000000">
            <w:pPr>
              <w:pStyle w:val="DualTxt"/>
            </w:pPr>
            <w:r>
              <w:t>61,42</w:t>
            </w:r>
          </w:p>
        </w:tc>
        <w:tc>
          <w:tcPr>
            <w:tcW w:w="1098" w:type="dxa"/>
          </w:tcPr>
          <w:p w:rsidR="00000000" w:rsidRDefault="00000000">
            <w:pPr>
              <w:pStyle w:val="DualTxt"/>
            </w:pPr>
            <w:r>
              <w:t>74,93</w:t>
            </w:r>
          </w:p>
        </w:tc>
      </w:tr>
      <w:tr w:rsidR="00000000">
        <w:tblPrEx>
          <w:tblCellMar>
            <w:top w:w="0" w:type="dxa"/>
            <w:bottom w:w="0" w:type="dxa"/>
          </w:tblCellMar>
        </w:tblPrEx>
        <w:tc>
          <w:tcPr>
            <w:tcW w:w="1161" w:type="dxa"/>
          </w:tcPr>
          <w:p w:rsidR="00000000" w:rsidRDefault="00000000">
            <w:pPr>
              <w:pStyle w:val="DualTxt"/>
            </w:pPr>
            <w:r>
              <w:t>1997 г.</w:t>
            </w:r>
          </w:p>
        </w:tc>
        <w:tc>
          <w:tcPr>
            <w:tcW w:w="963" w:type="dxa"/>
          </w:tcPr>
          <w:p w:rsidR="00000000" w:rsidRDefault="00000000">
            <w:pPr>
              <w:pStyle w:val="DualTxt"/>
            </w:pPr>
            <w:r>
              <w:t>64,21</w:t>
            </w:r>
          </w:p>
        </w:tc>
        <w:tc>
          <w:tcPr>
            <w:tcW w:w="1035" w:type="dxa"/>
          </w:tcPr>
          <w:p w:rsidR="00000000" w:rsidRDefault="00000000">
            <w:pPr>
              <w:pStyle w:val="DualTxt"/>
            </w:pPr>
            <w:r>
              <w:t>75,88</w:t>
            </w:r>
          </w:p>
        </w:tc>
        <w:tc>
          <w:tcPr>
            <w:tcW w:w="1107" w:type="dxa"/>
          </w:tcPr>
          <w:p w:rsidR="00000000" w:rsidRDefault="00000000">
            <w:pPr>
              <w:pStyle w:val="DualTxt"/>
            </w:pPr>
            <w:r>
              <w:t>65,21</w:t>
            </w:r>
          </w:p>
        </w:tc>
        <w:tc>
          <w:tcPr>
            <w:tcW w:w="1026" w:type="dxa"/>
          </w:tcPr>
          <w:p w:rsidR="00000000" w:rsidRDefault="00000000">
            <w:pPr>
              <w:pStyle w:val="DualTxt"/>
            </w:pPr>
            <w:r>
              <w:t>76,05</w:t>
            </w:r>
          </w:p>
        </w:tc>
        <w:tc>
          <w:tcPr>
            <w:tcW w:w="1071" w:type="dxa"/>
          </w:tcPr>
          <w:p w:rsidR="00000000" w:rsidRDefault="00000000">
            <w:pPr>
              <w:pStyle w:val="DualTxt"/>
            </w:pPr>
            <w:r>
              <w:t>62,85</w:t>
            </w:r>
          </w:p>
        </w:tc>
        <w:tc>
          <w:tcPr>
            <w:tcW w:w="1098" w:type="dxa"/>
          </w:tcPr>
          <w:p w:rsidR="00000000" w:rsidRDefault="00000000">
            <w:pPr>
              <w:pStyle w:val="DualTxt"/>
            </w:pPr>
            <w:r>
              <w:t>75,36</w:t>
            </w:r>
          </w:p>
        </w:tc>
      </w:tr>
      <w:tr w:rsidR="00000000">
        <w:tblPrEx>
          <w:tblCellMar>
            <w:top w:w="0" w:type="dxa"/>
            <w:bottom w:w="0" w:type="dxa"/>
          </w:tblCellMar>
        </w:tblPrEx>
        <w:tc>
          <w:tcPr>
            <w:tcW w:w="1161" w:type="dxa"/>
          </w:tcPr>
          <w:p w:rsidR="00000000" w:rsidRDefault="00000000">
            <w:pPr>
              <w:pStyle w:val="DualTxt"/>
            </w:pPr>
            <w:r>
              <w:t>1998 г.</w:t>
            </w:r>
          </w:p>
        </w:tc>
        <w:tc>
          <w:tcPr>
            <w:tcW w:w="963" w:type="dxa"/>
          </w:tcPr>
          <w:p w:rsidR="00000000" w:rsidRDefault="00000000">
            <w:pPr>
              <w:pStyle w:val="DualTxt"/>
            </w:pPr>
            <w:r>
              <w:t>64,08</w:t>
            </w:r>
          </w:p>
        </w:tc>
        <w:tc>
          <w:tcPr>
            <w:tcW w:w="1035" w:type="dxa"/>
          </w:tcPr>
          <w:p w:rsidR="00000000" w:rsidRDefault="00000000">
            <w:pPr>
              <w:pStyle w:val="DualTxt"/>
            </w:pPr>
            <w:r>
              <w:t>75,54</w:t>
            </w:r>
          </w:p>
        </w:tc>
        <w:tc>
          <w:tcPr>
            <w:tcW w:w="1107" w:type="dxa"/>
          </w:tcPr>
          <w:p w:rsidR="00000000" w:rsidRDefault="00000000">
            <w:pPr>
              <w:pStyle w:val="DualTxt"/>
            </w:pPr>
            <w:r>
              <w:t>65,17</w:t>
            </w:r>
          </w:p>
        </w:tc>
        <w:tc>
          <w:tcPr>
            <w:tcW w:w="1026" w:type="dxa"/>
          </w:tcPr>
          <w:p w:rsidR="00000000" w:rsidRDefault="00000000">
            <w:pPr>
              <w:pStyle w:val="DualTxt"/>
            </w:pPr>
            <w:r>
              <w:t>75,88</w:t>
            </w:r>
          </w:p>
        </w:tc>
        <w:tc>
          <w:tcPr>
            <w:tcW w:w="1071" w:type="dxa"/>
          </w:tcPr>
          <w:p w:rsidR="00000000" w:rsidRDefault="00000000">
            <w:pPr>
              <w:pStyle w:val="DualTxt"/>
            </w:pPr>
            <w:r>
              <w:t>62,16</w:t>
            </w:r>
          </w:p>
        </w:tc>
        <w:tc>
          <w:tcPr>
            <w:tcW w:w="1098" w:type="dxa"/>
          </w:tcPr>
          <w:p w:rsidR="00000000" w:rsidRDefault="00000000">
            <w:pPr>
              <w:pStyle w:val="DualTxt"/>
            </w:pPr>
            <w:r>
              <w:t>74,87</w:t>
            </w:r>
          </w:p>
        </w:tc>
      </w:tr>
      <w:tr w:rsidR="00000000">
        <w:tblPrEx>
          <w:tblCellMar>
            <w:top w:w="0" w:type="dxa"/>
            <w:bottom w:w="0" w:type="dxa"/>
          </w:tblCellMar>
        </w:tblPrEx>
        <w:tc>
          <w:tcPr>
            <w:tcW w:w="1161" w:type="dxa"/>
          </w:tcPr>
          <w:p w:rsidR="00000000" w:rsidRDefault="00000000">
            <w:pPr>
              <w:pStyle w:val="DualTxt"/>
            </w:pPr>
            <w:r>
              <w:t>1999 г.</w:t>
            </w:r>
          </w:p>
        </w:tc>
        <w:tc>
          <w:tcPr>
            <w:tcW w:w="963" w:type="dxa"/>
          </w:tcPr>
          <w:p w:rsidR="00000000" w:rsidRDefault="00000000">
            <w:pPr>
              <w:pStyle w:val="DualTxt"/>
            </w:pPr>
            <w:r>
              <w:t>64,89</w:t>
            </w:r>
          </w:p>
        </w:tc>
        <w:tc>
          <w:tcPr>
            <w:tcW w:w="1035" w:type="dxa"/>
          </w:tcPr>
          <w:p w:rsidR="00000000" w:rsidRDefault="00000000">
            <w:pPr>
              <w:pStyle w:val="DualTxt"/>
            </w:pPr>
            <w:r>
              <w:t>76,20</w:t>
            </w:r>
          </w:p>
        </w:tc>
        <w:tc>
          <w:tcPr>
            <w:tcW w:w="1107" w:type="dxa"/>
          </w:tcPr>
          <w:p w:rsidR="00000000" w:rsidRDefault="00000000">
            <w:pPr>
              <w:pStyle w:val="DualTxt"/>
            </w:pPr>
            <w:r>
              <w:t>65,70</w:t>
            </w:r>
          </w:p>
        </w:tc>
        <w:tc>
          <w:tcPr>
            <w:tcW w:w="1026" w:type="dxa"/>
          </w:tcPr>
          <w:p w:rsidR="00000000" w:rsidRDefault="00000000">
            <w:pPr>
              <w:pStyle w:val="DualTxt"/>
            </w:pPr>
            <w:r>
              <w:t>76,24</w:t>
            </w:r>
          </w:p>
        </w:tc>
        <w:tc>
          <w:tcPr>
            <w:tcW w:w="1071" w:type="dxa"/>
          </w:tcPr>
          <w:p w:rsidR="00000000" w:rsidRDefault="00000000">
            <w:pPr>
              <w:pStyle w:val="DualTxt"/>
            </w:pPr>
            <w:r>
              <w:t>63,67</w:t>
            </w:r>
          </w:p>
        </w:tc>
        <w:tc>
          <w:tcPr>
            <w:tcW w:w="1098" w:type="dxa"/>
          </w:tcPr>
          <w:p w:rsidR="00000000" w:rsidRDefault="00000000">
            <w:pPr>
              <w:pStyle w:val="DualTxt"/>
            </w:pPr>
            <w:r>
              <w:t>75,93</w:t>
            </w:r>
          </w:p>
        </w:tc>
      </w:tr>
      <w:tr w:rsidR="00000000">
        <w:tblPrEx>
          <w:tblCellMar>
            <w:top w:w="0" w:type="dxa"/>
            <w:bottom w:w="0" w:type="dxa"/>
          </w:tblCellMar>
        </w:tblPrEx>
        <w:tc>
          <w:tcPr>
            <w:tcW w:w="1161" w:type="dxa"/>
          </w:tcPr>
          <w:p w:rsidR="00000000" w:rsidRDefault="00000000">
            <w:pPr>
              <w:pStyle w:val="DualTxt"/>
            </w:pPr>
            <w:r>
              <w:t>2000 г.</w:t>
            </w:r>
          </w:p>
        </w:tc>
        <w:tc>
          <w:tcPr>
            <w:tcW w:w="963" w:type="dxa"/>
          </w:tcPr>
          <w:p w:rsidR="00000000" w:rsidRDefault="00000000">
            <w:pPr>
              <w:pStyle w:val="DualTxt"/>
            </w:pPr>
            <w:r>
              <w:t>64,93</w:t>
            </w:r>
          </w:p>
        </w:tc>
        <w:tc>
          <w:tcPr>
            <w:tcW w:w="1035" w:type="dxa"/>
          </w:tcPr>
          <w:p w:rsidR="00000000" w:rsidRDefault="00000000">
            <w:pPr>
              <w:pStyle w:val="DualTxt"/>
            </w:pPr>
            <w:r>
              <w:t>75,98</w:t>
            </w:r>
          </w:p>
        </w:tc>
        <w:tc>
          <w:tcPr>
            <w:tcW w:w="1107" w:type="dxa"/>
          </w:tcPr>
          <w:p w:rsidR="00000000" w:rsidRDefault="00000000">
            <w:pPr>
              <w:pStyle w:val="DualTxt"/>
            </w:pPr>
            <w:r>
              <w:t>65,99</w:t>
            </w:r>
          </w:p>
        </w:tc>
        <w:tc>
          <w:tcPr>
            <w:tcW w:w="1026" w:type="dxa"/>
          </w:tcPr>
          <w:p w:rsidR="00000000" w:rsidRDefault="00000000">
            <w:pPr>
              <w:pStyle w:val="DualTxt"/>
            </w:pPr>
            <w:r>
              <w:t>76,64</w:t>
            </w:r>
          </w:p>
        </w:tc>
        <w:tc>
          <w:tcPr>
            <w:tcW w:w="1071" w:type="dxa"/>
          </w:tcPr>
          <w:p w:rsidR="00000000" w:rsidRDefault="00000000">
            <w:pPr>
              <w:pStyle w:val="DualTxt"/>
            </w:pPr>
            <w:r>
              <w:t>63,46</w:t>
            </w:r>
          </w:p>
        </w:tc>
        <w:tc>
          <w:tcPr>
            <w:tcW w:w="1098" w:type="dxa"/>
          </w:tcPr>
          <w:p w:rsidR="00000000" w:rsidRDefault="00000000">
            <w:pPr>
              <w:pStyle w:val="DualTxt"/>
            </w:pPr>
            <w:r>
              <w:t>75,76</w:t>
            </w:r>
          </w:p>
        </w:tc>
      </w:tr>
    </w:tbl>
    <w:p w:rsidR="00000000" w:rsidRDefault="00000000">
      <w:pPr>
        <w:pStyle w:val="SingleTxt"/>
      </w:pPr>
    </w:p>
    <w:p w:rsidR="00000000" w:rsidRDefault="00000000">
      <w:pPr>
        <w:pStyle w:val="SingleTxt"/>
      </w:pPr>
      <w:r>
        <w:t>225.</w:t>
      </w:r>
      <w:r>
        <w:tab/>
        <w:t xml:space="preserve"> В Латвии быстро распространяется эпидемия ВИЧ/СПИДа. В 2000 году было зарегистрировано 467 новых случаев ВИЧ и 24 новых случая СПИДа. Распространенность ВИЧ в 2000 году достигла 19,14 случая на 100 000 жит</w:t>
      </w:r>
      <w:r>
        <w:t>е</w:t>
      </w:r>
      <w:r>
        <w:t>лей. В 2000 году умерло десять человек, три из них от СПИДа. Остальные — это главным образом лица в возрасте от 15 до 49 лет и среди них число мужчин в три раза превышает число женщин. В Латвии ВИЧ распространяется через кровь среди наркоманов, употребляющих наркотики внутривенно, в результате обмена шприцами и иглами. Количество случаев инфицирования ВИЧ растет и среди инфицированных растет также число женщин. В результате увеличивае</w:t>
      </w:r>
      <w:r>
        <w:t>т</w:t>
      </w:r>
      <w:r>
        <w:t>ся опасность гетеросексуального и вертикального распространения ВИЧ (от матери к ребенку). В последнее время 15 женщин, инфицированных ВИЧ, р</w:t>
      </w:r>
      <w:r>
        <w:t>о</w:t>
      </w:r>
      <w:r>
        <w:t>дили детей, при этом два ребенка оказались инфицированными, здоровье чет</w:t>
      </w:r>
      <w:r>
        <w:t>ы</w:t>
      </w:r>
      <w:r>
        <w:t>рех детей хорошее и они сняты с учета. Ситуация в 1999 году указывает на то, что в Латвии наряду с традиционными группами риска инфицирования ВИЧ — наркоманы, употребляющие наркотики внутривенно, заключенные, гомосе</w:t>
      </w:r>
      <w:r>
        <w:t>к</w:t>
      </w:r>
      <w:r>
        <w:t>суалисты и гетеросексуалы с рисковой моделью поведения — новой уязвимой группой риска являются женщины детородного возраста, беременные женщ</w:t>
      </w:r>
      <w:r>
        <w:t>и</w:t>
      </w:r>
      <w:r>
        <w:t>ны и молодежь в возрасте от 15 до 19 лет. Согласно данным Центра профила</w:t>
      </w:r>
      <w:r>
        <w:t>к</w:t>
      </w:r>
      <w:r>
        <w:t>тики СПИДа, одна четверть ВИЧ-позитивных женщин была инфицирована в результате половых контактов и число инфицированных половым путем имеет тенденцию к росту. С учетом того, что опасность инфицирования таким обр</w:t>
      </w:r>
      <w:r>
        <w:t>а</w:t>
      </w:r>
      <w:r>
        <w:t>зом у женщин в 2-4 раза выше, чем у мужчин, эта тенденция особенно затраг</w:t>
      </w:r>
      <w:r>
        <w:t>и</w:t>
      </w:r>
      <w:r>
        <w:t>вает женщин.</w:t>
      </w:r>
    </w:p>
    <w:p w:rsidR="00000000" w:rsidRDefault="00000000">
      <w:pPr>
        <w:pStyle w:val="SingleTxt"/>
      </w:pPr>
      <w:r>
        <w:t>226.</w:t>
      </w:r>
      <w:r>
        <w:tab/>
        <w:t>В настоящее время в Латвии 55 процентов женщин, инфицированных ВИЧ, это лица в возрасте 20-29 лет, 78 процентов из которых употребляют на</w:t>
      </w:r>
      <w:r>
        <w:t>р</w:t>
      </w:r>
      <w:r>
        <w:t>котики. Общественность сравнительно более отрицательно относится к ВИЧ-инфицированным женщинам, поскольку есть вероятность того, что, когда такая женщина станет матерью, она передаст свою неизлечимую болезнь следующ</w:t>
      </w:r>
      <w:r>
        <w:t>е</w:t>
      </w:r>
      <w:r>
        <w:t>му поколению. Большинство таких женщин никогда в жизни не встречались с другими ВИЧ-позитивными женщинами. Общество отторгает ВИЧ-позитивных женщин. Однако в большинстве случаев эти женщины являются основными источниками средств к существованию своих семей и продолжают играть ва</w:t>
      </w:r>
      <w:r>
        <w:t>ж</w:t>
      </w:r>
      <w:r>
        <w:t>ную роль в своих домашних хозяйствах.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Распространенность ВИЧ</w:t>
      </w:r>
    </w:p>
    <w:p w:rsidR="00000000" w:rsidRDefault="00000000">
      <w:pPr>
        <w:pStyle w:val="SingleTxt"/>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8"/>
        <w:gridCol w:w="675"/>
        <w:gridCol w:w="666"/>
        <w:gridCol w:w="666"/>
        <w:gridCol w:w="657"/>
        <w:gridCol w:w="621"/>
        <w:gridCol w:w="666"/>
        <w:gridCol w:w="666"/>
        <w:gridCol w:w="630"/>
        <w:gridCol w:w="666"/>
        <w:gridCol w:w="639"/>
        <w:gridCol w:w="603"/>
        <w:gridCol w:w="639"/>
      </w:tblGrid>
      <w:tr w:rsidR="00000000">
        <w:tblPrEx>
          <w:tblCellMar>
            <w:top w:w="0" w:type="dxa"/>
            <w:bottom w:w="0" w:type="dxa"/>
          </w:tblCellMar>
        </w:tblPrEx>
        <w:trPr>
          <w:cantSplit/>
        </w:trPr>
        <w:tc>
          <w:tcPr>
            <w:tcW w:w="1998" w:type="dxa"/>
            <w:vAlign w:val="bottom"/>
          </w:tcPr>
          <w:p w:rsidR="00000000" w:rsidRDefault="00000000">
            <w:pPr>
              <w:pStyle w:val="DualTxt"/>
              <w:spacing w:before="60" w:after="100" w:line="200" w:lineRule="exact"/>
              <w:jc w:val="left"/>
              <w:rPr>
                <w:sz w:val="15"/>
              </w:rPr>
            </w:pPr>
          </w:p>
        </w:tc>
        <w:tc>
          <w:tcPr>
            <w:tcW w:w="1341" w:type="dxa"/>
            <w:gridSpan w:val="2"/>
            <w:vAlign w:val="bottom"/>
          </w:tcPr>
          <w:p w:rsidR="00000000" w:rsidRDefault="00000000">
            <w:pPr>
              <w:pStyle w:val="DualTxt"/>
              <w:spacing w:before="60" w:after="100" w:line="200" w:lineRule="exact"/>
              <w:jc w:val="left"/>
              <w:rPr>
                <w:sz w:val="15"/>
              </w:rPr>
            </w:pPr>
            <w:r>
              <w:rPr>
                <w:sz w:val="15"/>
              </w:rPr>
              <w:t>1995 год</w:t>
            </w:r>
          </w:p>
        </w:tc>
        <w:tc>
          <w:tcPr>
            <w:tcW w:w="1323" w:type="dxa"/>
            <w:gridSpan w:val="2"/>
            <w:vAlign w:val="bottom"/>
          </w:tcPr>
          <w:p w:rsidR="00000000" w:rsidRDefault="00000000">
            <w:pPr>
              <w:pStyle w:val="DualTxt"/>
              <w:spacing w:before="60" w:after="100" w:line="200" w:lineRule="exact"/>
              <w:jc w:val="left"/>
              <w:rPr>
                <w:sz w:val="15"/>
              </w:rPr>
            </w:pPr>
            <w:r>
              <w:rPr>
                <w:sz w:val="15"/>
              </w:rPr>
              <w:t>1996 год</w:t>
            </w:r>
          </w:p>
        </w:tc>
        <w:tc>
          <w:tcPr>
            <w:tcW w:w="1287" w:type="dxa"/>
            <w:gridSpan w:val="2"/>
            <w:vAlign w:val="bottom"/>
          </w:tcPr>
          <w:p w:rsidR="00000000" w:rsidRDefault="00000000">
            <w:pPr>
              <w:pStyle w:val="DualTxt"/>
              <w:spacing w:before="60" w:after="100" w:line="200" w:lineRule="exact"/>
              <w:jc w:val="left"/>
              <w:rPr>
                <w:sz w:val="15"/>
              </w:rPr>
            </w:pPr>
            <w:r>
              <w:rPr>
                <w:sz w:val="15"/>
              </w:rPr>
              <w:t>1997 год</w:t>
            </w:r>
          </w:p>
        </w:tc>
        <w:tc>
          <w:tcPr>
            <w:tcW w:w="1296" w:type="dxa"/>
            <w:gridSpan w:val="2"/>
            <w:vAlign w:val="bottom"/>
          </w:tcPr>
          <w:p w:rsidR="00000000" w:rsidRDefault="00000000">
            <w:pPr>
              <w:pStyle w:val="DualTxt"/>
              <w:spacing w:before="60" w:after="100" w:line="200" w:lineRule="exact"/>
              <w:jc w:val="left"/>
              <w:rPr>
                <w:sz w:val="15"/>
              </w:rPr>
            </w:pPr>
            <w:r>
              <w:rPr>
                <w:sz w:val="15"/>
              </w:rPr>
              <w:t>1998 год</w:t>
            </w:r>
          </w:p>
        </w:tc>
        <w:tc>
          <w:tcPr>
            <w:tcW w:w="1305" w:type="dxa"/>
            <w:gridSpan w:val="2"/>
            <w:vAlign w:val="bottom"/>
          </w:tcPr>
          <w:p w:rsidR="00000000" w:rsidRDefault="00000000">
            <w:pPr>
              <w:pStyle w:val="DualTxt"/>
              <w:spacing w:before="60" w:after="100" w:line="200" w:lineRule="exact"/>
              <w:jc w:val="left"/>
              <w:rPr>
                <w:sz w:val="15"/>
              </w:rPr>
            </w:pPr>
            <w:r>
              <w:rPr>
                <w:sz w:val="15"/>
              </w:rPr>
              <w:t>1999 год</w:t>
            </w:r>
          </w:p>
        </w:tc>
        <w:tc>
          <w:tcPr>
            <w:tcW w:w="1242" w:type="dxa"/>
            <w:gridSpan w:val="2"/>
            <w:vAlign w:val="bottom"/>
          </w:tcPr>
          <w:p w:rsidR="00000000" w:rsidRDefault="00000000">
            <w:pPr>
              <w:pStyle w:val="DualTxt"/>
              <w:spacing w:before="60" w:after="100" w:line="200" w:lineRule="exact"/>
              <w:jc w:val="left"/>
              <w:rPr>
                <w:sz w:val="15"/>
              </w:rPr>
            </w:pPr>
            <w:r>
              <w:rPr>
                <w:sz w:val="15"/>
              </w:rPr>
              <w:t>2000 год</w:t>
            </w:r>
          </w:p>
        </w:tc>
      </w:tr>
      <w:tr w:rsidR="00000000">
        <w:tblPrEx>
          <w:tblCellMar>
            <w:top w:w="0" w:type="dxa"/>
            <w:bottom w:w="0" w:type="dxa"/>
          </w:tblCellMar>
        </w:tblPrEx>
        <w:tc>
          <w:tcPr>
            <w:tcW w:w="1998" w:type="dxa"/>
            <w:vAlign w:val="bottom"/>
          </w:tcPr>
          <w:p w:rsidR="00000000" w:rsidRDefault="00000000">
            <w:pPr>
              <w:pStyle w:val="DualTxt"/>
              <w:spacing w:before="60" w:after="100" w:line="200" w:lineRule="exact"/>
              <w:jc w:val="left"/>
              <w:rPr>
                <w:sz w:val="15"/>
              </w:rPr>
            </w:pPr>
          </w:p>
        </w:tc>
        <w:tc>
          <w:tcPr>
            <w:tcW w:w="675" w:type="dxa"/>
            <w:vAlign w:val="bottom"/>
          </w:tcPr>
          <w:p w:rsidR="00000000" w:rsidRDefault="00000000">
            <w:pPr>
              <w:pStyle w:val="DualTxt"/>
              <w:spacing w:before="60" w:after="100" w:line="200" w:lineRule="exact"/>
              <w:jc w:val="left"/>
              <w:rPr>
                <w:sz w:val="15"/>
              </w:rPr>
            </w:pPr>
            <w:r>
              <w:rPr>
                <w:sz w:val="15"/>
              </w:rPr>
              <w:t>Муж-ч</w:t>
            </w:r>
            <w:r>
              <w:rPr>
                <w:sz w:val="15"/>
              </w:rPr>
              <w:t>и</w:t>
            </w:r>
            <w:r>
              <w:rPr>
                <w:sz w:val="15"/>
              </w:rPr>
              <w:t>ны</w:t>
            </w:r>
          </w:p>
        </w:tc>
        <w:tc>
          <w:tcPr>
            <w:tcW w:w="666" w:type="dxa"/>
            <w:vAlign w:val="bottom"/>
          </w:tcPr>
          <w:p w:rsidR="00000000" w:rsidRDefault="00000000">
            <w:pPr>
              <w:pStyle w:val="DualTxt"/>
              <w:spacing w:before="60" w:after="100" w:line="200" w:lineRule="exact"/>
              <w:jc w:val="left"/>
              <w:rPr>
                <w:sz w:val="15"/>
              </w:rPr>
            </w:pPr>
            <w:r>
              <w:rPr>
                <w:sz w:val="15"/>
              </w:rPr>
              <w:t>Жен-щ</w:t>
            </w:r>
            <w:r>
              <w:rPr>
                <w:sz w:val="15"/>
              </w:rPr>
              <w:t>и</w:t>
            </w:r>
            <w:r>
              <w:rPr>
                <w:sz w:val="15"/>
              </w:rPr>
              <w:t>ны</w:t>
            </w:r>
          </w:p>
        </w:tc>
        <w:tc>
          <w:tcPr>
            <w:tcW w:w="666" w:type="dxa"/>
            <w:vAlign w:val="bottom"/>
          </w:tcPr>
          <w:p w:rsidR="00000000" w:rsidRDefault="00000000">
            <w:pPr>
              <w:pStyle w:val="DualTxt"/>
              <w:spacing w:before="60" w:after="100" w:line="200" w:lineRule="exact"/>
              <w:jc w:val="left"/>
              <w:rPr>
                <w:sz w:val="15"/>
              </w:rPr>
            </w:pPr>
            <w:r>
              <w:rPr>
                <w:sz w:val="15"/>
              </w:rPr>
              <w:t>Муж-ч</w:t>
            </w:r>
            <w:r>
              <w:rPr>
                <w:sz w:val="15"/>
              </w:rPr>
              <w:t>и</w:t>
            </w:r>
            <w:r>
              <w:rPr>
                <w:sz w:val="15"/>
              </w:rPr>
              <w:t>ны</w:t>
            </w:r>
          </w:p>
        </w:tc>
        <w:tc>
          <w:tcPr>
            <w:tcW w:w="657" w:type="dxa"/>
            <w:vAlign w:val="bottom"/>
          </w:tcPr>
          <w:p w:rsidR="00000000" w:rsidRDefault="00000000">
            <w:pPr>
              <w:pStyle w:val="DualTxt"/>
              <w:spacing w:before="60" w:after="100" w:line="200" w:lineRule="exact"/>
              <w:jc w:val="left"/>
              <w:rPr>
                <w:sz w:val="15"/>
              </w:rPr>
            </w:pPr>
            <w:r>
              <w:rPr>
                <w:sz w:val="15"/>
              </w:rPr>
              <w:t>Жен-щ</w:t>
            </w:r>
            <w:r>
              <w:rPr>
                <w:sz w:val="15"/>
              </w:rPr>
              <w:t>и</w:t>
            </w:r>
            <w:r>
              <w:rPr>
                <w:sz w:val="15"/>
              </w:rPr>
              <w:t>ны</w:t>
            </w:r>
          </w:p>
        </w:tc>
        <w:tc>
          <w:tcPr>
            <w:tcW w:w="621" w:type="dxa"/>
            <w:vAlign w:val="bottom"/>
          </w:tcPr>
          <w:p w:rsidR="00000000" w:rsidRDefault="00000000">
            <w:pPr>
              <w:pStyle w:val="DualTxt"/>
              <w:spacing w:before="60" w:after="100" w:line="200" w:lineRule="exact"/>
              <w:jc w:val="left"/>
              <w:rPr>
                <w:sz w:val="15"/>
              </w:rPr>
            </w:pPr>
            <w:r>
              <w:rPr>
                <w:sz w:val="15"/>
              </w:rPr>
              <w:t>Муж-ч</w:t>
            </w:r>
            <w:r>
              <w:rPr>
                <w:sz w:val="15"/>
              </w:rPr>
              <w:t>и</w:t>
            </w:r>
            <w:r>
              <w:rPr>
                <w:sz w:val="15"/>
              </w:rPr>
              <w:t>ны</w:t>
            </w:r>
          </w:p>
        </w:tc>
        <w:tc>
          <w:tcPr>
            <w:tcW w:w="666" w:type="dxa"/>
            <w:vAlign w:val="bottom"/>
          </w:tcPr>
          <w:p w:rsidR="00000000" w:rsidRDefault="00000000">
            <w:pPr>
              <w:pStyle w:val="DualTxt"/>
              <w:spacing w:before="60" w:after="100" w:line="200" w:lineRule="exact"/>
              <w:jc w:val="left"/>
              <w:rPr>
                <w:sz w:val="15"/>
              </w:rPr>
            </w:pPr>
            <w:r>
              <w:rPr>
                <w:sz w:val="15"/>
              </w:rPr>
              <w:t>Жен-щ</w:t>
            </w:r>
            <w:r>
              <w:rPr>
                <w:sz w:val="15"/>
              </w:rPr>
              <w:t>и</w:t>
            </w:r>
            <w:r>
              <w:rPr>
                <w:sz w:val="15"/>
              </w:rPr>
              <w:t>ны</w:t>
            </w:r>
          </w:p>
        </w:tc>
        <w:tc>
          <w:tcPr>
            <w:tcW w:w="666" w:type="dxa"/>
            <w:vAlign w:val="bottom"/>
          </w:tcPr>
          <w:p w:rsidR="00000000" w:rsidRDefault="00000000">
            <w:pPr>
              <w:pStyle w:val="DualTxt"/>
              <w:spacing w:before="60" w:after="100" w:line="200" w:lineRule="exact"/>
              <w:jc w:val="left"/>
              <w:rPr>
                <w:sz w:val="15"/>
              </w:rPr>
            </w:pPr>
            <w:r>
              <w:rPr>
                <w:sz w:val="15"/>
              </w:rPr>
              <w:t>Муж-ч</w:t>
            </w:r>
            <w:r>
              <w:rPr>
                <w:sz w:val="15"/>
              </w:rPr>
              <w:t>и</w:t>
            </w:r>
            <w:r>
              <w:rPr>
                <w:sz w:val="15"/>
              </w:rPr>
              <w:t>ны</w:t>
            </w:r>
          </w:p>
        </w:tc>
        <w:tc>
          <w:tcPr>
            <w:tcW w:w="630" w:type="dxa"/>
            <w:vAlign w:val="bottom"/>
          </w:tcPr>
          <w:p w:rsidR="00000000" w:rsidRDefault="00000000">
            <w:pPr>
              <w:pStyle w:val="DualTxt"/>
              <w:spacing w:before="60" w:after="100" w:line="200" w:lineRule="exact"/>
              <w:jc w:val="left"/>
              <w:rPr>
                <w:sz w:val="15"/>
              </w:rPr>
            </w:pPr>
            <w:r>
              <w:rPr>
                <w:sz w:val="15"/>
              </w:rPr>
              <w:t>Жен-щ</w:t>
            </w:r>
            <w:r>
              <w:rPr>
                <w:sz w:val="15"/>
              </w:rPr>
              <w:t>и</w:t>
            </w:r>
            <w:r>
              <w:rPr>
                <w:sz w:val="15"/>
              </w:rPr>
              <w:t>ны</w:t>
            </w:r>
          </w:p>
        </w:tc>
        <w:tc>
          <w:tcPr>
            <w:tcW w:w="666" w:type="dxa"/>
            <w:vAlign w:val="bottom"/>
          </w:tcPr>
          <w:p w:rsidR="00000000" w:rsidRDefault="00000000">
            <w:pPr>
              <w:pStyle w:val="DualTxt"/>
              <w:spacing w:before="60" w:after="100" w:line="200" w:lineRule="exact"/>
              <w:jc w:val="left"/>
              <w:rPr>
                <w:sz w:val="15"/>
              </w:rPr>
            </w:pPr>
            <w:r>
              <w:rPr>
                <w:sz w:val="15"/>
              </w:rPr>
              <w:t>Муж-ч</w:t>
            </w:r>
            <w:r>
              <w:rPr>
                <w:sz w:val="15"/>
              </w:rPr>
              <w:t>и</w:t>
            </w:r>
            <w:r>
              <w:rPr>
                <w:sz w:val="15"/>
              </w:rPr>
              <w:t>ны</w:t>
            </w:r>
          </w:p>
        </w:tc>
        <w:tc>
          <w:tcPr>
            <w:tcW w:w="639" w:type="dxa"/>
            <w:vAlign w:val="bottom"/>
          </w:tcPr>
          <w:p w:rsidR="00000000" w:rsidRDefault="00000000">
            <w:pPr>
              <w:pStyle w:val="DualTxt"/>
              <w:spacing w:before="60" w:after="100" w:line="200" w:lineRule="exact"/>
              <w:jc w:val="left"/>
              <w:rPr>
                <w:sz w:val="15"/>
              </w:rPr>
            </w:pPr>
            <w:r>
              <w:rPr>
                <w:sz w:val="15"/>
              </w:rPr>
              <w:t>Же</w:t>
            </w:r>
            <w:r>
              <w:rPr>
                <w:sz w:val="15"/>
              </w:rPr>
              <w:t>н</w:t>
            </w:r>
            <w:r>
              <w:rPr>
                <w:sz w:val="15"/>
              </w:rPr>
              <w:t>щ</w:t>
            </w:r>
            <w:r>
              <w:rPr>
                <w:sz w:val="15"/>
              </w:rPr>
              <w:t>и</w:t>
            </w:r>
            <w:r>
              <w:rPr>
                <w:sz w:val="15"/>
              </w:rPr>
              <w:t>ны</w:t>
            </w:r>
          </w:p>
        </w:tc>
        <w:tc>
          <w:tcPr>
            <w:tcW w:w="603" w:type="dxa"/>
            <w:vAlign w:val="bottom"/>
          </w:tcPr>
          <w:p w:rsidR="00000000" w:rsidRDefault="00000000">
            <w:pPr>
              <w:pStyle w:val="DualTxt"/>
              <w:spacing w:before="60" w:after="100" w:line="200" w:lineRule="exact"/>
              <w:jc w:val="left"/>
              <w:rPr>
                <w:sz w:val="15"/>
              </w:rPr>
            </w:pPr>
            <w:r>
              <w:rPr>
                <w:sz w:val="15"/>
              </w:rPr>
              <w:t>Муж-ч</w:t>
            </w:r>
            <w:r>
              <w:rPr>
                <w:sz w:val="15"/>
              </w:rPr>
              <w:t>и</w:t>
            </w:r>
            <w:r>
              <w:rPr>
                <w:sz w:val="15"/>
              </w:rPr>
              <w:t>ны</w:t>
            </w:r>
          </w:p>
        </w:tc>
        <w:tc>
          <w:tcPr>
            <w:tcW w:w="639" w:type="dxa"/>
            <w:vAlign w:val="bottom"/>
          </w:tcPr>
          <w:p w:rsidR="00000000" w:rsidRDefault="00000000">
            <w:pPr>
              <w:pStyle w:val="DualTxt"/>
              <w:spacing w:before="60" w:after="100" w:line="200" w:lineRule="exact"/>
              <w:jc w:val="left"/>
              <w:rPr>
                <w:sz w:val="15"/>
              </w:rPr>
            </w:pPr>
            <w:r>
              <w:rPr>
                <w:sz w:val="15"/>
              </w:rPr>
              <w:t>Же</w:t>
            </w:r>
            <w:r>
              <w:rPr>
                <w:sz w:val="15"/>
              </w:rPr>
              <w:t>н</w:t>
            </w:r>
            <w:r>
              <w:rPr>
                <w:sz w:val="15"/>
              </w:rPr>
              <w:t>щ</w:t>
            </w:r>
            <w:r>
              <w:rPr>
                <w:sz w:val="15"/>
              </w:rPr>
              <w:t>и</w:t>
            </w:r>
            <w:r>
              <w:rPr>
                <w:sz w:val="15"/>
              </w:rPr>
              <w:t>ны</w:t>
            </w:r>
          </w:p>
        </w:tc>
      </w:tr>
      <w:tr w:rsidR="00000000">
        <w:tblPrEx>
          <w:tblCellMar>
            <w:top w:w="0" w:type="dxa"/>
            <w:bottom w:w="0" w:type="dxa"/>
          </w:tblCellMar>
        </w:tblPrEx>
        <w:tc>
          <w:tcPr>
            <w:tcW w:w="1998" w:type="dxa"/>
            <w:vAlign w:val="bottom"/>
          </w:tcPr>
          <w:p w:rsidR="00000000" w:rsidRDefault="00000000">
            <w:pPr>
              <w:pStyle w:val="DualTxt"/>
              <w:jc w:val="left"/>
              <w:rPr>
                <w:sz w:val="16"/>
              </w:rPr>
            </w:pPr>
            <w:r>
              <w:rPr>
                <w:sz w:val="16"/>
              </w:rPr>
              <w:t>Общее число зарегис</w:t>
            </w:r>
            <w:r>
              <w:rPr>
                <w:sz w:val="16"/>
              </w:rPr>
              <w:t>т</w:t>
            </w:r>
            <w:r>
              <w:rPr>
                <w:sz w:val="16"/>
              </w:rPr>
              <w:t>рированных случаев инф</w:t>
            </w:r>
            <w:r>
              <w:rPr>
                <w:sz w:val="16"/>
              </w:rPr>
              <w:t>и</w:t>
            </w:r>
            <w:r>
              <w:rPr>
                <w:sz w:val="16"/>
              </w:rPr>
              <w:t>цирования ВИЧ</w:t>
            </w:r>
          </w:p>
        </w:tc>
        <w:tc>
          <w:tcPr>
            <w:tcW w:w="675" w:type="dxa"/>
            <w:vAlign w:val="bottom"/>
          </w:tcPr>
          <w:p w:rsidR="00000000" w:rsidRDefault="00000000">
            <w:pPr>
              <w:pStyle w:val="DualTxt"/>
              <w:jc w:val="left"/>
              <w:rPr>
                <w:sz w:val="16"/>
              </w:rPr>
            </w:pPr>
            <w:r>
              <w:rPr>
                <w:sz w:val="16"/>
              </w:rPr>
              <w:t>43</w:t>
            </w:r>
          </w:p>
        </w:tc>
        <w:tc>
          <w:tcPr>
            <w:tcW w:w="666" w:type="dxa"/>
            <w:vAlign w:val="bottom"/>
          </w:tcPr>
          <w:p w:rsidR="00000000" w:rsidRDefault="00000000">
            <w:pPr>
              <w:pStyle w:val="DualTxt"/>
              <w:jc w:val="left"/>
              <w:rPr>
                <w:sz w:val="16"/>
              </w:rPr>
            </w:pPr>
            <w:r>
              <w:rPr>
                <w:sz w:val="16"/>
              </w:rPr>
              <w:t>3</w:t>
            </w:r>
          </w:p>
        </w:tc>
        <w:tc>
          <w:tcPr>
            <w:tcW w:w="666" w:type="dxa"/>
            <w:vAlign w:val="bottom"/>
          </w:tcPr>
          <w:p w:rsidR="00000000" w:rsidRDefault="00000000">
            <w:pPr>
              <w:pStyle w:val="DualTxt"/>
              <w:jc w:val="left"/>
              <w:rPr>
                <w:sz w:val="16"/>
              </w:rPr>
            </w:pPr>
            <w:r>
              <w:rPr>
                <w:sz w:val="16"/>
              </w:rPr>
              <w:t>57</w:t>
            </w:r>
          </w:p>
        </w:tc>
        <w:tc>
          <w:tcPr>
            <w:tcW w:w="657" w:type="dxa"/>
            <w:vAlign w:val="bottom"/>
          </w:tcPr>
          <w:p w:rsidR="00000000" w:rsidRDefault="00000000">
            <w:pPr>
              <w:pStyle w:val="DualTxt"/>
              <w:jc w:val="left"/>
              <w:rPr>
                <w:sz w:val="16"/>
              </w:rPr>
            </w:pPr>
            <w:r>
              <w:rPr>
                <w:sz w:val="16"/>
              </w:rPr>
              <w:t>6</w:t>
            </w:r>
          </w:p>
        </w:tc>
        <w:tc>
          <w:tcPr>
            <w:tcW w:w="621" w:type="dxa"/>
            <w:vAlign w:val="bottom"/>
          </w:tcPr>
          <w:p w:rsidR="00000000" w:rsidRDefault="00000000">
            <w:pPr>
              <w:pStyle w:val="DualTxt"/>
              <w:jc w:val="left"/>
              <w:rPr>
                <w:sz w:val="16"/>
              </w:rPr>
            </w:pPr>
            <w:r>
              <w:rPr>
                <w:sz w:val="16"/>
              </w:rPr>
              <w:t>82</w:t>
            </w:r>
          </w:p>
        </w:tc>
        <w:tc>
          <w:tcPr>
            <w:tcW w:w="666" w:type="dxa"/>
            <w:vAlign w:val="bottom"/>
          </w:tcPr>
          <w:p w:rsidR="00000000" w:rsidRDefault="00000000">
            <w:pPr>
              <w:pStyle w:val="DualTxt"/>
              <w:jc w:val="left"/>
              <w:rPr>
                <w:sz w:val="16"/>
              </w:rPr>
            </w:pPr>
            <w:r>
              <w:rPr>
                <w:sz w:val="16"/>
              </w:rPr>
              <w:t>6</w:t>
            </w:r>
          </w:p>
        </w:tc>
        <w:tc>
          <w:tcPr>
            <w:tcW w:w="666" w:type="dxa"/>
            <w:vAlign w:val="bottom"/>
          </w:tcPr>
          <w:p w:rsidR="00000000" w:rsidRDefault="00000000">
            <w:pPr>
              <w:pStyle w:val="DualTxt"/>
              <w:jc w:val="left"/>
              <w:rPr>
                <w:sz w:val="16"/>
              </w:rPr>
            </w:pPr>
            <w:r>
              <w:rPr>
                <w:sz w:val="16"/>
              </w:rPr>
              <w:t>206</w:t>
            </w:r>
          </w:p>
        </w:tc>
        <w:tc>
          <w:tcPr>
            <w:tcW w:w="630" w:type="dxa"/>
            <w:vAlign w:val="bottom"/>
          </w:tcPr>
          <w:p w:rsidR="00000000" w:rsidRDefault="00000000">
            <w:pPr>
              <w:pStyle w:val="DualTxt"/>
              <w:jc w:val="left"/>
              <w:rPr>
                <w:sz w:val="16"/>
              </w:rPr>
            </w:pPr>
            <w:r>
              <w:rPr>
                <w:sz w:val="16"/>
              </w:rPr>
              <w:t>45</w:t>
            </w:r>
          </w:p>
        </w:tc>
        <w:tc>
          <w:tcPr>
            <w:tcW w:w="666" w:type="dxa"/>
            <w:vAlign w:val="bottom"/>
          </w:tcPr>
          <w:p w:rsidR="00000000" w:rsidRDefault="00000000">
            <w:pPr>
              <w:pStyle w:val="DualTxt"/>
              <w:jc w:val="left"/>
              <w:rPr>
                <w:sz w:val="16"/>
              </w:rPr>
            </w:pPr>
            <w:r>
              <w:rPr>
                <w:sz w:val="16"/>
              </w:rPr>
              <w:t>384</w:t>
            </w:r>
          </w:p>
        </w:tc>
        <w:tc>
          <w:tcPr>
            <w:tcW w:w="639" w:type="dxa"/>
            <w:vAlign w:val="bottom"/>
          </w:tcPr>
          <w:p w:rsidR="00000000" w:rsidRDefault="00000000">
            <w:pPr>
              <w:pStyle w:val="DualTxt"/>
              <w:jc w:val="left"/>
              <w:rPr>
                <w:sz w:val="16"/>
              </w:rPr>
            </w:pPr>
            <w:r>
              <w:rPr>
                <w:sz w:val="16"/>
              </w:rPr>
              <w:t>108</w:t>
            </w:r>
          </w:p>
        </w:tc>
        <w:tc>
          <w:tcPr>
            <w:tcW w:w="603" w:type="dxa"/>
            <w:vAlign w:val="bottom"/>
          </w:tcPr>
          <w:p w:rsidR="00000000" w:rsidRDefault="00000000">
            <w:pPr>
              <w:pStyle w:val="DualTxt"/>
              <w:jc w:val="left"/>
              <w:rPr>
                <w:sz w:val="16"/>
              </w:rPr>
            </w:pPr>
            <w:r>
              <w:rPr>
                <w:sz w:val="16"/>
              </w:rPr>
              <w:t>738</w:t>
            </w:r>
          </w:p>
        </w:tc>
        <w:tc>
          <w:tcPr>
            <w:tcW w:w="639" w:type="dxa"/>
            <w:vAlign w:val="bottom"/>
          </w:tcPr>
          <w:p w:rsidR="00000000" w:rsidRDefault="00000000">
            <w:pPr>
              <w:pStyle w:val="DualTxt"/>
              <w:jc w:val="left"/>
              <w:rPr>
                <w:sz w:val="16"/>
              </w:rPr>
            </w:pPr>
            <w:r>
              <w:rPr>
                <w:sz w:val="16"/>
              </w:rPr>
              <w:t>220</w:t>
            </w:r>
          </w:p>
        </w:tc>
      </w:tr>
      <w:tr w:rsidR="00000000">
        <w:tblPrEx>
          <w:tblCellMar>
            <w:top w:w="0" w:type="dxa"/>
            <w:bottom w:w="0" w:type="dxa"/>
          </w:tblCellMar>
        </w:tblPrEx>
        <w:tc>
          <w:tcPr>
            <w:tcW w:w="1998" w:type="dxa"/>
            <w:vAlign w:val="bottom"/>
          </w:tcPr>
          <w:p w:rsidR="00000000" w:rsidRDefault="00000000">
            <w:pPr>
              <w:pStyle w:val="DualTxt"/>
              <w:jc w:val="left"/>
              <w:rPr>
                <w:sz w:val="16"/>
              </w:rPr>
            </w:pPr>
            <w:r>
              <w:rPr>
                <w:sz w:val="16"/>
              </w:rPr>
              <w:t>Умерли от ВИЧ</w:t>
            </w:r>
          </w:p>
        </w:tc>
        <w:tc>
          <w:tcPr>
            <w:tcW w:w="675" w:type="dxa"/>
            <w:vAlign w:val="bottom"/>
          </w:tcPr>
          <w:p w:rsidR="00000000" w:rsidRDefault="00000000">
            <w:pPr>
              <w:pStyle w:val="DualTxt"/>
              <w:jc w:val="left"/>
              <w:rPr>
                <w:sz w:val="16"/>
              </w:rPr>
            </w:pPr>
            <w:r>
              <w:rPr>
                <w:sz w:val="16"/>
              </w:rPr>
              <w:t>-</w:t>
            </w:r>
          </w:p>
        </w:tc>
        <w:tc>
          <w:tcPr>
            <w:tcW w:w="666" w:type="dxa"/>
            <w:vAlign w:val="bottom"/>
          </w:tcPr>
          <w:p w:rsidR="00000000" w:rsidRDefault="00000000">
            <w:pPr>
              <w:pStyle w:val="DualTxt"/>
              <w:jc w:val="left"/>
              <w:rPr>
                <w:sz w:val="16"/>
              </w:rPr>
            </w:pPr>
            <w:r>
              <w:rPr>
                <w:sz w:val="16"/>
              </w:rPr>
              <w:t>-</w:t>
            </w:r>
          </w:p>
        </w:tc>
        <w:tc>
          <w:tcPr>
            <w:tcW w:w="666" w:type="dxa"/>
            <w:vAlign w:val="bottom"/>
          </w:tcPr>
          <w:p w:rsidR="00000000" w:rsidRDefault="00000000">
            <w:pPr>
              <w:pStyle w:val="DualTxt"/>
              <w:jc w:val="left"/>
              <w:rPr>
                <w:sz w:val="16"/>
              </w:rPr>
            </w:pPr>
            <w:r>
              <w:rPr>
                <w:sz w:val="16"/>
              </w:rPr>
              <w:t>-</w:t>
            </w:r>
          </w:p>
        </w:tc>
        <w:tc>
          <w:tcPr>
            <w:tcW w:w="657" w:type="dxa"/>
            <w:vAlign w:val="bottom"/>
          </w:tcPr>
          <w:p w:rsidR="00000000" w:rsidRDefault="00000000">
            <w:pPr>
              <w:pStyle w:val="DualTxt"/>
              <w:jc w:val="left"/>
              <w:rPr>
                <w:sz w:val="16"/>
              </w:rPr>
            </w:pPr>
            <w:r>
              <w:rPr>
                <w:sz w:val="16"/>
              </w:rPr>
              <w:t>-</w:t>
            </w:r>
          </w:p>
        </w:tc>
        <w:tc>
          <w:tcPr>
            <w:tcW w:w="621" w:type="dxa"/>
            <w:vAlign w:val="bottom"/>
          </w:tcPr>
          <w:p w:rsidR="00000000" w:rsidRDefault="00000000">
            <w:pPr>
              <w:pStyle w:val="DualTxt"/>
              <w:jc w:val="left"/>
              <w:rPr>
                <w:sz w:val="16"/>
              </w:rPr>
            </w:pPr>
            <w:r>
              <w:rPr>
                <w:sz w:val="16"/>
              </w:rPr>
              <w:t>-</w:t>
            </w:r>
          </w:p>
        </w:tc>
        <w:tc>
          <w:tcPr>
            <w:tcW w:w="666" w:type="dxa"/>
            <w:vAlign w:val="bottom"/>
          </w:tcPr>
          <w:p w:rsidR="00000000" w:rsidRDefault="00000000">
            <w:pPr>
              <w:pStyle w:val="DualTxt"/>
              <w:jc w:val="left"/>
              <w:rPr>
                <w:sz w:val="16"/>
              </w:rPr>
            </w:pPr>
            <w:r>
              <w:rPr>
                <w:sz w:val="16"/>
              </w:rPr>
              <w:t>-</w:t>
            </w:r>
          </w:p>
        </w:tc>
        <w:tc>
          <w:tcPr>
            <w:tcW w:w="666" w:type="dxa"/>
            <w:vAlign w:val="bottom"/>
          </w:tcPr>
          <w:p w:rsidR="00000000" w:rsidRDefault="00000000">
            <w:pPr>
              <w:pStyle w:val="DualTxt"/>
              <w:jc w:val="left"/>
              <w:rPr>
                <w:sz w:val="16"/>
              </w:rPr>
            </w:pPr>
            <w:r>
              <w:rPr>
                <w:sz w:val="16"/>
              </w:rPr>
              <w:t>3</w:t>
            </w:r>
          </w:p>
        </w:tc>
        <w:tc>
          <w:tcPr>
            <w:tcW w:w="630" w:type="dxa"/>
            <w:vAlign w:val="bottom"/>
          </w:tcPr>
          <w:p w:rsidR="00000000" w:rsidRDefault="00000000">
            <w:pPr>
              <w:pStyle w:val="DualTxt"/>
              <w:jc w:val="left"/>
              <w:rPr>
                <w:sz w:val="16"/>
              </w:rPr>
            </w:pPr>
            <w:r>
              <w:rPr>
                <w:sz w:val="16"/>
              </w:rPr>
              <w:t>-</w:t>
            </w:r>
          </w:p>
        </w:tc>
        <w:tc>
          <w:tcPr>
            <w:tcW w:w="666" w:type="dxa"/>
            <w:vAlign w:val="bottom"/>
          </w:tcPr>
          <w:p w:rsidR="00000000" w:rsidRDefault="00000000">
            <w:pPr>
              <w:pStyle w:val="DualTxt"/>
              <w:jc w:val="left"/>
              <w:rPr>
                <w:sz w:val="16"/>
              </w:rPr>
            </w:pPr>
            <w:r>
              <w:rPr>
                <w:sz w:val="16"/>
              </w:rPr>
              <w:t>2</w:t>
            </w:r>
          </w:p>
        </w:tc>
        <w:tc>
          <w:tcPr>
            <w:tcW w:w="639" w:type="dxa"/>
            <w:vAlign w:val="bottom"/>
          </w:tcPr>
          <w:p w:rsidR="00000000" w:rsidRDefault="00000000">
            <w:pPr>
              <w:pStyle w:val="DualTxt"/>
              <w:jc w:val="left"/>
              <w:rPr>
                <w:sz w:val="16"/>
              </w:rPr>
            </w:pPr>
            <w:r>
              <w:rPr>
                <w:sz w:val="16"/>
              </w:rPr>
              <w:t>1</w:t>
            </w:r>
          </w:p>
        </w:tc>
        <w:tc>
          <w:tcPr>
            <w:tcW w:w="603" w:type="dxa"/>
            <w:vAlign w:val="bottom"/>
          </w:tcPr>
          <w:p w:rsidR="00000000" w:rsidRDefault="00000000">
            <w:pPr>
              <w:pStyle w:val="DualTxt"/>
              <w:jc w:val="left"/>
              <w:rPr>
                <w:sz w:val="16"/>
              </w:rPr>
            </w:pPr>
            <w:r>
              <w:rPr>
                <w:sz w:val="16"/>
              </w:rPr>
              <w:t>6</w:t>
            </w:r>
          </w:p>
        </w:tc>
        <w:tc>
          <w:tcPr>
            <w:tcW w:w="639" w:type="dxa"/>
            <w:vAlign w:val="bottom"/>
          </w:tcPr>
          <w:p w:rsidR="00000000" w:rsidRDefault="00000000">
            <w:pPr>
              <w:pStyle w:val="DualTxt"/>
              <w:jc w:val="left"/>
              <w:rPr>
                <w:sz w:val="16"/>
              </w:rPr>
            </w:pPr>
            <w:r>
              <w:rPr>
                <w:sz w:val="16"/>
              </w:rPr>
              <w:t>0</w:t>
            </w:r>
          </w:p>
        </w:tc>
      </w:tr>
      <w:tr w:rsidR="00000000">
        <w:tblPrEx>
          <w:tblCellMar>
            <w:top w:w="0" w:type="dxa"/>
            <w:bottom w:w="0" w:type="dxa"/>
          </w:tblCellMar>
        </w:tblPrEx>
        <w:tc>
          <w:tcPr>
            <w:tcW w:w="1998" w:type="dxa"/>
            <w:vAlign w:val="bottom"/>
          </w:tcPr>
          <w:p w:rsidR="00000000" w:rsidRDefault="00000000">
            <w:pPr>
              <w:pStyle w:val="DualTxt"/>
              <w:jc w:val="left"/>
              <w:rPr>
                <w:sz w:val="16"/>
              </w:rPr>
            </w:pPr>
            <w:r>
              <w:rPr>
                <w:sz w:val="16"/>
              </w:rPr>
              <w:t>Умерли от СПИДа</w:t>
            </w:r>
          </w:p>
        </w:tc>
        <w:tc>
          <w:tcPr>
            <w:tcW w:w="675" w:type="dxa"/>
            <w:vAlign w:val="bottom"/>
          </w:tcPr>
          <w:p w:rsidR="00000000" w:rsidRDefault="00000000">
            <w:pPr>
              <w:pStyle w:val="DualTxt"/>
              <w:jc w:val="left"/>
              <w:rPr>
                <w:sz w:val="16"/>
              </w:rPr>
            </w:pPr>
            <w:r>
              <w:rPr>
                <w:sz w:val="16"/>
              </w:rPr>
              <w:t>1</w:t>
            </w:r>
          </w:p>
        </w:tc>
        <w:tc>
          <w:tcPr>
            <w:tcW w:w="666" w:type="dxa"/>
            <w:vAlign w:val="bottom"/>
          </w:tcPr>
          <w:p w:rsidR="00000000" w:rsidRDefault="00000000">
            <w:pPr>
              <w:pStyle w:val="DualTxt"/>
              <w:jc w:val="left"/>
              <w:rPr>
                <w:sz w:val="16"/>
              </w:rPr>
            </w:pPr>
            <w:r>
              <w:rPr>
                <w:sz w:val="16"/>
              </w:rPr>
              <w:t>-</w:t>
            </w:r>
          </w:p>
        </w:tc>
        <w:tc>
          <w:tcPr>
            <w:tcW w:w="666" w:type="dxa"/>
            <w:vAlign w:val="bottom"/>
          </w:tcPr>
          <w:p w:rsidR="00000000" w:rsidRDefault="00000000">
            <w:pPr>
              <w:pStyle w:val="DualTxt"/>
              <w:jc w:val="left"/>
              <w:rPr>
                <w:sz w:val="16"/>
              </w:rPr>
            </w:pPr>
            <w:r>
              <w:rPr>
                <w:sz w:val="16"/>
              </w:rPr>
              <w:t>-</w:t>
            </w:r>
          </w:p>
        </w:tc>
        <w:tc>
          <w:tcPr>
            <w:tcW w:w="657" w:type="dxa"/>
            <w:vAlign w:val="bottom"/>
          </w:tcPr>
          <w:p w:rsidR="00000000" w:rsidRDefault="00000000">
            <w:pPr>
              <w:pStyle w:val="DualTxt"/>
              <w:jc w:val="left"/>
              <w:rPr>
                <w:sz w:val="16"/>
              </w:rPr>
            </w:pPr>
            <w:r>
              <w:rPr>
                <w:sz w:val="16"/>
              </w:rPr>
              <w:t>-</w:t>
            </w:r>
          </w:p>
        </w:tc>
        <w:tc>
          <w:tcPr>
            <w:tcW w:w="621" w:type="dxa"/>
            <w:vAlign w:val="bottom"/>
          </w:tcPr>
          <w:p w:rsidR="00000000" w:rsidRDefault="00000000">
            <w:pPr>
              <w:pStyle w:val="DualTxt"/>
              <w:jc w:val="left"/>
              <w:rPr>
                <w:sz w:val="16"/>
              </w:rPr>
            </w:pPr>
            <w:r>
              <w:rPr>
                <w:sz w:val="16"/>
              </w:rPr>
              <w:t>-</w:t>
            </w:r>
          </w:p>
        </w:tc>
        <w:tc>
          <w:tcPr>
            <w:tcW w:w="666" w:type="dxa"/>
            <w:vAlign w:val="bottom"/>
          </w:tcPr>
          <w:p w:rsidR="00000000" w:rsidRDefault="00000000">
            <w:pPr>
              <w:pStyle w:val="DualTxt"/>
              <w:jc w:val="left"/>
              <w:rPr>
                <w:sz w:val="16"/>
              </w:rPr>
            </w:pPr>
            <w:r>
              <w:rPr>
                <w:sz w:val="16"/>
              </w:rPr>
              <w:t>-</w:t>
            </w:r>
          </w:p>
        </w:tc>
        <w:tc>
          <w:tcPr>
            <w:tcW w:w="666" w:type="dxa"/>
            <w:vAlign w:val="bottom"/>
          </w:tcPr>
          <w:p w:rsidR="00000000" w:rsidRDefault="00000000">
            <w:pPr>
              <w:pStyle w:val="DualTxt"/>
              <w:jc w:val="left"/>
              <w:rPr>
                <w:sz w:val="16"/>
              </w:rPr>
            </w:pPr>
            <w:r>
              <w:rPr>
                <w:sz w:val="16"/>
              </w:rPr>
              <w:t>2</w:t>
            </w:r>
          </w:p>
        </w:tc>
        <w:tc>
          <w:tcPr>
            <w:tcW w:w="630" w:type="dxa"/>
            <w:vAlign w:val="bottom"/>
          </w:tcPr>
          <w:p w:rsidR="00000000" w:rsidRDefault="00000000">
            <w:pPr>
              <w:pStyle w:val="DualTxt"/>
              <w:jc w:val="left"/>
              <w:rPr>
                <w:sz w:val="16"/>
              </w:rPr>
            </w:pPr>
            <w:r>
              <w:rPr>
                <w:sz w:val="16"/>
              </w:rPr>
              <w:t>-</w:t>
            </w:r>
          </w:p>
        </w:tc>
        <w:tc>
          <w:tcPr>
            <w:tcW w:w="666" w:type="dxa"/>
            <w:vAlign w:val="bottom"/>
          </w:tcPr>
          <w:p w:rsidR="00000000" w:rsidRDefault="00000000">
            <w:pPr>
              <w:pStyle w:val="DualTxt"/>
              <w:jc w:val="left"/>
              <w:rPr>
                <w:sz w:val="16"/>
              </w:rPr>
            </w:pPr>
            <w:r>
              <w:rPr>
                <w:sz w:val="16"/>
              </w:rPr>
              <w:t>1</w:t>
            </w:r>
          </w:p>
        </w:tc>
        <w:tc>
          <w:tcPr>
            <w:tcW w:w="639" w:type="dxa"/>
            <w:vAlign w:val="bottom"/>
          </w:tcPr>
          <w:p w:rsidR="00000000" w:rsidRDefault="00000000">
            <w:pPr>
              <w:pStyle w:val="DualTxt"/>
              <w:jc w:val="left"/>
              <w:rPr>
                <w:sz w:val="16"/>
              </w:rPr>
            </w:pPr>
            <w:r>
              <w:rPr>
                <w:sz w:val="16"/>
              </w:rPr>
              <w:t>1</w:t>
            </w:r>
          </w:p>
        </w:tc>
        <w:tc>
          <w:tcPr>
            <w:tcW w:w="603" w:type="dxa"/>
            <w:vAlign w:val="bottom"/>
          </w:tcPr>
          <w:p w:rsidR="00000000" w:rsidRDefault="00000000">
            <w:pPr>
              <w:pStyle w:val="DualTxt"/>
              <w:jc w:val="left"/>
              <w:rPr>
                <w:sz w:val="16"/>
              </w:rPr>
            </w:pPr>
            <w:r>
              <w:rPr>
                <w:sz w:val="16"/>
              </w:rPr>
              <w:t>1</w:t>
            </w:r>
          </w:p>
        </w:tc>
        <w:tc>
          <w:tcPr>
            <w:tcW w:w="639" w:type="dxa"/>
            <w:vAlign w:val="bottom"/>
          </w:tcPr>
          <w:p w:rsidR="00000000" w:rsidRDefault="00000000">
            <w:pPr>
              <w:pStyle w:val="DualTxt"/>
              <w:jc w:val="left"/>
              <w:rPr>
                <w:sz w:val="16"/>
              </w:rPr>
            </w:pPr>
            <w:r>
              <w:rPr>
                <w:sz w:val="16"/>
              </w:rPr>
              <w:t>2</w:t>
            </w:r>
          </w:p>
        </w:tc>
      </w:tr>
    </w:tbl>
    <w:p w:rsidR="00000000" w:rsidRDefault="00000000">
      <w:pPr>
        <w:pStyle w:val="SingleTxt"/>
      </w:pPr>
    </w:p>
    <w:p w:rsidR="00000000" w:rsidRDefault="00000000">
      <w:pPr>
        <w:pStyle w:val="SingleTxt"/>
      </w:pPr>
      <w:r>
        <w:t>227.</w:t>
      </w:r>
      <w:r>
        <w:tab/>
        <w:t>В приведенной ниже таблице содержатся статистические данные о кол</w:t>
      </w:r>
      <w:r>
        <w:t>и</w:t>
      </w:r>
      <w:r>
        <w:t>честве уголовных дел, возбужденных в области здравоохранения, когда поте</w:t>
      </w:r>
      <w:r>
        <w:t>р</w:t>
      </w:r>
      <w:r>
        <w:t>певшими были женщины.</w:t>
      </w:r>
    </w:p>
    <w:p w:rsidR="00000000" w:rsidRDefault="00000000">
      <w:pPr>
        <w:pStyle w:val="SingleTxt"/>
        <w:spacing w:after="0" w:line="120" w:lineRule="exact"/>
        <w:rPr>
          <w:sz w:val="1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4077"/>
        <w:gridCol w:w="468"/>
        <w:gridCol w:w="396"/>
        <w:gridCol w:w="378"/>
        <w:gridCol w:w="405"/>
        <w:gridCol w:w="423"/>
        <w:gridCol w:w="423"/>
        <w:gridCol w:w="414"/>
        <w:gridCol w:w="441"/>
        <w:gridCol w:w="459"/>
        <w:gridCol w:w="405"/>
        <w:gridCol w:w="414"/>
        <w:gridCol w:w="360"/>
        <w:gridCol w:w="414"/>
        <w:gridCol w:w="387"/>
      </w:tblGrid>
      <w:tr w:rsidR="00000000">
        <w:tblPrEx>
          <w:tblCellMar>
            <w:top w:w="0" w:type="dxa"/>
            <w:bottom w:w="0" w:type="dxa"/>
          </w:tblCellMar>
        </w:tblPrEx>
        <w:trPr>
          <w:cantSplit/>
        </w:trPr>
        <w:tc>
          <w:tcPr>
            <w:tcW w:w="4077" w:type="dxa"/>
            <w:vMerge w:val="restart"/>
            <w:vAlign w:val="bottom"/>
          </w:tcPr>
          <w:p w:rsidR="00000000" w:rsidRDefault="00000000">
            <w:pPr>
              <w:pStyle w:val="DualTxt"/>
              <w:rPr>
                <w:sz w:val="15"/>
              </w:rPr>
            </w:pPr>
            <w:r>
              <w:rPr>
                <w:sz w:val="15"/>
              </w:rPr>
              <w:t>Статья Уголовного коде</w:t>
            </w:r>
            <w:r>
              <w:rPr>
                <w:sz w:val="15"/>
              </w:rPr>
              <w:t>к</w:t>
            </w:r>
            <w:r>
              <w:rPr>
                <w:sz w:val="15"/>
              </w:rPr>
              <w:t>са</w:t>
            </w:r>
          </w:p>
        </w:tc>
        <w:tc>
          <w:tcPr>
            <w:tcW w:w="864" w:type="dxa"/>
            <w:gridSpan w:val="2"/>
          </w:tcPr>
          <w:p w:rsidR="00000000" w:rsidRDefault="00000000">
            <w:pPr>
              <w:pStyle w:val="DualTxt"/>
              <w:rPr>
                <w:sz w:val="15"/>
              </w:rPr>
            </w:pPr>
            <w:r>
              <w:rPr>
                <w:sz w:val="15"/>
              </w:rPr>
              <w:t>1995 год</w:t>
            </w:r>
          </w:p>
        </w:tc>
        <w:tc>
          <w:tcPr>
            <w:tcW w:w="783" w:type="dxa"/>
            <w:gridSpan w:val="2"/>
          </w:tcPr>
          <w:p w:rsidR="00000000" w:rsidRDefault="00000000">
            <w:pPr>
              <w:pStyle w:val="DualTxt"/>
              <w:rPr>
                <w:sz w:val="15"/>
              </w:rPr>
            </w:pPr>
            <w:r>
              <w:rPr>
                <w:sz w:val="15"/>
              </w:rPr>
              <w:t>1996 год</w:t>
            </w:r>
          </w:p>
        </w:tc>
        <w:tc>
          <w:tcPr>
            <w:tcW w:w="846" w:type="dxa"/>
            <w:gridSpan w:val="2"/>
          </w:tcPr>
          <w:p w:rsidR="00000000" w:rsidRDefault="00000000">
            <w:pPr>
              <w:pStyle w:val="DualTxt"/>
              <w:rPr>
                <w:sz w:val="15"/>
              </w:rPr>
            </w:pPr>
            <w:r>
              <w:rPr>
                <w:sz w:val="15"/>
              </w:rPr>
              <w:t>1997 год</w:t>
            </w:r>
          </w:p>
        </w:tc>
        <w:tc>
          <w:tcPr>
            <w:tcW w:w="855" w:type="dxa"/>
            <w:gridSpan w:val="2"/>
          </w:tcPr>
          <w:p w:rsidR="00000000" w:rsidRDefault="00000000">
            <w:pPr>
              <w:pStyle w:val="DualTxt"/>
              <w:rPr>
                <w:sz w:val="15"/>
              </w:rPr>
            </w:pPr>
            <w:r>
              <w:rPr>
                <w:sz w:val="15"/>
              </w:rPr>
              <w:t>1998 год</w:t>
            </w:r>
          </w:p>
        </w:tc>
        <w:tc>
          <w:tcPr>
            <w:tcW w:w="864" w:type="dxa"/>
            <w:gridSpan w:val="2"/>
          </w:tcPr>
          <w:p w:rsidR="00000000" w:rsidRDefault="00000000">
            <w:pPr>
              <w:pStyle w:val="DualTxt"/>
              <w:rPr>
                <w:sz w:val="15"/>
              </w:rPr>
            </w:pPr>
            <w:r>
              <w:rPr>
                <w:sz w:val="15"/>
              </w:rPr>
              <w:t>1999 год</w:t>
            </w:r>
          </w:p>
        </w:tc>
        <w:tc>
          <w:tcPr>
            <w:tcW w:w="774" w:type="dxa"/>
            <w:gridSpan w:val="2"/>
          </w:tcPr>
          <w:p w:rsidR="00000000" w:rsidRDefault="00000000">
            <w:pPr>
              <w:pStyle w:val="DualTxt"/>
              <w:rPr>
                <w:sz w:val="15"/>
              </w:rPr>
            </w:pPr>
            <w:r>
              <w:rPr>
                <w:sz w:val="15"/>
              </w:rPr>
              <w:t>2000 год</w:t>
            </w:r>
          </w:p>
        </w:tc>
        <w:tc>
          <w:tcPr>
            <w:tcW w:w="801" w:type="dxa"/>
            <w:gridSpan w:val="2"/>
          </w:tcPr>
          <w:p w:rsidR="00000000" w:rsidRDefault="00000000">
            <w:pPr>
              <w:pStyle w:val="DualTxt"/>
              <w:rPr>
                <w:sz w:val="15"/>
              </w:rPr>
            </w:pPr>
            <w:r>
              <w:rPr>
                <w:sz w:val="15"/>
              </w:rPr>
              <w:t>2001 год</w:t>
            </w:r>
          </w:p>
        </w:tc>
      </w:tr>
      <w:tr w:rsidR="00000000">
        <w:tblPrEx>
          <w:tblCellMar>
            <w:top w:w="0" w:type="dxa"/>
            <w:bottom w:w="0" w:type="dxa"/>
          </w:tblCellMar>
        </w:tblPrEx>
        <w:trPr>
          <w:cantSplit/>
          <w:trHeight w:val="552"/>
        </w:trPr>
        <w:tc>
          <w:tcPr>
            <w:tcW w:w="4077" w:type="dxa"/>
            <w:vMerge/>
          </w:tcPr>
          <w:p w:rsidR="00000000" w:rsidRDefault="00000000">
            <w:pPr>
              <w:pStyle w:val="DualTxt"/>
              <w:rPr>
                <w:sz w:val="15"/>
              </w:rPr>
            </w:pPr>
          </w:p>
        </w:tc>
        <w:tc>
          <w:tcPr>
            <w:tcW w:w="468" w:type="dxa"/>
            <w:textDirection w:val="btLr"/>
          </w:tcPr>
          <w:p w:rsidR="00000000" w:rsidRDefault="00000000">
            <w:pPr>
              <w:pStyle w:val="DualTxt"/>
              <w:spacing w:before="60" w:after="80" w:line="180" w:lineRule="exact"/>
              <w:rPr>
                <w:sz w:val="15"/>
              </w:rPr>
            </w:pPr>
            <w:r>
              <w:rPr>
                <w:sz w:val="15"/>
              </w:rPr>
              <w:t>з</w:t>
            </w:r>
            <w:r>
              <w:rPr>
                <w:sz w:val="15"/>
              </w:rPr>
              <w:t>а</w:t>
            </w:r>
            <w:r>
              <w:rPr>
                <w:sz w:val="15"/>
              </w:rPr>
              <w:t>рег.</w:t>
            </w:r>
          </w:p>
        </w:tc>
        <w:tc>
          <w:tcPr>
            <w:tcW w:w="396" w:type="dxa"/>
            <w:textDirection w:val="btLr"/>
          </w:tcPr>
          <w:p w:rsidR="00000000" w:rsidRDefault="00000000">
            <w:pPr>
              <w:pStyle w:val="DualTxt"/>
              <w:spacing w:before="60" w:after="80" w:line="180" w:lineRule="exact"/>
              <w:rPr>
                <w:sz w:val="15"/>
              </w:rPr>
            </w:pPr>
            <w:r>
              <w:rPr>
                <w:sz w:val="15"/>
              </w:rPr>
              <w:t>прекр.</w:t>
            </w:r>
          </w:p>
        </w:tc>
        <w:tc>
          <w:tcPr>
            <w:tcW w:w="378" w:type="dxa"/>
            <w:textDirection w:val="btLr"/>
          </w:tcPr>
          <w:p w:rsidR="00000000" w:rsidRDefault="00000000">
            <w:pPr>
              <w:pStyle w:val="DualTxt"/>
              <w:spacing w:before="60" w:after="80" w:line="180" w:lineRule="exact"/>
              <w:rPr>
                <w:sz w:val="15"/>
              </w:rPr>
            </w:pPr>
            <w:r>
              <w:rPr>
                <w:sz w:val="15"/>
              </w:rPr>
              <w:t>з</w:t>
            </w:r>
            <w:r>
              <w:rPr>
                <w:sz w:val="15"/>
              </w:rPr>
              <w:t>а</w:t>
            </w:r>
            <w:r>
              <w:rPr>
                <w:sz w:val="15"/>
              </w:rPr>
              <w:t>рег.</w:t>
            </w:r>
          </w:p>
        </w:tc>
        <w:tc>
          <w:tcPr>
            <w:tcW w:w="405" w:type="dxa"/>
            <w:textDirection w:val="btLr"/>
          </w:tcPr>
          <w:p w:rsidR="00000000" w:rsidRDefault="00000000">
            <w:pPr>
              <w:pStyle w:val="DualTxt"/>
              <w:spacing w:before="60" w:after="80" w:line="180" w:lineRule="exact"/>
              <w:rPr>
                <w:sz w:val="15"/>
              </w:rPr>
            </w:pPr>
            <w:r>
              <w:rPr>
                <w:sz w:val="15"/>
              </w:rPr>
              <w:t>прекр.</w:t>
            </w:r>
          </w:p>
        </w:tc>
        <w:tc>
          <w:tcPr>
            <w:tcW w:w="423" w:type="dxa"/>
            <w:textDirection w:val="btLr"/>
          </w:tcPr>
          <w:p w:rsidR="00000000" w:rsidRDefault="00000000">
            <w:pPr>
              <w:pStyle w:val="DualTxt"/>
              <w:spacing w:before="60" w:after="80" w:line="180" w:lineRule="exact"/>
              <w:rPr>
                <w:sz w:val="15"/>
              </w:rPr>
            </w:pPr>
            <w:r>
              <w:rPr>
                <w:sz w:val="15"/>
              </w:rPr>
              <w:t>з</w:t>
            </w:r>
            <w:r>
              <w:rPr>
                <w:sz w:val="15"/>
              </w:rPr>
              <w:t>а</w:t>
            </w:r>
            <w:r>
              <w:rPr>
                <w:sz w:val="15"/>
              </w:rPr>
              <w:t>рег.</w:t>
            </w:r>
          </w:p>
        </w:tc>
        <w:tc>
          <w:tcPr>
            <w:tcW w:w="423" w:type="dxa"/>
            <w:textDirection w:val="btLr"/>
          </w:tcPr>
          <w:p w:rsidR="00000000" w:rsidRDefault="00000000">
            <w:pPr>
              <w:pStyle w:val="DualTxt"/>
              <w:spacing w:before="60" w:after="80" w:line="180" w:lineRule="exact"/>
              <w:rPr>
                <w:sz w:val="15"/>
              </w:rPr>
            </w:pPr>
            <w:r>
              <w:rPr>
                <w:sz w:val="15"/>
              </w:rPr>
              <w:t>прекр.</w:t>
            </w:r>
          </w:p>
        </w:tc>
        <w:tc>
          <w:tcPr>
            <w:tcW w:w="414" w:type="dxa"/>
            <w:textDirection w:val="btLr"/>
          </w:tcPr>
          <w:p w:rsidR="00000000" w:rsidRDefault="00000000">
            <w:pPr>
              <w:pStyle w:val="DualTxt"/>
              <w:spacing w:before="60" w:after="80" w:line="180" w:lineRule="exact"/>
              <w:rPr>
                <w:sz w:val="15"/>
              </w:rPr>
            </w:pPr>
            <w:r>
              <w:rPr>
                <w:sz w:val="15"/>
              </w:rPr>
              <w:t>з</w:t>
            </w:r>
            <w:r>
              <w:rPr>
                <w:sz w:val="15"/>
              </w:rPr>
              <w:t>а</w:t>
            </w:r>
            <w:r>
              <w:rPr>
                <w:sz w:val="15"/>
              </w:rPr>
              <w:t>рег.</w:t>
            </w:r>
          </w:p>
        </w:tc>
        <w:tc>
          <w:tcPr>
            <w:tcW w:w="441" w:type="dxa"/>
            <w:textDirection w:val="btLr"/>
          </w:tcPr>
          <w:p w:rsidR="00000000" w:rsidRDefault="00000000">
            <w:pPr>
              <w:pStyle w:val="DualTxt"/>
              <w:spacing w:before="60" w:after="80" w:line="180" w:lineRule="exact"/>
              <w:rPr>
                <w:sz w:val="15"/>
              </w:rPr>
            </w:pPr>
            <w:r>
              <w:rPr>
                <w:sz w:val="15"/>
              </w:rPr>
              <w:t>прекр.</w:t>
            </w:r>
          </w:p>
        </w:tc>
        <w:tc>
          <w:tcPr>
            <w:tcW w:w="459" w:type="dxa"/>
            <w:textDirection w:val="btLr"/>
          </w:tcPr>
          <w:p w:rsidR="00000000" w:rsidRDefault="00000000">
            <w:pPr>
              <w:pStyle w:val="DualTxt"/>
              <w:spacing w:before="60" w:after="80" w:line="180" w:lineRule="exact"/>
              <w:rPr>
                <w:sz w:val="15"/>
              </w:rPr>
            </w:pPr>
            <w:r>
              <w:rPr>
                <w:sz w:val="15"/>
              </w:rPr>
              <w:t>з</w:t>
            </w:r>
            <w:r>
              <w:rPr>
                <w:sz w:val="15"/>
              </w:rPr>
              <w:t>а</w:t>
            </w:r>
            <w:r>
              <w:rPr>
                <w:sz w:val="15"/>
              </w:rPr>
              <w:t>рег.</w:t>
            </w:r>
          </w:p>
        </w:tc>
        <w:tc>
          <w:tcPr>
            <w:tcW w:w="405" w:type="dxa"/>
            <w:textDirection w:val="btLr"/>
          </w:tcPr>
          <w:p w:rsidR="00000000" w:rsidRDefault="00000000">
            <w:pPr>
              <w:pStyle w:val="DualTxt"/>
              <w:spacing w:before="60" w:after="80" w:line="180" w:lineRule="exact"/>
              <w:rPr>
                <w:sz w:val="15"/>
              </w:rPr>
            </w:pPr>
            <w:r>
              <w:rPr>
                <w:sz w:val="15"/>
              </w:rPr>
              <w:t>прекр.</w:t>
            </w:r>
          </w:p>
        </w:tc>
        <w:tc>
          <w:tcPr>
            <w:tcW w:w="414" w:type="dxa"/>
            <w:textDirection w:val="btLr"/>
          </w:tcPr>
          <w:p w:rsidR="00000000" w:rsidRDefault="00000000">
            <w:pPr>
              <w:pStyle w:val="DualTxt"/>
              <w:spacing w:before="60" w:after="80" w:line="180" w:lineRule="exact"/>
              <w:rPr>
                <w:sz w:val="15"/>
              </w:rPr>
            </w:pPr>
            <w:r>
              <w:rPr>
                <w:sz w:val="15"/>
              </w:rPr>
              <w:t>з</w:t>
            </w:r>
            <w:r>
              <w:rPr>
                <w:sz w:val="15"/>
              </w:rPr>
              <w:t>а</w:t>
            </w:r>
            <w:r>
              <w:rPr>
                <w:sz w:val="15"/>
              </w:rPr>
              <w:t>рег.</w:t>
            </w:r>
          </w:p>
        </w:tc>
        <w:tc>
          <w:tcPr>
            <w:tcW w:w="360" w:type="dxa"/>
            <w:textDirection w:val="btLr"/>
          </w:tcPr>
          <w:p w:rsidR="00000000" w:rsidRDefault="00000000">
            <w:pPr>
              <w:pStyle w:val="DualTxt"/>
              <w:spacing w:before="60" w:after="80" w:line="180" w:lineRule="exact"/>
              <w:rPr>
                <w:sz w:val="15"/>
              </w:rPr>
            </w:pPr>
            <w:r>
              <w:rPr>
                <w:sz w:val="15"/>
              </w:rPr>
              <w:t>прекр.</w:t>
            </w:r>
          </w:p>
        </w:tc>
        <w:tc>
          <w:tcPr>
            <w:tcW w:w="414" w:type="dxa"/>
            <w:textDirection w:val="btLr"/>
          </w:tcPr>
          <w:p w:rsidR="00000000" w:rsidRDefault="00000000">
            <w:pPr>
              <w:pStyle w:val="DualTxt"/>
              <w:spacing w:before="60" w:after="80" w:line="180" w:lineRule="exact"/>
              <w:rPr>
                <w:sz w:val="15"/>
              </w:rPr>
            </w:pPr>
            <w:r>
              <w:rPr>
                <w:sz w:val="15"/>
              </w:rPr>
              <w:t>з</w:t>
            </w:r>
            <w:r>
              <w:rPr>
                <w:sz w:val="15"/>
              </w:rPr>
              <w:t>а</w:t>
            </w:r>
            <w:r>
              <w:rPr>
                <w:sz w:val="15"/>
              </w:rPr>
              <w:t>рег.</w:t>
            </w:r>
          </w:p>
        </w:tc>
        <w:tc>
          <w:tcPr>
            <w:tcW w:w="387" w:type="dxa"/>
            <w:textDirection w:val="btLr"/>
          </w:tcPr>
          <w:p w:rsidR="00000000" w:rsidRDefault="00000000">
            <w:pPr>
              <w:pStyle w:val="DualTxt"/>
              <w:spacing w:before="60" w:after="80" w:line="180" w:lineRule="exact"/>
              <w:rPr>
                <w:sz w:val="15"/>
              </w:rPr>
            </w:pPr>
            <w:r>
              <w:rPr>
                <w:sz w:val="15"/>
              </w:rPr>
              <w:t>прекр.</w:t>
            </w:r>
          </w:p>
        </w:tc>
      </w:tr>
      <w:tr w:rsidR="00000000">
        <w:tblPrEx>
          <w:tblCellMar>
            <w:top w:w="0" w:type="dxa"/>
            <w:bottom w:w="0" w:type="dxa"/>
          </w:tblCellMar>
        </w:tblPrEx>
        <w:tc>
          <w:tcPr>
            <w:tcW w:w="4077" w:type="dxa"/>
            <w:vAlign w:val="bottom"/>
          </w:tcPr>
          <w:p w:rsidR="00000000" w:rsidRDefault="00000000">
            <w:pPr>
              <w:pStyle w:val="DualTxt"/>
              <w:spacing w:before="60" w:after="100" w:line="200" w:lineRule="exact"/>
              <w:jc w:val="left"/>
              <w:rPr>
                <w:sz w:val="18"/>
              </w:rPr>
            </w:pPr>
            <w:r>
              <w:rPr>
                <w:sz w:val="18"/>
              </w:rPr>
              <w:t>Статья 133</w:t>
            </w:r>
            <w:r>
              <w:rPr>
                <w:sz w:val="18"/>
              </w:rPr>
              <w:br/>
              <w:t>Инфицирование вирусом иммунодефицита ч</w:t>
            </w:r>
            <w:r>
              <w:rPr>
                <w:sz w:val="18"/>
              </w:rPr>
              <w:t>е</w:t>
            </w:r>
            <w:r>
              <w:rPr>
                <w:sz w:val="18"/>
              </w:rPr>
              <w:t>лов</w:t>
            </w:r>
            <w:r>
              <w:rPr>
                <w:sz w:val="18"/>
              </w:rPr>
              <w:t>е</w:t>
            </w:r>
            <w:r>
              <w:rPr>
                <w:sz w:val="18"/>
              </w:rPr>
              <w:t>ка</w:t>
            </w:r>
          </w:p>
        </w:tc>
        <w:tc>
          <w:tcPr>
            <w:tcW w:w="468" w:type="dxa"/>
            <w:vAlign w:val="bottom"/>
          </w:tcPr>
          <w:p w:rsidR="00000000" w:rsidRDefault="00000000">
            <w:pPr>
              <w:pStyle w:val="DualTxt"/>
              <w:spacing w:before="60" w:after="100" w:line="200" w:lineRule="exact"/>
              <w:jc w:val="left"/>
              <w:rPr>
                <w:sz w:val="18"/>
              </w:rPr>
            </w:pPr>
            <w:r>
              <w:rPr>
                <w:sz w:val="18"/>
              </w:rPr>
              <w:t>-</w:t>
            </w:r>
          </w:p>
        </w:tc>
        <w:tc>
          <w:tcPr>
            <w:tcW w:w="396" w:type="dxa"/>
            <w:vAlign w:val="bottom"/>
          </w:tcPr>
          <w:p w:rsidR="00000000" w:rsidRDefault="00000000">
            <w:pPr>
              <w:pStyle w:val="DualTxt"/>
              <w:spacing w:before="60" w:after="100" w:line="200" w:lineRule="exact"/>
              <w:jc w:val="left"/>
              <w:rPr>
                <w:sz w:val="18"/>
              </w:rPr>
            </w:pPr>
            <w:r>
              <w:rPr>
                <w:sz w:val="18"/>
              </w:rPr>
              <w:t>-</w:t>
            </w:r>
          </w:p>
        </w:tc>
        <w:tc>
          <w:tcPr>
            <w:tcW w:w="378" w:type="dxa"/>
            <w:vAlign w:val="bottom"/>
          </w:tcPr>
          <w:p w:rsidR="00000000" w:rsidRDefault="00000000">
            <w:pPr>
              <w:pStyle w:val="DualTxt"/>
              <w:spacing w:before="60" w:after="100" w:line="200" w:lineRule="exact"/>
              <w:jc w:val="left"/>
              <w:rPr>
                <w:sz w:val="18"/>
              </w:rPr>
            </w:pPr>
            <w:r>
              <w:rPr>
                <w:sz w:val="18"/>
              </w:rPr>
              <w:t>-</w:t>
            </w:r>
          </w:p>
        </w:tc>
        <w:tc>
          <w:tcPr>
            <w:tcW w:w="405"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441" w:type="dxa"/>
            <w:vAlign w:val="bottom"/>
          </w:tcPr>
          <w:p w:rsidR="00000000" w:rsidRDefault="00000000">
            <w:pPr>
              <w:pStyle w:val="DualTxt"/>
              <w:spacing w:before="60" w:after="100" w:line="200" w:lineRule="exact"/>
              <w:jc w:val="left"/>
              <w:rPr>
                <w:sz w:val="18"/>
              </w:rPr>
            </w:pPr>
            <w:r>
              <w:rPr>
                <w:sz w:val="18"/>
              </w:rPr>
              <w:t>-</w:t>
            </w:r>
          </w:p>
        </w:tc>
        <w:tc>
          <w:tcPr>
            <w:tcW w:w="459" w:type="dxa"/>
            <w:vAlign w:val="bottom"/>
          </w:tcPr>
          <w:p w:rsidR="00000000" w:rsidRDefault="00000000">
            <w:pPr>
              <w:pStyle w:val="DualTxt"/>
              <w:spacing w:before="60" w:after="100" w:line="200" w:lineRule="exact"/>
              <w:jc w:val="left"/>
              <w:rPr>
                <w:sz w:val="18"/>
              </w:rPr>
            </w:pPr>
            <w:r>
              <w:rPr>
                <w:sz w:val="18"/>
              </w:rPr>
              <w:t>-</w:t>
            </w:r>
          </w:p>
        </w:tc>
        <w:tc>
          <w:tcPr>
            <w:tcW w:w="405"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60"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87" w:type="dxa"/>
            <w:vAlign w:val="bottom"/>
          </w:tcPr>
          <w:p w:rsidR="00000000" w:rsidRDefault="00000000">
            <w:pPr>
              <w:pStyle w:val="DualTxt"/>
              <w:spacing w:before="60" w:after="100" w:line="200" w:lineRule="exact"/>
              <w:jc w:val="left"/>
              <w:rPr>
                <w:sz w:val="18"/>
              </w:rPr>
            </w:pPr>
            <w:r>
              <w:rPr>
                <w:sz w:val="18"/>
              </w:rPr>
              <w:t>-</w:t>
            </w:r>
          </w:p>
        </w:tc>
      </w:tr>
      <w:tr w:rsidR="00000000">
        <w:tblPrEx>
          <w:tblCellMar>
            <w:top w:w="0" w:type="dxa"/>
            <w:bottom w:w="0" w:type="dxa"/>
          </w:tblCellMar>
        </w:tblPrEx>
        <w:tc>
          <w:tcPr>
            <w:tcW w:w="4077" w:type="dxa"/>
            <w:vAlign w:val="bottom"/>
          </w:tcPr>
          <w:p w:rsidR="00000000" w:rsidRDefault="00000000">
            <w:pPr>
              <w:pStyle w:val="DualTxt"/>
              <w:spacing w:before="60" w:after="100" w:line="200" w:lineRule="exact"/>
              <w:jc w:val="left"/>
              <w:rPr>
                <w:sz w:val="18"/>
              </w:rPr>
            </w:pPr>
            <w:r>
              <w:rPr>
                <w:sz w:val="18"/>
              </w:rPr>
              <w:t>Статья 134</w:t>
            </w:r>
            <w:r>
              <w:rPr>
                <w:sz w:val="18"/>
              </w:rPr>
              <w:br/>
              <w:t>Заражение венерическим заболеван</w:t>
            </w:r>
            <w:r>
              <w:rPr>
                <w:sz w:val="18"/>
              </w:rPr>
              <w:t>и</w:t>
            </w:r>
            <w:r>
              <w:rPr>
                <w:sz w:val="18"/>
              </w:rPr>
              <w:t>ем</w:t>
            </w:r>
          </w:p>
        </w:tc>
        <w:tc>
          <w:tcPr>
            <w:tcW w:w="468" w:type="dxa"/>
            <w:vAlign w:val="bottom"/>
          </w:tcPr>
          <w:p w:rsidR="00000000" w:rsidRDefault="00000000">
            <w:pPr>
              <w:pStyle w:val="DualTxt"/>
              <w:spacing w:before="60" w:after="100" w:line="200" w:lineRule="exact"/>
              <w:jc w:val="left"/>
              <w:rPr>
                <w:sz w:val="18"/>
              </w:rPr>
            </w:pPr>
            <w:r>
              <w:rPr>
                <w:sz w:val="18"/>
              </w:rPr>
              <w:t>-</w:t>
            </w:r>
          </w:p>
        </w:tc>
        <w:tc>
          <w:tcPr>
            <w:tcW w:w="396" w:type="dxa"/>
            <w:vAlign w:val="bottom"/>
          </w:tcPr>
          <w:p w:rsidR="00000000" w:rsidRDefault="00000000">
            <w:pPr>
              <w:pStyle w:val="DualTxt"/>
              <w:spacing w:before="60" w:after="100" w:line="200" w:lineRule="exact"/>
              <w:jc w:val="left"/>
              <w:rPr>
                <w:sz w:val="18"/>
              </w:rPr>
            </w:pPr>
            <w:r>
              <w:rPr>
                <w:sz w:val="18"/>
              </w:rPr>
              <w:t>-</w:t>
            </w:r>
          </w:p>
        </w:tc>
        <w:tc>
          <w:tcPr>
            <w:tcW w:w="378" w:type="dxa"/>
            <w:vAlign w:val="bottom"/>
          </w:tcPr>
          <w:p w:rsidR="00000000" w:rsidRDefault="00000000">
            <w:pPr>
              <w:pStyle w:val="DualTxt"/>
              <w:spacing w:before="60" w:after="100" w:line="200" w:lineRule="exact"/>
              <w:jc w:val="left"/>
              <w:rPr>
                <w:sz w:val="18"/>
              </w:rPr>
            </w:pPr>
            <w:r>
              <w:rPr>
                <w:sz w:val="18"/>
              </w:rPr>
              <w:t>1</w:t>
            </w:r>
          </w:p>
        </w:tc>
        <w:tc>
          <w:tcPr>
            <w:tcW w:w="405"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1</w:t>
            </w:r>
          </w:p>
        </w:tc>
        <w:tc>
          <w:tcPr>
            <w:tcW w:w="441" w:type="dxa"/>
            <w:vAlign w:val="bottom"/>
          </w:tcPr>
          <w:p w:rsidR="00000000" w:rsidRDefault="00000000">
            <w:pPr>
              <w:pStyle w:val="DualTxt"/>
              <w:spacing w:before="60" w:after="100" w:line="200" w:lineRule="exact"/>
              <w:jc w:val="left"/>
              <w:rPr>
                <w:sz w:val="18"/>
              </w:rPr>
            </w:pPr>
            <w:r>
              <w:rPr>
                <w:sz w:val="18"/>
              </w:rPr>
              <w:t>1</w:t>
            </w:r>
          </w:p>
        </w:tc>
        <w:tc>
          <w:tcPr>
            <w:tcW w:w="459" w:type="dxa"/>
            <w:vAlign w:val="bottom"/>
          </w:tcPr>
          <w:p w:rsidR="00000000" w:rsidRDefault="00000000">
            <w:pPr>
              <w:pStyle w:val="DualTxt"/>
              <w:spacing w:before="60" w:after="100" w:line="200" w:lineRule="exact"/>
              <w:jc w:val="left"/>
              <w:rPr>
                <w:sz w:val="18"/>
              </w:rPr>
            </w:pPr>
            <w:r>
              <w:rPr>
                <w:sz w:val="18"/>
              </w:rPr>
              <w:t>1</w:t>
            </w:r>
          </w:p>
        </w:tc>
        <w:tc>
          <w:tcPr>
            <w:tcW w:w="405" w:type="dxa"/>
            <w:vAlign w:val="bottom"/>
          </w:tcPr>
          <w:p w:rsidR="00000000" w:rsidRDefault="00000000">
            <w:pPr>
              <w:pStyle w:val="DualTxt"/>
              <w:spacing w:before="60" w:after="100" w:line="200" w:lineRule="exact"/>
              <w:jc w:val="left"/>
              <w:rPr>
                <w:sz w:val="18"/>
              </w:rPr>
            </w:pPr>
            <w:r>
              <w:rPr>
                <w:sz w:val="18"/>
              </w:rPr>
              <w:t>1</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60"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87" w:type="dxa"/>
            <w:vAlign w:val="bottom"/>
          </w:tcPr>
          <w:p w:rsidR="00000000" w:rsidRDefault="00000000">
            <w:pPr>
              <w:pStyle w:val="DualTxt"/>
              <w:spacing w:before="60" w:after="100" w:line="200" w:lineRule="exact"/>
              <w:jc w:val="left"/>
              <w:rPr>
                <w:sz w:val="18"/>
              </w:rPr>
            </w:pPr>
            <w:r>
              <w:rPr>
                <w:sz w:val="18"/>
              </w:rPr>
              <w:t>-</w:t>
            </w:r>
          </w:p>
        </w:tc>
      </w:tr>
      <w:tr w:rsidR="00000000">
        <w:tblPrEx>
          <w:tblCellMar>
            <w:top w:w="0" w:type="dxa"/>
            <w:bottom w:w="0" w:type="dxa"/>
          </w:tblCellMar>
        </w:tblPrEx>
        <w:tc>
          <w:tcPr>
            <w:tcW w:w="4077" w:type="dxa"/>
            <w:vAlign w:val="bottom"/>
          </w:tcPr>
          <w:p w:rsidR="00000000" w:rsidRDefault="00000000">
            <w:pPr>
              <w:pStyle w:val="DualTxt"/>
              <w:spacing w:before="60" w:after="100" w:line="200" w:lineRule="exact"/>
              <w:jc w:val="left"/>
              <w:rPr>
                <w:sz w:val="18"/>
              </w:rPr>
            </w:pPr>
            <w:r>
              <w:rPr>
                <w:sz w:val="18"/>
              </w:rPr>
              <w:t>Статья 135</w:t>
            </w:r>
            <w:r>
              <w:rPr>
                <w:sz w:val="18"/>
              </w:rPr>
              <w:br/>
              <w:t>Несанкционир</w:t>
            </w:r>
            <w:r>
              <w:rPr>
                <w:sz w:val="18"/>
              </w:rPr>
              <w:t>о</w:t>
            </w:r>
            <w:r>
              <w:rPr>
                <w:sz w:val="18"/>
              </w:rPr>
              <w:t>ванное совершение аборта</w:t>
            </w:r>
          </w:p>
        </w:tc>
        <w:tc>
          <w:tcPr>
            <w:tcW w:w="468" w:type="dxa"/>
            <w:vAlign w:val="bottom"/>
          </w:tcPr>
          <w:p w:rsidR="00000000" w:rsidRDefault="00000000">
            <w:pPr>
              <w:pStyle w:val="DualTxt"/>
              <w:spacing w:before="60" w:after="100" w:line="200" w:lineRule="exact"/>
              <w:jc w:val="left"/>
              <w:rPr>
                <w:sz w:val="18"/>
              </w:rPr>
            </w:pPr>
            <w:r>
              <w:rPr>
                <w:sz w:val="18"/>
              </w:rPr>
              <w:t>-</w:t>
            </w:r>
          </w:p>
        </w:tc>
        <w:tc>
          <w:tcPr>
            <w:tcW w:w="396" w:type="dxa"/>
            <w:vAlign w:val="bottom"/>
          </w:tcPr>
          <w:p w:rsidR="00000000" w:rsidRDefault="00000000">
            <w:pPr>
              <w:pStyle w:val="DualTxt"/>
              <w:spacing w:before="60" w:after="100" w:line="200" w:lineRule="exact"/>
              <w:jc w:val="left"/>
              <w:rPr>
                <w:sz w:val="18"/>
              </w:rPr>
            </w:pPr>
            <w:r>
              <w:rPr>
                <w:sz w:val="18"/>
              </w:rPr>
              <w:t>-</w:t>
            </w:r>
          </w:p>
        </w:tc>
        <w:tc>
          <w:tcPr>
            <w:tcW w:w="378" w:type="dxa"/>
            <w:vAlign w:val="bottom"/>
          </w:tcPr>
          <w:p w:rsidR="00000000" w:rsidRDefault="00000000">
            <w:pPr>
              <w:pStyle w:val="DualTxt"/>
              <w:spacing w:before="60" w:after="100" w:line="200" w:lineRule="exact"/>
              <w:jc w:val="left"/>
              <w:rPr>
                <w:sz w:val="18"/>
              </w:rPr>
            </w:pPr>
            <w:r>
              <w:rPr>
                <w:sz w:val="18"/>
              </w:rPr>
              <w:t>2</w:t>
            </w:r>
          </w:p>
        </w:tc>
        <w:tc>
          <w:tcPr>
            <w:tcW w:w="405" w:type="dxa"/>
            <w:vAlign w:val="bottom"/>
          </w:tcPr>
          <w:p w:rsidR="00000000" w:rsidRDefault="00000000">
            <w:pPr>
              <w:pStyle w:val="DualTxt"/>
              <w:spacing w:before="60" w:after="100" w:line="200" w:lineRule="exact"/>
              <w:jc w:val="left"/>
              <w:rPr>
                <w:sz w:val="18"/>
              </w:rPr>
            </w:pPr>
            <w:r>
              <w:rPr>
                <w:sz w:val="18"/>
              </w:rPr>
              <w:t>1</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441" w:type="dxa"/>
            <w:vAlign w:val="bottom"/>
          </w:tcPr>
          <w:p w:rsidR="00000000" w:rsidRDefault="00000000">
            <w:pPr>
              <w:pStyle w:val="DualTxt"/>
              <w:spacing w:before="60" w:after="100" w:line="200" w:lineRule="exact"/>
              <w:jc w:val="left"/>
              <w:rPr>
                <w:sz w:val="18"/>
              </w:rPr>
            </w:pPr>
            <w:r>
              <w:rPr>
                <w:sz w:val="18"/>
              </w:rPr>
              <w:t>-</w:t>
            </w:r>
          </w:p>
        </w:tc>
        <w:tc>
          <w:tcPr>
            <w:tcW w:w="459" w:type="dxa"/>
            <w:vAlign w:val="bottom"/>
          </w:tcPr>
          <w:p w:rsidR="00000000" w:rsidRDefault="00000000">
            <w:pPr>
              <w:pStyle w:val="DualTxt"/>
              <w:spacing w:before="60" w:after="100" w:line="200" w:lineRule="exact"/>
              <w:jc w:val="left"/>
              <w:rPr>
                <w:sz w:val="18"/>
              </w:rPr>
            </w:pPr>
            <w:r>
              <w:rPr>
                <w:sz w:val="18"/>
              </w:rPr>
              <w:t>-</w:t>
            </w:r>
          </w:p>
        </w:tc>
        <w:tc>
          <w:tcPr>
            <w:tcW w:w="405"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60"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87" w:type="dxa"/>
            <w:vAlign w:val="bottom"/>
          </w:tcPr>
          <w:p w:rsidR="00000000" w:rsidRDefault="00000000">
            <w:pPr>
              <w:pStyle w:val="DualTxt"/>
              <w:spacing w:before="60" w:after="100" w:line="200" w:lineRule="exact"/>
              <w:jc w:val="left"/>
              <w:rPr>
                <w:sz w:val="18"/>
              </w:rPr>
            </w:pPr>
            <w:r>
              <w:rPr>
                <w:sz w:val="18"/>
              </w:rPr>
              <w:t>-</w:t>
            </w:r>
          </w:p>
        </w:tc>
      </w:tr>
      <w:tr w:rsidR="00000000">
        <w:tblPrEx>
          <w:tblCellMar>
            <w:top w:w="0" w:type="dxa"/>
            <w:bottom w:w="0" w:type="dxa"/>
          </w:tblCellMar>
        </w:tblPrEx>
        <w:tc>
          <w:tcPr>
            <w:tcW w:w="4077" w:type="dxa"/>
            <w:vAlign w:val="bottom"/>
          </w:tcPr>
          <w:p w:rsidR="00000000" w:rsidRDefault="00000000">
            <w:pPr>
              <w:pStyle w:val="DualTxt"/>
              <w:spacing w:before="60" w:after="100" w:line="200" w:lineRule="exact"/>
              <w:jc w:val="left"/>
              <w:rPr>
                <w:sz w:val="18"/>
              </w:rPr>
            </w:pPr>
            <w:r>
              <w:rPr>
                <w:sz w:val="18"/>
              </w:rPr>
              <w:t>Статья 136</w:t>
            </w:r>
            <w:r>
              <w:rPr>
                <w:sz w:val="18"/>
              </w:rPr>
              <w:br/>
              <w:t>Побуждение к соверш</w:t>
            </w:r>
            <w:r>
              <w:rPr>
                <w:sz w:val="18"/>
              </w:rPr>
              <w:t>е</w:t>
            </w:r>
            <w:r>
              <w:rPr>
                <w:sz w:val="18"/>
              </w:rPr>
              <w:t>нию аборта</w:t>
            </w:r>
          </w:p>
        </w:tc>
        <w:tc>
          <w:tcPr>
            <w:tcW w:w="468" w:type="dxa"/>
            <w:vAlign w:val="bottom"/>
          </w:tcPr>
          <w:p w:rsidR="00000000" w:rsidRDefault="00000000">
            <w:pPr>
              <w:pStyle w:val="DualTxt"/>
              <w:spacing w:before="60" w:after="100" w:line="200" w:lineRule="exact"/>
              <w:jc w:val="left"/>
              <w:rPr>
                <w:sz w:val="18"/>
              </w:rPr>
            </w:pPr>
            <w:r>
              <w:rPr>
                <w:sz w:val="18"/>
              </w:rPr>
              <w:t>-</w:t>
            </w:r>
          </w:p>
        </w:tc>
        <w:tc>
          <w:tcPr>
            <w:tcW w:w="396" w:type="dxa"/>
            <w:vAlign w:val="bottom"/>
          </w:tcPr>
          <w:p w:rsidR="00000000" w:rsidRDefault="00000000">
            <w:pPr>
              <w:pStyle w:val="DualTxt"/>
              <w:spacing w:before="60" w:after="100" w:line="200" w:lineRule="exact"/>
              <w:jc w:val="left"/>
              <w:rPr>
                <w:sz w:val="18"/>
              </w:rPr>
            </w:pPr>
            <w:r>
              <w:rPr>
                <w:sz w:val="18"/>
              </w:rPr>
              <w:t>-</w:t>
            </w:r>
          </w:p>
        </w:tc>
        <w:tc>
          <w:tcPr>
            <w:tcW w:w="378" w:type="dxa"/>
            <w:vAlign w:val="bottom"/>
          </w:tcPr>
          <w:p w:rsidR="00000000" w:rsidRDefault="00000000">
            <w:pPr>
              <w:pStyle w:val="DualTxt"/>
              <w:spacing w:before="60" w:after="100" w:line="200" w:lineRule="exact"/>
              <w:jc w:val="left"/>
              <w:rPr>
                <w:sz w:val="18"/>
              </w:rPr>
            </w:pPr>
            <w:r>
              <w:rPr>
                <w:sz w:val="18"/>
              </w:rPr>
              <w:t>-</w:t>
            </w:r>
          </w:p>
        </w:tc>
        <w:tc>
          <w:tcPr>
            <w:tcW w:w="405"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441" w:type="dxa"/>
            <w:vAlign w:val="bottom"/>
          </w:tcPr>
          <w:p w:rsidR="00000000" w:rsidRDefault="00000000">
            <w:pPr>
              <w:pStyle w:val="DualTxt"/>
              <w:spacing w:before="60" w:after="100" w:line="200" w:lineRule="exact"/>
              <w:jc w:val="left"/>
              <w:rPr>
                <w:sz w:val="18"/>
              </w:rPr>
            </w:pPr>
            <w:r>
              <w:rPr>
                <w:sz w:val="18"/>
              </w:rPr>
              <w:t>-</w:t>
            </w:r>
          </w:p>
        </w:tc>
        <w:tc>
          <w:tcPr>
            <w:tcW w:w="459" w:type="dxa"/>
            <w:vAlign w:val="bottom"/>
          </w:tcPr>
          <w:p w:rsidR="00000000" w:rsidRDefault="00000000">
            <w:pPr>
              <w:pStyle w:val="DualTxt"/>
              <w:spacing w:before="60" w:after="100" w:line="200" w:lineRule="exact"/>
              <w:jc w:val="left"/>
              <w:rPr>
                <w:sz w:val="18"/>
              </w:rPr>
            </w:pPr>
            <w:r>
              <w:rPr>
                <w:sz w:val="18"/>
              </w:rPr>
              <w:t>-</w:t>
            </w:r>
          </w:p>
        </w:tc>
        <w:tc>
          <w:tcPr>
            <w:tcW w:w="405"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60"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87" w:type="dxa"/>
            <w:vAlign w:val="bottom"/>
          </w:tcPr>
          <w:p w:rsidR="00000000" w:rsidRDefault="00000000">
            <w:pPr>
              <w:pStyle w:val="DualTxt"/>
              <w:spacing w:before="60" w:after="100" w:line="200" w:lineRule="exact"/>
              <w:jc w:val="left"/>
              <w:rPr>
                <w:sz w:val="18"/>
              </w:rPr>
            </w:pPr>
            <w:r>
              <w:rPr>
                <w:sz w:val="18"/>
              </w:rPr>
              <w:t>-</w:t>
            </w:r>
          </w:p>
        </w:tc>
      </w:tr>
      <w:tr w:rsidR="00000000">
        <w:tblPrEx>
          <w:tblCellMar>
            <w:top w:w="0" w:type="dxa"/>
            <w:bottom w:w="0" w:type="dxa"/>
          </w:tblCellMar>
        </w:tblPrEx>
        <w:tc>
          <w:tcPr>
            <w:tcW w:w="4077" w:type="dxa"/>
            <w:vAlign w:val="bottom"/>
          </w:tcPr>
          <w:p w:rsidR="00000000" w:rsidRDefault="00000000">
            <w:pPr>
              <w:pStyle w:val="DualTxt"/>
              <w:spacing w:before="60" w:after="100" w:line="200" w:lineRule="exact"/>
              <w:jc w:val="left"/>
              <w:rPr>
                <w:sz w:val="18"/>
              </w:rPr>
            </w:pPr>
            <w:r>
              <w:rPr>
                <w:sz w:val="18"/>
              </w:rPr>
              <w:t>Статья 137</w:t>
            </w:r>
            <w:r>
              <w:rPr>
                <w:sz w:val="18"/>
              </w:rPr>
              <w:br/>
              <w:t>Несанкционированное мед. л</w:t>
            </w:r>
            <w:r>
              <w:rPr>
                <w:sz w:val="18"/>
              </w:rPr>
              <w:t>е</w:t>
            </w:r>
            <w:r>
              <w:rPr>
                <w:sz w:val="18"/>
              </w:rPr>
              <w:t>чение</w:t>
            </w:r>
          </w:p>
        </w:tc>
        <w:tc>
          <w:tcPr>
            <w:tcW w:w="468" w:type="dxa"/>
            <w:vAlign w:val="bottom"/>
          </w:tcPr>
          <w:p w:rsidR="00000000" w:rsidRDefault="00000000">
            <w:pPr>
              <w:pStyle w:val="DualTxt"/>
              <w:spacing w:before="60" w:after="100" w:line="200" w:lineRule="exact"/>
              <w:jc w:val="left"/>
              <w:rPr>
                <w:sz w:val="18"/>
              </w:rPr>
            </w:pPr>
            <w:r>
              <w:rPr>
                <w:sz w:val="18"/>
              </w:rPr>
              <w:t>-</w:t>
            </w:r>
          </w:p>
        </w:tc>
        <w:tc>
          <w:tcPr>
            <w:tcW w:w="396" w:type="dxa"/>
            <w:vAlign w:val="bottom"/>
          </w:tcPr>
          <w:p w:rsidR="00000000" w:rsidRDefault="00000000">
            <w:pPr>
              <w:pStyle w:val="DualTxt"/>
              <w:spacing w:before="60" w:after="100" w:line="200" w:lineRule="exact"/>
              <w:jc w:val="left"/>
              <w:rPr>
                <w:sz w:val="18"/>
              </w:rPr>
            </w:pPr>
            <w:r>
              <w:rPr>
                <w:sz w:val="18"/>
              </w:rPr>
              <w:t>-</w:t>
            </w:r>
          </w:p>
        </w:tc>
        <w:tc>
          <w:tcPr>
            <w:tcW w:w="378" w:type="dxa"/>
            <w:vAlign w:val="bottom"/>
          </w:tcPr>
          <w:p w:rsidR="00000000" w:rsidRDefault="00000000">
            <w:pPr>
              <w:pStyle w:val="DualTxt"/>
              <w:spacing w:before="60" w:after="100" w:line="200" w:lineRule="exact"/>
              <w:jc w:val="left"/>
              <w:rPr>
                <w:sz w:val="18"/>
              </w:rPr>
            </w:pPr>
            <w:r>
              <w:rPr>
                <w:sz w:val="18"/>
              </w:rPr>
              <w:t>-</w:t>
            </w:r>
          </w:p>
        </w:tc>
        <w:tc>
          <w:tcPr>
            <w:tcW w:w="405"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441" w:type="dxa"/>
            <w:vAlign w:val="bottom"/>
          </w:tcPr>
          <w:p w:rsidR="00000000" w:rsidRDefault="00000000">
            <w:pPr>
              <w:pStyle w:val="DualTxt"/>
              <w:spacing w:before="60" w:after="100" w:line="200" w:lineRule="exact"/>
              <w:jc w:val="left"/>
              <w:rPr>
                <w:sz w:val="18"/>
              </w:rPr>
            </w:pPr>
            <w:r>
              <w:rPr>
                <w:sz w:val="18"/>
              </w:rPr>
              <w:t>-</w:t>
            </w:r>
          </w:p>
        </w:tc>
        <w:tc>
          <w:tcPr>
            <w:tcW w:w="459" w:type="dxa"/>
            <w:vAlign w:val="bottom"/>
          </w:tcPr>
          <w:p w:rsidR="00000000" w:rsidRDefault="00000000">
            <w:pPr>
              <w:pStyle w:val="DualTxt"/>
              <w:spacing w:before="60" w:after="100" w:line="200" w:lineRule="exact"/>
              <w:jc w:val="left"/>
              <w:rPr>
                <w:sz w:val="18"/>
              </w:rPr>
            </w:pPr>
            <w:r>
              <w:rPr>
                <w:sz w:val="18"/>
              </w:rPr>
              <w:t>-</w:t>
            </w:r>
          </w:p>
        </w:tc>
        <w:tc>
          <w:tcPr>
            <w:tcW w:w="405"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60"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87" w:type="dxa"/>
            <w:vAlign w:val="bottom"/>
          </w:tcPr>
          <w:p w:rsidR="00000000" w:rsidRDefault="00000000">
            <w:pPr>
              <w:pStyle w:val="DualTxt"/>
              <w:spacing w:before="60" w:after="100" w:line="200" w:lineRule="exact"/>
              <w:jc w:val="left"/>
              <w:rPr>
                <w:sz w:val="18"/>
              </w:rPr>
            </w:pPr>
            <w:r>
              <w:rPr>
                <w:sz w:val="18"/>
              </w:rPr>
              <w:t>-</w:t>
            </w:r>
          </w:p>
        </w:tc>
      </w:tr>
      <w:tr w:rsidR="00000000">
        <w:tblPrEx>
          <w:tblCellMar>
            <w:top w:w="0" w:type="dxa"/>
            <w:bottom w:w="0" w:type="dxa"/>
          </w:tblCellMar>
        </w:tblPrEx>
        <w:tc>
          <w:tcPr>
            <w:tcW w:w="4077" w:type="dxa"/>
            <w:vAlign w:val="bottom"/>
          </w:tcPr>
          <w:p w:rsidR="00000000" w:rsidRDefault="00000000">
            <w:pPr>
              <w:pStyle w:val="DualTxt"/>
              <w:spacing w:before="60" w:after="100" w:line="200" w:lineRule="exact"/>
              <w:jc w:val="left"/>
              <w:rPr>
                <w:sz w:val="18"/>
              </w:rPr>
            </w:pPr>
            <w:r>
              <w:rPr>
                <w:sz w:val="18"/>
              </w:rPr>
              <w:t>Статья 138</w:t>
            </w:r>
            <w:r>
              <w:rPr>
                <w:sz w:val="18"/>
              </w:rPr>
              <w:br/>
              <w:t>Несоответствующее выполнение професси</w:t>
            </w:r>
            <w:r>
              <w:rPr>
                <w:sz w:val="18"/>
              </w:rPr>
              <w:t>о</w:t>
            </w:r>
            <w:r>
              <w:rPr>
                <w:sz w:val="18"/>
              </w:rPr>
              <w:t>нальных обязанностей практ</w:t>
            </w:r>
            <w:r>
              <w:rPr>
                <w:sz w:val="18"/>
              </w:rPr>
              <w:t>и</w:t>
            </w:r>
            <w:r>
              <w:rPr>
                <w:sz w:val="18"/>
              </w:rPr>
              <w:t>кующим врачом</w:t>
            </w:r>
          </w:p>
        </w:tc>
        <w:tc>
          <w:tcPr>
            <w:tcW w:w="468" w:type="dxa"/>
            <w:vAlign w:val="bottom"/>
          </w:tcPr>
          <w:p w:rsidR="00000000" w:rsidRDefault="00000000">
            <w:pPr>
              <w:pStyle w:val="DualTxt"/>
              <w:spacing w:before="60" w:after="100" w:line="200" w:lineRule="exact"/>
              <w:jc w:val="left"/>
              <w:rPr>
                <w:sz w:val="18"/>
              </w:rPr>
            </w:pPr>
            <w:r>
              <w:rPr>
                <w:sz w:val="18"/>
              </w:rPr>
              <w:t>-</w:t>
            </w:r>
          </w:p>
        </w:tc>
        <w:tc>
          <w:tcPr>
            <w:tcW w:w="396" w:type="dxa"/>
            <w:vAlign w:val="bottom"/>
          </w:tcPr>
          <w:p w:rsidR="00000000" w:rsidRDefault="00000000">
            <w:pPr>
              <w:pStyle w:val="DualTxt"/>
              <w:spacing w:before="60" w:after="100" w:line="200" w:lineRule="exact"/>
              <w:jc w:val="left"/>
              <w:rPr>
                <w:sz w:val="18"/>
              </w:rPr>
            </w:pPr>
            <w:r>
              <w:rPr>
                <w:sz w:val="18"/>
              </w:rPr>
              <w:t>-</w:t>
            </w:r>
          </w:p>
        </w:tc>
        <w:tc>
          <w:tcPr>
            <w:tcW w:w="378" w:type="dxa"/>
            <w:vAlign w:val="bottom"/>
          </w:tcPr>
          <w:p w:rsidR="00000000" w:rsidRDefault="00000000">
            <w:pPr>
              <w:pStyle w:val="DualTxt"/>
              <w:spacing w:before="60" w:after="100" w:line="200" w:lineRule="exact"/>
              <w:jc w:val="left"/>
              <w:rPr>
                <w:sz w:val="18"/>
              </w:rPr>
            </w:pPr>
            <w:r>
              <w:rPr>
                <w:sz w:val="18"/>
              </w:rPr>
              <w:t>-</w:t>
            </w:r>
          </w:p>
        </w:tc>
        <w:tc>
          <w:tcPr>
            <w:tcW w:w="405"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441" w:type="dxa"/>
            <w:vAlign w:val="bottom"/>
          </w:tcPr>
          <w:p w:rsidR="00000000" w:rsidRDefault="00000000">
            <w:pPr>
              <w:pStyle w:val="DualTxt"/>
              <w:spacing w:before="60" w:after="100" w:line="200" w:lineRule="exact"/>
              <w:jc w:val="left"/>
              <w:rPr>
                <w:sz w:val="18"/>
              </w:rPr>
            </w:pPr>
            <w:r>
              <w:rPr>
                <w:sz w:val="18"/>
              </w:rPr>
              <w:t>-</w:t>
            </w:r>
          </w:p>
        </w:tc>
        <w:tc>
          <w:tcPr>
            <w:tcW w:w="459" w:type="dxa"/>
            <w:vAlign w:val="bottom"/>
          </w:tcPr>
          <w:p w:rsidR="00000000" w:rsidRDefault="00000000">
            <w:pPr>
              <w:pStyle w:val="DualTxt"/>
              <w:spacing w:before="60" w:after="100" w:line="200" w:lineRule="exact"/>
              <w:jc w:val="left"/>
              <w:rPr>
                <w:sz w:val="18"/>
              </w:rPr>
            </w:pPr>
            <w:r>
              <w:rPr>
                <w:sz w:val="18"/>
              </w:rPr>
              <w:t>-</w:t>
            </w:r>
          </w:p>
        </w:tc>
        <w:tc>
          <w:tcPr>
            <w:tcW w:w="405"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60"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87" w:type="dxa"/>
            <w:vAlign w:val="bottom"/>
          </w:tcPr>
          <w:p w:rsidR="00000000" w:rsidRDefault="00000000">
            <w:pPr>
              <w:pStyle w:val="DualTxt"/>
              <w:spacing w:before="60" w:after="100" w:line="200" w:lineRule="exact"/>
              <w:jc w:val="left"/>
              <w:rPr>
                <w:sz w:val="18"/>
              </w:rPr>
            </w:pPr>
            <w:r>
              <w:rPr>
                <w:sz w:val="18"/>
              </w:rPr>
              <w:t>-</w:t>
            </w:r>
          </w:p>
        </w:tc>
      </w:tr>
      <w:tr w:rsidR="00000000">
        <w:tblPrEx>
          <w:tblCellMar>
            <w:top w:w="0" w:type="dxa"/>
            <w:bottom w:w="0" w:type="dxa"/>
          </w:tblCellMar>
        </w:tblPrEx>
        <w:tc>
          <w:tcPr>
            <w:tcW w:w="4077" w:type="dxa"/>
            <w:vAlign w:val="bottom"/>
          </w:tcPr>
          <w:p w:rsidR="00000000" w:rsidRDefault="00000000">
            <w:pPr>
              <w:pStyle w:val="DualTxt"/>
              <w:spacing w:before="60" w:after="100" w:line="200" w:lineRule="exact"/>
              <w:jc w:val="left"/>
              <w:rPr>
                <w:sz w:val="18"/>
              </w:rPr>
            </w:pPr>
            <w:r>
              <w:rPr>
                <w:sz w:val="18"/>
              </w:rPr>
              <w:t>Статья 139</w:t>
            </w:r>
            <w:r>
              <w:rPr>
                <w:sz w:val="18"/>
              </w:rPr>
              <w:br/>
              <w:t xml:space="preserve">Незаконное удаление тканей и органов </w:t>
            </w:r>
            <w:r>
              <w:rPr>
                <w:sz w:val="18"/>
              </w:rPr>
              <w:br/>
              <w:t>челов</w:t>
            </w:r>
            <w:r>
              <w:rPr>
                <w:sz w:val="18"/>
              </w:rPr>
              <w:t>е</w:t>
            </w:r>
            <w:r>
              <w:rPr>
                <w:sz w:val="18"/>
              </w:rPr>
              <w:t>ка</w:t>
            </w:r>
          </w:p>
        </w:tc>
        <w:tc>
          <w:tcPr>
            <w:tcW w:w="468" w:type="dxa"/>
            <w:vAlign w:val="bottom"/>
          </w:tcPr>
          <w:p w:rsidR="00000000" w:rsidRDefault="00000000">
            <w:pPr>
              <w:pStyle w:val="DualTxt"/>
              <w:spacing w:before="60" w:after="100" w:line="200" w:lineRule="exact"/>
              <w:jc w:val="left"/>
              <w:rPr>
                <w:sz w:val="18"/>
              </w:rPr>
            </w:pPr>
            <w:r>
              <w:rPr>
                <w:sz w:val="18"/>
              </w:rPr>
              <w:t>-</w:t>
            </w:r>
          </w:p>
        </w:tc>
        <w:tc>
          <w:tcPr>
            <w:tcW w:w="396" w:type="dxa"/>
            <w:vAlign w:val="bottom"/>
          </w:tcPr>
          <w:p w:rsidR="00000000" w:rsidRDefault="00000000">
            <w:pPr>
              <w:pStyle w:val="DualTxt"/>
              <w:spacing w:before="60" w:after="100" w:line="200" w:lineRule="exact"/>
              <w:jc w:val="left"/>
              <w:rPr>
                <w:sz w:val="18"/>
              </w:rPr>
            </w:pPr>
            <w:r>
              <w:rPr>
                <w:sz w:val="18"/>
              </w:rPr>
              <w:t>-</w:t>
            </w:r>
          </w:p>
        </w:tc>
        <w:tc>
          <w:tcPr>
            <w:tcW w:w="378" w:type="dxa"/>
            <w:vAlign w:val="bottom"/>
          </w:tcPr>
          <w:p w:rsidR="00000000" w:rsidRDefault="00000000">
            <w:pPr>
              <w:pStyle w:val="DualTxt"/>
              <w:spacing w:before="60" w:after="100" w:line="200" w:lineRule="exact"/>
              <w:jc w:val="left"/>
              <w:rPr>
                <w:sz w:val="18"/>
              </w:rPr>
            </w:pPr>
            <w:r>
              <w:rPr>
                <w:sz w:val="18"/>
              </w:rPr>
              <w:t>-</w:t>
            </w:r>
          </w:p>
        </w:tc>
        <w:tc>
          <w:tcPr>
            <w:tcW w:w="405"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23"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441" w:type="dxa"/>
            <w:vAlign w:val="bottom"/>
          </w:tcPr>
          <w:p w:rsidR="00000000" w:rsidRDefault="00000000">
            <w:pPr>
              <w:pStyle w:val="DualTxt"/>
              <w:spacing w:before="60" w:after="100" w:line="200" w:lineRule="exact"/>
              <w:jc w:val="left"/>
              <w:rPr>
                <w:sz w:val="18"/>
              </w:rPr>
            </w:pPr>
            <w:r>
              <w:rPr>
                <w:sz w:val="18"/>
              </w:rPr>
              <w:t>-</w:t>
            </w:r>
          </w:p>
        </w:tc>
        <w:tc>
          <w:tcPr>
            <w:tcW w:w="459" w:type="dxa"/>
            <w:vAlign w:val="bottom"/>
          </w:tcPr>
          <w:p w:rsidR="00000000" w:rsidRDefault="00000000">
            <w:pPr>
              <w:pStyle w:val="DualTxt"/>
              <w:spacing w:before="60" w:after="100" w:line="200" w:lineRule="exact"/>
              <w:jc w:val="left"/>
              <w:rPr>
                <w:sz w:val="18"/>
              </w:rPr>
            </w:pPr>
            <w:r>
              <w:rPr>
                <w:sz w:val="18"/>
              </w:rPr>
              <w:t>-</w:t>
            </w:r>
          </w:p>
        </w:tc>
        <w:tc>
          <w:tcPr>
            <w:tcW w:w="405"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60" w:type="dxa"/>
            <w:vAlign w:val="bottom"/>
          </w:tcPr>
          <w:p w:rsidR="00000000" w:rsidRDefault="00000000">
            <w:pPr>
              <w:pStyle w:val="DualTxt"/>
              <w:spacing w:before="60" w:after="100" w:line="200" w:lineRule="exact"/>
              <w:jc w:val="left"/>
              <w:rPr>
                <w:sz w:val="18"/>
              </w:rPr>
            </w:pPr>
            <w:r>
              <w:rPr>
                <w:sz w:val="18"/>
              </w:rPr>
              <w:t>-</w:t>
            </w:r>
          </w:p>
        </w:tc>
        <w:tc>
          <w:tcPr>
            <w:tcW w:w="414" w:type="dxa"/>
            <w:vAlign w:val="bottom"/>
          </w:tcPr>
          <w:p w:rsidR="00000000" w:rsidRDefault="00000000">
            <w:pPr>
              <w:pStyle w:val="DualTxt"/>
              <w:spacing w:before="60" w:after="100" w:line="200" w:lineRule="exact"/>
              <w:jc w:val="left"/>
              <w:rPr>
                <w:sz w:val="18"/>
              </w:rPr>
            </w:pPr>
            <w:r>
              <w:rPr>
                <w:sz w:val="18"/>
              </w:rPr>
              <w:t>-</w:t>
            </w:r>
          </w:p>
        </w:tc>
        <w:tc>
          <w:tcPr>
            <w:tcW w:w="387" w:type="dxa"/>
            <w:vAlign w:val="bottom"/>
          </w:tcPr>
          <w:p w:rsidR="00000000" w:rsidRDefault="00000000">
            <w:pPr>
              <w:pStyle w:val="DualTxt"/>
              <w:spacing w:before="60" w:after="100" w:line="200" w:lineRule="exact"/>
              <w:jc w:val="left"/>
              <w:rPr>
                <w:sz w:val="18"/>
              </w:rPr>
            </w:pPr>
            <w:r>
              <w:rPr>
                <w:sz w:val="18"/>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доступ к информации по вопросам планирования семьи, право получать помощь, связанную со здоров</w:t>
      </w:r>
      <w:r>
        <w:t>ь</w:t>
      </w:r>
      <w:r>
        <w:t>ем семьи</w:t>
      </w:r>
    </w:p>
    <w:p w:rsidR="00000000" w:rsidRDefault="00000000">
      <w:pPr>
        <w:pStyle w:val="SingleTxt"/>
        <w:spacing w:after="0" w:line="120" w:lineRule="exact"/>
        <w:rPr>
          <w:sz w:val="10"/>
        </w:rPr>
      </w:pPr>
    </w:p>
    <w:p w:rsidR="00000000" w:rsidRDefault="00000000">
      <w:pPr>
        <w:pStyle w:val="SingleTxt"/>
      </w:pPr>
      <w:r>
        <w:t>228.</w:t>
      </w:r>
      <w:r>
        <w:tab/>
        <w:t>В Латвии женщины не подвергаются дискриминации при реализации св</w:t>
      </w:r>
      <w:r>
        <w:t>о</w:t>
      </w:r>
      <w:r>
        <w:t>его права на получение доступа к учебной специальной литературе, которая направлена на укрепление здоровья и повышение благополучия семьи. Же</w:t>
      </w:r>
      <w:r>
        <w:t>н</w:t>
      </w:r>
      <w:r>
        <w:t>щины и мужчины пользуются равными правами на доступ к информации и на консультации по вопросам планирования семьи.</w:t>
      </w:r>
    </w:p>
    <w:p w:rsidR="00000000" w:rsidRDefault="00000000">
      <w:pPr>
        <w:pStyle w:val="SingleTxt"/>
      </w:pPr>
      <w:r>
        <w:t>229.</w:t>
      </w:r>
      <w:r>
        <w:tab/>
        <w:t>В ведении министерства благосостояния Латвийской Республики находи</w:t>
      </w:r>
      <w:r>
        <w:t>т</w:t>
      </w:r>
      <w:r>
        <w:t>ся Государственный центр по охране здоровья семьи; одна из задач этого це</w:t>
      </w:r>
      <w:r>
        <w:t>н</w:t>
      </w:r>
      <w:r>
        <w:t>тра состоит в распространении информации по вопросам планирования семьи. Такая информация предоставляется бесплатно.</w:t>
      </w:r>
    </w:p>
    <w:p w:rsidR="00000000" w:rsidRDefault="00000000">
      <w:pPr>
        <w:pStyle w:val="SingleTxt"/>
      </w:pPr>
      <w:r>
        <w:t>230.</w:t>
      </w:r>
      <w:r>
        <w:tab/>
        <w:t>В Латвии имеется несколько неправительственных организаций, которые занимаются вопросами планирования семьи. Например, неправительственная организация под названием «Papardes Zieds» распространяет информацию, з</w:t>
      </w:r>
      <w:r>
        <w:t>а</w:t>
      </w:r>
      <w:r>
        <w:t>нимается просвещением населения и пропагандирует сексуальное здоровье. Латвийская ассоциация по вопросам гендерного равенства указывает, что ан</w:t>
      </w:r>
      <w:r>
        <w:t>а</w:t>
      </w:r>
      <w:r>
        <w:t>логичной деятельностью занимаются Совет латвийских центров охраны здор</w:t>
      </w:r>
      <w:r>
        <w:t>о</w:t>
      </w:r>
      <w:r>
        <w:t>вья молодежи, Латвийский молодежный Красный Крест, Учебный центр по в</w:t>
      </w:r>
      <w:r>
        <w:t>о</w:t>
      </w:r>
      <w:r>
        <w:t>просам семьи и школы, а также несколько организаций в ряде районов.</w:t>
      </w:r>
    </w:p>
    <w:p w:rsidR="00000000" w:rsidRDefault="00000000">
      <w:pPr>
        <w:pStyle w:val="SingleTxt"/>
      </w:pPr>
      <w:r>
        <w:t>231.</w:t>
      </w:r>
      <w:r>
        <w:tab/>
        <w:t>Порядок финансирования охраны здоровья населения регулируется п</w:t>
      </w:r>
      <w:r>
        <w:t>о</w:t>
      </w:r>
      <w:r>
        <w:t>становлением кабинета министров «О финансировании охраны здоровья» от 24 декабря 1996 года, в котором определяется, что государственное обязател</w:t>
      </w:r>
      <w:r>
        <w:t>ь</w:t>
      </w:r>
      <w:r>
        <w:t>ное страхование здоровья гарантирует покрытие расходов на медицинское о</w:t>
      </w:r>
      <w:r>
        <w:t>б</w:t>
      </w:r>
      <w:r>
        <w:t>служивание в медицинских учреждениях Латвийской Республики из средств государственного фонда обязательного страхования здоровья, а также расходов на те медицинские услуги, которые связаны с наблюдением врача за береме</w:t>
      </w:r>
      <w:r>
        <w:t>н</w:t>
      </w:r>
      <w:r>
        <w:t>ными женщинами и женщинами в послеродовой период, родовспоможением и пом</w:t>
      </w:r>
      <w:r>
        <w:t>о</w:t>
      </w:r>
      <w:r>
        <w:t>щью в случае беременности с патологиями.</w:t>
      </w:r>
    </w:p>
    <w:p w:rsidR="00000000" w:rsidRDefault="00000000">
      <w:pPr>
        <w:pStyle w:val="SingleTxt"/>
      </w:pPr>
      <w:r>
        <w:t>232.</w:t>
      </w:r>
      <w:r>
        <w:tab/>
        <w:t>Беременные женщины, находящиеся под наблюдением врача в период б</w:t>
      </w:r>
      <w:r>
        <w:t>е</w:t>
      </w:r>
      <w:r>
        <w:t>ременности и в послеродовой период и получающие медицинскую помощь в связи с беременностью, освобождаются от платы за лечение, иными словами, их медицинское обслуживание производится бесплатно.</w:t>
      </w:r>
    </w:p>
    <w:p w:rsidR="00000000" w:rsidRDefault="00000000">
      <w:pPr>
        <w:pStyle w:val="SingleTxt"/>
      </w:pPr>
      <w:r>
        <w:t>233.</w:t>
      </w:r>
      <w:r>
        <w:tab/>
        <w:t>В соответствии с постановлением кабинета министров от 18 марта 1997 года «О скидках при покупке медицинских принадлежностей при амбул</w:t>
      </w:r>
      <w:r>
        <w:t>а</w:t>
      </w:r>
      <w:r>
        <w:t>торном лечении в 1997 году» женщины, имеющие медицинские противопок</w:t>
      </w:r>
      <w:r>
        <w:t>а</w:t>
      </w:r>
      <w:r>
        <w:t>зания против беременности, получают скидки при покупке пероральных и м</w:t>
      </w:r>
      <w:r>
        <w:t>е</w:t>
      </w:r>
      <w:r>
        <w:t>ханич</w:t>
      </w:r>
      <w:r>
        <w:t>е</w:t>
      </w:r>
      <w:r>
        <w:t>ских противозачаточных средств.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получение медицинской помощи во время беременности и в послер</w:t>
      </w:r>
      <w:r>
        <w:t>о</w:t>
      </w:r>
      <w:r>
        <w:t>довой период</w:t>
      </w:r>
    </w:p>
    <w:p w:rsidR="00000000" w:rsidRDefault="00000000">
      <w:pPr>
        <w:pStyle w:val="SingleTxt"/>
        <w:spacing w:after="0" w:line="120" w:lineRule="exact"/>
        <w:rPr>
          <w:sz w:val="10"/>
        </w:rPr>
      </w:pPr>
    </w:p>
    <w:p w:rsidR="00000000" w:rsidRDefault="00000000">
      <w:pPr>
        <w:pStyle w:val="SingleTxt"/>
      </w:pPr>
      <w:r>
        <w:t>234.</w:t>
      </w:r>
      <w:r>
        <w:tab/>
        <w:t>Доступ к медицинской помощи во время беременности и в послеродовой период предусматривается Законом о медицинском обслуживании, постановл</w:t>
      </w:r>
      <w:r>
        <w:t>е</w:t>
      </w:r>
      <w:r>
        <w:t>нием кабинета министров «О финансировании охраны здоровья» от 12 января 1999 года, распоряжением No 324 министерства благосостояния (от 20 ноября 1995 года) «О рентгеноскопической диагностике беременных женщин и нов</w:t>
      </w:r>
      <w:r>
        <w:t>о</w:t>
      </w:r>
      <w:r>
        <w:t>рожденных».</w:t>
      </w:r>
    </w:p>
    <w:p w:rsidR="00000000" w:rsidRDefault="00000000">
      <w:pPr>
        <w:pStyle w:val="SingleTxt"/>
      </w:pPr>
      <w:r>
        <w:t>235.</w:t>
      </w:r>
      <w:r>
        <w:tab/>
        <w:t>Помимо осуществления национальной программы дородовой помощи женщинам Родильный дом города Риги предоставляет следующие услуги: а</w:t>
      </w:r>
      <w:r>
        <w:t>у</w:t>
      </w:r>
      <w:r>
        <w:t>скультация биения сердца зародыша, начиная с десятой недели беременности; проведение и расшифровка кардиотахограммы зародыша, начиная с 34 недели беременности (в случае медицинских показаний); медицинский уход за бер</w:t>
      </w:r>
      <w:r>
        <w:t>е</w:t>
      </w:r>
      <w:r>
        <w:t>менными женщинами. Этот роддом предоставляет также консультации тер</w:t>
      </w:r>
      <w:r>
        <w:t>а</w:t>
      </w:r>
      <w:r>
        <w:t>певта-кардиолога, эндокринолога, во время беременности проводятся регуля</w:t>
      </w:r>
      <w:r>
        <w:t>р</w:t>
      </w:r>
      <w:r>
        <w:t>ные дородовые занятия по вопросам протекания беременности, физиологич</w:t>
      </w:r>
      <w:r>
        <w:t>е</w:t>
      </w:r>
      <w:r>
        <w:t>ских изменений, происходящих в организме беременной женщины, и развития ребенка по кварталам в течение беременности. В течение периода беременн</w:t>
      </w:r>
      <w:r>
        <w:t>о</w:t>
      </w:r>
      <w:r>
        <w:t>сти женщины проходят регулярный осмотр (дородовой медицинский уход), существуют также системы медицинского обслуживания в перинатальный п</w:t>
      </w:r>
      <w:r>
        <w:t>е</w:t>
      </w:r>
      <w:r>
        <w:t>риод.</w:t>
      </w:r>
    </w:p>
    <w:p w:rsidR="00000000" w:rsidRDefault="00000000">
      <w:pPr>
        <w:pStyle w:val="SingleTxt"/>
      </w:pPr>
      <w:r>
        <w:t>236.</w:t>
      </w:r>
      <w:r>
        <w:tab/>
        <w:t>С 2000 года число случаев искусственных абортов на 1000 живорождений среди женщин в возрасте от 15 до 44 лет продолжало снижаться. Уже второй год подряд число искусственных абортов на 100 родов составляет менее 100, а именно 85 (в 1999 году — 93). Наблюдается также сокращение абсолютного количества искусственных абортов, в результате чего рождается больше детей. В 2000 году количество родов возросло на 4,5 процента. Количество случаев пр</w:t>
      </w:r>
      <w:r>
        <w:t>е</w:t>
      </w:r>
      <w:r>
        <w:t>кращения беременности снизилось на 4,4 процента.</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Количество случаев прекращения беременности в Латвии</w:t>
      </w:r>
    </w:p>
    <w:p w:rsidR="00000000" w:rsidRDefault="00000000">
      <w:pPr>
        <w:pStyle w:val="SingleTxt"/>
        <w:spacing w:after="0" w:line="120" w:lineRule="exact"/>
        <w:rPr>
          <w:sz w:val="10"/>
        </w:rPr>
      </w:pPr>
    </w:p>
    <w:tbl>
      <w:tblPr>
        <w:tblW w:w="0" w:type="auto"/>
        <w:tblInd w:w="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6"/>
        <w:gridCol w:w="2295"/>
        <w:gridCol w:w="3428"/>
      </w:tblGrid>
      <w:tr w:rsidR="00000000">
        <w:tblPrEx>
          <w:tblCellMar>
            <w:top w:w="0" w:type="dxa"/>
            <w:bottom w:w="0" w:type="dxa"/>
          </w:tblCellMar>
        </w:tblPrEx>
        <w:tc>
          <w:tcPr>
            <w:tcW w:w="1386" w:type="dxa"/>
            <w:vAlign w:val="bottom"/>
          </w:tcPr>
          <w:p w:rsidR="00000000" w:rsidRDefault="00000000">
            <w:pPr>
              <w:pStyle w:val="DualTxt"/>
              <w:jc w:val="left"/>
              <w:rPr>
                <w:sz w:val="16"/>
              </w:rPr>
            </w:pPr>
            <w:r>
              <w:rPr>
                <w:sz w:val="16"/>
              </w:rPr>
              <w:t>Год</w:t>
            </w:r>
          </w:p>
        </w:tc>
        <w:tc>
          <w:tcPr>
            <w:tcW w:w="2295" w:type="dxa"/>
            <w:vAlign w:val="bottom"/>
          </w:tcPr>
          <w:p w:rsidR="00000000" w:rsidRDefault="00000000">
            <w:pPr>
              <w:pStyle w:val="DualTxt"/>
              <w:jc w:val="left"/>
              <w:rPr>
                <w:sz w:val="16"/>
              </w:rPr>
            </w:pPr>
            <w:r>
              <w:rPr>
                <w:sz w:val="16"/>
              </w:rPr>
              <w:t>Всего</w:t>
            </w:r>
          </w:p>
        </w:tc>
        <w:tc>
          <w:tcPr>
            <w:tcW w:w="3428" w:type="dxa"/>
            <w:vAlign w:val="bottom"/>
          </w:tcPr>
          <w:p w:rsidR="00000000" w:rsidRDefault="00000000">
            <w:pPr>
              <w:pStyle w:val="DualTxt"/>
              <w:jc w:val="left"/>
              <w:rPr>
                <w:sz w:val="16"/>
              </w:rPr>
            </w:pPr>
            <w:r>
              <w:rPr>
                <w:sz w:val="16"/>
              </w:rPr>
              <w:t>В том числе; искусственное прекращение бер</w:t>
            </w:r>
            <w:r>
              <w:rPr>
                <w:sz w:val="16"/>
              </w:rPr>
              <w:t>е</w:t>
            </w:r>
            <w:r>
              <w:rPr>
                <w:sz w:val="16"/>
              </w:rPr>
              <w:t>менности</w:t>
            </w:r>
          </w:p>
        </w:tc>
      </w:tr>
      <w:tr w:rsidR="00000000">
        <w:tblPrEx>
          <w:tblCellMar>
            <w:top w:w="0" w:type="dxa"/>
            <w:bottom w:w="0" w:type="dxa"/>
          </w:tblCellMar>
        </w:tblPrEx>
        <w:tc>
          <w:tcPr>
            <w:tcW w:w="1386" w:type="dxa"/>
          </w:tcPr>
          <w:p w:rsidR="00000000" w:rsidRDefault="00000000">
            <w:pPr>
              <w:pStyle w:val="DualTxt"/>
            </w:pPr>
            <w:r>
              <w:t>1991</w:t>
            </w:r>
          </w:p>
        </w:tc>
        <w:tc>
          <w:tcPr>
            <w:tcW w:w="2295" w:type="dxa"/>
          </w:tcPr>
          <w:p w:rsidR="00000000" w:rsidRDefault="00000000">
            <w:pPr>
              <w:pStyle w:val="DualTxt"/>
            </w:pPr>
            <w:r>
              <w:t>44886</w:t>
            </w:r>
          </w:p>
        </w:tc>
        <w:tc>
          <w:tcPr>
            <w:tcW w:w="3428" w:type="dxa"/>
          </w:tcPr>
          <w:p w:rsidR="00000000" w:rsidRDefault="00000000">
            <w:pPr>
              <w:pStyle w:val="DualTxt"/>
            </w:pPr>
            <w:r>
              <w:t>38837</w:t>
            </w:r>
          </w:p>
        </w:tc>
      </w:tr>
      <w:tr w:rsidR="00000000">
        <w:tblPrEx>
          <w:tblCellMar>
            <w:top w:w="0" w:type="dxa"/>
            <w:bottom w:w="0" w:type="dxa"/>
          </w:tblCellMar>
        </w:tblPrEx>
        <w:tc>
          <w:tcPr>
            <w:tcW w:w="1386" w:type="dxa"/>
          </w:tcPr>
          <w:p w:rsidR="00000000" w:rsidRDefault="00000000">
            <w:pPr>
              <w:pStyle w:val="DualTxt"/>
            </w:pPr>
            <w:r>
              <w:t>1992</w:t>
            </w:r>
          </w:p>
        </w:tc>
        <w:tc>
          <w:tcPr>
            <w:tcW w:w="2295" w:type="dxa"/>
          </w:tcPr>
          <w:p w:rsidR="00000000" w:rsidRDefault="00000000">
            <w:pPr>
              <w:pStyle w:val="DualTxt"/>
            </w:pPr>
            <w:r>
              <w:t>40494</w:t>
            </w:r>
          </w:p>
        </w:tc>
        <w:tc>
          <w:tcPr>
            <w:tcW w:w="3428" w:type="dxa"/>
          </w:tcPr>
          <w:p w:rsidR="00000000" w:rsidRDefault="00000000">
            <w:pPr>
              <w:pStyle w:val="DualTxt"/>
            </w:pPr>
            <w:r>
              <w:t>34325</w:t>
            </w:r>
          </w:p>
        </w:tc>
      </w:tr>
      <w:tr w:rsidR="00000000">
        <w:tblPrEx>
          <w:tblCellMar>
            <w:top w:w="0" w:type="dxa"/>
            <w:bottom w:w="0" w:type="dxa"/>
          </w:tblCellMar>
        </w:tblPrEx>
        <w:tc>
          <w:tcPr>
            <w:tcW w:w="1386" w:type="dxa"/>
          </w:tcPr>
          <w:p w:rsidR="00000000" w:rsidRDefault="00000000">
            <w:pPr>
              <w:pStyle w:val="DualTxt"/>
            </w:pPr>
            <w:r>
              <w:t>1993</w:t>
            </w:r>
          </w:p>
        </w:tc>
        <w:tc>
          <w:tcPr>
            <w:tcW w:w="2295" w:type="dxa"/>
          </w:tcPr>
          <w:p w:rsidR="00000000" w:rsidRDefault="00000000">
            <w:pPr>
              <w:pStyle w:val="DualTxt"/>
            </w:pPr>
            <w:r>
              <w:t>37256</w:t>
            </w:r>
          </w:p>
        </w:tc>
        <w:tc>
          <w:tcPr>
            <w:tcW w:w="3428" w:type="dxa"/>
          </w:tcPr>
          <w:p w:rsidR="00000000" w:rsidRDefault="00000000">
            <w:pPr>
              <w:pStyle w:val="DualTxt"/>
            </w:pPr>
            <w:r>
              <w:t>31348</w:t>
            </w:r>
          </w:p>
        </w:tc>
      </w:tr>
      <w:tr w:rsidR="00000000">
        <w:tblPrEx>
          <w:tblCellMar>
            <w:top w:w="0" w:type="dxa"/>
            <w:bottom w:w="0" w:type="dxa"/>
          </w:tblCellMar>
        </w:tblPrEx>
        <w:tc>
          <w:tcPr>
            <w:tcW w:w="1386" w:type="dxa"/>
          </w:tcPr>
          <w:p w:rsidR="00000000" w:rsidRDefault="00000000">
            <w:pPr>
              <w:pStyle w:val="DualTxt"/>
            </w:pPr>
            <w:r>
              <w:t>1994</w:t>
            </w:r>
          </w:p>
        </w:tc>
        <w:tc>
          <w:tcPr>
            <w:tcW w:w="2295" w:type="dxa"/>
          </w:tcPr>
          <w:p w:rsidR="00000000" w:rsidRDefault="00000000">
            <w:pPr>
              <w:pStyle w:val="DualTxt"/>
            </w:pPr>
            <w:r>
              <w:t>32535</w:t>
            </w:r>
          </w:p>
        </w:tc>
        <w:tc>
          <w:tcPr>
            <w:tcW w:w="3428" w:type="dxa"/>
          </w:tcPr>
          <w:p w:rsidR="00000000" w:rsidRDefault="00000000">
            <w:pPr>
              <w:pStyle w:val="DualTxt"/>
            </w:pPr>
            <w:r>
              <w:t>26795</w:t>
            </w:r>
          </w:p>
        </w:tc>
      </w:tr>
      <w:tr w:rsidR="00000000">
        <w:tblPrEx>
          <w:tblCellMar>
            <w:top w:w="0" w:type="dxa"/>
            <w:bottom w:w="0" w:type="dxa"/>
          </w:tblCellMar>
        </w:tblPrEx>
        <w:tc>
          <w:tcPr>
            <w:tcW w:w="1386" w:type="dxa"/>
          </w:tcPr>
          <w:p w:rsidR="00000000" w:rsidRDefault="00000000">
            <w:pPr>
              <w:pStyle w:val="DualTxt"/>
            </w:pPr>
            <w:r>
              <w:t>1995</w:t>
            </w:r>
          </w:p>
        </w:tc>
        <w:tc>
          <w:tcPr>
            <w:tcW w:w="2295" w:type="dxa"/>
          </w:tcPr>
          <w:p w:rsidR="00000000" w:rsidRDefault="00000000">
            <w:pPr>
              <w:pStyle w:val="DualTxt"/>
            </w:pPr>
            <w:r>
              <w:t>31324</w:t>
            </w:r>
          </w:p>
        </w:tc>
        <w:tc>
          <w:tcPr>
            <w:tcW w:w="3428" w:type="dxa"/>
          </w:tcPr>
          <w:p w:rsidR="00000000" w:rsidRDefault="00000000">
            <w:pPr>
              <w:pStyle w:val="DualTxt"/>
            </w:pPr>
            <w:r>
              <w:t>25933</w:t>
            </w:r>
          </w:p>
        </w:tc>
      </w:tr>
      <w:tr w:rsidR="00000000">
        <w:tblPrEx>
          <w:tblCellMar>
            <w:top w:w="0" w:type="dxa"/>
            <w:bottom w:w="0" w:type="dxa"/>
          </w:tblCellMar>
        </w:tblPrEx>
        <w:tc>
          <w:tcPr>
            <w:tcW w:w="1386" w:type="dxa"/>
          </w:tcPr>
          <w:p w:rsidR="00000000" w:rsidRDefault="00000000">
            <w:pPr>
              <w:pStyle w:val="DualTxt"/>
            </w:pPr>
            <w:r>
              <w:t>1996</w:t>
            </w:r>
          </w:p>
        </w:tc>
        <w:tc>
          <w:tcPr>
            <w:tcW w:w="2295" w:type="dxa"/>
          </w:tcPr>
          <w:p w:rsidR="00000000" w:rsidRDefault="00000000">
            <w:pPr>
              <w:pStyle w:val="DualTxt"/>
            </w:pPr>
            <w:r>
              <w:t>29653</w:t>
            </w:r>
          </w:p>
        </w:tc>
        <w:tc>
          <w:tcPr>
            <w:tcW w:w="3428" w:type="dxa"/>
          </w:tcPr>
          <w:p w:rsidR="00000000" w:rsidRDefault="00000000">
            <w:pPr>
              <w:pStyle w:val="DualTxt"/>
            </w:pPr>
            <w:r>
              <w:t>24227</w:t>
            </w:r>
          </w:p>
        </w:tc>
      </w:tr>
      <w:tr w:rsidR="00000000">
        <w:tblPrEx>
          <w:tblCellMar>
            <w:top w:w="0" w:type="dxa"/>
            <w:bottom w:w="0" w:type="dxa"/>
          </w:tblCellMar>
        </w:tblPrEx>
        <w:tc>
          <w:tcPr>
            <w:tcW w:w="1386" w:type="dxa"/>
          </w:tcPr>
          <w:p w:rsidR="00000000" w:rsidRDefault="00000000">
            <w:pPr>
              <w:pStyle w:val="DualTxt"/>
            </w:pPr>
            <w:r>
              <w:t>1997</w:t>
            </w:r>
          </w:p>
        </w:tc>
        <w:tc>
          <w:tcPr>
            <w:tcW w:w="2295" w:type="dxa"/>
          </w:tcPr>
          <w:p w:rsidR="00000000" w:rsidRDefault="00000000">
            <w:pPr>
              <w:pStyle w:val="DualTxt"/>
            </w:pPr>
            <w:r>
              <w:t>27206</w:t>
            </w:r>
          </w:p>
        </w:tc>
        <w:tc>
          <w:tcPr>
            <w:tcW w:w="3428" w:type="dxa"/>
          </w:tcPr>
          <w:p w:rsidR="00000000" w:rsidRDefault="00000000">
            <w:pPr>
              <w:pStyle w:val="DualTxt"/>
            </w:pPr>
            <w:r>
              <w:t>21768</w:t>
            </w:r>
          </w:p>
        </w:tc>
      </w:tr>
      <w:tr w:rsidR="00000000">
        <w:tblPrEx>
          <w:tblCellMar>
            <w:top w:w="0" w:type="dxa"/>
            <w:bottom w:w="0" w:type="dxa"/>
          </w:tblCellMar>
        </w:tblPrEx>
        <w:tc>
          <w:tcPr>
            <w:tcW w:w="1386" w:type="dxa"/>
          </w:tcPr>
          <w:p w:rsidR="00000000" w:rsidRDefault="00000000">
            <w:pPr>
              <w:pStyle w:val="DualTxt"/>
            </w:pPr>
            <w:r>
              <w:t>1998</w:t>
            </w:r>
          </w:p>
        </w:tc>
        <w:tc>
          <w:tcPr>
            <w:tcW w:w="2295" w:type="dxa"/>
          </w:tcPr>
          <w:p w:rsidR="00000000" w:rsidRDefault="00000000">
            <w:pPr>
              <w:pStyle w:val="DualTxt"/>
            </w:pPr>
            <w:r>
              <w:t>25076</w:t>
            </w:r>
          </w:p>
        </w:tc>
        <w:tc>
          <w:tcPr>
            <w:tcW w:w="3428" w:type="dxa"/>
          </w:tcPr>
          <w:p w:rsidR="00000000" w:rsidRDefault="00000000">
            <w:pPr>
              <w:pStyle w:val="DualTxt"/>
            </w:pPr>
            <w:r>
              <w:t>19964</w:t>
            </w:r>
          </w:p>
        </w:tc>
      </w:tr>
      <w:tr w:rsidR="00000000">
        <w:tblPrEx>
          <w:tblCellMar>
            <w:top w:w="0" w:type="dxa"/>
            <w:bottom w:w="0" w:type="dxa"/>
          </w:tblCellMar>
        </w:tblPrEx>
        <w:tc>
          <w:tcPr>
            <w:tcW w:w="1386" w:type="dxa"/>
          </w:tcPr>
          <w:p w:rsidR="00000000" w:rsidRDefault="00000000">
            <w:pPr>
              <w:pStyle w:val="DualTxt"/>
            </w:pPr>
            <w:r>
              <w:t>1999</w:t>
            </w:r>
          </w:p>
        </w:tc>
        <w:tc>
          <w:tcPr>
            <w:tcW w:w="2295" w:type="dxa"/>
          </w:tcPr>
          <w:p w:rsidR="00000000" w:rsidRDefault="00000000">
            <w:pPr>
              <w:pStyle w:val="DualTxt"/>
            </w:pPr>
            <w:r>
              <w:t>22974</w:t>
            </w:r>
          </w:p>
        </w:tc>
        <w:tc>
          <w:tcPr>
            <w:tcW w:w="3428" w:type="dxa"/>
          </w:tcPr>
          <w:p w:rsidR="00000000" w:rsidRDefault="00000000">
            <w:pPr>
              <w:pStyle w:val="DualTxt"/>
            </w:pPr>
            <w:r>
              <w:t>18031</w:t>
            </w:r>
          </w:p>
        </w:tc>
      </w:tr>
      <w:tr w:rsidR="00000000">
        <w:tblPrEx>
          <w:tblCellMar>
            <w:top w:w="0" w:type="dxa"/>
            <w:bottom w:w="0" w:type="dxa"/>
          </w:tblCellMar>
        </w:tblPrEx>
        <w:tc>
          <w:tcPr>
            <w:tcW w:w="1386" w:type="dxa"/>
          </w:tcPr>
          <w:p w:rsidR="00000000" w:rsidRDefault="00000000">
            <w:pPr>
              <w:pStyle w:val="DualTxt"/>
            </w:pPr>
            <w:r>
              <w:t>2000</w:t>
            </w:r>
          </w:p>
        </w:tc>
        <w:tc>
          <w:tcPr>
            <w:tcW w:w="2295" w:type="dxa"/>
          </w:tcPr>
          <w:p w:rsidR="00000000" w:rsidRDefault="00000000">
            <w:pPr>
              <w:pStyle w:val="DualTxt"/>
            </w:pPr>
            <w:r>
              <w:t>22201</w:t>
            </w:r>
          </w:p>
        </w:tc>
        <w:tc>
          <w:tcPr>
            <w:tcW w:w="3428" w:type="dxa"/>
          </w:tcPr>
          <w:p w:rsidR="00000000" w:rsidRDefault="00000000">
            <w:pPr>
              <w:pStyle w:val="DualTxt"/>
            </w:pPr>
            <w:r>
              <w:t>17240</w:t>
            </w:r>
          </w:p>
        </w:tc>
      </w:tr>
    </w:tbl>
    <w:p w:rsidR="00000000" w:rsidRDefault="00000000">
      <w:pPr>
        <w:pStyle w:val="SingleTxt"/>
      </w:pPr>
    </w:p>
    <w:p w:rsidR="00000000" w:rsidRDefault="00000000">
      <w:pPr>
        <w:pStyle w:val="SingleTxt"/>
      </w:pPr>
      <w:r>
        <w:t>237.</w:t>
      </w:r>
      <w:r>
        <w:tab/>
        <w:t>Еще одним позитивным изменением является сокращение доли рожа</w:t>
      </w:r>
      <w:r>
        <w:t>ю</w:t>
      </w:r>
      <w:r>
        <w:t>щих женщин в возрасте до 14 лет в общем количестве рожающих женщин и приходящаяся на них доля в общем числе деторождений — только 0,005 пр</w:t>
      </w:r>
      <w:r>
        <w:t>о</w:t>
      </w:r>
      <w:r>
        <w:t>цента (в 1998 год у — 0, 04 процента, в 1999 году — 0, 02 процента). Наблюд</w:t>
      </w:r>
      <w:r>
        <w:t>а</w:t>
      </w:r>
      <w:r>
        <w:t>ется сбалансированный рост числа рожающих женщин в возрасте свыше 35 лет — 9,8 процента от общего количества родов (в 1998 году — 8,5 проце</w:t>
      </w:r>
      <w:r>
        <w:t>н</w:t>
      </w:r>
      <w:r>
        <w:t>та, в 1999 году — 9,0 процента). Доля рожающих женщин в возрасте 15-17 лет колеблется: в 2000 году она составляла 2,7 процента от всех родов, в 1999 г</w:t>
      </w:r>
      <w:r>
        <w:t>о</w:t>
      </w:r>
      <w:r>
        <w:t>ду — 2,3 проце</w:t>
      </w:r>
      <w:r>
        <w:t>н</w:t>
      </w:r>
      <w:r>
        <w:t>та (в 1998 году — 2,8 процента).</w:t>
      </w:r>
    </w:p>
    <w:p w:rsidR="00000000" w:rsidRDefault="00000000">
      <w:pPr>
        <w:pStyle w:val="SingleTxt"/>
      </w:pPr>
      <w:r>
        <w:t>238.</w:t>
      </w:r>
      <w:r>
        <w:tab/>
        <w:t>В 1995 году началась и в 2000 году сохранялась тенденция к сокращению показателей перинатальной смертности благодаря увеличению числа живоро</w:t>
      </w:r>
      <w:r>
        <w:t>ж</w:t>
      </w:r>
      <w:r>
        <w:t>дений и сокращению числа мертворождений, а также сокращению числа нов</w:t>
      </w:r>
      <w:r>
        <w:t>о</w:t>
      </w:r>
      <w:r>
        <w:t>рожденных, которые умерли, когда им было от 0 до 6 дней.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239.</w:t>
      </w:r>
      <w:r>
        <w:tab/>
        <w:t>Условия, которые позволяют людям участвовать в различных областях экономической жизни общества, в Латвии являются общими по своему хара</w:t>
      </w:r>
      <w:r>
        <w:t>к</w:t>
      </w:r>
      <w:r>
        <w:t>теру и не предполагают наличия какой-либо дискриминации. Возможности для участия женщин в этих областях жизни общества определяются главным обр</w:t>
      </w:r>
      <w:r>
        <w:t>а</w:t>
      </w:r>
      <w:r>
        <w:t>зом степенью их социального равенства. Основные ограничения в реализации этих возможностей связаны с тем, что уровень экономической активности ср</w:t>
      </w:r>
      <w:r>
        <w:t>е</w:t>
      </w:r>
      <w:r>
        <w:t>ди женщин гораздо ниже, чем среди мужчин (см. таблицу, отражающую долю экономически активных жителей в общей численности населения) и что же</w:t>
      </w:r>
      <w:r>
        <w:t>н</w:t>
      </w:r>
      <w:r>
        <w:t>щины традиционно выполняют большинство семейных обязанностей.</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Доля экономически активных жителей в общей численности населения</w:t>
      </w:r>
    </w:p>
    <w:p w:rsidR="00000000" w:rsidRDefault="00000000">
      <w:pPr>
        <w:pStyle w:val="SingleTxt"/>
        <w:rPr>
          <w:b/>
        </w:rPr>
      </w:pPr>
      <w:r>
        <w:rPr>
          <w:b/>
        </w:rPr>
        <w:t>(лица в возрасте 15 лет и старше, в процентах)</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1620"/>
        <w:gridCol w:w="2070"/>
        <w:gridCol w:w="1754"/>
      </w:tblGrid>
      <w:tr w:rsidR="00000000">
        <w:tblPrEx>
          <w:tblCellMar>
            <w:top w:w="0" w:type="dxa"/>
            <w:bottom w:w="0" w:type="dxa"/>
          </w:tblCellMar>
        </w:tblPrEx>
        <w:tc>
          <w:tcPr>
            <w:tcW w:w="1710" w:type="dxa"/>
          </w:tcPr>
          <w:p w:rsidR="00000000" w:rsidRDefault="00000000">
            <w:pPr>
              <w:pStyle w:val="DualTxt"/>
              <w:rPr>
                <w:sz w:val="16"/>
              </w:rPr>
            </w:pPr>
          </w:p>
        </w:tc>
        <w:tc>
          <w:tcPr>
            <w:tcW w:w="1620" w:type="dxa"/>
          </w:tcPr>
          <w:p w:rsidR="00000000" w:rsidRDefault="00000000">
            <w:pPr>
              <w:pStyle w:val="DualTxt"/>
              <w:rPr>
                <w:sz w:val="16"/>
              </w:rPr>
            </w:pPr>
            <w:r>
              <w:rPr>
                <w:sz w:val="16"/>
              </w:rPr>
              <w:t>Итого</w:t>
            </w:r>
          </w:p>
        </w:tc>
        <w:tc>
          <w:tcPr>
            <w:tcW w:w="2070" w:type="dxa"/>
          </w:tcPr>
          <w:p w:rsidR="00000000" w:rsidRDefault="00000000">
            <w:pPr>
              <w:pStyle w:val="DualTxt"/>
              <w:rPr>
                <w:sz w:val="16"/>
              </w:rPr>
            </w:pPr>
            <w:r>
              <w:rPr>
                <w:sz w:val="16"/>
              </w:rPr>
              <w:t>Мужчины</w:t>
            </w:r>
          </w:p>
        </w:tc>
        <w:tc>
          <w:tcPr>
            <w:tcW w:w="1754" w:type="dxa"/>
          </w:tcPr>
          <w:p w:rsidR="00000000" w:rsidRDefault="00000000">
            <w:pPr>
              <w:pStyle w:val="DualTxt"/>
              <w:rPr>
                <w:sz w:val="16"/>
              </w:rPr>
            </w:pPr>
            <w:r>
              <w:rPr>
                <w:sz w:val="16"/>
              </w:rPr>
              <w:t>Женщины</w:t>
            </w:r>
          </w:p>
        </w:tc>
      </w:tr>
      <w:tr w:rsidR="00000000">
        <w:tblPrEx>
          <w:tblCellMar>
            <w:top w:w="0" w:type="dxa"/>
            <w:bottom w:w="0" w:type="dxa"/>
          </w:tblCellMar>
        </w:tblPrEx>
        <w:tc>
          <w:tcPr>
            <w:tcW w:w="1710" w:type="dxa"/>
          </w:tcPr>
          <w:p w:rsidR="00000000" w:rsidRDefault="00000000">
            <w:pPr>
              <w:pStyle w:val="DualTxt"/>
            </w:pPr>
            <w:r>
              <w:t>1996 г., IX</w:t>
            </w:r>
          </w:p>
        </w:tc>
        <w:tc>
          <w:tcPr>
            <w:tcW w:w="1620" w:type="dxa"/>
          </w:tcPr>
          <w:p w:rsidR="00000000" w:rsidRDefault="00000000">
            <w:pPr>
              <w:pStyle w:val="DualTxt"/>
            </w:pPr>
            <w:r>
              <w:t>59,8</w:t>
            </w:r>
          </w:p>
        </w:tc>
        <w:tc>
          <w:tcPr>
            <w:tcW w:w="2070" w:type="dxa"/>
          </w:tcPr>
          <w:p w:rsidR="00000000" w:rsidRDefault="00000000">
            <w:pPr>
              <w:pStyle w:val="DualTxt"/>
            </w:pPr>
            <w:r>
              <w:t>69,8</w:t>
            </w:r>
          </w:p>
        </w:tc>
        <w:tc>
          <w:tcPr>
            <w:tcW w:w="1754" w:type="dxa"/>
          </w:tcPr>
          <w:p w:rsidR="00000000" w:rsidRDefault="00000000">
            <w:pPr>
              <w:pStyle w:val="DualTxt"/>
            </w:pPr>
            <w:r>
              <w:t>51,5</w:t>
            </w:r>
          </w:p>
        </w:tc>
      </w:tr>
      <w:tr w:rsidR="00000000">
        <w:tblPrEx>
          <w:tblCellMar>
            <w:top w:w="0" w:type="dxa"/>
            <w:bottom w:w="0" w:type="dxa"/>
          </w:tblCellMar>
        </w:tblPrEx>
        <w:tc>
          <w:tcPr>
            <w:tcW w:w="1710" w:type="dxa"/>
          </w:tcPr>
          <w:p w:rsidR="00000000" w:rsidRDefault="00000000">
            <w:pPr>
              <w:pStyle w:val="DualTxt"/>
            </w:pPr>
            <w:r>
              <w:t>1997 г., IX</w:t>
            </w:r>
          </w:p>
        </w:tc>
        <w:tc>
          <w:tcPr>
            <w:tcW w:w="1620" w:type="dxa"/>
          </w:tcPr>
          <w:p w:rsidR="00000000" w:rsidRDefault="00000000">
            <w:pPr>
              <w:pStyle w:val="DualTxt"/>
            </w:pPr>
            <w:r>
              <w:t>59,7</w:t>
            </w:r>
          </w:p>
        </w:tc>
        <w:tc>
          <w:tcPr>
            <w:tcW w:w="2070" w:type="dxa"/>
          </w:tcPr>
          <w:p w:rsidR="00000000" w:rsidRDefault="00000000">
            <w:pPr>
              <w:pStyle w:val="DualTxt"/>
            </w:pPr>
            <w:r>
              <w:t>68,6</w:t>
            </w:r>
          </w:p>
        </w:tc>
        <w:tc>
          <w:tcPr>
            <w:tcW w:w="1754" w:type="dxa"/>
          </w:tcPr>
          <w:p w:rsidR="00000000" w:rsidRDefault="00000000">
            <w:pPr>
              <w:pStyle w:val="DualTxt"/>
            </w:pPr>
            <w:r>
              <w:t>52,3</w:t>
            </w:r>
          </w:p>
        </w:tc>
      </w:tr>
      <w:tr w:rsidR="00000000">
        <w:tblPrEx>
          <w:tblCellMar>
            <w:top w:w="0" w:type="dxa"/>
            <w:bottom w:w="0" w:type="dxa"/>
          </w:tblCellMar>
        </w:tblPrEx>
        <w:tc>
          <w:tcPr>
            <w:tcW w:w="1710" w:type="dxa"/>
          </w:tcPr>
          <w:p w:rsidR="00000000" w:rsidRDefault="00000000">
            <w:pPr>
              <w:pStyle w:val="DualTxt"/>
            </w:pPr>
            <w:r>
              <w:t>1998 г., IX</w:t>
            </w:r>
          </w:p>
        </w:tc>
        <w:tc>
          <w:tcPr>
            <w:tcW w:w="1620" w:type="dxa"/>
          </w:tcPr>
          <w:p w:rsidR="00000000" w:rsidRDefault="00000000">
            <w:pPr>
              <w:pStyle w:val="DualTxt"/>
            </w:pPr>
            <w:r>
              <w:t>58,8</w:t>
            </w:r>
          </w:p>
        </w:tc>
        <w:tc>
          <w:tcPr>
            <w:tcW w:w="2070" w:type="dxa"/>
          </w:tcPr>
          <w:p w:rsidR="00000000" w:rsidRDefault="00000000">
            <w:pPr>
              <w:pStyle w:val="DualTxt"/>
            </w:pPr>
            <w:r>
              <w:t>68,8</w:t>
            </w:r>
          </w:p>
        </w:tc>
        <w:tc>
          <w:tcPr>
            <w:tcW w:w="1754" w:type="dxa"/>
          </w:tcPr>
          <w:p w:rsidR="00000000" w:rsidRDefault="00000000">
            <w:pPr>
              <w:pStyle w:val="DualTxt"/>
            </w:pPr>
            <w:r>
              <w:t>50,7</w:t>
            </w:r>
          </w:p>
        </w:tc>
      </w:tr>
      <w:tr w:rsidR="00000000">
        <w:tblPrEx>
          <w:tblCellMar>
            <w:top w:w="0" w:type="dxa"/>
            <w:bottom w:w="0" w:type="dxa"/>
          </w:tblCellMar>
        </w:tblPrEx>
        <w:tc>
          <w:tcPr>
            <w:tcW w:w="1710" w:type="dxa"/>
          </w:tcPr>
          <w:p w:rsidR="00000000" w:rsidRDefault="00000000">
            <w:pPr>
              <w:pStyle w:val="DualTxt"/>
            </w:pPr>
            <w:r>
              <w:t>1999 г., IX</w:t>
            </w:r>
          </w:p>
        </w:tc>
        <w:tc>
          <w:tcPr>
            <w:tcW w:w="1620" w:type="dxa"/>
          </w:tcPr>
          <w:p w:rsidR="00000000" w:rsidRDefault="00000000">
            <w:pPr>
              <w:pStyle w:val="DualTxt"/>
            </w:pPr>
            <w:r>
              <w:t>58,2</w:t>
            </w:r>
          </w:p>
        </w:tc>
        <w:tc>
          <w:tcPr>
            <w:tcW w:w="2070" w:type="dxa"/>
          </w:tcPr>
          <w:p w:rsidR="00000000" w:rsidRDefault="00000000">
            <w:pPr>
              <w:pStyle w:val="DualTxt"/>
            </w:pPr>
            <w:r>
              <w:t>67,8</w:t>
            </w:r>
          </w:p>
        </w:tc>
        <w:tc>
          <w:tcPr>
            <w:tcW w:w="1754" w:type="dxa"/>
          </w:tcPr>
          <w:p w:rsidR="00000000" w:rsidRDefault="00000000">
            <w:pPr>
              <w:pStyle w:val="DualTxt"/>
            </w:pPr>
            <w:r>
              <w:t>50,3</w:t>
            </w:r>
          </w:p>
        </w:tc>
      </w:tr>
      <w:tr w:rsidR="00000000">
        <w:tblPrEx>
          <w:tblCellMar>
            <w:top w:w="0" w:type="dxa"/>
            <w:bottom w:w="0" w:type="dxa"/>
          </w:tblCellMar>
        </w:tblPrEx>
        <w:tc>
          <w:tcPr>
            <w:tcW w:w="1710" w:type="dxa"/>
          </w:tcPr>
          <w:p w:rsidR="00000000" w:rsidRDefault="00000000">
            <w:pPr>
              <w:pStyle w:val="DualTxt"/>
            </w:pPr>
            <w:r>
              <w:t>2000 г., IX</w:t>
            </w:r>
          </w:p>
        </w:tc>
        <w:tc>
          <w:tcPr>
            <w:tcW w:w="1620" w:type="dxa"/>
          </w:tcPr>
          <w:p w:rsidR="00000000" w:rsidRDefault="00000000">
            <w:pPr>
              <w:pStyle w:val="DualTxt"/>
            </w:pPr>
            <w:r>
              <w:t>56,8</w:t>
            </w:r>
          </w:p>
        </w:tc>
        <w:tc>
          <w:tcPr>
            <w:tcW w:w="2070" w:type="dxa"/>
          </w:tcPr>
          <w:p w:rsidR="00000000" w:rsidRDefault="00000000">
            <w:pPr>
              <w:pStyle w:val="DualTxt"/>
            </w:pPr>
            <w:r>
              <w:t>64,7</w:t>
            </w:r>
          </w:p>
        </w:tc>
        <w:tc>
          <w:tcPr>
            <w:tcW w:w="1754" w:type="dxa"/>
          </w:tcPr>
          <w:p w:rsidR="00000000" w:rsidRDefault="00000000">
            <w:pPr>
              <w:pStyle w:val="DualTxt"/>
            </w:pPr>
            <w:r>
              <w:t>50,3</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Занятость (по состоянию на ноябрь каждого года)</w:t>
      </w:r>
    </w:p>
    <w:p w:rsidR="00000000" w:rsidRDefault="00000000">
      <w:pPr>
        <w:pStyle w:val="SingleTxt"/>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5"/>
        <w:gridCol w:w="1026"/>
        <w:gridCol w:w="963"/>
        <w:gridCol w:w="999"/>
        <w:gridCol w:w="936"/>
        <w:gridCol w:w="945"/>
        <w:gridCol w:w="891"/>
        <w:gridCol w:w="936"/>
        <w:gridCol w:w="918"/>
      </w:tblGrid>
      <w:tr w:rsidR="00000000">
        <w:tblPrEx>
          <w:tblCellMar>
            <w:top w:w="0" w:type="dxa"/>
            <w:bottom w:w="0" w:type="dxa"/>
          </w:tblCellMar>
        </w:tblPrEx>
        <w:trPr>
          <w:cantSplit/>
        </w:trPr>
        <w:tc>
          <w:tcPr>
            <w:tcW w:w="945" w:type="dxa"/>
            <w:vAlign w:val="bottom"/>
          </w:tcPr>
          <w:p w:rsidR="00000000" w:rsidRDefault="00000000">
            <w:pPr>
              <w:pStyle w:val="DualTxt"/>
              <w:jc w:val="left"/>
              <w:rPr>
                <w:sz w:val="14"/>
              </w:rPr>
            </w:pPr>
            <w:r>
              <w:rPr>
                <w:sz w:val="14"/>
              </w:rPr>
              <w:t>Год</w:t>
            </w:r>
          </w:p>
        </w:tc>
        <w:tc>
          <w:tcPr>
            <w:tcW w:w="1989" w:type="dxa"/>
            <w:gridSpan w:val="2"/>
            <w:vAlign w:val="bottom"/>
          </w:tcPr>
          <w:p w:rsidR="00000000" w:rsidRDefault="00000000">
            <w:pPr>
              <w:pStyle w:val="DualTxt"/>
              <w:jc w:val="left"/>
              <w:rPr>
                <w:sz w:val="14"/>
              </w:rPr>
            </w:pPr>
            <w:r>
              <w:rPr>
                <w:sz w:val="14"/>
              </w:rPr>
              <w:t>В возрасте 15 лет и старше</w:t>
            </w:r>
          </w:p>
        </w:tc>
        <w:tc>
          <w:tcPr>
            <w:tcW w:w="1935" w:type="dxa"/>
            <w:gridSpan w:val="2"/>
            <w:vAlign w:val="bottom"/>
          </w:tcPr>
          <w:p w:rsidR="00000000" w:rsidRDefault="00000000">
            <w:pPr>
              <w:pStyle w:val="DualTxt"/>
              <w:jc w:val="left"/>
              <w:rPr>
                <w:sz w:val="14"/>
              </w:rPr>
            </w:pPr>
            <w:r>
              <w:rPr>
                <w:sz w:val="14"/>
              </w:rPr>
              <w:t>Работающие</w:t>
            </w:r>
          </w:p>
        </w:tc>
        <w:tc>
          <w:tcPr>
            <w:tcW w:w="1836" w:type="dxa"/>
            <w:gridSpan w:val="2"/>
            <w:vAlign w:val="bottom"/>
          </w:tcPr>
          <w:p w:rsidR="00000000" w:rsidRDefault="00000000">
            <w:pPr>
              <w:pStyle w:val="DualTxt"/>
              <w:jc w:val="left"/>
              <w:rPr>
                <w:sz w:val="14"/>
              </w:rPr>
            </w:pPr>
            <w:r>
              <w:rPr>
                <w:sz w:val="14"/>
              </w:rPr>
              <w:t>Полный рабочий день</w:t>
            </w:r>
          </w:p>
        </w:tc>
        <w:tc>
          <w:tcPr>
            <w:tcW w:w="1854" w:type="dxa"/>
            <w:gridSpan w:val="2"/>
            <w:vAlign w:val="bottom"/>
          </w:tcPr>
          <w:p w:rsidR="00000000" w:rsidRDefault="00000000">
            <w:pPr>
              <w:pStyle w:val="DualTxt"/>
              <w:jc w:val="left"/>
              <w:rPr>
                <w:sz w:val="14"/>
              </w:rPr>
            </w:pPr>
            <w:r>
              <w:rPr>
                <w:sz w:val="14"/>
              </w:rPr>
              <w:t>Неполный рабочий день</w:t>
            </w:r>
          </w:p>
        </w:tc>
      </w:tr>
      <w:tr w:rsidR="00000000">
        <w:tblPrEx>
          <w:tblCellMar>
            <w:top w:w="0" w:type="dxa"/>
            <w:bottom w:w="0" w:type="dxa"/>
          </w:tblCellMar>
        </w:tblPrEx>
        <w:trPr>
          <w:cantSplit/>
        </w:trPr>
        <w:tc>
          <w:tcPr>
            <w:tcW w:w="945" w:type="dxa"/>
            <w:vAlign w:val="bottom"/>
          </w:tcPr>
          <w:p w:rsidR="00000000" w:rsidRDefault="00000000">
            <w:pPr>
              <w:pStyle w:val="DualTxt"/>
              <w:jc w:val="left"/>
              <w:rPr>
                <w:sz w:val="14"/>
              </w:rPr>
            </w:pPr>
          </w:p>
        </w:tc>
        <w:tc>
          <w:tcPr>
            <w:tcW w:w="1026" w:type="dxa"/>
            <w:vAlign w:val="bottom"/>
          </w:tcPr>
          <w:p w:rsidR="00000000" w:rsidRDefault="00000000">
            <w:pPr>
              <w:pStyle w:val="DualTxt"/>
              <w:jc w:val="left"/>
              <w:rPr>
                <w:sz w:val="14"/>
              </w:rPr>
            </w:pPr>
            <w:r>
              <w:rPr>
                <w:sz w:val="14"/>
              </w:rPr>
              <w:t>Женщ</w:t>
            </w:r>
            <w:r>
              <w:rPr>
                <w:sz w:val="14"/>
              </w:rPr>
              <w:t>и</w:t>
            </w:r>
            <w:r>
              <w:rPr>
                <w:sz w:val="14"/>
              </w:rPr>
              <w:t>ны</w:t>
            </w:r>
          </w:p>
        </w:tc>
        <w:tc>
          <w:tcPr>
            <w:tcW w:w="963" w:type="dxa"/>
            <w:vAlign w:val="bottom"/>
          </w:tcPr>
          <w:p w:rsidR="00000000" w:rsidRDefault="00000000">
            <w:pPr>
              <w:pStyle w:val="DualTxt"/>
              <w:jc w:val="left"/>
              <w:rPr>
                <w:sz w:val="14"/>
              </w:rPr>
            </w:pPr>
            <w:r>
              <w:rPr>
                <w:sz w:val="14"/>
              </w:rPr>
              <w:t>Мужч</w:t>
            </w:r>
            <w:r>
              <w:rPr>
                <w:sz w:val="14"/>
              </w:rPr>
              <w:t>и</w:t>
            </w:r>
            <w:r>
              <w:rPr>
                <w:sz w:val="14"/>
              </w:rPr>
              <w:t>ны</w:t>
            </w:r>
          </w:p>
        </w:tc>
        <w:tc>
          <w:tcPr>
            <w:tcW w:w="999" w:type="dxa"/>
            <w:vAlign w:val="bottom"/>
          </w:tcPr>
          <w:p w:rsidR="00000000" w:rsidRDefault="00000000">
            <w:pPr>
              <w:pStyle w:val="DualTxt"/>
              <w:jc w:val="left"/>
              <w:rPr>
                <w:sz w:val="14"/>
              </w:rPr>
            </w:pPr>
            <w:r>
              <w:rPr>
                <w:sz w:val="14"/>
              </w:rPr>
              <w:t>Женщ</w:t>
            </w:r>
            <w:r>
              <w:rPr>
                <w:sz w:val="14"/>
              </w:rPr>
              <w:t>и</w:t>
            </w:r>
            <w:r>
              <w:rPr>
                <w:sz w:val="14"/>
              </w:rPr>
              <w:t>ны</w:t>
            </w:r>
          </w:p>
        </w:tc>
        <w:tc>
          <w:tcPr>
            <w:tcW w:w="936" w:type="dxa"/>
            <w:vAlign w:val="bottom"/>
          </w:tcPr>
          <w:p w:rsidR="00000000" w:rsidRDefault="00000000">
            <w:pPr>
              <w:pStyle w:val="DualTxt"/>
              <w:jc w:val="left"/>
              <w:rPr>
                <w:sz w:val="14"/>
              </w:rPr>
            </w:pPr>
            <w:r>
              <w:rPr>
                <w:sz w:val="14"/>
              </w:rPr>
              <w:t>Мужч</w:t>
            </w:r>
            <w:r>
              <w:rPr>
                <w:sz w:val="14"/>
              </w:rPr>
              <w:t>и</w:t>
            </w:r>
            <w:r>
              <w:rPr>
                <w:sz w:val="14"/>
              </w:rPr>
              <w:t>ны</w:t>
            </w:r>
          </w:p>
        </w:tc>
        <w:tc>
          <w:tcPr>
            <w:tcW w:w="945" w:type="dxa"/>
            <w:vAlign w:val="bottom"/>
          </w:tcPr>
          <w:p w:rsidR="00000000" w:rsidRDefault="00000000">
            <w:pPr>
              <w:pStyle w:val="DualTxt"/>
              <w:jc w:val="left"/>
              <w:rPr>
                <w:sz w:val="14"/>
              </w:rPr>
            </w:pPr>
            <w:r>
              <w:rPr>
                <w:sz w:val="14"/>
              </w:rPr>
              <w:t>Женщ</w:t>
            </w:r>
            <w:r>
              <w:rPr>
                <w:sz w:val="14"/>
              </w:rPr>
              <w:t>и</w:t>
            </w:r>
            <w:r>
              <w:rPr>
                <w:sz w:val="14"/>
              </w:rPr>
              <w:t>ны</w:t>
            </w:r>
          </w:p>
        </w:tc>
        <w:tc>
          <w:tcPr>
            <w:tcW w:w="891" w:type="dxa"/>
            <w:vAlign w:val="bottom"/>
          </w:tcPr>
          <w:p w:rsidR="00000000" w:rsidRDefault="00000000">
            <w:pPr>
              <w:pStyle w:val="DualTxt"/>
              <w:jc w:val="left"/>
              <w:rPr>
                <w:sz w:val="14"/>
              </w:rPr>
            </w:pPr>
            <w:r>
              <w:rPr>
                <w:sz w:val="14"/>
              </w:rPr>
              <w:t>Мужч</w:t>
            </w:r>
            <w:r>
              <w:rPr>
                <w:sz w:val="14"/>
              </w:rPr>
              <w:t>и</w:t>
            </w:r>
            <w:r>
              <w:rPr>
                <w:sz w:val="14"/>
              </w:rPr>
              <w:t>ны</w:t>
            </w:r>
          </w:p>
        </w:tc>
        <w:tc>
          <w:tcPr>
            <w:tcW w:w="936" w:type="dxa"/>
            <w:vAlign w:val="bottom"/>
          </w:tcPr>
          <w:p w:rsidR="00000000" w:rsidRDefault="00000000">
            <w:pPr>
              <w:pStyle w:val="DualTxt"/>
              <w:jc w:val="left"/>
              <w:rPr>
                <w:sz w:val="14"/>
              </w:rPr>
            </w:pPr>
            <w:r>
              <w:rPr>
                <w:sz w:val="14"/>
              </w:rPr>
              <w:t>Женщ</w:t>
            </w:r>
            <w:r>
              <w:rPr>
                <w:sz w:val="14"/>
              </w:rPr>
              <w:t>и</w:t>
            </w:r>
            <w:r>
              <w:rPr>
                <w:sz w:val="14"/>
              </w:rPr>
              <w:t>ны</w:t>
            </w:r>
          </w:p>
        </w:tc>
        <w:tc>
          <w:tcPr>
            <w:tcW w:w="918" w:type="dxa"/>
            <w:vAlign w:val="bottom"/>
          </w:tcPr>
          <w:p w:rsidR="00000000" w:rsidRDefault="00000000">
            <w:pPr>
              <w:pStyle w:val="DualTxt"/>
              <w:jc w:val="left"/>
              <w:rPr>
                <w:sz w:val="14"/>
              </w:rPr>
            </w:pPr>
            <w:r>
              <w:rPr>
                <w:sz w:val="14"/>
              </w:rPr>
              <w:t>Мужч</w:t>
            </w:r>
            <w:r>
              <w:rPr>
                <w:sz w:val="14"/>
              </w:rPr>
              <w:t>и</w:t>
            </w:r>
            <w:r>
              <w:rPr>
                <w:sz w:val="14"/>
              </w:rPr>
              <w:t>ны</w:t>
            </w:r>
          </w:p>
        </w:tc>
      </w:tr>
      <w:tr w:rsidR="00000000">
        <w:tblPrEx>
          <w:tblCellMar>
            <w:top w:w="0" w:type="dxa"/>
            <w:bottom w:w="0" w:type="dxa"/>
          </w:tblCellMar>
        </w:tblPrEx>
        <w:trPr>
          <w:cantSplit/>
        </w:trPr>
        <w:tc>
          <w:tcPr>
            <w:tcW w:w="945" w:type="dxa"/>
          </w:tcPr>
          <w:p w:rsidR="00000000" w:rsidRDefault="00000000">
            <w:pPr>
              <w:pStyle w:val="DualTxt"/>
            </w:pPr>
            <w:r>
              <w:t>1996</w:t>
            </w:r>
          </w:p>
        </w:tc>
        <w:tc>
          <w:tcPr>
            <w:tcW w:w="1026" w:type="dxa"/>
          </w:tcPr>
          <w:p w:rsidR="00000000" w:rsidRDefault="00000000">
            <w:pPr>
              <w:pStyle w:val="DualTxt"/>
            </w:pPr>
            <w:r>
              <w:t>1086,4</w:t>
            </w:r>
          </w:p>
        </w:tc>
        <w:tc>
          <w:tcPr>
            <w:tcW w:w="963" w:type="dxa"/>
          </w:tcPr>
          <w:p w:rsidR="00000000" w:rsidRDefault="00000000">
            <w:pPr>
              <w:pStyle w:val="DualTxt"/>
            </w:pPr>
            <w:r>
              <w:t>892,0</w:t>
            </w:r>
          </w:p>
        </w:tc>
        <w:tc>
          <w:tcPr>
            <w:tcW w:w="999" w:type="dxa"/>
          </w:tcPr>
          <w:p w:rsidR="00000000" w:rsidRDefault="00000000">
            <w:pPr>
              <w:pStyle w:val="DualTxt"/>
            </w:pPr>
            <w:r>
              <w:t>460,5</w:t>
            </w:r>
          </w:p>
        </w:tc>
        <w:tc>
          <w:tcPr>
            <w:tcW w:w="936" w:type="dxa"/>
          </w:tcPr>
          <w:p w:rsidR="00000000" w:rsidRDefault="00000000">
            <w:pPr>
              <w:pStyle w:val="DualTxt"/>
            </w:pPr>
            <w:r>
              <w:t>505,0</w:t>
            </w:r>
          </w:p>
        </w:tc>
        <w:tc>
          <w:tcPr>
            <w:tcW w:w="945" w:type="dxa"/>
          </w:tcPr>
          <w:p w:rsidR="00000000" w:rsidRDefault="00000000">
            <w:pPr>
              <w:pStyle w:val="DualTxt"/>
            </w:pPr>
            <w:r>
              <w:t>405,1</w:t>
            </w:r>
          </w:p>
        </w:tc>
        <w:tc>
          <w:tcPr>
            <w:tcW w:w="891" w:type="dxa"/>
          </w:tcPr>
          <w:p w:rsidR="00000000" w:rsidRDefault="00000000">
            <w:pPr>
              <w:pStyle w:val="DualTxt"/>
            </w:pPr>
            <w:r>
              <w:t>444,4</w:t>
            </w:r>
          </w:p>
        </w:tc>
        <w:tc>
          <w:tcPr>
            <w:tcW w:w="936" w:type="dxa"/>
          </w:tcPr>
          <w:p w:rsidR="00000000" w:rsidRDefault="00000000">
            <w:pPr>
              <w:pStyle w:val="DualTxt"/>
            </w:pPr>
            <w:r>
              <w:t>55,4</w:t>
            </w:r>
          </w:p>
        </w:tc>
        <w:tc>
          <w:tcPr>
            <w:tcW w:w="918" w:type="dxa"/>
          </w:tcPr>
          <w:p w:rsidR="00000000" w:rsidRDefault="00000000">
            <w:pPr>
              <w:pStyle w:val="DualTxt"/>
            </w:pPr>
            <w:r>
              <w:t>60,6</w:t>
            </w:r>
          </w:p>
        </w:tc>
      </w:tr>
      <w:tr w:rsidR="00000000">
        <w:tblPrEx>
          <w:tblCellMar>
            <w:top w:w="0" w:type="dxa"/>
            <w:bottom w:w="0" w:type="dxa"/>
          </w:tblCellMar>
        </w:tblPrEx>
        <w:trPr>
          <w:cantSplit/>
        </w:trPr>
        <w:tc>
          <w:tcPr>
            <w:tcW w:w="945" w:type="dxa"/>
          </w:tcPr>
          <w:p w:rsidR="00000000" w:rsidRDefault="00000000">
            <w:pPr>
              <w:pStyle w:val="DualTxt"/>
            </w:pPr>
            <w:r>
              <w:t>1997</w:t>
            </w:r>
          </w:p>
        </w:tc>
        <w:tc>
          <w:tcPr>
            <w:tcW w:w="1026" w:type="dxa"/>
          </w:tcPr>
          <w:p w:rsidR="00000000" w:rsidRDefault="00000000">
            <w:pPr>
              <w:pStyle w:val="DualTxt"/>
            </w:pPr>
            <w:r>
              <w:t>1091,0</w:t>
            </w:r>
          </w:p>
        </w:tc>
        <w:tc>
          <w:tcPr>
            <w:tcW w:w="963" w:type="dxa"/>
          </w:tcPr>
          <w:p w:rsidR="00000000" w:rsidRDefault="00000000">
            <w:pPr>
              <w:pStyle w:val="DualTxt"/>
            </w:pPr>
            <w:r>
              <w:t>896,5</w:t>
            </w:r>
          </w:p>
        </w:tc>
        <w:tc>
          <w:tcPr>
            <w:tcW w:w="999" w:type="dxa"/>
          </w:tcPr>
          <w:p w:rsidR="00000000" w:rsidRDefault="00000000">
            <w:pPr>
              <w:pStyle w:val="DualTxt"/>
            </w:pPr>
            <w:r>
              <w:t>487,8</w:t>
            </w:r>
          </w:p>
        </w:tc>
        <w:tc>
          <w:tcPr>
            <w:tcW w:w="936" w:type="dxa"/>
          </w:tcPr>
          <w:p w:rsidR="00000000" w:rsidRDefault="00000000">
            <w:pPr>
              <w:pStyle w:val="DualTxt"/>
            </w:pPr>
            <w:r>
              <w:t>527,1</w:t>
            </w:r>
          </w:p>
        </w:tc>
        <w:tc>
          <w:tcPr>
            <w:tcW w:w="945" w:type="dxa"/>
          </w:tcPr>
          <w:p w:rsidR="00000000" w:rsidRDefault="00000000">
            <w:pPr>
              <w:pStyle w:val="DualTxt"/>
            </w:pPr>
            <w:r>
              <w:t>420,9</w:t>
            </w:r>
          </w:p>
        </w:tc>
        <w:tc>
          <w:tcPr>
            <w:tcW w:w="891" w:type="dxa"/>
          </w:tcPr>
          <w:p w:rsidR="00000000" w:rsidRDefault="00000000">
            <w:pPr>
              <w:pStyle w:val="DualTxt"/>
            </w:pPr>
            <w:r>
              <w:t>462,7</w:t>
            </w:r>
          </w:p>
        </w:tc>
        <w:tc>
          <w:tcPr>
            <w:tcW w:w="936" w:type="dxa"/>
          </w:tcPr>
          <w:p w:rsidR="00000000" w:rsidRDefault="00000000">
            <w:pPr>
              <w:pStyle w:val="DualTxt"/>
            </w:pPr>
            <w:r>
              <w:t>66,8</w:t>
            </w:r>
          </w:p>
        </w:tc>
        <w:tc>
          <w:tcPr>
            <w:tcW w:w="918" w:type="dxa"/>
          </w:tcPr>
          <w:p w:rsidR="00000000" w:rsidRDefault="00000000">
            <w:pPr>
              <w:pStyle w:val="DualTxt"/>
            </w:pPr>
            <w:r>
              <w:t>64,4</w:t>
            </w:r>
          </w:p>
        </w:tc>
      </w:tr>
      <w:tr w:rsidR="00000000">
        <w:tblPrEx>
          <w:tblCellMar>
            <w:top w:w="0" w:type="dxa"/>
            <w:bottom w:w="0" w:type="dxa"/>
          </w:tblCellMar>
        </w:tblPrEx>
        <w:trPr>
          <w:cantSplit/>
        </w:trPr>
        <w:tc>
          <w:tcPr>
            <w:tcW w:w="945" w:type="dxa"/>
          </w:tcPr>
          <w:p w:rsidR="00000000" w:rsidRDefault="00000000">
            <w:pPr>
              <w:pStyle w:val="DualTxt"/>
            </w:pPr>
            <w:r>
              <w:t>1998</w:t>
            </w:r>
          </w:p>
        </w:tc>
        <w:tc>
          <w:tcPr>
            <w:tcW w:w="1026" w:type="dxa"/>
          </w:tcPr>
          <w:p w:rsidR="00000000" w:rsidRDefault="00000000">
            <w:pPr>
              <w:pStyle w:val="DualTxt"/>
            </w:pPr>
            <w:r>
              <w:t>1088,7</w:t>
            </w:r>
          </w:p>
        </w:tc>
        <w:tc>
          <w:tcPr>
            <w:tcW w:w="963" w:type="dxa"/>
          </w:tcPr>
          <w:p w:rsidR="00000000" w:rsidRDefault="00000000">
            <w:pPr>
              <w:pStyle w:val="DualTxt"/>
            </w:pPr>
            <w:r>
              <w:t>896,4</w:t>
            </w:r>
          </w:p>
        </w:tc>
        <w:tc>
          <w:tcPr>
            <w:tcW w:w="999" w:type="dxa"/>
          </w:tcPr>
          <w:p w:rsidR="00000000" w:rsidRDefault="00000000">
            <w:pPr>
              <w:pStyle w:val="DualTxt"/>
            </w:pPr>
            <w:r>
              <w:t>473,7</w:t>
            </w:r>
          </w:p>
        </w:tc>
        <w:tc>
          <w:tcPr>
            <w:tcW w:w="936" w:type="dxa"/>
          </w:tcPr>
          <w:p w:rsidR="00000000" w:rsidRDefault="00000000">
            <w:pPr>
              <w:pStyle w:val="DualTxt"/>
            </w:pPr>
            <w:r>
              <w:t>533,5</w:t>
            </w:r>
          </w:p>
        </w:tc>
        <w:tc>
          <w:tcPr>
            <w:tcW w:w="945" w:type="dxa"/>
          </w:tcPr>
          <w:p w:rsidR="00000000" w:rsidRDefault="00000000">
            <w:pPr>
              <w:pStyle w:val="DualTxt"/>
            </w:pPr>
            <w:r>
              <w:t>410,1</w:t>
            </w:r>
          </w:p>
        </w:tc>
        <w:tc>
          <w:tcPr>
            <w:tcW w:w="891" w:type="dxa"/>
          </w:tcPr>
          <w:p w:rsidR="00000000" w:rsidRDefault="00000000">
            <w:pPr>
              <w:pStyle w:val="DualTxt"/>
            </w:pPr>
            <w:r>
              <w:t>467,3</w:t>
            </w:r>
          </w:p>
        </w:tc>
        <w:tc>
          <w:tcPr>
            <w:tcW w:w="936" w:type="dxa"/>
          </w:tcPr>
          <w:p w:rsidR="00000000" w:rsidRDefault="00000000">
            <w:pPr>
              <w:pStyle w:val="DualTxt"/>
            </w:pPr>
            <w:r>
              <w:t>63,6</w:t>
            </w:r>
          </w:p>
        </w:tc>
        <w:tc>
          <w:tcPr>
            <w:tcW w:w="918" w:type="dxa"/>
          </w:tcPr>
          <w:p w:rsidR="00000000" w:rsidRDefault="00000000">
            <w:pPr>
              <w:pStyle w:val="DualTxt"/>
            </w:pPr>
            <w:r>
              <w:t>66,2</w:t>
            </w:r>
          </w:p>
        </w:tc>
      </w:tr>
      <w:tr w:rsidR="00000000">
        <w:tblPrEx>
          <w:tblCellMar>
            <w:top w:w="0" w:type="dxa"/>
            <w:bottom w:w="0" w:type="dxa"/>
          </w:tblCellMar>
        </w:tblPrEx>
        <w:trPr>
          <w:cantSplit/>
        </w:trPr>
        <w:tc>
          <w:tcPr>
            <w:tcW w:w="945" w:type="dxa"/>
          </w:tcPr>
          <w:p w:rsidR="00000000" w:rsidRDefault="00000000">
            <w:pPr>
              <w:pStyle w:val="DualTxt"/>
            </w:pPr>
            <w:r>
              <w:t>1999</w:t>
            </w:r>
          </w:p>
        </w:tc>
        <w:tc>
          <w:tcPr>
            <w:tcW w:w="1026" w:type="dxa"/>
          </w:tcPr>
          <w:p w:rsidR="00000000" w:rsidRDefault="00000000">
            <w:pPr>
              <w:pStyle w:val="DualTxt"/>
            </w:pPr>
            <w:r>
              <w:t>1088,6</w:t>
            </w:r>
          </w:p>
        </w:tc>
        <w:tc>
          <w:tcPr>
            <w:tcW w:w="963" w:type="dxa"/>
          </w:tcPr>
          <w:p w:rsidR="00000000" w:rsidRDefault="00000000">
            <w:pPr>
              <w:pStyle w:val="DualTxt"/>
            </w:pPr>
            <w:r>
              <w:t>899,0</w:t>
            </w:r>
          </w:p>
        </w:tc>
        <w:tc>
          <w:tcPr>
            <w:tcW w:w="999" w:type="dxa"/>
          </w:tcPr>
          <w:p w:rsidR="00000000" w:rsidRDefault="00000000">
            <w:pPr>
              <w:pStyle w:val="DualTxt"/>
            </w:pPr>
            <w:r>
              <w:t>474,5</w:t>
            </w:r>
          </w:p>
        </w:tc>
        <w:tc>
          <w:tcPr>
            <w:tcW w:w="936" w:type="dxa"/>
          </w:tcPr>
          <w:p w:rsidR="00000000" w:rsidRDefault="00000000">
            <w:pPr>
              <w:pStyle w:val="DualTxt"/>
            </w:pPr>
            <w:r>
              <w:t>515,0</w:t>
            </w:r>
          </w:p>
        </w:tc>
        <w:tc>
          <w:tcPr>
            <w:tcW w:w="945" w:type="dxa"/>
          </w:tcPr>
          <w:p w:rsidR="00000000" w:rsidRDefault="00000000">
            <w:pPr>
              <w:pStyle w:val="DualTxt"/>
            </w:pPr>
            <w:r>
              <w:t>410,5</w:t>
            </w:r>
          </w:p>
        </w:tc>
        <w:tc>
          <w:tcPr>
            <w:tcW w:w="891" w:type="dxa"/>
          </w:tcPr>
          <w:p w:rsidR="00000000" w:rsidRDefault="00000000">
            <w:pPr>
              <w:pStyle w:val="DualTxt"/>
            </w:pPr>
            <w:r>
              <w:t>463,2</w:t>
            </w:r>
          </w:p>
        </w:tc>
        <w:tc>
          <w:tcPr>
            <w:tcW w:w="936" w:type="dxa"/>
          </w:tcPr>
          <w:p w:rsidR="00000000" w:rsidRDefault="00000000">
            <w:pPr>
              <w:pStyle w:val="DualTxt"/>
            </w:pPr>
            <w:r>
              <w:t>64,0</w:t>
            </w:r>
          </w:p>
        </w:tc>
        <w:tc>
          <w:tcPr>
            <w:tcW w:w="918" w:type="dxa"/>
          </w:tcPr>
          <w:p w:rsidR="00000000" w:rsidRDefault="00000000">
            <w:pPr>
              <w:pStyle w:val="DualTxt"/>
            </w:pPr>
            <w:r>
              <w:t>64,2</w:t>
            </w:r>
          </w:p>
        </w:tc>
      </w:tr>
      <w:tr w:rsidR="00000000">
        <w:tblPrEx>
          <w:tblCellMar>
            <w:top w:w="0" w:type="dxa"/>
            <w:bottom w:w="0" w:type="dxa"/>
          </w:tblCellMar>
        </w:tblPrEx>
        <w:trPr>
          <w:cantSplit/>
        </w:trPr>
        <w:tc>
          <w:tcPr>
            <w:tcW w:w="945" w:type="dxa"/>
          </w:tcPr>
          <w:p w:rsidR="00000000" w:rsidRDefault="00000000">
            <w:pPr>
              <w:pStyle w:val="DualTxt"/>
            </w:pPr>
            <w:r>
              <w:t>2000</w:t>
            </w:r>
          </w:p>
        </w:tc>
        <w:tc>
          <w:tcPr>
            <w:tcW w:w="1026" w:type="dxa"/>
          </w:tcPr>
          <w:p w:rsidR="00000000" w:rsidRDefault="00000000">
            <w:pPr>
              <w:pStyle w:val="DualTxt"/>
            </w:pPr>
            <w:r>
              <w:t>1090,5</w:t>
            </w:r>
          </w:p>
        </w:tc>
        <w:tc>
          <w:tcPr>
            <w:tcW w:w="963" w:type="dxa"/>
          </w:tcPr>
          <w:p w:rsidR="00000000" w:rsidRDefault="00000000">
            <w:pPr>
              <w:pStyle w:val="DualTxt"/>
            </w:pPr>
            <w:r>
              <w:t>901,4</w:t>
            </w:r>
          </w:p>
        </w:tc>
        <w:tc>
          <w:tcPr>
            <w:tcW w:w="999" w:type="dxa"/>
          </w:tcPr>
          <w:p w:rsidR="00000000" w:rsidRDefault="00000000">
            <w:pPr>
              <w:pStyle w:val="DualTxt"/>
            </w:pPr>
            <w:r>
              <w:t>474,8</w:t>
            </w:r>
          </w:p>
        </w:tc>
        <w:tc>
          <w:tcPr>
            <w:tcW w:w="936" w:type="dxa"/>
          </w:tcPr>
          <w:p w:rsidR="00000000" w:rsidRDefault="00000000">
            <w:pPr>
              <w:pStyle w:val="DualTxt"/>
            </w:pPr>
            <w:r>
              <w:t>492,0</w:t>
            </w:r>
          </w:p>
        </w:tc>
        <w:tc>
          <w:tcPr>
            <w:tcW w:w="945" w:type="dxa"/>
          </w:tcPr>
          <w:p w:rsidR="00000000" w:rsidRDefault="00000000">
            <w:pPr>
              <w:pStyle w:val="DualTxt"/>
            </w:pPr>
            <w:r>
              <w:t>412,5</w:t>
            </w:r>
          </w:p>
        </w:tc>
        <w:tc>
          <w:tcPr>
            <w:tcW w:w="891" w:type="dxa"/>
          </w:tcPr>
          <w:p w:rsidR="00000000" w:rsidRDefault="00000000">
            <w:pPr>
              <w:pStyle w:val="DualTxt"/>
            </w:pPr>
            <w:r>
              <w:t>467,2</w:t>
            </w:r>
          </w:p>
        </w:tc>
        <w:tc>
          <w:tcPr>
            <w:tcW w:w="936" w:type="dxa"/>
          </w:tcPr>
          <w:p w:rsidR="00000000" w:rsidRDefault="00000000">
            <w:pPr>
              <w:pStyle w:val="DualTxt"/>
            </w:pPr>
            <w:r>
              <w:t>62,3</w:t>
            </w:r>
          </w:p>
        </w:tc>
        <w:tc>
          <w:tcPr>
            <w:tcW w:w="918" w:type="dxa"/>
          </w:tcPr>
          <w:p w:rsidR="00000000" w:rsidRDefault="00000000">
            <w:pPr>
              <w:pStyle w:val="DualTxt"/>
            </w:pPr>
            <w:r>
              <w:t>44,8</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Распределение времени за неделю в 1996 году (часы и минуты)</w:t>
      </w:r>
    </w:p>
    <w:p w:rsidR="00000000" w:rsidRDefault="00000000">
      <w:pPr>
        <w:pStyle w:val="SingleTxt"/>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9"/>
        <w:gridCol w:w="1071"/>
        <w:gridCol w:w="963"/>
        <w:gridCol w:w="990"/>
        <w:gridCol w:w="963"/>
        <w:gridCol w:w="1089"/>
        <w:gridCol w:w="1035"/>
      </w:tblGrid>
      <w:tr w:rsidR="00000000">
        <w:tblPrEx>
          <w:tblCellMar>
            <w:top w:w="0" w:type="dxa"/>
            <w:bottom w:w="0" w:type="dxa"/>
          </w:tblCellMar>
        </w:tblPrEx>
        <w:trPr>
          <w:cantSplit/>
        </w:trPr>
        <w:tc>
          <w:tcPr>
            <w:tcW w:w="2439" w:type="dxa"/>
            <w:vMerge w:val="restart"/>
          </w:tcPr>
          <w:p w:rsidR="00000000" w:rsidRDefault="00000000">
            <w:pPr>
              <w:pStyle w:val="DualTxt"/>
              <w:rPr>
                <w:sz w:val="18"/>
              </w:rPr>
            </w:pPr>
          </w:p>
        </w:tc>
        <w:tc>
          <w:tcPr>
            <w:tcW w:w="2034" w:type="dxa"/>
            <w:gridSpan w:val="2"/>
          </w:tcPr>
          <w:p w:rsidR="00000000" w:rsidRDefault="00000000">
            <w:pPr>
              <w:pStyle w:val="DualTxt"/>
              <w:rPr>
                <w:sz w:val="14"/>
              </w:rPr>
            </w:pPr>
            <w:r>
              <w:rPr>
                <w:sz w:val="14"/>
              </w:rPr>
              <w:t>Работающие</w:t>
            </w:r>
          </w:p>
        </w:tc>
        <w:tc>
          <w:tcPr>
            <w:tcW w:w="1953" w:type="dxa"/>
            <w:gridSpan w:val="2"/>
          </w:tcPr>
          <w:p w:rsidR="00000000" w:rsidRDefault="00000000">
            <w:pPr>
              <w:pStyle w:val="DualTxt"/>
              <w:rPr>
                <w:sz w:val="14"/>
              </w:rPr>
            </w:pPr>
            <w:r>
              <w:rPr>
                <w:sz w:val="14"/>
              </w:rPr>
              <w:t>Учащиеся</w:t>
            </w:r>
          </w:p>
        </w:tc>
        <w:tc>
          <w:tcPr>
            <w:tcW w:w="2124" w:type="dxa"/>
            <w:gridSpan w:val="2"/>
          </w:tcPr>
          <w:p w:rsidR="00000000" w:rsidRDefault="00000000">
            <w:pPr>
              <w:pStyle w:val="DualTxt"/>
              <w:rPr>
                <w:sz w:val="14"/>
              </w:rPr>
            </w:pPr>
            <w:r>
              <w:rPr>
                <w:sz w:val="14"/>
              </w:rPr>
              <w:t>Лица, которые не работают и не учатся</w:t>
            </w:r>
          </w:p>
        </w:tc>
      </w:tr>
      <w:tr w:rsidR="00000000">
        <w:tblPrEx>
          <w:tblCellMar>
            <w:top w:w="0" w:type="dxa"/>
            <w:bottom w:w="0" w:type="dxa"/>
          </w:tblCellMar>
        </w:tblPrEx>
        <w:trPr>
          <w:cantSplit/>
        </w:trPr>
        <w:tc>
          <w:tcPr>
            <w:tcW w:w="2439" w:type="dxa"/>
            <w:vMerge/>
          </w:tcPr>
          <w:p w:rsidR="00000000" w:rsidRDefault="00000000">
            <w:pPr>
              <w:pStyle w:val="DualTxt"/>
              <w:rPr>
                <w:sz w:val="18"/>
              </w:rPr>
            </w:pPr>
          </w:p>
        </w:tc>
        <w:tc>
          <w:tcPr>
            <w:tcW w:w="1071" w:type="dxa"/>
          </w:tcPr>
          <w:p w:rsidR="00000000" w:rsidRDefault="00000000">
            <w:pPr>
              <w:pStyle w:val="DualTxt"/>
              <w:rPr>
                <w:sz w:val="14"/>
              </w:rPr>
            </w:pPr>
            <w:r>
              <w:rPr>
                <w:sz w:val="14"/>
              </w:rPr>
              <w:t>мужчины</w:t>
            </w:r>
          </w:p>
        </w:tc>
        <w:tc>
          <w:tcPr>
            <w:tcW w:w="963" w:type="dxa"/>
          </w:tcPr>
          <w:p w:rsidR="00000000" w:rsidRDefault="00000000">
            <w:pPr>
              <w:pStyle w:val="DualTxt"/>
              <w:rPr>
                <w:sz w:val="14"/>
              </w:rPr>
            </w:pPr>
            <w:r>
              <w:rPr>
                <w:sz w:val="14"/>
              </w:rPr>
              <w:t>женщины</w:t>
            </w:r>
          </w:p>
        </w:tc>
        <w:tc>
          <w:tcPr>
            <w:tcW w:w="990" w:type="dxa"/>
          </w:tcPr>
          <w:p w:rsidR="00000000" w:rsidRDefault="00000000">
            <w:pPr>
              <w:pStyle w:val="DualTxt"/>
              <w:rPr>
                <w:sz w:val="14"/>
              </w:rPr>
            </w:pPr>
            <w:r>
              <w:rPr>
                <w:sz w:val="14"/>
              </w:rPr>
              <w:t>мужчины</w:t>
            </w:r>
          </w:p>
        </w:tc>
        <w:tc>
          <w:tcPr>
            <w:tcW w:w="963" w:type="dxa"/>
          </w:tcPr>
          <w:p w:rsidR="00000000" w:rsidRDefault="00000000">
            <w:pPr>
              <w:pStyle w:val="DualTxt"/>
              <w:rPr>
                <w:sz w:val="14"/>
              </w:rPr>
            </w:pPr>
            <w:r>
              <w:rPr>
                <w:sz w:val="14"/>
              </w:rPr>
              <w:t>женщины</w:t>
            </w:r>
          </w:p>
        </w:tc>
        <w:tc>
          <w:tcPr>
            <w:tcW w:w="1089" w:type="dxa"/>
          </w:tcPr>
          <w:p w:rsidR="00000000" w:rsidRDefault="00000000">
            <w:pPr>
              <w:pStyle w:val="DualTxt"/>
              <w:rPr>
                <w:sz w:val="14"/>
              </w:rPr>
            </w:pPr>
            <w:r>
              <w:rPr>
                <w:sz w:val="14"/>
              </w:rPr>
              <w:t>мужчины</w:t>
            </w:r>
          </w:p>
        </w:tc>
        <w:tc>
          <w:tcPr>
            <w:tcW w:w="1035" w:type="dxa"/>
          </w:tcPr>
          <w:p w:rsidR="00000000" w:rsidRDefault="00000000">
            <w:pPr>
              <w:pStyle w:val="DualTxt"/>
              <w:rPr>
                <w:sz w:val="14"/>
              </w:rPr>
            </w:pPr>
            <w:r>
              <w:rPr>
                <w:sz w:val="14"/>
              </w:rPr>
              <w:t>Женщ</w:t>
            </w:r>
            <w:r>
              <w:rPr>
                <w:sz w:val="14"/>
              </w:rPr>
              <w:t>и</w:t>
            </w:r>
            <w:r>
              <w:rPr>
                <w:sz w:val="14"/>
              </w:rPr>
              <w:t>ны</w:t>
            </w:r>
          </w:p>
        </w:tc>
      </w:tr>
      <w:tr w:rsidR="00000000">
        <w:tblPrEx>
          <w:tblCellMar>
            <w:top w:w="0" w:type="dxa"/>
            <w:bottom w:w="0" w:type="dxa"/>
          </w:tblCellMar>
        </w:tblPrEx>
        <w:tc>
          <w:tcPr>
            <w:tcW w:w="2439" w:type="dxa"/>
          </w:tcPr>
          <w:p w:rsidR="00000000" w:rsidRDefault="00000000">
            <w:pPr>
              <w:pStyle w:val="DualTxt"/>
              <w:rPr>
                <w:sz w:val="18"/>
              </w:rPr>
            </w:pPr>
            <w:r>
              <w:rPr>
                <w:sz w:val="18"/>
              </w:rPr>
              <w:t>Уход за с</w:t>
            </w:r>
            <w:r>
              <w:rPr>
                <w:sz w:val="18"/>
              </w:rPr>
              <w:t>о</w:t>
            </w:r>
            <w:r>
              <w:rPr>
                <w:sz w:val="18"/>
              </w:rPr>
              <w:t>бой</w:t>
            </w:r>
          </w:p>
        </w:tc>
        <w:tc>
          <w:tcPr>
            <w:tcW w:w="1071" w:type="dxa"/>
          </w:tcPr>
          <w:p w:rsidR="00000000" w:rsidRDefault="00000000">
            <w:pPr>
              <w:pStyle w:val="DualTxt"/>
            </w:pPr>
            <w:r>
              <w:t>72:14</w:t>
            </w:r>
          </w:p>
        </w:tc>
        <w:tc>
          <w:tcPr>
            <w:tcW w:w="963" w:type="dxa"/>
          </w:tcPr>
          <w:p w:rsidR="00000000" w:rsidRDefault="00000000">
            <w:pPr>
              <w:pStyle w:val="DualTxt"/>
            </w:pPr>
            <w:r>
              <w:t>70:43</w:t>
            </w:r>
          </w:p>
        </w:tc>
        <w:tc>
          <w:tcPr>
            <w:tcW w:w="990" w:type="dxa"/>
          </w:tcPr>
          <w:p w:rsidR="00000000" w:rsidRDefault="00000000">
            <w:pPr>
              <w:pStyle w:val="DualTxt"/>
            </w:pPr>
            <w:r>
              <w:t>78:46</w:t>
            </w:r>
          </w:p>
        </w:tc>
        <w:tc>
          <w:tcPr>
            <w:tcW w:w="963" w:type="dxa"/>
          </w:tcPr>
          <w:p w:rsidR="00000000" w:rsidRDefault="00000000">
            <w:pPr>
              <w:pStyle w:val="DualTxt"/>
            </w:pPr>
            <w:r>
              <w:t>77:38</w:t>
            </w:r>
          </w:p>
        </w:tc>
        <w:tc>
          <w:tcPr>
            <w:tcW w:w="1089" w:type="dxa"/>
          </w:tcPr>
          <w:p w:rsidR="00000000" w:rsidRDefault="00000000">
            <w:pPr>
              <w:pStyle w:val="DualTxt"/>
            </w:pPr>
            <w:r>
              <w:t>81:35</w:t>
            </w:r>
          </w:p>
        </w:tc>
        <w:tc>
          <w:tcPr>
            <w:tcW w:w="1035" w:type="dxa"/>
          </w:tcPr>
          <w:p w:rsidR="00000000" w:rsidRDefault="00000000">
            <w:pPr>
              <w:pStyle w:val="DualTxt"/>
            </w:pPr>
            <w:r>
              <w:t>79:17</w:t>
            </w:r>
          </w:p>
        </w:tc>
      </w:tr>
      <w:tr w:rsidR="00000000">
        <w:tblPrEx>
          <w:tblCellMar>
            <w:top w:w="0" w:type="dxa"/>
            <w:bottom w:w="0" w:type="dxa"/>
          </w:tblCellMar>
        </w:tblPrEx>
        <w:tc>
          <w:tcPr>
            <w:tcW w:w="2439" w:type="dxa"/>
          </w:tcPr>
          <w:p w:rsidR="00000000" w:rsidRDefault="00000000">
            <w:pPr>
              <w:pStyle w:val="DualTxt"/>
              <w:rPr>
                <w:sz w:val="18"/>
              </w:rPr>
            </w:pPr>
            <w:r>
              <w:rPr>
                <w:sz w:val="18"/>
              </w:rPr>
              <w:t>Общая рабочая нагру</w:t>
            </w:r>
            <w:r>
              <w:rPr>
                <w:sz w:val="18"/>
              </w:rPr>
              <w:t>з</w:t>
            </w:r>
            <w:r>
              <w:rPr>
                <w:sz w:val="18"/>
              </w:rPr>
              <w:t>ка</w:t>
            </w:r>
          </w:p>
        </w:tc>
        <w:tc>
          <w:tcPr>
            <w:tcW w:w="1071" w:type="dxa"/>
          </w:tcPr>
          <w:p w:rsidR="00000000" w:rsidRDefault="00000000">
            <w:pPr>
              <w:pStyle w:val="DualTxt"/>
            </w:pPr>
            <w:r>
              <w:t>66:13</w:t>
            </w:r>
          </w:p>
        </w:tc>
        <w:tc>
          <w:tcPr>
            <w:tcW w:w="963" w:type="dxa"/>
          </w:tcPr>
          <w:p w:rsidR="00000000" w:rsidRDefault="00000000">
            <w:pPr>
              <w:pStyle w:val="DualTxt"/>
            </w:pPr>
            <w:r>
              <w:t>74:25</w:t>
            </w:r>
          </w:p>
        </w:tc>
        <w:tc>
          <w:tcPr>
            <w:tcW w:w="990" w:type="dxa"/>
          </w:tcPr>
          <w:p w:rsidR="00000000" w:rsidRDefault="00000000">
            <w:pPr>
              <w:pStyle w:val="DualTxt"/>
            </w:pPr>
            <w:r>
              <w:t>51:15</w:t>
            </w:r>
          </w:p>
        </w:tc>
        <w:tc>
          <w:tcPr>
            <w:tcW w:w="963" w:type="dxa"/>
          </w:tcPr>
          <w:p w:rsidR="00000000" w:rsidRDefault="00000000">
            <w:pPr>
              <w:pStyle w:val="DualTxt"/>
            </w:pPr>
            <w:r>
              <w:t>54:21</w:t>
            </w:r>
          </w:p>
        </w:tc>
        <w:tc>
          <w:tcPr>
            <w:tcW w:w="1089" w:type="dxa"/>
          </w:tcPr>
          <w:p w:rsidR="00000000" w:rsidRDefault="00000000">
            <w:pPr>
              <w:pStyle w:val="DualTxt"/>
            </w:pPr>
            <w:r>
              <w:t>40:06</w:t>
            </w:r>
          </w:p>
        </w:tc>
        <w:tc>
          <w:tcPr>
            <w:tcW w:w="1035" w:type="dxa"/>
          </w:tcPr>
          <w:p w:rsidR="00000000" w:rsidRDefault="00000000">
            <w:pPr>
              <w:pStyle w:val="DualTxt"/>
            </w:pPr>
            <w:r>
              <w:t>51:53</w:t>
            </w:r>
          </w:p>
        </w:tc>
      </w:tr>
      <w:tr w:rsidR="00000000">
        <w:tblPrEx>
          <w:tblCellMar>
            <w:top w:w="0" w:type="dxa"/>
            <w:bottom w:w="0" w:type="dxa"/>
          </w:tblCellMar>
        </w:tblPrEx>
        <w:tc>
          <w:tcPr>
            <w:tcW w:w="2439" w:type="dxa"/>
          </w:tcPr>
          <w:p w:rsidR="00000000" w:rsidRDefault="00000000">
            <w:pPr>
              <w:pStyle w:val="DualTxt"/>
              <w:rPr>
                <w:sz w:val="18"/>
              </w:rPr>
            </w:pPr>
            <w:r>
              <w:rPr>
                <w:sz w:val="18"/>
              </w:rPr>
              <w:t>Оплачива</w:t>
            </w:r>
            <w:r>
              <w:rPr>
                <w:sz w:val="18"/>
              </w:rPr>
              <w:t>е</w:t>
            </w:r>
            <w:r>
              <w:rPr>
                <w:sz w:val="18"/>
              </w:rPr>
              <w:t>мая работа</w:t>
            </w:r>
          </w:p>
        </w:tc>
        <w:tc>
          <w:tcPr>
            <w:tcW w:w="1071" w:type="dxa"/>
          </w:tcPr>
          <w:p w:rsidR="00000000" w:rsidRDefault="00000000">
            <w:pPr>
              <w:pStyle w:val="DualTxt"/>
            </w:pPr>
            <w:r>
              <w:t>49:44</w:t>
            </w:r>
          </w:p>
        </w:tc>
        <w:tc>
          <w:tcPr>
            <w:tcW w:w="963" w:type="dxa"/>
          </w:tcPr>
          <w:p w:rsidR="00000000" w:rsidRDefault="00000000">
            <w:pPr>
              <w:pStyle w:val="DualTxt"/>
            </w:pPr>
            <w:r>
              <w:t>45:14</w:t>
            </w:r>
          </w:p>
        </w:tc>
        <w:tc>
          <w:tcPr>
            <w:tcW w:w="990" w:type="dxa"/>
          </w:tcPr>
          <w:p w:rsidR="00000000" w:rsidRDefault="00000000">
            <w:pPr>
              <w:pStyle w:val="DualTxt"/>
            </w:pPr>
            <w:r>
              <w:t>00:28</w:t>
            </w:r>
          </w:p>
        </w:tc>
        <w:tc>
          <w:tcPr>
            <w:tcW w:w="963" w:type="dxa"/>
          </w:tcPr>
          <w:p w:rsidR="00000000" w:rsidRDefault="00000000">
            <w:pPr>
              <w:pStyle w:val="DualTxt"/>
            </w:pPr>
            <w:r>
              <w:t>00:15</w:t>
            </w:r>
          </w:p>
        </w:tc>
        <w:tc>
          <w:tcPr>
            <w:tcW w:w="1089" w:type="dxa"/>
          </w:tcPr>
          <w:p w:rsidR="00000000" w:rsidRDefault="00000000">
            <w:pPr>
              <w:pStyle w:val="DualTxt"/>
            </w:pPr>
            <w:r>
              <w:t>04:40</w:t>
            </w:r>
          </w:p>
        </w:tc>
        <w:tc>
          <w:tcPr>
            <w:tcW w:w="1035" w:type="dxa"/>
          </w:tcPr>
          <w:p w:rsidR="00000000" w:rsidRDefault="00000000">
            <w:pPr>
              <w:pStyle w:val="DualTxt"/>
            </w:pPr>
            <w:r>
              <w:t>01:20</w:t>
            </w:r>
          </w:p>
        </w:tc>
      </w:tr>
      <w:tr w:rsidR="00000000">
        <w:tblPrEx>
          <w:tblCellMar>
            <w:top w:w="0" w:type="dxa"/>
            <w:bottom w:w="0" w:type="dxa"/>
          </w:tblCellMar>
        </w:tblPrEx>
        <w:tc>
          <w:tcPr>
            <w:tcW w:w="2439" w:type="dxa"/>
          </w:tcPr>
          <w:p w:rsidR="00000000" w:rsidRDefault="00000000">
            <w:pPr>
              <w:pStyle w:val="DualTxt"/>
              <w:rPr>
                <w:sz w:val="18"/>
              </w:rPr>
            </w:pPr>
            <w:r>
              <w:rPr>
                <w:sz w:val="18"/>
              </w:rPr>
              <w:t>Регулярные занятия</w:t>
            </w:r>
          </w:p>
        </w:tc>
        <w:tc>
          <w:tcPr>
            <w:tcW w:w="1071" w:type="dxa"/>
          </w:tcPr>
          <w:p w:rsidR="00000000" w:rsidRDefault="00000000">
            <w:pPr>
              <w:pStyle w:val="DualTxt"/>
            </w:pPr>
            <w:r>
              <w:t>00:20</w:t>
            </w:r>
          </w:p>
        </w:tc>
        <w:tc>
          <w:tcPr>
            <w:tcW w:w="963" w:type="dxa"/>
          </w:tcPr>
          <w:p w:rsidR="00000000" w:rsidRDefault="00000000">
            <w:pPr>
              <w:pStyle w:val="DualTxt"/>
            </w:pPr>
            <w:r>
              <w:t>00:24</w:t>
            </w:r>
          </w:p>
        </w:tc>
        <w:tc>
          <w:tcPr>
            <w:tcW w:w="990" w:type="dxa"/>
          </w:tcPr>
          <w:p w:rsidR="00000000" w:rsidRDefault="00000000">
            <w:pPr>
              <w:pStyle w:val="DualTxt"/>
            </w:pPr>
            <w:r>
              <w:t>43:26</w:t>
            </w:r>
          </w:p>
        </w:tc>
        <w:tc>
          <w:tcPr>
            <w:tcW w:w="963" w:type="dxa"/>
          </w:tcPr>
          <w:p w:rsidR="00000000" w:rsidRDefault="00000000">
            <w:pPr>
              <w:pStyle w:val="DualTxt"/>
            </w:pPr>
            <w:r>
              <w:t>44:04</w:t>
            </w:r>
          </w:p>
        </w:tc>
        <w:tc>
          <w:tcPr>
            <w:tcW w:w="1089" w:type="dxa"/>
          </w:tcPr>
          <w:p w:rsidR="00000000" w:rsidRDefault="00000000">
            <w:pPr>
              <w:pStyle w:val="DualTxt"/>
            </w:pPr>
            <w:r>
              <w:t>00:25</w:t>
            </w:r>
          </w:p>
        </w:tc>
        <w:tc>
          <w:tcPr>
            <w:tcW w:w="1035" w:type="dxa"/>
          </w:tcPr>
          <w:p w:rsidR="00000000" w:rsidRDefault="00000000">
            <w:pPr>
              <w:pStyle w:val="DualTxt"/>
            </w:pPr>
            <w:r>
              <w:t>00:33</w:t>
            </w:r>
          </w:p>
        </w:tc>
      </w:tr>
      <w:tr w:rsidR="00000000">
        <w:tblPrEx>
          <w:tblCellMar>
            <w:top w:w="0" w:type="dxa"/>
            <w:bottom w:w="0" w:type="dxa"/>
          </w:tblCellMar>
        </w:tblPrEx>
        <w:tc>
          <w:tcPr>
            <w:tcW w:w="2439" w:type="dxa"/>
          </w:tcPr>
          <w:p w:rsidR="00000000" w:rsidRDefault="00000000">
            <w:pPr>
              <w:pStyle w:val="DualTxt"/>
              <w:rPr>
                <w:sz w:val="18"/>
              </w:rPr>
            </w:pPr>
            <w:r>
              <w:rPr>
                <w:sz w:val="18"/>
              </w:rPr>
              <w:t>Уход за детьми, уборка дома, квартиры</w:t>
            </w:r>
          </w:p>
        </w:tc>
        <w:tc>
          <w:tcPr>
            <w:tcW w:w="1071" w:type="dxa"/>
          </w:tcPr>
          <w:p w:rsidR="00000000" w:rsidRDefault="00000000">
            <w:pPr>
              <w:pStyle w:val="DualTxt"/>
            </w:pPr>
            <w:r>
              <w:t>16:09</w:t>
            </w:r>
          </w:p>
        </w:tc>
        <w:tc>
          <w:tcPr>
            <w:tcW w:w="963" w:type="dxa"/>
          </w:tcPr>
          <w:p w:rsidR="00000000" w:rsidRDefault="00000000">
            <w:pPr>
              <w:pStyle w:val="DualTxt"/>
            </w:pPr>
            <w:r>
              <w:t>28:47</w:t>
            </w:r>
          </w:p>
        </w:tc>
        <w:tc>
          <w:tcPr>
            <w:tcW w:w="990" w:type="dxa"/>
          </w:tcPr>
          <w:p w:rsidR="00000000" w:rsidRDefault="00000000">
            <w:pPr>
              <w:pStyle w:val="DualTxt"/>
            </w:pPr>
            <w:r>
              <w:t>07:21</w:t>
            </w:r>
          </w:p>
        </w:tc>
        <w:tc>
          <w:tcPr>
            <w:tcW w:w="963" w:type="dxa"/>
          </w:tcPr>
          <w:p w:rsidR="00000000" w:rsidRDefault="00000000">
            <w:pPr>
              <w:pStyle w:val="DualTxt"/>
            </w:pPr>
            <w:r>
              <w:t>10:02</w:t>
            </w:r>
          </w:p>
        </w:tc>
        <w:tc>
          <w:tcPr>
            <w:tcW w:w="1089" w:type="dxa"/>
          </w:tcPr>
          <w:p w:rsidR="00000000" w:rsidRDefault="00000000">
            <w:pPr>
              <w:pStyle w:val="DualTxt"/>
            </w:pPr>
            <w:r>
              <w:t>35:01</w:t>
            </w:r>
          </w:p>
        </w:tc>
        <w:tc>
          <w:tcPr>
            <w:tcW w:w="1035" w:type="dxa"/>
          </w:tcPr>
          <w:p w:rsidR="00000000" w:rsidRDefault="00000000">
            <w:pPr>
              <w:pStyle w:val="DualTxt"/>
            </w:pPr>
            <w:r>
              <w:t>50:00</w:t>
            </w:r>
          </w:p>
        </w:tc>
      </w:tr>
      <w:tr w:rsidR="00000000">
        <w:tblPrEx>
          <w:tblCellMar>
            <w:top w:w="0" w:type="dxa"/>
            <w:bottom w:w="0" w:type="dxa"/>
          </w:tblCellMar>
        </w:tblPrEx>
        <w:tc>
          <w:tcPr>
            <w:tcW w:w="2439" w:type="dxa"/>
          </w:tcPr>
          <w:p w:rsidR="00000000" w:rsidRDefault="00000000">
            <w:pPr>
              <w:pStyle w:val="DualTxt"/>
              <w:rPr>
                <w:sz w:val="18"/>
              </w:rPr>
            </w:pPr>
            <w:r>
              <w:rPr>
                <w:sz w:val="18"/>
              </w:rPr>
              <w:t>Свободное время</w:t>
            </w:r>
          </w:p>
        </w:tc>
        <w:tc>
          <w:tcPr>
            <w:tcW w:w="1071" w:type="dxa"/>
          </w:tcPr>
          <w:p w:rsidR="00000000" w:rsidRDefault="00000000">
            <w:pPr>
              <w:pStyle w:val="DualTxt"/>
            </w:pPr>
            <w:r>
              <w:t>27:37</w:t>
            </w:r>
          </w:p>
        </w:tc>
        <w:tc>
          <w:tcPr>
            <w:tcW w:w="963" w:type="dxa"/>
          </w:tcPr>
          <w:p w:rsidR="00000000" w:rsidRDefault="00000000">
            <w:pPr>
              <w:pStyle w:val="DualTxt"/>
            </w:pPr>
            <w:r>
              <w:t>21:46</w:t>
            </w:r>
          </w:p>
        </w:tc>
        <w:tc>
          <w:tcPr>
            <w:tcW w:w="990" w:type="dxa"/>
          </w:tcPr>
          <w:p w:rsidR="00000000" w:rsidRDefault="00000000">
            <w:pPr>
              <w:pStyle w:val="DualTxt"/>
            </w:pPr>
            <w:r>
              <w:t>35:18</w:t>
            </w:r>
          </w:p>
        </w:tc>
        <w:tc>
          <w:tcPr>
            <w:tcW w:w="963" w:type="dxa"/>
          </w:tcPr>
          <w:p w:rsidR="00000000" w:rsidRDefault="00000000">
            <w:pPr>
              <w:pStyle w:val="DualTxt"/>
            </w:pPr>
            <w:r>
              <w:t>33:55</w:t>
            </w:r>
          </w:p>
        </w:tc>
        <w:tc>
          <w:tcPr>
            <w:tcW w:w="1089" w:type="dxa"/>
          </w:tcPr>
          <w:p w:rsidR="00000000" w:rsidRDefault="00000000">
            <w:pPr>
              <w:pStyle w:val="DualTxt"/>
            </w:pPr>
            <w:r>
              <w:t>43:29</w:t>
            </w:r>
          </w:p>
        </w:tc>
        <w:tc>
          <w:tcPr>
            <w:tcW w:w="1035" w:type="dxa"/>
          </w:tcPr>
          <w:p w:rsidR="00000000" w:rsidRDefault="00000000">
            <w:pPr>
              <w:pStyle w:val="DualTxt"/>
            </w:pPr>
            <w:r>
              <w:t>35:27</w:t>
            </w:r>
          </w:p>
        </w:tc>
      </w:tr>
      <w:tr w:rsidR="00000000">
        <w:tblPrEx>
          <w:tblCellMar>
            <w:top w:w="0" w:type="dxa"/>
            <w:bottom w:w="0" w:type="dxa"/>
          </w:tblCellMar>
        </w:tblPrEx>
        <w:tc>
          <w:tcPr>
            <w:tcW w:w="2439" w:type="dxa"/>
          </w:tcPr>
          <w:p w:rsidR="00000000" w:rsidRDefault="00000000">
            <w:pPr>
              <w:pStyle w:val="DualTxt"/>
              <w:rPr>
                <w:sz w:val="18"/>
              </w:rPr>
            </w:pPr>
            <w:r>
              <w:rPr>
                <w:sz w:val="18"/>
              </w:rPr>
              <w:t>Прочее</w:t>
            </w:r>
          </w:p>
        </w:tc>
        <w:tc>
          <w:tcPr>
            <w:tcW w:w="1071" w:type="dxa"/>
          </w:tcPr>
          <w:p w:rsidR="00000000" w:rsidRDefault="00000000">
            <w:pPr>
              <w:pStyle w:val="DualTxt"/>
            </w:pPr>
            <w:r>
              <w:t>01:56</w:t>
            </w:r>
          </w:p>
        </w:tc>
        <w:tc>
          <w:tcPr>
            <w:tcW w:w="963" w:type="dxa"/>
          </w:tcPr>
          <w:p w:rsidR="00000000" w:rsidRDefault="00000000">
            <w:pPr>
              <w:pStyle w:val="DualTxt"/>
            </w:pPr>
            <w:r>
              <w:t>01:06</w:t>
            </w:r>
          </w:p>
        </w:tc>
        <w:tc>
          <w:tcPr>
            <w:tcW w:w="990" w:type="dxa"/>
          </w:tcPr>
          <w:p w:rsidR="00000000" w:rsidRDefault="00000000">
            <w:pPr>
              <w:pStyle w:val="DualTxt"/>
            </w:pPr>
            <w:r>
              <w:t>02:40</w:t>
            </w:r>
          </w:p>
        </w:tc>
        <w:tc>
          <w:tcPr>
            <w:tcW w:w="963" w:type="dxa"/>
          </w:tcPr>
          <w:p w:rsidR="00000000" w:rsidRDefault="00000000">
            <w:pPr>
              <w:pStyle w:val="DualTxt"/>
            </w:pPr>
            <w:r>
              <w:t>02:06</w:t>
            </w:r>
          </w:p>
        </w:tc>
        <w:tc>
          <w:tcPr>
            <w:tcW w:w="1089" w:type="dxa"/>
          </w:tcPr>
          <w:p w:rsidR="00000000" w:rsidRDefault="00000000">
            <w:pPr>
              <w:pStyle w:val="DualTxt"/>
            </w:pPr>
            <w:r>
              <w:t>02:50</w:t>
            </w:r>
          </w:p>
        </w:tc>
        <w:tc>
          <w:tcPr>
            <w:tcW w:w="1035" w:type="dxa"/>
          </w:tcPr>
          <w:p w:rsidR="00000000" w:rsidRDefault="00000000">
            <w:pPr>
              <w:pStyle w:val="DualTxt"/>
            </w:pPr>
            <w:r>
              <w:t>01:23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получение семейных пособий</w:t>
      </w:r>
    </w:p>
    <w:p w:rsidR="00000000" w:rsidRDefault="00000000">
      <w:pPr>
        <w:pStyle w:val="SingleTxt"/>
        <w:keepNext/>
        <w:spacing w:after="0" w:line="120" w:lineRule="exact"/>
        <w:rPr>
          <w:sz w:val="10"/>
        </w:rPr>
      </w:pPr>
    </w:p>
    <w:p w:rsidR="00000000" w:rsidRDefault="00000000">
      <w:pPr>
        <w:pStyle w:val="SingleTxt"/>
      </w:pPr>
      <w:r>
        <w:t>240.</w:t>
      </w:r>
      <w:r>
        <w:tab/>
        <w:t>В Латвии существует общая система семейных пособий, которая является частью государственной системы социальной помощи. Эти пособия финанс</w:t>
      </w:r>
      <w:r>
        <w:t>и</w:t>
      </w:r>
      <w:r>
        <w:t>руются из государственного бюджета. Право на получение этих государстве</w:t>
      </w:r>
      <w:r>
        <w:t>н</w:t>
      </w:r>
      <w:r>
        <w:t>ных пособий не связано с взносами, которые производятся по линии социал</w:t>
      </w:r>
      <w:r>
        <w:t>ь</w:t>
      </w:r>
      <w:r>
        <w:t>ного страхования. В соответствии с законом «О социальной помощи» право на получение социальной помощи имеют граждане Латвии, неграждане, ин</w:t>
      </w:r>
      <w:r>
        <w:t>о</w:t>
      </w:r>
      <w:r>
        <w:t>странцы и лица без гражданства, которые имеют индивидуальный идентифик</w:t>
      </w:r>
      <w:r>
        <w:t>а</w:t>
      </w:r>
      <w:r>
        <w:t>ционный код, кроме лиц, имеющих разрешение на временное проживание, без какого-либо различия по признаку пола.</w:t>
      </w:r>
    </w:p>
    <w:p w:rsidR="00000000" w:rsidRDefault="00000000">
      <w:pPr>
        <w:pStyle w:val="SingleTxt"/>
      </w:pPr>
      <w:r>
        <w:t>241.</w:t>
      </w:r>
      <w:r>
        <w:tab/>
        <w:t xml:space="preserve"> До реформы системы социального обеспечения, которая проводится в о</w:t>
      </w:r>
      <w:r>
        <w:t>б</w:t>
      </w:r>
      <w:r>
        <w:t>ласти семейных пособий с 1996 года, семейные пособия предоставлялись в с</w:t>
      </w:r>
      <w:r>
        <w:t>о</w:t>
      </w:r>
      <w:r>
        <w:t>ответствии с постановлениями Совета министров СССР и Всесоюзного Це</w:t>
      </w:r>
      <w:r>
        <w:t>н</w:t>
      </w:r>
      <w:r>
        <w:t>трального Совета Профессиональных Союзов «О предоставлении государс</w:t>
      </w:r>
      <w:r>
        <w:t>т</w:t>
      </w:r>
      <w:r>
        <w:t>венных пособий по социальному страхованию» от 30 февраля 1984 года и п</w:t>
      </w:r>
      <w:r>
        <w:t>о</w:t>
      </w:r>
      <w:r>
        <w:t>становлением No 34 кабинета министров от 17 октября1995 года «О пособиях и субсидиях».</w:t>
      </w:r>
    </w:p>
    <w:p w:rsidR="00000000" w:rsidRDefault="00000000">
      <w:pPr>
        <w:pStyle w:val="SingleTxt"/>
      </w:pPr>
      <w:r>
        <w:t>242.</w:t>
      </w:r>
      <w:r>
        <w:tab/>
        <w:t>Закон «О социальной помощи»</w:t>
      </w:r>
      <w:r>
        <w:rPr>
          <w:rStyle w:val="FootnoteReference"/>
        </w:rPr>
        <w:footnoteReference w:customMarkFollows="1" w:id="11"/>
        <w:t>10</w:t>
      </w:r>
      <w:r>
        <w:t xml:space="preserve"> предусматривает предоставление сл</w:t>
      </w:r>
      <w:r>
        <w:t>е</w:t>
      </w:r>
      <w:r>
        <w:t>дующих государственных социальных пособий семьям: пособие по уходу за ребенком, пособие при рождении ребенка и государственное семейное пособие. Общая помощь семьям с детьми включает также следующие виды помощи: предоставление выплаты в размере пособия по социальному страхованию в д</w:t>
      </w:r>
      <w:r>
        <w:t>о</w:t>
      </w:r>
      <w:r>
        <w:t>полнение к государственному семейному пособию семьям с ребенком-инвалидом в возрасте до 16 лет; опекунское пособие за содержание ребенка и выполнение обязанностей опекуна; выплата вознаграждения семьям, взявшим на воспитание ребенка, плата за содержание в специальных детских учрежд</w:t>
      </w:r>
      <w:r>
        <w:t>е</w:t>
      </w:r>
      <w:r>
        <w:t>ниях, пособие на усыновление и опеку.</w:t>
      </w:r>
    </w:p>
    <w:p w:rsidR="00000000" w:rsidRDefault="00000000">
      <w:pPr>
        <w:pStyle w:val="SingleTxt"/>
      </w:pPr>
      <w:r>
        <w:t>243.</w:t>
      </w:r>
      <w:r>
        <w:tab/>
        <w:t xml:space="preserve">В соответствии с законом «О социальной помощи» </w:t>
      </w:r>
      <w:r>
        <w:rPr>
          <w:u w:val="single"/>
        </w:rPr>
        <w:t>государственное с</w:t>
      </w:r>
      <w:r>
        <w:rPr>
          <w:u w:val="single"/>
        </w:rPr>
        <w:t>е</w:t>
      </w:r>
      <w:r>
        <w:rPr>
          <w:u w:val="single"/>
        </w:rPr>
        <w:t>мейное пособие</w:t>
      </w:r>
      <w:r>
        <w:t xml:space="preserve"> предоставляется лицам, воспитывающим ребенка. Государс</w:t>
      </w:r>
      <w:r>
        <w:t>т</w:t>
      </w:r>
      <w:r>
        <w:t>венное семейное пособие носит всеобщий характер и предоставляется за ка</w:t>
      </w:r>
      <w:r>
        <w:t>ж</w:t>
      </w:r>
      <w:r>
        <w:t>дого ребенка в возрасте до 15 лет или ребенка, возраст которого превышает 15 лет, но он посещает общеобразовательную школу и не вступил в брак, но до тех пор пока ребенок не достигает возраста 20 лет. Если государственное с</w:t>
      </w:r>
      <w:r>
        <w:t>е</w:t>
      </w:r>
      <w:r>
        <w:t>мейное пособие предоставляется за ребенка-инвалида в возрасте до 16 лет, то выплачивается дополнительное пособие в размере, который устанавливается кабинетом министров.</w:t>
      </w:r>
    </w:p>
    <w:p w:rsidR="00000000" w:rsidRDefault="00000000">
      <w:pPr>
        <w:pStyle w:val="SingleTxt"/>
      </w:pPr>
      <w:r>
        <w:t>244.</w:t>
      </w:r>
      <w:r>
        <w:tab/>
        <w:t>В настоящее время размер государственного семейного пособия в Латвии на детей, родившихся до 1 января 1999 года, составляет 4,25 латвийских лат за первого ребенка, 5,10 латвийских лат, или в 1,2 раза выше, — за второго ребе</w:t>
      </w:r>
      <w:r>
        <w:t>н</w:t>
      </w:r>
      <w:r>
        <w:t>ка, 6,80 латвийских лат, или в 1,6 раза выше, — за третьего ребенка, 7,65 ла</w:t>
      </w:r>
      <w:r>
        <w:t>т</w:t>
      </w:r>
      <w:r>
        <w:t>вийских лат, или в 1,8 раза выше, — за четвертого ребенка и последующих д</w:t>
      </w:r>
      <w:r>
        <w:t>е</w:t>
      </w:r>
      <w:r>
        <w:t>тей. Размер государственного семейного пособия за детей, родившихся после 1 января 1999 года, составляет 6 латвийских лат за первого ребенка, 7,20 ла</w:t>
      </w:r>
      <w:r>
        <w:t>т</w:t>
      </w:r>
      <w:r>
        <w:t>вийских лат, или в 1,2 раза выше, — за второго ребенка, 9,60 латвийских лат, или в 1,6 раза выше, — за третьего ребенка и 10,80, или в 1,8 раза выше, — за четвертого ребенка и последующих детей. В настоящее время эти пособия я</w:t>
      </w:r>
      <w:r>
        <w:t>в</w:t>
      </w:r>
      <w:r>
        <w:t>ляются недостаточными, и сейчас разрабатывается новый порядок выплаты и предусматривается повышение размера пособий. Некоторые органы местного самоуправления выплачивают также из своих местных бюджетов пособие при ро</w:t>
      </w:r>
      <w:r>
        <w:t>ж</w:t>
      </w:r>
      <w:r>
        <w:t>дении ребенка.</w:t>
      </w:r>
    </w:p>
    <w:p w:rsidR="00000000" w:rsidRDefault="00000000">
      <w:pPr>
        <w:pStyle w:val="SingleTxt"/>
      </w:pPr>
      <w:r>
        <w:t>245.</w:t>
      </w:r>
      <w:r>
        <w:tab/>
        <w:t xml:space="preserve">Закон «О социальной помощи» гласит, что </w:t>
      </w:r>
      <w:r>
        <w:rPr>
          <w:u w:val="single"/>
        </w:rPr>
        <w:t xml:space="preserve">пособие по уходу за ребенком </w:t>
      </w:r>
      <w:r>
        <w:t>является регулярным ежемесячным пособием, размер которого не зависит от числа детей. Оно предоставляется лицу, которое осуществляет уход за ребе</w:t>
      </w:r>
      <w:r>
        <w:t>н</w:t>
      </w:r>
      <w:r>
        <w:t>ком в возрасте до трех лет, которое не работает или работает неполный раб</w:t>
      </w:r>
      <w:r>
        <w:t>о</w:t>
      </w:r>
      <w:r>
        <w:t>чий день и не получает пособия по беременности и родам. Размер пособия по уходу за ребенком в возрасте до полутора лет составляет 30 латвийских лат в месяц. Лица, которые осуществляют уход за ребенком в возрасте от полутора до трех лет, получают пособие в размере 7,50 латвийских лат в месяц.</w:t>
      </w:r>
    </w:p>
    <w:p w:rsidR="00000000" w:rsidRDefault="00000000">
      <w:pPr>
        <w:pStyle w:val="SingleTxt"/>
      </w:pPr>
      <w:r>
        <w:t>246.</w:t>
      </w:r>
      <w:r>
        <w:tab/>
      </w:r>
      <w:r>
        <w:rPr>
          <w:u w:val="single"/>
        </w:rPr>
        <w:t>Пособие при рождении ребенка</w:t>
      </w:r>
      <w:r>
        <w:t xml:space="preserve"> предоставляется одному из родителей р</w:t>
      </w:r>
      <w:r>
        <w:t>е</w:t>
      </w:r>
      <w:r>
        <w:t>бенка. В соответствии с законом «О социальной помощи» один из родителей ребенка или лицо, которое усыновило ребенка или взяло на себя опекунство над ребенком в возрасте до одного года, имеет право на получение пособия при рождении ребенка, которое представляет собой единовременное общее пос</w:t>
      </w:r>
      <w:r>
        <w:t>о</w:t>
      </w:r>
      <w:r>
        <w:t>бие. Пособие при рождении ребенка составляет 50 процентов стоимости пр</w:t>
      </w:r>
      <w:r>
        <w:t>и</w:t>
      </w:r>
      <w:r>
        <w:t>даного новорожденного и в настоящее время установлено в размере 98 латви</w:t>
      </w:r>
      <w:r>
        <w:t>й</w:t>
      </w:r>
      <w:r>
        <w:t>ских лат. Если мать зарегистрирована в медицинском учреждении и выполняет все указания врача, то размер этого пособия удваивается до 196 латвийских лат. Однако в случае рождения двойни или тройни мать получает единовременное пособие такого же размера, как и за одного ребенка. Латвийская ассоциация по вопросам гендерного равенства в своих комментариях по проекту доклада о</w:t>
      </w:r>
      <w:r>
        <w:t>т</w:t>
      </w:r>
      <w:r>
        <w:t>мечает, что пособие при рождении ребенка составляет лишь 50 процентов м</w:t>
      </w:r>
      <w:r>
        <w:t>и</w:t>
      </w:r>
      <w:r>
        <w:t>нимального месячного оклада, в результате чего оклад женщины полностью не компенсируется, что удерживает женщин от того, чтобы иметь желаемое число детей, по данным проведенных обследований (обычно два, реже три). Латви</w:t>
      </w:r>
      <w:r>
        <w:t>й</w:t>
      </w:r>
      <w:r>
        <w:t>ская ассоциация по вопросам гендерного равенства считает, что в результате этого качество жизни женщины снижается, а также растет опасность того, что ей не удастся успешно возобновить работу со всеми вытекающими отсюда п</w:t>
      </w:r>
      <w:r>
        <w:t>о</w:t>
      </w:r>
      <w:r>
        <w:t>тенциальными последствиями безработицы для дохода женщины и возможн</w:t>
      </w:r>
      <w:r>
        <w:t>о</w:t>
      </w:r>
      <w:r>
        <w:t>стей получ</w:t>
      </w:r>
      <w:r>
        <w:t>е</w:t>
      </w:r>
      <w:r>
        <w:t>ния обеспечения по социальному страхованию.</w:t>
      </w:r>
    </w:p>
    <w:p w:rsidR="00000000" w:rsidRDefault="00000000">
      <w:pPr>
        <w:pStyle w:val="SingleTxt"/>
      </w:pPr>
      <w:r>
        <w:t>247.</w:t>
      </w:r>
      <w:r>
        <w:tab/>
        <w:t>Следует отметить, что государственное семейное пособие и пособие при рождении ребенка предоставляются матери ребенка, при этом отец ребенка имеет право на эти пособия только в особых случаях, установленных законом. Следует отметить, что законодательство Латвии не предусматривает никаких специальных государс</w:t>
      </w:r>
      <w:r>
        <w:t>т</w:t>
      </w:r>
      <w:r>
        <w:t>венных социальных льгот для одиноких матерей.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получение ссуд</w:t>
      </w:r>
    </w:p>
    <w:p w:rsidR="00000000" w:rsidRDefault="00000000">
      <w:pPr>
        <w:pStyle w:val="SingleTxt"/>
        <w:spacing w:after="0" w:line="120" w:lineRule="exact"/>
        <w:rPr>
          <w:sz w:val="10"/>
        </w:rPr>
      </w:pPr>
    </w:p>
    <w:p w:rsidR="00000000" w:rsidRDefault="00000000">
      <w:pPr>
        <w:pStyle w:val="SingleTxt"/>
      </w:pPr>
      <w:r>
        <w:t>248.</w:t>
      </w:r>
      <w:r>
        <w:tab/>
        <w:t>В Латвии не существует никаких юридических препятствий для получ</w:t>
      </w:r>
      <w:r>
        <w:t>е</w:t>
      </w:r>
      <w:r>
        <w:t>ния ссуд женщинами. По гражданскому законодательству стороны в любой юридической сделке, включая кредитную операцию, должны обладать прав</w:t>
      </w:r>
      <w:r>
        <w:t>о</w:t>
      </w:r>
      <w:r>
        <w:t>способностью и дееспособностью. По смыслу этого законодательства, прав</w:t>
      </w:r>
      <w:r>
        <w:t>о</w:t>
      </w:r>
      <w:r>
        <w:t>способностью не обладают несовершеннолетние, лица, находящиеся под поп</w:t>
      </w:r>
      <w:r>
        <w:t>е</w:t>
      </w:r>
      <w:r>
        <w:t>чительством в силу своего беспорядочного или невоздержанного образа жизни, и душевнобольные, если законом не предусматривается иного.</w:t>
      </w:r>
    </w:p>
    <w:p w:rsidR="00000000" w:rsidRDefault="00000000">
      <w:pPr>
        <w:pStyle w:val="SingleTxt"/>
      </w:pPr>
      <w:r>
        <w:t>249.</w:t>
      </w:r>
      <w:r>
        <w:tab/>
        <w:t>В соответствии с законом «О кредитных учреждениях» кредитное учре</w:t>
      </w:r>
      <w:r>
        <w:t>ж</w:t>
      </w:r>
      <w:r>
        <w:t>дение проверяет платежеспособность кредитополучателя до и после предо</w:t>
      </w:r>
      <w:r>
        <w:t>с</w:t>
      </w:r>
      <w:r>
        <w:t>тавления кредита, регулярно запрашивает документы, подтверждающие ф</w:t>
      </w:r>
      <w:r>
        <w:t>и</w:t>
      </w:r>
      <w:r>
        <w:t>нансовую стабильность экономической деятельности кредитополучателя и его способность выплатить о</w:t>
      </w:r>
      <w:r>
        <w:t>с</w:t>
      </w:r>
      <w:r>
        <w:t>новную сумму кредита и проценты.</w:t>
      </w:r>
    </w:p>
    <w:p w:rsidR="00000000" w:rsidRDefault="00000000">
      <w:pPr>
        <w:pStyle w:val="SingleTxt"/>
      </w:pPr>
      <w:r>
        <w:t>250.</w:t>
      </w:r>
      <w:r>
        <w:tab/>
        <w:t>С сентября 2001 года Ипотечно-земельный банк, который принадлежит государству, включил малые и средние предприятия, которые управляются женщинами или 75 процентов работников которых - женщины, в качестве о</w:t>
      </w:r>
      <w:r>
        <w:t>д</w:t>
      </w:r>
      <w:r>
        <w:t>ной из целевых групп в свою программу кредитования развития малых и сре</w:t>
      </w:r>
      <w:r>
        <w:t>д</w:t>
      </w:r>
      <w:r>
        <w:t>них предприятий. Вышеупомянутая программа предусматривает льготы с то</w:t>
      </w:r>
      <w:r>
        <w:t>ч</w:t>
      </w:r>
      <w:r>
        <w:t>ки зрения требований, касающихся обеспечения кредита и опыта предприн</w:t>
      </w:r>
      <w:r>
        <w:t>и</w:t>
      </w:r>
      <w:r>
        <w:t>мательской деятельности. Как показывает практика, большинство малых пре</w:t>
      </w:r>
      <w:r>
        <w:t>д</w:t>
      </w:r>
      <w:r>
        <w:t>приятий в Латвии управляется мужчинами и принадлежит им. Такую ситуацию в современном демократическом обществе следует рассматривать как отклон</w:t>
      </w:r>
      <w:r>
        <w:t>е</w:t>
      </w:r>
      <w:r>
        <w:t>ние от нормы, и поэтому программа предусматривает предоставление дополн</w:t>
      </w:r>
      <w:r>
        <w:t>и</w:t>
      </w:r>
      <w:r>
        <w:t>тельной поддержки женским предприятиям.</w:t>
      </w:r>
    </w:p>
    <w:p w:rsidR="00000000" w:rsidRDefault="00000000">
      <w:pPr>
        <w:pStyle w:val="SingleTxt"/>
      </w:pPr>
      <w:r>
        <w:t>251.</w:t>
      </w:r>
      <w:r>
        <w:tab/>
        <w:t>Латвийская ассоциация по вопросам гендерного равенства отмечает, что только одна треть респондентов в обследовании, проведенном в 2001 году ба</w:t>
      </w:r>
      <w:r>
        <w:t>н</w:t>
      </w:r>
      <w:r>
        <w:t>ком «Нордик инвестмент бэнк», считает, что женщины-предприниматели сами способны преодолеть препятствия гендерного характера. Указывалось, что большинство респондентов (63 процента) полагает, что государство должно принять закон, предусматривающий оказание п</w:t>
      </w:r>
      <w:r>
        <w:t>о</w:t>
      </w:r>
      <w:r>
        <w:t>мощи женщинам-предпринимателям. Латвийская ассоциация по вопросам гендерного равенства отмечает также, что распространяется мало информации о программах кред</w:t>
      </w:r>
      <w:r>
        <w:t>и</w:t>
      </w:r>
      <w:r>
        <w:t>тования, направленных на оказание поддержки предпринимательской деятел</w:t>
      </w:r>
      <w:r>
        <w:t>ь</w:t>
      </w:r>
      <w:r>
        <w:t>ности женщин в Латвии. Так, по данным обследования «Мнение женщин о поддержке предпринимательской деятельности в Латвии» (проведенного И</w:t>
      </w:r>
      <w:r>
        <w:t>н</w:t>
      </w:r>
      <w:r>
        <w:t>ститутом философии и социологии Латвийского университета), только 30 пр</w:t>
      </w:r>
      <w:r>
        <w:t>о</w:t>
      </w:r>
      <w:r>
        <w:t>центов респондентов знают о существовании таких программ.</w:t>
      </w:r>
    </w:p>
    <w:p w:rsidR="00000000" w:rsidRDefault="00000000">
      <w:pPr>
        <w:pStyle w:val="SingleTxt"/>
      </w:pPr>
      <w:r>
        <w:t>252.</w:t>
      </w:r>
      <w:r>
        <w:tab/>
        <w:t>Основными условиями, которые учитывают частные кредитные учрежд</w:t>
      </w:r>
      <w:r>
        <w:t>е</w:t>
      </w:r>
      <w:r>
        <w:t>ния при предоставлении кредитов физическим лицам, являются постоянная з</w:t>
      </w:r>
      <w:r>
        <w:t>а</w:t>
      </w:r>
      <w:r>
        <w:t>нятость, регулярный и стабильный ежемесячный доход на семью или на члена домашнего хозяйства, а также число детей в семье, независимо от пола кред</w:t>
      </w:r>
      <w:r>
        <w:t>и</w:t>
      </w:r>
      <w:r>
        <w:t>тополучателя. В силу того, что женщины менее активны в экономическом пл</w:t>
      </w:r>
      <w:r>
        <w:t>а</w:t>
      </w:r>
      <w:r>
        <w:t>не и имеют меньший средний доход, чем мужчины (см. таблицу, помещенную после пункта 151), женщины реже, чем мужчины, запрашивают и получают кредиты различного рода. Латвийская ассоциация по вопросам гендерного р</w:t>
      </w:r>
      <w:r>
        <w:t>а</w:t>
      </w:r>
      <w:r>
        <w:t>венства отмечает, что довольно часто банки требуют наличия недвижимости в качестве обеспечения кредита, тогда как недвижимость не всегда зарегистр</w:t>
      </w:r>
      <w:r>
        <w:t>и</w:t>
      </w:r>
      <w:r>
        <w:t>рована на имя женщин. Между тем, по данным государственного земельного обследования, 55 процентов недвижимости зарегистрировано как недвиж</w:t>
      </w:r>
      <w:r>
        <w:t>и</w:t>
      </w:r>
      <w:r>
        <w:t>мость, принадлежащая женщинам, и 45 процентов - как принадлежащая му</w:t>
      </w:r>
      <w:r>
        <w:t>ж</w:t>
      </w:r>
      <w:r>
        <w:t>чинам. Т</w:t>
      </w:r>
      <w:r>
        <w:t>а</w:t>
      </w:r>
      <w:r>
        <w:t>ким образом, в этой сфере скрытая дискриминация отсутствует.</w:t>
      </w:r>
    </w:p>
    <w:p w:rsidR="00000000" w:rsidRDefault="00000000">
      <w:pPr>
        <w:pStyle w:val="SingleTxt"/>
      </w:pPr>
      <w:r>
        <w:t>253.</w:t>
      </w:r>
      <w:r>
        <w:tab/>
        <w:t>Никакого различия между мужчинами и женщинами при получении ссуд под недвижимость также не проводится. Не проводится также никаких разл</w:t>
      </w:r>
      <w:r>
        <w:t>и</w:t>
      </w:r>
      <w:r>
        <w:t>чий между мужчинами и женщинами в их способности приобретать недвиж</w:t>
      </w:r>
      <w:r>
        <w:t>и</w:t>
      </w:r>
      <w:r>
        <w:t>мость в свою собственность или распоряжаться недвижимостью. «Сатверсме» (Конституция) гласит, что каждый человек имеет право защищать свои индив</w:t>
      </w:r>
      <w:r>
        <w:t>и</w:t>
      </w:r>
      <w:r>
        <w:t>дуальные права собственности и что права собственности могут быть огран</w:t>
      </w:r>
      <w:r>
        <w:t>и</w:t>
      </w:r>
      <w:r>
        <w:t>чены только в соответствии с законом.</w:t>
      </w:r>
    </w:p>
    <w:p w:rsidR="00000000" w:rsidRDefault="00000000">
      <w:pPr>
        <w:pStyle w:val="SingleTxt"/>
      </w:pPr>
      <w:r>
        <w:t>254.</w:t>
      </w:r>
      <w:r>
        <w:tab/>
        <w:t>Право распоряжаться своим имуществом закреплено также в гражданском законодательстве, в котором право собственности определяется как полное право на имущество, то есть право владеть и пользоваться имуществом, извл</w:t>
      </w:r>
      <w:r>
        <w:t>е</w:t>
      </w:r>
      <w:r>
        <w:t>кать все возможные выгоды из него, распоряжаться им и требовать возвращ</w:t>
      </w:r>
      <w:r>
        <w:t>е</w:t>
      </w:r>
      <w:r>
        <w:t>ния имущества у третьей стороны в соответствии с установленным порядком, откуда также следует право человека - независимо от его пола - брать ссуды, используя недвижимость в качестве обеспечения.</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участвовать в мероприятиях, связанных с культурной жизнью и занят</w:t>
      </w:r>
      <w:r>
        <w:t>и</w:t>
      </w:r>
      <w:r>
        <w:t>ем спортом</w:t>
      </w:r>
    </w:p>
    <w:p w:rsidR="00000000" w:rsidRDefault="00000000">
      <w:pPr>
        <w:pStyle w:val="SingleTxt"/>
        <w:spacing w:after="0" w:line="120" w:lineRule="exact"/>
        <w:rPr>
          <w:sz w:val="10"/>
        </w:rPr>
      </w:pPr>
    </w:p>
    <w:p w:rsidR="00000000" w:rsidRDefault="00000000">
      <w:pPr>
        <w:pStyle w:val="SingleTxt"/>
      </w:pPr>
      <w:r>
        <w:t>255.</w:t>
      </w:r>
      <w:r>
        <w:tab/>
        <w:t>В Латвии отсутствуют какие-либо ограничения в отношении участия женщин в мероприятиях, связанных с отдыхом, занятиях спортом и во всех о</w:t>
      </w:r>
      <w:r>
        <w:t>б</w:t>
      </w:r>
      <w:r>
        <w:t>ластях культурной жизни. Единственные ограничения, которые устанавливаю</w:t>
      </w:r>
      <w:r>
        <w:t>т</w:t>
      </w:r>
      <w:r>
        <w:t>ся на участие человека в некоторых культурных мероприятиях, это возрастные ограничения, независимо от пола, цель которых состоит в том, чтобы оградить подростков от вредного влияния.</w:t>
      </w:r>
    </w:p>
    <w:p w:rsidR="00000000" w:rsidRDefault="00000000">
      <w:pPr>
        <w:pStyle w:val="SingleTxt"/>
      </w:pPr>
      <w:r>
        <w:t>256.</w:t>
      </w:r>
      <w:r>
        <w:tab/>
        <w:t>Возможности участия женщин в спортивных мероприятиях уже рассма</w:t>
      </w:r>
      <w:r>
        <w:t>т</w:t>
      </w:r>
      <w:r>
        <w:t>ривались при обсуждении статьи 10. Участие женщин в различных областях культурной жизни рассматривалось достаточно обстоятельно, когда речь шла о выполнении положений статьи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257.</w:t>
      </w:r>
      <w:r>
        <w:tab/>
        <w:t>Согласно принятому в Латвии территориальному делению на города и сельские районы 98 процентов территории страны приходится на сельскую м</w:t>
      </w:r>
      <w:r>
        <w:t>е</w:t>
      </w:r>
      <w:r>
        <w:t>стность, где проживает 31 процент общей численности населения страны. Средняя плотность населения составляет 12 жителей на один квадратный к</w:t>
      </w:r>
      <w:r>
        <w:t>и</w:t>
      </w:r>
      <w:r>
        <w:t>лометр.</w:t>
      </w:r>
    </w:p>
    <w:p w:rsidR="00000000" w:rsidRDefault="00000000">
      <w:pPr>
        <w:pStyle w:val="SingleTxt"/>
      </w:pPr>
      <w:r>
        <w:t>258.</w:t>
      </w:r>
      <w:r>
        <w:tab/>
        <w:t>Положение в сельских районах Латвии, а, следовательно, и конкретные проблемы, с которыми сталкиваются женщины, живущие в сельских районах, характеризуются ограниченными возможностями для занятости. В экономике сельских районов главным источником занятости является сельское хозяйство, которое дает работу и средства к существованию примерно 37 процентам всех работающих сельских жителей. Проводимая в настоящее время модернизация сельскохозяйственного сектора приводит к еще большему сокращению числе</w:t>
      </w:r>
      <w:r>
        <w:t>н</w:t>
      </w:r>
      <w:r>
        <w:t>ности занятого населения. Другие сектора сельской экономики, помимо сел</w:t>
      </w:r>
      <w:r>
        <w:t>ь</w:t>
      </w:r>
      <w:r>
        <w:t>ского хозяйства, обеспечить доходом сельское население не в состоянии. Цел</w:t>
      </w:r>
      <w:r>
        <w:t>я</w:t>
      </w:r>
      <w:r>
        <w:t>ми Закона о сельском хозяйстве 1996 года являются создание необходимых у</w:t>
      </w:r>
      <w:r>
        <w:t>с</w:t>
      </w:r>
      <w:r>
        <w:t>ловий для обеспечения занятости в сельских районах, компенсация негативных факторов, действующих в сельском хозяйстве в сравнении с другими секторами экономики, и обеспечение работающих в сельском хозяйстве равными возмо</w:t>
      </w:r>
      <w:r>
        <w:t>ж</w:t>
      </w:r>
      <w:r>
        <w:t>ностями для достижения социального и экономического благополучия. Упом</w:t>
      </w:r>
      <w:r>
        <w:t>я</w:t>
      </w:r>
      <w:r>
        <w:t>нутый закон, а также другие правовые акты, регулирующие деятельность сел</w:t>
      </w:r>
      <w:r>
        <w:t>ь</w:t>
      </w:r>
      <w:r>
        <w:t>скохозяйственного сектора, не содержат положений, подвергающих женщин дискриминации, или каких-либо ограничений, являющихся дискриминацио</w:t>
      </w:r>
      <w:r>
        <w:t>н</w:t>
      </w:r>
      <w:r>
        <w:t>ными в отношении женщин.</w:t>
      </w:r>
    </w:p>
    <w:p w:rsidR="00000000" w:rsidRDefault="00000000">
      <w:pPr>
        <w:pStyle w:val="SingleTxt"/>
      </w:pPr>
      <w:r>
        <w:t>259.</w:t>
      </w:r>
      <w:r>
        <w:tab/>
        <w:t>В настоящее время сельские районы нуждаются в 34 000 рабочих мест, а по мере развития процесса перестройки в сельском хозяйстве это число в пре</w:t>
      </w:r>
      <w:r>
        <w:t>д</w:t>
      </w:r>
      <w:r>
        <w:t>стоящие два-три года достигнет 50 000. Уровень зарегистрированной безраб</w:t>
      </w:r>
      <w:r>
        <w:t>о</w:t>
      </w:r>
      <w:r>
        <w:t>тицы в сельских районах и городах примерно одинаков (8,9 процента и 7,1 процента соответственно), однако фактическая ситуация с занятостью в сел</w:t>
      </w:r>
      <w:r>
        <w:t>ь</w:t>
      </w:r>
      <w:r>
        <w:t>ских районах обстоит гораздо хуже, так как в сельских районах распростран</w:t>
      </w:r>
      <w:r>
        <w:t>е</w:t>
      </w:r>
      <w:r>
        <w:t>ны также некоторые формы скрытой безработицы: например, доля неоплач</w:t>
      </w:r>
      <w:r>
        <w:t>и</w:t>
      </w:r>
      <w:r>
        <w:t>ваемых членов семьи в сельских районах составляет 11,6 процента, а в городах лишь 0,2 процента. В силу того, что до сих пор в сельскохозяйственном сект</w:t>
      </w:r>
      <w:r>
        <w:t>о</w:t>
      </w:r>
      <w:r>
        <w:t>ре отмечаются самые низкие уровни дохода и самое высокое число неоплач</w:t>
      </w:r>
      <w:r>
        <w:t>и</w:t>
      </w:r>
      <w:r>
        <w:t>ваемых членов семьи (если человек работает на семейном предприятии, то з</w:t>
      </w:r>
      <w:r>
        <w:t>а</w:t>
      </w:r>
      <w:r>
        <w:t>частую оклады и социальные налоги не выплачиваются), в будущем в сельских районах может резко обостриться социальная обстановка по мере того, как ж</w:t>
      </w:r>
      <w:r>
        <w:t>и</w:t>
      </w:r>
      <w:r>
        <w:t>тели, достигая пенсионного возраста, фактически не будут получать пенсию или размер ее будет очень малым, поскольку до выхода на пенсию они получ</w:t>
      </w:r>
      <w:r>
        <w:t>а</w:t>
      </w:r>
      <w:r>
        <w:t>ли низкий доход, и будут зависеть только от натурального (приусадебного) х</w:t>
      </w:r>
      <w:r>
        <w:t>о</w:t>
      </w:r>
      <w:r>
        <w:t>зяйства.</w:t>
      </w:r>
    </w:p>
    <w:p w:rsidR="00000000" w:rsidRDefault="00000000">
      <w:pPr>
        <w:pStyle w:val="SingleTxt"/>
      </w:pPr>
      <w:r>
        <w:t>260.</w:t>
      </w:r>
      <w:r>
        <w:tab/>
        <w:t>Положение женщин в сельской местности характеризуется следующими показателями (согласно информации о занятости 2000 года): женщины соста</w:t>
      </w:r>
      <w:r>
        <w:t>в</w:t>
      </w:r>
      <w:r>
        <w:t>ляют 54,7 процента от всей численности населения Латвии; 50,3 процента всех женщин экономически активны (для сравнения этот показатель по мужчинам составляет 64,7 процента); 46,1 процента всех женщин живут в сельских ра</w:t>
      </w:r>
      <w:r>
        <w:t>й</w:t>
      </w:r>
      <w:r>
        <w:t>онах и социально активны (соответствующий показатель по мужчинам — 60,6 процента).</w:t>
      </w:r>
    </w:p>
    <w:p w:rsidR="00000000" w:rsidRDefault="00000000">
      <w:pPr>
        <w:pStyle w:val="SingleTxt"/>
      </w:pPr>
      <w:r>
        <w:t>261.</w:t>
      </w:r>
      <w:r>
        <w:tab/>
        <w:t>Если по мужчинам и женщинам, имеющим высшее образование, уровень экономической активности в сельских районах существенно не отличается (82,4 процента и 80,1 процента соответственно), то соответствующий показ</w:t>
      </w:r>
      <w:r>
        <w:t>а</w:t>
      </w:r>
      <w:r>
        <w:t>тель у мужчин с начальным образованием значительно выше, чем у женщин, имеющих такой же образовательный уровень (48,9 процента и 30,3 процента соответственно), а по мужчинам и женщинам с уровнем образования ниже н</w:t>
      </w:r>
      <w:r>
        <w:t>а</w:t>
      </w:r>
      <w:r>
        <w:t>чального, этот показатель отличается почти в два раза (21 процент и 14 пр</w:t>
      </w:r>
      <w:r>
        <w:t>о</w:t>
      </w:r>
      <w:r>
        <w:t>центов соответственно). Женщины, живущие в сельских районах, имеют гла</w:t>
      </w:r>
      <w:r>
        <w:t>в</w:t>
      </w:r>
      <w:r>
        <w:t>ным образом начальное образование или образование ниже начального уровня. Поэтому необходимо стимулировать активность женщин с низким уровнем о</w:t>
      </w:r>
      <w:r>
        <w:t>б</w:t>
      </w:r>
      <w:r>
        <w:t>разования, которые, как правило, являются также беднейшими сельскими ж</w:t>
      </w:r>
      <w:r>
        <w:t>и</w:t>
      </w:r>
      <w:r>
        <w:t>телями, особенно это касается одиноких матерей и представителей крупных семей с большим числом детей. Важную роль в содействии повышению акти</w:t>
      </w:r>
      <w:r>
        <w:t>в</w:t>
      </w:r>
      <w:r>
        <w:t>ности женщин в сельской местности играют неправительственные организ</w:t>
      </w:r>
      <w:r>
        <w:t>а</w:t>
      </w:r>
      <w:r>
        <w:t>ции. Так, неправительственная организация под названием Центр ресурсов для женщин «Марта» совместно с клубом женщин-предпринимателей организов</w:t>
      </w:r>
      <w:r>
        <w:t>а</w:t>
      </w:r>
      <w:r>
        <w:t>ли для рижских женщин с низким доходом и сельских женщин предприним</w:t>
      </w:r>
      <w:r>
        <w:t>а</w:t>
      </w:r>
      <w:r>
        <w:t>тельские курсы, курсы английского языка, а также курсы латышского языка в Латгале (восточная часть Латвии).</w:t>
      </w:r>
    </w:p>
    <w:p w:rsidR="00000000" w:rsidRDefault="00000000">
      <w:pPr>
        <w:pStyle w:val="SingleTxt"/>
      </w:pPr>
      <w:r>
        <w:t>262.</w:t>
      </w:r>
      <w:r>
        <w:tab/>
        <w:t>Экономическое положение женщин в сельской местности усугубляется также тем, что женщинам в таких районах труднее найти подходящую работу, поскольку вакансии ориентированы на физически тяжелую работу, которая больше подходит для мужчин.</w:t>
      </w:r>
    </w:p>
    <w:p w:rsidR="00000000" w:rsidRDefault="00000000">
      <w:pPr>
        <w:pStyle w:val="SingleTxt"/>
      </w:pPr>
      <w:r>
        <w:t>263.</w:t>
      </w:r>
      <w:r>
        <w:tab/>
        <w:t>Поскольку 37 процентов экономически активного сельского населения з</w:t>
      </w:r>
      <w:r>
        <w:t>а</w:t>
      </w:r>
      <w:r>
        <w:t>нято в сельском хозяйстве и заработная плата работающих в этом секторе с</w:t>
      </w:r>
      <w:r>
        <w:t>о</w:t>
      </w:r>
      <w:r>
        <w:t>ставляет только 78 процентов от средней чистой заработной платы по всей стране, доходы населения очень невысоки. Кроме того, позитивное воздействие развития национальной экономики на благосостояние населения проявляется главным образом в городах. В силу этого разница в доходах городского и сел</w:t>
      </w:r>
      <w:r>
        <w:t>ь</w:t>
      </w:r>
      <w:r>
        <w:t>ского населения увеличивается.</w:t>
      </w:r>
    </w:p>
    <w:p w:rsidR="00000000" w:rsidRDefault="00000000">
      <w:pPr>
        <w:pStyle w:val="SingleTxt"/>
      </w:pPr>
      <w:r>
        <w:t>264.</w:t>
      </w:r>
      <w:r>
        <w:tab/>
        <w:t>Экономическая и социальная инфраструктура, созданная ранее в сельских районах, постепенно устаревает и не отвечает современным требованиям; ее содержание и ремонт в сельской местности обходятся сравнительно дорого ввиду низкой плотности и эконом</w:t>
      </w:r>
      <w:r>
        <w:t>и</w:t>
      </w:r>
      <w:r>
        <w:t>ческой пассивности населения.</w:t>
      </w:r>
    </w:p>
    <w:p w:rsidR="00000000" w:rsidRDefault="00000000">
      <w:pPr>
        <w:pStyle w:val="SingleTxt"/>
      </w:pPr>
      <w:r>
        <w:t>265.</w:t>
      </w:r>
      <w:r>
        <w:tab/>
        <w:t>Еще одной проблемой сельских районов является старение жителей и о</w:t>
      </w:r>
      <w:r>
        <w:t>т</w:t>
      </w:r>
      <w:r>
        <w:t>ток существующего и потенциально экономически активного населения.</w:t>
      </w:r>
    </w:p>
    <w:p w:rsidR="00000000" w:rsidRDefault="00000000">
      <w:pPr>
        <w:pStyle w:val="SingleTxt"/>
      </w:pPr>
      <w:r>
        <w:t>266.</w:t>
      </w:r>
      <w:r>
        <w:tab/>
        <w:t>В соответствии с «Сатверсме» (Конституцией) Латвийской Республики все люди в Латвии равны перед законом и судом; в осуществлении прав чел</w:t>
      </w:r>
      <w:r>
        <w:t>о</w:t>
      </w:r>
      <w:r>
        <w:t>века также отсутствует какая-либо дискриминация. В этих рамках женщинам, проживающим в сельской местности, гарантируется право участвовать в разр</w:t>
      </w:r>
      <w:r>
        <w:t>а</w:t>
      </w:r>
      <w:r>
        <w:t>ботке и осуществлении планов развития, получать качественную медицинскую помощь, пользоваться благами программ социального страхования, иметь до</w:t>
      </w:r>
      <w:r>
        <w:t>с</w:t>
      </w:r>
      <w:r>
        <w:t>туп к начальному и последующему образованию, организовывать группы с</w:t>
      </w:r>
      <w:r>
        <w:t>а</w:t>
      </w:r>
      <w:r>
        <w:t>мопомощи и кооперативы. Женщины могут участвовать во всех видах колле</w:t>
      </w:r>
      <w:r>
        <w:t>к</w:t>
      </w:r>
      <w:r>
        <w:t>тивной деятельности, получать всевозможные ссуды и кредиты и пользоваться надлежащими условиями жизни, а также участвовать в развитии сельских ра</w:t>
      </w:r>
      <w:r>
        <w:t>й</w:t>
      </w:r>
      <w:r>
        <w:t>онов и в получении благ развития. Сельские женщины имеют также доступ ко всем льготам, предусмотренным законами, а также пособиям, предоставля</w:t>
      </w:r>
      <w:r>
        <w:t>е</w:t>
      </w:r>
      <w:r>
        <w:t>мым на территории Латвии.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участвовать в разработке и осуществлении планов развития сельских районов</w:t>
      </w:r>
    </w:p>
    <w:p w:rsidR="00000000" w:rsidRDefault="00000000">
      <w:pPr>
        <w:pStyle w:val="SingleTxt"/>
        <w:spacing w:after="0" w:line="120" w:lineRule="exact"/>
        <w:rPr>
          <w:sz w:val="10"/>
        </w:rPr>
      </w:pPr>
    </w:p>
    <w:p w:rsidR="00000000" w:rsidRDefault="00000000">
      <w:pPr>
        <w:pStyle w:val="SingleTxt"/>
      </w:pPr>
      <w:r>
        <w:t>267.</w:t>
      </w:r>
      <w:r>
        <w:tab/>
        <w:t>Женщины пользуются равными с мужчинами правами участия в планир</w:t>
      </w:r>
      <w:r>
        <w:t>о</w:t>
      </w:r>
      <w:r>
        <w:t>вании в области регионального развития Латвии. Закон «О планировании ра</w:t>
      </w:r>
      <w:r>
        <w:t>з</w:t>
      </w:r>
      <w:r>
        <w:t>вития территорий»</w:t>
      </w:r>
      <w:r>
        <w:rPr>
          <w:rStyle w:val="FootnoteReference"/>
        </w:rPr>
        <w:footnoteReference w:customMarkFollows="1" w:id="12"/>
        <w:t>11</w:t>
      </w:r>
      <w:r>
        <w:t xml:space="preserve"> и постановление кабинета министров «О пространстве</w:t>
      </w:r>
      <w:r>
        <w:t>н</w:t>
      </w:r>
      <w:r>
        <w:t>ной планировке»</w:t>
      </w:r>
      <w:r>
        <w:rPr>
          <w:rStyle w:val="FootnoteReference"/>
        </w:rPr>
        <w:footnoteReference w:customMarkFollows="1" w:id="13"/>
        <w:t>12</w:t>
      </w:r>
      <w:r>
        <w:t xml:space="preserve"> предусматривают применение принципа открытости при планировании развития территорий, откуда следует, что планы территориал</w:t>
      </w:r>
      <w:r>
        <w:t>ь</w:t>
      </w:r>
      <w:r>
        <w:t>ного развития будут разрабатываться с участием широкой общественности и при открытости информации и процесса принятия решений. Для обеспечения обсуждения национального плана развития территорий министерство охраны окружающей среды и регионального развития публикует информацию в оф</w:t>
      </w:r>
      <w:r>
        <w:t>и</w:t>
      </w:r>
      <w:r>
        <w:t>циальной газете «Латвияс</w:t>
      </w:r>
      <w:r>
        <w:rPr>
          <w:i/>
        </w:rPr>
        <w:t xml:space="preserve"> </w:t>
      </w:r>
      <w:r>
        <w:t>вестнесис</w:t>
      </w:r>
      <w:r>
        <w:rPr>
          <w:i/>
        </w:rPr>
        <w:t xml:space="preserve">» </w:t>
      </w:r>
      <w:r>
        <w:t>о начале разработки плана развития те</w:t>
      </w:r>
      <w:r>
        <w:t>р</w:t>
      </w:r>
      <w:r>
        <w:t>ритории, о порядке публичного обсуждения проекта плана, о месте и сроках, в которые можно ознакомиться с планом развития территории и представить письменные предложения и замечания. Органы местного самоуправления п</w:t>
      </w:r>
      <w:r>
        <w:t>о</w:t>
      </w:r>
      <w:r>
        <w:t>ступают аналогичным образом при разработке своих планов развития террит</w:t>
      </w:r>
      <w:r>
        <w:t>о</w:t>
      </w:r>
      <w:r>
        <w:t>рии, кроме того, они дают письменные ответы на предложения, представле</w:t>
      </w:r>
      <w:r>
        <w:t>н</w:t>
      </w:r>
      <w:r>
        <w:t>ные в письменном виде в установленные сроки.</w:t>
      </w:r>
    </w:p>
    <w:p w:rsidR="00000000" w:rsidRDefault="00000000">
      <w:pPr>
        <w:pStyle w:val="SingleTxt"/>
      </w:pPr>
      <w:r>
        <w:t>268.</w:t>
      </w:r>
      <w:r>
        <w:tab/>
        <w:t>Закон «О планировании развития территорий» гласит, что каждое физич</w:t>
      </w:r>
      <w:r>
        <w:t>е</w:t>
      </w:r>
      <w:r>
        <w:t>ское или юридическое лицо имеет право ознакомиться с планами развития те</w:t>
      </w:r>
      <w:r>
        <w:t>р</w:t>
      </w:r>
      <w:r>
        <w:t>риторий, представленными на публичное обсуждение, право представлять письменные предложения и замечания для публичного обсуждения в устано</w:t>
      </w:r>
      <w:r>
        <w:t>в</w:t>
      </w:r>
      <w:r>
        <w:t>ленные сроки, принимать участие в публичном обсуждении и дебатах, выр</w:t>
      </w:r>
      <w:r>
        <w:t>а</w:t>
      </w:r>
      <w:r>
        <w:t>жать свое мнение и представлять предложения. Никакого различия в этом пл</w:t>
      </w:r>
      <w:r>
        <w:t>а</w:t>
      </w:r>
      <w:r>
        <w:t>не между мужчинами и женщинами не проводится</w:t>
      </w:r>
      <w:r>
        <w:rPr>
          <w:rStyle w:val="FootnoteReference"/>
        </w:rPr>
        <w:footnoteReference w:customMarkFollows="1" w:id="14"/>
        <w:t>13</w:t>
      </w:r>
      <w:r>
        <w:t>.</w:t>
      </w:r>
    </w:p>
    <w:p w:rsidR="00000000" w:rsidRDefault="00000000">
      <w:pPr>
        <w:pStyle w:val="SingleTxt"/>
      </w:pPr>
      <w:r>
        <w:t>269.</w:t>
      </w:r>
      <w:r>
        <w:tab/>
        <w:t>Кроме того, по данным, представленным министерством охраны окр</w:t>
      </w:r>
      <w:r>
        <w:t>у</w:t>
      </w:r>
      <w:r>
        <w:t>жающей среды и регионального развития, примерно 3000 специалистов по планированию развития территорий, более половины из которых женщины (1600), работают в органах местного с</w:t>
      </w:r>
      <w:r>
        <w:t>а</w:t>
      </w:r>
      <w:r>
        <w:t>моуправления Латвии.</w:t>
      </w:r>
    </w:p>
    <w:p w:rsidR="00000000" w:rsidRDefault="00000000">
      <w:pPr>
        <w:pStyle w:val="SingleTxt"/>
      </w:pPr>
      <w:r>
        <w:t>270.</w:t>
      </w:r>
      <w:r>
        <w:tab/>
        <w:t>В области строительства латвийские женщины пользуются равными пр</w:t>
      </w:r>
      <w:r>
        <w:t>а</w:t>
      </w:r>
      <w:r>
        <w:t>вами на участие в обсуждении новых строительных проектов, в котором пре</w:t>
      </w:r>
      <w:r>
        <w:t>д</w:t>
      </w:r>
      <w:r>
        <w:t>ставители мужчин и женщин участвуют на равной основе. В качестве примера равноправия мужчин и женщин можно упомянуть тот факт, что высшее рук</w:t>
      </w:r>
      <w:r>
        <w:t>о</w:t>
      </w:r>
      <w:r>
        <w:t>водящее должностное лицо в секторе строительства, а также руководители большинства отделов – это женщины. Нет также никаких различий в доступе к образованию в области строительства и планирования территориального ра</w:t>
      </w:r>
      <w:r>
        <w:t>з</w:t>
      </w:r>
      <w:r>
        <w:t>вития – эта тема достаточно подробно рассматривалась при обсуждении вопр</w:t>
      </w:r>
      <w:r>
        <w:t>о</w:t>
      </w:r>
      <w:r>
        <w:t>са о выполнении полож</w:t>
      </w:r>
      <w:r>
        <w:t>е</w:t>
      </w:r>
      <w:r>
        <w:t>ний статьи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получение медицинской помощи</w:t>
      </w:r>
    </w:p>
    <w:p w:rsidR="00000000" w:rsidRDefault="00000000">
      <w:pPr>
        <w:pStyle w:val="SingleTxt"/>
        <w:spacing w:after="0" w:line="120" w:lineRule="exact"/>
        <w:rPr>
          <w:sz w:val="10"/>
        </w:rPr>
      </w:pPr>
    </w:p>
    <w:p w:rsidR="00000000" w:rsidRDefault="00000000">
      <w:pPr>
        <w:pStyle w:val="SingleTxt"/>
      </w:pPr>
      <w:r>
        <w:t>271.</w:t>
      </w:r>
      <w:r>
        <w:tab/>
        <w:t>Женщины, живущие в городских и сельских районах, пользуются равн</w:t>
      </w:r>
      <w:r>
        <w:t>ы</w:t>
      </w:r>
      <w:r>
        <w:t>ми правами доступа к медицинскому обслуживанию. Эта доступность пред</w:t>
      </w:r>
      <w:r>
        <w:t>у</w:t>
      </w:r>
      <w:r>
        <w:t>сматривается Законом о медицинском обслуживании, который гласит, что ка</w:t>
      </w:r>
      <w:r>
        <w:t>ж</w:t>
      </w:r>
      <w:r>
        <w:t>дый человек имеет право на получ</w:t>
      </w:r>
      <w:r>
        <w:t>е</w:t>
      </w:r>
      <w:r>
        <w:t>ние неотложной медицинской помощи.</w:t>
      </w:r>
    </w:p>
    <w:p w:rsidR="00000000" w:rsidRDefault="00000000">
      <w:pPr>
        <w:pStyle w:val="SingleTxt"/>
      </w:pPr>
      <w:r>
        <w:t>272.</w:t>
      </w:r>
      <w:r>
        <w:tab/>
        <w:t>По сравнению с 1999 годом число врачей в Латвии в 2000 году возросло на 93, при этом число врачей в Риге сократилось на 71. По сравнению с 1999 годом число семейных врачей в Латвии возросло на 165, или 20,6 процента, а в Риге только на восемь. В соответствии с политикой в области первичного м</w:t>
      </w:r>
      <w:r>
        <w:t>е</w:t>
      </w:r>
      <w:r>
        <w:t>дицинского обслуживания количество санитарно-акушерских пунктов сокр</w:t>
      </w:r>
      <w:r>
        <w:t>а</w:t>
      </w:r>
      <w:r>
        <w:t>щается при одновременном расширении частной врачебной практики. Набл</w:t>
      </w:r>
      <w:r>
        <w:t>ю</w:t>
      </w:r>
      <w:r>
        <w:t>дается значительный рост общего количества пунктов амбулаторного лечения за счет расширения частной врачебной практики. По сравнению с 1999 годом количество независимых зубоврачебных клиник и число частных врачей-стоматологов возросло, а количество больниц сократилось — 42 в 2000 году, 151 — в 1999 году; в 1999 году насчитывалось 1063 клиники для амбулаторных больных, а к 2000 году их число возросло до 1659 с учетом кабинетов незав</w:t>
      </w:r>
      <w:r>
        <w:t>и</w:t>
      </w:r>
      <w:r>
        <w:t>симых врачей-стоматологов, практики иностранных врачей-стоматологов и иностранных пунктов оказания пом</w:t>
      </w:r>
      <w:r>
        <w:t>о</w:t>
      </w:r>
      <w:r>
        <w:t>щи.</w:t>
      </w:r>
    </w:p>
    <w:p w:rsidR="00000000" w:rsidRDefault="00000000">
      <w:pPr>
        <w:pStyle w:val="SingleTxt"/>
      </w:pPr>
      <w:r>
        <w:t>273.</w:t>
      </w:r>
      <w:r>
        <w:tab/>
        <w:t>Пациенты получают информацию об учреждениях по оказанию перви</w:t>
      </w:r>
      <w:r>
        <w:t>ч</w:t>
      </w:r>
      <w:r>
        <w:t>ной медицинской помощи и учреждениях, оказывающих медицинскую и соц</w:t>
      </w:r>
      <w:r>
        <w:t>и</w:t>
      </w:r>
      <w:r>
        <w:t>альную помощь в конкретном районе, а также информацию о возможностях и необходимости выбора врача по оказанию первичной медицинской помощи. Размер района для практики врача по оказанию первичной медицинской пом</w:t>
      </w:r>
      <w:r>
        <w:t>о</w:t>
      </w:r>
      <w:r>
        <w:t>щи определяется на основе плотности населения района. Больницы распол</w:t>
      </w:r>
      <w:r>
        <w:t>о</w:t>
      </w:r>
      <w:r>
        <w:t>жены таким образом, чтобы облегчить доступ к ним и дать возможность пац</w:t>
      </w:r>
      <w:r>
        <w:t>и</w:t>
      </w:r>
      <w:r>
        <w:t>енту выбрать ближайшую больницу. В вышеупомянутой области никакой ди</w:t>
      </w:r>
      <w:r>
        <w:t>с</w:t>
      </w:r>
      <w:r>
        <w:t>криминации по признаку пола не существует.</w:t>
      </w:r>
    </w:p>
    <w:p w:rsidR="00000000" w:rsidRDefault="00000000">
      <w:pPr>
        <w:pStyle w:val="SingleTxt"/>
      </w:pPr>
      <w:r>
        <w:t>274.</w:t>
      </w:r>
      <w:r>
        <w:tab/>
        <w:t>В настоящее время разрабатываются генеральные планы создания сети учреждений по оказанию амбулаторной и стационарной помощи для обеспеч</w:t>
      </w:r>
      <w:r>
        <w:t>е</w:t>
      </w:r>
      <w:r>
        <w:t>ния дальнейшего развития системы медицинского обслуживания, улучшения структуры этой сети, ее консолидации и повышения качества медицинского о</w:t>
      </w:r>
      <w:r>
        <w:t>б</w:t>
      </w:r>
      <w:r>
        <w:t>служивания, обеспечения рациональной доступности медицинских учрежд</w:t>
      </w:r>
      <w:r>
        <w:t>е</w:t>
      </w:r>
      <w:r>
        <w:t>ний для пациентов, а также создания основы для формирования комплексной системы медицинского обслуживания в каждом районе и в масштабах всей страны.</w:t>
      </w:r>
    </w:p>
    <w:p w:rsidR="00000000" w:rsidRDefault="00000000">
      <w:pPr>
        <w:pStyle w:val="SingleTxt"/>
      </w:pPr>
      <w:r>
        <w:t>275.</w:t>
      </w:r>
      <w:r>
        <w:tab/>
        <w:t>В статье 1 закона «Об охране окружающей среды» речь идет об охране здоровья человека и обеспечении возможности получения природоохранной информации, что является также одной из задач этого закона. Ни этот закон, ни какой-либо иной акт в области охраны окружающей среды не содержит пол</w:t>
      </w:r>
      <w:r>
        <w:t>о</w:t>
      </w:r>
      <w:r>
        <w:t>жений, ограничивающих осуществление соответствующих прав женщин, пр</w:t>
      </w:r>
      <w:r>
        <w:t>о</w:t>
      </w:r>
      <w:r>
        <w:t>живающих в сельских районах.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социальное страхование</w:t>
      </w:r>
    </w:p>
    <w:p w:rsidR="00000000" w:rsidRDefault="00000000">
      <w:pPr>
        <w:pStyle w:val="SingleTxt"/>
        <w:spacing w:after="0" w:line="120" w:lineRule="exact"/>
        <w:rPr>
          <w:sz w:val="10"/>
        </w:rPr>
      </w:pPr>
    </w:p>
    <w:p w:rsidR="00000000" w:rsidRDefault="00000000">
      <w:pPr>
        <w:pStyle w:val="SingleTxt"/>
      </w:pPr>
      <w:r>
        <w:t>276.</w:t>
      </w:r>
      <w:r>
        <w:tab/>
        <w:t>Законы, регулирующие предоставление услуг по линии социального стр</w:t>
      </w:r>
      <w:r>
        <w:t>а</w:t>
      </w:r>
      <w:r>
        <w:t>хования и социальной помощи, не устанавливают никаких различий в отнош</w:t>
      </w:r>
      <w:r>
        <w:t>е</w:t>
      </w:r>
      <w:r>
        <w:t>нии обслуживания населения сельских районов. Порядок получения услуг по линии социального страхования и социальной помощи подробно рассматрив</w:t>
      </w:r>
      <w:r>
        <w:t>а</w:t>
      </w:r>
      <w:r>
        <w:t>ется в разделе, касающемся выполнения положений статьи 11. Никакого разл</w:t>
      </w:r>
      <w:r>
        <w:t>и</w:t>
      </w:r>
      <w:r>
        <w:t>чия в предоставлении услуг по линии социального страхования, их качества и разнообразия между сельскими и городскими районами не существует.</w:t>
      </w:r>
    </w:p>
    <w:p w:rsidR="00000000" w:rsidRDefault="00000000">
      <w:pPr>
        <w:pStyle w:val="SingleTxt"/>
      </w:pPr>
      <w:r>
        <w:t>277.</w:t>
      </w:r>
      <w:r>
        <w:tab/>
        <w:t>В то же время женщины в сельской местности пользуются услугами соц</w:t>
      </w:r>
      <w:r>
        <w:t>и</w:t>
      </w:r>
      <w:r>
        <w:t>ального страхования относительно реже. Это можно объяснить тем, что в сел</w:t>
      </w:r>
      <w:r>
        <w:t>ь</w:t>
      </w:r>
      <w:r>
        <w:t>ских районах социальные налоги за работающих женщин не выплачиваются или выплачиваются лишь частично по сравнению с городами. В результате женщины утрачивают возможность получать услуги по линии социального страхования или размер их социальных пособий исчисляется на основе суммы выплаченных налогов. До 14 марта 2001 года действовало положение, по кот</w:t>
      </w:r>
      <w:r>
        <w:t>о</w:t>
      </w:r>
      <w:r>
        <w:t>рому работник не получал пособий по социальному страхованию, если его р</w:t>
      </w:r>
      <w:r>
        <w:t>а</w:t>
      </w:r>
      <w:r>
        <w:t>ботодатель не производил отчислений в фонд социального страхования и если выплачивал эти налоги лишь частично. Это означало, что даже если работник работает полное рабочее время, то он не имеет права на пособие по социал</w:t>
      </w:r>
      <w:r>
        <w:t>ь</w:t>
      </w:r>
      <w:r>
        <w:t>ному страхованию, если взносы в фонд социального страхования не выплач</w:t>
      </w:r>
      <w:r>
        <w:t>и</w:t>
      </w:r>
      <w:r>
        <w:t>ваются. С учетом нынешней сложной ситуации на рынке труда в сельских ра</w:t>
      </w:r>
      <w:r>
        <w:t>й</w:t>
      </w:r>
      <w:r>
        <w:t>онах женщины зачастую соглашаются на такие условия занятости. Констит</w:t>
      </w:r>
      <w:r>
        <w:t>у</w:t>
      </w:r>
      <w:r>
        <w:t>ционный суд в своем решении от 13 марта 2001 года объявил вышеупомянутое положение неконституционным и отменил его с момента объявления данного решения.</w:t>
      </w:r>
    </w:p>
    <w:p w:rsidR="00000000" w:rsidRDefault="00000000">
      <w:pPr>
        <w:pStyle w:val="SingleTxt"/>
      </w:pPr>
      <w:r>
        <w:t>278.</w:t>
      </w:r>
      <w:r>
        <w:tab/>
        <w:t>Закон «О социальной помощи» определяет обязательства государства и органов местного самоуправления по оказанию социальной помощи. Отсюда следует, что различия в предоставляемой социальной помощи существуют не между сельскими и городскими районами, а между различными муниципал</w:t>
      </w:r>
      <w:r>
        <w:t>и</w:t>
      </w:r>
      <w:r>
        <w:t>тетами. В ряде муниципалитетов закон «О социальной помощи» толкуется н</w:t>
      </w:r>
      <w:r>
        <w:t>е</w:t>
      </w:r>
      <w:r>
        <w:t>сколько вольно. В каждом муниципалитете действуют различные системы п</w:t>
      </w:r>
      <w:r>
        <w:t>о</w:t>
      </w:r>
      <w:r>
        <w:t>собий, преследуя разные цели и приоритеты. В резул</w:t>
      </w:r>
      <w:r>
        <w:t>ь</w:t>
      </w:r>
      <w:r>
        <w:t>тате этого:</w:t>
      </w:r>
    </w:p>
    <w:p w:rsidR="00000000" w:rsidRDefault="00000000">
      <w:pPr>
        <w:pStyle w:val="SingleTxt"/>
      </w:pPr>
      <w:r>
        <w:tab/>
        <w:t>a)</w:t>
      </w:r>
      <w:r>
        <w:tab/>
        <w:t>жители не имеют возможности получать социальную помощь на единообра</w:t>
      </w:r>
      <w:r>
        <w:t>з</w:t>
      </w:r>
      <w:r>
        <w:t>ных условиях;</w:t>
      </w:r>
    </w:p>
    <w:p w:rsidR="00000000" w:rsidRDefault="00000000">
      <w:pPr>
        <w:pStyle w:val="SingleTxt"/>
      </w:pPr>
      <w:r>
        <w:tab/>
        <w:t>b)</w:t>
      </w:r>
      <w:r>
        <w:tab/>
        <w:t>пособия по социальной помощи не в полной мере ориентированы на беднейших членов общества и существующие гарантии в отношении нужда</w:t>
      </w:r>
      <w:r>
        <w:t>ю</w:t>
      </w:r>
      <w:r>
        <w:t>щихся не соблюдаются;</w:t>
      </w:r>
    </w:p>
    <w:p w:rsidR="00000000" w:rsidRDefault="00000000">
      <w:pPr>
        <w:pStyle w:val="SingleTxt"/>
      </w:pPr>
      <w:r>
        <w:tab/>
        <w:t>c)</w:t>
      </w:r>
      <w:r>
        <w:tab/>
        <w:t>пособия по социальной помощи, которые фактически предоставл</w:t>
      </w:r>
      <w:r>
        <w:t>я</w:t>
      </w:r>
      <w:r>
        <w:t>ются муниципалитетами, ниже, чем это предусмотрено законом; некоторые п</w:t>
      </w:r>
      <w:r>
        <w:t>о</w:t>
      </w:r>
      <w:r>
        <w:t>собия, которые должны выплачиваться на регулярной основе, сводятся к ед</w:t>
      </w:r>
      <w:r>
        <w:t>и</w:t>
      </w:r>
      <w:r>
        <w:t>новреме</w:t>
      </w:r>
      <w:r>
        <w:t>н</w:t>
      </w:r>
      <w:r>
        <w:t>ным выплатам;</w:t>
      </w:r>
    </w:p>
    <w:p w:rsidR="00000000" w:rsidRDefault="00000000">
      <w:pPr>
        <w:pStyle w:val="SingleTxt"/>
      </w:pPr>
      <w:r>
        <w:tab/>
        <w:t>d)</w:t>
      </w:r>
      <w:r>
        <w:tab/>
        <w:t>в некоторых муниципалитетах предоставление пособий не увязыв</w:t>
      </w:r>
      <w:r>
        <w:t>а</w:t>
      </w:r>
      <w:r>
        <w:t>ется с оценкой реальных проблем и ресурсов семьи/лица: существуют огран</w:t>
      </w:r>
      <w:r>
        <w:t>и</w:t>
      </w:r>
      <w:r>
        <w:t>чения в получении пособий в зависимости от того, к какой социальной группе относится лицо; существуют ограничения на размер пособий, выплачиваемых семье/лицу в год.</w:t>
      </w:r>
    </w:p>
    <w:p w:rsidR="00000000" w:rsidRDefault="00000000">
      <w:pPr>
        <w:pStyle w:val="SingleTxt"/>
      </w:pPr>
      <w:r>
        <w:t>279.</w:t>
      </w:r>
      <w:r>
        <w:tab/>
        <w:t>Региональные различия присутствуют также в системе социальных пос</w:t>
      </w:r>
      <w:r>
        <w:t>о</w:t>
      </w:r>
      <w:r>
        <w:t>бий, выплачиваемых муниципалитетами. Так, в Курземе (западная часть Ла</w:t>
      </w:r>
      <w:r>
        <w:t>т</w:t>
      </w:r>
      <w:r>
        <w:t>вии), где средний доход населения занимает вторую строчку снизу по стране, в среднем каждый человек получает социальные пособия, размер которых соо</w:t>
      </w:r>
      <w:r>
        <w:t>т</w:t>
      </w:r>
      <w:r>
        <w:t>ветствует размеру социальных пособий в районе Риги, где зарегистрирован с</w:t>
      </w:r>
      <w:r>
        <w:t>а</w:t>
      </w:r>
      <w:r>
        <w:t>мый высокий средний доход на душу населения. Это говорит о том, что органы местного самоуправления района Курземе более активно предоставляют льготы и пропагандируют свою деятельность. Эти два упомянутых района являются единственными, в которых доход от муниципальных пособий на члена семьи выше, чем в среднем по Латвии. В районе, где средние доходы на душу насел</w:t>
      </w:r>
      <w:r>
        <w:t>е</w:t>
      </w:r>
      <w:r>
        <w:t>ния самые низкие – район Латгале (восточная часть Латвии), – средний размер муниципального пособия, к сожалению, самый низкий в Латвии – более чем в два раза меньше, чем в среднем по Латвии, и почти в три раза меньше, чем в районе Ку</w:t>
      </w:r>
      <w:r>
        <w:t>р</w:t>
      </w:r>
      <w:r>
        <w:t>земе.</w:t>
      </w:r>
    </w:p>
    <w:p w:rsidR="00000000" w:rsidRDefault="00000000">
      <w:pPr>
        <w:pStyle w:val="SingleTxt"/>
      </w:pPr>
      <w:r>
        <w:t>280.</w:t>
      </w:r>
      <w:r>
        <w:tab/>
        <w:t>Услуги по линии социальной помощи, в свою очередь, предоставляются лицам, подверженным социальному риску, и характер использования этих у</w:t>
      </w:r>
      <w:r>
        <w:t>с</w:t>
      </w:r>
      <w:r>
        <w:t>луг одинаков в сельских и городских районах. Ассортимент и качество соц</w:t>
      </w:r>
      <w:r>
        <w:t>и</w:t>
      </w:r>
      <w:r>
        <w:t>альной помощи зависит не только от располагаемых финансовых средств, но и от количества и уровня подготовки социальных работников в конкретном м</w:t>
      </w:r>
      <w:r>
        <w:t>у</w:t>
      </w:r>
      <w:r>
        <w:t>ниципалитете. К сожалению, в Латвии не достает образованных социальных работников-специалистов, поскольку эта профессия является совсем новой. Т</w:t>
      </w:r>
      <w:r>
        <w:t>а</w:t>
      </w:r>
      <w:r>
        <w:t>ким образом, основными проблемами в области оказания социальной помощи в сельских районах являются нехватка социальных работников и необходимость обеспечения обслуживания получателей помощи как можно ближе от их дома – в настоящее время наблюдается диспропорция между городами и сельскими районами в отношении наличия финансовых и людских ресурсов и эта диспр</w:t>
      </w:r>
      <w:r>
        <w:t>о</w:t>
      </w:r>
      <w:r>
        <w:t>порция проявляется также в доступе к социальной помощи. Кроме того, в н</w:t>
      </w:r>
      <w:r>
        <w:t>а</w:t>
      </w:r>
      <w:r>
        <w:t>стоящее время только 56 процентов муниципалитетов имеют отделы социал</w:t>
      </w:r>
      <w:r>
        <w:t>ь</w:t>
      </w:r>
      <w:r>
        <w:t>ной помощи, а особенно малые муниципалитеты обычно не имеют даже одного социального работника. Чтобы улучшить ситуацию, в 1996 году была начата реформа системы социальной помощи, в рамках которой применялся принцип «деньги следуют за клиентом». Следует отметить, что в 2000 году в муниц</w:t>
      </w:r>
      <w:r>
        <w:t>и</w:t>
      </w:r>
      <w:r>
        <w:t>пальных отделах социальной помощи работало только 824 социальных рабо</w:t>
      </w:r>
      <w:r>
        <w:t>т</w:t>
      </w:r>
      <w:r>
        <w:t>ника, а это означает, что отделы социальной помощи по-прежнему невелики и в среднем состоят из одного или двух работников. Число социальных работн</w:t>
      </w:r>
      <w:r>
        <w:t>и</w:t>
      </w:r>
      <w:r>
        <w:t>ков, получивших соответствующее образование, по-прежнему незначительно. В 2000 году в 14 округах Латвии не было ни одного социального работника, который имел бы специальное образование в этой области. В настоящее время на 2879 жителей приходится в среднем один социальный работник. Число с</w:t>
      </w:r>
      <w:r>
        <w:t>о</w:t>
      </w:r>
      <w:r>
        <w:t>циальных работников в Латвии необходимо увеличить более чем в 2,8 раза, чтобы достичь оптимального уровня.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получение образования, включая профессиональную подготовку в области сельского хозяйства</w:t>
      </w:r>
    </w:p>
    <w:p w:rsidR="00000000" w:rsidRDefault="00000000">
      <w:pPr>
        <w:pStyle w:val="SingleTxt"/>
        <w:spacing w:after="0" w:line="120" w:lineRule="exact"/>
        <w:rPr>
          <w:sz w:val="10"/>
        </w:rPr>
      </w:pPr>
    </w:p>
    <w:p w:rsidR="00000000" w:rsidRDefault="00000000">
      <w:pPr>
        <w:pStyle w:val="SingleTxt"/>
      </w:pPr>
      <w:r>
        <w:t>281.</w:t>
      </w:r>
      <w:r>
        <w:tab/>
        <w:t>Право женщин получить общее образование закреплено в статье 10 Ко</w:t>
      </w:r>
      <w:r>
        <w:t>н</w:t>
      </w:r>
      <w:r>
        <w:t>ституции.</w:t>
      </w:r>
    </w:p>
    <w:p w:rsidR="00000000" w:rsidRDefault="00000000">
      <w:pPr>
        <w:pStyle w:val="SingleTxt"/>
      </w:pPr>
      <w:r>
        <w:t>282.</w:t>
      </w:r>
      <w:r>
        <w:tab/>
        <w:t>Латвийский центр поддержки по предоставлению консультаций и обуч</w:t>
      </w:r>
      <w:r>
        <w:t>е</w:t>
      </w:r>
      <w:r>
        <w:t>нию в области сельского хозяйства (ЛЦПКОСХ) является основанной и фина</w:t>
      </w:r>
      <w:r>
        <w:t>н</w:t>
      </w:r>
      <w:r>
        <w:t>сируемой государством крупнейшей организацией, которая предлагает ко</w:t>
      </w:r>
      <w:r>
        <w:t>н</w:t>
      </w:r>
      <w:r>
        <w:t>сультации и программы непрерывного обучения в области сельского хозяйства и территориальные отделения которой находятся во всех районах Латвии. Н</w:t>
      </w:r>
      <w:r>
        <w:t>и</w:t>
      </w:r>
      <w:r>
        <w:t>каких юридических или фактических препятствий для получения женщинами информации в этих отделениях и для пользования другими предлагаемыми у</w:t>
      </w:r>
      <w:r>
        <w:t>с</w:t>
      </w:r>
      <w:r>
        <w:t>лугами не существует. В соответствии с соглашением, достигнутым между м</w:t>
      </w:r>
      <w:r>
        <w:t>и</w:t>
      </w:r>
      <w:r>
        <w:t>нистерством сельского хозяйства и ЛЦПКОСХ на 2000 год, правительство, со</w:t>
      </w:r>
      <w:r>
        <w:t>з</w:t>
      </w:r>
      <w:r>
        <w:t>навая нелегкое экономическое положение женщин, живущих в сельских ра</w:t>
      </w:r>
      <w:r>
        <w:t>й</w:t>
      </w:r>
      <w:r>
        <w:t>онах, и необходимость оказания поддержки их обучения, предусмотрело во</w:t>
      </w:r>
      <w:r>
        <w:t>з</w:t>
      </w:r>
      <w:r>
        <w:t>можность посещения женщинами в любом районе Латвии двух курсов лекций по их выбору. Никаких ограничений по признаку пола для приобретения общ</w:t>
      </w:r>
      <w:r>
        <w:t>е</w:t>
      </w:r>
      <w:r>
        <w:t>го профессионального образования в области сельского хозяйства не существ</w:t>
      </w:r>
      <w:r>
        <w:t>у</w:t>
      </w:r>
      <w:r>
        <w:t>ет.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создавать неправительственные организации</w:t>
      </w:r>
    </w:p>
    <w:p w:rsidR="00000000" w:rsidRDefault="00000000">
      <w:pPr>
        <w:pStyle w:val="SingleTxt"/>
        <w:spacing w:after="0" w:line="120" w:lineRule="exact"/>
        <w:rPr>
          <w:sz w:val="10"/>
        </w:rPr>
      </w:pPr>
    </w:p>
    <w:p w:rsidR="00000000" w:rsidRDefault="00000000">
      <w:pPr>
        <w:pStyle w:val="SingleTxt"/>
      </w:pPr>
      <w:r>
        <w:t>283.</w:t>
      </w:r>
      <w:r>
        <w:tab/>
        <w:t>Для предотвращения возможной дискриминации несколько неправител</w:t>
      </w:r>
      <w:r>
        <w:t>ь</w:t>
      </w:r>
      <w:r>
        <w:t>ственных организаций, которые содействуют занятости женщин в сельских районах и защищают их права на получение информации и участие в общес</w:t>
      </w:r>
      <w:r>
        <w:t>т</w:t>
      </w:r>
      <w:r>
        <w:t>венной жизни, пользуются поддержкой в рамках государственной программы субсидирования сельского хозяйства. Эти неправительственные организации проводят семинары и курсы, направленные на решение проблем занятости и повышение дохода. Женщины, живущие в сельских районах, довольно активно осуществляют свое право на ассоциацию: в 2001 году была учреждена Латви</w:t>
      </w:r>
      <w:r>
        <w:t>й</w:t>
      </w:r>
      <w:r>
        <w:t>ская ассоциация сельских женщин, которая является «головной» организацией для ряда районных и местных женских организаций и которая помогает же</w:t>
      </w:r>
      <w:r>
        <w:t>н</w:t>
      </w:r>
      <w:r>
        <w:t>щинам отстаивать свое мнение по различным социальным и экономическим вопросам и действует от их имени. Действующие правовые акты никоим обр</w:t>
      </w:r>
      <w:r>
        <w:t>а</w:t>
      </w:r>
      <w:r>
        <w:t>зом не ограничивают осуществления женщинами этих прав, напротив, прав</w:t>
      </w:r>
      <w:r>
        <w:t>и</w:t>
      </w:r>
      <w:r>
        <w:t>тельство стремится поддерживать различные инициативы в сельских районах, которые могут оказать позитивное влияние на социально-экономическую де</w:t>
      </w:r>
      <w:r>
        <w:t>я</w:t>
      </w:r>
      <w:r>
        <w:t>тельность различных социальных групп, независимо от пола их чл</w:t>
      </w:r>
      <w:r>
        <w:t>е</w:t>
      </w:r>
      <w:r>
        <w:t>нов.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на получение сельскохозяйственных кредитов</w:t>
      </w:r>
    </w:p>
    <w:p w:rsidR="00000000" w:rsidRDefault="00000000">
      <w:pPr>
        <w:pStyle w:val="SingleTxt"/>
        <w:spacing w:after="0" w:line="120" w:lineRule="exact"/>
        <w:rPr>
          <w:sz w:val="10"/>
        </w:rPr>
      </w:pPr>
    </w:p>
    <w:p w:rsidR="00000000" w:rsidRDefault="00000000">
      <w:pPr>
        <w:pStyle w:val="SingleTxt"/>
      </w:pPr>
      <w:r>
        <w:t>284.</w:t>
      </w:r>
      <w:r>
        <w:tab/>
        <w:t>Женщины, живущие в сельских районах, имеют гарантированный доступ к сельскохозяйственным кредитам и возможность получения субсидий по л</w:t>
      </w:r>
      <w:r>
        <w:t>и</w:t>
      </w:r>
      <w:r>
        <w:t>нии государственных программ помощи. Чтобы повысить экономическую а</w:t>
      </w:r>
      <w:r>
        <w:t>к</w:t>
      </w:r>
      <w:r>
        <w:t>тивность женщин, живущих в сельских районах, им предоставляется возмо</w:t>
      </w:r>
      <w:r>
        <w:t>ж</w:t>
      </w:r>
      <w:r>
        <w:t>ность получать средства по линии программы сельскохозяйственного развития и развития сельских районов Латвии САПАРД и ежегодных программ госуда</w:t>
      </w:r>
      <w:r>
        <w:t>р</w:t>
      </w:r>
      <w:r>
        <w:t>ственного субсидирования. Кроме того, 1 марта 2002 года начато осуществл</w:t>
      </w:r>
      <w:r>
        <w:t>е</w:t>
      </w:r>
      <w:r>
        <w:t>ние программы долгосрочного инвестиционного кредитования сельского х</w:t>
      </w:r>
      <w:r>
        <w:t>о</w:t>
      </w:r>
      <w:r>
        <w:t>зяйства Латвии, по линии которой можно будет также осуществлять проекты в интересах женщин, живущих в сельских районах. В основных положениях программы государственного субсидирования под названием «Поддержка н</w:t>
      </w:r>
      <w:r>
        <w:t>е</w:t>
      </w:r>
      <w:r>
        <w:t>правительственных организаций и производителей в сельском хозяйстве» пр</w:t>
      </w:r>
      <w:r>
        <w:t>е</w:t>
      </w:r>
      <w:r>
        <w:t>дусматривается выделение Латвийской ассоциации сельских женщин как кру</w:t>
      </w:r>
      <w:r>
        <w:t>п</w:t>
      </w:r>
      <w:r>
        <w:t>нейшей организации, представляющей женщин, живущих в сельской местн</w:t>
      </w:r>
      <w:r>
        <w:t>о</w:t>
      </w:r>
      <w:r>
        <w:t>сти, финансовой поддержки в объеме 3000 латвийских лат. В настоящее время осуществляется программа микрокредитования для сельских женщин, в рамках которой предоставляются небольшие кредиты на осуществление проектов м</w:t>
      </w:r>
      <w:r>
        <w:t>а</w:t>
      </w:r>
      <w:r>
        <w:t>лых и средних предприятий, и женщины пользуются этой возможностью для создания новых и развития уже существующих предприятий. Латвийская асс</w:t>
      </w:r>
      <w:r>
        <w:t>о</w:t>
      </w:r>
      <w:r>
        <w:t>циация по вопросам гендерного равенства в своих комментариях отмечает, что программа микрокредитования для женщин, живущих в сельских районах, р</w:t>
      </w:r>
      <w:r>
        <w:t>а</w:t>
      </w:r>
      <w:r>
        <w:t>ботает довольно успешно, хотя в обществе о ней мало знают.</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285.</w:t>
      </w:r>
      <w:r>
        <w:tab/>
        <w:t>Равенство мужчин и женщин перед законом установлено в Латвии на ко</w:t>
      </w:r>
      <w:r>
        <w:t>н</w:t>
      </w:r>
      <w:r>
        <w:t>ституционном уровне: «Сатверсме» (Конституция) содержит норму, которая гласит, что все люди в Латвии равны перед законом и судом. Права человека осуществляются без какой-либо дискриминации.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Правоспособность и дееспособность женщин</w:t>
      </w:r>
    </w:p>
    <w:p w:rsidR="00000000" w:rsidRDefault="00000000">
      <w:pPr>
        <w:pStyle w:val="SingleTxt"/>
        <w:spacing w:after="0" w:line="120" w:lineRule="exact"/>
        <w:rPr>
          <w:sz w:val="10"/>
        </w:rPr>
      </w:pPr>
    </w:p>
    <w:p w:rsidR="00000000" w:rsidRDefault="00000000">
      <w:pPr>
        <w:pStyle w:val="SingleTxt"/>
      </w:pPr>
      <w:r>
        <w:t>286.</w:t>
      </w:r>
      <w:r>
        <w:tab/>
        <w:t>В соответствии с законом «О судебных органах» все люди равны перед законом и судом и пользуются равными правами на защиту закона. Суд вын</w:t>
      </w:r>
      <w:r>
        <w:t>о</w:t>
      </w:r>
      <w:r>
        <w:t>сит свои решения, независимо от происхождения сторон, их социального и м</w:t>
      </w:r>
      <w:r>
        <w:t>а</w:t>
      </w:r>
      <w:r>
        <w:t>териального положения, расы и национального происхождения, пола, образ</w:t>
      </w:r>
      <w:r>
        <w:t>о</w:t>
      </w:r>
      <w:r>
        <w:t>вания, языка, религии, рода и характера занятий, места жительства, политич</w:t>
      </w:r>
      <w:r>
        <w:t>е</w:t>
      </w:r>
      <w:r>
        <w:t>ских или иных убеждений.</w:t>
      </w:r>
    </w:p>
    <w:p w:rsidR="00000000" w:rsidRDefault="00000000">
      <w:pPr>
        <w:pStyle w:val="SingleTxt"/>
      </w:pPr>
      <w:r>
        <w:t>287.</w:t>
      </w:r>
      <w:r>
        <w:tab/>
        <w:t>Нормативные акты не устанавливают никаких дискриминационных огр</w:t>
      </w:r>
      <w:r>
        <w:t>а</w:t>
      </w:r>
      <w:r>
        <w:t>ничений на правоспособность и дееспособность женщин. В соответствии с Гражданско-процессуальным законом каждое физическое и юридическое лицо имеет право на защиту в суде своих попранных или оспариваемых гражданских прав или интересов, охраняемых законом. Согласно этому закону, гражданская процессуальная правоспособность – это способность лица быть носителем гражданских процессуальных прав и обязанностей. Гражданская процессуал</w:t>
      </w:r>
      <w:r>
        <w:t>ь</w:t>
      </w:r>
      <w:r>
        <w:t>ная правоспособность признается на равной основе за всеми физическими и юридическими лицами. Никаких ограничений по признаку пола здесь не сущ</w:t>
      </w:r>
      <w:r>
        <w:t>е</w:t>
      </w:r>
      <w:r>
        <w:t>ствует. Гражданское законодательство гласит, что правоспособностью не обл</w:t>
      </w:r>
      <w:r>
        <w:t>а</w:t>
      </w:r>
      <w:r>
        <w:t>дают несовершеннолетние, лица, находящиеся под попечительством в силу своего беспорядочного и невоздержанного образа жизни, и душевнобольные.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приобретать имущество и распоряжаться им</w:t>
      </w:r>
    </w:p>
    <w:p w:rsidR="00000000" w:rsidRDefault="00000000">
      <w:pPr>
        <w:pStyle w:val="SingleTxt"/>
        <w:spacing w:after="0" w:line="120" w:lineRule="exact"/>
        <w:rPr>
          <w:sz w:val="10"/>
        </w:rPr>
      </w:pPr>
    </w:p>
    <w:p w:rsidR="00000000" w:rsidRDefault="00000000">
      <w:pPr>
        <w:pStyle w:val="SingleTxt"/>
      </w:pPr>
      <w:r>
        <w:t>288.</w:t>
      </w:r>
      <w:r>
        <w:tab/>
        <w:t>«Сатверсме» (Конституция Латвии) устанавливает право каждого на пр</w:t>
      </w:r>
      <w:r>
        <w:t>и</w:t>
      </w:r>
      <w:r>
        <w:t>обретение имущества и свободу распоряжения указанным имуществом, если это не ограничивается законом; женщинам гарантируются равные с мужчинами права на распоряжение имущ</w:t>
      </w:r>
      <w:r>
        <w:t>е</w:t>
      </w:r>
      <w:r>
        <w:t>ством.</w:t>
      </w:r>
    </w:p>
    <w:p w:rsidR="00000000" w:rsidRDefault="00000000">
      <w:pPr>
        <w:pStyle w:val="SingleTxt"/>
      </w:pPr>
      <w:r>
        <w:t>289.</w:t>
      </w:r>
      <w:r>
        <w:tab/>
        <w:t>Гражданское законодательство не устанавливает никаких различий по признаку пола в реализации права человека владеть и пользоваться имущес</w:t>
      </w:r>
      <w:r>
        <w:t>т</w:t>
      </w:r>
      <w:r>
        <w:t>вом, извлекать все возможные выгоды из него, распоряжаться им и требовать его возвращения у третьей стороны в соответствии с установленным порядком.</w:t>
      </w:r>
    </w:p>
    <w:p w:rsidR="00000000" w:rsidRDefault="00000000">
      <w:pPr>
        <w:pStyle w:val="SingleTxt"/>
      </w:pPr>
      <w:r>
        <w:t>290.</w:t>
      </w:r>
      <w:r>
        <w:tab/>
        <w:t>Что касается равноправия при заключении договоров, то никаких огран</w:t>
      </w:r>
      <w:r>
        <w:t>и</w:t>
      </w:r>
      <w:r>
        <w:t>чений по признаку пола в Латвии не существует: гражданское законодательство гласит, что сделка является действительной только в том случае, если стороны сделки обладают одинаковой правоспособностью и дееспособностью. Как уже упоминалось выше, правоспособность женщины и мужчины одинакова, но в соответствии с положениями гражданского законодательства правоспособн</w:t>
      </w:r>
      <w:r>
        <w:t>о</w:t>
      </w:r>
      <w:r>
        <w:t>стью не обладают несовершеннолетние, лица, находящиеся под попечительс</w:t>
      </w:r>
      <w:r>
        <w:t>т</w:t>
      </w:r>
      <w:r>
        <w:t>вом в силу своего беспорядочного и невоздержанного образа жизни, и душе</w:t>
      </w:r>
      <w:r>
        <w:t>в</w:t>
      </w:r>
      <w:r>
        <w:t>нобольные, если законом не предусматривается иного. Никаких ограничений по пр</w:t>
      </w:r>
      <w:r>
        <w:t>и</w:t>
      </w:r>
      <w:r>
        <w:t>знаку пола в дееспособности человека также не существует.</w:t>
      </w:r>
    </w:p>
    <w:p w:rsidR="00000000" w:rsidRDefault="00000000">
      <w:pPr>
        <w:pStyle w:val="SingleTxt"/>
      </w:pPr>
      <w:r>
        <w:t>291.</w:t>
      </w:r>
      <w:r>
        <w:tab/>
        <w:t>Гражданское законодательство устанавливает гарантии равенства прав мужчин и женщин. В соответствии с нормами законодательства правоспосо</w:t>
      </w:r>
      <w:r>
        <w:t>б</w:t>
      </w:r>
      <w:r>
        <w:t>ное лицо, выполняя свои обязательства, осуществляет свои интересы и удовл</w:t>
      </w:r>
      <w:r>
        <w:t>е</w:t>
      </w:r>
      <w:r>
        <w:t>творяет свои духовные и материальные потребности. Люди пользуются равн</w:t>
      </w:r>
      <w:r>
        <w:t>ы</w:t>
      </w:r>
      <w:r>
        <w:t>ми возможностями в сфере заключения договоров и распоряжения имущес</w:t>
      </w:r>
      <w:r>
        <w:t>т</w:t>
      </w:r>
      <w:r>
        <w:t>вом. Нормативные акты исключают возможность установления дискриминац</w:t>
      </w:r>
      <w:r>
        <w:t>и</w:t>
      </w:r>
      <w:r>
        <w:t>онных ограничений на правоспособность женщин в отношении частных док</w:t>
      </w:r>
      <w:r>
        <w:t>у</w:t>
      </w:r>
      <w:r>
        <w:t>ментов или договоров.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Свобода передвижения и право выбирать место проживания</w:t>
      </w:r>
    </w:p>
    <w:p w:rsidR="00000000" w:rsidRDefault="00000000">
      <w:pPr>
        <w:pStyle w:val="SingleTxt"/>
        <w:spacing w:after="0" w:line="120" w:lineRule="exact"/>
        <w:rPr>
          <w:sz w:val="10"/>
        </w:rPr>
      </w:pPr>
    </w:p>
    <w:p w:rsidR="00000000" w:rsidRDefault="00000000">
      <w:pPr>
        <w:pStyle w:val="SingleTxt"/>
      </w:pPr>
      <w:r>
        <w:t>292.</w:t>
      </w:r>
      <w:r>
        <w:tab/>
        <w:t>В соответствии с «Сатверсме» (Конституцией) каждый человек, наход</w:t>
      </w:r>
      <w:r>
        <w:t>я</w:t>
      </w:r>
      <w:r>
        <w:t>щийся на законных основаниях на территории Латвии, пользуется свободой передвижения и свободой выбора своего места проживания, а также свободой покидать Латвию. Каждый человек, имеющий латвийский паспорт, пользуется защитой государства, когда он находится за пределами Латвии, и имеет право свободно возвратиться в Латвию. Латвия заключила соглашения с несколькими странами, которые регулируют миграцию и защиту прав мигрантов. Каждый человек имеет право свободно покинуть страну или выехать за рубеж. Эти пр</w:t>
      </w:r>
      <w:r>
        <w:t>а</w:t>
      </w:r>
      <w:r>
        <w:t>ва нельзя ограничивать по политическим или идеологическим мотивам. Гра</w:t>
      </w:r>
      <w:r>
        <w:t>ж</w:t>
      </w:r>
      <w:r>
        <w:t>данина Латвии и лицо, имеющее право на получение паспорта негражданина, нельзя выд</w:t>
      </w:r>
      <w:r>
        <w:t>а</w:t>
      </w:r>
      <w:r>
        <w:t>вать иностранному государству.</w:t>
      </w:r>
    </w:p>
    <w:p w:rsidR="00000000" w:rsidRDefault="00000000">
      <w:pPr>
        <w:pStyle w:val="SingleTxt"/>
      </w:pPr>
      <w:r>
        <w:t>293.</w:t>
      </w:r>
      <w:r>
        <w:tab/>
        <w:t>Закон «О пограничной службе» определяет принципы работы государс</w:t>
      </w:r>
      <w:r>
        <w:t>т</w:t>
      </w:r>
      <w:r>
        <w:t>венной пограничной службы, и одна из основных задач этой службы заключ</w:t>
      </w:r>
      <w:r>
        <w:t>а</w:t>
      </w:r>
      <w:r>
        <w:t>ется в защите прав людей, их законных интересов, независимо от их гражда</w:t>
      </w:r>
      <w:r>
        <w:t>н</w:t>
      </w:r>
      <w:r>
        <w:t>ства, материального или иного положения, расы и национального происхожд</w:t>
      </w:r>
      <w:r>
        <w:t>е</w:t>
      </w:r>
      <w:r>
        <w:t>ния, пола и возраста, образования и языка, религии, политических или иных убеждений. Кроме того, пограничная служба обеспечивает соблюдение права человека переезжать из одной страны в другую. Женщины могут свободно п</w:t>
      </w:r>
      <w:r>
        <w:t>е</w:t>
      </w:r>
      <w:r>
        <w:t>ресекать границу, и это их право ничем не ограничивается. Нормативные акты, касающиеся государственной пограничной службы, не содержат никаких сп</w:t>
      </w:r>
      <w:r>
        <w:t>е</w:t>
      </w:r>
      <w:r>
        <w:t>циальных норм, регулирующих передвижение людей и порядок прохождения пограничного контроля с учетом признаков пола. До настоящего времени гос</w:t>
      </w:r>
      <w:r>
        <w:t>у</w:t>
      </w:r>
      <w:r>
        <w:t>дарственная пограничная служба не зарегистрировала случаев нарушения прав женщин на границе, включая ограничения прав, которые касаются передвиж</w:t>
      </w:r>
      <w:r>
        <w:t>е</w:t>
      </w:r>
      <w:r>
        <w:t>ния женщин через границу.</w:t>
      </w:r>
    </w:p>
    <w:p w:rsidR="00000000" w:rsidRDefault="00000000">
      <w:pPr>
        <w:pStyle w:val="SingleTxt"/>
      </w:pPr>
      <w:r>
        <w:t>294.</w:t>
      </w:r>
      <w:r>
        <w:tab/>
        <w:t>Закон «О въезде и пребывании иностранцев и лиц без гражданства в Ла</w:t>
      </w:r>
      <w:r>
        <w:t>т</w:t>
      </w:r>
      <w:r>
        <w:t>вийской Республике», который регулирует право человека получить разреш</w:t>
      </w:r>
      <w:r>
        <w:t>е</w:t>
      </w:r>
      <w:r>
        <w:t>ние на пребывание в стране, разрешение на постоянное проживание и разр</w:t>
      </w:r>
      <w:r>
        <w:t>е</w:t>
      </w:r>
      <w:r>
        <w:t>шение на временное проживание в Латвии, не содержит никаких условий ге</w:t>
      </w:r>
      <w:r>
        <w:t>н</w:t>
      </w:r>
      <w:r>
        <w:t>дерного характера в отношении выдачи таких разрешений. Разрешение на пр</w:t>
      </w:r>
      <w:r>
        <w:t>е</w:t>
      </w:r>
      <w:r>
        <w:t>бывание в Латвии не выдается, если человек имеет заболевание или болезнь, которая по своему характеру, серьезности и возможной продолжительности создает угрозу безопасности общества и здоровью его членов, или есть осн</w:t>
      </w:r>
      <w:r>
        <w:t>о</w:t>
      </w:r>
      <w:r>
        <w:t>вания считать, что она может создать угрозу общественному здравоохранению, и если такая болезнь значится в перечне, утвержденном министерством благ</w:t>
      </w:r>
      <w:r>
        <w:t>о</w:t>
      </w:r>
      <w:r>
        <w:t>состояния Латвийской Республики, за исключением случаев, когда люди пр</w:t>
      </w:r>
      <w:r>
        <w:t>и</w:t>
      </w:r>
      <w:r>
        <w:t>бывают в Латвию лечиться от такой болезни с согласия министерства благосо</w:t>
      </w:r>
      <w:r>
        <w:t>с</w:t>
      </w:r>
      <w:r>
        <w:t>тояния; когда человек не имеет полиса медицинского страхования, который г</w:t>
      </w:r>
      <w:r>
        <w:t>а</w:t>
      </w:r>
      <w:r>
        <w:t>рантирует оплату медицинской помощи во время пребывания этого человека в Латвийской Республике; когда человек не в состоянии содержать себя и своих иждивенцев, кроме тех случаев, когда гражданин Латвийской Республики берет на себя обязанность содержать их; когда лицо в соответствии с порядком, уст</w:t>
      </w:r>
      <w:r>
        <w:t>а</w:t>
      </w:r>
      <w:r>
        <w:t>новленным законом, признается виновным в преступлении, которое было с</w:t>
      </w:r>
      <w:r>
        <w:t>о</w:t>
      </w:r>
      <w:r>
        <w:t>вершено в Латвийской Республике или за пределами страны и которое нак</w:t>
      </w:r>
      <w:r>
        <w:t>а</w:t>
      </w:r>
      <w:r>
        <w:t>зуемо в соответствии с законами, действующими в Латвийской Республике, лишением свободы на срок, превышающий три года. Это положение не прим</w:t>
      </w:r>
      <w:r>
        <w:t>е</w:t>
      </w:r>
      <w:r>
        <w:t>няется, если уголовное дело было закрыто или аннулировано в соответствии с порядком, установленным законом Латвийской Республики в отношении пр</w:t>
      </w:r>
      <w:r>
        <w:t>е</w:t>
      </w:r>
      <w:r>
        <w:t>ступлений, совершенных за рубежом, если прошло не менее пяти лет с тех пор, как человек отбыл тюремное заключение. В разрешении на проживание может быть также отказано, если лицу было отказано во въезде в Латвию, если была произведена его экстрадиция из Латвии в течение предыдущих пяти лет, если он сознательно представил ложную информацию для получения разрешения на проживание, если он имеет недействительное удостоверение личности или н</w:t>
      </w:r>
      <w:r>
        <w:t>е</w:t>
      </w:r>
      <w:r>
        <w:t>действительные документы для въезда в страну или вообще не имеет докуме</w:t>
      </w:r>
      <w:r>
        <w:t>н</w:t>
      </w:r>
      <w:r>
        <w:t>тов, если он является членом тоталитаристской, террорист</w:t>
      </w:r>
      <w:r>
        <w:t>и</w:t>
      </w:r>
      <w:r>
        <w:t>ческой или какой-либо иной организации, использующей насильственные методы, если он созд</w:t>
      </w:r>
      <w:r>
        <w:t>а</w:t>
      </w:r>
      <w:r>
        <w:t>ет угрозу для безопасности страны или общественного порядка, если он явл</w:t>
      </w:r>
      <w:r>
        <w:t>я</w:t>
      </w:r>
      <w:r>
        <w:t>ется членом какой-либо антиправительственной или преступной организации, если он совершил преступление против человечности, международное или в</w:t>
      </w:r>
      <w:r>
        <w:t>о</w:t>
      </w:r>
      <w:r>
        <w:t>енное преступление или участвовал в массовых репрессиях, что подтверждае</w:t>
      </w:r>
      <w:r>
        <w:t>т</w:t>
      </w:r>
      <w:r>
        <w:t>ся решением суда, если он находился незаконно в Латвийской Республике и помогал другому иностранцу или лицу без гражданства незаконно проникнуть на территорию Латвийской Республики, если он получил компенсацию на п</w:t>
      </w:r>
      <w:r>
        <w:t>е</w:t>
      </w:r>
      <w:r>
        <w:t>реезд на постоянное жительство за рубеж, независимо от того, выплачена ли вышеупомянутая компенсация публичными или муниципальными органами Латвии или же международными (иностранными) фондами или учреждениями. Во всех этих условиях отсутствует к</w:t>
      </w:r>
      <w:r>
        <w:t>а</w:t>
      </w:r>
      <w:r>
        <w:t>кое-либо упоминание пола лица.</w:t>
      </w:r>
    </w:p>
    <w:p w:rsidR="00000000" w:rsidRDefault="00000000">
      <w:pPr>
        <w:pStyle w:val="SingleTxt"/>
      </w:pPr>
      <w:r>
        <w:t>295.</w:t>
      </w:r>
      <w:r>
        <w:tab/>
        <w:t>Мужчины и женщины пользуются равными правами в выборе места св</w:t>
      </w:r>
      <w:r>
        <w:t>о</w:t>
      </w:r>
      <w:r>
        <w:t>его проживания или местожительства в Латвии. В Латвии женщины и мужчины пользуются одинаковыми правами в отношении возраста, когда человек может независимо выбирать место своего проживания. По гражданскому законод</w:t>
      </w:r>
      <w:r>
        <w:t>а</w:t>
      </w:r>
      <w:r>
        <w:t>тельству, до тех пор пока дети не достигнут совершеннолетия, они находятся под попечительством родителей. Юноши и девушки становятся совершенн</w:t>
      </w:r>
      <w:r>
        <w:t>о</w:t>
      </w:r>
      <w:r>
        <w:t>летними, когда они достигают возраста 18 лет. Родители могут определять м</w:t>
      </w:r>
      <w:r>
        <w:t>е</w:t>
      </w:r>
      <w:r>
        <w:t>сто проживания своих несовершеннолетних детей.</w:t>
      </w:r>
    </w:p>
    <w:p w:rsidR="00000000" w:rsidRDefault="00000000">
      <w:pPr>
        <w:pStyle w:val="SingleTxt"/>
      </w:pPr>
      <w:r>
        <w:t>296.</w:t>
      </w:r>
      <w:r>
        <w:tab/>
        <w:t>В Латвии не существует ограничений для женщин на аренду жилых п</w:t>
      </w:r>
      <w:r>
        <w:t>о</w:t>
      </w:r>
      <w:r>
        <w:t>мещений или приобретение отдельного жилья. Так, в соответствии с законом «Об аренде жилых помещений» любое физическое лицо, постоянно прож</w:t>
      </w:r>
      <w:r>
        <w:t>и</w:t>
      </w:r>
      <w:r>
        <w:t>вающее в Латвии или имеющее разрешение на проживание, может стать аре</w:t>
      </w:r>
      <w:r>
        <w:t>н</w:t>
      </w:r>
      <w:r>
        <w:t>датором или субарендатором. Соглашение об аренде от имени недееспособных лиц заключается их опекунами (попечителями), а лицо, имеющее ограниче</w:t>
      </w:r>
      <w:r>
        <w:t>н</w:t>
      </w:r>
      <w:r>
        <w:t>ную правоспособность, может заключить соглашение об аренде с согласия св</w:t>
      </w:r>
      <w:r>
        <w:t>о</w:t>
      </w:r>
      <w:r>
        <w:t>его опекуна (попечителя).</w:t>
      </w:r>
    </w:p>
    <w:p w:rsidR="00000000" w:rsidRDefault="00000000">
      <w:pPr>
        <w:pStyle w:val="SingleTxt"/>
      </w:pPr>
      <w:r>
        <w:t>297.</w:t>
      </w:r>
      <w:r>
        <w:tab/>
        <w:t>Право быть прописанным (зарегистрированным) по месту жительства одинаково для мужчин и женщин. В соответствии с постановлением кабинета министров «О временном порядке прописки и выписки лиц» человек пропис</w:t>
      </w:r>
      <w:r>
        <w:t>ы</w:t>
      </w:r>
      <w:r>
        <w:t>вается по месту своего жительства. Собственник жилых помещений (физич</w:t>
      </w:r>
      <w:r>
        <w:t>е</w:t>
      </w:r>
      <w:r>
        <w:t>ское лицо) и члены его семьи имеют право прописаться в жилых помещениях, являющихся его собственностью. Несовершеннолетние дети (а также усыно</w:t>
      </w:r>
      <w:r>
        <w:t>в</w:t>
      </w:r>
      <w:r>
        <w:t>ленные дети) собственника жилых помещений, члены его семьи и другие лица (которые поселились в жилых помещениях с согласия собственника) имеют право прописаться в жилых помещениях собственника без согласия последн</w:t>
      </w:r>
      <w:r>
        <w:t>е</w:t>
      </w:r>
      <w:r>
        <w:t>го, информировав его об этом. Арендатор, члены его семьи и другие лица им</w:t>
      </w:r>
      <w:r>
        <w:t>е</w:t>
      </w:r>
      <w:r>
        <w:t>ют право прописаться в арендуемых жилых помещениях, если имя, фамилия и индивидуальный идентификационный код указанного лица фигурируют в дог</w:t>
      </w:r>
      <w:r>
        <w:t>о</w:t>
      </w:r>
      <w:r>
        <w:t>воре аренды жилых помещений (или приложениях к нему). Если фамилия лица не фигурирует в договоре аренды жилых помещений, то следующие лица им</w:t>
      </w:r>
      <w:r>
        <w:t>е</w:t>
      </w:r>
      <w:r>
        <w:t>ют право прописаться в этих помещениях, информировав арендодателя об этом: лицо, право которого на жилые помещения установлено по решению с</w:t>
      </w:r>
      <w:r>
        <w:t>у</w:t>
      </w:r>
      <w:r>
        <w:t>да, несовершеннолетний ребенок (а также усыновленный ребенок) в жилых помещениях, арендуемых его родителями, опекун или попечитель члена семьи арендатора.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298.</w:t>
      </w:r>
      <w:r>
        <w:tab/>
        <w:t>«Сатверсме» (Конституция) гласит, что государство защищает и подде</w:t>
      </w:r>
      <w:r>
        <w:t>р</w:t>
      </w:r>
      <w:r>
        <w:t>живает брак, семью и права родителей и детей. Государство предоставляет специальную помощь детям-инвалидам и детям, лишенным родительского ух</w:t>
      </w:r>
      <w:r>
        <w:t>о</w:t>
      </w:r>
      <w:r>
        <w:t>да, а также детям, которые являются жертвами злоупотреблений.</w:t>
      </w:r>
    </w:p>
    <w:p w:rsidR="00000000" w:rsidRDefault="00000000">
      <w:pPr>
        <w:pStyle w:val="SingleTxt"/>
      </w:pPr>
      <w:r>
        <w:t>299.</w:t>
      </w:r>
      <w:r>
        <w:tab/>
        <w:t>В соответствии с «Сатверсме» (Конституцией) права человека в Латвии осуществляются без дискриминации, и равноправие мужчин и женщин в в</w:t>
      </w:r>
      <w:r>
        <w:t>о</w:t>
      </w:r>
      <w:r>
        <w:t>просах, касающихся семьи и семейных отношений, признается на конституц</w:t>
      </w:r>
      <w:r>
        <w:t>и</w:t>
      </w:r>
      <w:r>
        <w:t>онном уровне.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Право вступать в брак и выбирать супруга</w:t>
      </w:r>
    </w:p>
    <w:p w:rsidR="00000000" w:rsidRDefault="00000000">
      <w:pPr>
        <w:pStyle w:val="SingleTxt"/>
        <w:spacing w:after="0" w:line="120" w:lineRule="exact"/>
        <w:rPr>
          <w:sz w:val="10"/>
        </w:rPr>
      </w:pPr>
    </w:p>
    <w:p w:rsidR="00000000" w:rsidRDefault="00000000">
      <w:pPr>
        <w:pStyle w:val="SingleTxt"/>
      </w:pPr>
      <w:r>
        <w:t>300.</w:t>
      </w:r>
      <w:r>
        <w:tab/>
        <w:t>В Латвии вступление в брак основывается на добровольном согласии мужчины и женщины, а также на их равноправии.</w:t>
      </w:r>
    </w:p>
    <w:p w:rsidR="00000000" w:rsidRDefault="00000000">
      <w:pPr>
        <w:pStyle w:val="SingleTxt"/>
      </w:pPr>
      <w:r>
        <w:t>301.</w:t>
      </w:r>
      <w:r>
        <w:tab/>
        <w:t>По гражданскому законодательству в брак может вступать любое лицо, независимо пола, достигшее возраста 18 лет. В исключительных случаях чел</w:t>
      </w:r>
      <w:r>
        <w:t>о</w:t>
      </w:r>
      <w:r>
        <w:t>век может вступить в брак в возрасте 16 лет с согласия родителей или попеч</w:t>
      </w:r>
      <w:r>
        <w:t>и</w:t>
      </w:r>
      <w:r>
        <w:t>теля при условии, что он вступает в брак с другим лицом, достигшим сове</w:t>
      </w:r>
      <w:r>
        <w:t>р</w:t>
      </w:r>
      <w:r>
        <w:t>шеннолетия. Если родители или попечители отказываются дать согласие на вступление в брак без какой-либо веской причины, такое согласие может дать опекунский суд по месту жительства родителей или назначенных попечителей.</w:t>
      </w:r>
    </w:p>
    <w:p w:rsidR="00000000" w:rsidRDefault="00000000">
      <w:pPr>
        <w:pStyle w:val="SingleTxt"/>
      </w:pPr>
      <w:r>
        <w:t>302.</w:t>
      </w:r>
      <w:r>
        <w:tab/>
        <w:t>В Латвии брак, заключенный супругами до достижения возраста, уст</w:t>
      </w:r>
      <w:r>
        <w:t>а</w:t>
      </w:r>
      <w:r>
        <w:t>новленного законом, признается недействительным. Такой брак не признается недействительным, если жена оказывается беременной или если ко времени вынесения соответствующего судебного решения супруги достигают возраста, установленного законом. С 1993 года средний возраст женщины, когда она впервые вступает в брак, постепенно повышается (см. таблицу).</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2"/>
        <w:gridCol w:w="5682"/>
      </w:tblGrid>
      <w:tr w:rsidR="00000000">
        <w:tblPrEx>
          <w:tblCellMar>
            <w:top w:w="0" w:type="dxa"/>
            <w:bottom w:w="0" w:type="dxa"/>
          </w:tblCellMar>
        </w:tblPrEx>
        <w:trPr>
          <w:cantSplit/>
        </w:trPr>
        <w:tc>
          <w:tcPr>
            <w:tcW w:w="1472" w:type="dxa"/>
          </w:tcPr>
          <w:p w:rsidR="00000000" w:rsidRDefault="00000000">
            <w:pPr>
              <w:pStyle w:val="DualTxt"/>
              <w:spacing w:before="60"/>
            </w:pPr>
            <w:r>
              <w:t>Год</w:t>
            </w:r>
          </w:p>
        </w:tc>
        <w:tc>
          <w:tcPr>
            <w:tcW w:w="5682" w:type="dxa"/>
          </w:tcPr>
          <w:p w:rsidR="00000000" w:rsidRDefault="00000000">
            <w:pPr>
              <w:pStyle w:val="DualTxt"/>
              <w:spacing w:before="60"/>
            </w:pPr>
            <w:r>
              <w:t>Средний возраст женщины при вступлении в первый брак</w:t>
            </w:r>
          </w:p>
        </w:tc>
      </w:tr>
      <w:tr w:rsidR="00000000">
        <w:tblPrEx>
          <w:tblCellMar>
            <w:top w:w="0" w:type="dxa"/>
            <w:bottom w:w="0" w:type="dxa"/>
          </w:tblCellMar>
        </w:tblPrEx>
        <w:trPr>
          <w:cantSplit/>
        </w:trPr>
        <w:tc>
          <w:tcPr>
            <w:tcW w:w="1472" w:type="dxa"/>
          </w:tcPr>
          <w:p w:rsidR="00000000" w:rsidRDefault="00000000">
            <w:pPr>
              <w:pStyle w:val="DualTxt"/>
              <w:spacing w:before="60" w:after="80"/>
            </w:pPr>
            <w:r>
              <w:t>1993</w:t>
            </w:r>
          </w:p>
        </w:tc>
        <w:tc>
          <w:tcPr>
            <w:tcW w:w="5682" w:type="dxa"/>
          </w:tcPr>
          <w:p w:rsidR="00000000" w:rsidRDefault="00000000">
            <w:pPr>
              <w:pStyle w:val="DualTxt"/>
              <w:spacing w:before="60" w:after="80"/>
              <w:jc w:val="center"/>
            </w:pPr>
            <w:r>
              <w:t>22,5</w:t>
            </w:r>
          </w:p>
        </w:tc>
      </w:tr>
      <w:tr w:rsidR="00000000">
        <w:tblPrEx>
          <w:tblCellMar>
            <w:top w:w="0" w:type="dxa"/>
            <w:bottom w:w="0" w:type="dxa"/>
          </w:tblCellMar>
        </w:tblPrEx>
        <w:trPr>
          <w:cantSplit/>
        </w:trPr>
        <w:tc>
          <w:tcPr>
            <w:tcW w:w="1472" w:type="dxa"/>
          </w:tcPr>
          <w:p w:rsidR="00000000" w:rsidRDefault="00000000">
            <w:pPr>
              <w:pStyle w:val="DualTxt"/>
              <w:spacing w:before="60" w:after="80"/>
            </w:pPr>
            <w:r>
              <w:t>1994</w:t>
            </w:r>
          </w:p>
        </w:tc>
        <w:tc>
          <w:tcPr>
            <w:tcW w:w="5682" w:type="dxa"/>
          </w:tcPr>
          <w:p w:rsidR="00000000" w:rsidRDefault="00000000">
            <w:pPr>
              <w:pStyle w:val="DualTxt"/>
              <w:spacing w:before="60" w:after="80"/>
              <w:jc w:val="center"/>
            </w:pPr>
            <w:r>
              <w:t>22,5</w:t>
            </w:r>
          </w:p>
        </w:tc>
      </w:tr>
      <w:tr w:rsidR="00000000">
        <w:tblPrEx>
          <w:tblCellMar>
            <w:top w:w="0" w:type="dxa"/>
            <w:bottom w:w="0" w:type="dxa"/>
          </w:tblCellMar>
        </w:tblPrEx>
        <w:trPr>
          <w:cantSplit/>
        </w:trPr>
        <w:tc>
          <w:tcPr>
            <w:tcW w:w="1472" w:type="dxa"/>
          </w:tcPr>
          <w:p w:rsidR="00000000" w:rsidRDefault="00000000">
            <w:pPr>
              <w:pStyle w:val="DualTxt"/>
              <w:spacing w:before="60" w:after="80"/>
            </w:pPr>
            <w:r>
              <w:t>1995</w:t>
            </w:r>
          </w:p>
        </w:tc>
        <w:tc>
          <w:tcPr>
            <w:tcW w:w="5682" w:type="dxa"/>
          </w:tcPr>
          <w:p w:rsidR="00000000" w:rsidRDefault="00000000">
            <w:pPr>
              <w:pStyle w:val="DualTxt"/>
              <w:spacing w:before="60" w:after="80"/>
              <w:jc w:val="center"/>
            </w:pPr>
            <w:r>
              <w:t>22,8</w:t>
            </w:r>
          </w:p>
        </w:tc>
      </w:tr>
      <w:tr w:rsidR="00000000">
        <w:tblPrEx>
          <w:tblCellMar>
            <w:top w:w="0" w:type="dxa"/>
            <w:bottom w:w="0" w:type="dxa"/>
          </w:tblCellMar>
        </w:tblPrEx>
        <w:trPr>
          <w:cantSplit/>
        </w:trPr>
        <w:tc>
          <w:tcPr>
            <w:tcW w:w="1472" w:type="dxa"/>
          </w:tcPr>
          <w:p w:rsidR="00000000" w:rsidRDefault="00000000">
            <w:pPr>
              <w:pStyle w:val="DualTxt"/>
              <w:spacing w:before="60" w:after="80"/>
            </w:pPr>
            <w:r>
              <w:t>1996</w:t>
            </w:r>
          </w:p>
        </w:tc>
        <w:tc>
          <w:tcPr>
            <w:tcW w:w="5682" w:type="dxa"/>
          </w:tcPr>
          <w:p w:rsidR="00000000" w:rsidRDefault="00000000">
            <w:pPr>
              <w:pStyle w:val="DualTxt"/>
              <w:spacing w:before="60" w:after="80"/>
              <w:jc w:val="center"/>
            </w:pPr>
            <w:r>
              <w:t>23,2</w:t>
            </w:r>
          </w:p>
        </w:tc>
      </w:tr>
      <w:tr w:rsidR="00000000">
        <w:tblPrEx>
          <w:tblCellMar>
            <w:top w:w="0" w:type="dxa"/>
            <w:bottom w:w="0" w:type="dxa"/>
          </w:tblCellMar>
        </w:tblPrEx>
        <w:trPr>
          <w:cantSplit/>
        </w:trPr>
        <w:tc>
          <w:tcPr>
            <w:tcW w:w="1472" w:type="dxa"/>
          </w:tcPr>
          <w:p w:rsidR="00000000" w:rsidRDefault="00000000">
            <w:pPr>
              <w:pStyle w:val="DualTxt"/>
              <w:spacing w:before="60" w:after="80"/>
            </w:pPr>
            <w:r>
              <w:t>1997</w:t>
            </w:r>
          </w:p>
        </w:tc>
        <w:tc>
          <w:tcPr>
            <w:tcW w:w="5682" w:type="dxa"/>
          </w:tcPr>
          <w:p w:rsidR="00000000" w:rsidRDefault="00000000">
            <w:pPr>
              <w:pStyle w:val="DualTxt"/>
              <w:spacing w:before="60" w:after="80"/>
              <w:jc w:val="center"/>
            </w:pPr>
            <w:r>
              <w:t>23,6</w:t>
            </w:r>
          </w:p>
        </w:tc>
      </w:tr>
      <w:tr w:rsidR="00000000">
        <w:tblPrEx>
          <w:tblCellMar>
            <w:top w:w="0" w:type="dxa"/>
            <w:bottom w:w="0" w:type="dxa"/>
          </w:tblCellMar>
        </w:tblPrEx>
        <w:trPr>
          <w:cantSplit/>
        </w:trPr>
        <w:tc>
          <w:tcPr>
            <w:tcW w:w="1472" w:type="dxa"/>
          </w:tcPr>
          <w:p w:rsidR="00000000" w:rsidRDefault="00000000">
            <w:pPr>
              <w:pStyle w:val="DualTxt"/>
              <w:spacing w:before="60" w:after="80"/>
            </w:pPr>
            <w:r>
              <w:t>1998</w:t>
            </w:r>
          </w:p>
        </w:tc>
        <w:tc>
          <w:tcPr>
            <w:tcW w:w="5682" w:type="dxa"/>
          </w:tcPr>
          <w:p w:rsidR="00000000" w:rsidRDefault="00000000">
            <w:pPr>
              <w:pStyle w:val="DualTxt"/>
              <w:spacing w:before="60" w:after="80"/>
              <w:jc w:val="center"/>
            </w:pPr>
            <w:r>
              <w:t>24,0</w:t>
            </w:r>
          </w:p>
        </w:tc>
      </w:tr>
      <w:tr w:rsidR="00000000">
        <w:tblPrEx>
          <w:tblCellMar>
            <w:top w:w="0" w:type="dxa"/>
            <w:bottom w:w="0" w:type="dxa"/>
          </w:tblCellMar>
        </w:tblPrEx>
        <w:trPr>
          <w:cantSplit/>
        </w:trPr>
        <w:tc>
          <w:tcPr>
            <w:tcW w:w="1472" w:type="dxa"/>
          </w:tcPr>
          <w:p w:rsidR="00000000" w:rsidRDefault="00000000">
            <w:pPr>
              <w:pStyle w:val="DualTxt"/>
              <w:spacing w:before="60" w:after="80"/>
            </w:pPr>
            <w:r>
              <w:t>1999</w:t>
            </w:r>
          </w:p>
        </w:tc>
        <w:tc>
          <w:tcPr>
            <w:tcW w:w="5682" w:type="dxa"/>
          </w:tcPr>
          <w:p w:rsidR="00000000" w:rsidRDefault="00000000">
            <w:pPr>
              <w:pStyle w:val="DualTxt"/>
              <w:spacing w:before="60" w:after="80"/>
              <w:jc w:val="center"/>
            </w:pPr>
            <w:r>
              <w:t>24,2</w:t>
            </w:r>
          </w:p>
        </w:tc>
      </w:tr>
      <w:tr w:rsidR="00000000">
        <w:tblPrEx>
          <w:tblCellMar>
            <w:top w:w="0" w:type="dxa"/>
            <w:bottom w:w="0" w:type="dxa"/>
          </w:tblCellMar>
        </w:tblPrEx>
        <w:trPr>
          <w:cantSplit/>
        </w:trPr>
        <w:tc>
          <w:tcPr>
            <w:tcW w:w="1472" w:type="dxa"/>
          </w:tcPr>
          <w:p w:rsidR="00000000" w:rsidRDefault="00000000">
            <w:pPr>
              <w:pStyle w:val="DualTxt"/>
              <w:spacing w:before="60" w:after="80"/>
            </w:pPr>
            <w:r>
              <w:t>2000</w:t>
            </w:r>
          </w:p>
        </w:tc>
        <w:tc>
          <w:tcPr>
            <w:tcW w:w="5682" w:type="dxa"/>
          </w:tcPr>
          <w:p w:rsidR="00000000" w:rsidRDefault="00000000">
            <w:pPr>
              <w:pStyle w:val="DualTxt"/>
              <w:spacing w:before="60" w:after="80"/>
              <w:jc w:val="center"/>
            </w:pPr>
            <w:r>
              <w:t>24,4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303.</w:t>
      </w:r>
      <w:r>
        <w:tab/>
        <w:t>В Латвии женщины и мужчины пользуются равными правами в выборе супруга, и этот выбор основывается на свободном волеизъявлении каждого вступающего в брак. Этот принцип обеспечивается во время брачной церем</w:t>
      </w:r>
      <w:r>
        <w:t>о</w:t>
      </w:r>
      <w:r>
        <w:t>нии, когда невеста и жених подтверждают свое намерение вступить в брак. Брак считается недействительным, если после его заключения один из супр</w:t>
      </w:r>
      <w:r>
        <w:t>у</w:t>
      </w:r>
      <w:r>
        <w:t>гов объявляется недееспособным вследствие душевного заболевания или н</w:t>
      </w:r>
      <w:r>
        <w:t>е</w:t>
      </w:r>
      <w:r>
        <w:t>вменяемости или когда брак был заключен в таком состоянии, что человек не сознавал, что он делает и не мог управлять своими действиями. Кроме того, один из супругов может оспорить брак, если он вступил в него по принужд</w:t>
      </w:r>
      <w:r>
        <w:t>е</w:t>
      </w:r>
      <w:r>
        <w:t>нию.</w:t>
      </w:r>
    </w:p>
    <w:p w:rsidR="00000000" w:rsidRDefault="00000000">
      <w:pPr>
        <w:pStyle w:val="SingleTxt"/>
      </w:pPr>
      <w:r>
        <w:t>304.</w:t>
      </w:r>
      <w:r>
        <w:tab/>
        <w:t>Если будущий супруг выбирается под давлением другого будущего супр</w:t>
      </w:r>
      <w:r>
        <w:t>у</w:t>
      </w:r>
      <w:r>
        <w:t>га или какого-либо иного лица, то такой брак следует считать фиктивным, то есть не преследующим цели создания семьи, и он может быть объявлен неде</w:t>
      </w:r>
      <w:r>
        <w:t>й</w:t>
      </w:r>
      <w:r>
        <w:t>ствительным.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Равноправие супругов; одинаковые права при расторжении брака</w:t>
      </w:r>
    </w:p>
    <w:p w:rsidR="00000000" w:rsidRDefault="00000000">
      <w:pPr>
        <w:pStyle w:val="SingleTxt"/>
        <w:spacing w:after="0" w:line="120" w:lineRule="exact"/>
        <w:rPr>
          <w:sz w:val="10"/>
        </w:rPr>
      </w:pPr>
    </w:p>
    <w:p w:rsidR="00000000" w:rsidRDefault="00000000">
      <w:pPr>
        <w:pStyle w:val="SingleTxt"/>
      </w:pPr>
      <w:r>
        <w:t>305.</w:t>
      </w:r>
      <w:r>
        <w:tab/>
        <w:t>По гражданскому законодательству брак предполагает обязанность мужа и жены быть верными друг другу, жить совместно, заботиться друг о друге и вместе заботиться о благополучии семьи. Оба супруга пользуются одинаков</w:t>
      </w:r>
      <w:r>
        <w:t>ы</w:t>
      </w:r>
      <w:r>
        <w:t>ми правами при выполнении семейных обязанностей. Гражданское законод</w:t>
      </w:r>
      <w:r>
        <w:t>а</w:t>
      </w:r>
      <w:r>
        <w:t>тельство предусматривает также возможность обращения в суд, если супругам не удается достичь договоренности в споре.</w:t>
      </w:r>
    </w:p>
    <w:p w:rsidR="00000000" w:rsidRDefault="00000000">
      <w:pPr>
        <w:pStyle w:val="SingleTxt"/>
      </w:pPr>
      <w:r>
        <w:t>306.</w:t>
      </w:r>
      <w:r>
        <w:tab/>
        <w:t>Закон не устанавливает обязательного требования о том, чтобы женщина брала фамилию мужа при вступлении в брак. По гражданскому законодател</w:t>
      </w:r>
      <w:r>
        <w:t>ь</w:t>
      </w:r>
      <w:r>
        <w:t>ству при вступлении в брак супруги по своему усмотрению выбирают добра</w:t>
      </w:r>
      <w:r>
        <w:t>ч</w:t>
      </w:r>
      <w:r>
        <w:t>ную фамилию одного из супругов в качестве своей общей фамилии; каждый супруг в браке может также сохранить свою фамилию, существовавшую до брака, и не брать общей брачной фамилии или же добавить фамилию другого супруга к своей фамилии. В соответствии с постановлением кабинета минис</w:t>
      </w:r>
      <w:r>
        <w:t>т</w:t>
      </w:r>
      <w:r>
        <w:t>ров от 22 августа 2000 года No 295 «Правила написания и идентификации имен и фамилий» если лицо берет фамилию своего супруга, то в конце этой фамилии добавляется окончание в соответствии с грамматическими правилами латви</w:t>
      </w:r>
      <w:r>
        <w:t>й</w:t>
      </w:r>
      <w:r>
        <w:t>ского языка и с учетом пола лица.</w:t>
      </w:r>
    </w:p>
    <w:p w:rsidR="00000000" w:rsidRDefault="00000000">
      <w:pPr>
        <w:pStyle w:val="SingleTxt"/>
      </w:pPr>
      <w:r>
        <w:t>307.</w:t>
      </w:r>
      <w:r>
        <w:tab/>
        <w:t>Гражданское законодательство регулирует также имущественные отнош</w:t>
      </w:r>
      <w:r>
        <w:t>е</w:t>
      </w:r>
      <w:r>
        <w:t>ния супругов; по законодательству каждый супруг сохраняет имущество, кот</w:t>
      </w:r>
      <w:r>
        <w:t>о</w:t>
      </w:r>
      <w:r>
        <w:t>рое было у него до вступления в брак, а также имущество, приобретенное им в период брака. Во время брака каждый супруг имеет право распоряжаться и пользоваться своим имуществом, то есть имуществом, которым супруг или супруга владели до вступления в брак, и имуществом, приобретенным в браке. Все имущество, которое было приобретено совместно обоими супругами или одним из них, но за счет финансовых средств обоих супругов и при помощи другого супруга, является общей собственностью супругов; в случае неопред</w:t>
      </w:r>
      <w:r>
        <w:t>е</w:t>
      </w:r>
      <w:r>
        <w:t>ленности считается, что указанное имущество принадлежит поровну обоим супругам. Супруги распоряжаются своей общей собственностью совместно, однако всей собственностью может распоряжаться один из супругов с согласия другого супруга. Меры, принимаемые одним из супругов в отношении упом</w:t>
      </w:r>
      <w:r>
        <w:t>я</w:t>
      </w:r>
      <w:r>
        <w:t>нутого имущества, требуют наличия согласия другого супруга. Оба супруга обязаны покрывать расходы семьи и их общего хозяйства за счет своей общей собственности.</w:t>
      </w:r>
    </w:p>
    <w:p w:rsidR="00000000" w:rsidRDefault="00000000">
      <w:pPr>
        <w:pStyle w:val="SingleTxt"/>
      </w:pPr>
      <w:r>
        <w:t>308.</w:t>
      </w:r>
      <w:r>
        <w:tab/>
        <w:t>Супруги могут определять, изменять и прекращать свои имущественные отношения с помощью брачного договора до вступления в брак и в период бр</w:t>
      </w:r>
      <w:r>
        <w:t>а</w:t>
      </w:r>
      <w:r>
        <w:t>ка. Стороны брачного договора могут установить режим раздельной или с</w:t>
      </w:r>
      <w:r>
        <w:t>о</w:t>
      </w:r>
      <w:r>
        <w:t>вместной собственности на имущество вместо установленных законом имущ</w:t>
      </w:r>
      <w:r>
        <w:t>е</w:t>
      </w:r>
      <w:r>
        <w:t>ственных отношений супругов. Если брачный договор устанавливает режим раздельной собственности на имущество супругов, то каждый супруг сохран</w:t>
      </w:r>
      <w:r>
        <w:t>я</w:t>
      </w:r>
      <w:r>
        <w:t>ет имущество, принадлежавшее ему до брака, но при этом он может независ</w:t>
      </w:r>
      <w:r>
        <w:t>и</w:t>
      </w:r>
      <w:r>
        <w:t>мо приобретать, пользоваться и распоряжаться имуществом в браке независ</w:t>
      </w:r>
      <w:r>
        <w:t>и</w:t>
      </w:r>
      <w:r>
        <w:t>мо от другого супруга. Если брачный договор устанавливает режим совместной собственности на имущество супругов, то имущество, принадлежавшее супр</w:t>
      </w:r>
      <w:r>
        <w:t>у</w:t>
      </w:r>
      <w:r>
        <w:t>гам до брака, а также имущество, приобретенное в период брака, за исключ</w:t>
      </w:r>
      <w:r>
        <w:t>е</w:t>
      </w:r>
      <w:r>
        <w:t>нием раздельного имущества, объединяется в общую неразделимую имущес</w:t>
      </w:r>
      <w:r>
        <w:t>т</w:t>
      </w:r>
      <w:r>
        <w:t>венную массу, которая не принадлежит раздельными частями какому-либо из супругов в период брака. При установлении в брачном договоре режима совм</w:t>
      </w:r>
      <w:r>
        <w:t>е</w:t>
      </w:r>
      <w:r>
        <w:t>стной собственности на имущество супруги решают, кто будет распоряжаться совместным имуществом (муж, жена или оба они).</w:t>
      </w:r>
    </w:p>
    <w:p w:rsidR="00000000" w:rsidRDefault="00000000">
      <w:pPr>
        <w:pStyle w:val="SingleTxt"/>
      </w:pPr>
      <w:r>
        <w:t>309.</w:t>
      </w:r>
      <w:r>
        <w:tab/>
        <w:t>Чтобы брачный договор был обязательным для третьих сторон, он регис</w:t>
      </w:r>
      <w:r>
        <w:t>т</w:t>
      </w:r>
      <w:r>
        <w:t>рируется в Реестре имущественных отношений супругов при Реестре предпр</w:t>
      </w:r>
      <w:r>
        <w:t>и</w:t>
      </w:r>
      <w:r>
        <w:t>ятий Латвийской Республики. Если брачный договор содержит положения о недвижимости, то этот договор должен быть также зарегистрирован в Земел</w:t>
      </w:r>
      <w:r>
        <w:t>ь</w:t>
      </w:r>
      <w:r>
        <w:t>ном реестре, в котором эта недвижимость была зарегистрирована. Выдержки из статей Реестра имущественных отношений супругов должны публиковаться в официальной газете «Латвияс вестнесис». Каждый человек имеет право о</w:t>
      </w:r>
      <w:r>
        <w:t>б</w:t>
      </w:r>
      <w:r>
        <w:t>ращаться в Реестр имущественных отношений супругов и запрашивать в</w:t>
      </w:r>
      <w:r>
        <w:t>ы</w:t>
      </w:r>
      <w:r>
        <w:t>держки из него.</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Зарегистрированные брачные договоры</w:t>
      </w: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5534"/>
      </w:tblGrid>
      <w:tr w:rsidR="00000000">
        <w:tblPrEx>
          <w:tblCellMar>
            <w:top w:w="0" w:type="dxa"/>
            <w:bottom w:w="0" w:type="dxa"/>
          </w:tblCellMar>
        </w:tblPrEx>
        <w:tc>
          <w:tcPr>
            <w:tcW w:w="1620" w:type="dxa"/>
          </w:tcPr>
          <w:p w:rsidR="00000000" w:rsidRDefault="00000000">
            <w:pPr>
              <w:pStyle w:val="DualTxt"/>
              <w:spacing w:before="60" w:after="100"/>
            </w:pPr>
            <w:r>
              <w:t>Год</w:t>
            </w:r>
          </w:p>
        </w:tc>
        <w:tc>
          <w:tcPr>
            <w:tcW w:w="5534" w:type="dxa"/>
          </w:tcPr>
          <w:p w:rsidR="00000000" w:rsidRDefault="00000000">
            <w:pPr>
              <w:pStyle w:val="DualTxt"/>
              <w:spacing w:before="60" w:after="100"/>
            </w:pPr>
            <w:r>
              <w:t>Количество зарегистрированных брачных договоров</w:t>
            </w:r>
          </w:p>
        </w:tc>
      </w:tr>
      <w:tr w:rsidR="00000000">
        <w:tblPrEx>
          <w:tblCellMar>
            <w:top w:w="0" w:type="dxa"/>
            <w:bottom w:w="0" w:type="dxa"/>
          </w:tblCellMar>
        </w:tblPrEx>
        <w:tc>
          <w:tcPr>
            <w:tcW w:w="1620" w:type="dxa"/>
          </w:tcPr>
          <w:p w:rsidR="00000000" w:rsidRDefault="00000000">
            <w:pPr>
              <w:pStyle w:val="DualTxt"/>
              <w:spacing w:before="60" w:after="80"/>
            </w:pPr>
            <w:r>
              <w:t>1994</w:t>
            </w:r>
          </w:p>
        </w:tc>
        <w:tc>
          <w:tcPr>
            <w:tcW w:w="5534" w:type="dxa"/>
          </w:tcPr>
          <w:p w:rsidR="00000000" w:rsidRDefault="00000000">
            <w:pPr>
              <w:pStyle w:val="DualTxt"/>
              <w:spacing w:before="60" w:after="80"/>
              <w:jc w:val="center"/>
            </w:pPr>
            <w:r>
              <w:t>13</w:t>
            </w:r>
          </w:p>
        </w:tc>
      </w:tr>
      <w:tr w:rsidR="00000000">
        <w:tblPrEx>
          <w:tblCellMar>
            <w:top w:w="0" w:type="dxa"/>
            <w:bottom w:w="0" w:type="dxa"/>
          </w:tblCellMar>
        </w:tblPrEx>
        <w:tc>
          <w:tcPr>
            <w:tcW w:w="1620" w:type="dxa"/>
          </w:tcPr>
          <w:p w:rsidR="00000000" w:rsidRDefault="00000000">
            <w:pPr>
              <w:pStyle w:val="DualTxt"/>
              <w:spacing w:before="60" w:after="80"/>
            </w:pPr>
            <w:r>
              <w:t>1995</w:t>
            </w:r>
          </w:p>
        </w:tc>
        <w:tc>
          <w:tcPr>
            <w:tcW w:w="5534" w:type="dxa"/>
          </w:tcPr>
          <w:p w:rsidR="00000000" w:rsidRDefault="00000000">
            <w:pPr>
              <w:pStyle w:val="DualTxt"/>
              <w:spacing w:before="60" w:after="80"/>
              <w:jc w:val="center"/>
            </w:pPr>
            <w:r>
              <w:t>134</w:t>
            </w:r>
          </w:p>
        </w:tc>
      </w:tr>
      <w:tr w:rsidR="00000000">
        <w:tblPrEx>
          <w:tblCellMar>
            <w:top w:w="0" w:type="dxa"/>
            <w:bottom w:w="0" w:type="dxa"/>
          </w:tblCellMar>
        </w:tblPrEx>
        <w:tc>
          <w:tcPr>
            <w:tcW w:w="1620" w:type="dxa"/>
          </w:tcPr>
          <w:p w:rsidR="00000000" w:rsidRDefault="00000000">
            <w:pPr>
              <w:pStyle w:val="DualTxt"/>
              <w:spacing w:before="60" w:after="80"/>
            </w:pPr>
            <w:r>
              <w:t>1996</w:t>
            </w:r>
          </w:p>
        </w:tc>
        <w:tc>
          <w:tcPr>
            <w:tcW w:w="5534" w:type="dxa"/>
          </w:tcPr>
          <w:p w:rsidR="00000000" w:rsidRDefault="00000000">
            <w:pPr>
              <w:pStyle w:val="DualTxt"/>
              <w:spacing w:before="60" w:after="80"/>
              <w:jc w:val="center"/>
            </w:pPr>
            <w:r>
              <w:t>206</w:t>
            </w:r>
          </w:p>
        </w:tc>
      </w:tr>
      <w:tr w:rsidR="00000000">
        <w:tblPrEx>
          <w:tblCellMar>
            <w:top w:w="0" w:type="dxa"/>
            <w:bottom w:w="0" w:type="dxa"/>
          </w:tblCellMar>
        </w:tblPrEx>
        <w:tc>
          <w:tcPr>
            <w:tcW w:w="1620" w:type="dxa"/>
          </w:tcPr>
          <w:p w:rsidR="00000000" w:rsidRDefault="00000000">
            <w:pPr>
              <w:pStyle w:val="DualTxt"/>
              <w:spacing w:before="60" w:after="80"/>
            </w:pPr>
            <w:r>
              <w:t>1997</w:t>
            </w:r>
          </w:p>
        </w:tc>
        <w:tc>
          <w:tcPr>
            <w:tcW w:w="5534" w:type="dxa"/>
          </w:tcPr>
          <w:p w:rsidR="00000000" w:rsidRDefault="00000000">
            <w:pPr>
              <w:pStyle w:val="DualTxt"/>
              <w:spacing w:before="60" w:after="80"/>
              <w:jc w:val="center"/>
            </w:pPr>
            <w:r>
              <w:t>256</w:t>
            </w:r>
          </w:p>
        </w:tc>
      </w:tr>
      <w:tr w:rsidR="00000000">
        <w:tblPrEx>
          <w:tblCellMar>
            <w:top w:w="0" w:type="dxa"/>
            <w:bottom w:w="0" w:type="dxa"/>
          </w:tblCellMar>
        </w:tblPrEx>
        <w:tc>
          <w:tcPr>
            <w:tcW w:w="1620" w:type="dxa"/>
          </w:tcPr>
          <w:p w:rsidR="00000000" w:rsidRDefault="00000000">
            <w:pPr>
              <w:pStyle w:val="DualTxt"/>
              <w:spacing w:before="60" w:after="80"/>
            </w:pPr>
            <w:r>
              <w:t>1998</w:t>
            </w:r>
          </w:p>
        </w:tc>
        <w:tc>
          <w:tcPr>
            <w:tcW w:w="5534" w:type="dxa"/>
          </w:tcPr>
          <w:p w:rsidR="00000000" w:rsidRDefault="00000000">
            <w:pPr>
              <w:pStyle w:val="DualTxt"/>
              <w:spacing w:before="60" w:after="80"/>
              <w:jc w:val="center"/>
            </w:pPr>
            <w:r>
              <w:t>272</w:t>
            </w:r>
          </w:p>
        </w:tc>
      </w:tr>
      <w:tr w:rsidR="00000000">
        <w:tblPrEx>
          <w:tblCellMar>
            <w:top w:w="0" w:type="dxa"/>
            <w:bottom w:w="0" w:type="dxa"/>
          </w:tblCellMar>
        </w:tblPrEx>
        <w:tc>
          <w:tcPr>
            <w:tcW w:w="1620" w:type="dxa"/>
          </w:tcPr>
          <w:p w:rsidR="00000000" w:rsidRDefault="00000000">
            <w:pPr>
              <w:pStyle w:val="DualTxt"/>
              <w:spacing w:before="60" w:after="80"/>
            </w:pPr>
            <w:r>
              <w:t>1999</w:t>
            </w:r>
          </w:p>
        </w:tc>
        <w:tc>
          <w:tcPr>
            <w:tcW w:w="5534" w:type="dxa"/>
          </w:tcPr>
          <w:p w:rsidR="00000000" w:rsidRDefault="00000000">
            <w:pPr>
              <w:pStyle w:val="DualTxt"/>
              <w:spacing w:before="60" w:after="80"/>
              <w:jc w:val="center"/>
            </w:pPr>
            <w:r>
              <w:t>371</w:t>
            </w:r>
          </w:p>
        </w:tc>
      </w:tr>
      <w:tr w:rsidR="00000000">
        <w:tblPrEx>
          <w:tblCellMar>
            <w:top w:w="0" w:type="dxa"/>
            <w:bottom w:w="0" w:type="dxa"/>
          </w:tblCellMar>
        </w:tblPrEx>
        <w:tc>
          <w:tcPr>
            <w:tcW w:w="1620" w:type="dxa"/>
          </w:tcPr>
          <w:p w:rsidR="00000000" w:rsidRDefault="00000000">
            <w:pPr>
              <w:pStyle w:val="DualTxt"/>
              <w:spacing w:before="60" w:after="80"/>
            </w:pPr>
            <w:r>
              <w:t>2000</w:t>
            </w:r>
          </w:p>
        </w:tc>
        <w:tc>
          <w:tcPr>
            <w:tcW w:w="5534" w:type="dxa"/>
          </w:tcPr>
          <w:p w:rsidR="00000000" w:rsidRDefault="00000000">
            <w:pPr>
              <w:pStyle w:val="DualTxt"/>
              <w:spacing w:before="60" w:after="80"/>
              <w:jc w:val="center"/>
            </w:pPr>
            <w:r>
              <w:t>449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310.</w:t>
      </w:r>
      <w:r>
        <w:tab/>
        <w:t>По гражданскому законодательству, в случае смерти одного из супругов другой супруг имеет право распоряжаться своим имуществом на общем осн</w:t>
      </w:r>
      <w:r>
        <w:t>о</w:t>
      </w:r>
      <w:r>
        <w:t>вании, независимо от характера имущественных отношений между супругами.</w:t>
      </w:r>
    </w:p>
    <w:p w:rsidR="00000000" w:rsidRDefault="00000000">
      <w:pPr>
        <w:pStyle w:val="SingleTxt"/>
      </w:pPr>
      <w:r>
        <w:t>311.</w:t>
      </w:r>
      <w:r>
        <w:tab/>
        <w:t>Мужчина и женщина имеют право требовать расторжения брака. Суд м</w:t>
      </w:r>
      <w:r>
        <w:t>о</w:t>
      </w:r>
      <w:r>
        <w:t>жет расторгнуть брак по заявлению одного из супругов. Любой из супругов, независимо от пола, может требовать развода, если другой супруг создает угр</w:t>
      </w:r>
      <w:r>
        <w:t>о</w:t>
      </w:r>
      <w:r>
        <w:t>зу для жизни или здоровья первого, если один из супругов оставил другого и непрерывно отсутствовал в течение более одного года, если после вступления в брак другой супруг приобрел неизлечимое психическое заболевание или и</w:t>
      </w:r>
      <w:r>
        <w:t>н</w:t>
      </w:r>
      <w:r>
        <w:t>фекционную болезнь долговременного характера, если другой супруг совершил уголовное преступление, унижает человеческое достоинство или ведет нечес</w:t>
      </w:r>
      <w:r>
        <w:t>т</w:t>
      </w:r>
      <w:r>
        <w:t>ную или распутную жизнь, что исключает возможность продолжения брака с таким лицом. Брак может быть тоже расторгнут, если супружеская жизнь су</w:t>
      </w:r>
      <w:r>
        <w:t>п</w:t>
      </w:r>
      <w:r>
        <w:t>ругов разладилась до такой степени, что их дальнейшее совместное прожив</w:t>
      </w:r>
      <w:r>
        <w:t>а</w:t>
      </w:r>
      <w:r>
        <w:t>ние и сохранение семьи не представляются возможными. Причиной расторж</w:t>
      </w:r>
      <w:r>
        <w:t>е</w:t>
      </w:r>
      <w:r>
        <w:t>ния брака может быть также длительная раздельная жизнь супругов на прот</w:t>
      </w:r>
      <w:r>
        <w:t>я</w:t>
      </w:r>
      <w:r>
        <w:t>жении трех лет. Брак может быть расторгнут также по общему согласию обоих супругов, но не раньше, чем через год после заключения брака. Других основ</w:t>
      </w:r>
      <w:r>
        <w:t>а</w:t>
      </w:r>
      <w:r>
        <w:t>ний для расторжения брака не предусматривается.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Количество разводов по отношению к общему числу браков</w:t>
      </w:r>
    </w:p>
    <w:p w:rsidR="00000000" w:rsidRDefault="00000000">
      <w:pPr>
        <w:pStyle w:val="SingleTxt"/>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5354"/>
      </w:tblGrid>
      <w:tr w:rsidR="00000000">
        <w:tblPrEx>
          <w:tblCellMar>
            <w:top w:w="0" w:type="dxa"/>
            <w:bottom w:w="0" w:type="dxa"/>
          </w:tblCellMar>
        </w:tblPrEx>
        <w:tc>
          <w:tcPr>
            <w:tcW w:w="1800" w:type="dxa"/>
          </w:tcPr>
          <w:p w:rsidR="00000000" w:rsidRDefault="00000000">
            <w:pPr>
              <w:pStyle w:val="DualTxt"/>
              <w:spacing w:before="60" w:after="100"/>
            </w:pPr>
            <w:r>
              <w:t>Год</w:t>
            </w:r>
          </w:p>
        </w:tc>
        <w:tc>
          <w:tcPr>
            <w:tcW w:w="5354" w:type="dxa"/>
          </w:tcPr>
          <w:p w:rsidR="00000000" w:rsidRDefault="00000000">
            <w:pPr>
              <w:pStyle w:val="DualTxt"/>
              <w:spacing w:before="60" w:after="100"/>
            </w:pPr>
            <w:r>
              <w:t>Процент разводов от числа закл</w:t>
            </w:r>
            <w:r>
              <w:t>ю</w:t>
            </w:r>
            <w:r>
              <w:t>ченных браков</w:t>
            </w:r>
          </w:p>
        </w:tc>
      </w:tr>
      <w:tr w:rsidR="00000000">
        <w:tblPrEx>
          <w:tblCellMar>
            <w:top w:w="0" w:type="dxa"/>
            <w:bottom w:w="0" w:type="dxa"/>
          </w:tblCellMar>
        </w:tblPrEx>
        <w:tc>
          <w:tcPr>
            <w:tcW w:w="1800" w:type="dxa"/>
          </w:tcPr>
          <w:p w:rsidR="00000000" w:rsidRDefault="00000000">
            <w:pPr>
              <w:pStyle w:val="DualTxt"/>
              <w:spacing w:before="60" w:after="100"/>
              <w:jc w:val="center"/>
            </w:pPr>
            <w:r>
              <w:t>1993</w:t>
            </w:r>
          </w:p>
        </w:tc>
        <w:tc>
          <w:tcPr>
            <w:tcW w:w="5354" w:type="dxa"/>
          </w:tcPr>
          <w:p w:rsidR="00000000" w:rsidRDefault="00000000">
            <w:pPr>
              <w:pStyle w:val="DualTxt"/>
              <w:spacing w:before="60" w:after="100"/>
              <w:jc w:val="center"/>
            </w:pPr>
            <w:r>
              <w:t>70,4</w:t>
            </w:r>
          </w:p>
        </w:tc>
      </w:tr>
      <w:tr w:rsidR="00000000">
        <w:tblPrEx>
          <w:tblCellMar>
            <w:top w:w="0" w:type="dxa"/>
            <w:bottom w:w="0" w:type="dxa"/>
          </w:tblCellMar>
        </w:tblPrEx>
        <w:tc>
          <w:tcPr>
            <w:tcW w:w="1800" w:type="dxa"/>
          </w:tcPr>
          <w:p w:rsidR="00000000" w:rsidRDefault="00000000">
            <w:pPr>
              <w:pStyle w:val="DualTxt"/>
              <w:spacing w:before="60" w:after="100"/>
              <w:jc w:val="center"/>
            </w:pPr>
            <w:r>
              <w:t>1994</w:t>
            </w:r>
          </w:p>
        </w:tc>
        <w:tc>
          <w:tcPr>
            <w:tcW w:w="5354" w:type="dxa"/>
          </w:tcPr>
          <w:p w:rsidR="00000000" w:rsidRDefault="00000000">
            <w:pPr>
              <w:pStyle w:val="DualTxt"/>
              <w:spacing w:before="60" w:after="100"/>
              <w:jc w:val="center"/>
            </w:pPr>
            <w:r>
              <w:t>72,7</w:t>
            </w:r>
          </w:p>
        </w:tc>
      </w:tr>
      <w:tr w:rsidR="00000000">
        <w:tblPrEx>
          <w:tblCellMar>
            <w:top w:w="0" w:type="dxa"/>
            <w:bottom w:w="0" w:type="dxa"/>
          </w:tblCellMar>
        </w:tblPrEx>
        <w:tc>
          <w:tcPr>
            <w:tcW w:w="1800" w:type="dxa"/>
          </w:tcPr>
          <w:p w:rsidR="00000000" w:rsidRDefault="00000000">
            <w:pPr>
              <w:pStyle w:val="DualTxt"/>
              <w:spacing w:before="60" w:after="100"/>
              <w:jc w:val="center"/>
            </w:pPr>
            <w:r>
              <w:t>1995</w:t>
            </w:r>
          </w:p>
        </w:tc>
        <w:tc>
          <w:tcPr>
            <w:tcW w:w="5354" w:type="dxa"/>
          </w:tcPr>
          <w:p w:rsidR="00000000" w:rsidRDefault="00000000">
            <w:pPr>
              <w:pStyle w:val="DualTxt"/>
              <w:spacing w:before="60" w:after="100"/>
              <w:jc w:val="center"/>
            </w:pPr>
            <w:r>
              <w:t>70,6</w:t>
            </w:r>
          </w:p>
        </w:tc>
      </w:tr>
      <w:tr w:rsidR="00000000">
        <w:tblPrEx>
          <w:tblCellMar>
            <w:top w:w="0" w:type="dxa"/>
            <w:bottom w:w="0" w:type="dxa"/>
          </w:tblCellMar>
        </w:tblPrEx>
        <w:tc>
          <w:tcPr>
            <w:tcW w:w="1800" w:type="dxa"/>
          </w:tcPr>
          <w:p w:rsidR="00000000" w:rsidRDefault="00000000">
            <w:pPr>
              <w:pStyle w:val="DualTxt"/>
              <w:spacing w:before="60" w:after="100"/>
              <w:jc w:val="center"/>
            </w:pPr>
            <w:r>
              <w:t>1996</w:t>
            </w:r>
          </w:p>
        </w:tc>
        <w:tc>
          <w:tcPr>
            <w:tcW w:w="5354" w:type="dxa"/>
          </w:tcPr>
          <w:p w:rsidR="00000000" w:rsidRDefault="00000000">
            <w:pPr>
              <w:pStyle w:val="DualTxt"/>
              <w:spacing w:before="60" w:after="100"/>
              <w:jc w:val="center"/>
            </w:pPr>
            <w:r>
              <w:t>62,8</w:t>
            </w:r>
          </w:p>
        </w:tc>
      </w:tr>
      <w:tr w:rsidR="00000000">
        <w:tblPrEx>
          <w:tblCellMar>
            <w:top w:w="0" w:type="dxa"/>
            <w:bottom w:w="0" w:type="dxa"/>
          </w:tblCellMar>
        </w:tblPrEx>
        <w:tc>
          <w:tcPr>
            <w:tcW w:w="1800" w:type="dxa"/>
          </w:tcPr>
          <w:p w:rsidR="00000000" w:rsidRDefault="00000000">
            <w:pPr>
              <w:pStyle w:val="DualTxt"/>
              <w:spacing w:before="60" w:after="100"/>
              <w:jc w:val="center"/>
            </w:pPr>
            <w:r>
              <w:t>1997</w:t>
            </w:r>
          </w:p>
        </w:tc>
        <w:tc>
          <w:tcPr>
            <w:tcW w:w="5354" w:type="dxa"/>
          </w:tcPr>
          <w:p w:rsidR="00000000" w:rsidRDefault="00000000">
            <w:pPr>
              <w:pStyle w:val="DualTxt"/>
              <w:spacing w:before="60" w:after="100"/>
              <w:jc w:val="center"/>
            </w:pPr>
            <w:r>
              <w:t>63,0</w:t>
            </w:r>
          </w:p>
        </w:tc>
      </w:tr>
      <w:tr w:rsidR="00000000">
        <w:tblPrEx>
          <w:tblCellMar>
            <w:top w:w="0" w:type="dxa"/>
            <w:bottom w:w="0" w:type="dxa"/>
          </w:tblCellMar>
        </w:tblPrEx>
        <w:tc>
          <w:tcPr>
            <w:tcW w:w="1800" w:type="dxa"/>
          </w:tcPr>
          <w:p w:rsidR="00000000" w:rsidRDefault="00000000">
            <w:pPr>
              <w:pStyle w:val="DualTxt"/>
              <w:spacing w:before="60" w:after="100"/>
              <w:jc w:val="center"/>
            </w:pPr>
            <w:r>
              <w:t>1998</w:t>
            </w:r>
          </w:p>
        </w:tc>
        <w:tc>
          <w:tcPr>
            <w:tcW w:w="5354" w:type="dxa"/>
          </w:tcPr>
          <w:p w:rsidR="00000000" w:rsidRDefault="00000000">
            <w:pPr>
              <w:pStyle w:val="DualTxt"/>
              <w:spacing w:before="60" w:after="100"/>
              <w:jc w:val="center"/>
            </w:pPr>
            <w:r>
              <w:t>64,4</w:t>
            </w:r>
          </w:p>
        </w:tc>
      </w:tr>
      <w:tr w:rsidR="00000000">
        <w:tblPrEx>
          <w:tblCellMar>
            <w:top w:w="0" w:type="dxa"/>
            <w:bottom w:w="0" w:type="dxa"/>
          </w:tblCellMar>
        </w:tblPrEx>
        <w:tc>
          <w:tcPr>
            <w:tcW w:w="1800" w:type="dxa"/>
          </w:tcPr>
          <w:p w:rsidR="00000000" w:rsidRDefault="00000000">
            <w:pPr>
              <w:pStyle w:val="DualTxt"/>
              <w:spacing w:before="60" w:after="100"/>
              <w:jc w:val="center"/>
            </w:pPr>
            <w:r>
              <w:t>1999</w:t>
            </w:r>
          </w:p>
        </w:tc>
        <w:tc>
          <w:tcPr>
            <w:tcW w:w="5354" w:type="dxa"/>
          </w:tcPr>
          <w:p w:rsidR="00000000" w:rsidRDefault="00000000">
            <w:pPr>
              <w:pStyle w:val="DualTxt"/>
              <w:spacing w:before="60" w:after="100"/>
              <w:jc w:val="center"/>
            </w:pPr>
            <w:r>
              <w:t>63,9</w:t>
            </w:r>
          </w:p>
        </w:tc>
      </w:tr>
      <w:tr w:rsidR="00000000">
        <w:tblPrEx>
          <w:tblCellMar>
            <w:top w:w="0" w:type="dxa"/>
            <w:bottom w:w="0" w:type="dxa"/>
          </w:tblCellMar>
        </w:tblPrEx>
        <w:tc>
          <w:tcPr>
            <w:tcW w:w="1800" w:type="dxa"/>
          </w:tcPr>
          <w:p w:rsidR="00000000" w:rsidRDefault="00000000">
            <w:pPr>
              <w:pStyle w:val="DualTxt"/>
              <w:spacing w:before="60" w:after="100"/>
              <w:jc w:val="center"/>
            </w:pPr>
            <w:r>
              <w:t>2000</w:t>
            </w:r>
          </w:p>
        </w:tc>
        <w:tc>
          <w:tcPr>
            <w:tcW w:w="5354" w:type="dxa"/>
          </w:tcPr>
          <w:p w:rsidR="00000000" w:rsidRDefault="00000000">
            <w:pPr>
              <w:pStyle w:val="DualTxt"/>
              <w:spacing w:before="60" w:after="100"/>
              <w:jc w:val="center"/>
            </w:pPr>
            <w:r>
              <w:t>66,6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312.</w:t>
      </w:r>
      <w:r>
        <w:tab/>
        <w:t>По гражданскому законодательству, после расторжения брака нужда</w:t>
      </w:r>
      <w:r>
        <w:t>ю</w:t>
      </w:r>
      <w:r>
        <w:t>щийся бывший супруг может требовать алиментов от другого супруга пропо</w:t>
      </w:r>
      <w:r>
        <w:t>р</w:t>
      </w:r>
      <w:r>
        <w:t>ционально размеру доходов последнего, за исключением случаев, когда этот супруг/супруга без какой-либо уважительной причины отказывается сам/сама зарабатывать доход своим собственным трудом. Один из супругов не обязан поддерживать нуждающегося бывшего супруга, если последний способствовал своими действиями разрушению брака и вступил в новый брак.</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Равенство в осуществлении родительских прав</w:t>
      </w:r>
    </w:p>
    <w:p w:rsidR="00000000" w:rsidRDefault="00000000">
      <w:pPr>
        <w:pStyle w:val="SingleTxt"/>
        <w:spacing w:after="0" w:line="120" w:lineRule="exact"/>
        <w:rPr>
          <w:sz w:val="10"/>
        </w:rPr>
      </w:pPr>
    </w:p>
    <w:p w:rsidR="00000000" w:rsidRDefault="00000000">
      <w:pPr>
        <w:pStyle w:val="SingleTxt"/>
      </w:pPr>
      <w:r>
        <w:t>313.</w:t>
      </w:r>
      <w:r>
        <w:tab/>
        <w:t>Уход за детьми и их воспитание являются в первую очередь правом и об</w:t>
      </w:r>
      <w:r>
        <w:t>я</w:t>
      </w:r>
      <w:r>
        <w:t>занностью родителей или опекунов (попечителей). Общество и государство обеспечивают, чтобы родители или опекуны (попечители) могли исполнять свои обязанности в отношении детей.</w:t>
      </w:r>
    </w:p>
    <w:p w:rsidR="00000000" w:rsidRDefault="00000000">
      <w:pPr>
        <w:pStyle w:val="SingleTxt"/>
      </w:pPr>
      <w:r>
        <w:t>314.</w:t>
      </w:r>
      <w:r>
        <w:tab/>
        <w:t>Забота о своих детях, их благополучии и воспитании является обязанн</w:t>
      </w:r>
      <w:r>
        <w:t>о</w:t>
      </w:r>
      <w:r>
        <w:t>стью обоих родителей. Обязанность родителей заключается в проявлении заб</w:t>
      </w:r>
      <w:r>
        <w:t>о</w:t>
      </w:r>
      <w:r>
        <w:t>ты о здоровье и благополучии детей при осуществлении своих родительских прав в соответствии с их материальным и социальным положением, содерж</w:t>
      </w:r>
      <w:r>
        <w:t>а</w:t>
      </w:r>
      <w:r>
        <w:t>нии детей, то есть обеспечении их питанием, жильем и одеждой, уходе за н</w:t>
      </w:r>
      <w:r>
        <w:t>и</w:t>
      </w:r>
      <w:r>
        <w:t>ми, их воспитании и образовании. До достижения совершеннолетия дети зав</w:t>
      </w:r>
      <w:r>
        <w:t>и</w:t>
      </w:r>
      <w:r>
        <w:t>сят от своих родителей. Латвийская ассоциация по вопросам гендерного раве</w:t>
      </w:r>
      <w:r>
        <w:t>н</w:t>
      </w:r>
      <w:r>
        <w:t>ства считает, что, несмотря на обязательство обоих родителей заботиться о своих детях, женщины в Латвии, как и в других странах, продолжают брать на себя большую долю этой ответственности и соответственно затрачивают бол</w:t>
      </w:r>
      <w:r>
        <w:t>ь</w:t>
      </w:r>
      <w:r>
        <w:t>шее количество времени на выполнение этих обязанностей, что ограничивает их возможности в плане удовлетворения других потребностей.</w:t>
      </w:r>
    </w:p>
    <w:p w:rsidR="00000000" w:rsidRDefault="00000000">
      <w:pPr>
        <w:pStyle w:val="SingleTxt"/>
      </w:pPr>
      <w:r>
        <w:t>315.</w:t>
      </w:r>
      <w:r>
        <w:tab/>
        <w:t>По гражданскому законодательству, в период брака оба родителя осущес</w:t>
      </w:r>
      <w:r>
        <w:t>т</w:t>
      </w:r>
      <w:r>
        <w:t>вляют родительские полномочия совместно. При возникновении споров между супругами такие споры улаживаются в опекунском суде, если законом не пр</w:t>
      </w:r>
      <w:r>
        <w:t>е</w:t>
      </w:r>
      <w:r>
        <w:t>дусмотрено иное. При установлении отцовства ребенка, родившегося вне бр</w:t>
      </w:r>
      <w:r>
        <w:t>а</w:t>
      </w:r>
      <w:r>
        <w:t>ка, родительские полномочия осуществляются обоими родителями совместно или одним из них по взаимному согласию обоих родителей. При возникнов</w:t>
      </w:r>
      <w:r>
        <w:t>е</w:t>
      </w:r>
      <w:r>
        <w:t>нии спора этот вопрос решается в том же порядке, который применяется в сл</w:t>
      </w:r>
      <w:r>
        <w:t>у</w:t>
      </w:r>
      <w:r>
        <w:t>чае детей, родившихся в зарегистрированном браке. Если отцовство ребенка, родившегося вне брака, не установлено, родительские полномочия осущест</w:t>
      </w:r>
      <w:r>
        <w:t>в</w:t>
      </w:r>
      <w:r>
        <w:t>ляет мать ребенка. Если родители живут раздельно, родительские полномочия осуществляет родитель, живущий вместе с ребенком. В этом случае мужчина и женщина пользуются одинаковыми правами в деле воспитания ребенка. Огр</w:t>
      </w:r>
      <w:r>
        <w:t>а</w:t>
      </w:r>
      <w:r>
        <w:t>ничения в правах действуют только в отношении того родителя, родительские права которого прекращены по решению суда. Каждый из родителей должен пропорционально своим имущественным возможностям участвовать в соде</w:t>
      </w:r>
      <w:r>
        <w:t>р</w:t>
      </w:r>
      <w:r>
        <w:t>жании тех детей, которые остаются с другим родителем.</w:t>
      </w:r>
    </w:p>
    <w:p w:rsidR="00000000" w:rsidRDefault="00000000">
      <w:pPr>
        <w:pStyle w:val="SingleTxt"/>
      </w:pPr>
      <w:r>
        <w:t>316.</w:t>
      </w:r>
      <w:r>
        <w:tab/>
        <w:t>Если брак расторгнут или признан недействительным и родители не смо</w:t>
      </w:r>
      <w:r>
        <w:t>г</w:t>
      </w:r>
      <w:r>
        <w:t>ли достичь согласия в отношении того, с кем останутся дети, то этот вопрос решает суд, исходя из интересов детей и с максимальным учетом пожеланий детей, если они достигли семилетнего возраста.</w:t>
      </w:r>
    </w:p>
    <w:p w:rsidR="00000000" w:rsidRDefault="00000000">
      <w:pPr>
        <w:pStyle w:val="SingleTxt"/>
      </w:pPr>
      <w:r>
        <w:t>317.</w:t>
      </w:r>
      <w:r>
        <w:tab/>
        <w:t>Гражданское законодательство регулирует также порядок установления происхождения ребенка и права женщины и мужчины в этой области.</w:t>
      </w:r>
    </w:p>
    <w:p w:rsidR="00000000" w:rsidRDefault="00000000">
      <w:pPr>
        <w:pStyle w:val="SingleTxt"/>
      </w:pPr>
      <w:r>
        <w:t>318.</w:t>
      </w:r>
      <w:r>
        <w:tab/>
        <w:t>Ребенок, родившийся у женщины после того, как она вступила в брак, или не позднее, чем на 306 день после вступления в брак, если брак завершился смертью мужа или разводом, считается рожденным в браке. Ребенок, роди</w:t>
      </w:r>
      <w:r>
        <w:t>в</w:t>
      </w:r>
      <w:r>
        <w:t>шийся у женщины не позднее, чем на 306 день после прекращения брака, если женщина уже вступила в новый брак, считается рожденным в новом браке. В данном случае бывший муж или его родители имеют право оспаривать прои</w:t>
      </w:r>
      <w:r>
        <w:t>с</w:t>
      </w:r>
      <w:r>
        <w:t>хождение ребенка. Прямо выраженное или подтвержденное признание неопр</w:t>
      </w:r>
      <w:r>
        <w:t>о</w:t>
      </w:r>
      <w:r>
        <w:t>вергаемых утверждений отца о том, что ребенок, родившийся в браке или п</w:t>
      </w:r>
      <w:r>
        <w:t>о</w:t>
      </w:r>
      <w:r>
        <w:t>сле его расторжения, его ребенок, является достаточным доказательством того, что этот ребенок родился в браке. Отец не может также оспаривать факта ро</w:t>
      </w:r>
      <w:r>
        <w:t>ж</w:t>
      </w:r>
      <w:r>
        <w:t>дения ребенка в браке, если он дал свое согласие на искусственное зачатие р</w:t>
      </w:r>
      <w:r>
        <w:t>е</w:t>
      </w:r>
      <w:r>
        <w:t>бенка. Утверждение о том, что ребенок родился в браке, то есть от отца, кот</w:t>
      </w:r>
      <w:r>
        <w:t>о</w:t>
      </w:r>
      <w:r>
        <w:t>рый был мужем матери ребенка, может быть оспорено в суде. До завершения рассмотрения этого дела в суде ребенок считается родившимся в браке. Муж матери ребенка может оспорить в суде утверждение о том, что ребенок родился в браке, в течение двух лет с того момента, как ему сказали, что ребенок р</w:t>
      </w:r>
      <w:r>
        <w:t>о</w:t>
      </w:r>
      <w:r>
        <w:t>дился от него. Мать ребенка пользуется такими же правами. Ребенок может о</w:t>
      </w:r>
      <w:r>
        <w:t>с</w:t>
      </w:r>
      <w:r>
        <w:t>паривать факт своего рождения в течение двух лет после достижения сове</w:t>
      </w:r>
      <w:r>
        <w:t>р</w:t>
      </w:r>
      <w:r>
        <w:t>шеннолетия.</w:t>
      </w:r>
    </w:p>
    <w:p w:rsidR="00000000" w:rsidRDefault="00000000">
      <w:pPr>
        <w:pStyle w:val="SingleTxt"/>
      </w:pPr>
      <w:r>
        <w:t>319.</w:t>
      </w:r>
      <w:r>
        <w:tab/>
        <w:t>Происхождение ребенка, родившегося вне брака, основывается на уст</w:t>
      </w:r>
      <w:r>
        <w:t>а</w:t>
      </w:r>
      <w:r>
        <w:t>новлении родительских прав по добровольному признанию или по решению суда. Отец и мать ребенка оформляют признание родительских прав посредс</w:t>
      </w:r>
      <w:r>
        <w:t>т</w:t>
      </w:r>
      <w:r>
        <w:t>вом представления совместного заявления в бюро регистрации. Факт призн</w:t>
      </w:r>
      <w:r>
        <w:t>а</w:t>
      </w:r>
      <w:r>
        <w:t>ния родительских прав заносится в книгу записи рождений. Если отцовство в отношении ребенка, родившегося вне брака, не признается посредством подачи заявления в бюро регистрации, факт отцовства может быть установлен в суде</w:t>
      </w:r>
      <w:r>
        <w:t>б</w:t>
      </w:r>
      <w:r>
        <w:t>ном порядке с использованием доказательств самого различного рода, включая использование современных научных средств, позволяющих доказать или и</w:t>
      </w:r>
      <w:r>
        <w:t>с</w:t>
      </w:r>
      <w:r>
        <w:t>ключить происхождение ребенка от конкретного лица. Требование об устано</w:t>
      </w:r>
      <w:r>
        <w:t>в</w:t>
      </w:r>
      <w:r>
        <w:t>лении отцовства в судебном порядке может быть подано матерью ребенка или опекуном (попечителем) ребенка, самим ребенком после достижения сове</w:t>
      </w:r>
      <w:r>
        <w:t>р</w:t>
      </w:r>
      <w:r>
        <w:t>шеннолетия, а также биологическим отцом ребенка. Латвийская ассоциация по вопросам гендерного равенства отмечает, что женщины зачастую не информ</w:t>
      </w:r>
      <w:r>
        <w:t>и</w:t>
      </w:r>
      <w:r>
        <w:t>рованы о вышеупомянутых положениях, в результате чего из-за позднего пре</w:t>
      </w:r>
      <w:r>
        <w:t>д</w:t>
      </w:r>
      <w:r>
        <w:t>ставления заявления на развод они могут оказаться в ситуации, когда родител</w:t>
      </w:r>
      <w:r>
        <w:t>ь</w:t>
      </w:r>
      <w:r>
        <w:t>ские права на их детей могут быть оспорены только в судебном порядке.</w:t>
      </w:r>
    </w:p>
    <w:p w:rsidR="00000000" w:rsidRDefault="00000000">
      <w:pPr>
        <w:pStyle w:val="SingleTxt"/>
      </w:pPr>
      <w:r>
        <w:t>320.</w:t>
      </w:r>
      <w:r>
        <w:tab/>
        <w:t>Хотя родительские права в отношении детей, родившихся вне брака, пр</w:t>
      </w:r>
      <w:r>
        <w:t>и</w:t>
      </w:r>
      <w:r>
        <w:t>знаются родителями добровольно по взаимному согласию, решающее значение имеет желание или нежелание мужчины признать свое отцовство. Женщина не имеет права в одностороннем порядке определять, кто является отцом ее р</w:t>
      </w:r>
      <w:r>
        <w:t>е</w:t>
      </w:r>
      <w:r>
        <w:t>бенка, если мужчина не признает отцовства. В этом случае вопрос может быть урегулирован только в судебном порядке по заявлению матери ребенка об у</w:t>
      </w:r>
      <w:r>
        <w:t>с</w:t>
      </w:r>
      <w:r>
        <w:t>тановлении отцовства в суде. Эта законодательная норма имеет особенно ва</w:t>
      </w:r>
      <w:r>
        <w:t>ж</w:t>
      </w:r>
      <w:r>
        <w:t>ное значение, поскольку число детей, рождающихся в результате незарегистр</w:t>
      </w:r>
      <w:r>
        <w:t>и</w:t>
      </w:r>
      <w:r>
        <w:t>рованных отношений, растет (см. таблицу).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Дети, родившиеся в результате незарегистрированных отношений</w:t>
      </w:r>
    </w:p>
    <w:p w:rsidR="00000000" w:rsidRDefault="00000000">
      <w:pPr>
        <w:pStyle w:val="SingleTxt"/>
        <w:spacing w:after="0" w:line="120" w:lineRule="exact"/>
        <w:rPr>
          <w:sz w:val="10"/>
        </w:rPr>
      </w:pPr>
    </w:p>
    <w:tbl>
      <w:tblPr>
        <w:tblW w:w="0" w:type="auto"/>
        <w:tblInd w:w="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
        <w:gridCol w:w="6570"/>
      </w:tblGrid>
      <w:tr w:rsidR="00000000">
        <w:tblPrEx>
          <w:tblCellMar>
            <w:top w:w="0" w:type="dxa"/>
            <w:bottom w:w="0" w:type="dxa"/>
          </w:tblCellMar>
        </w:tblPrEx>
        <w:tc>
          <w:tcPr>
            <w:tcW w:w="765" w:type="dxa"/>
          </w:tcPr>
          <w:p w:rsidR="00000000" w:rsidRDefault="00000000">
            <w:pPr>
              <w:pStyle w:val="DualTxt"/>
              <w:spacing w:before="60" w:after="100" w:line="200" w:lineRule="exact"/>
              <w:jc w:val="left"/>
              <w:rPr>
                <w:sz w:val="18"/>
              </w:rPr>
            </w:pPr>
            <w:r>
              <w:rPr>
                <w:sz w:val="18"/>
              </w:rPr>
              <w:t>Год</w:t>
            </w:r>
          </w:p>
        </w:tc>
        <w:tc>
          <w:tcPr>
            <w:tcW w:w="6570" w:type="dxa"/>
          </w:tcPr>
          <w:p w:rsidR="00000000" w:rsidRDefault="00000000">
            <w:pPr>
              <w:pStyle w:val="DualTxt"/>
              <w:spacing w:before="60" w:after="100" w:line="200" w:lineRule="exact"/>
              <w:jc w:val="left"/>
              <w:rPr>
                <w:sz w:val="18"/>
              </w:rPr>
            </w:pPr>
            <w:r>
              <w:rPr>
                <w:sz w:val="18"/>
              </w:rPr>
              <w:t>Процент детей, родившихся в результате незарегистрированных отнош</w:t>
            </w:r>
            <w:r>
              <w:rPr>
                <w:sz w:val="18"/>
              </w:rPr>
              <w:t>е</w:t>
            </w:r>
            <w:r>
              <w:rPr>
                <w:sz w:val="18"/>
              </w:rPr>
              <w:t>ний</w:t>
            </w:r>
          </w:p>
        </w:tc>
      </w:tr>
      <w:tr w:rsidR="00000000">
        <w:tblPrEx>
          <w:tblCellMar>
            <w:top w:w="0" w:type="dxa"/>
            <w:bottom w:w="0" w:type="dxa"/>
          </w:tblCellMar>
        </w:tblPrEx>
        <w:tc>
          <w:tcPr>
            <w:tcW w:w="765" w:type="dxa"/>
          </w:tcPr>
          <w:p w:rsidR="00000000" w:rsidRDefault="00000000">
            <w:pPr>
              <w:pStyle w:val="DualTxt"/>
              <w:spacing w:before="60" w:after="100"/>
            </w:pPr>
            <w:r>
              <w:t>1993</w:t>
            </w:r>
          </w:p>
        </w:tc>
        <w:tc>
          <w:tcPr>
            <w:tcW w:w="6570" w:type="dxa"/>
          </w:tcPr>
          <w:p w:rsidR="00000000" w:rsidRDefault="00000000">
            <w:pPr>
              <w:pStyle w:val="DualTxt"/>
              <w:spacing w:before="60" w:after="100"/>
              <w:jc w:val="center"/>
            </w:pPr>
            <w:r>
              <w:t>23,0</w:t>
            </w:r>
          </w:p>
        </w:tc>
      </w:tr>
      <w:tr w:rsidR="00000000">
        <w:tblPrEx>
          <w:tblCellMar>
            <w:top w:w="0" w:type="dxa"/>
            <w:bottom w:w="0" w:type="dxa"/>
          </w:tblCellMar>
        </w:tblPrEx>
        <w:tc>
          <w:tcPr>
            <w:tcW w:w="765" w:type="dxa"/>
          </w:tcPr>
          <w:p w:rsidR="00000000" w:rsidRDefault="00000000">
            <w:pPr>
              <w:pStyle w:val="DualTxt"/>
              <w:spacing w:before="60" w:after="100"/>
            </w:pPr>
            <w:r>
              <w:t>1994</w:t>
            </w:r>
          </w:p>
        </w:tc>
        <w:tc>
          <w:tcPr>
            <w:tcW w:w="6570" w:type="dxa"/>
          </w:tcPr>
          <w:p w:rsidR="00000000" w:rsidRDefault="00000000">
            <w:pPr>
              <w:pStyle w:val="DualTxt"/>
              <w:spacing w:before="60" w:after="100"/>
              <w:jc w:val="center"/>
            </w:pPr>
            <w:r>
              <w:t>26,4</w:t>
            </w:r>
          </w:p>
        </w:tc>
      </w:tr>
      <w:tr w:rsidR="00000000">
        <w:tblPrEx>
          <w:tblCellMar>
            <w:top w:w="0" w:type="dxa"/>
            <w:bottom w:w="0" w:type="dxa"/>
          </w:tblCellMar>
        </w:tblPrEx>
        <w:tc>
          <w:tcPr>
            <w:tcW w:w="765" w:type="dxa"/>
          </w:tcPr>
          <w:p w:rsidR="00000000" w:rsidRDefault="00000000">
            <w:pPr>
              <w:pStyle w:val="DualTxt"/>
              <w:spacing w:before="60" w:after="100"/>
            </w:pPr>
            <w:r>
              <w:t>1995</w:t>
            </w:r>
          </w:p>
        </w:tc>
        <w:tc>
          <w:tcPr>
            <w:tcW w:w="6570" w:type="dxa"/>
          </w:tcPr>
          <w:p w:rsidR="00000000" w:rsidRDefault="00000000">
            <w:pPr>
              <w:pStyle w:val="DualTxt"/>
              <w:spacing w:before="60" w:after="100"/>
              <w:jc w:val="center"/>
            </w:pPr>
            <w:r>
              <w:t>29,9</w:t>
            </w:r>
          </w:p>
        </w:tc>
      </w:tr>
      <w:tr w:rsidR="00000000">
        <w:tblPrEx>
          <w:tblCellMar>
            <w:top w:w="0" w:type="dxa"/>
            <w:bottom w:w="0" w:type="dxa"/>
          </w:tblCellMar>
        </w:tblPrEx>
        <w:tc>
          <w:tcPr>
            <w:tcW w:w="765" w:type="dxa"/>
          </w:tcPr>
          <w:p w:rsidR="00000000" w:rsidRDefault="00000000">
            <w:pPr>
              <w:pStyle w:val="DualTxt"/>
              <w:spacing w:before="60" w:after="100"/>
            </w:pPr>
            <w:r>
              <w:t>1996</w:t>
            </w:r>
          </w:p>
        </w:tc>
        <w:tc>
          <w:tcPr>
            <w:tcW w:w="6570" w:type="dxa"/>
          </w:tcPr>
          <w:p w:rsidR="00000000" w:rsidRDefault="00000000">
            <w:pPr>
              <w:pStyle w:val="DualTxt"/>
              <w:spacing w:before="60" w:after="100"/>
              <w:jc w:val="center"/>
            </w:pPr>
            <w:r>
              <w:t>33,1</w:t>
            </w:r>
          </w:p>
        </w:tc>
      </w:tr>
      <w:tr w:rsidR="00000000">
        <w:tblPrEx>
          <w:tblCellMar>
            <w:top w:w="0" w:type="dxa"/>
            <w:bottom w:w="0" w:type="dxa"/>
          </w:tblCellMar>
        </w:tblPrEx>
        <w:tc>
          <w:tcPr>
            <w:tcW w:w="765" w:type="dxa"/>
          </w:tcPr>
          <w:p w:rsidR="00000000" w:rsidRDefault="00000000">
            <w:pPr>
              <w:pStyle w:val="DualTxt"/>
              <w:spacing w:before="60" w:after="100"/>
            </w:pPr>
            <w:r>
              <w:t>1997</w:t>
            </w:r>
          </w:p>
        </w:tc>
        <w:tc>
          <w:tcPr>
            <w:tcW w:w="6570" w:type="dxa"/>
          </w:tcPr>
          <w:p w:rsidR="00000000" w:rsidRDefault="00000000">
            <w:pPr>
              <w:pStyle w:val="DualTxt"/>
              <w:spacing w:before="60" w:after="100"/>
              <w:jc w:val="center"/>
            </w:pPr>
            <w:r>
              <w:t>34,8</w:t>
            </w:r>
          </w:p>
        </w:tc>
      </w:tr>
      <w:tr w:rsidR="00000000">
        <w:tblPrEx>
          <w:tblCellMar>
            <w:top w:w="0" w:type="dxa"/>
            <w:bottom w:w="0" w:type="dxa"/>
          </w:tblCellMar>
        </w:tblPrEx>
        <w:tc>
          <w:tcPr>
            <w:tcW w:w="765" w:type="dxa"/>
          </w:tcPr>
          <w:p w:rsidR="00000000" w:rsidRDefault="00000000">
            <w:pPr>
              <w:pStyle w:val="DualTxt"/>
              <w:spacing w:before="60" w:after="100"/>
            </w:pPr>
            <w:r>
              <w:t>1998</w:t>
            </w:r>
          </w:p>
        </w:tc>
        <w:tc>
          <w:tcPr>
            <w:tcW w:w="6570" w:type="dxa"/>
          </w:tcPr>
          <w:p w:rsidR="00000000" w:rsidRDefault="00000000">
            <w:pPr>
              <w:pStyle w:val="DualTxt"/>
              <w:spacing w:before="60" w:after="100"/>
              <w:jc w:val="center"/>
            </w:pPr>
            <w:r>
              <w:t>37,1</w:t>
            </w:r>
          </w:p>
        </w:tc>
      </w:tr>
      <w:tr w:rsidR="00000000">
        <w:tblPrEx>
          <w:tblCellMar>
            <w:top w:w="0" w:type="dxa"/>
            <w:bottom w:w="0" w:type="dxa"/>
          </w:tblCellMar>
        </w:tblPrEx>
        <w:tc>
          <w:tcPr>
            <w:tcW w:w="765" w:type="dxa"/>
          </w:tcPr>
          <w:p w:rsidR="00000000" w:rsidRDefault="00000000">
            <w:pPr>
              <w:pStyle w:val="DualTxt"/>
              <w:spacing w:before="60" w:after="100"/>
            </w:pPr>
            <w:r>
              <w:t>1999</w:t>
            </w:r>
          </w:p>
        </w:tc>
        <w:tc>
          <w:tcPr>
            <w:tcW w:w="6570" w:type="dxa"/>
          </w:tcPr>
          <w:p w:rsidR="00000000" w:rsidRDefault="00000000">
            <w:pPr>
              <w:pStyle w:val="DualTxt"/>
              <w:spacing w:before="60" w:after="100"/>
              <w:jc w:val="center"/>
            </w:pPr>
            <w:r>
              <w:t>39,1</w:t>
            </w:r>
          </w:p>
        </w:tc>
      </w:tr>
      <w:tr w:rsidR="00000000">
        <w:tblPrEx>
          <w:tblCellMar>
            <w:top w:w="0" w:type="dxa"/>
            <w:bottom w:w="0" w:type="dxa"/>
          </w:tblCellMar>
        </w:tblPrEx>
        <w:tc>
          <w:tcPr>
            <w:tcW w:w="765" w:type="dxa"/>
          </w:tcPr>
          <w:p w:rsidR="00000000" w:rsidRDefault="00000000">
            <w:pPr>
              <w:pStyle w:val="DualTxt"/>
              <w:spacing w:before="60" w:after="100"/>
            </w:pPr>
            <w:r>
              <w:t>2000</w:t>
            </w:r>
          </w:p>
        </w:tc>
        <w:tc>
          <w:tcPr>
            <w:tcW w:w="6570" w:type="dxa"/>
          </w:tcPr>
          <w:p w:rsidR="00000000" w:rsidRDefault="00000000">
            <w:pPr>
              <w:pStyle w:val="DualTxt"/>
              <w:spacing w:before="60" w:after="100"/>
              <w:jc w:val="center"/>
            </w:pPr>
            <w:r>
              <w:t>40,3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321.</w:t>
      </w:r>
      <w:r>
        <w:tab/>
        <w:t>Законодательство Латвии не предусматривает, что отцовство может быть признано только неженатым мужчиной. Это означает, что мужчина, состоящий в законном браке, независимо от согласия своей жены, может признать отцо</w:t>
      </w:r>
      <w:r>
        <w:t>в</w:t>
      </w:r>
      <w:r>
        <w:t>ство в отношении ребенка, родившегося у другой женщины. В этом случае у</w:t>
      </w:r>
      <w:r>
        <w:t>с</w:t>
      </w:r>
      <w:r>
        <w:t>тановления отцовства согласие жены не требуется и ее возражения не прин</w:t>
      </w:r>
      <w:r>
        <w:t>и</w:t>
      </w:r>
      <w:r>
        <w:t>маются во внимание.</w:t>
      </w:r>
    </w:p>
    <w:p w:rsidR="00000000" w:rsidRDefault="00000000">
      <w:pPr>
        <w:pStyle w:val="SingleTxt"/>
      </w:pPr>
      <w:r>
        <w:t>322.</w:t>
      </w:r>
      <w:r>
        <w:tab/>
        <w:t>Фамилия ребенка, родившегося в браке, определяется фамилией родит</w:t>
      </w:r>
      <w:r>
        <w:t>е</w:t>
      </w:r>
      <w:r>
        <w:t>лей. При разных фамилиях родителей ребенку присваивается фамилия отца или фамилия матери по договоренности родителей. При отсутствии договоренн</w:t>
      </w:r>
      <w:r>
        <w:t>о</w:t>
      </w:r>
      <w:r>
        <w:t>сти между родителями относительно фамилии ребенка этот вопрос решается в судебном порядке. Фамилия ребенка, родившегося вне брака, определяется ф</w:t>
      </w:r>
      <w:r>
        <w:t>а</w:t>
      </w:r>
      <w:r>
        <w:t>милией матери во время рождения ребенка, если на момент регистрации ро</w:t>
      </w:r>
      <w:r>
        <w:t>ж</w:t>
      </w:r>
      <w:r>
        <w:t>дения ребенка отцовство не установлено. Если на момент регистрации рожд</w:t>
      </w:r>
      <w:r>
        <w:t>е</w:t>
      </w:r>
      <w:r>
        <w:t>ния ребенка отцовство установлено, то фамилия ребенка определяется в том же порядке, который применяется в случае ребе</w:t>
      </w:r>
      <w:r>
        <w:t>н</w:t>
      </w:r>
      <w:r>
        <w:t>ка, родившегося в браке.</w:t>
      </w:r>
    </w:p>
    <w:p w:rsidR="00000000" w:rsidRDefault="00000000">
      <w:pPr>
        <w:pStyle w:val="SingleTxt"/>
      </w:pPr>
      <w:r>
        <w:t>323.</w:t>
      </w:r>
      <w:r>
        <w:tab/>
        <w:t>В законодательстве Латвии не содержится никаких норм, которые давали бы мужчине право в одностороннем порядке решать вопрос о числе детей в с</w:t>
      </w:r>
      <w:r>
        <w:t>е</w:t>
      </w:r>
      <w:r>
        <w:t>мье и о промежутках между их рождениями. Права женщин на доступ к и</w:t>
      </w:r>
      <w:r>
        <w:t>н</w:t>
      </w:r>
      <w:r>
        <w:t>формации, образованию, а также средствам, которые позволяют им осущест</w:t>
      </w:r>
      <w:r>
        <w:t>в</w:t>
      </w:r>
      <w:r>
        <w:t xml:space="preserve">лять эти права, анализируются более подробно при рассмотрении вопроса о выполнении положений статьи 12 Конвенции.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Одинаковые права быть опекунами, попечителями и усыновителями детей</w:t>
      </w:r>
    </w:p>
    <w:p w:rsidR="00000000" w:rsidRDefault="00000000">
      <w:pPr>
        <w:pStyle w:val="SingleTxt"/>
        <w:spacing w:after="0" w:line="120" w:lineRule="exact"/>
        <w:rPr>
          <w:sz w:val="10"/>
        </w:rPr>
      </w:pPr>
    </w:p>
    <w:p w:rsidR="00000000" w:rsidRDefault="00000000">
      <w:pPr>
        <w:pStyle w:val="SingleTxt"/>
      </w:pPr>
      <w:r>
        <w:t>324.</w:t>
      </w:r>
      <w:r>
        <w:tab/>
        <w:t>По законодательству Латвии мужчина и женщина пользуются одинаков</w:t>
      </w:r>
      <w:r>
        <w:t>ы</w:t>
      </w:r>
      <w:r>
        <w:t>ми правами быть опекунами (попечителями) несовершеннолетнего, если он или она обладают навыками и чертами характера, необходимыми для выполн</w:t>
      </w:r>
      <w:r>
        <w:t>е</w:t>
      </w:r>
      <w:r>
        <w:t>ния этой обязанности. Мужчина или женщина, назначенные опекуном (попеч</w:t>
      </w:r>
      <w:r>
        <w:t>и</w:t>
      </w:r>
      <w:r>
        <w:t>телем) несовершеннолетнего, обязаны воспитывать несовершеннолетнего и осуществлять опеку (попечительство), проявляя при этом такую же заботу, как заботливая мать или отец.</w:t>
      </w:r>
    </w:p>
    <w:p w:rsidR="00000000" w:rsidRDefault="00000000">
      <w:pPr>
        <w:pStyle w:val="SingleTxt"/>
      </w:pPr>
      <w:r>
        <w:t>325.</w:t>
      </w:r>
      <w:r>
        <w:tab/>
        <w:t>По гражданскому законодательству женщина и мужчина, которые дости</w:t>
      </w:r>
      <w:r>
        <w:t>г</w:t>
      </w:r>
      <w:r>
        <w:t>ли возраста 25 лет и на 18 лет старше ребенка, могут усыновить его, если есть основания полагать, что между усыновителем и усыновляемым сложатся о</w:t>
      </w:r>
      <w:r>
        <w:t>т</w:t>
      </w:r>
      <w:r>
        <w:t>ношения родителя и ребенка. Отец ребенка может усыновить своего ребенка, родившегося вне брака, независимо от требований минимального возраста для усыновителя и 18 лет разницы в возрасте; такое усыновление требует лишь с</w:t>
      </w:r>
      <w:r>
        <w:t>о</w:t>
      </w:r>
      <w:r>
        <w:t>гласия другого супруга, а также согласия матери ребенка или опекуна (попеч</w:t>
      </w:r>
      <w:r>
        <w:t>и</w:t>
      </w:r>
      <w:r>
        <w:t>теля) на общих основаниях.</w:t>
      </w:r>
    </w:p>
    <w:p w:rsidR="00000000" w:rsidRDefault="00000000">
      <w:pPr>
        <w:pStyle w:val="SingleTxt"/>
      </w:pPr>
      <w:r>
        <w:t>326.</w:t>
      </w:r>
      <w:r>
        <w:tab/>
        <w:t>Супруги могут совместно усыновить ребенка или это может сделать один из них. Лицо, состоящее в браке, может усыновить ребенка только с согласия другого супруга, за исключением случаев, когда другой супруг признан судом недееспособным по причине душевной болезни или невменяемости. В свою очередь, несколько лиц, которые не состоят во взаимном браке, не могут ус</w:t>
      </w:r>
      <w:r>
        <w:t>ы</w:t>
      </w:r>
      <w:r>
        <w:t>новить одно и то же лицо.</w:t>
      </w:r>
    </w:p>
    <w:p w:rsidR="00000000" w:rsidRDefault="00000000">
      <w:pPr>
        <w:pStyle w:val="SingleTxt"/>
      </w:pPr>
      <w:r>
        <w:t>327.</w:t>
      </w:r>
      <w:r>
        <w:tab/>
        <w:t>Для обеспечения того, чтобы усыновление отвечало интересам ребенка, необходимо, чтобы все его участники, то есть усыновитель и усыновляемый, если последний в возрасте 12 лет или старше, а также родители или опекуны (попечители) усыновляемого, не достигшего совершеннолетия, дали свое с</w:t>
      </w:r>
      <w:r>
        <w:t>о</w:t>
      </w:r>
      <w:r>
        <w:t>гласие на усыновление; усыновление лица, находящегося под опекой (попеч</w:t>
      </w:r>
      <w:r>
        <w:t>и</w:t>
      </w:r>
      <w:r>
        <w:t>тельством), требует согласия опекуна (попечителя). Усыновление несоверше</w:t>
      </w:r>
      <w:r>
        <w:t>н</w:t>
      </w:r>
      <w:r>
        <w:t>нолетних требует наличия решения опекунского суда в отношении того, что усыновление не причинит вреда усыновляемому. Несовершеннолетний может быть усыновлен по просьбе лиц, проживающих за рубежом, при наличии ра</w:t>
      </w:r>
      <w:r>
        <w:t>з</w:t>
      </w:r>
      <w:r>
        <w:t>решения министерства юстиции и только в тех случаях, когда не представляе</w:t>
      </w:r>
      <w:r>
        <w:t>т</w:t>
      </w:r>
      <w:r>
        <w:t>ся возможным обеспечить соответствующего воспитания ребенка и ухода за ним в семье.</w:t>
      </w:r>
    </w:p>
    <w:p w:rsidR="00000000" w:rsidRDefault="00000000">
      <w:pPr>
        <w:pStyle w:val="SingleTxt"/>
      </w:pPr>
      <w:r>
        <w:t>328.</w:t>
      </w:r>
      <w:r>
        <w:tab/>
        <w:t>Гражданское законодательство предусматривает, что в силу самого нал</w:t>
      </w:r>
      <w:r>
        <w:t>и</w:t>
      </w:r>
      <w:r>
        <w:t>чия родительских прав отец и мать являются естественными опекунами своих несовершеннолетних детей. Когда один из родителей умирает, опекунство п</w:t>
      </w:r>
      <w:r>
        <w:t>е</w:t>
      </w:r>
      <w:r>
        <w:t>редается другому родителю, при этом утверждение опекунского суда не треб</w:t>
      </w:r>
      <w:r>
        <w:t>у</w:t>
      </w:r>
      <w:r>
        <w:t>ется. Когда один из родителей умирает, а другой родитель вступает в новый брак, то второй родитель по-прежнему продолжает оставаться естественным опекуном несовершеннолетних детей, рожденных в предыдущем браке, однако он обязан уведомить опекунский суд о возможном вступлении в брак и распр</w:t>
      </w:r>
      <w:r>
        <w:t>е</w:t>
      </w:r>
      <w:r>
        <w:t>делить имущество с соблюдением прав наследования, а также передать детям или соответствующим образом закрепить за детьми долю причитающегося им имущества. Никаких ограничений по признаку пола здесь не предусматривае</w:t>
      </w:r>
      <w:r>
        <w:t>т</w:t>
      </w:r>
      <w:r>
        <w:t>ся.</w:t>
      </w:r>
    </w:p>
    <w:p w:rsidR="00000000" w:rsidRDefault="00000000">
      <w:pPr>
        <w:pStyle w:val="SingleTxt"/>
      </w:pPr>
      <w:r>
        <w:t>329.</w:t>
      </w:r>
      <w:r>
        <w:tab/>
        <w:t>Оба родителя имеют право в своей последней воле или завещании назн</w:t>
      </w:r>
      <w:r>
        <w:t>а</w:t>
      </w:r>
      <w:r>
        <w:t>чить опекунов для своих детей – это касается как уже имеющихся, так и буд</w:t>
      </w:r>
      <w:r>
        <w:t>у</w:t>
      </w:r>
      <w:r>
        <w:t>щих детей. Если в последней воле или завещании опекуны не назначены или если назначенные опекуны не утверждены, или если их уже нет в живых и они не могут взять на себя опекунство, то ближайшие родственники несоверше</w:t>
      </w:r>
      <w:r>
        <w:t>н</w:t>
      </w:r>
      <w:r>
        <w:t>нолетних детей должны срочно представить в соответствующий опекунский суд просьбу о назначении опекуна детям. Опекунский суд выбирает наиболее подходящих лиц из числа ближайших родственников, однако если ближайшие родственники непригодны для опекунства, то - из числа дальних родственн</w:t>
      </w:r>
      <w:r>
        <w:t>и</w:t>
      </w:r>
      <w:r>
        <w:t>ков.</w:t>
      </w:r>
    </w:p>
    <w:p w:rsidR="00000000" w:rsidRDefault="00000000">
      <w:pPr>
        <w:pStyle w:val="SingleTxt"/>
      </w:pPr>
      <w:r>
        <w:t>330.</w:t>
      </w:r>
      <w:r>
        <w:tab/>
        <w:t>Гражданское законодательство не устанавливает никаких ограничений на право быть опекуном или попечителем. Опекунами или попечителями не могут быть следующие лица: лица, находящиеся под стражей; лица, которые уже о</w:t>
      </w:r>
      <w:r>
        <w:t>д</w:t>
      </w:r>
      <w:r>
        <w:t>нажды лишались родительских прав и которые были освобождены от выполн</w:t>
      </w:r>
      <w:r>
        <w:t>е</w:t>
      </w:r>
      <w:r>
        <w:t>ния обязанностей опекуна/попечителя в виду несоответствующего исполнения своих обязанностей; лица, которые были объявлены несостоятельными дол</w:t>
      </w:r>
      <w:r>
        <w:t>ж</w:t>
      </w:r>
      <w:r>
        <w:t>никами; лица, родители или родители родителей которых в своей последней воле или завещании отказали им в праве быть опекунами (попечителями) нес</w:t>
      </w:r>
      <w:r>
        <w:t>о</w:t>
      </w:r>
      <w:r>
        <w:t>вершеннолетних детей; лица, интересы которых явно противоречат главным целям опекунства (попечительства); члены опекунского суда, обеспечивающие надзор за соответствующим опекунством (попечительством); иностранцы, кроме случаев, когда опекунство (попечительство) устанавливается над гра</w:t>
      </w:r>
      <w:r>
        <w:t>ж</w:t>
      </w:r>
      <w:r>
        <w:t>данами их страны; несовершеннолетние. Никаких ограничений, связанных с полом, не существует в отношении права лица стать опекуном/попечителем.</w:t>
      </w:r>
    </w:p>
    <w:p w:rsidR="00000000" w:rsidRDefault="00000000">
      <w:pPr>
        <w:pStyle w:val="SingleTxt"/>
      </w:pPr>
      <w:r>
        <w:t>331.</w:t>
      </w:r>
      <w:r>
        <w:tab/>
        <w:t>В силу того, что обязанность опекуна/попечителя в Латвии является гос</w:t>
      </w:r>
      <w:r>
        <w:t>у</w:t>
      </w:r>
      <w:r>
        <w:t>дарственной обязанностью, от выполнения которой нельзя уклониться без з</w:t>
      </w:r>
      <w:r>
        <w:t>а</w:t>
      </w:r>
      <w:r>
        <w:t>конных оснований, в гражданском законодательстве перечисляются также т</w:t>
      </w:r>
      <w:r>
        <w:t>а</w:t>
      </w:r>
      <w:r>
        <w:t>кие основания. Законными причинами отказа взять на себя обязанность опек</w:t>
      </w:r>
      <w:r>
        <w:t>у</w:t>
      </w:r>
      <w:r>
        <w:t>на/попечителя являются следующие: государственную или муниципальную службу трудно сочетать с исполнением обязанностей опекуна/попечителя; н</w:t>
      </w:r>
      <w:r>
        <w:t>е</w:t>
      </w:r>
      <w:r>
        <w:t>грамотность; возраст старше 60 лет; обязанность осуществлять опеку или п</w:t>
      </w:r>
      <w:r>
        <w:t>о</w:t>
      </w:r>
      <w:r>
        <w:t>печительство над тремя детьми, тогда как осуществление опеки над одним р</w:t>
      </w:r>
      <w:r>
        <w:t>е</w:t>
      </w:r>
      <w:r>
        <w:t>бенком требует значительных усилий; большая семья; нищета; болезнь, которая препятствует надлежащему исполнению обязанностей опекуна/попечителя; п</w:t>
      </w:r>
      <w:r>
        <w:t>е</w:t>
      </w:r>
      <w:r>
        <w:t>реход под юрисдикцию другого опекунского суда; частое и продолжительное отсутствие в связи с выполнением официальной работы или удаленность места проживания от места выполнения опекунских обязанностей, что препятствует выполнению обязанностей опекуна/попечителя. Лица, независимо от пола, к</w:t>
      </w:r>
      <w:r>
        <w:t>о</w:t>
      </w:r>
      <w:r>
        <w:t>торые отказываются брать на себя опекунство/попечительство, могут ссылат</w:t>
      </w:r>
      <w:r>
        <w:t>ь</w:t>
      </w:r>
      <w:r>
        <w:t>ся на вышеупомянутые причины.</w:t>
      </w:r>
    </w:p>
    <w:p w:rsidR="00000000" w:rsidRDefault="00000000">
      <w:pPr>
        <w:pStyle w:val="SingleTxt"/>
      </w:pPr>
      <w:r>
        <w:t>332.</w:t>
      </w:r>
      <w:r>
        <w:tab/>
        <w:t>Попечительство над совершеннолетними устанавливается на основании судебного решения соответствующим опекунским судом, который в первую очередь должен назначить попечителем супруга (супругу) лица, в отношении которого устанавливается попечительство, или любого другого ближайшего родственника, а также должен учитывать последнюю волю лица, которое ост</w:t>
      </w:r>
      <w:r>
        <w:t>а</w:t>
      </w:r>
      <w:r>
        <w:t>вило наследство тому, над кем устанавливается попечительство. По гражда</w:t>
      </w:r>
      <w:r>
        <w:t>н</w:t>
      </w:r>
      <w:r>
        <w:t>скому законодательству такие требования применяются как к попечителям, так и к опекунам. В этой области также не существует никаких ограничений по признаку пола.</w:t>
      </w:r>
    </w:p>
    <w:p w:rsidR="00000000" w:rsidRDefault="00000000">
      <w:pPr>
        <w:pStyle w:val="SingleTxt"/>
      </w:pPr>
      <w:r>
        <w:t>333.</w:t>
      </w:r>
      <w:r>
        <w:tab/>
        <w:t>В Латвии уже существует институт приемных семей. В соответствии с п</w:t>
      </w:r>
      <w:r>
        <w:t>о</w:t>
      </w:r>
      <w:r>
        <w:t>становлением кабинета министров No 221 «О приемных семьях» (от 10 июня 1997 года) приемная семья — это семья, предоставляющая специальную гос</w:t>
      </w:r>
      <w:r>
        <w:t>у</w:t>
      </w:r>
      <w:r>
        <w:t>дарственную помощь и защиту ребенку, который временно или постоянно л</w:t>
      </w:r>
      <w:r>
        <w:t>и</w:t>
      </w:r>
      <w:r>
        <w:t>шен семейной среды или пребывание которого в его среде нельзя допустить из соображений защиты интересов ребенка, до тех пор, пока ребенок не сможет возвратиться в свою семью или, если это невозможно, пока ребенок не будет усыновлен, над ним не будет установлена опека или попечительство или он не будет помещен в детское дошкольное учреждение или учебное заведение. Ст</w:t>
      </w:r>
      <w:r>
        <w:t>а</w:t>
      </w:r>
      <w:r>
        <w:t>тус приемной семьи предоставляется семье, которая изъявила желание стать приемной семьей и возраст супругов в которой составляет от 21 года до 60 лет. В исключительных случаях статус приемной семьи может быть предоставлен одному лицу (никаких ограничений по признаку пола в отношении права на получение статуса приемной семьи не установлено).</w:t>
      </w:r>
    </w:p>
    <w:p w:rsidR="00000000" w:rsidRDefault="00000000">
      <w:pPr>
        <w:pStyle w:val="SingleTxt"/>
      </w:pPr>
      <w:r>
        <w:t>334.</w:t>
      </w:r>
      <w:r>
        <w:tab/>
        <w:t>Интересы ребенка имеют определяющее значение: опека (попечительство) устанавливается по решению опекунского суда или гражданского окружного суда; на практике бывали случаи, когда опекун назначался судом; опекунский суд или гражданский окружной суд признает соответствующих лиц усыновит</w:t>
      </w:r>
      <w:r>
        <w:t>е</w:t>
      </w:r>
      <w:r>
        <w:t>лями и выносит определение о том, что усыновление отвечает интересам р</w:t>
      </w:r>
      <w:r>
        <w:t>е</w:t>
      </w:r>
      <w:r>
        <w:t>бенка, и выполняет аналогичные функции, в том числе предоставляет статус приемной семьи, выдает разрешение представителям родителей опек</w:t>
      </w:r>
      <w:r>
        <w:t>у</w:t>
      </w:r>
      <w:r>
        <w:t>нов/попечителей и приемных семей представлять личные и имущественные интересы детей и принимать соответствующие меры по их защите.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Одинаковые права супругов в отношении выбора фамилии, профессии и рода занятий</w:t>
      </w:r>
    </w:p>
    <w:p w:rsidR="00000000" w:rsidRDefault="00000000">
      <w:pPr>
        <w:pStyle w:val="SingleTxt"/>
        <w:spacing w:after="0" w:line="120" w:lineRule="exact"/>
        <w:rPr>
          <w:sz w:val="10"/>
        </w:rPr>
      </w:pPr>
    </w:p>
    <w:p w:rsidR="00000000" w:rsidRDefault="00000000">
      <w:pPr>
        <w:pStyle w:val="SingleTxt"/>
      </w:pPr>
      <w:r>
        <w:t>335.</w:t>
      </w:r>
      <w:r>
        <w:tab/>
        <w:t>Право женщин выбирать свою фамилию в браке уже рассматривалось выше. Право выбора профессии и рода занятий рассматривалось в рамках ан</w:t>
      </w:r>
      <w:r>
        <w:t>а</w:t>
      </w:r>
      <w:r>
        <w:t>лиза выполнения положений статьи 10 Конвенции.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Запрещение обручения и брака детей</w:t>
      </w:r>
    </w:p>
    <w:p w:rsidR="00000000" w:rsidRDefault="00000000">
      <w:pPr>
        <w:pStyle w:val="SingleTxt"/>
        <w:spacing w:after="0" w:line="120" w:lineRule="exact"/>
        <w:rPr>
          <w:sz w:val="10"/>
        </w:rPr>
      </w:pPr>
    </w:p>
    <w:p w:rsidR="00000000" w:rsidRDefault="00000000">
      <w:pPr>
        <w:pStyle w:val="SingleTxt"/>
      </w:pPr>
      <w:r>
        <w:t>336.</w:t>
      </w:r>
      <w:r>
        <w:tab/>
        <w:t>В законодательстве Латвии обручение понимается как взаимное обещание вступить в брак. Это исключает возможность обручения детей, так как такое обещание не могут давать ни опекуны несовершеннолетних, ни другие лица. Обручение не дает права требовать заключения брака через суд.</w:t>
      </w:r>
    </w:p>
    <w:p w:rsidR="00000000" w:rsidRDefault="00000000">
      <w:pPr>
        <w:pStyle w:val="SingleTxt"/>
      </w:pPr>
      <w:r>
        <w:t>337.</w:t>
      </w:r>
      <w:r>
        <w:tab/>
        <w:t>Как уже говорилось выше, в Латвии установлен минимальный возраст вступления в брак и браки, заключенные до достижения установленного во</w:t>
      </w:r>
      <w:r>
        <w:t>з</w:t>
      </w:r>
      <w:r>
        <w:t>раста, признаются недействительными.</w:t>
      </w:r>
    </w:p>
    <w:p w:rsidR="00000000" w:rsidRDefault="00000000">
      <w:pPr>
        <w:pStyle w:val="SingleTxt"/>
      </w:pPr>
      <w:r>
        <w:t>338.</w:t>
      </w:r>
      <w:r>
        <w:tab/>
        <w:t>В Латвии регистрация браков в официальном реестре является обязател</w:t>
      </w:r>
      <w:r>
        <w:t>ь</w:t>
      </w:r>
      <w:r>
        <w:t>ной. По гражданскому законодательству начальник бюро регистрации и св</w:t>
      </w:r>
      <w:r>
        <w:t>я</w:t>
      </w:r>
      <w:r>
        <w:t>щеннослужители конфессий, перечисленных в законе (лютеране-евангелисты, римские католики, православные, староверы, методисты, баптисты, адвентисты седьмого дня и иудеи), которым разрешено руководить соответствующими конфессиональными приходами, имеют право совершать брачный обряд. В т</w:t>
      </w:r>
      <w:r>
        <w:t>е</w:t>
      </w:r>
      <w:r>
        <w:t>чение 14 дней после совершения такого обряда священнослужители предоста</w:t>
      </w:r>
      <w:r>
        <w:t>в</w:t>
      </w:r>
      <w:r>
        <w:t>ляют информацию о каждом заключенном браке, необходимую для регистр</w:t>
      </w:r>
      <w:r>
        <w:t>а</w:t>
      </w:r>
      <w:r>
        <w:t>ции брака, в бюро регистрации территории, на которой совершен данный бра</w:t>
      </w:r>
      <w:r>
        <w:t>ч</w:t>
      </w:r>
      <w:r>
        <w:t>ный обряд. Священнослужитель может быть привлечен к административной ответственности за невыполнение этой обязанности. В соответствии с поря</w:t>
      </w:r>
      <w:r>
        <w:t>д</w:t>
      </w:r>
      <w:r>
        <w:t>ком, установленным законом, браки, которые заключены не в бюро регистр</w:t>
      </w:r>
      <w:r>
        <w:t>а</w:t>
      </w:r>
      <w:r>
        <w:t>ции или не в присутствии священника, объявляются недействительными.</w:t>
      </w:r>
    </w:p>
    <w:p w:rsidR="00000000" w:rsidRDefault="00000000">
      <w:pPr>
        <w:pStyle w:val="SingleTxt"/>
      </w:pPr>
    </w:p>
    <w:p w:rsidR="00000000" w:rsidRDefault="00000000">
      <w:pPr>
        <w:pStyle w:val="SingleTxt"/>
        <w:spacing w:after="0" w:line="240" w:lineRule="auto"/>
      </w:pPr>
      <w:r>
        <w:rPr>
          <w:w w:val="100"/>
        </w:rPr>
        <w:pict>
          <v:line id="_x0000_s2050" style="position:absolute;left:0;text-align:left;z-index:1;mso-position-horizontal:absolute;mso-position-horizontal-relative:text;mso-position-vertical:absolute;mso-position-vertical-relative:text" from="210.25pt,30pt" to="282.25pt,30pt" o:allowincell="f" strokeweight=".25pt"/>
        </w:pict>
      </w:r>
    </w:p>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NO&gt;&gt;N0342253R&lt;&lt;ODS JOB NO&gt;&gt;</w:t>
      </w:r>
    </w:p>
    <w:p w:rsidR="00000000" w:rsidRDefault="00000000">
      <w:pPr>
        <w:pStyle w:val="CommentText"/>
      </w:pPr>
      <w:r>
        <w:t>&lt;&lt;ODS DOC SYMBOL1&gt;&gt;CEDAW/C/LVA/1-3&lt;&lt;ODS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de 3of9 4.6">
    <w:altName w:val="Times New Roman"/>
    <w:panose1 w:val="00000000000000000000"/>
    <w:charset w:val="00"/>
    <w:family w:val="roman"/>
    <w:notTrueType/>
    <w:pitch w:val="default"/>
    <w:sig w:usb0="01EBCF38" w:usb1="00000008" w:usb2="01EBCF38" w:usb3="00000008"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rFonts w:ascii="Code 3of9 4.6" w:hAnsi="Code 3of9 4.6"/>
        <w:b w:val="0"/>
        <w:sz w:val="20"/>
      </w:rPr>
    </w:pPr>
    <w:r>
      <w:rPr>
        <w:b w:val="0"/>
        <w:sz w:val="20"/>
      </w:rPr>
      <w:t>03-42253 (R)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t>*</w:t>
      </w:r>
      <w:r>
        <w:rPr>
          <w:lang w:val="en-US"/>
        </w:rPr>
        <w:tab/>
      </w:r>
      <w:r>
        <w:t>Настоящий доклад издается без официального редактирования.</w:t>
      </w:r>
    </w:p>
    <w:p w:rsidR="00000000" w:rsidRDefault="00000000">
      <w:pPr>
        <w:pStyle w:val="FootnoteText"/>
        <w:tabs>
          <w:tab w:val="clear" w:pos="418"/>
          <w:tab w:val="right" w:pos="1195"/>
          <w:tab w:val="left" w:pos="1267"/>
          <w:tab w:val="left" w:pos="1742"/>
          <w:tab w:val="left" w:pos="2218"/>
          <w:tab w:val="left" w:pos="2693"/>
        </w:tabs>
        <w:ind w:left="1267" w:right="1260" w:hanging="432"/>
        <w:rPr>
          <w:rFonts w:ascii="Tahoma" w:hAnsi="Tahoma"/>
        </w:rPr>
      </w:pPr>
    </w:p>
    <w:p w:rsidR="00000000" w:rsidRDefault="00000000">
      <w:pPr>
        <w:pStyle w:val="FootnoteText"/>
        <w:rPr>
          <w:rFonts w:ascii="Tahoma" w:hAnsi="Tahoma"/>
        </w:rPr>
      </w:pP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rFonts w:ascii="Tahoma" w:hAnsi="Tahoma"/>
        </w:rPr>
      </w:pPr>
      <w:r>
        <w:rPr>
          <w:lang w:val="en-US"/>
        </w:rPr>
        <w:tab/>
      </w:r>
      <w:r>
        <w:rPr>
          <w:rStyle w:val="FootnoteReference"/>
        </w:rPr>
        <w:footnoteRef/>
      </w:r>
      <w:r>
        <w:rPr>
          <w:lang w:val="en-US"/>
        </w:rPr>
        <w:tab/>
      </w:r>
      <w:r>
        <w:t>Раздел 8 Конституции вошел в силу 15 октября 1998 года.</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 xml:space="preserve"> </w:t>
      </w:r>
      <w:r>
        <w:rPr>
          <w:rFonts w:ascii="Tahoma" w:hAnsi="Tahoma"/>
        </w:rPr>
        <w:tab/>
      </w:r>
      <w:r>
        <w:t>Предложение в отношении Директивы Европейского парламента и Европейского Совета, вносящее изменение в Директиву 76/207/EEC об осуществлении принципа равного обращения с мужчинами и женщинами в том, что касается вопросов доступа к трудоустройству, профессиональной подготовки и повышения в должности, а также условий труда.</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rFonts w:ascii="Tahoma" w:hAnsi="Tahoma"/>
        </w:rPr>
      </w:pPr>
      <w:r>
        <w:rPr>
          <w:lang w:val="en-US"/>
        </w:rPr>
        <w:tab/>
      </w:r>
      <w:r>
        <w:rPr>
          <w:rStyle w:val="FootnoteReference"/>
        </w:rPr>
        <w:footnoteRef/>
      </w:r>
      <w:r>
        <w:t xml:space="preserve"> </w:t>
      </w:r>
      <w:r>
        <w:rPr>
          <w:rFonts w:ascii="Tahoma" w:hAnsi="Tahoma"/>
        </w:rPr>
        <w:tab/>
      </w:r>
      <w:r>
        <w:t>Закон о труде вступает в силу с 1 июня 2002 года, при этом Трудовой кодекс становится недействительным.</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rPr>
          <w:rFonts w:ascii="Tahoma" w:hAnsi="Tahoma"/>
        </w:rPr>
      </w:pPr>
      <w:r>
        <w:rPr>
          <w:lang w:val="en-US"/>
        </w:rPr>
        <w:tab/>
      </w:r>
      <w:r>
        <w:rPr>
          <w:rStyle w:val="FootnoteReference"/>
        </w:rPr>
        <w:footnoteRef/>
      </w:r>
      <w:r>
        <w:t xml:space="preserve"> </w:t>
      </w:r>
      <w:r>
        <w:rPr>
          <w:rFonts w:ascii="Tahoma" w:hAnsi="Tahoma"/>
        </w:rPr>
        <w:tab/>
      </w:r>
      <w:r>
        <w:t>Закон «Об охране труда», принятый 4 мая 1993 года, действует до 1 января 2002 года, когда в силу войдет Закон об охране труда, принятый 6 июля 2001 года.</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rPr>
          <w:rFonts w:ascii="Tahoma" w:hAnsi="Tahoma"/>
        </w:rPr>
      </w:pPr>
      <w:r>
        <w:rPr>
          <w:lang w:val="en-US"/>
        </w:rPr>
        <w:tab/>
      </w:r>
      <w:r>
        <w:rPr>
          <w:rStyle w:val="FootnoteReference"/>
        </w:rPr>
        <w:footnoteRef/>
      </w:r>
      <w:r>
        <w:t xml:space="preserve"> </w:t>
      </w:r>
      <w:r>
        <w:rPr>
          <w:rFonts w:ascii="Tahoma" w:hAnsi="Tahoma"/>
        </w:rPr>
        <w:tab/>
      </w:r>
      <w:r>
        <w:t>Прожиточный минимум, рассчитанный Центральным статистическим управлением, представляет собой полную корзину прожиточного минимума товаров и услуг, т.е. того количества товаров и услуг, которое обеспечивает индивидууму минимальный прожиточный уровень, приемлемый обществом. Его материальное содержание утверждено Решением No.95 Совета министров от 8 апреля 1991 года; однако стоимость этой корзины в реальных ценах рассчитывается Центральным статистическим управлением на ежемесячной основе. Расчеты прожиточного минимума не включают подоходный налог и социальный налог</w:t>
      </w:r>
      <w:r>
        <w:rPr>
          <w:rFonts w:ascii="Tahoma" w:hAnsi="Tahoma"/>
        </w:rPr>
        <w:t>.</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6</w:t>
      </w:r>
      <w:r>
        <w:rPr>
          <w:lang w:val="en-US"/>
        </w:rPr>
        <w:tab/>
      </w:r>
      <w:r>
        <w:t>Вступил в силу 1 января 1997 года.</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7</w:t>
      </w:r>
      <w:r>
        <w:rPr>
          <w:lang w:val="en-US"/>
        </w:rPr>
        <w:tab/>
      </w:r>
      <w:r>
        <w:t>В 1997 году пособие по беременности начислялось на основе календарных дней, впоследствии на основе рабочих дней.</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8</w:t>
      </w:r>
      <w:r>
        <w:rPr>
          <w:lang w:val="en-US"/>
        </w:rPr>
        <w:tab/>
      </w:r>
      <w:r>
        <w:t>Система регистрации получателей пособий была изменена в 1999 году.</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9</w:t>
      </w:r>
      <w:r>
        <w:rPr>
          <w:lang w:val="en-US"/>
        </w:rPr>
        <w:tab/>
      </w:r>
      <w:r>
        <w:t>Вступил в силу 1 октября 1997 года.</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10</w:t>
      </w:r>
      <w:r>
        <w:rPr>
          <w:lang w:val="en-US"/>
        </w:rPr>
        <w:tab/>
      </w:r>
      <w:r>
        <w:t>Вступил в силу 1 января 1996 года.</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11</w:t>
      </w:r>
      <w:r>
        <w:rPr>
          <w:lang w:val="en-US"/>
        </w:rPr>
        <w:tab/>
      </w:r>
      <w:r>
        <w:t>Вступил в силу 15 октября 1998 года.</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12</w:t>
      </w:r>
      <w:r>
        <w:rPr>
          <w:lang w:val="en-US"/>
        </w:rPr>
        <w:tab/>
      </w:r>
      <w:r>
        <w:t>Опубликовано 5 декабря 2000 года.</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t>13</w:t>
      </w:r>
      <w:r>
        <w:rPr>
          <w:lang w:val="en-US"/>
        </w:rPr>
        <w:tab/>
      </w:r>
      <w:r>
        <w:t>Аналогичные нормы содержатся в новом Законе о планировании развития территорий, который вступил в силу 26 июня 2002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CEDAW/C/LVA/1-3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CEDAW/C/LVA/1-3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/C/LVA/1-3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16 June 2003</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stroked="f">
          <v:textbox style="layout-flow:vertical;mso-next-textbox:#_x0000_s1034;mso-rotate-with-shape:t" inset="0,0,0,0">
            <w:txbxContent>
              <w:p w:rsidR="00000000" w:rsidRDefault="00000000">
                <w:pPr>
                  <w:pStyle w:val="Footer"/>
                  <w:ind w:left="40"/>
                </w:pPr>
                <w:r>
                  <w:fldChar w:fldCharType="begin"/>
                </w:r>
                <w:r>
                  <w:instrText xml:space="preserve"> PAGE  \* MERGEFORMAT </w:instrText>
                </w:r>
                <w:r>
                  <w:fldChar w:fldCharType="separate"/>
                </w:r>
                <w:r>
                  <w:t>91</w:t>
                </w:r>
                <w:r>
                  <w:fldChar w:fldCharType="end"/>
                </w:r>
              </w:p>
            </w:txbxContent>
          </v:textbox>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stroked="f">
          <v:textbox style="mso-next-textbox:#_x0000_s1033;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t>CEDAW/C/LVA/1-3</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stroked="f">
          <v:textbox style="layout-flow:vertical;mso-next-textbox:#_x0000_s1032;mso-rotate-with-shape:t" inset="0,0,0,0">
            <w:txbxContent>
              <w:p w:rsidR="00000000" w:rsidRDefault="00000000">
                <w:pPr>
                  <w:pStyle w:val="Footer"/>
                  <w:ind w:left="40"/>
                  <w:jc w:val="right"/>
                </w:pPr>
                <w:r>
                  <w:fldChar w:fldCharType="begin"/>
                </w:r>
                <w:r>
                  <w:instrText xml:space="preserve"> PAGE  \* MERGEFORMAT </w:instrText>
                </w:r>
                <w:r>
                  <w:fldChar w:fldCharType="separate"/>
                </w:r>
                <w:r>
                  <w:t>21</w:t>
                </w:r>
                <w:r>
                  <w:fldChar w:fldCharType="end"/>
                </w:r>
              </w:p>
            </w:txbxContent>
          </v:textbox>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stroked="f">
          <v:textbox style="mso-next-textbox:#_x0000_s1031;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CEDAW/C/LVA/1-3</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CEDAW/C/LVA/1-3</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CEDAW/C/LVA/1-3</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040411D"/>
    <w:multiLevelType w:val="multilevel"/>
    <w:tmpl w:val="39F03550"/>
    <w:lvl w:ilvl="0">
      <w:start w:val="32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10F59F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01676CEA"/>
    <w:multiLevelType w:val="multilevel"/>
    <w:tmpl w:val="948A0E68"/>
    <w:lvl w:ilvl="0">
      <w:start w:val="2"/>
      <w:numFmt w:val="lowerLetter"/>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01973FBC"/>
    <w:multiLevelType w:val="multilevel"/>
    <w:tmpl w:val="62642A60"/>
    <w:lvl w:ilvl="0">
      <w:start w:val="23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1D319AF"/>
    <w:multiLevelType w:val="multilevel"/>
    <w:tmpl w:val="21E4930C"/>
    <w:lvl w:ilvl="0">
      <w:start w:val="25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59F426E"/>
    <w:multiLevelType w:val="multilevel"/>
    <w:tmpl w:val="37CCDAB2"/>
    <w:lvl w:ilvl="0">
      <w:start w:val="32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925017A"/>
    <w:multiLevelType w:val="multilevel"/>
    <w:tmpl w:val="B966F472"/>
    <w:lvl w:ilvl="0">
      <w:start w:val="5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AF62A40"/>
    <w:multiLevelType w:val="singleLevel"/>
    <w:tmpl w:val="10223C56"/>
    <w:lvl w:ilvl="0">
      <w:numFmt w:val="bullet"/>
      <w:lvlText w:val=""/>
      <w:lvlJc w:val="left"/>
      <w:pPr>
        <w:tabs>
          <w:tab w:val="num" w:pos="720"/>
        </w:tabs>
        <w:ind w:left="720" w:hanging="720"/>
      </w:pPr>
      <w:rPr>
        <w:rFonts w:ascii="Symbol" w:hAnsi="Symbol" w:hint="default"/>
      </w:rPr>
    </w:lvl>
  </w:abstractNum>
  <w:abstractNum w:abstractNumId="13">
    <w:nsid w:val="0BBF5C8C"/>
    <w:multiLevelType w:val="multilevel"/>
    <w:tmpl w:val="C11008F8"/>
    <w:lvl w:ilvl="0">
      <w:start w:val="33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BC52FFA"/>
    <w:multiLevelType w:val="multilevel"/>
    <w:tmpl w:val="4A34FE66"/>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BCE0309"/>
    <w:multiLevelType w:val="multilevel"/>
    <w:tmpl w:val="40009840"/>
    <w:lvl w:ilvl="0">
      <w:start w:val="26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0DA23F1C"/>
    <w:multiLevelType w:val="multilevel"/>
    <w:tmpl w:val="C6D21A3A"/>
    <w:lvl w:ilvl="0">
      <w:start w:val="31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10596A3E"/>
    <w:multiLevelType w:val="multilevel"/>
    <w:tmpl w:val="B6E638F2"/>
    <w:lvl w:ilvl="0">
      <w:start w:val="31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10C03A9F"/>
    <w:multiLevelType w:val="multilevel"/>
    <w:tmpl w:val="623640E8"/>
    <w:lvl w:ilvl="0">
      <w:start w:val="23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110A6B17"/>
    <w:multiLevelType w:val="multilevel"/>
    <w:tmpl w:val="71AE9D48"/>
    <w:lvl w:ilvl="0">
      <w:start w:val="30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11EC2EFB"/>
    <w:multiLevelType w:val="multilevel"/>
    <w:tmpl w:val="F49A5ED6"/>
    <w:lvl w:ilvl="0">
      <w:start w:val="3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123476A3"/>
    <w:multiLevelType w:val="multilevel"/>
    <w:tmpl w:val="7604FE36"/>
    <w:lvl w:ilvl="0">
      <w:start w:val="1"/>
      <w:numFmt w:val="lowerLetter"/>
      <w:lvlText w:val="%1)"/>
      <w:lvlJc w:val="left"/>
      <w:pPr>
        <w:tabs>
          <w:tab w:val="num" w:pos="1080"/>
        </w:tabs>
        <w:ind w:left="1080" w:hanging="720"/>
      </w:pPr>
      <w:rPr>
        <w:rFonts w:hint="default"/>
      </w:rPr>
    </w:lvl>
    <w:lvl w:ilvl="1">
      <w:start w:val="230"/>
      <w:numFmt w:val="decimal"/>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13B30136"/>
    <w:multiLevelType w:val="multilevel"/>
    <w:tmpl w:val="8F985DA0"/>
    <w:lvl w:ilvl="0">
      <w:start w:val="262"/>
      <w:numFmt w:val="decimal"/>
      <w:lvlText w:val="%1."/>
      <w:lvlJc w:val="left"/>
      <w:pPr>
        <w:tabs>
          <w:tab w:val="num" w:pos="720"/>
        </w:tabs>
        <w:ind w:left="720" w:hanging="600"/>
      </w:pPr>
      <w:rPr>
        <w:rFonts w:hint="default"/>
      </w:rPr>
    </w:lvl>
    <w:lvl w:ilvl="1" w:tentative="1">
      <w:start w:val="1"/>
      <w:numFmt w:val="lowerLetter"/>
      <w:lvlText w:val="%2."/>
      <w:lvlJc w:val="left"/>
      <w:pPr>
        <w:tabs>
          <w:tab w:val="num" w:pos="1200"/>
        </w:tabs>
        <w:ind w:left="1200" w:hanging="360"/>
      </w:pPr>
    </w:lvl>
    <w:lvl w:ilvl="2" w:tentative="1">
      <w:start w:val="1"/>
      <w:numFmt w:val="lowerRoman"/>
      <w:lvlText w:val="%3."/>
      <w:lvlJc w:val="right"/>
      <w:pPr>
        <w:tabs>
          <w:tab w:val="num" w:pos="1920"/>
        </w:tabs>
        <w:ind w:left="1920" w:hanging="180"/>
      </w:pPr>
    </w:lvl>
    <w:lvl w:ilvl="3" w:tentative="1">
      <w:start w:val="1"/>
      <w:numFmt w:val="decimal"/>
      <w:lvlText w:val="%4."/>
      <w:lvlJc w:val="left"/>
      <w:pPr>
        <w:tabs>
          <w:tab w:val="num" w:pos="2640"/>
        </w:tabs>
        <w:ind w:left="2640" w:hanging="360"/>
      </w:pPr>
    </w:lvl>
    <w:lvl w:ilvl="4" w:tentative="1">
      <w:start w:val="1"/>
      <w:numFmt w:val="lowerLetter"/>
      <w:lvlText w:val="%5."/>
      <w:lvlJc w:val="left"/>
      <w:pPr>
        <w:tabs>
          <w:tab w:val="num" w:pos="3360"/>
        </w:tabs>
        <w:ind w:left="3360" w:hanging="360"/>
      </w:pPr>
    </w:lvl>
    <w:lvl w:ilvl="5" w:tentative="1">
      <w:start w:val="1"/>
      <w:numFmt w:val="lowerRoman"/>
      <w:lvlText w:val="%6."/>
      <w:lvlJc w:val="right"/>
      <w:pPr>
        <w:tabs>
          <w:tab w:val="num" w:pos="4080"/>
        </w:tabs>
        <w:ind w:left="4080" w:hanging="180"/>
      </w:pPr>
    </w:lvl>
    <w:lvl w:ilvl="6" w:tentative="1">
      <w:start w:val="1"/>
      <w:numFmt w:val="decimal"/>
      <w:lvlText w:val="%7."/>
      <w:lvlJc w:val="left"/>
      <w:pPr>
        <w:tabs>
          <w:tab w:val="num" w:pos="4800"/>
        </w:tabs>
        <w:ind w:left="4800" w:hanging="360"/>
      </w:pPr>
    </w:lvl>
    <w:lvl w:ilvl="7" w:tentative="1">
      <w:start w:val="1"/>
      <w:numFmt w:val="lowerLetter"/>
      <w:lvlText w:val="%8."/>
      <w:lvlJc w:val="left"/>
      <w:pPr>
        <w:tabs>
          <w:tab w:val="num" w:pos="5520"/>
        </w:tabs>
        <w:ind w:left="5520" w:hanging="360"/>
      </w:pPr>
    </w:lvl>
    <w:lvl w:ilvl="8" w:tentative="1">
      <w:start w:val="1"/>
      <w:numFmt w:val="lowerRoman"/>
      <w:lvlText w:val="%9."/>
      <w:lvlJc w:val="right"/>
      <w:pPr>
        <w:tabs>
          <w:tab w:val="num" w:pos="6240"/>
        </w:tabs>
        <w:ind w:left="6240" w:hanging="180"/>
      </w:pPr>
    </w:lvl>
  </w:abstractNum>
  <w:abstractNum w:abstractNumId="23">
    <w:nsid w:val="14077D6F"/>
    <w:multiLevelType w:val="singleLevel"/>
    <w:tmpl w:val="AE56A940"/>
    <w:lvl w:ilvl="0">
      <w:start w:val="1"/>
      <w:numFmt w:val="lowerLetter"/>
      <w:lvlText w:val="%1)"/>
      <w:lvlJc w:val="left"/>
      <w:pPr>
        <w:tabs>
          <w:tab w:val="num" w:pos="720"/>
        </w:tabs>
        <w:ind w:left="720" w:hanging="720"/>
      </w:pPr>
      <w:rPr>
        <w:rFonts w:hint="default"/>
      </w:rPr>
    </w:lvl>
  </w:abstractNum>
  <w:abstractNum w:abstractNumId="24">
    <w:nsid w:val="153D7976"/>
    <w:multiLevelType w:val="multilevel"/>
    <w:tmpl w:val="8EDAB66C"/>
    <w:lvl w:ilvl="0">
      <w:start w:val="33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15D24C93"/>
    <w:multiLevelType w:val="multilevel"/>
    <w:tmpl w:val="6B58A676"/>
    <w:lvl w:ilvl="0">
      <w:start w:val="1"/>
      <w:numFmt w:val="lowerLetter"/>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1B3A29B9"/>
    <w:multiLevelType w:val="singleLevel"/>
    <w:tmpl w:val="821AA4AE"/>
    <w:lvl w:ilvl="0">
      <w:start w:val="152"/>
      <w:numFmt w:val="decimal"/>
      <w:lvlText w:val="%1."/>
      <w:lvlJc w:val="left"/>
      <w:pPr>
        <w:tabs>
          <w:tab w:val="num" w:pos="720"/>
        </w:tabs>
        <w:ind w:left="720" w:hanging="720"/>
      </w:pPr>
      <w:rPr>
        <w:rFonts w:hint="default"/>
      </w:rPr>
    </w:lvl>
  </w:abstractNum>
  <w:abstractNum w:abstractNumId="27">
    <w:nsid w:val="1BE95E28"/>
    <w:multiLevelType w:val="multilevel"/>
    <w:tmpl w:val="51C8B584"/>
    <w:lvl w:ilvl="0">
      <w:start w:val="32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1BEB4821"/>
    <w:multiLevelType w:val="multilevel"/>
    <w:tmpl w:val="2028FAF2"/>
    <w:lvl w:ilvl="0">
      <w:start w:val="31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1D836F2D"/>
    <w:multiLevelType w:val="multilevel"/>
    <w:tmpl w:val="B4640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1E194AC8"/>
    <w:multiLevelType w:val="multilevel"/>
    <w:tmpl w:val="F9D02A74"/>
    <w:lvl w:ilvl="0">
      <w:start w:val="305"/>
      <w:numFmt w:val="decimal"/>
      <w:lvlText w:val="%1."/>
      <w:lvlJc w:val="left"/>
      <w:pPr>
        <w:tabs>
          <w:tab w:val="num" w:pos="720"/>
        </w:tabs>
        <w:ind w:left="720" w:hanging="6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31">
    <w:nsid w:val="1E887C05"/>
    <w:multiLevelType w:val="multilevel"/>
    <w:tmpl w:val="5406C108"/>
    <w:lvl w:ilvl="0">
      <w:start w:val="32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1F4D0FE6"/>
    <w:multiLevelType w:val="multilevel"/>
    <w:tmpl w:val="6F36F39E"/>
    <w:lvl w:ilvl="0">
      <w:start w:val="25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1F595F4B"/>
    <w:multiLevelType w:val="singleLevel"/>
    <w:tmpl w:val="0AB06146"/>
    <w:lvl w:ilvl="0">
      <w:start w:val="2"/>
      <w:numFmt w:val="lowerLetter"/>
      <w:lvlText w:val="%1)"/>
      <w:lvlJc w:val="left"/>
      <w:pPr>
        <w:tabs>
          <w:tab w:val="num" w:pos="1080"/>
        </w:tabs>
        <w:ind w:left="1080" w:hanging="360"/>
      </w:pPr>
      <w:rPr>
        <w:rFonts w:hint="default"/>
      </w:rPr>
    </w:lvl>
  </w:abstractNum>
  <w:abstractNum w:abstractNumId="34">
    <w:nsid w:val="20297FBA"/>
    <w:multiLevelType w:val="singleLevel"/>
    <w:tmpl w:val="821AA4AE"/>
    <w:lvl w:ilvl="0">
      <w:start w:val="75"/>
      <w:numFmt w:val="decimal"/>
      <w:lvlText w:val="%1."/>
      <w:lvlJc w:val="left"/>
      <w:pPr>
        <w:tabs>
          <w:tab w:val="num" w:pos="720"/>
        </w:tabs>
        <w:ind w:left="720" w:hanging="720"/>
      </w:pPr>
      <w:rPr>
        <w:rFonts w:hint="default"/>
      </w:rPr>
    </w:lvl>
  </w:abstractNum>
  <w:abstractNum w:abstractNumId="35">
    <w:nsid w:val="224729EF"/>
    <w:multiLevelType w:val="multilevel"/>
    <w:tmpl w:val="2EB4F52C"/>
    <w:lvl w:ilvl="0">
      <w:start w:val="33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240D2CC4"/>
    <w:multiLevelType w:val="multilevel"/>
    <w:tmpl w:val="BB94D10C"/>
    <w:lvl w:ilvl="0">
      <w:start w:val="21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26693F49"/>
    <w:multiLevelType w:val="singleLevel"/>
    <w:tmpl w:val="821AA4AE"/>
    <w:lvl w:ilvl="0">
      <w:start w:val="103"/>
      <w:numFmt w:val="decimal"/>
      <w:lvlText w:val="%1."/>
      <w:lvlJc w:val="left"/>
      <w:pPr>
        <w:tabs>
          <w:tab w:val="num" w:pos="720"/>
        </w:tabs>
        <w:ind w:left="720" w:hanging="720"/>
      </w:pPr>
      <w:rPr>
        <w:rFonts w:hint="default"/>
      </w:rPr>
    </w:lvl>
  </w:abstractNum>
  <w:abstractNum w:abstractNumId="38">
    <w:nsid w:val="27715D07"/>
    <w:multiLevelType w:val="multilevel"/>
    <w:tmpl w:val="2B501536"/>
    <w:lvl w:ilvl="0">
      <w:start w:val="21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283653A6"/>
    <w:multiLevelType w:val="multilevel"/>
    <w:tmpl w:val="AA529C1A"/>
    <w:lvl w:ilvl="0">
      <w:start w:val="30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28C678FB"/>
    <w:multiLevelType w:val="multilevel"/>
    <w:tmpl w:val="08F4F71A"/>
    <w:lvl w:ilvl="0">
      <w:start w:val="31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299C7CF9"/>
    <w:multiLevelType w:val="multilevel"/>
    <w:tmpl w:val="AE9C0360"/>
    <w:lvl w:ilvl="0">
      <w:start w:val="25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2A4420F8"/>
    <w:multiLevelType w:val="multilevel"/>
    <w:tmpl w:val="646CE91A"/>
    <w:lvl w:ilvl="0">
      <w:start w:val="30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2C7D7F4F"/>
    <w:multiLevelType w:val="multilevel"/>
    <w:tmpl w:val="FE32605E"/>
    <w:lvl w:ilvl="0">
      <w:start w:val="30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2DA55E06"/>
    <w:multiLevelType w:val="multilevel"/>
    <w:tmpl w:val="B13CC394"/>
    <w:lvl w:ilvl="0">
      <w:start w:val="25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308401A2"/>
    <w:multiLevelType w:val="multilevel"/>
    <w:tmpl w:val="79E82ABA"/>
    <w:lvl w:ilvl="0">
      <w:start w:val="33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33C42E69"/>
    <w:multiLevelType w:val="multilevel"/>
    <w:tmpl w:val="1D9A0CAC"/>
    <w:lvl w:ilvl="0">
      <w:start w:val="32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34642BF9"/>
    <w:multiLevelType w:val="multilevel"/>
    <w:tmpl w:val="54D6F102"/>
    <w:lvl w:ilvl="0">
      <w:start w:val="33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49">
    <w:nsid w:val="34F83D9D"/>
    <w:multiLevelType w:val="multilevel"/>
    <w:tmpl w:val="349212F8"/>
    <w:lvl w:ilvl="0">
      <w:start w:val="30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364524D2"/>
    <w:multiLevelType w:val="multilevel"/>
    <w:tmpl w:val="17A4458E"/>
    <w:lvl w:ilvl="0">
      <w:start w:val="25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3AF50727"/>
    <w:multiLevelType w:val="multilevel"/>
    <w:tmpl w:val="8A322054"/>
    <w:lvl w:ilvl="0">
      <w:start w:val="22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3EEE7919"/>
    <w:multiLevelType w:val="multilevel"/>
    <w:tmpl w:val="82C43356"/>
    <w:lvl w:ilvl="0">
      <w:start w:val="23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3F3213EE"/>
    <w:multiLevelType w:val="multilevel"/>
    <w:tmpl w:val="0C322354"/>
    <w:lvl w:ilvl="0">
      <w:start w:val="22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3F655176"/>
    <w:multiLevelType w:val="singleLevel"/>
    <w:tmpl w:val="4D401472"/>
    <w:lvl w:ilvl="0">
      <w:start w:val="2"/>
      <w:numFmt w:val="lowerLetter"/>
      <w:lvlText w:val="%1)"/>
      <w:lvlJc w:val="left"/>
      <w:pPr>
        <w:tabs>
          <w:tab w:val="num" w:pos="1440"/>
        </w:tabs>
        <w:ind w:left="1440" w:hanging="720"/>
      </w:pPr>
      <w:rPr>
        <w:rFonts w:hint="default"/>
      </w:rPr>
    </w:lvl>
  </w:abstractNum>
  <w:abstractNum w:abstractNumId="55">
    <w:nsid w:val="3F7B1CEF"/>
    <w:multiLevelType w:val="singleLevel"/>
    <w:tmpl w:val="4D401472"/>
    <w:lvl w:ilvl="0">
      <w:start w:val="2"/>
      <w:numFmt w:val="lowerLetter"/>
      <w:lvlText w:val="%1)"/>
      <w:lvlJc w:val="left"/>
      <w:pPr>
        <w:tabs>
          <w:tab w:val="num" w:pos="1440"/>
        </w:tabs>
        <w:ind w:left="1440" w:hanging="720"/>
      </w:pPr>
      <w:rPr>
        <w:rFonts w:hint="default"/>
      </w:rPr>
    </w:lvl>
  </w:abstractNum>
  <w:abstractNum w:abstractNumId="56">
    <w:nsid w:val="41604CAF"/>
    <w:multiLevelType w:val="multilevel"/>
    <w:tmpl w:val="822EBD4C"/>
    <w:lvl w:ilvl="0">
      <w:start w:val="31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445A791C"/>
    <w:multiLevelType w:val="multilevel"/>
    <w:tmpl w:val="C95A0432"/>
    <w:lvl w:ilvl="0">
      <w:start w:val="245"/>
      <w:numFmt w:val="decimal"/>
      <w:lvlText w:val="%1."/>
      <w:lvlJc w:val="left"/>
      <w:pPr>
        <w:tabs>
          <w:tab w:val="num" w:pos="900"/>
        </w:tabs>
        <w:ind w:left="900" w:hanging="5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469E61AF"/>
    <w:multiLevelType w:val="multilevel"/>
    <w:tmpl w:val="C29089F8"/>
    <w:lvl w:ilvl="0">
      <w:start w:val="246"/>
      <w:numFmt w:val="decimal"/>
      <w:lvlText w:val="%1."/>
      <w:lvlJc w:val="left"/>
      <w:pPr>
        <w:tabs>
          <w:tab w:val="num" w:pos="720"/>
        </w:tabs>
        <w:ind w:left="720" w:hanging="6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59">
    <w:nsid w:val="478D2624"/>
    <w:multiLevelType w:val="multilevel"/>
    <w:tmpl w:val="E5FE0796"/>
    <w:lvl w:ilvl="0">
      <w:start w:val="32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48B33D4D"/>
    <w:multiLevelType w:val="singleLevel"/>
    <w:tmpl w:val="821AA4AE"/>
    <w:lvl w:ilvl="0">
      <w:start w:val="103"/>
      <w:numFmt w:val="decimal"/>
      <w:lvlText w:val="%1."/>
      <w:lvlJc w:val="left"/>
      <w:pPr>
        <w:tabs>
          <w:tab w:val="num" w:pos="720"/>
        </w:tabs>
        <w:ind w:left="720" w:hanging="720"/>
      </w:pPr>
      <w:rPr>
        <w:rFonts w:hint="default"/>
      </w:rPr>
    </w:lvl>
  </w:abstractNum>
  <w:abstractNum w:abstractNumId="61">
    <w:nsid w:val="49557DC3"/>
    <w:multiLevelType w:val="multilevel"/>
    <w:tmpl w:val="32647D70"/>
    <w:lvl w:ilvl="0">
      <w:start w:val="32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4B845A0E"/>
    <w:multiLevelType w:val="multilevel"/>
    <w:tmpl w:val="E520907A"/>
    <w:lvl w:ilvl="0">
      <w:start w:val="31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4C9D6824"/>
    <w:multiLevelType w:val="multilevel"/>
    <w:tmpl w:val="C6D6B3C4"/>
    <w:lvl w:ilvl="0">
      <w:start w:val="263"/>
      <w:numFmt w:val="decimal"/>
      <w:lvlText w:val="%1."/>
      <w:lvlJc w:val="left"/>
      <w:pPr>
        <w:tabs>
          <w:tab w:val="num" w:pos="720"/>
        </w:tabs>
        <w:ind w:left="720" w:hanging="6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64">
    <w:nsid w:val="4DA210CE"/>
    <w:multiLevelType w:val="multilevel"/>
    <w:tmpl w:val="B4E67296"/>
    <w:lvl w:ilvl="0">
      <w:start w:val="25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4E590473"/>
    <w:multiLevelType w:val="multilevel"/>
    <w:tmpl w:val="B17C5150"/>
    <w:lvl w:ilvl="0">
      <w:start w:val="33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nsid w:val="4E9C7B5F"/>
    <w:multiLevelType w:val="singleLevel"/>
    <w:tmpl w:val="82A6BC56"/>
    <w:lvl w:ilvl="0">
      <w:start w:val="1"/>
      <w:numFmt w:val="lowerLetter"/>
      <w:lvlText w:val="%1)"/>
      <w:lvlJc w:val="left"/>
      <w:pPr>
        <w:tabs>
          <w:tab w:val="num" w:pos="1440"/>
        </w:tabs>
        <w:ind w:left="1440" w:hanging="720"/>
      </w:pPr>
      <w:rPr>
        <w:rFonts w:hint="default"/>
      </w:rPr>
    </w:lvl>
  </w:abstractNum>
  <w:abstractNum w:abstractNumId="67">
    <w:nsid w:val="504644FC"/>
    <w:multiLevelType w:val="multilevel"/>
    <w:tmpl w:val="9340681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
    <w:nsid w:val="506F01A6"/>
    <w:multiLevelType w:val="multilevel"/>
    <w:tmpl w:val="5B3A520A"/>
    <w:lvl w:ilvl="0">
      <w:start w:val="24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50D82A66"/>
    <w:multiLevelType w:val="multilevel"/>
    <w:tmpl w:val="C22E0598"/>
    <w:lvl w:ilvl="0">
      <w:start w:val="30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50EA75C5"/>
    <w:multiLevelType w:val="multilevel"/>
    <w:tmpl w:val="559497DC"/>
    <w:lvl w:ilvl="0">
      <w:start w:val="22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5144640E"/>
    <w:multiLevelType w:val="multilevel"/>
    <w:tmpl w:val="895AA39E"/>
    <w:lvl w:ilvl="0">
      <w:start w:val="31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526545BD"/>
    <w:multiLevelType w:val="multilevel"/>
    <w:tmpl w:val="A0BE34EC"/>
    <w:lvl w:ilvl="0">
      <w:start w:val="31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5579413D"/>
    <w:multiLevelType w:val="multilevel"/>
    <w:tmpl w:val="8A4CE5B2"/>
    <w:lvl w:ilvl="0">
      <w:start w:val="30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55946421"/>
    <w:multiLevelType w:val="multilevel"/>
    <w:tmpl w:val="8AD0B818"/>
    <w:lvl w:ilvl="0">
      <w:start w:val="22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55E753F0"/>
    <w:multiLevelType w:val="multilevel"/>
    <w:tmpl w:val="57F4AA70"/>
    <w:lvl w:ilvl="0">
      <w:start w:val="30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56E83848"/>
    <w:multiLevelType w:val="multilevel"/>
    <w:tmpl w:val="F000E132"/>
    <w:lvl w:ilvl="0">
      <w:start w:val="258"/>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58810836"/>
    <w:multiLevelType w:val="singleLevel"/>
    <w:tmpl w:val="821AA4AE"/>
    <w:lvl w:ilvl="0">
      <w:start w:val="103"/>
      <w:numFmt w:val="decimal"/>
      <w:lvlText w:val="%1."/>
      <w:lvlJc w:val="left"/>
      <w:pPr>
        <w:tabs>
          <w:tab w:val="num" w:pos="720"/>
        </w:tabs>
        <w:ind w:left="720" w:hanging="720"/>
      </w:pPr>
      <w:rPr>
        <w:rFonts w:hint="default"/>
      </w:rPr>
    </w:lvl>
  </w:abstractNum>
  <w:abstractNum w:abstractNumId="78">
    <w:nsid w:val="5A606D37"/>
    <w:multiLevelType w:val="singleLevel"/>
    <w:tmpl w:val="2B2A3536"/>
    <w:lvl w:ilvl="0">
      <w:start w:val="1"/>
      <w:numFmt w:val="decimal"/>
      <w:lvlText w:val="%1)"/>
      <w:lvlJc w:val="left"/>
      <w:pPr>
        <w:tabs>
          <w:tab w:val="num" w:pos="1440"/>
        </w:tabs>
        <w:ind w:left="1440" w:hanging="720"/>
      </w:pPr>
      <w:rPr>
        <w:rFonts w:hint="default"/>
      </w:rPr>
    </w:lvl>
  </w:abstractNum>
  <w:abstractNum w:abstractNumId="79">
    <w:nsid w:val="5AA70C52"/>
    <w:multiLevelType w:val="multilevel"/>
    <w:tmpl w:val="15FA8B24"/>
    <w:lvl w:ilvl="0">
      <w:start w:val="25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5B4F2DC6"/>
    <w:multiLevelType w:val="multilevel"/>
    <w:tmpl w:val="C4ACA238"/>
    <w:lvl w:ilvl="0">
      <w:start w:val="33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1">
    <w:nsid w:val="5C921711"/>
    <w:multiLevelType w:val="multilevel"/>
    <w:tmpl w:val="58C4F33C"/>
    <w:lvl w:ilvl="0">
      <w:start w:val="25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5C975B45"/>
    <w:multiLevelType w:val="multilevel"/>
    <w:tmpl w:val="2C7E547E"/>
    <w:lvl w:ilvl="0">
      <w:start w:val="21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5C9D3EE4"/>
    <w:multiLevelType w:val="multilevel"/>
    <w:tmpl w:val="14D241A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4">
    <w:nsid w:val="5FB61269"/>
    <w:multiLevelType w:val="multilevel"/>
    <w:tmpl w:val="1A1E410A"/>
    <w:lvl w:ilvl="0">
      <w:start w:val="247"/>
      <w:numFmt w:val="decimal"/>
      <w:lvlText w:val="%1."/>
      <w:lvlJc w:val="left"/>
      <w:pPr>
        <w:tabs>
          <w:tab w:val="num" w:pos="720"/>
        </w:tabs>
        <w:ind w:left="720" w:hanging="6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85">
    <w:nsid w:val="5FC2522A"/>
    <w:multiLevelType w:val="multilevel"/>
    <w:tmpl w:val="E02ED164"/>
    <w:lvl w:ilvl="0">
      <w:start w:val="313"/>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60F149B6"/>
    <w:multiLevelType w:val="singleLevel"/>
    <w:tmpl w:val="821AA4AE"/>
    <w:lvl w:ilvl="0">
      <w:start w:val="1"/>
      <w:numFmt w:val="decimal"/>
      <w:lvlText w:val="%1."/>
      <w:lvlJc w:val="left"/>
      <w:pPr>
        <w:tabs>
          <w:tab w:val="num" w:pos="720"/>
        </w:tabs>
        <w:ind w:left="720" w:hanging="720"/>
      </w:pPr>
      <w:rPr>
        <w:rFonts w:hint="default"/>
      </w:rPr>
    </w:lvl>
  </w:abstractNum>
  <w:abstractNum w:abstractNumId="87">
    <w:nsid w:val="613B61C4"/>
    <w:multiLevelType w:val="singleLevel"/>
    <w:tmpl w:val="0409000F"/>
    <w:lvl w:ilvl="0">
      <w:start w:val="1"/>
      <w:numFmt w:val="decimal"/>
      <w:lvlText w:val="%1."/>
      <w:lvlJc w:val="left"/>
      <w:pPr>
        <w:tabs>
          <w:tab w:val="num" w:pos="360"/>
        </w:tabs>
        <w:ind w:left="360" w:hanging="360"/>
      </w:pPr>
    </w:lvl>
  </w:abstractNum>
  <w:abstractNum w:abstractNumId="88">
    <w:nsid w:val="62494E8B"/>
    <w:multiLevelType w:val="multilevel"/>
    <w:tmpl w:val="D736E1DC"/>
    <w:lvl w:ilvl="0">
      <w:start w:val="32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62CB5CB8"/>
    <w:multiLevelType w:val="multilevel"/>
    <w:tmpl w:val="46FA795E"/>
    <w:lvl w:ilvl="0">
      <w:start w:val="278"/>
      <w:numFmt w:val="decimal"/>
      <w:lvlText w:val="%1."/>
      <w:lvlJc w:val="left"/>
      <w:pPr>
        <w:tabs>
          <w:tab w:val="num" w:pos="705"/>
        </w:tabs>
        <w:ind w:left="705" w:hanging="585"/>
      </w:pPr>
      <w:rPr>
        <w:rFonts w:hint="default"/>
      </w:rPr>
    </w:lvl>
    <w:lvl w:ilvl="1">
      <w:start w:val="1"/>
      <w:numFmt w:val="lowerLetter"/>
      <w:lvlText w:val="%2)"/>
      <w:lvlJc w:val="left"/>
      <w:pPr>
        <w:tabs>
          <w:tab w:val="num" w:pos="1425"/>
        </w:tabs>
        <w:ind w:left="1425" w:hanging="585"/>
      </w:pPr>
      <w:rPr>
        <w:rFonts w:hint="default"/>
      </w:rPr>
    </w:lvl>
    <w:lvl w:ilvl="2" w:tentative="1">
      <w:start w:val="1"/>
      <w:numFmt w:val="lowerRoman"/>
      <w:lvlText w:val="%3."/>
      <w:lvlJc w:val="right"/>
      <w:pPr>
        <w:tabs>
          <w:tab w:val="num" w:pos="1920"/>
        </w:tabs>
        <w:ind w:left="1920" w:hanging="180"/>
      </w:pPr>
    </w:lvl>
    <w:lvl w:ilvl="3" w:tentative="1">
      <w:start w:val="1"/>
      <w:numFmt w:val="decimal"/>
      <w:lvlText w:val="%4."/>
      <w:lvlJc w:val="left"/>
      <w:pPr>
        <w:tabs>
          <w:tab w:val="num" w:pos="2640"/>
        </w:tabs>
        <w:ind w:left="2640" w:hanging="360"/>
      </w:pPr>
    </w:lvl>
    <w:lvl w:ilvl="4" w:tentative="1">
      <w:start w:val="1"/>
      <w:numFmt w:val="lowerLetter"/>
      <w:lvlText w:val="%5."/>
      <w:lvlJc w:val="left"/>
      <w:pPr>
        <w:tabs>
          <w:tab w:val="num" w:pos="3360"/>
        </w:tabs>
        <w:ind w:left="3360" w:hanging="360"/>
      </w:pPr>
    </w:lvl>
    <w:lvl w:ilvl="5" w:tentative="1">
      <w:start w:val="1"/>
      <w:numFmt w:val="lowerRoman"/>
      <w:lvlText w:val="%6."/>
      <w:lvlJc w:val="right"/>
      <w:pPr>
        <w:tabs>
          <w:tab w:val="num" w:pos="4080"/>
        </w:tabs>
        <w:ind w:left="4080" w:hanging="180"/>
      </w:pPr>
    </w:lvl>
    <w:lvl w:ilvl="6" w:tentative="1">
      <w:start w:val="1"/>
      <w:numFmt w:val="decimal"/>
      <w:lvlText w:val="%7."/>
      <w:lvlJc w:val="left"/>
      <w:pPr>
        <w:tabs>
          <w:tab w:val="num" w:pos="4800"/>
        </w:tabs>
        <w:ind w:left="4800" w:hanging="360"/>
      </w:pPr>
    </w:lvl>
    <w:lvl w:ilvl="7" w:tentative="1">
      <w:start w:val="1"/>
      <w:numFmt w:val="lowerLetter"/>
      <w:lvlText w:val="%8."/>
      <w:lvlJc w:val="left"/>
      <w:pPr>
        <w:tabs>
          <w:tab w:val="num" w:pos="5520"/>
        </w:tabs>
        <w:ind w:left="5520" w:hanging="360"/>
      </w:pPr>
    </w:lvl>
    <w:lvl w:ilvl="8" w:tentative="1">
      <w:start w:val="1"/>
      <w:numFmt w:val="lowerRoman"/>
      <w:lvlText w:val="%9."/>
      <w:lvlJc w:val="right"/>
      <w:pPr>
        <w:tabs>
          <w:tab w:val="num" w:pos="6240"/>
        </w:tabs>
        <w:ind w:left="6240" w:hanging="180"/>
      </w:pPr>
    </w:lvl>
  </w:abstractNum>
  <w:abstractNum w:abstractNumId="90">
    <w:nsid w:val="647063C8"/>
    <w:multiLevelType w:val="singleLevel"/>
    <w:tmpl w:val="4D401472"/>
    <w:lvl w:ilvl="0">
      <w:start w:val="2"/>
      <w:numFmt w:val="lowerLetter"/>
      <w:lvlText w:val="%1)"/>
      <w:lvlJc w:val="left"/>
      <w:pPr>
        <w:tabs>
          <w:tab w:val="num" w:pos="1440"/>
        </w:tabs>
        <w:ind w:left="1440" w:hanging="720"/>
      </w:pPr>
      <w:rPr>
        <w:rFonts w:hint="default"/>
      </w:rPr>
    </w:lvl>
  </w:abstractNum>
  <w:abstractNum w:abstractNumId="91">
    <w:nsid w:val="649D1456"/>
    <w:multiLevelType w:val="multilevel"/>
    <w:tmpl w:val="9E8AB700"/>
    <w:lvl w:ilvl="0">
      <w:start w:val="29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658B643F"/>
    <w:multiLevelType w:val="multilevel"/>
    <w:tmpl w:val="1B8C52D0"/>
    <w:lvl w:ilvl="0">
      <w:start w:val="324"/>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
    <w:nsid w:val="67310658"/>
    <w:multiLevelType w:val="singleLevel"/>
    <w:tmpl w:val="821AA4AE"/>
    <w:lvl w:ilvl="0">
      <w:start w:val="103"/>
      <w:numFmt w:val="decimal"/>
      <w:lvlText w:val="%1."/>
      <w:lvlJc w:val="left"/>
      <w:pPr>
        <w:tabs>
          <w:tab w:val="num" w:pos="720"/>
        </w:tabs>
        <w:ind w:left="720" w:hanging="720"/>
      </w:pPr>
      <w:rPr>
        <w:rFonts w:hint="default"/>
      </w:rPr>
    </w:lvl>
  </w:abstractNum>
  <w:abstractNum w:abstractNumId="94">
    <w:nsid w:val="67F979C9"/>
    <w:multiLevelType w:val="singleLevel"/>
    <w:tmpl w:val="821AA4AE"/>
    <w:lvl w:ilvl="0">
      <w:start w:val="1"/>
      <w:numFmt w:val="decimal"/>
      <w:lvlText w:val="%1."/>
      <w:lvlJc w:val="left"/>
      <w:pPr>
        <w:tabs>
          <w:tab w:val="num" w:pos="720"/>
        </w:tabs>
        <w:ind w:left="720" w:hanging="720"/>
      </w:pPr>
      <w:rPr>
        <w:rFonts w:hint="default"/>
      </w:rPr>
    </w:lvl>
  </w:abstractNum>
  <w:abstractNum w:abstractNumId="95">
    <w:nsid w:val="69A653BC"/>
    <w:multiLevelType w:val="multilevel"/>
    <w:tmpl w:val="3EFCB1EE"/>
    <w:lvl w:ilvl="0">
      <w:start w:val="26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6">
    <w:nsid w:val="6A587F84"/>
    <w:multiLevelType w:val="singleLevel"/>
    <w:tmpl w:val="6BA03726"/>
    <w:lvl w:ilvl="0">
      <w:start w:val="47"/>
      <w:numFmt w:val="decimal"/>
      <w:lvlText w:val="%1"/>
      <w:lvlJc w:val="left"/>
      <w:pPr>
        <w:tabs>
          <w:tab w:val="num" w:pos="720"/>
        </w:tabs>
        <w:ind w:left="720" w:hanging="720"/>
      </w:pPr>
      <w:rPr>
        <w:rFonts w:hint="default"/>
      </w:rPr>
    </w:lvl>
  </w:abstractNum>
  <w:abstractNum w:abstractNumId="97">
    <w:nsid w:val="70FF2684"/>
    <w:multiLevelType w:val="multilevel"/>
    <w:tmpl w:val="214CB1FC"/>
    <w:lvl w:ilvl="0">
      <w:start w:val="32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8">
    <w:nsid w:val="71F522BF"/>
    <w:multiLevelType w:val="singleLevel"/>
    <w:tmpl w:val="72C8CCBE"/>
    <w:lvl w:ilvl="0">
      <w:start w:val="4"/>
      <w:numFmt w:val="lowerLetter"/>
      <w:lvlText w:val="%1)"/>
      <w:lvlJc w:val="left"/>
      <w:pPr>
        <w:tabs>
          <w:tab w:val="num" w:pos="1440"/>
        </w:tabs>
        <w:ind w:left="1440" w:hanging="720"/>
      </w:pPr>
      <w:rPr>
        <w:rFonts w:hint="default"/>
      </w:rPr>
    </w:lvl>
  </w:abstractNum>
  <w:abstractNum w:abstractNumId="99">
    <w:nsid w:val="72742540"/>
    <w:multiLevelType w:val="singleLevel"/>
    <w:tmpl w:val="8B32A128"/>
    <w:lvl w:ilvl="0">
      <w:start w:val="1"/>
      <w:numFmt w:val="lowerLetter"/>
      <w:lvlText w:val="%1)"/>
      <w:lvlJc w:val="left"/>
      <w:pPr>
        <w:tabs>
          <w:tab w:val="num" w:pos="1440"/>
        </w:tabs>
        <w:ind w:left="1440" w:hanging="720"/>
      </w:pPr>
      <w:rPr>
        <w:rFonts w:hint="default"/>
      </w:rPr>
    </w:lvl>
  </w:abstractNum>
  <w:abstractNum w:abstractNumId="100">
    <w:nsid w:val="729B6D88"/>
    <w:multiLevelType w:val="multilevel"/>
    <w:tmpl w:val="14D241A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01">
    <w:nsid w:val="733471BD"/>
    <w:multiLevelType w:val="multilevel"/>
    <w:tmpl w:val="87D6866A"/>
    <w:lvl w:ilvl="0">
      <w:start w:val="259"/>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
    <w:nsid w:val="73F14523"/>
    <w:multiLevelType w:val="singleLevel"/>
    <w:tmpl w:val="2214CE84"/>
    <w:lvl w:ilvl="0">
      <w:start w:val="2"/>
      <w:numFmt w:val="lowerLetter"/>
      <w:lvlText w:val="%1)"/>
      <w:lvlJc w:val="left"/>
      <w:pPr>
        <w:tabs>
          <w:tab w:val="num" w:pos="1080"/>
        </w:tabs>
        <w:ind w:left="1080" w:hanging="360"/>
      </w:pPr>
      <w:rPr>
        <w:rFonts w:hint="default"/>
      </w:rPr>
    </w:lvl>
  </w:abstractNum>
  <w:abstractNum w:abstractNumId="103">
    <w:nsid w:val="74511A6B"/>
    <w:multiLevelType w:val="multilevel"/>
    <w:tmpl w:val="D4EC237A"/>
    <w:lvl w:ilvl="0">
      <w:start w:val="251"/>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75383256"/>
    <w:multiLevelType w:val="multilevel"/>
    <w:tmpl w:val="A36C0690"/>
    <w:lvl w:ilvl="0">
      <w:start w:val="23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79475D4B"/>
    <w:multiLevelType w:val="multilevel"/>
    <w:tmpl w:val="A904947A"/>
    <w:lvl w:ilvl="0">
      <w:start w:val="219"/>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6">
    <w:nsid w:val="798C31FF"/>
    <w:multiLevelType w:val="singleLevel"/>
    <w:tmpl w:val="9124BEB2"/>
    <w:lvl w:ilvl="0">
      <w:start w:val="1"/>
      <w:numFmt w:val="lowerLetter"/>
      <w:lvlText w:val="%1)"/>
      <w:lvlJc w:val="left"/>
      <w:pPr>
        <w:tabs>
          <w:tab w:val="num" w:pos="720"/>
        </w:tabs>
        <w:ind w:left="720" w:hanging="720"/>
      </w:pPr>
      <w:rPr>
        <w:rFonts w:hint="default"/>
      </w:rPr>
    </w:lvl>
  </w:abstractNum>
  <w:abstractNum w:abstractNumId="107">
    <w:nsid w:val="7C97717B"/>
    <w:multiLevelType w:val="multilevel"/>
    <w:tmpl w:val="886AC086"/>
    <w:lvl w:ilvl="0">
      <w:start w:val="33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8">
    <w:nsid w:val="7E1C3AD0"/>
    <w:multiLevelType w:val="multilevel"/>
    <w:tmpl w:val="0B7AC978"/>
    <w:lvl w:ilvl="0">
      <w:start w:val="21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48"/>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100"/>
  </w:num>
  <w:num w:numId="13">
    <w:abstractNumId w:val="12"/>
  </w:num>
  <w:num w:numId="14">
    <w:abstractNumId w:val="14"/>
  </w:num>
  <w:num w:numId="15">
    <w:abstractNumId w:val="6"/>
  </w:num>
  <w:num w:numId="16">
    <w:abstractNumId w:val="94"/>
  </w:num>
  <w:num w:numId="17">
    <w:abstractNumId w:val="86"/>
  </w:num>
  <w:num w:numId="18">
    <w:abstractNumId w:val="96"/>
  </w:num>
  <w:num w:numId="19">
    <w:abstractNumId w:val="11"/>
  </w:num>
  <w:num w:numId="20">
    <w:abstractNumId w:val="78"/>
  </w:num>
  <w:num w:numId="21">
    <w:abstractNumId w:val="98"/>
  </w:num>
  <w:num w:numId="22">
    <w:abstractNumId w:val="34"/>
  </w:num>
  <w:num w:numId="23">
    <w:abstractNumId w:val="66"/>
  </w:num>
  <w:num w:numId="24">
    <w:abstractNumId w:val="99"/>
  </w:num>
  <w:num w:numId="25">
    <w:abstractNumId w:val="93"/>
  </w:num>
  <w:num w:numId="26">
    <w:abstractNumId w:val="26"/>
  </w:num>
  <w:num w:numId="27">
    <w:abstractNumId w:val="60"/>
  </w:num>
  <w:num w:numId="28">
    <w:abstractNumId w:val="102"/>
  </w:num>
  <w:num w:numId="29">
    <w:abstractNumId w:val="33"/>
  </w:num>
  <w:num w:numId="30">
    <w:abstractNumId w:val="55"/>
  </w:num>
  <w:num w:numId="31">
    <w:abstractNumId w:val="90"/>
  </w:num>
  <w:num w:numId="32">
    <w:abstractNumId w:val="54"/>
  </w:num>
  <w:num w:numId="33">
    <w:abstractNumId w:val="77"/>
  </w:num>
  <w:num w:numId="34">
    <w:abstractNumId w:val="37"/>
  </w:num>
  <w:num w:numId="35">
    <w:abstractNumId w:val="87"/>
  </w:num>
  <w:num w:numId="36">
    <w:abstractNumId w:val="106"/>
  </w:num>
  <w:num w:numId="37">
    <w:abstractNumId w:val="23"/>
  </w:num>
  <w:num w:numId="38">
    <w:abstractNumId w:val="67"/>
  </w:num>
  <w:num w:numId="39">
    <w:abstractNumId w:val="25"/>
  </w:num>
  <w:num w:numId="40">
    <w:abstractNumId w:val="29"/>
  </w:num>
  <w:num w:numId="41">
    <w:abstractNumId w:val="7"/>
  </w:num>
  <w:num w:numId="42">
    <w:abstractNumId w:val="21"/>
  </w:num>
  <w:num w:numId="43">
    <w:abstractNumId w:val="36"/>
  </w:num>
  <w:num w:numId="44">
    <w:abstractNumId w:val="38"/>
  </w:num>
  <w:num w:numId="45">
    <w:abstractNumId w:val="108"/>
  </w:num>
  <w:num w:numId="46">
    <w:abstractNumId w:val="82"/>
  </w:num>
  <w:num w:numId="47">
    <w:abstractNumId w:val="105"/>
  </w:num>
  <w:num w:numId="48">
    <w:abstractNumId w:val="53"/>
  </w:num>
  <w:num w:numId="49">
    <w:abstractNumId w:val="70"/>
  </w:num>
  <w:num w:numId="50">
    <w:abstractNumId w:val="51"/>
  </w:num>
  <w:num w:numId="51">
    <w:abstractNumId w:val="74"/>
  </w:num>
  <w:num w:numId="52">
    <w:abstractNumId w:val="18"/>
  </w:num>
  <w:num w:numId="53">
    <w:abstractNumId w:val="52"/>
  </w:num>
  <w:num w:numId="54">
    <w:abstractNumId w:val="104"/>
  </w:num>
  <w:num w:numId="55">
    <w:abstractNumId w:val="8"/>
  </w:num>
  <w:num w:numId="56">
    <w:abstractNumId w:val="57"/>
  </w:num>
  <w:num w:numId="57">
    <w:abstractNumId w:val="58"/>
  </w:num>
  <w:num w:numId="58">
    <w:abstractNumId w:val="84"/>
  </w:num>
  <w:num w:numId="59">
    <w:abstractNumId w:val="68"/>
  </w:num>
  <w:num w:numId="60">
    <w:abstractNumId w:val="41"/>
  </w:num>
  <w:num w:numId="61">
    <w:abstractNumId w:val="81"/>
  </w:num>
  <w:num w:numId="62">
    <w:abstractNumId w:val="103"/>
  </w:num>
  <w:num w:numId="63">
    <w:abstractNumId w:val="64"/>
  </w:num>
  <w:num w:numId="64">
    <w:abstractNumId w:val="9"/>
  </w:num>
  <w:num w:numId="65">
    <w:abstractNumId w:val="44"/>
  </w:num>
  <w:num w:numId="66">
    <w:abstractNumId w:val="79"/>
  </w:num>
  <w:num w:numId="67">
    <w:abstractNumId w:val="32"/>
  </w:num>
  <w:num w:numId="68">
    <w:abstractNumId w:val="50"/>
  </w:num>
  <w:num w:numId="69">
    <w:abstractNumId w:val="76"/>
  </w:num>
  <w:num w:numId="70">
    <w:abstractNumId w:val="101"/>
  </w:num>
  <w:num w:numId="71">
    <w:abstractNumId w:val="95"/>
  </w:num>
  <w:num w:numId="72">
    <w:abstractNumId w:val="15"/>
  </w:num>
  <w:num w:numId="73">
    <w:abstractNumId w:val="22"/>
  </w:num>
  <w:num w:numId="74">
    <w:abstractNumId w:val="63"/>
  </w:num>
  <w:num w:numId="75">
    <w:abstractNumId w:val="89"/>
  </w:num>
  <w:num w:numId="76">
    <w:abstractNumId w:val="91"/>
  </w:num>
  <w:num w:numId="77">
    <w:abstractNumId w:val="75"/>
  </w:num>
  <w:num w:numId="78">
    <w:abstractNumId w:val="19"/>
  </w:num>
  <w:num w:numId="79">
    <w:abstractNumId w:val="43"/>
  </w:num>
  <w:num w:numId="80">
    <w:abstractNumId w:val="49"/>
  </w:num>
  <w:num w:numId="81">
    <w:abstractNumId w:val="69"/>
  </w:num>
  <w:num w:numId="82">
    <w:abstractNumId w:val="30"/>
  </w:num>
  <w:num w:numId="83">
    <w:abstractNumId w:val="42"/>
  </w:num>
  <w:num w:numId="84">
    <w:abstractNumId w:val="39"/>
  </w:num>
  <w:num w:numId="85">
    <w:abstractNumId w:val="73"/>
  </w:num>
  <w:num w:numId="86">
    <w:abstractNumId w:val="72"/>
  </w:num>
  <w:num w:numId="87">
    <w:abstractNumId w:val="28"/>
  </w:num>
  <w:num w:numId="88">
    <w:abstractNumId w:val="20"/>
  </w:num>
  <w:num w:numId="89">
    <w:abstractNumId w:val="85"/>
  </w:num>
  <w:num w:numId="90">
    <w:abstractNumId w:val="71"/>
  </w:num>
  <w:num w:numId="91">
    <w:abstractNumId w:val="56"/>
  </w:num>
  <w:num w:numId="92">
    <w:abstractNumId w:val="16"/>
  </w:num>
  <w:num w:numId="93">
    <w:abstractNumId w:val="17"/>
  </w:num>
  <w:num w:numId="94">
    <w:abstractNumId w:val="62"/>
  </w:num>
  <w:num w:numId="95">
    <w:abstractNumId w:val="40"/>
  </w:num>
  <w:num w:numId="96">
    <w:abstractNumId w:val="46"/>
  </w:num>
  <w:num w:numId="97">
    <w:abstractNumId w:val="31"/>
  </w:num>
  <w:num w:numId="98">
    <w:abstractNumId w:val="5"/>
  </w:num>
  <w:num w:numId="99">
    <w:abstractNumId w:val="10"/>
  </w:num>
  <w:num w:numId="100">
    <w:abstractNumId w:val="92"/>
  </w:num>
  <w:num w:numId="101">
    <w:abstractNumId w:val="59"/>
  </w:num>
  <w:num w:numId="102">
    <w:abstractNumId w:val="97"/>
  </w:num>
  <w:num w:numId="103">
    <w:abstractNumId w:val="27"/>
  </w:num>
  <w:num w:numId="104">
    <w:abstractNumId w:val="61"/>
  </w:num>
  <w:num w:numId="105">
    <w:abstractNumId w:val="88"/>
  </w:num>
  <w:num w:numId="106">
    <w:abstractNumId w:val="45"/>
  </w:num>
  <w:num w:numId="107">
    <w:abstractNumId w:val="107"/>
  </w:num>
  <w:num w:numId="108">
    <w:abstractNumId w:val="24"/>
  </w:num>
  <w:num w:numId="109">
    <w:abstractNumId w:val="65"/>
  </w:num>
  <w:num w:numId="110">
    <w:abstractNumId w:val="80"/>
  </w:num>
  <w:num w:numId="111">
    <w:abstractNumId w:val="13"/>
  </w:num>
  <w:num w:numId="112">
    <w:abstractNumId w:val="47"/>
  </w:num>
  <w:num w:numId="113">
    <w:abstractNumId w:val="35"/>
  </w:num>
  <w:num w:numId="11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8/2003 10:55 AM"/>
    <w:docVar w:name="DocCategory" w:val="Doc"/>
    <w:docVar w:name="DocType" w:val="Final"/>
    <w:docVar w:name="JobNo" w:val="0342253R"/>
    <w:docVar w:name="OandT" w:val=" "/>
    <w:docVar w:name="Symbol1" w:val="CEDAW/C/LVA/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spacing w:line="240" w:lineRule="auto"/>
      <w:outlineLvl w:val="0"/>
    </w:pPr>
    <w:rPr>
      <w:rFonts w:ascii="Tahoma" w:hAnsi="Tahoma"/>
      <w:b/>
      <w:spacing w:val="0"/>
      <w:w w:val="100"/>
      <w:kern w:val="0"/>
    </w:rPr>
  </w:style>
  <w:style w:type="paragraph" w:styleId="Heading2">
    <w:name w:val="heading 2"/>
    <w:basedOn w:val="Normal"/>
    <w:next w:val="Normal"/>
    <w:qFormat/>
    <w:pPr>
      <w:keepNext/>
      <w:spacing w:line="360" w:lineRule="auto"/>
      <w:jc w:val="center"/>
      <w:outlineLvl w:val="1"/>
    </w:pPr>
    <w:rPr>
      <w:rFonts w:ascii="Tahoma" w:hAnsi="Tahoma"/>
      <w:b/>
      <w:spacing w:val="0"/>
      <w:w w:val="100"/>
      <w:kern w:val="0"/>
    </w:rPr>
  </w:style>
  <w:style w:type="paragraph" w:styleId="Heading3">
    <w:name w:val="heading 3"/>
    <w:basedOn w:val="Normal"/>
    <w:next w:val="Normal"/>
    <w:qFormat/>
    <w:pPr>
      <w:keepNext/>
      <w:spacing w:line="360" w:lineRule="auto"/>
      <w:jc w:val="both"/>
      <w:outlineLvl w:val="2"/>
    </w:pPr>
    <w:rPr>
      <w:rFonts w:ascii="Tahoma" w:hAnsi="Tahoma"/>
      <w:b/>
      <w:spacing w:val="0"/>
      <w:w w:val="100"/>
      <w:kern w:val="0"/>
    </w:rPr>
  </w:style>
  <w:style w:type="paragraph" w:styleId="Heading4">
    <w:name w:val="heading 4"/>
    <w:basedOn w:val="Normal"/>
    <w:next w:val="Normal"/>
    <w:qFormat/>
    <w:pPr>
      <w:keepNext/>
      <w:spacing w:line="360" w:lineRule="auto"/>
      <w:jc w:val="both"/>
      <w:outlineLvl w:val="3"/>
    </w:pPr>
    <w:rPr>
      <w:rFonts w:ascii="Tahoma" w:hAnsi="Tahoma"/>
      <w:spacing w:val="0"/>
      <w:w w:val="100"/>
      <w:kern w:val="0"/>
      <w:u w:val="single"/>
    </w:rPr>
  </w:style>
  <w:style w:type="paragraph" w:styleId="Heading5">
    <w:name w:val="heading 5"/>
    <w:basedOn w:val="Normal"/>
    <w:next w:val="Normal"/>
    <w:qFormat/>
    <w:pPr>
      <w:keepNext/>
      <w:spacing w:line="360" w:lineRule="auto"/>
      <w:outlineLvl w:val="4"/>
    </w:pPr>
    <w:rPr>
      <w:rFonts w:ascii="Tahoma" w:hAnsi="Tahoma"/>
      <w:spacing w:val="0"/>
      <w:w w:val="100"/>
      <w:kern w:val="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Ch">
    <w:name w:val="_ H _Ch"/>
    <w:basedOn w:val="H1"/>
    <w:next w:val="SingleTxt"/>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OC1">
    <w:name w:val="toc 1"/>
    <w:basedOn w:val="Normal"/>
    <w:next w:val="Normal"/>
    <w:autoRedefine/>
    <w:semiHidden/>
    <w:pPr>
      <w:spacing w:before="120" w:after="120" w:line="240" w:lineRule="auto"/>
    </w:pPr>
    <w:rPr>
      <w:b/>
      <w:caps/>
      <w:spacing w:val="0"/>
      <w:w w:val="100"/>
      <w:kern w:val="0"/>
      <w:lang w:val="en-US"/>
    </w:rPr>
  </w:style>
  <w:style w:type="paragraph" w:styleId="BodyText">
    <w:name w:val="Body Text"/>
    <w:basedOn w:val="Normal"/>
    <w:semiHidden/>
    <w:pPr>
      <w:spacing w:line="360" w:lineRule="auto"/>
      <w:jc w:val="both"/>
    </w:pPr>
    <w:rPr>
      <w:rFonts w:ascii="Tahoma" w:hAnsi="Tahoma"/>
      <w:spacing w:val="0"/>
      <w:w w:val="100"/>
      <w:kern w:val="0"/>
    </w:rPr>
  </w:style>
  <w:style w:type="paragraph" w:styleId="BodyText2">
    <w:name w:val="Body Text 2"/>
    <w:basedOn w:val="Normal"/>
    <w:semiHidden/>
    <w:pPr>
      <w:spacing w:line="240" w:lineRule="auto"/>
      <w:jc w:val="both"/>
    </w:pPr>
    <w:rPr>
      <w:rFonts w:ascii="Tahoma" w:hAnsi="Tahoma"/>
      <w:spacing w:val="0"/>
      <w:w w:val="100"/>
      <w:kern w:val="0"/>
      <w:u w:val="single"/>
    </w:rPr>
  </w:style>
  <w:style w:type="paragraph" w:styleId="BodyText3">
    <w:name w:val="Body Text 3"/>
    <w:basedOn w:val="Normal"/>
    <w:semiHidden/>
    <w:pPr>
      <w:spacing w:line="240" w:lineRule="auto"/>
    </w:pPr>
    <w:rPr>
      <w:rFonts w:ascii="Tahoma" w:hAnsi="Tahoma"/>
      <w:spacing w:val="0"/>
      <w:w w:val="100"/>
      <w:kern w:val="0"/>
      <w:sz w:val="16"/>
    </w:rPr>
  </w:style>
  <w:style w:type="paragraph" w:styleId="BodyTextIndent">
    <w:name w:val="Body Text Indent"/>
    <w:basedOn w:val="Normal"/>
    <w:semiHidden/>
    <w:pPr>
      <w:spacing w:line="360" w:lineRule="auto"/>
      <w:ind w:left="720"/>
      <w:jc w:val="both"/>
    </w:pPr>
    <w:rPr>
      <w:rFonts w:ascii="Tahoma" w:hAnsi="Tahoma"/>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31553</Words>
  <Characters>208254</Characters>
  <Application>Microsoft Office Word</Application>
  <DocSecurity>4</DocSecurity>
  <Lines>5628</Lines>
  <Paragraphs>2192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249272</CharactersWithSpaces>
  <SharedDoc>false</SharedDoc>
  <HLinks>
    <vt:vector size="6" baseType="variant">
      <vt:variant>
        <vt:i4>4522087</vt:i4>
      </vt:variant>
      <vt:variant>
        <vt:i4>495800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2003-09-03T07:28:00Z</cp:lastPrinted>
  <dcterms:created xsi:type="dcterms:W3CDTF">2003-09-05T19:05:00Z</dcterms:created>
  <dcterms:modified xsi:type="dcterms:W3CDTF">2003-09-05T19:09:00Z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0342253</vt:lpwstr>
  </property>
  <property fmtid="{D5CDD505-2E9C-101B-9397-08002B2CF9AE}" pid="3" name="Symbol1">
    <vt:lpwstr>CEDAW/C/LVA/1-3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91</vt:lpwstr>
  </property>
  <property fmtid="{D5CDD505-2E9C-101B-9397-08002B2CF9AE}" pid="8" name="Operator">
    <vt:lpwstr>Shibanova</vt:lpwstr>
  </property>
</Properties>
</file>