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321859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3B2BADA" w14:textId="77777777" w:rsidR="002D5AAC" w:rsidRPr="00E70000" w:rsidRDefault="002D5AAC" w:rsidP="00AB62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AB7174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D04258F" w14:textId="17A7235B" w:rsidR="002D5AAC" w:rsidRDefault="00AB6217" w:rsidP="00AB6217">
            <w:pPr>
              <w:jc w:val="right"/>
            </w:pPr>
            <w:r w:rsidRPr="00AB6217">
              <w:rPr>
                <w:sz w:val="40"/>
              </w:rPr>
              <w:t>CERD</w:t>
            </w:r>
            <w:r>
              <w:t>/C/ECU/CO/25</w:t>
            </w:r>
          </w:p>
        </w:tc>
      </w:tr>
      <w:tr w:rsidR="002D5AAC" w:rsidRPr="00DB63DC" w14:paraId="5D9D427A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0FA762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F7861D8" wp14:editId="784E947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95423A" w14:textId="77777777" w:rsidR="002D5AAC" w:rsidRPr="00033EE1" w:rsidRDefault="002B74B1" w:rsidP="00DF6F2D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32DE57" w14:textId="77777777" w:rsidR="002D5AAC" w:rsidRPr="00AB6217" w:rsidRDefault="00AB6217" w:rsidP="008D2AAD">
            <w:pPr>
              <w:spacing w:before="240"/>
              <w:rPr>
                <w:lang w:val="en-US"/>
              </w:rPr>
            </w:pPr>
            <w:r w:rsidRPr="00AB6217">
              <w:rPr>
                <w:lang w:val="en-US"/>
              </w:rPr>
              <w:t>Distr.: General</w:t>
            </w:r>
          </w:p>
          <w:p w14:paraId="59CDDCE0" w14:textId="77777777" w:rsidR="00AB6217" w:rsidRPr="00AB6217" w:rsidRDefault="00AB6217" w:rsidP="00AB6217">
            <w:pPr>
              <w:spacing w:line="240" w:lineRule="exact"/>
              <w:rPr>
                <w:lang w:val="en-US"/>
              </w:rPr>
            </w:pPr>
            <w:r w:rsidRPr="00AB6217">
              <w:rPr>
                <w:lang w:val="en-US"/>
              </w:rPr>
              <w:t>23 December 2024</w:t>
            </w:r>
          </w:p>
          <w:p w14:paraId="52E85E96" w14:textId="77777777" w:rsidR="00AB6217" w:rsidRPr="00AB6217" w:rsidRDefault="00AB6217" w:rsidP="00AB6217">
            <w:pPr>
              <w:spacing w:line="240" w:lineRule="exact"/>
              <w:rPr>
                <w:lang w:val="en-US"/>
              </w:rPr>
            </w:pPr>
            <w:r w:rsidRPr="00AB6217">
              <w:rPr>
                <w:lang w:val="en-US"/>
              </w:rPr>
              <w:t>Russian</w:t>
            </w:r>
          </w:p>
          <w:p w14:paraId="681A8CED" w14:textId="7CE012AD" w:rsidR="00AB6217" w:rsidRPr="00AB6217" w:rsidRDefault="00AB6217" w:rsidP="00AB6217">
            <w:pPr>
              <w:spacing w:line="240" w:lineRule="exact"/>
              <w:rPr>
                <w:lang w:val="en-US"/>
              </w:rPr>
            </w:pPr>
            <w:r w:rsidRPr="00AB6217">
              <w:rPr>
                <w:lang w:val="en-US"/>
              </w:rPr>
              <w:t>Original: Spanish</w:t>
            </w:r>
          </w:p>
        </w:tc>
      </w:tr>
    </w:tbl>
    <w:p w14:paraId="3C1F57ED" w14:textId="77777777" w:rsidR="00AB6217" w:rsidRPr="00AB6217" w:rsidRDefault="00AB6217" w:rsidP="00AB6217">
      <w:pPr>
        <w:spacing w:before="120"/>
        <w:rPr>
          <w:b/>
          <w:sz w:val="24"/>
          <w:szCs w:val="24"/>
        </w:rPr>
      </w:pPr>
      <w:r w:rsidRPr="00AB6217">
        <w:rPr>
          <w:b/>
          <w:bCs/>
          <w:sz w:val="24"/>
          <w:szCs w:val="24"/>
        </w:rPr>
        <w:t>Комитет по ликвидации расовой дискриминации</w:t>
      </w:r>
    </w:p>
    <w:p w14:paraId="197CE96E" w14:textId="77777777" w:rsidR="00AB6217" w:rsidRPr="000138E9" w:rsidRDefault="00AB6217" w:rsidP="00AB6217">
      <w:pPr>
        <w:pStyle w:val="HChG"/>
        <w:rPr>
          <w:b w:val="0"/>
          <w:sz w:val="24"/>
        </w:rPr>
      </w:pPr>
      <w:r>
        <w:tab/>
      </w:r>
      <w:r>
        <w:tab/>
      </w:r>
      <w:r>
        <w:rPr>
          <w:bCs/>
        </w:rPr>
        <w:t>Заключительные замечания по двадцать пятому периодическому докладу Эквадора</w:t>
      </w:r>
      <w:r w:rsidRPr="0075110D">
        <w:rPr>
          <w:rStyle w:val="aa"/>
          <w:b w:val="0"/>
          <w:bCs/>
          <w:sz w:val="20"/>
          <w:szCs w:val="28"/>
          <w:vertAlign w:val="baseline"/>
          <w:lang w:eastAsia="en-US"/>
        </w:rPr>
        <w:footnoteReference w:customMarkFollows="1" w:id="1"/>
        <w:t>*</w:t>
      </w:r>
    </w:p>
    <w:p w14:paraId="6813DBA1" w14:textId="4BCE372F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1.</w:t>
      </w:r>
      <w:r>
        <w:tab/>
        <w:t>Комитет рассмотрел двадцать пятый периодический доклад Эквадора</w:t>
      </w:r>
      <w:r w:rsidRPr="00A37C06">
        <w:rPr>
          <w:rStyle w:val="aa"/>
        </w:rPr>
        <w:footnoteReference w:id="2"/>
      </w:r>
      <w:r>
        <w:t xml:space="preserve"> на своих 3111-м и 3113-м заседаниях</w:t>
      </w:r>
      <w:r w:rsidRPr="00A37C06">
        <w:rPr>
          <w:rStyle w:val="aa"/>
        </w:rPr>
        <w:footnoteReference w:id="3"/>
      </w:r>
      <w:r>
        <w:t xml:space="preserve">, состоявшихся 26 и 27 ноября 2024 года. На своем </w:t>
      </w:r>
      <w:r w:rsidR="0075110D">
        <w:br/>
      </w:r>
      <w:r>
        <w:t>3128-м заседании, состоявшемся 9 декабря 2024 года, он принял настоящие заключительные замечания.</w:t>
      </w:r>
    </w:p>
    <w:p w14:paraId="5CDD91F1" w14:textId="77777777" w:rsidR="00AB6217" w:rsidRPr="000138E9" w:rsidRDefault="00AB6217" w:rsidP="00AB621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3B34BE51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2.</w:t>
      </w:r>
      <w:r>
        <w:tab/>
        <w:t>Комитет приветствует представление двадцать пятого периодического доклада государства-участника. Комитет c удовлетворением отмечает конструктивный диалог, состоявшийся с делегацией государства-участника, и выражает благодарность за дополнительную информацию, представленную в письменном виде по завершению диалога.</w:t>
      </w:r>
    </w:p>
    <w:p w14:paraId="7175F540" w14:textId="77777777" w:rsidR="00AB6217" w:rsidRPr="000138E9" w:rsidRDefault="00AB6217" w:rsidP="00AB621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554E918F" w14:textId="761E5DAA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3.</w:t>
      </w:r>
      <w:r>
        <w:tab/>
        <w:t>Комитет приветствует ратификацию государством-участником</w:t>
      </w:r>
      <w:r w:rsidRPr="00912019">
        <w:t xml:space="preserve"> </w:t>
      </w:r>
      <w:r>
        <w:t>в сентябре 2018</w:t>
      </w:r>
      <w:r w:rsidR="00E70000">
        <w:rPr>
          <w:lang w:val="en-US"/>
        </w:rPr>
        <w:t> </w:t>
      </w:r>
      <w:r>
        <w:t>года Факультативного протокола к Конвенции о правах ребенка, касающегося процедуры сообщений.</w:t>
      </w:r>
    </w:p>
    <w:p w14:paraId="4232F7C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4.</w:t>
      </w:r>
      <w:r>
        <w:tab/>
        <w:t>Комитет с удовлетворением отмечает также ратификацию государством-участником следующих международных договоров по правам человека:</w:t>
      </w:r>
    </w:p>
    <w:p w14:paraId="3858B5E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a)</w:t>
      </w:r>
      <w:r>
        <w:tab/>
        <w:t xml:space="preserve">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 (Соглашение </w:t>
      </w:r>
      <w:proofErr w:type="spellStart"/>
      <w:r>
        <w:t>Эскаcу</w:t>
      </w:r>
      <w:proofErr w:type="spellEnd"/>
      <w:r>
        <w:t xml:space="preserve">), 2020 год; </w:t>
      </w:r>
    </w:p>
    <w:p w14:paraId="3E466D1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b)</w:t>
      </w:r>
      <w:r>
        <w:tab/>
        <w:t xml:space="preserve">Межамериканской конвенции против расизма, расовой дискриминации и связанных с ними форм нетерпимости, на основании Исполнительного указа № 942 от 10 декабря 2019 года. </w:t>
      </w:r>
    </w:p>
    <w:p w14:paraId="2ED45BA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5.</w:t>
      </w:r>
      <w:r>
        <w:tab/>
        <w:t>Кроме того, Комитет приветствует принятие государством-участником следующих законодательных и институциональных мер, а также мер государственной политики:</w:t>
      </w:r>
    </w:p>
    <w:p w14:paraId="23CD146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a)</w:t>
      </w:r>
      <w:r>
        <w:tab/>
        <w:t>принятие Положения о порядке применения Органического закона об Управлении Народного защитника, на основании Исполнительного указа № 134 от 2024 года;</w:t>
      </w:r>
    </w:p>
    <w:p w14:paraId="0D936046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lastRenderedPageBreak/>
        <w:t>b)</w:t>
      </w:r>
      <w:r>
        <w:tab/>
        <w:t>принятие Органического закона, регулирующего законное применение силы, 2022 год;</w:t>
      </w:r>
    </w:p>
    <w:p w14:paraId="69E11626" w14:textId="05FC2811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c)</w:t>
      </w:r>
      <w:r>
        <w:tab/>
        <w:t xml:space="preserve">утверждение Протокола проведения межкультурного диалога в судебной системе и Руководства по механизмам координации и сотрудничества между органами правосудия коренных народов и обычной системой правосудия в </w:t>
      </w:r>
      <w:proofErr w:type="spellStart"/>
      <w:r>
        <w:t>межюрисдикционных</w:t>
      </w:r>
      <w:proofErr w:type="spellEnd"/>
      <w:r>
        <w:t xml:space="preserve"> разбирательствах, на основании постановления Совета </w:t>
      </w:r>
      <w:r w:rsidR="00E70000" w:rsidRPr="00DB63DC">
        <w:br/>
      </w:r>
      <w:r>
        <w:t>судей № 53 от 2023 года;</w:t>
      </w:r>
    </w:p>
    <w:p w14:paraId="7B1B9CE6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d)</w:t>
      </w:r>
      <w:r>
        <w:tab/>
        <w:t xml:space="preserve">создание специального подразделения Генеральной прокуратуры по расследованию случаев незаконного применения силы, 2022 год; </w:t>
      </w:r>
    </w:p>
    <w:p w14:paraId="6D5F0F6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e)</w:t>
      </w:r>
      <w:r>
        <w:tab/>
        <w:t>принятие Национальной программы по обеспечению равенства в рамках мобильности населения (2021–2025 годы);</w:t>
      </w:r>
    </w:p>
    <w:p w14:paraId="72DDBE66" w14:textId="7E9DA698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f)</w:t>
      </w:r>
      <w:r>
        <w:tab/>
        <w:t>осуществление Национального плана развития «Вся жизнь» («</w:t>
      </w:r>
      <w:proofErr w:type="spellStart"/>
      <w:r>
        <w:t>Toda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Vida</w:t>
      </w:r>
      <w:proofErr w:type="spellEnd"/>
      <w:r>
        <w:t>») на 2017–2021 годы;</w:t>
      </w:r>
    </w:p>
    <w:p w14:paraId="3FDE37E1" w14:textId="6FCFD0AD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g)</w:t>
      </w:r>
      <w:r>
        <w:tab/>
        <w:t>внесение изменений в Органический закон о выборах и политических организациях Республики Эквадор (Кодекс демократии), 2020 год;</w:t>
      </w:r>
    </w:p>
    <w:p w14:paraId="4B12911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h)</w:t>
      </w:r>
      <w:r>
        <w:tab/>
        <w:t>принятие Органического закона о предотвращении и наказании насилия в спорте, 2019 год;</w:t>
      </w:r>
    </w:p>
    <w:p w14:paraId="225453A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i)</w:t>
      </w:r>
      <w:r>
        <w:tab/>
        <w:t>Органический закон о коммуникации, 2019 год;</w:t>
      </w:r>
    </w:p>
    <w:p w14:paraId="181B028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>
        <w:t>j)</w:t>
      </w:r>
      <w:r>
        <w:tab/>
        <w:t xml:space="preserve">принятие в 2019 году постановления № 077-DPE-CGAJ-2019 о Положениях, регулирующих поощрение и защиту Управлением Народного защитника прав правозащитников и защитников природы в числе прочих мер, упомянутых в настоящих заключительных замечаниях. </w:t>
      </w:r>
    </w:p>
    <w:p w14:paraId="5F3C66A8" w14:textId="77777777" w:rsidR="00AB6217" w:rsidRPr="000138E9" w:rsidRDefault="00AB6217" w:rsidP="00AB621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2B3B19AB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Статистические данные</w:t>
      </w:r>
    </w:p>
    <w:p w14:paraId="15547869" w14:textId="65203F46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6.</w:t>
      </w:r>
      <w:r>
        <w:tab/>
        <w:t xml:space="preserve">Комитет принимает к сведению представленные государством-участником в ходе диалога статистические данные, которые были получены в результате переписи населения 2022 года, и которые отражают следующий состав населения: 77,46 </w:t>
      </w:r>
      <w:r w:rsidR="0075110D">
        <w:t>%</w:t>
      </w:r>
      <w:r>
        <w:t xml:space="preserve"> </w:t>
      </w:r>
      <w:r w:rsidR="0075110D">
        <w:t>—</w:t>
      </w:r>
      <w:r>
        <w:t xml:space="preserve"> лица смешанных рас, 7,68 </w:t>
      </w:r>
      <w:r w:rsidR="0075110D">
        <w:t>%</w:t>
      </w:r>
      <w:r>
        <w:t xml:space="preserve"> </w:t>
      </w:r>
      <w:r w:rsidR="0075110D">
        <w:t xml:space="preserve">— </w:t>
      </w:r>
      <w:r>
        <w:t xml:space="preserve">лица, принадлежащие к коренным народам, 4,80 </w:t>
      </w:r>
      <w:r w:rsidR="0075110D">
        <w:t>%</w:t>
      </w:r>
      <w:r>
        <w:t xml:space="preserve"> </w:t>
      </w:r>
      <w:r w:rsidR="0075110D">
        <w:t>—</w:t>
      </w:r>
      <w:r>
        <w:t xml:space="preserve"> лица африканского происхождения, 7,70 </w:t>
      </w:r>
      <w:r w:rsidR="0075110D">
        <w:t>%</w:t>
      </w:r>
      <w:r>
        <w:t xml:space="preserve"> </w:t>
      </w:r>
      <w:r w:rsidR="0075110D">
        <w:t>—</w:t>
      </w:r>
      <w:r w:rsidR="00E70000">
        <w:t xml:space="preserve"> </w:t>
      </w:r>
      <w:proofErr w:type="spellStart"/>
      <w:r>
        <w:t>монтувио</w:t>
      </w:r>
      <w:proofErr w:type="spellEnd"/>
      <w:r>
        <w:t xml:space="preserve">, 2,21 </w:t>
      </w:r>
      <w:r w:rsidR="0075110D">
        <w:t>%</w:t>
      </w:r>
      <w:r>
        <w:t xml:space="preserve"> </w:t>
      </w:r>
      <w:r w:rsidR="0075110D">
        <w:t>—</w:t>
      </w:r>
      <w:r>
        <w:t xml:space="preserve"> </w:t>
      </w:r>
      <w:r w:rsidRPr="00912019">
        <w:t>белые граждане</w:t>
      </w:r>
      <w:r>
        <w:t xml:space="preserve"> и 0,11 </w:t>
      </w:r>
      <w:r w:rsidR="0075110D">
        <w:t>%</w:t>
      </w:r>
      <w:r>
        <w:t xml:space="preserve"> </w:t>
      </w:r>
      <w:r w:rsidR="0075110D">
        <w:t>—</w:t>
      </w:r>
      <w:r>
        <w:t xml:space="preserve"> другие лица. Однако он сожалеет об отсутствии дезагрегированных статистических данных, которые позволили бы всесторонне оценить осуществление прав и условия жизни традиционно подвергающихся дискриминации групп населения. Кроме того, Комитет обеспокоен сообщениями об институциональных, методологических и технических ограничениях, имевших место в процессе переписи 2022 года, особенно в том, что касается самоидентификации и участия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 xml:space="preserve">, что ставит под сомнение качество и репрезентативность собранной информации. Он также обеспокоен сообщениями о статистических расхождениях в отношении лиц африканского происхождения, которые составляли 4,9 </w:t>
      </w:r>
      <w:r w:rsidR="0075110D">
        <w:t>%</w:t>
      </w:r>
      <w:r>
        <w:t xml:space="preserve"> населения по итогам переписи 2000 года, 7,2 </w:t>
      </w:r>
      <w:r w:rsidR="0075110D">
        <w:t>%</w:t>
      </w:r>
      <w:r>
        <w:t xml:space="preserve"> по итогам переписи 2010 года и 4,80 </w:t>
      </w:r>
      <w:r w:rsidR="0075110D">
        <w:t>%</w:t>
      </w:r>
      <w:r>
        <w:t xml:space="preserve"> по итогам переписи 2022 года, что не соответствует прогнозам региональных агентств по демографическому планированию. </w:t>
      </w:r>
    </w:p>
    <w:p w14:paraId="649C0BF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7.</w:t>
      </w:r>
      <w:r>
        <w:tab/>
      </w:r>
      <w:r>
        <w:rPr>
          <w:b/>
          <w:bCs/>
        </w:rPr>
        <w:t>Комитет призывает государство-участник улучшить сбор всеобъемлющих и точных демографических статистических данных, обеспечив применение принципа самоидентификации, осуществлять сбор социально-экономических данных в разбивке по расовой принадлежности, цвету кожи, происхождению и этнической принадлежности и применять показатели соблюдения прав человека для оценки осуществления прав, закрепленных в Конвенции.</w:t>
      </w:r>
      <w:r>
        <w:t xml:space="preserve"> </w:t>
      </w:r>
      <w:r>
        <w:rPr>
          <w:b/>
          <w:bCs/>
        </w:rPr>
        <w:t xml:space="preserve">В связи с этим он призывает государство-участник пересмотреть категории для самоидентификации в консультации с коренными народами, лицами африканского происхождения, народом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и организациями </w:t>
      </w:r>
      <w:r>
        <w:rPr>
          <w:b/>
          <w:bCs/>
        </w:rPr>
        <w:lastRenderedPageBreak/>
        <w:t>гражданского общества, с тем чтобы обеспечить сбор точных и репрезентативных статистических данных, которые позволят ему разработать соответствующую государственную политику и программы в интересах групп населения, подвергающихся расовой дискриминации, и оценить ход осуществления Конвенции в отношении групп, составляющих общество.</w:t>
      </w:r>
      <w:r>
        <w:t xml:space="preserve"> </w:t>
      </w:r>
      <w:r>
        <w:rPr>
          <w:b/>
          <w:bCs/>
        </w:rPr>
        <w:t>Кроме того, он рекомендует государству-участнику продолжать процессы контроля и проверки в отношении переписи 2022 года, своевременно выполняя рекомендации, сформулированные в ходе этих процессов.</w:t>
      </w:r>
      <w:r>
        <w:t xml:space="preserve"> </w:t>
      </w:r>
    </w:p>
    <w:p w14:paraId="5183E8EF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Правовые рамки для борьбы с расовой дискриминацией</w:t>
      </w:r>
    </w:p>
    <w:p w14:paraId="4C8BE95F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8.</w:t>
      </w:r>
      <w:r>
        <w:tab/>
        <w:t xml:space="preserve">Комитет принимает к сведению положения Конституции 2008 года, в которых закреплены принципы равенства и недискриминации, а также коллективные права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>. Однако он обеспокоен отсутствием конкретного законодательства, направленного на борьбу с расовой дискриминацией и обеспечение эффективного осуществления признанных коллективных прав. Кроме того, Комитет сожалеет по поводу ограниченного исполнения решений Конституционного суда, касающихся положений, закрепленных в Конвенции (статьи 1 и 2).</w:t>
      </w:r>
    </w:p>
    <w:p w14:paraId="2E84C57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6984BE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всеобъемлющее антидискриминационное законодательство, которое бы содержало четкое определение расовой дискриминации в соответствии со статьей 1 Конвенции, эксплицитно запрещающее прямую, косвенную и перекрестную дискриминацию в государственном и частном секторах, и в этой связи учитывать Практическое руководство по разработке комплексного антидискриминационного законодательства</w:t>
      </w:r>
      <w:r w:rsidRPr="0037533F">
        <w:rPr>
          <w:rStyle w:val="aa"/>
          <w:rFonts w:cstheme="majorBidi"/>
        </w:rPr>
        <w:footnoteReference w:id="4"/>
      </w:r>
      <w:r>
        <w:rPr>
          <w:b/>
          <w:bCs/>
        </w:rPr>
        <w:t>;</w:t>
      </w:r>
    </w:p>
    <w:p w14:paraId="0BA4EFC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в консультации с коренными народами, лицами африканского происхождения и народом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принять законодательство и нормативные акты, четко кодифицирующие коллективные права общин, народов и народностей и предусматривающие ясные механизмы для их защиты в судебном порядке;</w:t>
      </w:r>
      <w:r>
        <w:t xml:space="preserve"> </w:t>
      </w:r>
    </w:p>
    <w:p w14:paraId="518F7FB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эффективное и своевременное исполнение всех решений Конституционного суда, касающихся положений Конвенции.</w:t>
      </w:r>
    </w:p>
    <w:p w14:paraId="09240BFE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Национальный совет по вопросам равенства народов и народностей</w:t>
      </w:r>
    </w:p>
    <w:p w14:paraId="46ECC7B2" w14:textId="6D5BFE14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10.</w:t>
      </w:r>
      <w:r>
        <w:tab/>
        <w:t xml:space="preserve">Комитет отмечает создание Национального совета по вопросам равенства народов и народностей. Однако он обеспокоен сообщениями о недостатках в его структуре, в частности в том, что касается реального и прямого представительства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 xml:space="preserve"> и уважения их автономии, а также отсутствием механизмов совместного принятия решений в соответствии с принципами многообразия национальностей и межкультурного взаимодействия. Кроме того, он обеспокоен отмеченными институциональными и оперативными недостатками, а также нехваткой финансовых, людских и технических ресурсов, которые препятствуют эффективному выполнению его мандата (статьи 1 </w:t>
      </w:r>
      <w:r w:rsidR="0075110D">
        <w:br/>
      </w:r>
      <w:r>
        <w:t>и 2).</w:t>
      </w:r>
    </w:p>
    <w:p w14:paraId="04B5C8E4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E8826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в консультации с коренными народами, лицами африканского происхождения и народом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укрепить механизмы их представительства и участия в работе Национального совета по вопросам равенства народов и народностей, обеспечив уважение их автономии и наличие механизмов </w:t>
      </w:r>
      <w:r>
        <w:rPr>
          <w:b/>
          <w:bCs/>
        </w:rPr>
        <w:lastRenderedPageBreak/>
        <w:t>совместного принятия решений в соответствии с принципами многообразия национальностей и межкультурного взаимодействия;</w:t>
      </w:r>
    </w:p>
    <w:p w14:paraId="0EDFB6BC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укрепить финансовый, кадровый и технический потенциал Национального совета по вопросам равенства народов и народностей, с тем чтобы обеспечить эффективное выполнение им своего мандата при разработке государственной политики, направленной на борьбу с расизмом и структурной дискриминацией.</w:t>
      </w:r>
    </w:p>
    <w:p w14:paraId="377213CD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Преступления на почве ненависти и расовая дискриминация</w:t>
      </w:r>
    </w:p>
    <w:p w14:paraId="2E6E809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12.</w:t>
      </w:r>
      <w:r>
        <w:tab/>
        <w:t xml:space="preserve">Комитет принимает к сведению положения статей 176 и 177 Всеобъемлющего органического уголовного кодекса, предусматривающие уголовную ответственность за акты дискриминации и ненависти, а также статистические данные о жалобах, зарегистрированных в соответствии с этими положениями. Он принимает также к сведению разъяснения государства-участника, которое объясняет низкий уровень судебного преследования по таким делам применением принципа </w:t>
      </w:r>
      <w:proofErr w:type="spellStart"/>
      <w:r>
        <w:t>ultima</w:t>
      </w:r>
      <w:proofErr w:type="spellEnd"/>
      <w:r>
        <w:t xml:space="preserve"> </w:t>
      </w:r>
      <w:proofErr w:type="spellStart"/>
      <w:r>
        <w:t>ratio</w:t>
      </w:r>
      <w:proofErr w:type="spellEnd"/>
      <w:r>
        <w:t xml:space="preserve"> в отношении уголовного права и тем, что приоритет отдается более гибким и эффективным механизмам, не связанным с уголовным преследованием, для обеспечения возмещения ущерба и защиты прав. Вместе с тем Комитет обеспокоен тем, что вышеупомянутые уголовные положения не охватывают в полной мере деяния, предусмотренные в статье 4 Конвенции. Кроме того, он обеспокоен сообщениями о том, что преступления, связанные с расовой дискриминацией, разжиганием расовой ненависти и преступлениями на почве ненависти, часто не выявляются, не регистрируются, не преследуются в судебном порядке и не рассматриваются должным образом (статья 4). </w:t>
      </w:r>
    </w:p>
    <w:p w14:paraId="60479730" w14:textId="2069EE11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13.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37533F">
        <w:rPr>
          <w:rStyle w:val="aa"/>
        </w:rPr>
        <w:footnoteReference w:id="5"/>
      </w:r>
      <w:r>
        <w:rPr>
          <w:b/>
          <w:bCs/>
        </w:rPr>
        <w:t>, в частности</w:t>
      </w:r>
      <w:r w:rsidR="00E70000">
        <w:rPr>
          <w:b/>
          <w:bCs/>
        </w:rPr>
        <w:t xml:space="preserve"> </w:t>
      </w:r>
      <w:r>
        <w:rPr>
          <w:b/>
          <w:bCs/>
        </w:rPr>
        <w:t>о своей общей рекомендации № 15 (1993) по статье 4 Конвенции и своей общей рекомендации № 7 (1985) относительно осуществления статьи 4 Конвенции, в которых устанавливается обязательный характер всех положений статьи 4 Конвенции и подчеркиваются ее превентивные аспекты в отношении ликвидации расизма и расовой дискриминации.</w:t>
      </w:r>
      <w:r>
        <w:t xml:space="preserve"> </w:t>
      </w:r>
      <w:r>
        <w:rPr>
          <w:b/>
          <w:bCs/>
        </w:rPr>
        <w:t>В этой связи Комитет призывает государство-участник:</w:t>
      </w:r>
    </w:p>
    <w:p w14:paraId="357FFC15" w14:textId="26DFDF0B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внести изменения в положения Всеобъемлющего органического уголовного кодекса с целью запрещения всех деяний, предусмотренных в статье</w:t>
      </w:r>
      <w:r w:rsidR="00E70000">
        <w:rPr>
          <w:b/>
          <w:bCs/>
          <w:lang w:val="en-US"/>
        </w:rPr>
        <w:t> </w:t>
      </w:r>
      <w:r>
        <w:rPr>
          <w:b/>
          <w:bCs/>
        </w:rPr>
        <w:t>4 Конвенции;</w:t>
      </w:r>
    </w:p>
    <w:p w14:paraId="09F67DD6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усилить программы подготовки сотрудников полиции, прокуратуры и других правоохранительных органов по вопросам выявления, регистрации и рассмотрения случаев расовой дискриминации, разжигания расовой ненависти и преступлений на почве ненависти при участии организаций гражданского общества, работающих в этой области, и представителей затрагиваемых общин;</w:t>
      </w:r>
    </w:p>
    <w:p w14:paraId="504623C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при участии представителей затрагиваемых общин оценить состояние каналов подачи жалоб на расовую дискриминацию, разжигание расовой ненависти и преступления на почве ненависти, с тем чтобы проверить и гарантировать наличие таких каналов и их доступность для лиц, уязвимых к расовой дискриминации, в частности для коренных народов,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лиц африканского происхождения и мигрантов;</w:t>
      </w:r>
      <w:r>
        <w:t xml:space="preserve"> </w:t>
      </w:r>
    </w:p>
    <w:p w14:paraId="2DD85DF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проводить среди населения информационно-просветительские кампании, посвященные закрепленным в Конвенции правам, а также разъяснению того, как подавать жалобы на расовую дискриминацию, разжигание расовой ненависти и преступления на почве ненависти.</w:t>
      </w:r>
    </w:p>
    <w:p w14:paraId="609AB00A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Чрезвычайное положение</w:t>
      </w:r>
      <w:r>
        <w:t xml:space="preserve"> </w:t>
      </w:r>
    </w:p>
    <w:p w14:paraId="29605683" w14:textId="114047CF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14.</w:t>
      </w:r>
      <w:r>
        <w:tab/>
        <w:t xml:space="preserve">Комитет признает, что государство-участник сталкивается со сложными проблемами, связанными с обеспечением безопасности и насилием. В связи с этим он </w:t>
      </w:r>
      <w:r>
        <w:lastRenderedPageBreak/>
        <w:t xml:space="preserve">принимает к сведению объявление 8 января 2024 года чрезвычайного положения на всей территории страны «в связи с серьезными внутренними беспорядками» с последующим привлечением вооруженных сил к выполнению задач по обеспечению общественной безопасности, которое впоследствии было ограничено конкретными районами страны. Кроме того, он принимает к сведению введение с 9 января 2024 года режима чрезвычайного положения в связи с «внутренним вооруженным конфликтом». Вместе с тем Комитет сожалеет по поводу отсутствия информации о мерах, принятых для выполнения постановлений Конституционного суда, в которых был сделан вывод о необоснованности решения о введении режима чрезвычайного положения, выходящего за рамки обычных конституционных механизмов и якобы оправданного существованием внутреннего вооруженного конфликта. Кроме того, Комитет обеспокоен сообщениями о негативном воздействии чрезвычайного положения и милитаризации системы общественной безопасности на основные права и свободы, особенно коренных народов, лиц африканского происхождения, народа </w:t>
      </w:r>
      <w:proofErr w:type="spellStart"/>
      <w:r>
        <w:t>монтувио</w:t>
      </w:r>
      <w:proofErr w:type="spellEnd"/>
      <w:r>
        <w:t xml:space="preserve"> и мигрантов (статьи 2 и 5).</w:t>
      </w:r>
    </w:p>
    <w:p w14:paraId="6FE3A22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ACF8AD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правила, регулирующие чрезвычайное положение, соответствовали международным обязательствам в области прав человека, включая принципы законности, необходимости и соразмерности, подлежали судебному пересмотру и соответствовали Конвенции;</w:t>
      </w:r>
    </w:p>
    <w:p w14:paraId="570EB65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гарантировать, чтобы меры, принимаемые для решения проблем, связанных с обеспечением безопасности и насилием, были в первую очередь направлены на предотвращение, расследование и наказание правонарушений на основе правозащитного подхода;</w:t>
      </w:r>
    </w:p>
    <w:p w14:paraId="6A753B8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решение задач по охране общественного порядка и поддержанию общественной безопасности силами гражданской полиции в качестве общего правила и привлекать к выполнению этих задач военнослужащих только в случае крайней необходимости и на исключительной, временной и дополнительной основе при полном соблюдении международных стандартов в области прав человека;</w:t>
      </w:r>
    </w:p>
    <w:p w14:paraId="2E7AB9A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решать любые проблемы, возникающие в связи с участием вооруженных сил в выполнении задач по обеспечению общественной безопасности, и проводить тщательные, беспристрастные и эффективные расследования по всем жалобам на злоупотребления и насилие со стороны военных, обеспечивая, чтобы жертвы имели доступ к эффективным средствам судебной защиты и получали надлежащую защиту и возмещение ущерба, а виновные должным образом привлекались к ответственности и наказывались с учетом тяжести совершенных ими преступлений.</w:t>
      </w:r>
    </w:p>
    <w:p w14:paraId="35307024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Структурная дискриминация в отношении отдельных народов и народностей</w:t>
      </w:r>
    </w:p>
    <w:p w14:paraId="1E4AEB53" w14:textId="3F670B7E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16.</w:t>
      </w:r>
      <w:r>
        <w:tab/>
        <w:t xml:space="preserve">Комитет отмечает усилия государства-участника по борьбе со структурной дискриминацией, включая Национальный план развития «Вся жизнь» на </w:t>
      </w:r>
      <w:r w:rsidR="0075110D">
        <w:br/>
      </w:r>
      <w:r>
        <w:t xml:space="preserve">2017–2021 годы и Национальную повестку дня по обеспечению равенства народов и народностей. Однако он по-прежнему обеспокоен сохраняющимся экономическим неравенством, высоким уровнем нищеты, социальной изоляцией и препятствиями, с которыми сталкиваются коренные народы, лица африканского происхождения и народ </w:t>
      </w:r>
      <w:proofErr w:type="spellStart"/>
      <w:r>
        <w:t>монтувио</w:t>
      </w:r>
      <w:proofErr w:type="spellEnd"/>
      <w:r>
        <w:t xml:space="preserve"> при получении доступа к занятости, здравоохранению и достойным условиям жизни (статьи 2 и 5).</w:t>
      </w:r>
    </w:p>
    <w:p w14:paraId="3B32854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17.</w:t>
      </w:r>
      <w:r>
        <w:tab/>
      </w:r>
      <w:r>
        <w:rPr>
          <w:b/>
          <w:bCs/>
        </w:rPr>
        <w:t>Ссылаясь на свою общую рекомендацию № 32 (2009) о значении и сфере применения особых мер в Конвенции, Комитет рекомендует государству-участнику:</w:t>
      </w:r>
    </w:p>
    <w:p w14:paraId="1C2EC7A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активизировать усилия по искоренению институциональной и структурной дискриминации в отношении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путем принятия конкретных позитивных мер и эффективной реализации государственной политики, адаптированной к их </w:t>
      </w:r>
      <w:r>
        <w:rPr>
          <w:b/>
          <w:bCs/>
        </w:rPr>
        <w:lastRenderedPageBreak/>
        <w:t>потребностям и направленной на устранение неравенства и улучшение их социально-экономического положения;</w:t>
      </w:r>
    </w:p>
    <w:p w14:paraId="49AD747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принять всеобъемлющую национальную политику по борьбе с расовой дискриминацией, предусматривающую принятие национального плана по борьбе с расизмом и дискриминацией, при эффективном участии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через Национальный совет по вопросам равенства народов и народностей;</w:t>
      </w:r>
    </w:p>
    <w:p w14:paraId="1E5987D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обеспечить коренным народам, лицам африканского происхождения и народу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доступ к рынку труда без какой-либо дискриминации, а также, как в законодательстве, так и на практике, справедливые и удовлетворительные условия труда и доступ к социальному обеспечению;</w:t>
      </w:r>
    </w:p>
    <w:p w14:paraId="6BBD2D0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гарантировать наличие доступных и приемлемых медицинских услуг и пособий, уделяя особое внимание потребностям, традициям и культурным особенностям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в особенности женщин, девочек и девушек-подростков.</w:t>
      </w:r>
    </w:p>
    <w:p w14:paraId="537645C8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Право на консультации и свободное, предварительное и осознанное согласие</w:t>
      </w:r>
    </w:p>
    <w:p w14:paraId="7B5FDF7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18.</w:t>
      </w:r>
      <w:r>
        <w:tab/>
        <w:t>Комитет вновь выражает обеспокоенность</w:t>
      </w:r>
      <w:r w:rsidRPr="00A37C06">
        <w:rPr>
          <w:rStyle w:val="aa"/>
        </w:rPr>
        <w:footnoteReference w:id="6"/>
      </w:r>
      <w:r>
        <w:t xml:space="preserve"> в связи с полученной информацией о выдаче лицензий на осуществление проектов по добыче полезных ископаемых и предпринимательских проектов на землях и территориях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 xml:space="preserve"> без проведения предварительных систематических консультаций для получения их свободного, предварительного и осознанного согласия (статьи 2 и 5).</w:t>
      </w:r>
    </w:p>
    <w:p w14:paraId="280C17C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19.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37533F">
        <w:rPr>
          <w:rStyle w:val="aa"/>
        </w:rPr>
        <w:footnoteReference w:id="7"/>
      </w:r>
      <w:r>
        <w:rPr>
          <w:b/>
          <w:bCs/>
        </w:rPr>
        <w:t xml:space="preserve"> о праве на консультации и свободное, предварительное и осознанное согласие и призывает государство-участник:</w:t>
      </w:r>
      <w:r>
        <w:t xml:space="preserve"> </w:t>
      </w:r>
    </w:p>
    <w:p w14:paraId="72F9987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в консультации с коренными народами, лицами африканского происхождения и народом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разработать и ввести в действие закон и соответствующие протоколы, четко устанавливающие требования в отношении проведения предварительных консультаций и представительства этих народов и гарантирующие полное соблюдение их права на свободное, предварительное и осознанное согласие при принятии затрагивающих их решений;</w:t>
      </w:r>
    </w:p>
    <w:p w14:paraId="6C5BFA21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 в соответствии с международными стандартами проведение на систематической основе предварительных консультаций для получения свободного, предварительного и осознанного согласия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до выдачи лицензий на эксплуатацию природных ресурсов и предпринимательскую деятельность на землях и территориях, которыми они традиционно владеют, занимают или используют.</w:t>
      </w:r>
    </w:p>
    <w:p w14:paraId="1F97B49C" w14:textId="41E126D9" w:rsidR="00AB6217" w:rsidRPr="000138E9" w:rsidRDefault="0075110D" w:rsidP="0075110D">
      <w:pPr>
        <w:pStyle w:val="H23G"/>
      </w:pPr>
      <w:r>
        <w:tab/>
      </w:r>
      <w:r>
        <w:tab/>
      </w:r>
      <w:r w:rsidR="00AB6217">
        <w:t xml:space="preserve">Последствия осуществления проектов по добыче полезных ископаемых </w:t>
      </w:r>
      <w:r>
        <w:br/>
      </w:r>
      <w:r w:rsidR="00AB6217">
        <w:t xml:space="preserve">и других видов </w:t>
      </w:r>
      <w:r w:rsidR="00AB6217" w:rsidRPr="0075110D">
        <w:t>предпринимательской</w:t>
      </w:r>
      <w:r w:rsidR="00AB6217">
        <w:t xml:space="preserve"> деятельности </w:t>
      </w:r>
    </w:p>
    <w:p w14:paraId="19F87873" w14:textId="6F91FAD1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20.</w:t>
      </w:r>
      <w:r>
        <w:tab/>
        <w:t>Комитет по-прежнему обеспокоен</w:t>
      </w:r>
      <w:r w:rsidRPr="00A37C06">
        <w:rPr>
          <w:rStyle w:val="aa"/>
        </w:rPr>
        <w:footnoteReference w:id="8"/>
      </w:r>
      <w:r>
        <w:t xml:space="preserve"> последствиями осуществления проектов по эксплуатации природных ресурсов, в том числе в сфере добычи полезных ископаемых, </w:t>
      </w:r>
      <w:proofErr w:type="spellStart"/>
      <w:r>
        <w:t>агропромышленности</w:t>
      </w:r>
      <w:proofErr w:type="spellEnd"/>
      <w:r>
        <w:t xml:space="preserve"> и лесозаготовок, которые наносят ущерб окружающей среде, вызывая, например, деградацию почв и загрязнение воды, и делают еще более уязвимыми местные общины, особенно общины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 xml:space="preserve">. Он особенно обеспокоен сообщениями о непроведении полной оценки воздействия на окружающую среду и отсутствии надлежащих процедур предварительных консультаций для получения свободного, предварительного и осознанного согласия в рамках проектов по добыче полезных </w:t>
      </w:r>
      <w:r>
        <w:lastRenderedPageBreak/>
        <w:t xml:space="preserve">ископаемых в таких месторождениях, как </w:t>
      </w:r>
      <w:proofErr w:type="spellStart"/>
      <w:r>
        <w:t>Курипамба</w:t>
      </w:r>
      <w:proofErr w:type="spellEnd"/>
      <w:r>
        <w:t>-Эль-</w:t>
      </w:r>
      <w:proofErr w:type="spellStart"/>
      <w:r>
        <w:t>Домо</w:t>
      </w:r>
      <w:proofErr w:type="spellEnd"/>
      <w:r>
        <w:t xml:space="preserve">, Ла-Плата, </w:t>
      </w:r>
      <w:proofErr w:type="spellStart"/>
      <w:r>
        <w:t>Мирадор</w:t>
      </w:r>
      <w:proofErr w:type="spellEnd"/>
      <w:r>
        <w:t xml:space="preserve">, Рио-Бланко и Сан-Карлос </w:t>
      </w:r>
      <w:proofErr w:type="spellStart"/>
      <w:r>
        <w:t>Панантца</w:t>
      </w:r>
      <w:proofErr w:type="spellEnd"/>
      <w:r>
        <w:t>. Кроме того, Комитет выражает обеспокоенность по поводу сообщений об отсутствии гарантий права владения землей и о перемещении населения в связи с осуществлением проектов по добыче полезных ископаемых и предпринимательской деятельностью, например, в случаях с компаниями «</w:t>
      </w:r>
      <w:proofErr w:type="spellStart"/>
      <w:r>
        <w:t>Фрута</w:t>
      </w:r>
      <w:proofErr w:type="spellEnd"/>
      <w:r>
        <w:t xml:space="preserve"> дель </w:t>
      </w:r>
      <w:proofErr w:type="spellStart"/>
      <w:r>
        <w:t>норте</w:t>
      </w:r>
      <w:proofErr w:type="spellEnd"/>
      <w:r>
        <w:t xml:space="preserve">» и «Энерджи &amp; Пальма». Комитет обеспокоен также сообщениями о привлечении военных и применении силы при реализации Исполнительного </w:t>
      </w:r>
      <w:r w:rsidR="0075110D">
        <w:br/>
      </w:r>
      <w:r>
        <w:t>указа № 754, а также о криминализации и преследовании правозащитников в связи с осуществлением проектов по добыче полезных ископаемых и предпринимательской деятельностью (статьи 2 и 5).</w:t>
      </w:r>
      <w:r w:rsidR="00E70000">
        <w:t xml:space="preserve"> </w:t>
      </w:r>
    </w:p>
    <w:p w14:paraId="6C319AF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21.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37533F">
        <w:rPr>
          <w:rStyle w:val="aa"/>
        </w:rPr>
        <w:footnoteReference w:id="9"/>
      </w:r>
      <w:r>
        <w:rPr>
          <w:b/>
          <w:bCs/>
        </w:rPr>
        <w:t xml:space="preserve"> и настоятельно призывает государство-участник:</w:t>
      </w:r>
    </w:p>
    <w:p w14:paraId="46129846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гарантировать проявление компаниями, работающими под его юрисдикцией, должной осмотрительности в вопросах прав человека для предотвращения нарушений прав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а также исполнение судебных решений, касающихся их деятельности;</w:t>
      </w:r>
      <w:r>
        <w:t xml:space="preserve"> </w:t>
      </w:r>
    </w:p>
    <w:p w14:paraId="5268853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проведение беспристрастными и независимыми органами исследований и оценок социальных, экологических, культурных и правозащитных последствий осуществления проектов по разработке и эксплуатации природных ресурсов до выдачи лицензий на эту деятельность;</w:t>
      </w:r>
    </w:p>
    <w:p w14:paraId="0ECBED1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обеспечить защиту коллективных прав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на владение и пользование своими землями, территориями и ресурсами, их развитие и контроль над ними в условиях полной безопасности и в соответствии с международными стандартами </w:t>
      </w:r>
      <w:r w:rsidRPr="00A439C4">
        <w:rPr>
          <w:b/>
          <w:bCs/>
        </w:rPr>
        <w:t>в условиях засилья</w:t>
      </w:r>
      <w:r>
        <w:rPr>
          <w:b/>
          <w:bCs/>
        </w:rPr>
        <w:t xml:space="preserve"> внешних субъектов, занимающихся эксплуатацией природных ресурсов;</w:t>
      </w:r>
    </w:p>
    <w:p w14:paraId="40528DB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усилить меры по защите водных ресурсов, включая поверхностные, подземные и трансграничные воды, от воздействия горнодобывающей деятельности и деятельности агропромышленного сектора для защиты средств к существованию и права на здоровье общин, проживающих ниже по течению рек;</w:t>
      </w:r>
    </w:p>
    <w:p w14:paraId="3A12F4C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 xml:space="preserve">обеспечить, гарантировав соблюдение права на свободное, предварительное и осознанное согласие, проведение консультаций с коренными народами, народом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и лицами африканского происхождения, которых затрагивают проекты по добыче полезных ископаемых и предпринимательская деятельность, получение ими компенсации за причиненный ущерб или понесенные убытки и предоставление им возможности пользоваться выгодами от такой деятельности;</w:t>
      </w:r>
    </w:p>
    <w:p w14:paraId="04454D9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положить конец практике привлечения военных и применения силы в контексте осуществления проектов по добыче полезных ископаемых и предпринимательской деятельности;</w:t>
      </w:r>
    </w:p>
    <w:p w14:paraId="71BE3E6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принимать меры для проведения оперативных, тщательных и беспристрастных расследований всех сообщений о преследовании, запугивании и репрессиях со стороны сотрудников правоохранительных органов и вооруженных сил и обеспечивать привлечение виновных к ответственности.</w:t>
      </w:r>
    </w:p>
    <w:p w14:paraId="2A6D814A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Участие в политической жизни</w:t>
      </w:r>
    </w:p>
    <w:p w14:paraId="4605B57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22.</w:t>
      </w:r>
      <w:r>
        <w:tab/>
        <w:t xml:space="preserve">Комитет обеспокоен тем, что, несмотря на принятые меры, включая реформу Кодекса демократии, участие и представленность лиц, принадлежащих к отдельным народам и народностям, в политической жизни государства-участника, в особенности женщин из числа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>, по-прежнему носят ограниченный характер (статьи 2 и 5).</w:t>
      </w:r>
    </w:p>
    <w:p w14:paraId="640EADC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lastRenderedPageBreak/>
        <w:t>23.</w:t>
      </w:r>
      <w:r>
        <w:tab/>
      </w:r>
      <w:r>
        <w:rPr>
          <w:b/>
          <w:bCs/>
        </w:rPr>
        <w:t xml:space="preserve">Комитет рекомендует государству-участнику принимать эффективные меры для обеспечения полноценного участия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в государственных делах, в частности женщин из числа коренных народов, лиц африканского происхождения и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как на руководящих должностях, так и в представительных учреждениях на всех уровнях государственного управления.</w:t>
      </w:r>
      <w:r>
        <w:t xml:space="preserve"> </w:t>
      </w:r>
    </w:p>
    <w:p w14:paraId="222DA38E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Право на участие в ведении государственных дел</w:t>
      </w:r>
    </w:p>
    <w:p w14:paraId="4BE84684" w14:textId="22990391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24.</w:t>
      </w:r>
      <w:r>
        <w:tab/>
        <w:t>Комитет принимает к сведению создание Комитета по реализации Народной Инициативы «</w:t>
      </w:r>
      <w:proofErr w:type="spellStart"/>
      <w:r>
        <w:t>Ясуни</w:t>
      </w:r>
      <w:proofErr w:type="spellEnd"/>
      <w:r>
        <w:t xml:space="preserve"> ИТТ». Однако он выражает обеспокоенность по поводу сообщений о трудностях, связанных с полноценной реализацией на практике результатов референдума по вопросу об эксплуатации блока 43-ITT, который состоялся в августе 2023 года. Он также обеспокоен сообщениями о социальных конфликтах в зонах воздействия блока 43-ITT (</w:t>
      </w:r>
      <w:proofErr w:type="spellStart"/>
      <w:r>
        <w:t>Ишпинго</w:t>
      </w:r>
      <w:proofErr w:type="spellEnd"/>
      <w:r>
        <w:t xml:space="preserve">, </w:t>
      </w:r>
      <w:proofErr w:type="spellStart"/>
      <w:r>
        <w:t>Типутини</w:t>
      </w:r>
      <w:proofErr w:type="spellEnd"/>
      <w:r>
        <w:t xml:space="preserve"> и </w:t>
      </w:r>
      <w:proofErr w:type="spellStart"/>
      <w:r>
        <w:t>Тамбокоча</w:t>
      </w:r>
      <w:proofErr w:type="spellEnd"/>
      <w:r>
        <w:t>), исключением представителей затронутых коренных общин из состава Комитета по реализации Народной Инициативы «</w:t>
      </w:r>
      <w:proofErr w:type="spellStart"/>
      <w:r>
        <w:t>Ясуни</w:t>
      </w:r>
      <w:proofErr w:type="spellEnd"/>
      <w:r>
        <w:t xml:space="preserve"> ИТТ» и проблемами, связанными с обеспечением защиты прав коренных народов, находящихся в добровольной изоляции или на стадии первоначального контакта (статьи 2 и 5). </w:t>
      </w:r>
    </w:p>
    <w:p w14:paraId="28E61E2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F209797" w14:textId="6FC66823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принять все необходимые меры для полноценной реализации на практике результатов референдума по вопросу о запрете нефтедобычи в Национальном парке </w:t>
      </w:r>
      <w:proofErr w:type="spellStart"/>
      <w:r>
        <w:rPr>
          <w:b/>
          <w:bCs/>
        </w:rPr>
        <w:t>Ясуни</w:t>
      </w:r>
      <w:proofErr w:type="spellEnd"/>
      <w:r>
        <w:rPr>
          <w:b/>
          <w:bCs/>
        </w:rPr>
        <w:t xml:space="preserve"> с целью защиты прав коренных народов, особенно коренных народов, находящихся в добровольной изоляции или на стадии первоначального контакта;</w:t>
      </w:r>
    </w:p>
    <w:p w14:paraId="40643D45" w14:textId="2AC45E6A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гарантировать эффективное участие представителей коренных народов, в частности народа </w:t>
      </w:r>
      <w:proofErr w:type="spellStart"/>
      <w:r>
        <w:rPr>
          <w:b/>
          <w:bCs/>
        </w:rPr>
        <w:t>ваорани</w:t>
      </w:r>
      <w:proofErr w:type="spellEnd"/>
      <w:r>
        <w:rPr>
          <w:b/>
          <w:bCs/>
        </w:rPr>
        <w:t>, в реализации результатов референдума и в работе Комитета по реализации Народной Инициативы «</w:t>
      </w:r>
      <w:proofErr w:type="spellStart"/>
      <w:r>
        <w:rPr>
          <w:b/>
          <w:bCs/>
        </w:rPr>
        <w:t>Ясуни</w:t>
      </w:r>
      <w:proofErr w:type="spellEnd"/>
      <w:r>
        <w:rPr>
          <w:b/>
          <w:bCs/>
        </w:rPr>
        <w:t xml:space="preserve"> ИТТ»;</w:t>
      </w:r>
    </w:p>
    <w:p w14:paraId="608F497F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усилить в безотлагательном порядке меры по защите прав коренных народов, находящихся в добровольной изоляции или на стадии первоначального контакта, от последствий нефтедобычи путем проявления должной осмотрительности в вопросах прав человека и принятия мер по возмещению нанесенного ущерба.</w:t>
      </w:r>
    </w:p>
    <w:p w14:paraId="74036746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Право на труд</w:t>
      </w:r>
    </w:p>
    <w:p w14:paraId="419DD5FA" w14:textId="38FF3D12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26.</w:t>
      </w:r>
      <w:r>
        <w:tab/>
        <w:t>Комитет выражает глубокую обеспокоенность в связи с сообщениями о практике эксплуатации, такой как трудовая эксплуатация или принудительный и кабальный труд, особенно в периферийных и сельских районах. В частности, он обеспокоен сообщениями об инцидентах, связанных с компанией «</w:t>
      </w:r>
      <w:proofErr w:type="spellStart"/>
      <w:r>
        <w:t>Фурукава</w:t>
      </w:r>
      <w:proofErr w:type="spellEnd"/>
      <w:r>
        <w:t xml:space="preserve">», которые в основном затрагивают население африканского происхождения в провинциях </w:t>
      </w:r>
      <w:proofErr w:type="spellStart"/>
      <w:r>
        <w:t>Эсмеральдас</w:t>
      </w:r>
      <w:proofErr w:type="spellEnd"/>
      <w:r>
        <w:t>, Санто-Доминго-де-лос-</w:t>
      </w:r>
      <w:proofErr w:type="spellStart"/>
      <w:r>
        <w:t>Тсачилас</w:t>
      </w:r>
      <w:proofErr w:type="spellEnd"/>
      <w:r>
        <w:t xml:space="preserve"> и Лос-</w:t>
      </w:r>
      <w:proofErr w:type="spellStart"/>
      <w:r>
        <w:t>Риос</w:t>
      </w:r>
      <w:proofErr w:type="spellEnd"/>
      <w:r>
        <w:t xml:space="preserve"> (статьи 2 и 5).</w:t>
      </w:r>
    </w:p>
    <w:p w14:paraId="5F26A0E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7F68F0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принимать необходимые меры для предотвращения, расследования и наказания всех случаев принудительного труда и трудовой эксплуатации, обеспечив доступ к эффективным средствам судебной защиты, надлежащую защиту и возмещение ущерба для жертв и должное судебное преследование и наказание виновных, соразмерное тяжести совершенных ими преступлений;</w:t>
      </w:r>
    </w:p>
    <w:p w14:paraId="78DA280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укрепить механизм трудовой инспекции, предоставив ему необходимые финансовые, людские и технические ресурсы для эффективного выполнения своего мандата;</w:t>
      </w:r>
      <w:r>
        <w:t xml:space="preserve"> </w:t>
      </w:r>
    </w:p>
    <w:p w14:paraId="643F8E7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создать эффективные механизмы для сообщения о ненадлежащих условиях труда с учетом уязвимого положения трудящихся в отдельных секторах.</w:t>
      </w:r>
      <w:r>
        <w:t xml:space="preserve"> </w:t>
      </w:r>
    </w:p>
    <w:p w14:paraId="7549E603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lastRenderedPageBreak/>
        <w:t>Право на образование</w:t>
      </w:r>
      <w:r>
        <w:t xml:space="preserve"> </w:t>
      </w:r>
    </w:p>
    <w:p w14:paraId="2F09FF6C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28.</w:t>
      </w:r>
      <w:r>
        <w:tab/>
        <w:t xml:space="preserve">Комитет обеспокоен сохраняющимся неравенством в части доступа к образованию для детей и подростков из числа коренных народов, лиц африканского происхождения и </w:t>
      </w:r>
      <w:proofErr w:type="spellStart"/>
      <w:r>
        <w:t>монтувио</w:t>
      </w:r>
      <w:proofErr w:type="spellEnd"/>
      <w:r>
        <w:t xml:space="preserve">, несмотря на формальную независимость Секретариата двуязычного межкультурного образования и </w:t>
      </w:r>
      <w:proofErr w:type="spellStart"/>
      <w:r>
        <w:t>этнообразования</w:t>
      </w:r>
      <w:proofErr w:type="spellEnd"/>
      <w:r>
        <w:t>, а также высоким уровнем отсева из школ среди этих групп учащихся (статьи 2 и 5).</w:t>
      </w:r>
    </w:p>
    <w:p w14:paraId="2D988F4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BE583C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укрепить независимость Секретариата двуязычного межкультурного образования и </w:t>
      </w:r>
      <w:proofErr w:type="spellStart"/>
      <w:r>
        <w:rPr>
          <w:b/>
          <w:bCs/>
        </w:rPr>
        <w:t>этнообразования</w:t>
      </w:r>
      <w:proofErr w:type="spellEnd"/>
      <w:r>
        <w:rPr>
          <w:b/>
          <w:bCs/>
        </w:rPr>
        <w:t xml:space="preserve">, предоставив ему необходимые финансовые, людские и технические ресурсы для обеспечения образования, адаптированного в культурном и языковом отношении к потребностям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;</w:t>
      </w:r>
    </w:p>
    <w:p w14:paraId="314BD8C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удвоить свои усилия для устранения пробелов в доступе к системе образования и удержания в ней учащихся путем принятия мер по увеличению числа детей, посещающих начальную и среднюю школу, в районах с наибольшей численностью коренных народов, лиц африканского происхождения и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а также путем повышения доступности дошкольного образования, особенно в сельской местности;</w:t>
      </w:r>
    </w:p>
    <w:p w14:paraId="45C8221C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принимать необходимые меры для обеспечения того, чтобы политика в области </w:t>
      </w:r>
      <w:proofErr w:type="spellStart"/>
      <w:r>
        <w:rPr>
          <w:b/>
          <w:bCs/>
        </w:rPr>
        <w:t>этнообразования</w:t>
      </w:r>
      <w:proofErr w:type="spellEnd"/>
      <w:r>
        <w:rPr>
          <w:b/>
          <w:bCs/>
        </w:rPr>
        <w:t xml:space="preserve"> и межкультурного образования способствовала развитию и сохранению культурной самобытности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;</w:t>
      </w:r>
    </w:p>
    <w:p w14:paraId="29D16184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 xml:space="preserve">гарантировать качественное образование с учетом межкультурных аспектов для детей и подростков из числа коренных народов, лиц африканского происхождения и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а также принять меры по улучшению образовательной инфраструктуры, обеспечив доступ к питьевой воде, санитарным удобствам, электричеству и интернету.</w:t>
      </w:r>
    </w:p>
    <w:p w14:paraId="6096DA85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Языки коренных народов</w:t>
      </w:r>
      <w:r>
        <w:t xml:space="preserve"> </w:t>
      </w:r>
    </w:p>
    <w:p w14:paraId="164A0AC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30.</w:t>
      </w:r>
      <w:r>
        <w:tab/>
        <w:t>Отмечая принятие Десятилетнего плана по возрождению и возобновлению использования языков народностей Эквадора, Комитет выражает обеспокоенность в связи с сообщениями о том, что некоторые языки коренных народов находятся под угрозой исчезновения или уже объявлены мертвыми (статьи 2 и 5).</w:t>
      </w:r>
    </w:p>
    <w:p w14:paraId="318CC57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обеспечить возрождение и защиту языков коренных народов путем эффективного осуществления Десятилетнего плана, обеспечив для этого выделение достаточных ресурсов, регулярный мониторинг прогресса и конструктивное участие коренных народов.</w:t>
      </w:r>
    </w:p>
    <w:p w14:paraId="00815203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Положение мигрантов</w:t>
      </w:r>
    </w:p>
    <w:p w14:paraId="7C33EB64" w14:textId="18245233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32.</w:t>
      </w:r>
      <w:r>
        <w:tab/>
        <w:t>Комитет отмечает изменения в законодательстве государства-участника в области мобильности населения и меры, принятые для урегулирования статуса мигрантов, включая Указ № 370 от 2024 года. Однако он обеспокоен тем, что, несмотря на эти успехи, мигранты, особенно граждане Венесуэлы, по-прежнему сталкиваются с препятствиями при получении доступа к занятости, социальному обеспечению, здравоохранению и образованию. Кроме того, Комитет с обеспокоенностью отмечает участившиеся проявления ксенофобии, в результате которых мигранты ассоциируются с отсутствием безопасности (статьи 2 и 5).</w:t>
      </w:r>
    </w:p>
    <w:p w14:paraId="6EDA654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6BFCE1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удвоить усилия по урегулированию статуса лиц, нуждающихся в международной защите, с целью содействия их полной социальной и экономической интеграции;</w:t>
      </w:r>
      <w:r>
        <w:t xml:space="preserve"> </w:t>
      </w:r>
    </w:p>
    <w:p w14:paraId="08D1247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активизировать меры по устранению препятствий на пути получения доступа к здравоохранению и образованию путем проведения в </w:t>
      </w:r>
      <w:r>
        <w:rPr>
          <w:b/>
          <w:bCs/>
        </w:rPr>
        <w:lastRenderedPageBreak/>
        <w:t>сотрудничестве с гражданским обществом информационно-просветительских кампаний и подготовки поставщиков услуг в целях обеспечения инклюзивного характера этих услуг;</w:t>
      </w:r>
      <w:r>
        <w:t xml:space="preserve"> </w:t>
      </w:r>
    </w:p>
    <w:p w14:paraId="5A70FC8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обращение с мигрантами, беженцами и просителями убежища в части доступа к занятости, вознаграждения и условий труда было не менее благоприятным, чем с трудящимися, являющимися гражданами страны, а также гарантировать им доступ к социальному обеспечению;</w:t>
      </w:r>
      <w:r>
        <w:t xml:space="preserve"> </w:t>
      </w:r>
    </w:p>
    <w:p w14:paraId="3B95180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активизировать меры по предупреждению и устранению всех форм дискриминации и ксенофобии в отношении мигрантов, беженцев, лиц без гражданства и просителей убежища.</w:t>
      </w:r>
      <w:r>
        <w:t xml:space="preserve"> </w:t>
      </w:r>
    </w:p>
    <w:p w14:paraId="61C74225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Доступ к правосудию</w:t>
      </w:r>
    </w:p>
    <w:p w14:paraId="3441667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34.</w:t>
      </w:r>
      <w:r>
        <w:tab/>
        <w:t xml:space="preserve">Комитет по-прежнему обеспокоен проблемами, с которыми продолжают сталкиваться представители коренных народов, лица африканского происхождения и народ </w:t>
      </w:r>
      <w:proofErr w:type="spellStart"/>
      <w:r>
        <w:t>монтувио</w:t>
      </w:r>
      <w:proofErr w:type="spellEnd"/>
      <w:r>
        <w:t xml:space="preserve"> при получении доступа к правосудию. В частности, Комитет обеспокоен: </w:t>
      </w:r>
    </w:p>
    <w:p w14:paraId="4C05126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t>a)</w:t>
      </w:r>
      <w:r>
        <w:tab/>
        <w:t>отсутствием надлежащего учета межкультурных аспектов в судебной и пенитенциарной системах, сообщениями о нехватке устных переводчиков, адвокатов и работников системы правосудия, владеющих языками коренных народов и знакомых с их культурой, а также отсутствием дифференцированных мер в отношении лиц из числа коренных народов и лиц африканского происхождения, лишенных свободы;</w:t>
      </w:r>
    </w:p>
    <w:p w14:paraId="79A039E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t>b)</w:t>
      </w:r>
      <w:r>
        <w:tab/>
        <w:t>ограниченным прогрессом в деле принятия проекта органического закона о применении юрисдикции коренных народов в Эквадоре, а также в отношении мер по признанию и уважению системы правосудия коренных народов в соответствии с международным правом прав человека;</w:t>
      </w:r>
    </w:p>
    <w:p w14:paraId="12DA6B7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t>c)</w:t>
      </w:r>
      <w:r>
        <w:tab/>
        <w:t xml:space="preserve">утверждениями о чрезмерном применении силы, произвольных задержаниях, пытках и жестоком, бесчеловечном или унижающем достоинство обращении, внесудебных казнях и несоблюдении надлежащей правовой процедуры в отношении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>, а также мигрантов, в том числе в контексте чрезвычайного положения;</w:t>
      </w:r>
    </w:p>
    <w:p w14:paraId="6059D3E7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t>d)</w:t>
      </w:r>
      <w:r>
        <w:tab/>
        <w:t xml:space="preserve">утверждениями о дифференцированном обращении и недостаточной независимости судебных органов, отсутствии прозрачности, должной осмотрительности и учета культурных особенностей при расследовании и вынесении решений по делам, связанным с правами коренных народов, лиц африканского происхождения и </w:t>
      </w:r>
      <w:proofErr w:type="spellStart"/>
      <w:r>
        <w:t>монтувио</w:t>
      </w:r>
      <w:proofErr w:type="spellEnd"/>
      <w:r>
        <w:t xml:space="preserve"> (статьи 2 и 6). </w:t>
      </w:r>
    </w:p>
    <w:p w14:paraId="712321A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35.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государству-участнику:</w:t>
      </w:r>
    </w:p>
    <w:p w14:paraId="6BCFE51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принимать надлежащие и эффективные меры для обеспечения того, чтобы все жертвы расовой дискриминации имели доступ к эффективным средствам правовой защиты и надлежащему возмещению ущерба и не подвергались преследованию за сообщения о таких правонарушениях;</w:t>
      </w:r>
    </w:p>
    <w:p w14:paraId="21950F0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удвоить свои усилия по учету межкультурных аспектов в системе правосудия, повысить число и доступность устных переводчиков и адвокатов, владеющих языками коренных народов и знакомых с их культурой, и принимать дифференцированные меры в отношении лишенных свободы представителей коренных народов и лиц африканского происхождения;</w:t>
      </w:r>
      <w:r>
        <w:t xml:space="preserve"> </w:t>
      </w:r>
    </w:p>
    <w:p w14:paraId="6E6D7D3D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скорейшее принятие органического закона о применении юрисдикции коренных народов, обеспечив, чтобы его основная цель заключалась в регулировании и приведении функций, компетенций и обязанностей системы правосудия коренных народов в соответствие с обычной системой правосудия, а также обеспечить соблюдение международного права прав человека;</w:t>
      </w:r>
    </w:p>
    <w:p w14:paraId="796A923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>
        <w:rPr>
          <w:b/>
          <w:bCs/>
        </w:rPr>
        <w:lastRenderedPageBreak/>
        <w:t>d)</w:t>
      </w:r>
      <w:r>
        <w:tab/>
      </w:r>
      <w:r>
        <w:rPr>
          <w:b/>
          <w:bCs/>
        </w:rPr>
        <w:t xml:space="preserve">проводить оперативные, тщательные, эффективные и основанные на межкультурном подходе расследования случаев нарушения права на жизнь и личную неприкосновенность, совершенных сотрудниками правоохранительных органов или негосударственными вооруженными группами, а также всех случаев чрезмерного применения силы и произвольного задержания, совершенных в отношении коренных народов, лиц африканского происхождения,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или мигрантов, и обеспечить, чтобы виновные привлекались к ответственности и, в случае осуждения, несли соответствующее наказание;</w:t>
      </w:r>
      <w:r>
        <w:t xml:space="preserve"> </w:t>
      </w:r>
    </w:p>
    <w:p w14:paraId="0878D20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 xml:space="preserve">активизировать подготовку сотрудников правоохранительных органов и органов прокуратуры, юристов, защитников, судей и других работников судебной системы, для того чтобы они могли надлежащим и эффективным образом рассматривать и расследовать любые дела о расовой дискриминации, в частности дела, связанные с </w:t>
      </w:r>
      <w:proofErr w:type="spellStart"/>
      <w:r>
        <w:rPr>
          <w:b/>
          <w:bCs/>
        </w:rPr>
        <w:t>непроявлением</w:t>
      </w:r>
      <w:proofErr w:type="spellEnd"/>
      <w:r>
        <w:rPr>
          <w:b/>
          <w:bCs/>
        </w:rPr>
        <w:t xml:space="preserve"> предприятиями должной осмотрительности в вопросах прав человека, а также проводить кампании по повышению информированности носителей прав об их правах, доступных им средствах правовой защиты и правовом режиме защиты от расовой дискриминации.</w:t>
      </w:r>
      <w:r>
        <w:t xml:space="preserve"> </w:t>
      </w:r>
    </w:p>
    <w:p w14:paraId="1E1F16DD" w14:textId="4AD36F50" w:rsidR="00AB6217" w:rsidRPr="000138E9" w:rsidRDefault="00AB6217" w:rsidP="00AB6217">
      <w:pPr>
        <w:pStyle w:val="H23G"/>
      </w:pPr>
      <w:r>
        <w:tab/>
      </w:r>
      <w:r>
        <w:tab/>
        <w:t>Расовое профилирование и применение силы сотрудниками правоохранительных органов</w:t>
      </w:r>
    </w:p>
    <w:p w14:paraId="29BCE378" w14:textId="685E9FBE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36.</w:t>
      </w:r>
      <w:r>
        <w:tab/>
        <w:t xml:space="preserve">Комитет принимает к сведению представленную государством-участником информацию о нормативно-правовых рамках правоприменительной деятельности. Вместе с тем он обеспокоен сообщениями о том, что полномочия правоохранительных органов по задержанию и проведению обыска в непропорционально большей степени затрагивают лиц африканского происхождения и представителей коренных народов, а внутри этой группы </w:t>
      </w:r>
      <w:r w:rsidR="00FD2CD5" w:rsidRPr="00FD2CD5">
        <w:t>—</w:t>
      </w:r>
      <w:r>
        <w:t xml:space="preserve"> молодых мужчин и подростков. Он обеспокоен также чрезмерным и смертоносным применением силы, отсутствием ответственности и непредоставлением надлежащей поддержки семьям жертв, а также непропорционально высокой долей лиц африканского происхождения в тюрьмах, согласно переписи заключенных 2023 года (статьи 2, 5 и 6).</w:t>
      </w:r>
    </w:p>
    <w:p w14:paraId="4E6F3B80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37.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 и свою общую рекомендацию № 36 (2020) о предупреждении расового профилирования со стороны сотрудников правоохранительных органов и борьбе с ним, Комитет рекомендует государству-участнику:</w:t>
      </w:r>
    </w:p>
    <w:p w14:paraId="1C4A6D3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принимать эффективные меры для обеспечения того, чтобы полномочия по задержанию и проведению обыска осуществлялись законным, непроизвольным и недискриминационным образом, при наличии обоснованных подозрений и с использованием строгих механизмов мониторинга и контроля;</w:t>
      </w:r>
    </w:p>
    <w:p w14:paraId="6E4D07BC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законодательные и иные меры, эксплицитно запрещающие расовое профилирование, и предпринять соответствующие шаги для предотвращения практики расового профилирования со стороны сотрудников полиции, иммиграционных служб и других государственных должностных лиц;</w:t>
      </w:r>
    </w:p>
    <w:p w14:paraId="1C2EA3F2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создать независимый механизм подачи жалоб для расследования всех утверждений о расовом профилировании, проверках и досмотре, а также о чрезмерном применении силы, содействовать подаче жалоб жертвами и гарантировать привлечение виновных к ответственности и назначение им соответствующих наказаний, а также предоставление жертвам доступа к эффективным средствам правовой защиты и надлежащему возмещению ущерба;</w:t>
      </w:r>
    </w:p>
    <w:p w14:paraId="44543D1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надлежащую и непрерывную подготовку сотрудников правоохранительных органов по вопросам прав человека в соответствии с общей рекомендацией № 13 (1993) Комитета о подготовке должностных лиц правоохранительных органов по вопросам защиты прав человека.</w:t>
      </w:r>
    </w:p>
    <w:p w14:paraId="6EB7EAA6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lastRenderedPageBreak/>
        <w:t>Правозащитники</w:t>
      </w:r>
    </w:p>
    <w:p w14:paraId="20B1DFF6" w14:textId="004B781D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38.</w:t>
      </w:r>
      <w:r>
        <w:tab/>
        <w:t>Комитет принимает к сведению меры, принятые государством-участником с целью разработки государственной политики по обеспечению безопасности правозащитников. Однако он по-прежнему обеспокоен</w:t>
      </w:r>
      <w:r w:rsidRPr="00A37C06">
        <w:rPr>
          <w:rStyle w:val="aa"/>
        </w:rPr>
        <w:footnoteReference w:id="10"/>
      </w:r>
      <w:r>
        <w:t xml:space="preserve"> сообщениями об угрозах, нападениях, убийствах, произвольных задержаниях, криминализации и злоупотреблении судебными процедурами в отношении этих лиц, в частности в отношении защитников прав коренных народов, лиц африканского происхождения и народа </w:t>
      </w:r>
      <w:proofErr w:type="spellStart"/>
      <w:r>
        <w:t>монтувио</w:t>
      </w:r>
      <w:proofErr w:type="spellEnd"/>
      <w:r>
        <w:t xml:space="preserve">, отстаивающих их права в контексте проектов по эксплуатации природных ресурсов и предпринимательской деятельности на их территориях </w:t>
      </w:r>
      <w:r w:rsidR="0075110D">
        <w:br/>
      </w:r>
      <w:r>
        <w:t>(статьи 2, 5 и 6).</w:t>
      </w:r>
    </w:p>
    <w:p w14:paraId="62E9AB5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9602E88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принять политику и программу по обеспечению безопасности правозащитников, обеспечив проведение надлежащих консультаций при широком участии представителей коренных народов, лиц африканского происхождения,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и других соответствующих общественных субъектов в процессах их разработки, реализации и мониторинга;</w:t>
      </w:r>
    </w:p>
    <w:p w14:paraId="39E5FB23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оперативно, тщательно и беспристрастно расследовать все заявления о нападениях и репрессиях, запугивании, угрозах и произвольном применении судебных процедур в отношении правозащитников, в частности лиц, защищающих права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.</w:t>
      </w:r>
      <w:r>
        <w:t xml:space="preserve"> </w:t>
      </w:r>
    </w:p>
    <w:p w14:paraId="46E03E7D" w14:textId="77777777" w:rsidR="00AB6217" w:rsidRPr="000138E9" w:rsidRDefault="00AB6217" w:rsidP="00AB6217">
      <w:pPr>
        <w:pStyle w:val="H23G"/>
        <w:tabs>
          <w:tab w:val="left" w:pos="720"/>
        </w:tabs>
        <w:ind w:left="2268"/>
      </w:pPr>
      <w:r>
        <w:rPr>
          <w:bCs/>
        </w:rPr>
        <w:t>Борьба с расовыми предрассудками и стереотипами</w:t>
      </w:r>
    </w:p>
    <w:p w14:paraId="23CA13E9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</w:pPr>
      <w:r>
        <w:t>40.</w:t>
      </w:r>
      <w:r>
        <w:tab/>
        <w:t>Принимая к сведению меры, принятые государством-участником, Комитет вновь выражает свою обеспокоенность</w:t>
      </w:r>
      <w:r w:rsidRPr="00A37C06">
        <w:rPr>
          <w:rStyle w:val="aa"/>
        </w:rPr>
        <w:footnoteReference w:id="11"/>
      </w:r>
      <w:r>
        <w:t xml:space="preserve"> в связи с сообщениями о сохраняющихся в средствах массовой информации проявлениях расовой дискриминации, а также о предрассудках и стереотипах, в частности в отношении лиц африканского происхождения, коренных народов и мигрантов, которых часто связывают с ухудшением ситуации в области безопасности в государстве-участнике, несмотря на отсутствие каких-либо доказательств на этот счет (статья 7).</w:t>
      </w:r>
    </w:p>
    <w:p w14:paraId="1A6A8499" w14:textId="75C376D4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41.</w:t>
      </w:r>
      <w:r>
        <w:tab/>
      </w:r>
      <w:r>
        <w:rPr>
          <w:b/>
          <w:bCs/>
        </w:rPr>
        <w:t>В свете своей общей рекомендации № 35 (2013) о борьбе с ненавистническими высказываниями расистского толка Комитет повторяет свою предыдущую рекомендацию</w:t>
      </w:r>
      <w:r w:rsidRPr="0037533F">
        <w:rPr>
          <w:rStyle w:val="aa"/>
        </w:rPr>
        <w:footnoteReference w:id="12"/>
      </w:r>
      <w:r>
        <w:rPr>
          <w:b/>
          <w:bCs/>
        </w:rPr>
        <w:t xml:space="preserve"> о принятии надлежащих мер по борьбе с расовыми предрассудками в средствах массовой информации.</w:t>
      </w:r>
      <w:r>
        <w:t xml:space="preserve"> </w:t>
      </w:r>
      <w:r>
        <w:rPr>
          <w:b/>
          <w:bCs/>
        </w:rPr>
        <w:t xml:space="preserve">Комитет рекомендует продолжать работу в консультации с коренными народами, эквадорцами африканского происхождения,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 xml:space="preserve"> и мигрантами в целях принятия мер, направленных на усиление социальной роли средств массовой информации, и проводить ориентированные на широкую общественность кампании для борьбы с расовыми предрассудками, которые ведут к расовой дискриминации.</w:t>
      </w:r>
    </w:p>
    <w:p w14:paraId="036DA8D8" w14:textId="77777777" w:rsidR="00AB6217" w:rsidRPr="000138E9" w:rsidRDefault="00AB6217" w:rsidP="00AB6217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20F30FFB" w14:textId="77777777" w:rsidR="00AB6217" w:rsidRPr="000138E9" w:rsidRDefault="00AB6217" w:rsidP="00AB6217">
      <w:pPr>
        <w:pStyle w:val="H23G"/>
      </w:pPr>
      <w:r>
        <w:tab/>
      </w:r>
      <w:r>
        <w:tab/>
      </w:r>
      <w:r>
        <w:tab/>
      </w:r>
      <w:r>
        <w:rPr>
          <w:bCs/>
        </w:rPr>
        <w:t>Последующие действия по реализации Дурбанской декларации и Программы действий</w:t>
      </w:r>
    </w:p>
    <w:p w14:paraId="27B8DBCA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42.</w:t>
      </w:r>
      <w:r>
        <w:tab/>
      </w:r>
      <w:r>
        <w:rPr>
          <w:b/>
          <w:bCs/>
        </w:rPr>
        <w:t xml:space="preserve"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своей национальной правовой системы принимать меры по выполнению Дурбанской декларации и Программы действий, утвержденных в сентябре 2001 года на </w:t>
      </w:r>
      <w:r>
        <w:rPr>
          <w:b/>
          <w:bCs/>
        </w:rPr>
        <w:lastRenderedPageBreak/>
        <w:t>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Женеве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конкретные сведения о планах действий и других мерах, осуществляемых во исполнение Дурбанской декларации и Программы действий на национальном уровне.</w:t>
      </w:r>
      <w:r>
        <w:t xml:space="preserve"> </w:t>
      </w:r>
    </w:p>
    <w:p w14:paraId="79D4926C" w14:textId="77777777" w:rsidR="00AB6217" w:rsidRPr="000138E9" w:rsidRDefault="00AB6217" w:rsidP="00AB6217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  <w:r>
        <w:t xml:space="preserve"> </w:t>
      </w:r>
    </w:p>
    <w:p w14:paraId="6B02225B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43.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 годы Международным десятилетием лиц африканского происхождения, и резолюции 69/16 Ассамблеи о программе мероприятий по проведению Международного десятилетия, а также принимая во внимание, что это Международное десятилетие близко к завершению, Комитет просит государство-участник включить в свой следующий периодический доклад информацию о результатах мер, принятых для осуществления программы мероприятий, и об устойчивых мерах и стратегиях, разработанных в сотрудничестве с лицами африканского происхождения и их организациями, с учетом его общей рекомендации № 34 (2011) о расовой дискриминации в отношении лиц африканского происхождения.</w:t>
      </w:r>
    </w:p>
    <w:p w14:paraId="4BECF744" w14:textId="77777777" w:rsidR="00AB6217" w:rsidRPr="000138E9" w:rsidRDefault="00AB6217" w:rsidP="00AB6217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5CD6CF6E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44.</w:t>
      </w:r>
      <w:r>
        <w:tab/>
      </w:r>
      <w:r>
        <w:rPr>
          <w:b/>
          <w:bCs/>
        </w:rPr>
        <w:t xml:space="preserve"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а также с организациями, представляющими интересы коренных народов, лиц африканского происхождения и народа </w:t>
      </w:r>
      <w:proofErr w:type="spellStart"/>
      <w:r>
        <w:rPr>
          <w:b/>
          <w:bCs/>
        </w:rPr>
        <w:t>монтувио</w:t>
      </w:r>
      <w:proofErr w:type="spellEnd"/>
      <w:r>
        <w:rPr>
          <w:b/>
          <w:bCs/>
        </w:rPr>
        <w:t>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37E0A619" w14:textId="77777777" w:rsidR="00AB6217" w:rsidRPr="000138E9" w:rsidRDefault="00AB6217" w:rsidP="00AB6217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4050DF94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обеспечить, чтобы его доклады были доступны общественности в момент их представления и чтобы заключительные замечания Комитета по этим докладам также предоставлялись всем государственным органам, отвечающим за применение положений Конвенции, включая муниципалитеты, а также размещались на веб-сайте Министерства иностранных дел на официальных языках и при необходимости на других широко используемых языках.</w:t>
      </w:r>
    </w:p>
    <w:p w14:paraId="799E0A14" w14:textId="77777777" w:rsidR="00AB6217" w:rsidRPr="000138E9" w:rsidRDefault="00AB6217" w:rsidP="00AB6217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3EF58EE3" w14:textId="76E09886" w:rsidR="00AB6217" w:rsidRPr="000138E9" w:rsidDel="00283433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Cs/>
        </w:rPr>
      </w:pPr>
      <w:r>
        <w:t>46.</w:t>
      </w:r>
      <w:r>
        <w:tab/>
      </w:r>
      <w:r>
        <w:rPr>
          <w:b/>
          <w:bCs/>
        </w:rPr>
        <w:t xml:space="preserve">Комитет хотел бы обратить внимание государства-участника на особое значение рекомендаций, содержащихся в пунктах 7 (статистические данные), </w:t>
      </w:r>
      <w:r w:rsidR="007C6348" w:rsidRPr="00DB63DC">
        <w:rPr>
          <w:b/>
          <w:bCs/>
        </w:rPr>
        <w:br/>
      </w:r>
      <w:r>
        <w:rPr>
          <w:b/>
          <w:bCs/>
        </w:rPr>
        <w:t xml:space="preserve">13 (преступления на почве ненависти и расовая дискриминация), </w:t>
      </w:r>
      <w:r w:rsidR="007C6348" w:rsidRPr="00DB63DC">
        <w:rPr>
          <w:b/>
          <w:bCs/>
        </w:rPr>
        <w:br/>
      </w:r>
      <w:r>
        <w:rPr>
          <w:b/>
          <w:bCs/>
        </w:rPr>
        <w:t>17 b) (структурная дискриминация в отношении отдельных народов и народностей) и 39 (правозащитники), и просит его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6D776A69" w14:textId="77777777" w:rsidR="00AB6217" w:rsidRPr="000138E9" w:rsidRDefault="00AB6217" w:rsidP="00AB6217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заключительных замечаний</w:t>
      </w:r>
    </w:p>
    <w:p w14:paraId="193A371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 w:rsidRPr="007C6348">
        <w:t>47.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предоставить в течение одного года с момента принятия настоящих заключительных замечаний информацию о выполнении им рекомендаций, содержащихся в пунктах 35 d) (доступ к правосудию) и 37 а) (расовое профилирование).</w:t>
      </w:r>
      <w:r>
        <w:t xml:space="preserve"> </w:t>
      </w:r>
    </w:p>
    <w:p w14:paraId="695FDAB2" w14:textId="5F9C3476" w:rsidR="00AB6217" w:rsidRPr="00AB6217" w:rsidRDefault="00AB6217" w:rsidP="00AB6217">
      <w:pPr>
        <w:pStyle w:val="SingleTxtG"/>
        <w:rPr>
          <w:b/>
          <w:bCs/>
        </w:rPr>
      </w:pPr>
      <w:r>
        <w:lastRenderedPageBreak/>
        <w:tab/>
      </w:r>
      <w:r w:rsidRPr="00AB6217">
        <w:rPr>
          <w:b/>
          <w:bCs/>
        </w:rPr>
        <w:t>Комитет выражает признательность государству-участнику за своевременное представление доклада о последующих мерах</w:t>
      </w:r>
      <w:r w:rsidRPr="00AB6217">
        <w:rPr>
          <w:rStyle w:val="aa"/>
        </w:rPr>
        <w:footnoteReference w:id="13"/>
      </w:r>
      <w:r w:rsidRPr="00AB6217">
        <w:rPr>
          <w:b/>
          <w:bCs/>
        </w:rPr>
        <w:t>, запрошенного в его предыдущих заключительных замечаниях.</w:t>
      </w:r>
    </w:p>
    <w:p w14:paraId="1D55D61A" w14:textId="77777777" w:rsidR="00AB6217" w:rsidRPr="000138E9" w:rsidRDefault="00AB6217" w:rsidP="00AB6217">
      <w:pPr>
        <w:pStyle w:val="H23G"/>
      </w:pPr>
      <w:r>
        <w:tab/>
      </w: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01036B75" w14:textId="77777777" w:rsidR="00AB6217" w:rsidRPr="000138E9" w:rsidRDefault="00AB6217" w:rsidP="00AB6217">
      <w:pPr>
        <w:pStyle w:val="SingleTxtG"/>
        <w:tabs>
          <w:tab w:val="clear" w:pos="1701"/>
          <w:tab w:val="clear" w:pos="2268"/>
          <w:tab w:val="clear" w:pos="2835"/>
        </w:tabs>
        <w:rPr>
          <w:b/>
        </w:rPr>
      </w:pPr>
      <w:r w:rsidRPr="000E1A33">
        <w:t>48.</w:t>
      </w:r>
      <w:r w:rsidRPr="000E1A33">
        <w:tab/>
      </w:r>
      <w:r>
        <w:rPr>
          <w:b/>
          <w:bCs/>
        </w:rPr>
        <w:t>Комитет рекомендует государству-участнику представить свои объединенные двадцать шестой и двадцать седьмой периодические доклады в одном документе не позднее 1 января 2028 года с учетом руководящих принципов подготовки докладов, принятых Комитетом на его семьдесят первой сессии</w:t>
      </w:r>
      <w:r w:rsidRPr="0037533F">
        <w:rPr>
          <w:rStyle w:val="aa"/>
        </w:rPr>
        <w:footnoteReference w:id="14"/>
      </w:r>
      <w:r>
        <w:rPr>
          <w:b/>
          <w:bCs/>
        </w:rPr>
        <w:t>, и отразить в нем все вопросы, затронутые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призывает государство-участник соблюдать установленное для объема периодических докладов ограничение в 21 200 слов.</w:t>
      </w:r>
    </w:p>
    <w:p w14:paraId="35B10E7F" w14:textId="77777777" w:rsidR="00E70000" w:rsidRDefault="00AB6217" w:rsidP="00AB6217">
      <w:pPr>
        <w:pStyle w:val="SingleTxtG"/>
        <w:spacing w:before="240" w:after="0"/>
        <w:jc w:val="center"/>
        <w:rPr>
          <w:u w:val="single"/>
        </w:rPr>
      </w:pPr>
      <w:r w:rsidRPr="000138E9">
        <w:rPr>
          <w:u w:val="single"/>
        </w:rPr>
        <w:tab/>
      </w:r>
      <w:r w:rsidRPr="000138E9">
        <w:rPr>
          <w:u w:val="single"/>
        </w:rPr>
        <w:tab/>
      </w:r>
      <w:r w:rsidRPr="000138E9">
        <w:rPr>
          <w:u w:val="single"/>
        </w:rPr>
        <w:tab/>
      </w:r>
    </w:p>
    <w:p w14:paraId="01D33066" w14:textId="27DBC8BF" w:rsidR="00381C24" w:rsidRPr="00AB6217" w:rsidRDefault="00381C24" w:rsidP="004055E9"/>
    <w:sectPr w:rsidR="00381C24" w:rsidRPr="00AB6217" w:rsidSect="00AB62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9C195" w14:textId="77777777" w:rsidR="00993944" w:rsidRPr="00A312BC" w:rsidRDefault="00993944" w:rsidP="00A312BC"/>
  </w:endnote>
  <w:endnote w:type="continuationSeparator" w:id="0">
    <w:p w14:paraId="4FF5265B" w14:textId="77777777" w:rsidR="00993944" w:rsidRPr="00A312BC" w:rsidRDefault="0099394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3400" w14:textId="4853C00D" w:rsidR="00AB6217" w:rsidRPr="00AB6217" w:rsidRDefault="00AB6217">
    <w:pPr>
      <w:pStyle w:val="a8"/>
    </w:pPr>
    <w:r w:rsidRPr="00AB6217">
      <w:rPr>
        <w:b/>
        <w:sz w:val="18"/>
      </w:rPr>
      <w:fldChar w:fldCharType="begin"/>
    </w:r>
    <w:r w:rsidRPr="00AB6217">
      <w:rPr>
        <w:b/>
        <w:sz w:val="18"/>
      </w:rPr>
      <w:instrText xml:space="preserve"> PAGE  \* MERGEFORMAT </w:instrText>
    </w:r>
    <w:r w:rsidRPr="00AB6217">
      <w:rPr>
        <w:b/>
        <w:sz w:val="18"/>
      </w:rPr>
      <w:fldChar w:fldCharType="separate"/>
    </w:r>
    <w:r w:rsidRPr="00AB6217">
      <w:rPr>
        <w:b/>
        <w:noProof/>
        <w:sz w:val="18"/>
      </w:rPr>
      <w:t>2</w:t>
    </w:r>
    <w:r w:rsidRPr="00AB6217">
      <w:rPr>
        <w:b/>
        <w:sz w:val="18"/>
      </w:rPr>
      <w:fldChar w:fldCharType="end"/>
    </w:r>
    <w:r>
      <w:rPr>
        <w:b/>
        <w:sz w:val="18"/>
      </w:rPr>
      <w:tab/>
    </w:r>
    <w:r>
      <w:t>GE.24-23837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6A170" w14:textId="671E9561" w:rsidR="00AB6217" w:rsidRPr="00AB6217" w:rsidRDefault="00AB6217" w:rsidP="00AB6217">
    <w:pPr>
      <w:pStyle w:val="a8"/>
      <w:tabs>
        <w:tab w:val="clear" w:pos="9639"/>
        <w:tab w:val="right" w:pos="9638"/>
      </w:tabs>
      <w:rPr>
        <w:b/>
        <w:sz w:val="18"/>
      </w:rPr>
    </w:pPr>
    <w:r>
      <w:t>GE.24-23837</w:t>
    </w:r>
    <w:r>
      <w:tab/>
    </w:r>
    <w:r w:rsidRPr="00AB6217">
      <w:rPr>
        <w:b/>
        <w:sz w:val="18"/>
      </w:rPr>
      <w:fldChar w:fldCharType="begin"/>
    </w:r>
    <w:r w:rsidRPr="00AB6217">
      <w:rPr>
        <w:b/>
        <w:sz w:val="18"/>
      </w:rPr>
      <w:instrText xml:space="preserve"> PAGE  \* MERGEFORMAT </w:instrText>
    </w:r>
    <w:r w:rsidRPr="00AB6217">
      <w:rPr>
        <w:b/>
        <w:sz w:val="18"/>
      </w:rPr>
      <w:fldChar w:fldCharType="separate"/>
    </w:r>
    <w:r w:rsidRPr="00AB6217">
      <w:rPr>
        <w:b/>
        <w:noProof/>
        <w:sz w:val="18"/>
      </w:rPr>
      <w:t>3</w:t>
    </w:r>
    <w:r w:rsidRPr="00AB62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12726" w14:textId="2AC396CA" w:rsidR="00042B72" w:rsidRPr="00AB6217" w:rsidRDefault="00AB6217" w:rsidP="00AB621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41BB67F" wp14:editId="7DD92A0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24-23837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E487225" wp14:editId="57C902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100225  110225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9ED5C" w14:textId="77777777" w:rsidR="00993944" w:rsidRPr="001075E9" w:rsidRDefault="009939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E870BC" w14:textId="77777777" w:rsidR="00993944" w:rsidRDefault="0099394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115E37" w14:textId="77777777" w:rsidR="00AB6217" w:rsidRPr="000138E9" w:rsidRDefault="00AB6217" w:rsidP="00AB6217">
      <w:pPr>
        <w:pStyle w:val="ad"/>
        <w:rPr>
          <w:szCs w:val="18"/>
        </w:rPr>
      </w:pPr>
      <w:r>
        <w:tab/>
      </w:r>
      <w:r w:rsidRPr="0075110D">
        <w:rPr>
          <w:sz w:val="20"/>
        </w:rPr>
        <w:t>*</w:t>
      </w:r>
      <w:r>
        <w:tab/>
        <w:t>Приняты Комитетом на его 114-й сессии (25 ноября — 13 декабря 2024 года).</w:t>
      </w:r>
    </w:p>
  </w:footnote>
  <w:footnote w:id="2">
    <w:p w14:paraId="33583162" w14:textId="34447EBD" w:rsidR="00AB6217" w:rsidRPr="000138E9" w:rsidRDefault="00AB6217" w:rsidP="00AB6217">
      <w:pPr>
        <w:pStyle w:val="ad"/>
        <w:rPr>
          <w:szCs w:val="18"/>
          <w:lang w:val="de-CH"/>
        </w:rPr>
      </w:pPr>
      <w:r w:rsidRPr="00AF6074">
        <w:rPr>
          <w:szCs w:val="18"/>
        </w:rPr>
        <w:tab/>
      </w:r>
      <w:r w:rsidRPr="007C6348">
        <w:rPr>
          <w:rStyle w:val="aa"/>
          <w:szCs w:val="18"/>
        </w:rPr>
        <w:footnoteRef/>
      </w:r>
      <w:r w:rsidRPr="000138E9">
        <w:rPr>
          <w:lang w:val="de-CH"/>
        </w:rPr>
        <w:tab/>
      </w:r>
      <w:r w:rsidR="00800FEF">
        <w:fldChar w:fldCharType="begin"/>
      </w:r>
      <w:r w:rsidR="00800FEF" w:rsidRPr="00DB63DC">
        <w:rPr>
          <w:lang w:val="fr-CH"/>
        </w:rPr>
        <w:instrText>HYPERLINK "http://undocs.org/sp/CERD/C/ECU/25"</w:instrText>
      </w:r>
      <w:r w:rsidR="00800FEF">
        <w:fldChar w:fldCharType="separate"/>
      </w:r>
      <w:r w:rsidR="005818BF" w:rsidRPr="00DB63DC">
        <w:rPr>
          <w:rStyle w:val="af1"/>
          <w:lang w:val="fr-CH"/>
        </w:rPr>
        <w:t>CERD/C/ECU/25</w:t>
      </w:r>
      <w:r w:rsidR="00800FEF">
        <w:rPr>
          <w:rStyle w:val="af1"/>
        </w:rPr>
        <w:fldChar w:fldCharType="end"/>
      </w:r>
      <w:r w:rsidRPr="000138E9">
        <w:rPr>
          <w:lang w:val="de-CH"/>
        </w:rPr>
        <w:t>.</w:t>
      </w:r>
    </w:p>
  </w:footnote>
  <w:footnote w:id="3">
    <w:p w14:paraId="596B486E" w14:textId="7322DCB3" w:rsidR="00AB6217" w:rsidRPr="000138E9" w:rsidRDefault="00AB6217" w:rsidP="00AB6217">
      <w:pPr>
        <w:pStyle w:val="ad"/>
        <w:rPr>
          <w:lang w:val="de-CH"/>
        </w:rPr>
      </w:pPr>
      <w:r w:rsidRPr="000138E9">
        <w:rPr>
          <w:szCs w:val="18"/>
          <w:lang w:val="de-CH"/>
        </w:rPr>
        <w:tab/>
      </w:r>
      <w:r w:rsidRPr="007C6348">
        <w:rPr>
          <w:rStyle w:val="aa"/>
          <w:szCs w:val="18"/>
        </w:rPr>
        <w:footnoteRef/>
      </w:r>
      <w:r w:rsidRPr="000138E9">
        <w:rPr>
          <w:lang w:val="de-CH"/>
        </w:rPr>
        <w:tab/>
      </w:r>
      <w:r>
        <w:t>См</w:t>
      </w:r>
      <w:r w:rsidRPr="000138E9">
        <w:rPr>
          <w:lang w:val="de-CH"/>
        </w:rPr>
        <w:t xml:space="preserve">. </w:t>
      </w:r>
      <w:r w:rsidR="00800FEF">
        <w:fldChar w:fldCharType="begin"/>
      </w:r>
      <w:r w:rsidR="00800FEF" w:rsidRPr="00DB63DC">
        <w:rPr>
          <w:lang w:val="fr-CH"/>
        </w:rPr>
        <w:instrText>HYPERLINK "http://undocs.org/sp/CERD/C/SR.3111"</w:instrText>
      </w:r>
      <w:r w:rsidR="00800FEF">
        <w:fldChar w:fldCharType="separate"/>
      </w:r>
      <w:r w:rsidR="005818BF" w:rsidRPr="00A37C06">
        <w:rPr>
          <w:rStyle w:val="af1"/>
          <w:szCs w:val="18"/>
          <w:lang w:val="fr-FR"/>
        </w:rPr>
        <w:t>CERD/C/SR.3111</w:t>
      </w:r>
      <w:r w:rsidR="00800FEF">
        <w:rPr>
          <w:rStyle w:val="af1"/>
          <w:szCs w:val="18"/>
          <w:lang w:val="fr-FR"/>
        </w:rPr>
        <w:fldChar w:fldCharType="end"/>
      </w:r>
      <w:r w:rsidRPr="000138E9">
        <w:rPr>
          <w:lang w:val="de-CH"/>
        </w:rPr>
        <w:t xml:space="preserve"> </w:t>
      </w:r>
      <w:r>
        <w:t>и</w:t>
      </w:r>
      <w:r w:rsidRPr="000138E9">
        <w:rPr>
          <w:lang w:val="de-CH"/>
        </w:rPr>
        <w:t xml:space="preserve"> </w:t>
      </w:r>
      <w:hyperlink r:id="rId1" w:history="1">
        <w:r w:rsidR="005818BF" w:rsidRPr="00A37C06">
          <w:rPr>
            <w:rStyle w:val="af1"/>
            <w:szCs w:val="18"/>
            <w:lang w:val="fr-FR"/>
          </w:rPr>
          <w:t>CERD/C/SR.3113</w:t>
        </w:r>
      </w:hyperlink>
      <w:r w:rsidRPr="000138E9">
        <w:rPr>
          <w:lang w:val="de-CH"/>
        </w:rPr>
        <w:t>.</w:t>
      </w:r>
    </w:p>
  </w:footnote>
  <w:footnote w:id="4">
    <w:p w14:paraId="03C676E9" w14:textId="6485E012" w:rsidR="00AB6217" w:rsidRPr="000138E9" w:rsidRDefault="00AB6217" w:rsidP="00AB6217">
      <w:pPr>
        <w:pStyle w:val="ad"/>
        <w:rPr>
          <w:szCs w:val="18"/>
        </w:rPr>
      </w:pPr>
      <w:r w:rsidRPr="000138E9">
        <w:rPr>
          <w:lang w:val="de-CH"/>
        </w:rPr>
        <w:tab/>
      </w:r>
      <w:r w:rsidRPr="007C6348">
        <w:rPr>
          <w:rStyle w:val="aa"/>
          <w:szCs w:val="18"/>
        </w:rPr>
        <w:footnoteRef/>
      </w:r>
      <w:r>
        <w:tab/>
        <w:t xml:space="preserve">См. Управление Верховного комиссара Организации Объединенных Наций по правам человека и Фонд за равные права, «Защита прав меньшинств </w:t>
      </w:r>
      <w:r w:rsidR="0075110D">
        <w:t>—</w:t>
      </w:r>
      <w:r>
        <w:t xml:space="preserve"> Практическое руководство по разработке комплексного антидискриминационного законодательства» (Нью-Йорк и Женева, 2024 год)</w:t>
      </w:r>
      <w:r w:rsidR="00E70000" w:rsidRPr="00E70000">
        <w:t>.</w:t>
      </w:r>
      <w:r>
        <w:t xml:space="preserve"> </w:t>
      </w:r>
    </w:p>
  </w:footnote>
  <w:footnote w:id="5">
    <w:p w14:paraId="6FCC7F0A" w14:textId="662D2529" w:rsidR="00AB6217" w:rsidRPr="000138E9" w:rsidRDefault="00AB6217" w:rsidP="00AB6217">
      <w:pPr>
        <w:pStyle w:val="ad"/>
        <w:rPr>
          <w:lang w:val="en-US"/>
        </w:rPr>
      </w:pPr>
      <w:r w:rsidRPr="00AF6074">
        <w:rPr>
          <w:szCs w:val="18"/>
        </w:rPr>
        <w:tab/>
      </w:r>
      <w:r w:rsidRPr="007C6348">
        <w:rPr>
          <w:szCs w:val="18"/>
          <w:vertAlign w:val="superscript"/>
        </w:rPr>
        <w:footnoteRef/>
      </w:r>
      <w:r w:rsidRPr="000138E9">
        <w:rPr>
          <w:lang w:val="en-US"/>
        </w:rPr>
        <w:tab/>
      </w:r>
      <w:hyperlink r:id="rId2" w:history="1">
        <w:r w:rsidRPr="0075110D">
          <w:rPr>
            <w:rStyle w:val="af1"/>
            <w:lang w:val="en-US"/>
          </w:rPr>
          <w:t>CERD/C/ECU/CO/23-24</w:t>
        </w:r>
      </w:hyperlink>
      <w:r w:rsidRPr="000138E9">
        <w:rPr>
          <w:lang w:val="en-US"/>
        </w:rPr>
        <w:t xml:space="preserve">, </w:t>
      </w:r>
      <w:r>
        <w:t>п</w:t>
      </w:r>
      <w:r w:rsidRPr="000138E9">
        <w:rPr>
          <w:lang w:val="en-US"/>
        </w:rPr>
        <w:t>. 11.</w:t>
      </w:r>
    </w:p>
  </w:footnote>
  <w:footnote w:id="6">
    <w:p w14:paraId="13329DE5" w14:textId="77777777" w:rsidR="00AB6217" w:rsidRPr="000138E9" w:rsidRDefault="00AB6217" w:rsidP="00AB6217">
      <w:pPr>
        <w:pStyle w:val="ad"/>
      </w:pPr>
      <w:r w:rsidRPr="000138E9">
        <w:rPr>
          <w:lang w:val="en-US"/>
        </w:rPr>
        <w:tab/>
      </w:r>
      <w:r w:rsidRPr="007C6348">
        <w:rPr>
          <w:rStyle w:val="aa"/>
        </w:rPr>
        <w:footnoteRef/>
      </w:r>
      <w:r>
        <w:tab/>
        <w:t>Там же, п. 18.</w:t>
      </w:r>
    </w:p>
  </w:footnote>
  <w:footnote w:id="7">
    <w:p w14:paraId="17E00607" w14:textId="77777777" w:rsidR="00AB6217" w:rsidRPr="000138E9" w:rsidRDefault="00AB6217" w:rsidP="00AB6217">
      <w:pPr>
        <w:pStyle w:val="ad"/>
      </w:pPr>
      <w:r>
        <w:tab/>
      </w:r>
      <w:r w:rsidRPr="007C6348">
        <w:rPr>
          <w:rStyle w:val="aa"/>
        </w:rPr>
        <w:footnoteRef/>
      </w:r>
      <w:r>
        <w:tab/>
        <w:t>Там же, п. 19.</w:t>
      </w:r>
    </w:p>
  </w:footnote>
  <w:footnote w:id="8">
    <w:p w14:paraId="0853F7FD" w14:textId="77777777" w:rsidR="00AB6217" w:rsidRPr="000138E9" w:rsidRDefault="00AB6217" w:rsidP="00AB6217">
      <w:pPr>
        <w:pStyle w:val="ad"/>
      </w:pPr>
      <w:r>
        <w:tab/>
      </w:r>
      <w:r w:rsidRPr="007C6348">
        <w:rPr>
          <w:rStyle w:val="aa"/>
        </w:rPr>
        <w:footnoteRef/>
      </w:r>
      <w:r>
        <w:tab/>
        <w:t>Там же, п. 16.</w:t>
      </w:r>
    </w:p>
  </w:footnote>
  <w:footnote w:id="9">
    <w:p w14:paraId="185D564A" w14:textId="77777777" w:rsidR="00AB6217" w:rsidRPr="000138E9" w:rsidRDefault="00AB6217" w:rsidP="00AB6217">
      <w:pPr>
        <w:pStyle w:val="ad"/>
      </w:pPr>
      <w:r>
        <w:tab/>
      </w:r>
      <w:r w:rsidRPr="007C6348">
        <w:rPr>
          <w:rStyle w:val="aa"/>
        </w:rPr>
        <w:footnoteRef/>
      </w:r>
      <w:r>
        <w:tab/>
        <w:t>Там же, п. 17.</w:t>
      </w:r>
    </w:p>
  </w:footnote>
  <w:footnote w:id="10">
    <w:p w14:paraId="4FC42342" w14:textId="77777777" w:rsidR="00AB6217" w:rsidRPr="000138E9" w:rsidRDefault="00AB6217" w:rsidP="00AB6217">
      <w:pPr>
        <w:pStyle w:val="ad"/>
      </w:pPr>
      <w:r>
        <w:tab/>
      </w:r>
      <w:r w:rsidRPr="007C6348">
        <w:rPr>
          <w:rStyle w:val="aa"/>
        </w:rPr>
        <w:footnoteRef/>
      </w:r>
      <w:r>
        <w:tab/>
        <w:t>Там же, п. 20.</w:t>
      </w:r>
    </w:p>
  </w:footnote>
  <w:footnote w:id="11">
    <w:p w14:paraId="328974AB" w14:textId="77777777" w:rsidR="00AB6217" w:rsidRPr="000138E9" w:rsidRDefault="00AB6217" w:rsidP="00AB6217">
      <w:pPr>
        <w:pStyle w:val="ad"/>
      </w:pPr>
      <w:r>
        <w:tab/>
      </w:r>
      <w:r w:rsidRPr="007C6348">
        <w:rPr>
          <w:rStyle w:val="aa"/>
        </w:rPr>
        <w:footnoteRef/>
      </w:r>
      <w:r>
        <w:tab/>
        <w:t>Там же, п. 30.</w:t>
      </w:r>
    </w:p>
  </w:footnote>
  <w:footnote w:id="12">
    <w:p w14:paraId="5E4D87DB" w14:textId="77777777" w:rsidR="00AB6217" w:rsidRPr="000138E9" w:rsidRDefault="00AB6217" w:rsidP="00AB6217">
      <w:pPr>
        <w:pStyle w:val="ad"/>
        <w:rPr>
          <w:lang w:val="en-US"/>
        </w:rPr>
      </w:pPr>
      <w:r>
        <w:tab/>
      </w:r>
      <w:r w:rsidRPr="007C6348">
        <w:rPr>
          <w:rStyle w:val="aa"/>
        </w:rPr>
        <w:footnoteRef/>
      </w:r>
      <w:r w:rsidRPr="000138E9">
        <w:rPr>
          <w:lang w:val="en-US"/>
        </w:rPr>
        <w:tab/>
      </w:r>
      <w:r>
        <w:t>Там</w:t>
      </w:r>
      <w:r w:rsidRPr="000138E9">
        <w:rPr>
          <w:lang w:val="en-US"/>
        </w:rPr>
        <w:t xml:space="preserve"> </w:t>
      </w:r>
      <w:r>
        <w:t>же</w:t>
      </w:r>
      <w:r w:rsidRPr="000138E9">
        <w:rPr>
          <w:lang w:val="en-US"/>
        </w:rPr>
        <w:t xml:space="preserve">, </w:t>
      </w:r>
      <w:r>
        <w:t>п</w:t>
      </w:r>
      <w:r w:rsidRPr="000138E9">
        <w:rPr>
          <w:lang w:val="en-US"/>
        </w:rPr>
        <w:t>. 31.</w:t>
      </w:r>
    </w:p>
    <w:p w14:paraId="5F61BE30" w14:textId="77777777" w:rsidR="00AB6217" w:rsidRPr="001A7E9B" w:rsidRDefault="00AB6217" w:rsidP="00AB6217">
      <w:pPr>
        <w:pStyle w:val="ad"/>
        <w:rPr>
          <w:lang w:val="en-GB"/>
        </w:rPr>
      </w:pPr>
    </w:p>
  </w:footnote>
  <w:footnote w:id="13">
    <w:p w14:paraId="43CA2B47" w14:textId="404B24E7" w:rsidR="00AB6217" w:rsidRPr="000138E9" w:rsidRDefault="00AB6217" w:rsidP="00AB6217">
      <w:pPr>
        <w:pStyle w:val="ad"/>
        <w:rPr>
          <w:lang w:val="en-US"/>
        </w:rPr>
      </w:pPr>
      <w:r w:rsidRPr="000138E9">
        <w:rPr>
          <w:lang w:val="en-US"/>
        </w:rPr>
        <w:tab/>
      </w:r>
      <w:r w:rsidRPr="007C6348">
        <w:rPr>
          <w:vertAlign w:val="superscript"/>
        </w:rPr>
        <w:footnoteRef/>
      </w:r>
      <w:r w:rsidRPr="000138E9">
        <w:rPr>
          <w:lang w:val="en-US"/>
        </w:rPr>
        <w:tab/>
      </w:r>
      <w:r w:rsidR="00800FEF">
        <w:fldChar w:fldCharType="begin"/>
      </w:r>
      <w:r w:rsidR="00800FEF" w:rsidRPr="00DB63DC">
        <w:rPr>
          <w:lang w:val="en-US"/>
        </w:rPr>
        <w:instrText>HYPERLINK "http://undocs.org/en/CERD/C/ECU/CO/23-24/Add.1"</w:instrText>
      </w:r>
      <w:r w:rsidR="00800FEF">
        <w:fldChar w:fldCharType="separate"/>
      </w:r>
      <w:r w:rsidRPr="0075110D">
        <w:rPr>
          <w:rStyle w:val="af1"/>
          <w:lang w:val="en-US"/>
        </w:rPr>
        <w:t>CERD/C/ECU/CO/23-24/Add.1</w:t>
      </w:r>
      <w:r w:rsidR="00800FEF">
        <w:rPr>
          <w:rStyle w:val="af1"/>
          <w:lang w:val="en-US"/>
        </w:rPr>
        <w:fldChar w:fldCharType="end"/>
      </w:r>
      <w:r w:rsidRPr="000138E9">
        <w:rPr>
          <w:lang w:val="en-US"/>
        </w:rPr>
        <w:t>.</w:t>
      </w:r>
    </w:p>
  </w:footnote>
  <w:footnote w:id="14">
    <w:p w14:paraId="3DEB1597" w14:textId="71D94653" w:rsidR="00AB6217" w:rsidRPr="000138E9" w:rsidRDefault="00AB6217" w:rsidP="00AB6217">
      <w:pPr>
        <w:pStyle w:val="ad"/>
        <w:rPr>
          <w:lang w:val="en-US"/>
        </w:rPr>
      </w:pPr>
      <w:r w:rsidRPr="000138E9">
        <w:rPr>
          <w:lang w:val="en-US"/>
        </w:rPr>
        <w:tab/>
      </w:r>
      <w:r w:rsidRPr="007C6348">
        <w:rPr>
          <w:vertAlign w:val="superscript"/>
        </w:rPr>
        <w:footnoteRef/>
      </w:r>
      <w:r w:rsidRPr="000138E9">
        <w:rPr>
          <w:lang w:val="en-US"/>
        </w:rPr>
        <w:tab/>
      </w:r>
      <w:hyperlink r:id="rId3" w:history="1">
        <w:r w:rsidRPr="0075110D">
          <w:rPr>
            <w:rStyle w:val="af1"/>
            <w:lang w:val="en-US"/>
          </w:rPr>
          <w:t>CERD/C/2007/1</w:t>
        </w:r>
      </w:hyperlink>
      <w:r w:rsidRPr="000138E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3C25F" w14:textId="1A3EB4C5" w:rsidR="00AB6217" w:rsidRPr="00AB6217" w:rsidRDefault="00800FE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CERD/C/ECU/CO/25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215FE" w14:textId="706D7B7E" w:rsidR="00AB6217" w:rsidRPr="00AB6217" w:rsidRDefault="00800FEF" w:rsidP="00AB621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CERD/C/ECU/CO/25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4063080">
    <w:abstractNumId w:val="16"/>
  </w:num>
  <w:num w:numId="2" w16cid:durableId="224024604">
    <w:abstractNumId w:val="11"/>
  </w:num>
  <w:num w:numId="3" w16cid:durableId="804468468">
    <w:abstractNumId w:val="10"/>
  </w:num>
  <w:num w:numId="4" w16cid:durableId="1936205651">
    <w:abstractNumId w:val="17"/>
  </w:num>
  <w:num w:numId="5" w16cid:durableId="1407417131">
    <w:abstractNumId w:val="13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15"/>
  </w:num>
  <w:num w:numId="17" w16cid:durableId="366637293">
    <w:abstractNumId w:val="12"/>
  </w:num>
  <w:num w:numId="18" w16cid:durableId="116720568">
    <w:abstractNumId w:val="14"/>
  </w:num>
  <w:num w:numId="19" w16cid:durableId="212427639">
    <w:abstractNumId w:val="15"/>
  </w:num>
  <w:num w:numId="20" w16cid:durableId="916980932">
    <w:abstractNumId w:val="12"/>
  </w:num>
  <w:num w:numId="21" w16cid:durableId="85723958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44"/>
    <w:rsid w:val="00033EE1"/>
    <w:rsid w:val="00042B72"/>
    <w:rsid w:val="000558BD"/>
    <w:rsid w:val="000B57E7"/>
    <w:rsid w:val="000B6373"/>
    <w:rsid w:val="000E1A33"/>
    <w:rsid w:val="000F09DF"/>
    <w:rsid w:val="000F61B2"/>
    <w:rsid w:val="00105BF1"/>
    <w:rsid w:val="001075E9"/>
    <w:rsid w:val="00180183"/>
    <w:rsid w:val="0018024D"/>
    <w:rsid w:val="0018649F"/>
    <w:rsid w:val="00196389"/>
    <w:rsid w:val="001B3EF6"/>
    <w:rsid w:val="001C7A89"/>
    <w:rsid w:val="00256CA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114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818BF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2289"/>
    <w:rsid w:val="00706B3D"/>
    <w:rsid w:val="00712895"/>
    <w:rsid w:val="00717FCB"/>
    <w:rsid w:val="0072344A"/>
    <w:rsid w:val="0075110D"/>
    <w:rsid w:val="00757357"/>
    <w:rsid w:val="007C46C9"/>
    <w:rsid w:val="007C49AB"/>
    <w:rsid w:val="007C6348"/>
    <w:rsid w:val="00800FEF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C1299"/>
    <w:rsid w:val="008D2AAD"/>
    <w:rsid w:val="0090054A"/>
    <w:rsid w:val="00906890"/>
    <w:rsid w:val="00911BE4"/>
    <w:rsid w:val="00951972"/>
    <w:rsid w:val="009608F3"/>
    <w:rsid w:val="00993944"/>
    <w:rsid w:val="009A24AC"/>
    <w:rsid w:val="009D5FCE"/>
    <w:rsid w:val="00A14DA8"/>
    <w:rsid w:val="00A312BC"/>
    <w:rsid w:val="00A84021"/>
    <w:rsid w:val="00A84D35"/>
    <w:rsid w:val="00A917B3"/>
    <w:rsid w:val="00AB4B51"/>
    <w:rsid w:val="00AB6217"/>
    <w:rsid w:val="00AC2C89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25E04"/>
    <w:rsid w:val="00C60F0C"/>
    <w:rsid w:val="00C76637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63DC"/>
    <w:rsid w:val="00DD1D1E"/>
    <w:rsid w:val="00DD78D1"/>
    <w:rsid w:val="00DE32CD"/>
    <w:rsid w:val="00DF6F2D"/>
    <w:rsid w:val="00DF71B9"/>
    <w:rsid w:val="00E32125"/>
    <w:rsid w:val="00E70000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CD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61206"/>
  <w15:docId w15:val="{38CE813C-3B95-4E5A-B3A5-E8C94B3B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/>
      <w:u w:val="none"/>
    </w:rPr>
  </w:style>
  <w:style w:type="character" w:styleId="af2">
    <w:name w:val="FollowedHyperlink"/>
    <w:basedOn w:val="a0"/>
    <w:rsid w:val="006306AC"/>
    <w:rPr>
      <w:color w:val="0000FF"/>
      <w:u w:val="none"/>
    </w:rPr>
  </w:style>
  <w:style w:type="character" w:customStyle="1" w:styleId="HChGChar">
    <w:name w:val="_ H _Ch_G Char"/>
    <w:link w:val="HChG"/>
    <w:rsid w:val="00AB6217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AB621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51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RD/C/2007/1" TargetMode="External"/><Relationship Id="rId2" Type="http://schemas.openxmlformats.org/officeDocument/2006/relationships/hyperlink" Target="http://undocs.org/ru/CERD/C/ECU/CO/23-24" TargetMode="External"/><Relationship Id="rId1" Type="http://schemas.openxmlformats.org/officeDocument/2006/relationships/hyperlink" Target="http://undocs.org/sp/CERD/C/SR.31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14</Pages>
  <Words>6225</Words>
  <Characters>35484</Characters>
  <Application>Microsoft Office Word</Application>
  <DocSecurity>0</DocSecurity>
  <Lines>295</Lines>
  <Paragraphs>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CERD/C/ECU/CO/25</vt:lpstr>
      <vt:lpstr>A/</vt:lpstr>
      <vt:lpstr>A/</vt:lpstr>
    </vt:vector>
  </TitlesOfParts>
  <Company>DCM</Company>
  <LinksUpToDate>false</LinksUpToDate>
  <CharactersWithSpaces>41626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CERD/C/ECU/CO/25</dc:title>
  <dc:subject/>
  <dc:creator>Sharkina</dc:creator>
  <cp:keywords/>
  <cp:lastModifiedBy>Sharkina</cp:lastModifiedBy>
  <cp:revision>3</cp:revision>
  <cp:lastPrinted>2025-02-11T16:41:00Z</cp:lastPrinted>
  <dcterms:created xsi:type="dcterms:W3CDTF">2025-02-11T16:41:00Z</dcterms:created>
  <dcterms:modified xsi:type="dcterms:W3CDTF">2025-02-11T16:42:00Z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