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85F36F5" w14:textId="77777777" w:rsidTr="008F3CA0">
        <w:trPr>
          <w:trHeight w:hRule="exact" w:val="851"/>
        </w:trPr>
        <w:tc>
          <w:tcPr>
            <w:tcW w:w="1276" w:type="dxa"/>
            <w:tcBorders>
              <w:bottom w:val="single" w:sz="4" w:space="0" w:color="auto"/>
            </w:tcBorders>
          </w:tcPr>
          <w:p w14:paraId="5FDC6CF0" w14:textId="77777777" w:rsidR="000354E9" w:rsidRPr="00DB58B5" w:rsidRDefault="000354E9" w:rsidP="00721C41"/>
        </w:tc>
        <w:tc>
          <w:tcPr>
            <w:tcW w:w="2268" w:type="dxa"/>
            <w:tcBorders>
              <w:bottom w:val="single" w:sz="4" w:space="0" w:color="auto"/>
            </w:tcBorders>
            <w:vAlign w:val="bottom"/>
          </w:tcPr>
          <w:p w14:paraId="264C212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A1D46D" w14:textId="2E725E31" w:rsidR="000354E9" w:rsidRPr="00DB58B5" w:rsidRDefault="00721C41" w:rsidP="00721C41">
            <w:pPr>
              <w:jc w:val="right"/>
            </w:pPr>
            <w:r w:rsidRPr="00721C41">
              <w:rPr>
                <w:sz w:val="40"/>
              </w:rPr>
              <w:t>CRC</w:t>
            </w:r>
            <w:r>
              <w:t>/C/91/D/85/2019</w:t>
            </w:r>
          </w:p>
        </w:tc>
      </w:tr>
      <w:tr w:rsidR="000354E9" w:rsidRPr="00DB58B5" w14:paraId="6146E77A" w14:textId="77777777" w:rsidTr="008F3CA0">
        <w:trPr>
          <w:trHeight w:hRule="exact" w:val="2835"/>
        </w:trPr>
        <w:tc>
          <w:tcPr>
            <w:tcW w:w="1276" w:type="dxa"/>
            <w:tcBorders>
              <w:top w:val="single" w:sz="4" w:space="0" w:color="auto"/>
              <w:bottom w:val="single" w:sz="12" w:space="0" w:color="auto"/>
            </w:tcBorders>
          </w:tcPr>
          <w:p w14:paraId="07CC3B49" w14:textId="77777777" w:rsidR="000354E9" w:rsidRPr="00DB58B5" w:rsidRDefault="000354E9" w:rsidP="008F3CA0">
            <w:pPr>
              <w:spacing w:before="120"/>
              <w:jc w:val="center"/>
            </w:pPr>
            <w:r>
              <w:rPr>
                <w:noProof/>
                <w:lang w:eastAsia="fr-CH"/>
              </w:rPr>
              <w:drawing>
                <wp:inline distT="0" distB="0" distL="0" distR="0" wp14:anchorId="1A7FB4FB" wp14:editId="304ECE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0B10A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BD94A06" w14:textId="77777777" w:rsidR="000354E9" w:rsidRDefault="00721C41" w:rsidP="008F3CA0">
            <w:pPr>
              <w:spacing w:before="240"/>
            </w:pPr>
            <w:proofErr w:type="spellStart"/>
            <w:r>
              <w:t>Distr</w:t>
            </w:r>
            <w:proofErr w:type="spellEnd"/>
            <w:r>
              <w:t>. générale</w:t>
            </w:r>
          </w:p>
          <w:p w14:paraId="172A2CC4" w14:textId="77777777" w:rsidR="00721C41" w:rsidRDefault="00721C41" w:rsidP="00721C41">
            <w:pPr>
              <w:spacing w:line="240" w:lineRule="exact"/>
            </w:pPr>
            <w:r>
              <w:t>14 décembre 2022</w:t>
            </w:r>
          </w:p>
          <w:p w14:paraId="14527936" w14:textId="77777777" w:rsidR="00721C41" w:rsidRDefault="00721C41" w:rsidP="00721C41">
            <w:pPr>
              <w:spacing w:line="240" w:lineRule="exact"/>
            </w:pPr>
            <w:r>
              <w:t>Français</w:t>
            </w:r>
          </w:p>
          <w:p w14:paraId="608B7651" w14:textId="632BA709" w:rsidR="00721C41" w:rsidRPr="00DB58B5" w:rsidRDefault="00721C41" w:rsidP="00721C41">
            <w:pPr>
              <w:spacing w:line="240" w:lineRule="exact"/>
            </w:pPr>
            <w:r>
              <w:t xml:space="preserve">Original : </w:t>
            </w:r>
            <w:r w:rsidR="009112F1">
              <w:t>a</w:t>
            </w:r>
            <w:r>
              <w:t>nglais</w:t>
            </w:r>
          </w:p>
        </w:tc>
      </w:tr>
    </w:tbl>
    <w:p w14:paraId="782B1C4B" w14:textId="77777777" w:rsidR="002D14A3" w:rsidRDefault="002D14A3" w:rsidP="002D14A3">
      <w:pPr>
        <w:spacing w:before="120"/>
        <w:rPr>
          <w:b/>
          <w:sz w:val="24"/>
          <w:szCs w:val="24"/>
        </w:rPr>
      </w:pPr>
      <w:r w:rsidRPr="00DA3BE9">
        <w:rPr>
          <w:b/>
          <w:sz w:val="24"/>
          <w:szCs w:val="24"/>
        </w:rPr>
        <w:t>Comité des droits de l’enfant</w:t>
      </w:r>
    </w:p>
    <w:p w14:paraId="716D0460" w14:textId="63097F65" w:rsidR="009151FA" w:rsidRDefault="009151FA" w:rsidP="009112F1">
      <w:pPr>
        <w:pStyle w:val="HChG"/>
        <w:rPr>
          <w:sz w:val="20"/>
          <w:szCs w:val="14"/>
          <w:shd w:val="clear" w:color="000000" w:fill="FFFFFF"/>
          <w:lang w:val="fr-FR"/>
        </w:rPr>
      </w:pPr>
      <w:r>
        <w:rPr>
          <w:lang w:val="fr-FR"/>
        </w:rPr>
        <w:tab/>
      </w:r>
      <w:r>
        <w:rPr>
          <w:lang w:val="fr-FR"/>
        </w:rPr>
        <w:tab/>
      </w:r>
      <w:r w:rsidRPr="009112F1">
        <w:rPr>
          <w:rFonts w:ascii="Times New Roman Gras" w:hAnsi="Times New Roman Gras"/>
          <w:spacing w:val="-2"/>
          <w:lang w:val="fr-FR"/>
        </w:rPr>
        <w:t xml:space="preserve">Décision adoptée par le Comité au titre du Protocole facultatif à la Convention relative aux droits de l’enfant établissant </w:t>
      </w:r>
      <w:r w:rsidR="009112F1">
        <w:rPr>
          <w:rFonts w:ascii="Times New Roman Gras" w:hAnsi="Times New Roman Gras"/>
          <w:spacing w:val="-2"/>
          <w:lang w:val="fr-FR"/>
        </w:rPr>
        <w:br/>
      </w:r>
      <w:r w:rsidRPr="009112F1">
        <w:rPr>
          <w:rFonts w:ascii="Times New Roman Gras" w:hAnsi="Times New Roman Gras"/>
          <w:spacing w:val="-2"/>
          <w:lang w:val="fr-FR"/>
        </w:rPr>
        <w:t xml:space="preserve">une procédure de présentation de communications, </w:t>
      </w:r>
      <w:r w:rsidR="009112F1">
        <w:rPr>
          <w:rFonts w:ascii="Times New Roman Gras" w:hAnsi="Times New Roman Gras"/>
          <w:spacing w:val="-2"/>
          <w:lang w:val="fr-FR"/>
        </w:rPr>
        <w:br/>
      </w:r>
      <w:r w:rsidRPr="009112F1">
        <w:rPr>
          <w:rFonts w:ascii="Times New Roman Gras" w:hAnsi="Times New Roman Gras"/>
          <w:spacing w:val="-2"/>
          <w:lang w:val="fr-FR"/>
        </w:rPr>
        <w:t>concernant la communication n</w:t>
      </w:r>
      <w:r w:rsidRPr="009112F1">
        <w:rPr>
          <w:rFonts w:ascii="Times New Roman Gras" w:hAnsi="Times New Roman Gras"/>
          <w:spacing w:val="-2"/>
          <w:vertAlign w:val="superscript"/>
          <w:lang w:val="fr-FR"/>
        </w:rPr>
        <w:t>o</w:t>
      </w:r>
      <w:r w:rsidRPr="009112F1">
        <w:rPr>
          <w:rFonts w:ascii="Times New Roman Gras" w:hAnsi="Times New Roman Gras"/>
          <w:spacing w:val="-2"/>
          <w:lang w:val="fr-FR"/>
        </w:rPr>
        <w:t> 85/2019</w:t>
      </w:r>
      <w:r w:rsidRPr="009112F1">
        <w:rPr>
          <w:b w:val="0"/>
          <w:bCs/>
          <w:sz w:val="20"/>
          <w:shd w:val="clear" w:color="000000" w:fill="FFFFFF"/>
          <w:lang w:val="fr-FR"/>
        </w:rPr>
        <w:footnoteReference w:customMarkFollows="1" w:id="2"/>
        <w:t>*</w:t>
      </w:r>
      <w:r w:rsidRPr="009112F1">
        <w:rPr>
          <w:b w:val="0"/>
          <w:bCs/>
          <w:sz w:val="20"/>
          <w:vertAlign w:val="superscript"/>
          <w:lang w:val="fr-FR"/>
        </w:rPr>
        <w:t>,</w:t>
      </w:r>
      <w:r w:rsidRPr="009112F1">
        <w:rPr>
          <w:b w:val="0"/>
          <w:bCs/>
          <w:sz w:val="20"/>
          <w:shd w:val="clear" w:color="000000" w:fill="FFFFFF"/>
          <w:lang w:val="fr-FR"/>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9151FA" w14:paraId="44584E7E" w14:textId="77777777">
        <w:tc>
          <w:tcPr>
            <w:tcW w:w="2552" w:type="dxa"/>
          </w:tcPr>
          <w:p w14:paraId="2B1664C7" w14:textId="77777777" w:rsidR="009151FA" w:rsidRDefault="009151FA">
            <w:pPr>
              <w:pStyle w:val="SingleTxtG"/>
              <w:ind w:left="0" w:right="0"/>
              <w:jc w:val="left"/>
              <w:rPr>
                <w:i/>
              </w:rPr>
            </w:pPr>
            <w:r>
              <w:rPr>
                <w:i/>
              </w:rPr>
              <w:t>Communication soumise par</w:t>
            </w:r>
            <w:r>
              <w:t> :</w:t>
            </w:r>
          </w:p>
        </w:tc>
        <w:tc>
          <w:tcPr>
            <w:tcW w:w="4253" w:type="dxa"/>
          </w:tcPr>
          <w:p w14:paraId="1524EB01" w14:textId="05B2F9EC" w:rsidR="009151FA" w:rsidRDefault="00F64F1D">
            <w:pPr>
              <w:pStyle w:val="SingleTxtG"/>
              <w:ind w:left="0" w:right="0"/>
              <w:jc w:val="left"/>
            </w:pPr>
            <w:r>
              <w:rPr>
                <w:lang w:val="fr-FR"/>
              </w:rPr>
              <w:t>A. S.</w:t>
            </w:r>
            <w:r w:rsidR="0030759F">
              <w:rPr>
                <w:lang w:val="fr-FR"/>
              </w:rPr>
              <w:t> </w:t>
            </w:r>
            <w:r w:rsidR="000869CA">
              <w:rPr>
                <w:lang w:val="fr-FR"/>
              </w:rPr>
              <w:t>A.</w:t>
            </w:r>
            <w:r w:rsidR="0030759F">
              <w:rPr>
                <w:lang w:val="fr-FR"/>
              </w:rPr>
              <w:t> </w:t>
            </w:r>
            <w:r w:rsidR="000869CA">
              <w:rPr>
                <w:lang w:val="fr-FR"/>
              </w:rPr>
              <w:t>M.</w:t>
            </w:r>
          </w:p>
        </w:tc>
      </w:tr>
      <w:tr w:rsidR="009151FA" w14:paraId="3EA9DA66" w14:textId="77777777">
        <w:tc>
          <w:tcPr>
            <w:tcW w:w="2552" w:type="dxa"/>
          </w:tcPr>
          <w:p w14:paraId="0AC81C68" w14:textId="77777777" w:rsidR="009151FA" w:rsidRDefault="009151FA">
            <w:pPr>
              <w:pStyle w:val="SingleTxtG"/>
              <w:ind w:left="0" w:right="0"/>
              <w:jc w:val="left"/>
              <w:rPr>
                <w:i/>
              </w:rPr>
            </w:pPr>
            <w:r>
              <w:rPr>
                <w:i/>
              </w:rPr>
              <w:t>Victime(s) présumée(s)</w:t>
            </w:r>
            <w:r>
              <w:t> :</w:t>
            </w:r>
          </w:p>
        </w:tc>
        <w:tc>
          <w:tcPr>
            <w:tcW w:w="4253" w:type="dxa"/>
          </w:tcPr>
          <w:p w14:paraId="39F67316" w14:textId="12FAFC9C" w:rsidR="009151FA" w:rsidRDefault="000869CA">
            <w:pPr>
              <w:pStyle w:val="SingleTxtG"/>
              <w:ind w:left="0" w:right="0"/>
              <w:jc w:val="left"/>
            </w:pPr>
            <w:r w:rsidRPr="00797636">
              <w:rPr>
                <w:lang w:val="en-US"/>
              </w:rPr>
              <w:t>A. S.</w:t>
            </w:r>
          </w:p>
        </w:tc>
      </w:tr>
      <w:tr w:rsidR="009151FA" w14:paraId="54BF31E1" w14:textId="77777777">
        <w:tc>
          <w:tcPr>
            <w:tcW w:w="2552" w:type="dxa"/>
          </w:tcPr>
          <w:p w14:paraId="152C58DE" w14:textId="77777777" w:rsidR="009151FA" w:rsidRDefault="009151FA">
            <w:pPr>
              <w:pStyle w:val="SingleTxtG"/>
              <w:ind w:left="0" w:right="0"/>
              <w:jc w:val="left"/>
              <w:rPr>
                <w:i/>
              </w:rPr>
            </w:pPr>
            <w:r>
              <w:rPr>
                <w:i/>
              </w:rPr>
              <w:t>État partie</w:t>
            </w:r>
            <w:r>
              <w:t> :</w:t>
            </w:r>
          </w:p>
        </w:tc>
        <w:tc>
          <w:tcPr>
            <w:tcW w:w="4253" w:type="dxa"/>
          </w:tcPr>
          <w:p w14:paraId="615A0002" w14:textId="675C2653" w:rsidR="009151FA" w:rsidRDefault="000869CA">
            <w:pPr>
              <w:pStyle w:val="SingleTxtG"/>
              <w:ind w:left="0" w:right="0"/>
              <w:jc w:val="left"/>
            </w:pPr>
            <w:r>
              <w:rPr>
                <w:lang w:val="fr-FR"/>
              </w:rPr>
              <w:t>Danemark</w:t>
            </w:r>
          </w:p>
        </w:tc>
      </w:tr>
      <w:tr w:rsidR="009151FA" w14:paraId="5B90930C" w14:textId="77777777">
        <w:tc>
          <w:tcPr>
            <w:tcW w:w="2552" w:type="dxa"/>
          </w:tcPr>
          <w:p w14:paraId="45E966D2" w14:textId="56240BF4" w:rsidR="009151FA" w:rsidRDefault="009151FA">
            <w:pPr>
              <w:pStyle w:val="SingleTxtG"/>
              <w:ind w:left="0" w:right="0"/>
              <w:jc w:val="left"/>
              <w:rPr>
                <w:i/>
              </w:rPr>
            </w:pPr>
            <w:r>
              <w:rPr>
                <w:i/>
              </w:rPr>
              <w:t xml:space="preserve">Date de la </w:t>
            </w:r>
            <w:r w:rsidR="000869CA">
              <w:rPr>
                <w:i/>
              </w:rPr>
              <w:t>communication</w:t>
            </w:r>
            <w:r>
              <w:t> :</w:t>
            </w:r>
          </w:p>
        </w:tc>
        <w:tc>
          <w:tcPr>
            <w:tcW w:w="4253" w:type="dxa"/>
          </w:tcPr>
          <w:p w14:paraId="261A5737" w14:textId="44B55D69" w:rsidR="009151FA" w:rsidRDefault="000869CA">
            <w:pPr>
              <w:pStyle w:val="SingleTxtG"/>
              <w:ind w:left="0" w:right="0"/>
              <w:jc w:val="left"/>
            </w:pPr>
            <w:r>
              <w:rPr>
                <w:lang w:val="fr-FR"/>
              </w:rPr>
              <w:t>12 mai 2019</w:t>
            </w:r>
          </w:p>
        </w:tc>
      </w:tr>
      <w:tr w:rsidR="000869CA" w14:paraId="471DC7E4" w14:textId="77777777" w:rsidTr="006B7CE5">
        <w:tc>
          <w:tcPr>
            <w:tcW w:w="2552" w:type="dxa"/>
          </w:tcPr>
          <w:p w14:paraId="407AECF4" w14:textId="3ED810A7" w:rsidR="000869CA" w:rsidRDefault="000869CA" w:rsidP="006B7CE5">
            <w:pPr>
              <w:pStyle w:val="SingleTxtG"/>
              <w:ind w:left="0" w:right="0"/>
              <w:jc w:val="left"/>
              <w:rPr>
                <w:i/>
              </w:rPr>
            </w:pPr>
            <w:r>
              <w:rPr>
                <w:i/>
              </w:rPr>
              <w:t>Objet</w:t>
            </w:r>
            <w:r>
              <w:t> :</w:t>
            </w:r>
          </w:p>
        </w:tc>
        <w:tc>
          <w:tcPr>
            <w:tcW w:w="4253" w:type="dxa"/>
            <w:vAlign w:val="bottom"/>
          </w:tcPr>
          <w:p w14:paraId="46E12A3A" w14:textId="14923699" w:rsidR="000869CA" w:rsidRDefault="000869CA" w:rsidP="006B7CE5">
            <w:pPr>
              <w:pStyle w:val="SingleTxtG"/>
              <w:ind w:left="0" w:right="0"/>
              <w:jc w:val="left"/>
            </w:pPr>
            <w:r>
              <w:rPr>
                <w:lang w:val="fr-FR"/>
              </w:rPr>
              <w:t>Expulsion d’une fille vers la Somalie, où elle courrait le risque de subir des mutilations génitales féminines</w:t>
            </w:r>
          </w:p>
        </w:tc>
      </w:tr>
      <w:tr w:rsidR="009151FA" w14:paraId="7065F3BA" w14:textId="77777777">
        <w:tc>
          <w:tcPr>
            <w:tcW w:w="2552" w:type="dxa"/>
          </w:tcPr>
          <w:p w14:paraId="54662ACB" w14:textId="1F784D94" w:rsidR="009151FA" w:rsidRDefault="000869CA">
            <w:pPr>
              <w:pStyle w:val="SingleTxtG"/>
              <w:ind w:left="0" w:right="0"/>
              <w:jc w:val="left"/>
              <w:rPr>
                <w:i/>
              </w:rPr>
            </w:pPr>
            <w:r>
              <w:rPr>
                <w:i/>
                <w:iCs/>
                <w:lang w:val="fr-FR"/>
              </w:rPr>
              <w:t>Article(s) de la Convention</w:t>
            </w:r>
            <w:r w:rsidR="009151FA">
              <w:t> :</w:t>
            </w:r>
          </w:p>
        </w:tc>
        <w:tc>
          <w:tcPr>
            <w:tcW w:w="4253" w:type="dxa"/>
            <w:vAlign w:val="bottom"/>
          </w:tcPr>
          <w:p w14:paraId="6E849C1D" w14:textId="33D60267" w:rsidR="009151FA" w:rsidRDefault="000869CA">
            <w:pPr>
              <w:pStyle w:val="SingleTxtG"/>
              <w:ind w:left="0" w:right="0"/>
              <w:jc w:val="left"/>
            </w:pPr>
            <w:r>
              <w:rPr>
                <w:lang w:val="fr-FR"/>
              </w:rPr>
              <w:t>3, 19, 24 et 37</w:t>
            </w:r>
          </w:p>
        </w:tc>
      </w:tr>
    </w:tbl>
    <w:p w14:paraId="61B3C755" w14:textId="19AD0D31" w:rsidR="009151FA" w:rsidRPr="00797636" w:rsidRDefault="009151FA" w:rsidP="000869CA">
      <w:pPr>
        <w:pStyle w:val="SingleTxtG"/>
        <w:spacing w:before="120"/>
        <w:rPr>
          <w:shd w:val="clear" w:color="000000" w:fill="FFFFFF"/>
          <w:lang w:val="fr-FR"/>
        </w:rPr>
      </w:pPr>
      <w:r>
        <w:rPr>
          <w:lang w:val="fr-FR"/>
        </w:rPr>
        <w:t>1.</w:t>
      </w:r>
      <w:r>
        <w:rPr>
          <w:lang w:val="fr-FR"/>
        </w:rPr>
        <w:tab/>
        <w:t xml:space="preserve">L’auteur est </w:t>
      </w:r>
      <w:r w:rsidR="00F64F1D">
        <w:rPr>
          <w:lang w:val="fr-FR"/>
        </w:rPr>
        <w:t>A.S.</w:t>
      </w:r>
      <w:r w:rsidR="0030759F">
        <w:rPr>
          <w:lang w:val="fr-FR"/>
        </w:rPr>
        <w:t> </w:t>
      </w:r>
      <w:r>
        <w:rPr>
          <w:lang w:val="fr-FR"/>
        </w:rPr>
        <w:t>A.</w:t>
      </w:r>
      <w:r w:rsidR="0030759F">
        <w:rPr>
          <w:lang w:val="fr-FR"/>
        </w:rPr>
        <w:t> </w:t>
      </w:r>
      <w:r>
        <w:rPr>
          <w:lang w:val="fr-FR"/>
        </w:rPr>
        <w:t>M., qui soumet la communication au nom de sa fille A.</w:t>
      </w:r>
      <w:r w:rsidR="00F64F1D">
        <w:rPr>
          <w:lang w:val="fr-FR"/>
        </w:rPr>
        <w:t> </w:t>
      </w:r>
      <w:r>
        <w:rPr>
          <w:lang w:val="fr-FR"/>
        </w:rPr>
        <w:t xml:space="preserve">S., de nationalité somalienne, née le 9 septembre 2001. </w:t>
      </w:r>
      <w:r w:rsidR="00F64F1D">
        <w:rPr>
          <w:lang w:val="fr-FR"/>
        </w:rPr>
        <w:t>A. S.</w:t>
      </w:r>
      <w:r>
        <w:rPr>
          <w:lang w:val="fr-FR"/>
        </w:rPr>
        <w:t xml:space="preserve"> appartient au clan </w:t>
      </w:r>
      <w:proofErr w:type="spellStart"/>
      <w:r w:rsidR="00F64F1D">
        <w:rPr>
          <w:lang w:val="fr-FR"/>
        </w:rPr>
        <w:t>h</w:t>
      </w:r>
      <w:r>
        <w:rPr>
          <w:lang w:val="fr-FR"/>
        </w:rPr>
        <w:t>awiye</w:t>
      </w:r>
      <w:proofErr w:type="spellEnd"/>
      <w:r w:rsidRPr="00C421C2">
        <w:rPr>
          <w:lang w:val="fr-FR"/>
        </w:rPr>
        <w:t xml:space="preserve"> </w:t>
      </w:r>
      <w:r>
        <w:rPr>
          <w:lang w:val="fr-FR"/>
        </w:rPr>
        <w:t>et est musulmane. L’auteur soutient que l’expulsion de sa fille vers la Somalie constituerait une violation des droits qu’elle tient des articles 3, 19, 24 et 37 de la Convention. Le Protocole facultatif est entré en vigueur pour l’État partie le 7 janvier 2016.</w:t>
      </w:r>
    </w:p>
    <w:p w14:paraId="48F2FBCB" w14:textId="2F9DB83B" w:rsidR="009151FA" w:rsidRPr="00E725F7" w:rsidRDefault="009151FA" w:rsidP="009151FA">
      <w:pPr>
        <w:pStyle w:val="SingleTxtG"/>
        <w:rPr>
          <w:shd w:val="clear" w:color="000000" w:fill="FFFFFF"/>
          <w:lang w:val="fr-FR"/>
        </w:rPr>
      </w:pPr>
      <w:r>
        <w:rPr>
          <w:lang w:val="fr-FR"/>
        </w:rPr>
        <w:t>2.</w:t>
      </w:r>
      <w:r>
        <w:rPr>
          <w:lang w:val="fr-FR"/>
        </w:rPr>
        <w:tab/>
      </w:r>
      <w:r w:rsidR="00F64F1D">
        <w:rPr>
          <w:lang w:val="fr-FR"/>
        </w:rPr>
        <w:t>A. S.</w:t>
      </w:r>
      <w:r>
        <w:rPr>
          <w:lang w:val="fr-FR"/>
        </w:rPr>
        <w:t xml:space="preserve"> est arrivée au Danemark en 2013, à une date non précisée. Le 4 juillet 2013, elle a reçu son permis de séjour au Danemark. Le 11 juillet 2017, le Service danois de l’immigration a décidé de ne pas renouveler les permis de séjour de l’auteur et d’</w:t>
      </w:r>
      <w:r w:rsidR="00F64F1D">
        <w:rPr>
          <w:lang w:val="fr-FR"/>
        </w:rPr>
        <w:t>A. S.</w:t>
      </w:r>
      <w:r>
        <w:rPr>
          <w:lang w:val="fr-FR"/>
        </w:rPr>
        <w:t xml:space="preserve"> Le</w:t>
      </w:r>
      <w:r w:rsidR="00C10A24">
        <w:rPr>
          <w:lang w:val="fr-FR"/>
        </w:rPr>
        <w:t> </w:t>
      </w:r>
      <w:r>
        <w:rPr>
          <w:lang w:val="fr-FR"/>
        </w:rPr>
        <w:t>14 juillet</w:t>
      </w:r>
      <w:r w:rsidR="00C10A24">
        <w:rPr>
          <w:lang w:val="fr-FR"/>
        </w:rPr>
        <w:t xml:space="preserve"> 2</w:t>
      </w:r>
      <w:r>
        <w:rPr>
          <w:lang w:val="fr-FR"/>
        </w:rPr>
        <w:t>017, l’auteur a fait appel devant la Commission de recours des réfugiés. Dans</w:t>
      </w:r>
      <w:r w:rsidR="00C10A24">
        <w:rPr>
          <w:lang w:val="fr-FR"/>
        </w:rPr>
        <w:t> </w:t>
      </w:r>
      <w:r>
        <w:rPr>
          <w:lang w:val="fr-FR"/>
        </w:rPr>
        <w:t xml:space="preserve">son appel, il soutenait que, si elle était renvoyée en Somalie, sa fille risquait d’être enlevée et agressée sexuellement par les </w:t>
      </w:r>
      <w:proofErr w:type="spellStart"/>
      <w:r w:rsidRPr="00BA3C78">
        <w:rPr>
          <w:lang w:val="fr-FR"/>
        </w:rPr>
        <w:t>Chabab</w:t>
      </w:r>
      <w:proofErr w:type="spellEnd"/>
      <w:r w:rsidRPr="00BA3C78">
        <w:rPr>
          <w:lang w:val="fr-FR"/>
        </w:rPr>
        <w:t xml:space="preserve"> </w:t>
      </w:r>
      <w:r>
        <w:rPr>
          <w:lang w:val="fr-FR"/>
        </w:rPr>
        <w:t>et de subir des mutilations génitales. L’auteur indique que, le 7 février 2019, la Commission de recours des réfugiés a rejeté cette demande,</w:t>
      </w:r>
      <w:r w:rsidRPr="008D34EA">
        <w:rPr>
          <w:lang w:val="fr-FR"/>
        </w:rPr>
        <w:t xml:space="preserve"> </w:t>
      </w:r>
      <w:r>
        <w:rPr>
          <w:lang w:val="fr-FR"/>
        </w:rPr>
        <w:t>estimant qu’il était peu probable qu’</w:t>
      </w:r>
      <w:r w:rsidR="00F64F1D">
        <w:rPr>
          <w:lang w:val="fr-FR"/>
        </w:rPr>
        <w:t>A. S.</w:t>
      </w:r>
      <w:r>
        <w:rPr>
          <w:lang w:val="fr-FR"/>
        </w:rPr>
        <w:t xml:space="preserve"> risque d’être soumise de force à des mutilations génitales si elle était renvoyée en Somalie. La Commission a fait valoir qu’</w:t>
      </w:r>
      <w:r w:rsidR="00F64F1D">
        <w:rPr>
          <w:lang w:val="fr-FR"/>
        </w:rPr>
        <w:t>A. S.</w:t>
      </w:r>
      <w:r>
        <w:rPr>
          <w:lang w:val="fr-FR"/>
        </w:rPr>
        <w:t xml:space="preserve"> n’ayant pas subi de mutilations génitales pendant la période où ses deux parents se trouvaient hors de Somalie alors qu’elle y était restée avec sa tante, </w:t>
      </w:r>
      <w:r w:rsidRPr="00A86AC6">
        <w:rPr>
          <w:lang w:val="fr-FR"/>
        </w:rPr>
        <w:t xml:space="preserve">aucun des deux parents ne semblait avoir dans sa famille ou parmi ses proches des personnes qui feraient </w:t>
      </w:r>
      <w:r>
        <w:rPr>
          <w:lang w:val="fr-FR"/>
        </w:rPr>
        <w:t>pression pour la soumettre de force  à cette pratique. Elle a estimé, en conclusion, que les deux parents d’</w:t>
      </w:r>
      <w:r w:rsidR="00F64F1D">
        <w:rPr>
          <w:lang w:val="fr-FR"/>
        </w:rPr>
        <w:t>A. S.</w:t>
      </w:r>
      <w:r>
        <w:rPr>
          <w:lang w:val="fr-FR"/>
        </w:rPr>
        <w:t xml:space="preserve"> semblaient tout à fait à même de résister à d’éventuelles pressions sociales visant à soumettre la jeune fille à des mutilations génitales.</w:t>
      </w:r>
    </w:p>
    <w:p w14:paraId="2CB27483" w14:textId="2B1AA88F" w:rsidR="009151FA" w:rsidRPr="00E725F7" w:rsidRDefault="009151FA" w:rsidP="009151FA">
      <w:pPr>
        <w:pStyle w:val="SingleTxtG"/>
        <w:rPr>
          <w:shd w:val="clear" w:color="000000" w:fill="FFFFFF"/>
          <w:lang w:val="fr-FR"/>
        </w:rPr>
      </w:pPr>
      <w:r>
        <w:rPr>
          <w:lang w:val="fr-FR"/>
        </w:rPr>
        <w:lastRenderedPageBreak/>
        <w:t>3.</w:t>
      </w:r>
      <w:r>
        <w:rPr>
          <w:lang w:val="fr-FR"/>
        </w:rPr>
        <w:tab/>
        <w:t>Le 16 mai</w:t>
      </w:r>
      <w:r w:rsidR="00864FCA">
        <w:rPr>
          <w:lang w:val="fr-FR"/>
        </w:rPr>
        <w:t xml:space="preserve"> </w:t>
      </w:r>
      <w:r>
        <w:rPr>
          <w:lang w:val="fr-FR"/>
        </w:rPr>
        <w:t>2019, le Groupe de travail des communications, agissant au nom du Comité et se fondant sur l’article 6 du Protocole facultatif, a demandé à l’État partie de prendre des mesures provisoires tendant à suspendre l’expulsion d’</w:t>
      </w:r>
      <w:r w:rsidR="00F64F1D">
        <w:rPr>
          <w:lang w:val="fr-FR"/>
        </w:rPr>
        <w:t>A.</w:t>
      </w:r>
      <w:r w:rsidR="0030759F">
        <w:rPr>
          <w:lang w:val="fr-FR"/>
        </w:rPr>
        <w:t> </w:t>
      </w:r>
      <w:r w:rsidR="00F64F1D">
        <w:rPr>
          <w:lang w:val="fr-FR"/>
        </w:rPr>
        <w:t>S.</w:t>
      </w:r>
      <w:r w:rsidR="0030759F">
        <w:rPr>
          <w:lang w:val="fr-FR"/>
        </w:rPr>
        <w:t> </w:t>
      </w:r>
      <w:r>
        <w:rPr>
          <w:lang w:val="fr-FR"/>
        </w:rPr>
        <w:t>A.</w:t>
      </w:r>
      <w:r w:rsidR="0030759F">
        <w:rPr>
          <w:lang w:val="fr-FR"/>
        </w:rPr>
        <w:t> </w:t>
      </w:r>
      <w:r>
        <w:rPr>
          <w:lang w:val="fr-FR"/>
        </w:rPr>
        <w:t>M et d’</w:t>
      </w:r>
      <w:r w:rsidR="00F64F1D">
        <w:rPr>
          <w:lang w:val="fr-FR"/>
        </w:rPr>
        <w:t>A. S.</w:t>
      </w:r>
      <w:r>
        <w:rPr>
          <w:lang w:val="fr-FR"/>
        </w:rPr>
        <w:t xml:space="preserve"> tant que la communication serait à l’examen par le Comité.</w:t>
      </w:r>
    </w:p>
    <w:p w14:paraId="552C904B" w14:textId="2819D9D2" w:rsidR="009151FA" w:rsidRPr="00E725F7" w:rsidRDefault="009151FA" w:rsidP="009151FA">
      <w:pPr>
        <w:pStyle w:val="SingleTxtG"/>
        <w:rPr>
          <w:shd w:val="clear" w:color="000000" w:fill="FFFFFF"/>
          <w:lang w:val="fr-FR"/>
        </w:rPr>
      </w:pPr>
      <w:r>
        <w:rPr>
          <w:lang w:val="fr-FR"/>
        </w:rPr>
        <w:t>4.</w:t>
      </w:r>
      <w:r>
        <w:rPr>
          <w:lang w:val="fr-FR"/>
        </w:rPr>
        <w:tab/>
        <w:t>Le 5 juillet 2019, l’État partie a soumis ses observations sur la recevabilité de la communication et demandé au Comité d’examiner la recevabilité séparément du fond. Il a soutenu que la communication devait être déclarée irrecevable au titre de l’article</w:t>
      </w:r>
      <w:r w:rsidR="0030759F">
        <w:rPr>
          <w:lang w:val="fr-FR"/>
        </w:rPr>
        <w:t> </w:t>
      </w:r>
      <w:r>
        <w:rPr>
          <w:lang w:val="fr-FR"/>
        </w:rPr>
        <w:t>7 (al</w:t>
      </w:r>
      <w:r w:rsidR="0030759F">
        <w:rPr>
          <w:lang w:val="fr-FR"/>
        </w:rPr>
        <w:t>. </w:t>
      </w:r>
      <w:r>
        <w:rPr>
          <w:lang w:val="fr-FR"/>
        </w:rPr>
        <w:t xml:space="preserve">h)) du Protocole facultatif, étant donné qu’elle n’avait pas été présentée </w:t>
      </w:r>
      <w:r w:rsidRPr="00F56946">
        <w:rPr>
          <w:lang w:val="fr-FR"/>
        </w:rPr>
        <w:t xml:space="preserve">dans les douze mois </w:t>
      </w:r>
      <w:r>
        <w:rPr>
          <w:lang w:val="fr-FR"/>
        </w:rPr>
        <w:t>suivant l’épuisement des recours internes. Il a en outre demandé la levée des mesures provisoires.</w:t>
      </w:r>
    </w:p>
    <w:p w14:paraId="29A86AC2" w14:textId="77777777" w:rsidR="009151FA" w:rsidRPr="00E725F7" w:rsidRDefault="009151FA" w:rsidP="009151FA">
      <w:pPr>
        <w:pStyle w:val="SingleTxtG"/>
        <w:rPr>
          <w:shd w:val="clear" w:color="000000" w:fill="FFFFFF"/>
          <w:lang w:val="fr-FR"/>
        </w:rPr>
      </w:pPr>
      <w:r>
        <w:rPr>
          <w:lang w:val="fr-FR"/>
        </w:rPr>
        <w:t>5.</w:t>
      </w:r>
      <w:r>
        <w:rPr>
          <w:lang w:val="fr-FR"/>
        </w:rPr>
        <w:tab/>
        <w:t>Le 15 août 2019, l’auteur a présenté ses commentaires sur les observations de l’État partie concernant la recevabilité. Il a expliqué avoir commis une erreur dans sa communication initiale, la décision de la Commission de recours des réfugiés datant en réalité du 7 février 2018. Le même jour, le Groupe de travail des communications, agissant au nom du Comité, a décidé d’accéder aux requêtes de l’État partie tendant à ce que la recevabilité de la communication soit examinée séparément du fond et à ce que les mesures provisoires soient levées.</w:t>
      </w:r>
    </w:p>
    <w:p w14:paraId="3D146254" w14:textId="77777777" w:rsidR="009151FA" w:rsidRPr="00E725F7" w:rsidRDefault="009151FA" w:rsidP="009151FA">
      <w:pPr>
        <w:pStyle w:val="SingleTxtG"/>
        <w:rPr>
          <w:shd w:val="clear" w:color="000000" w:fill="FFFFFF"/>
          <w:lang w:val="fr-FR"/>
        </w:rPr>
      </w:pPr>
      <w:r>
        <w:rPr>
          <w:lang w:val="fr-FR"/>
        </w:rPr>
        <w:t>6.</w:t>
      </w:r>
      <w:r>
        <w:rPr>
          <w:lang w:val="fr-FR"/>
        </w:rPr>
        <w:tab/>
        <w:t>Le 21 novembre 2019, l’État partie a demandé la suspension de l’examen de la communication au motif que la procédure interne de demande d’asile avait été rouverte.</w:t>
      </w:r>
    </w:p>
    <w:p w14:paraId="520CFFCA" w14:textId="77777777" w:rsidR="009151FA" w:rsidRPr="00E725F7" w:rsidRDefault="009151FA" w:rsidP="009151FA">
      <w:pPr>
        <w:pStyle w:val="SingleTxtG"/>
        <w:rPr>
          <w:shd w:val="clear" w:color="000000" w:fill="FFFFFF"/>
          <w:lang w:val="fr-FR"/>
        </w:rPr>
      </w:pPr>
      <w:r>
        <w:rPr>
          <w:lang w:val="fr-FR"/>
        </w:rPr>
        <w:t>7.</w:t>
      </w:r>
      <w:r>
        <w:rPr>
          <w:lang w:val="fr-FR"/>
        </w:rPr>
        <w:tab/>
        <w:t>Le 27 janvier 2022, après plusieurs relances du secrétariat, l’auteur a informé le Comité que la Commission de recours des réfugiés avait accordé l’asile à sa fille, laquelle ne risquait donc plus d’être expulsée vers la Somalie.</w:t>
      </w:r>
    </w:p>
    <w:p w14:paraId="7C6850B9" w14:textId="7F2C568B" w:rsidR="007341B7" w:rsidRDefault="009151FA" w:rsidP="009151FA">
      <w:pPr>
        <w:pStyle w:val="SingleTxtG"/>
        <w:rPr>
          <w:lang w:val="fr-FR"/>
        </w:rPr>
      </w:pPr>
      <w:r>
        <w:rPr>
          <w:lang w:val="fr-FR"/>
        </w:rPr>
        <w:t>8.</w:t>
      </w:r>
      <w:r>
        <w:rPr>
          <w:lang w:val="fr-FR"/>
        </w:rPr>
        <w:tab/>
        <w:t>Réuni le 12 septembre</w:t>
      </w:r>
      <w:r w:rsidR="002E2BF5">
        <w:rPr>
          <w:lang w:val="fr-FR"/>
        </w:rPr>
        <w:t xml:space="preserve"> </w:t>
      </w:r>
      <w:r>
        <w:rPr>
          <w:lang w:val="fr-FR"/>
        </w:rPr>
        <w:t>2022, le Comité, estimant que la fille de l’auteur ne risquait plus d’être expulsée vers la Somalie et que la communication était donc devenue sans objet, a décidé de mettre fin à l’examen de la communication n</w:t>
      </w:r>
      <w:r>
        <w:rPr>
          <w:vertAlign w:val="superscript"/>
          <w:lang w:val="fr-FR"/>
        </w:rPr>
        <w:t>o</w:t>
      </w:r>
      <w:r>
        <w:rPr>
          <w:lang w:val="fr-FR"/>
        </w:rPr>
        <w:t> 85/2019, conformément à l’article</w:t>
      </w:r>
      <w:r w:rsidR="002E2BF5">
        <w:rPr>
          <w:lang w:val="fr-FR"/>
        </w:rPr>
        <w:t> </w:t>
      </w:r>
      <w:r>
        <w:rPr>
          <w:lang w:val="fr-FR"/>
        </w:rPr>
        <w:t>26 de son règlement intérieur au titre du Protocole facultatif à la Convention relative aux droits de l’enfant établissant une procédure de présentation de communications.</w:t>
      </w:r>
    </w:p>
    <w:p w14:paraId="5CA0C04B" w14:textId="1DFDF4AF" w:rsidR="009151FA" w:rsidRPr="009151FA" w:rsidRDefault="009151FA" w:rsidP="009151FA">
      <w:pPr>
        <w:pStyle w:val="SingleTxtG"/>
        <w:spacing w:before="240" w:after="0"/>
        <w:jc w:val="center"/>
        <w:rPr>
          <w:u w:val="single"/>
        </w:rPr>
      </w:pPr>
      <w:r>
        <w:rPr>
          <w:u w:val="single"/>
        </w:rPr>
        <w:tab/>
      </w:r>
      <w:r>
        <w:rPr>
          <w:u w:val="single"/>
        </w:rPr>
        <w:tab/>
      </w:r>
      <w:r>
        <w:rPr>
          <w:u w:val="single"/>
        </w:rPr>
        <w:tab/>
      </w:r>
    </w:p>
    <w:sectPr w:rsidR="009151FA" w:rsidRPr="009151FA" w:rsidSect="00721C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5D6E6" w14:textId="77777777" w:rsidR="00D14DEE" w:rsidRDefault="00D14DEE" w:rsidP="00F95C08">
      <w:pPr>
        <w:spacing w:line="240" w:lineRule="auto"/>
      </w:pPr>
    </w:p>
  </w:endnote>
  <w:endnote w:type="continuationSeparator" w:id="0">
    <w:p w14:paraId="6E52DA42" w14:textId="77777777" w:rsidR="00D14DEE" w:rsidRPr="00AC3823" w:rsidRDefault="00D14DEE" w:rsidP="00AC3823">
      <w:pPr>
        <w:pStyle w:val="Pieddepage"/>
      </w:pPr>
    </w:p>
  </w:endnote>
  <w:endnote w:type="continuationNotice" w:id="1">
    <w:p w14:paraId="47589E99" w14:textId="77777777" w:rsidR="00D14DEE" w:rsidRDefault="00D14D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073F5" w14:textId="1D96D46B" w:rsidR="00721C41" w:rsidRPr="00721C41" w:rsidRDefault="00721C41" w:rsidP="00721C41">
    <w:pPr>
      <w:pStyle w:val="Pieddepage"/>
      <w:tabs>
        <w:tab w:val="right" w:pos="9638"/>
      </w:tabs>
    </w:pPr>
    <w:r w:rsidRPr="00721C41">
      <w:rPr>
        <w:b/>
        <w:sz w:val="18"/>
      </w:rPr>
      <w:fldChar w:fldCharType="begin"/>
    </w:r>
    <w:r w:rsidRPr="00721C41">
      <w:rPr>
        <w:b/>
        <w:sz w:val="18"/>
      </w:rPr>
      <w:instrText xml:space="preserve"> PAGE  \* MERGEFORMAT </w:instrText>
    </w:r>
    <w:r w:rsidRPr="00721C41">
      <w:rPr>
        <w:b/>
        <w:sz w:val="18"/>
      </w:rPr>
      <w:fldChar w:fldCharType="separate"/>
    </w:r>
    <w:r w:rsidRPr="00721C41">
      <w:rPr>
        <w:b/>
        <w:noProof/>
        <w:sz w:val="18"/>
      </w:rPr>
      <w:t>2</w:t>
    </w:r>
    <w:r w:rsidRPr="00721C41">
      <w:rPr>
        <w:b/>
        <w:sz w:val="18"/>
      </w:rPr>
      <w:fldChar w:fldCharType="end"/>
    </w:r>
    <w:r>
      <w:rPr>
        <w:b/>
        <w:sz w:val="18"/>
      </w:rPr>
      <w:tab/>
    </w:r>
    <w:r>
      <w:t>GE.22-28558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019E8" w14:textId="2F5C45C8" w:rsidR="00721C41" w:rsidRPr="00721C41" w:rsidRDefault="00721C41" w:rsidP="00721C41">
    <w:pPr>
      <w:pStyle w:val="Pieddepage"/>
      <w:tabs>
        <w:tab w:val="right" w:pos="9638"/>
      </w:tabs>
      <w:rPr>
        <w:b/>
        <w:sz w:val="18"/>
      </w:rPr>
    </w:pPr>
    <w:r>
      <w:t>GE.22-28558</w:t>
    </w:r>
    <w:r>
      <w:tab/>
    </w:r>
    <w:r w:rsidRPr="00721C41">
      <w:rPr>
        <w:b/>
        <w:sz w:val="18"/>
      </w:rPr>
      <w:fldChar w:fldCharType="begin"/>
    </w:r>
    <w:r w:rsidRPr="00721C41">
      <w:rPr>
        <w:b/>
        <w:sz w:val="18"/>
      </w:rPr>
      <w:instrText xml:space="preserve"> PAGE  \* MERGEFORMAT </w:instrText>
    </w:r>
    <w:r w:rsidRPr="00721C41">
      <w:rPr>
        <w:b/>
        <w:sz w:val="18"/>
      </w:rPr>
      <w:fldChar w:fldCharType="separate"/>
    </w:r>
    <w:r w:rsidRPr="00721C41">
      <w:rPr>
        <w:b/>
        <w:noProof/>
        <w:sz w:val="18"/>
      </w:rPr>
      <w:t>3</w:t>
    </w:r>
    <w:r w:rsidRPr="00721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BA5A" w14:textId="729482E1" w:rsidR="002D14A3" w:rsidRPr="00721C41" w:rsidRDefault="00721C41" w:rsidP="00721C4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7A61DE8" wp14:editId="0E333AE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22-28558  (F)</w:t>
    </w:r>
    <w:r>
      <w:rPr>
        <w:noProof/>
        <w:sz w:val="20"/>
      </w:rPr>
      <w:drawing>
        <wp:anchor distT="0" distB="0" distL="114300" distR="114300" simplePos="0" relativeHeight="251660288" behindDoc="0" locked="0" layoutInCell="1" allowOverlap="1" wp14:anchorId="0B404FCF" wp14:editId="4425AFB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F7CB5" w14:textId="77777777" w:rsidR="00D14DEE" w:rsidRPr="00AC3823" w:rsidRDefault="00D14DEE" w:rsidP="00AC3823">
      <w:pPr>
        <w:pStyle w:val="Pieddepage"/>
        <w:tabs>
          <w:tab w:val="right" w:pos="2155"/>
        </w:tabs>
        <w:spacing w:after="80" w:line="240" w:lineRule="atLeast"/>
        <w:ind w:left="680"/>
        <w:rPr>
          <w:u w:val="single"/>
        </w:rPr>
      </w:pPr>
      <w:r>
        <w:rPr>
          <w:u w:val="single"/>
        </w:rPr>
        <w:tab/>
      </w:r>
    </w:p>
  </w:footnote>
  <w:footnote w:type="continuationSeparator" w:id="0">
    <w:p w14:paraId="03654074" w14:textId="77777777" w:rsidR="00D14DEE" w:rsidRPr="00AC3823" w:rsidRDefault="00D14DEE" w:rsidP="00AC3823">
      <w:pPr>
        <w:pStyle w:val="Pieddepage"/>
        <w:tabs>
          <w:tab w:val="right" w:pos="2155"/>
        </w:tabs>
        <w:spacing w:after="80" w:line="240" w:lineRule="atLeast"/>
        <w:ind w:left="680"/>
        <w:rPr>
          <w:u w:val="single"/>
        </w:rPr>
      </w:pPr>
      <w:r>
        <w:rPr>
          <w:u w:val="single"/>
        </w:rPr>
        <w:tab/>
      </w:r>
    </w:p>
  </w:footnote>
  <w:footnote w:type="continuationNotice" w:id="1">
    <w:p w14:paraId="17C6F660" w14:textId="77777777" w:rsidR="00D14DEE" w:rsidRPr="00AC3823" w:rsidRDefault="00D14DEE">
      <w:pPr>
        <w:spacing w:line="240" w:lineRule="auto"/>
        <w:rPr>
          <w:sz w:val="2"/>
          <w:szCs w:val="2"/>
        </w:rPr>
      </w:pPr>
    </w:p>
  </w:footnote>
  <w:footnote w:id="2">
    <w:p w14:paraId="26D38ABE" w14:textId="77777777" w:rsidR="009151FA" w:rsidRPr="00E725F7" w:rsidRDefault="009151FA" w:rsidP="009151FA">
      <w:pPr>
        <w:pStyle w:val="Notedebasdepage"/>
        <w:rPr>
          <w:lang w:val="fr-FR"/>
        </w:rPr>
      </w:pPr>
      <w:r>
        <w:rPr>
          <w:lang w:val="fr-FR"/>
        </w:rPr>
        <w:tab/>
      </w:r>
      <w:r w:rsidRPr="00C10A24">
        <w:rPr>
          <w:sz w:val="20"/>
          <w:lang w:val="fr-FR"/>
        </w:rPr>
        <w:t>*</w:t>
      </w:r>
      <w:r>
        <w:rPr>
          <w:lang w:val="fr-FR"/>
        </w:rPr>
        <w:tab/>
        <w:t>Adoptée par le Comité à sa quatre-vingt-onzième session (29 août-23 septembre 2022)</w:t>
      </w:r>
    </w:p>
  </w:footnote>
  <w:footnote w:id="3">
    <w:p w14:paraId="1C7E5ACA" w14:textId="58452720" w:rsidR="009151FA" w:rsidRPr="00E725F7" w:rsidRDefault="009151FA" w:rsidP="009151FA">
      <w:pPr>
        <w:pStyle w:val="Notedebasdepage"/>
        <w:rPr>
          <w:lang w:val="fr-FR"/>
        </w:rPr>
      </w:pPr>
      <w:r>
        <w:rPr>
          <w:lang w:val="fr-FR"/>
        </w:rPr>
        <w:tab/>
      </w:r>
      <w:r w:rsidRPr="00C10A24">
        <w:rPr>
          <w:sz w:val="20"/>
          <w:lang w:val="fr-FR"/>
        </w:rPr>
        <w:t>**</w:t>
      </w:r>
      <w:r>
        <w:rPr>
          <w:lang w:val="fr-FR"/>
        </w:rPr>
        <w:tab/>
        <w:t>Les membres du Comité dont le nom suit ont participé à l’examen de la communication</w:t>
      </w:r>
      <w:r w:rsidR="00471895">
        <w:rPr>
          <w:lang w:val="fr-FR"/>
        </w:rPr>
        <w:t> </w:t>
      </w:r>
      <w:r>
        <w:rPr>
          <w:lang w:val="fr-FR"/>
        </w:rPr>
        <w:t xml:space="preserve">: Suzanne Aho, Aïssatou Alassane Moulaye, Hynd </w:t>
      </w:r>
      <w:proofErr w:type="spellStart"/>
      <w:r>
        <w:rPr>
          <w:lang w:val="fr-FR"/>
        </w:rPr>
        <w:t>Ayoubi</w:t>
      </w:r>
      <w:proofErr w:type="spellEnd"/>
      <w:r>
        <w:rPr>
          <w:lang w:val="fr-FR"/>
        </w:rPr>
        <w:t xml:space="preserve"> Idrissi, </w:t>
      </w:r>
      <w:proofErr w:type="spellStart"/>
      <w:r>
        <w:rPr>
          <w:lang w:val="fr-FR"/>
        </w:rPr>
        <w:t>Rinchen</w:t>
      </w:r>
      <w:proofErr w:type="spellEnd"/>
      <w:r>
        <w:rPr>
          <w:lang w:val="fr-FR"/>
        </w:rPr>
        <w:t xml:space="preserve"> </w:t>
      </w:r>
      <w:proofErr w:type="spellStart"/>
      <w:r>
        <w:rPr>
          <w:lang w:val="fr-FR"/>
        </w:rPr>
        <w:t>Chophel</w:t>
      </w:r>
      <w:proofErr w:type="spellEnd"/>
      <w:r>
        <w:rPr>
          <w:lang w:val="fr-FR"/>
        </w:rPr>
        <w:t xml:space="preserve">, Bragi </w:t>
      </w:r>
      <w:proofErr w:type="spellStart"/>
      <w:r>
        <w:rPr>
          <w:lang w:val="fr-FR"/>
        </w:rPr>
        <w:t>Gudbrandsson</w:t>
      </w:r>
      <w:proofErr w:type="spellEnd"/>
      <w:r>
        <w:rPr>
          <w:lang w:val="fr-FR"/>
        </w:rPr>
        <w:t xml:space="preserve">, Philip Jaffé, </w:t>
      </w:r>
      <w:proofErr w:type="spellStart"/>
      <w:r>
        <w:rPr>
          <w:lang w:val="fr-FR"/>
        </w:rPr>
        <w:t>Sopio</w:t>
      </w:r>
      <w:proofErr w:type="spellEnd"/>
      <w:r>
        <w:rPr>
          <w:lang w:val="fr-FR"/>
        </w:rPr>
        <w:t xml:space="preserve"> </w:t>
      </w:r>
      <w:proofErr w:type="spellStart"/>
      <w:r>
        <w:rPr>
          <w:lang w:val="fr-FR"/>
        </w:rPr>
        <w:t>Kiladze</w:t>
      </w:r>
      <w:proofErr w:type="spellEnd"/>
      <w:r>
        <w:rPr>
          <w:lang w:val="fr-FR"/>
        </w:rPr>
        <w:t xml:space="preserve">, </w:t>
      </w:r>
      <w:proofErr w:type="spellStart"/>
      <w:r>
        <w:rPr>
          <w:lang w:val="fr-FR"/>
        </w:rPr>
        <w:t>Gehad</w:t>
      </w:r>
      <w:proofErr w:type="spellEnd"/>
      <w:r>
        <w:rPr>
          <w:lang w:val="fr-FR"/>
        </w:rPr>
        <w:t xml:space="preserve"> Madi, Faith Marshall-Harris,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Clarence Nelson,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Ann Skelton, Velina </w:t>
      </w:r>
      <w:proofErr w:type="spellStart"/>
      <w:r>
        <w:rPr>
          <w:lang w:val="fr-FR"/>
        </w:rPr>
        <w:t>Todorova</w:t>
      </w:r>
      <w:proofErr w:type="spellEnd"/>
      <w:r>
        <w:rPr>
          <w:lang w:val="fr-FR"/>
        </w:rPr>
        <w:t xml:space="preserve">, </w:t>
      </w:r>
      <w:proofErr w:type="spellStart"/>
      <w:r>
        <w:rPr>
          <w:lang w:val="fr-FR"/>
        </w:rPr>
        <w:t>Benoit</w:t>
      </w:r>
      <w:proofErr w:type="spellEnd"/>
      <w:r>
        <w:rPr>
          <w:lang w:val="fr-FR"/>
        </w:rPr>
        <w:t xml:space="preserve"> Van </w:t>
      </w:r>
      <w:proofErr w:type="spellStart"/>
      <w:r>
        <w:rPr>
          <w:lang w:val="fr-FR"/>
        </w:rPr>
        <w:t>Keirsbilck</w:t>
      </w:r>
      <w:proofErr w:type="spellEnd"/>
      <w:r>
        <w:rPr>
          <w:lang w:val="fr-FR"/>
        </w:rPr>
        <w:t xml:space="preserve"> et </w:t>
      </w:r>
      <w:proofErr w:type="spellStart"/>
      <w:r>
        <w:rPr>
          <w:lang w:val="fr-FR"/>
        </w:rPr>
        <w:t>Ratou</w:t>
      </w:r>
      <w:proofErr w:type="spellEnd"/>
      <w:r>
        <w:rPr>
          <w:lang w:val="fr-FR"/>
        </w:rPr>
        <w:t xml:space="preserve">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72736" w14:textId="79E7A065" w:rsidR="00721C41" w:rsidRPr="00721C41" w:rsidRDefault="00721C41">
    <w:pPr>
      <w:pStyle w:val="En-tte"/>
    </w:pPr>
    <w:fldSimple w:instr=" TITLE  \* MERGEFORMAT ">
      <w:r>
        <w:t>CRC/C/91/D/85/2019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E9E9" w14:textId="395B772C" w:rsidR="00721C41" w:rsidRPr="00721C41" w:rsidRDefault="00721C41" w:rsidP="00721C41">
    <w:pPr>
      <w:pStyle w:val="En-tte"/>
      <w:jc w:val="right"/>
    </w:pPr>
    <w:fldSimple w:instr=" TITLE  \* MERGEFORMAT ">
      <w:r>
        <w:t>CRC/C/91/D/85/2019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76078006">
    <w:abstractNumId w:val="12"/>
  </w:num>
  <w:num w:numId="2" w16cid:durableId="1209225392">
    <w:abstractNumId w:val="11"/>
  </w:num>
  <w:num w:numId="3" w16cid:durableId="48576804">
    <w:abstractNumId w:val="10"/>
  </w:num>
  <w:num w:numId="4" w16cid:durableId="262954320">
    <w:abstractNumId w:val="8"/>
  </w:num>
  <w:num w:numId="5" w16cid:durableId="38362689">
    <w:abstractNumId w:val="3"/>
  </w:num>
  <w:num w:numId="6" w16cid:durableId="1414012696">
    <w:abstractNumId w:val="2"/>
  </w:num>
  <w:num w:numId="7" w16cid:durableId="240719015">
    <w:abstractNumId w:val="1"/>
  </w:num>
  <w:num w:numId="8" w16cid:durableId="1503815110">
    <w:abstractNumId w:val="0"/>
  </w:num>
  <w:num w:numId="9" w16cid:durableId="1950359059">
    <w:abstractNumId w:val="9"/>
  </w:num>
  <w:num w:numId="10" w16cid:durableId="559484889">
    <w:abstractNumId w:val="7"/>
  </w:num>
  <w:num w:numId="11" w16cid:durableId="761684804">
    <w:abstractNumId w:val="6"/>
  </w:num>
  <w:num w:numId="12" w16cid:durableId="650408334">
    <w:abstractNumId w:val="5"/>
  </w:num>
  <w:num w:numId="13" w16cid:durableId="769665345">
    <w:abstractNumId w:val="4"/>
  </w:num>
  <w:num w:numId="14" w16cid:durableId="374931506">
    <w:abstractNumId w:val="12"/>
  </w:num>
  <w:num w:numId="15" w16cid:durableId="1036782608">
    <w:abstractNumId w:val="11"/>
  </w:num>
  <w:num w:numId="16" w16cid:durableId="1002509381">
    <w:abstractNumId w:val="10"/>
  </w:num>
  <w:num w:numId="17" w16cid:durableId="361587754">
    <w:abstractNumId w:val="12"/>
  </w:num>
  <w:num w:numId="18" w16cid:durableId="1794666644">
    <w:abstractNumId w:val="11"/>
  </w:num>
  <w:num w:numId="19" w16cid:durableId="4027189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DEE"/>
    <w:rsid w:val="00017F94"/>
    <w:rsid w:val="00023842"/>
    <w:rsid w:val="000334F9"/>
    <w:rsid w:val="000354E9"/>
    <w:rsid w:val="0007796D"/>
    <w:rsid w:val="000869CA"/>
    <w:rsid w:val="000B7790"/>
    <w:rsid w:val="00111F2F"/>
    <w:rsid w:val="0014365E"/>
    <w:rsid w:val="00176178"/>
    <w:rsid w:val="001F525A"/>
    <w:rsid w:val="00223272"/>
    <w:rsid w:val="0024779E"/>
    <w:rsid w:val="00260A30"/>
    <w:rsid w:val="002D14A3"/>
    <w:rsid w:val="002E2BF5"/>
    <w:rsid w:val="0030759F"/>
    <w:rsid w:val="00311E81"/>
    <w:rsid w:val="00340ED0"/>
    <w:rsid w:val="00411C8E"/>
    <w:rsid w:val="00446FE5"/>
    <w:rsid w:val="00452396"/>
    <w:rsid w:val="00471895"/>
    <w:rsid w:val="00485B35"/>
    <w:rsid w:val="004D7A2C"/>
    <w:rsid w:val="005505B7"/>
    <w:rsid w:val="00573BE5"/>
    <w:rsid w:val="00586ED3"/>
    <w:rsid w:val="00596AA9"/>
    <w:rsid w:val="0071601D"/>
    <w:rsid w:val="00721C41"/>
    <w:rsid w:val="007341B7"/>
    <w:rsid w:val="00760CBC"/>
    <w:rsid w:val="007A62E6"/>
    <w:rsid w:val="007F61AD"/>
    <w:rsid w:val="0080684C"/>
    <w:rsid w:val="00840413"/>
    <w:rsid w:val="00864FCA"/>
    <w:rsid w:val="00871C75"/>
    <w:rsid w:val="008776DC"/>
    <w:rsid w:val="008C54BD"/>
    <w:rsid w:val="008F3CA0"/>
    <w:rsid w:val="009112F1"/>
    <w:rsid w:val="009151FA"/>
    <w:rsid w:val="009705C8"/>
    <w:rsid w:val="00A30353"/>
    <w:rsid w:val="00AC3823"/>
    <w:rsid w:val="00AE323C"/>
    <w:rsid w:val="00B00181"/>
    <w:rsid w:val="00B24A9B"/>
    <w:rsid w:val="00B765F7"/>
    <w:rsid w:val="00BA0CA9"/>
    <w:rsid w:val="00C02897"/>
    <w:rsid w:val="00C10A24"/>
    <w:rsid w:val="00D14DEE"/>
    <w:rsid w:val="00D3439C"/>
    <w:rsid w:val="00DB1831"/>
    <w:rsid w:val="00DD3BFD"/>
    <w:rsid w:val="00DF6678"/>
    <w:rsid w:val="00F64F1D"/>
    <w:rsid w:val="00F660DF"/>
    <w:rsid w:val="00F95C08"/>
    <w:rsid w:val="00FB03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60C81"/>
  <w15:docId w15:val="{74A46E61-1539-4BD8-BAB2-A932C317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151F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690</Words>
  <Characters>3931</Characters>
  <Application>Microsoft Office Word</Application>
  <DocSecurity>0</DocSecurity>
  <Lines>436</Lines>
  <Paragraphs>184</Paragraphs>
  <ScaleCrop>false</ScaleCrop>
  <HeadingPairs>
    <vt:vector size="2" baseType="variant">
      <vt:variant>
        <vt:lpstr>Titre</vt:lpstr>
      </vt:variant>
      <vt:variant>
        <vt:i4>1</vt:i4>
      </vt:variant>
    </vt:vector>
  </HeadingPairs>
  <TitlesOfParts>
    <vt:vector size="1" baseType="lpstr">
      <vt:lpstr>CRC/C/91/D/85/2019</vt:lpstr>
    </vt:vector>
  </TitlesOfParts>
  <Company>DCM</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CRC/C/91/D/85/2019</dc:title>
  <dc:subject/>
  <dc:creator>Nathalie VITTOZ</dc:creator>
  <cp:keywords/>
  <cp:lastModifiedBy>Nathalie Vittoz</cp:lastModifiedBy>
  <cp:revision>2</cp:revision>
  <cp:lastPrinted>2014-05-14T10:59:00Z</cp:lastPrinted>
  <dcterms:created xsi:type="dcterms:W3CDTF">2023-01-27T13:00:00Z</dcterms:created>
  <dcterms:modified xsi:type="dcterms:W3CDTF">2023-01-27T13:00:00Z</dcterms:modified>
</cp:coreProperties>
</file>