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0CB14814" w14:textId="77777777" w:rsidTr="00B456A0">
        <w:trPr>
          <w:trHeight w:hRule="exact" w:val="810"/>
        </w:trPr>
        <w:tc>
          <w:tcPr>
            <w:tcW w:w="1266" w:type="dxa"/>
            <w:tcBorders>
              <w:top w:val="nil"/>
              <w:bottom w:val="single" w:sz="4" w:space="0" w:color="auto"/>
            </w:tcBorders>
            <w:shd w:val="clear" w:color="auto" w:fill="auto"/>
          </w:tcPr>
          <w:p w14:paraId="2F790670" w14:textId="77777777" w:rsidR="00712059" w:rsidRPr="00CA35DF" w:rsidRDefault="00712059" w:rsidP="006411A5">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50F8B39A"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700F0EA2" w14:textId="1674AE88" w:rsidR="006B3E27" w:rsidRPr="00033BA9" w:rsidRDefault="00033BA9" w:rsidP="00033BA9">
            <w:pPr>
              <w:bidi w:val="0"/>
              <w:rPr>
                <w:szCs w:val="20"/>
              </w:rPr>
            </w:pPr>
            <w:r w:rsidRPr="00704AD2">
              <w:rPr>
                <w:sz w:val="40"/>
                <w:szCs w:val="20"/>
              </w:rPr>
              <w:t>CAT</w:t>
            </w:r>
            <w:r w:rsidRPr="00704AD2">
              <w:rPr>
                <w:szCs w:val="20"/>
              </w:rPr>
              <w:t>/C/</w:t>
            </w:r>
            <w:proofErr w:type="spellStart"/>
            <w:r w:rsidRPr="00704AD2">
              <w:rPr>
                <w:szCs w:val="20"/>
              </w:rPr>
              <w:t>UGA</w:t>
            </w:r>
            <w:proofErr w:type="spellEnd"/>
            <w:r w:rsidRPr="00704AD2">
              <w:rPr>
                <w:szCs w:val="20"/>
              </w:rPr>
              <w:t>/CO/</w:t>
            </w:r>
            <w:r w:rsidRPr="00D577DE">
              <w:t>2</w:t>
            </w:r>
          </w:p>
        </w:tc>
      </w:tr>
      <w:tr w:rsidR="006B3E27" w:rsidRPr="00CA35DF" w14:paraId="15B2AA04" w14:textId="77777777" w:rsidTr="00B456A0">
        <w:trPr>
          <w:trHeight w:hRule="exact" w:val="2835"/>
        </w:trPr>
        <w:tc>
          <w:tcPr>
            <w:tcW w:w="1266" w:type="dxa"/>
            <w:tcBorders>
              <w:top w:val="nil"/>
              <w:bottom w:val="single" w:sz="12" w:space="0" w:color="auto"/>
            </w:tcBorders>
            <w:shd w:val="clear" w:color="auto" w:fill="auto"/>
          </w:tcPr>
          <w:p w14:paraId="0826D80C" w14:textId="77777777" w:rsidR="006B3E27" w:rsidRPr="00CA35DF" w:rsidRDefault="00261289" w:rsidP="00CA35DF">
            <w:pPr>
              <w:jc w:val="center"/>
              <w:rPr>
                <w:rtl/>
              </w:rPr>
            </w:pPr>
            <w:r w:rsidRPr="00CA35DF">
              <w:rPr>
                <w:noProof/>
                <w:rtl/>
              </w:rPr>
              <w:drawing>
                <wp:inline distT="0" distB="0" distL="0" distR="0" wp14:anchorId="2EBA9646" wp14:editId="4723BF3E">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553B015A" w14:textId="77777777" w:rsidR="00A67AF5" w:rsidRPr="00CA35DF" w:rsidRDefault="00817373" w:rsidP="00E2697F">
            <w:pPr>
              <w:spacing w:before="120" w:after="40" w:line="580" w:lineRule="exact"/>
              <w:ind w:left="57"/>
              <w:jc w:val="both"/>
              <w:rPr>
                <w:b/>
                <w:bCs/>
                <w:sz w:val="42"/>
                <w:szCs w:val="42"/>
              </w:rPr>
            </w:pPr>
            <w:r w:rsidRPr="00CA35DF">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4548C563" w14:textId="2D6B003C" w:rsidR="006B3E27" w:rsidRDefault="00033BA9" w:rsidP="00EE56C3">
            <w:pPr>
              <w:bidi w:val="0"/>
              <w:spacing w:before="240"/>
              <w:rPr>
                <w:szCs w:val="20"/>
              </w:rPr>
            </w:pPr>
            <w:r>
              <w:rPr>
                <w:szCs w:val="20"/>
              </w:rPr>
              <w:t>Dist</w:t>
            </w:r>
            <w:r w:rsidR="00704AD2" w:rsidRPr="00704AD2">
              <w:rPr>
                <w:szCs w:val="20"/>
              </w:rPr>
              <w:t>r.:</w:t>
            </w:r>
            <w:r>
              <w:rPr>
                <w:szCs w:val="20"/>
              </w:rPr>
              <w:t xml:space="preserve"> General</w:t>
            </w:r>
          </w:p>
          <w:p w14:paraId="2AF30E92" w14:textId="76299E30" w:rsidR="00033BA9" w:rsidRDefault="00704AD2" w:rsidP="00033BA9">
            <w:pPr>
              <w:bidi w:val="0"/>
              <w:spacing w:line="240" w:lineRule="exact"/>
              <w:jc w:val="left"/>
              <w:rPr>
                <w:szCs w:val="20"/>
              </w:rPr>
            </w:pPr>
            <w:r w:rsidRPr="00D577DE">
              <w:t>6</w:t>
            </w:r>
            <w:r>
              <w:t xml:space="preserve"> December </w:t>
            </w:r>
            <w:r w:rsidRPr="00D577DE">
              <w:t>2022</w:t>
            </w:r>
          </w:p>
          <w:p w14:paraId="74E1B769" w14:textId="77777777" w:rsidR="00033BA9" w:rsidRDefault="00033BA9" w:rsidP="00033BA9">
            <w:pPr>
              <w:bidi w:val="0"/>
              <w:spacing w:line="240" w:lineRule="exact"/>
              <w:jc w:val="left"/>
              <w:rPr>
                <w:szCs w:val="20"/>
              </w:rPr>
            </w:pPr>
            <w:r>
              <w:rPr>
                <w:szCs w:val="20"/>
              </w:rPr>
              <w:t>Arabic</w:t>
            </w:r>
          </w:p>
          <w:p w14:paraId="53AFADFD" w14:textId="2A5465D7" w:rsidR="00033BA9" w:rsidRPr="00033BA9" w:rsidRDefault="00033BA9" w:rsidP="00033BA9">
            <w:pPr>
              <w:bidi w:val="0"/>
              <w:spacing w:line="240" w:lineRule="exact"/>
              <w:jc w:val="left"/>
              <w:rPr>
                <w:szCs w:val="20"/>
              </w:rPr>
            </w:pPr>
            <w:r>
              <w:rPr>
                <w:szCs w:val="20"/>
              </w:rPr>
              <w:t>Origina</w:t>
            </w:r>
            <w:r w:rsidR="00704AD2" w:rsidRPr="00704AD2">
              <w:rPr>
                <w:szCs w:val="20"/>
              </w:rPr>
              <w:t xml:space="preserve">l: </w:t>
            </w:r>
            <w:r>
              <w:rPr>
                <w:szCs w:val="20"/>
              </w:rPr>
              <w:t>English</w:t>
            </w:r>
          </w:p>
        </w:tc>
      </w:tr>
    </w:tbl>
    <w:p w14:paraId="6EE8AC6E" w14:textId="159A9BE1" w:rsidR="009C0CE0" w:rsidRPr="004D5DAB" w:rsidRDefault="009C0CE0" w:rsidP="004D5DAB">
      <w:pPr>
        <w:spacing w:before="120" w:line="360" w:lineRule="exact"/>
        <w:textDirection w:val="tbRlV"/>
        <w:rPr>
          <w:b/>
          <w:bCs/>
          <w:color w:val="000000" w:themeColor="text1"/>
          <w:sz w:val="26"/>
          <w:szCs w:val="26"/>
          <w:lang w:val="ar-SA" w:eastAsia="zh-TW" w:bidi="en-GB"/>
        </w:rPr>
      </w:pPr>
      <w:r w:rsidRPr="004D5DAB">
        <w:rPr>
          <w:b/>
          <w:bCs/>
          <w:sz w:val="26"/>
          <w:szCs w:val="26"/>
          <w:rtl/>
        </w:rPr>
        <w:t>لجنة مناهضة التعذيب</w:t>
      </w:r>
    </w:p>
    <w:p w14:paraId="6F2BFBC2" w14:textId="68B63B4F" w:rsidR="009C0CE0" w:rsidRPr="004B6834" w:rsidRDefault="009C0CE0" w:rsidP="0076754C">
      <w:pPr>
        <w:pStyle w:val="HChGA"/>
        <w:rPr>
          <w:szCs w:val="20"/>
          <w:lang w:val="en-US" w:eastAsia="zh-TW" w:bidi="en-GB"/>
        </w:rPr>
      </w:pPr>
      <w:r>
        <w:rPr>
          <w:rtl/>
        </w:rPr>
        <w:tab/>
      </w:r>
      <w:r>
        <w:rPr>
          <w:rtl/>
        </w:rPr>
        <w:tab/>
        <w:t>الملاحظات الختامية بشأن التقرير الدوري الثاني لأوغندا</w:t>
      </w:r>
      <w:r w:rsidRPr="004B6834">
        <w:rPr>
          <w:rFonts w:ascii="Simplified Arabic"/>
          <w:sz w:val="26"/>
          <w:szCs w:val="26"/>
          <w:rtl/>
        </w:rPr>
        <w:footnoteReference w:customMarkFollows="1" w:id="1"/>
        <w:t>*</w:t>
      </w:r>
      <w:r w:rsidR="004B6834">
        <w:rPr>
          <w:rFonts w:ascii="Simplified Arabic" w:hint="cs"/>
          <w:sz w:val="20"/>
          <w:szCs w:val="20"/>
          <w:rtl/>
        </w:rPr>
        <w:t xml:space="preserve"> </w:t>
      </w:r>
    </w:p>
    <w:p w14:paraId="05662ECD" w14:textId="4DE0AE85" w:rsidR="009C0CE0" w:rsidRPr="00AE422A" w:rsidRDefault="009C0CE0" w:rsidP="0076754C">
      <w:pPr>
        <w:pStyle w:val="SingleTxtGA"/>
        <w:rPr>
          <w:lang w:val="ar-SA" w:eastAsia="zh-TW" w:bidi="en-GB"/>
        </w:rPr>
      </w:pPr>
      <w:r w:rsidRPr="00AE422A">
        <w:rPr>
          <w:rtl/>
        </w:rPr>
        <w:t>1</w:t>
      </w:r>
      <w:r w:rsidRPr="00AE422A">
        <w:rPr>
          <w:rFonts w:ascii="Simplified Arabic"/>
          <w:rtl/>
        </w:rPr>
        <w:t>-</w:t>
      </w:r>
      <w:r w:rsidRPr="00AE422A">
        <w:rPr>
          <w:rtl/>
        </w:rPr>
        <w:tab/>
        <w:t>نظرت اللجنة في التقرير الدوري الثاني لأوغندا</w:t>
      </w:r>
      <w:r w:rsidR="00704AD2" w:rsidRPr="004B6834">
        <w:rPr>
          <w:rStyle w:val="FootnoteReference"/>
          <w:szCs w:val="22"/>
          <w:rtl/>
        </w:rPr>
        <w:t>(</w:t>
      </w:r>
      <w:r w:rsidR="00704AD2" w:rsidRPr="004B6834">
        <w:rPr>
          <w:rStyle w:val="FootnoteReference"/>
          <w:szCs w:val="22"/>
          <w:rtl/>
        </w:rPr>
        <w:footnoteReference w:id="2"/>
      </w:r>
      <w:r w:rsidR="00B457E1" w:rsidRPr="004B6834">
        <w:rPr>
          <w:rStyle w:val="FootnoteReference"/>
          <w:szCs w:val="22"/>
          <w:rtl/>
        </w:rPr>
        <w:t>)</w:t>
      </w:r>
      <w:r w:rsidRPr="00AE422A">
        <w:rPr>
          <w:rtl/>
        </w:rPr>
        <w:t xml:space="preserve"> في جلستيها 1951 </w:t>
      </w:r>
      <w:proofErr w:type="spellStart"/>
      <w:r w:rsidRPr="00AE422A">
        <w:rPr>
          <w:rtl/>
        </w:rPr>
        <w:t>و1954</w:t>
      </w:r>
      <w:proofErr w:type="spellEnd"/>
      <w:r w:rsidR="00704AD2" w:rsidRPr="004B6834">
        <w:rPr>
          <w:rStyle w:val="FootnoteReference"/>
          <w:szCs w:val="22"/>
          <w:rtl/>
        </w:rPr>
        <w:t>(</w:t>
      </w:r>
      <w:r w:rsidR="00704AD2" w:rsidRPr="004B6834">
        <w:rPr>
          <w:rStyle w:val="FootnoteReference"/>
          <w:szCs w:val="22"/>
          <w:rtl/>
        </w:rPr>
        <w:footnoteReference w:id="3"/>
      </w:r>
      <w:r w:rsidR="00B457E1" w:rsidRPr="004B6834">
        <w:rPr>
          <w:rStyle w:val="FootnoteReference"/>
          <w:szCs w:val="22"/>
          <w:rtl/>
        </w:rPr>
        <w:t>)</w:t>
      </w:r>
      <w:r w:rsidR="00E573D6" w:rsidRPr="00AE422A">
        <w:rPr>
          <w:rFonts w:hint="cs"/>
          <w:rtl/>
        </w:rPr>
        <w:t>،</w:t>
      </w:r>
      <w:r w:rsidRPr="00AE422A">
        <w:rPr>
          <w:rtl/>
        </w:rPr>
        <w:t> المعقودتين في</w:t>
      </w:r>
      <w:r w:rsidR="00B04767" w:rsidRPr="00AE422A">
        <w:rPr>
          <w:rFonts w:hint="cs"/>
          <w:rtl/>
        </w:rPr>
        <w:t> </w:t>
      </w:r>
      <w:r w:rsidRPr="00AE422A">
        <w:rPr>
          <w:rtl/>
        </w:rPr>
        <w:t xml:space="preserve">9 </w:t>
      </w:r>
      <w:proofErr w:type="spellStart"/>
      <w:r w:rsidRPr="00AE422A">
        <w:rPr>
          <w:rtl/>
        </w:rPr>
        <w:t>و10</w:t>
      </w:r>
      <w:proofErr w:type="spellEnd"/>
      <w:r w:rsidRPr="00AE422A">
        <w:rPr>
          <w:rtl/>
        </w:rPr>
        <w:t xml:space="preserve"> تشرين الثاني/نوفمبر 2022، واعتمدت في جلستها 1969، المعقودة في 22 تشرين الثاني/</w:t>
      </w:r>
      <w:r w:rsidR="00B04767" w:rsidRPr="00AE422A">
        <w:rPr>
          <w:rFonts w:hint="cs"/>
          <w:rtl/>
        </w:rPr>
        <w:t xml:space="preserve"> </w:t>
      </w:r>
      <w:r w:rsidRPr="00AE422A">
        <w:rPr>
          <w:rtl/>
        </w:rPr>
        <w:t>نوفمبر 2022، الملاحظات الختامية التالية.</w:t>
      </w:r>
    </w:p>
    <w:p w14:paraId="3C1E228C" w14:textId="3A229019" w:rsidR="009C0CE0" w:rsidRPr="00110930" w:rsidRDefault="0076754C" w:rsidP="0076754C">
      <w:pPr>
        <w:pStyle w:val="H1GA"/>
        <w:rPr>
          <w:szCs w:val="20"/>
          <w:lang w:val="ar-SA" w:eastAsia="zh-TW" w:bidi="en-GB"/>
        </w:rPr>
      </w:pPr>
      <w:r>
        <w:rPr>
          <w:rtl/>
        </w:rPr>
        <w:tab/>
      </w:r>
      <w:r w:rsidR="009C0CE0">
        <w:rPr>
          <w:rtl/>
        </w:rPr>
        <w:t>ألف-</w:t>
      </w:r>
      <w:r w:rsidR="009C0CE0">
        <w:rPr>
          <w:rtl/>
        </w:rPr>
        <w:tab/>
        <w:t>مقدمة</w:t>
      </w:r>
    </w:p>
    <w:p w14:paraId="6B2037EA" w14:textId="3FEB879A" w:rsidR="009C0CE0" w:rsidRPr="00110930" w:rsidRDefault="009C0CE0" w:rsidP="0076754C">
      <w:pPr>
        <w:pStyle w:val="SingleTxtGA"/>
        <w:rPr>
          <w:szCs w:val="20"/>
          <w:lang w:val="ar-SA" w:eastAsia="zh-TW" w:bidi="en-GB"/>
        </w:rPr>
      </w:pPr>
      <w:r w:rsidRPr="00D577DE">
        <w:rPr>
          <w:rtl/>
        </w:rPr>
        <w:t>2</w:t>
      </w:r>
      <w:r>
        <w:rPr>
          <w:rFonts w:ascii="Simplified Arabic"/>
          <w:szCs w:val="20"/>
          <w:rtl/>
        </w:rPr>
        <w:t>-</w:t>
      </w:r>
      <w:r>
        <w:rPr>
          <w:rtl/>
        </w:rPr>
        <w:tab/>
        <w:t>ترحب اللجنة بتقديم الدولة الطرف تقريرها، ولكنه</w:t>
      </w:r>
      <w:r w:rsidR="00C43E94">
        <w:rPr>
          <w:rtl/>
        </w:rPr>
        <w:t xml:space="preserve">اً </w:t>
      </w:r>
      <w:r>
        <w:rPr>
          <w:rtl/>
        </w:rPr>
        <w:t>تأسف لتقديمه متأخرا</w:t>
      </w:r>
      <w:r w:rsidR="00C43E94">
        <w:rPr>
          <w:rFonts w:hint="cs"/>
          <w:rtl/>
        </w:rPr>
        <w:t>ً</w:t>
      </w:r>
      <w:r>
        <w:rPr>
          <w:rtl/>
        </w:rPr>
        <w:t xml:space="preserve"> </w:t>
      </w:r>
      <w:r w:rsidRPr="00D577DE">
        <w:rPr>
          <w:rtl/>
        </w:rPr>
        <w:t>12</w:t>
      </w:r>
      <w:r>
        <w:rPr>
          <w:rtl/>
        </w:rPr>
        <w:t xml:space="preserve"> عاما</w:t>
      </w:r>
      <w:r w:rsidR="00C43E94">
        <w:rPr>
          <w:rFonts w:hint="cs"/>
          <w:rtl/>
        </w:rPr>
        <w:t>ً</w:t>
      </w:r>
      <w:r>
        <w:rPr>
          <w:rtl/>
        </w:rPr>
        <w:t>.</w:t>
      </w:r>
    </w:p>
    <w:p w14:paraId="4E0DEACB" w14:textId="2F9FA5A2" w:rsidR="009C0CE0" w:rsidRPr="00110930" w:rsidRDefault="009C0CE0" w:rsidP="0076754C">
      <w:pPr>
        <w:pStyle w:val="SingleTxtGA"/>
        <w:rPr>
          <w:szCs w:val="20"/>
          <w:lang w:val="ar-SA" w:eastAsia="zh-TW" w:bidi="en-GB"/>
        </w:rPr>
      </w:pPr>
      <w:r w:rsidRPr="00D577DE">
        <w:rPr>
          <w:rtl/>
        </w:rPr>
        <w:t>3</w:t>
      </w:r>
      <w:r>
        <w:rPr>
          <w:rFonts w:ascii="Simplified Arabic"/>
          <w:szCs w:val="20"/>
          <w:rtl/>
        </w:rPr>
        <w:t>-</w:t>
      </w:r>
      <w:r>
        <w:rPr>
          <w:rtl/>
        </w:rPr>
        <w:tab/>
        <w:t>وتعرب اللجنة عن تقديرها لإتاحة الفرصة لها للدخول في حوار بناء مع وفد الدولة الطرف، وللردود المقدمة شفوي</w:t>
      </w:r>
      <w:r w:rsidR="00EB46B8">
        <w:rPr>
          <w:rtl/>
        </w:rPr>
        <w:t xml:space="preserve">اً </w:t>
      </w:r>
      <w:r>
        <w:rPr>
          <w:rtl/>
        </w:rPr>
        <w:t>وكتابي</w:t>
      </w:r>
      <w:r w:rsidR="00EB46B8">
        <w:rPr>
          <w:rtl/>
        </w:rPr>
        <w:t xml:space="preserve">اً </w:t>
      </w:r>
      <w:r>
        <w:rPr>
          <w:rtl/>
        </w:rPr>
        <w:t>على الأسئلة والشواغل التي أثيرت أثناء النظر في التقرير.</w:t>
      </w:r>
    </w:p>
    <w:p w14:paraId="06F53F0C" w14:textId="1AC9EFC6" w:rsidR="009C0CE0" w:rsidRPr="00110930" w:rsidRDefault="00EC1593" w:rsidP="00EC1593">
      <w:pPr>
        <w:pStyle w:val="H1GA"/>
        <w:rPr>
          <w:szCs w:val="20"/>
          <w:lang w:val="ar-SA" w:eastAsia="zh-TW" w:bidi="en-GB"/>
        </w:rPr>
      </w:pPr>
      <w:r>
        <w:rPr>
          <w:rtl/>
        </w:rPr>
        <w:tab/>
      </w:r>
      <w:r w:rsidR="009C0CE0">
        <w:rPr>
          <w:rtl/>
        </w:rPr>
        <w:t>باء-</w:t>
      </w:r>
      <w:r w:rsidR="009C0CE0">
        <w:rPr>
          <w:rtl/>
        </w:rPr>
        <w:tab/>
        <w:t>الجوانب الإيجابية</w:t>
      </w:r>
    </w:p>
    <w:p w14:paraId="098065E9" w14:textId="05C2639C" w:rsidR="009C0CE0" w:rsidRPr="00110930" w:rsidRDefault="009C0CE0" w:rsidP="00EC1593">
      <w:pPr>
        <w:pStyle w:val="SingleTxtGA"/>
        <w:rPr>
          <w:szCs w:val="20"/>
          <w:lang w:val="ar-SA" w:eastAsia="zh-TW" w:bidi="en-GB"/>
        </w:rPr>
      </w:pPr>
      <w:r w:rsidRPr="00D577DE">
        <w:rPr>
          <w:rtl/>
        </w:rPr>
        <w:t>4</w:t>
      </w:r>
      <w:r>
        <w:rPr>
          <w:rFonts w:ascii="Simplified Arabic"/>
          <w:szCs w:val="20"/>
          <w:rtl/>
        </w:rPr>
        <w:t>-</w:t>
      </w:r>
      <w:r>
        <w:rPr>
          <w:rtl/>
        </w:rPr>
        <w:tab/>
        <w:t>ترحب اللجنة بتصديق الدولة الطرف على الصكوك الدولية التالية:</w:t>
      </w:r>
    </w:p>
    <w:p w14:paraId="2E7330A3" w14:textId="69946771" w:rsidR="00390568" w:rsidRPr="00390568" w:rsidRDefault="00EC1593" w:rsidP="00390568">
      <w:pPr>
        <w:pStyle w:val="SingleTxtGA"/>
      </w:pPr>
      <w:r>
        <w:rPr>
          <w:rtl/>
        </w:rPr>
        <w:tab/>
      </w:r>
      <w:r w:rsidR="009C0CE0">
        <w:rPr>
          <w:rtl/>
        </w:rPr>
        <w:t>(أ)</w:t>
      </w:r>
      <w:r w:rsidR="009C0CE0">
        <w:rPr>
          <w:rtl/>
        </w:rPr>
        <w:tab/>
        <w:t xml:space="preserve">اتفاقية حقوق الأشخاص ذوي الإعاقة وبروتوكولها الاختياري، في عام </w:t>
      </w:r>
      <w:r w:rsidR="009C0CE0" w:rsidRPr="00D577DE">
        <w:rPr>
          <w:rtl/>
        </w:rPr>
        <w:t>200</w:t>
      </w:r>
      <w:r w:rsidR="00704AD2" w:rsidRPr="00D577DE">
        <w:rPr>
          <w:rtl/>
        </w:rPr>
        <w:t>8</w:t>
      </w:r>
      <w:r w:rsidR="00390568">
        <w:rPr>
          <w:rFonts w:ascii="Simplified Arabic" w:hint="cs"/>
          <w:szCs w:val="20"/>
          <w:rtl/>
        </w:rPr>
        <w:t>؛</w:t>
      </w:r>
    </w:p>
    <w:p w14:paraId="298B1A6B" w14:textId="1F8689BA" w:rsidR="009C0CE0" w:rsidRPr="00390568" w:rsidRDefault="00EC1593" w:rsidP="00EC1593">
      <w:pPr>
        <w:pStyle w:val="SingleTxtGA"/>
        <w:rPr>
          <w:szCs w:val="20"/>
          <w:lang w:val="en-US" w:eastAsia="zh-TW" w:bidi="en-GB"/>
        </w:rPr>
      </w:pPr>
      <w:r>
        <w:rPr>
          <w:rtl/>
        </w:rPr>
        <w:tab/>
      </w:r>
      <w:r w:rsidR="009C0CE0">
        <w:rPr>
          <w:rtl/>
        </w:rPr>
        <w:t>(ب)</w:t>
      </w:r>
      <w:r w:rsidR="009C0CE0">
        <w:rPr>
          <w:rtl/>
        </w:rPr>
        <w:tab/>
        <w:t xml:space="preserve">البروتوكول الملحق بالميثاق الأفريقي لحقوق الإنسان والشعوب المتعلق بحقوق المرأة في أفريقيا، في عام </w:t>
      </w:r>
      <w:r w:rsidR="009C0CE0" w:rsidRPr="00D577DE">
        <w:rPr>
          <w:rtl/>
        </w:rPr>
        <w:t>2010</w:t>
      </w:r>
      <w:r w:rsidR="00390568">
        <w:rPr>
          <w:rFonts w:hint="cs"/>
          <w:rtl/>
        </w:rPr>
        <w:t xml:space="preserve">. </w:t>
      </w:r>
    </w:p>
    <w:p w14:paraId="0077EDF3" w14:textId="47203826" w:rsidR="00704AD2" w:rsidRPr="00704AD2" w:rsidRDefault="009C0CE0" w:rsidP="00EC1593">
      <w:pPr>
        <w:pStyle w:val="SingleTxtGA"/>
        <w:rPr>
          <w:szCs w:val="20"/>
          <w:lang w:val="ar-SA" w:eastAsia="zh-TW" w:bidi="en-GB"/>
        </w:rPr>
      </w:pPr>
      <w:r w:rsidRPr="00D577DE">
        <w:rPr>
          <w:rtl/>
        </w:rPr>
        <w:t>5</w:t>
      </w:r>
      <w:r>
        <w:rPr>
          <w:rFonts w:ascii="Simplified Arabic"/>
          <w:szCs w:val="20"/>
          <w:rtl/>
        </w:rPr>
        <w:t>-</w:t>
      </w:r>
      <w:r>
        <w:rPr>
          <w:rtl/>
        </w:rPr>
        <w:tab/>
        <w:t xml:space="preserve">وترحب اللجنة باعتماد الدولة الطرف قانون منع التعذيب وحظره في عام </w:t>
      </w:r>
      <w:r w:rsidRPr="00D577DE">
        <w:rPr>
          <w:rtl/>
        </w:rPr>
        <w:t>2012</w:t>
      </w:r>
      <w:r>
        <w:rPr>
          <w:rtl/>
        </w:rPr>
        <w:t xml:space="preserve">، ولوائح منع التعذيب وحظره في عام </w:t>
      </w:r>
      <w:r w:rsidRPr="00D577DE">
        <w:rPr>
          <w:rtl/>
        </w:rPr>
        <w:t>2017</w:t>
      </w:r>
      <w:r>
        <w:rPr>
          <w:rtl/>
        </w:rPr>
        <w:t xml:space="preserve">، وقانون إنفاذ حقوق الإنسان في عام </w:t>
      </w:r>
      <w:r w:rsidRPr="00D577DE">
        <w:rPr>
          <w:rtl/>
        </w:rPr>
        <w:t>201</w:t>
      </w:r>
      <w:r w:rsidR="00704AD2" w:rsidRPr="00D577DE">
        <w:rPr>
          <w:rtl/>
        </w:rPr>
        <w:t>9</w:t>
      </w:r>
      <w:r w:rsidR="00704AD2" w:rsidRPr="00704AD2">
        <w:rPr>
          <w:rtl/>
        </w:rPr>
        <w:t>.</w:t>
      </w:r>
    </w:p>
    <w:p w14:paraId="6F6B9789" w14:textId="7B10B832" w:rsidR="009C0CE0" w:rsidRPr="00A6402E" w:rsidRDefault="009C0CE0" w:rsidP="00EC1593">
      <w:pPr>
        <w:pStyle w:val="SingleTxtGA"/>
        <w:rPr>
          <w:szCs w:val="20"/>
          <w:lang w:val="en-US" w:eastAsia="zh-TW" w:bidi="en-GB"/>
        </w:rPr>
      </w:pPr>
      <w:r w:rsidRPr="00D577DE">
        <w:rPr>
          <w:rtl/>
        </w:rPr>
        <w:t>6</w:t>
      </w:r>
      <w:r>
        <w:rPr>
          <w:rFonts w:ascii="Simplified Arabic"/>
          <w:szCs w:val="20"/>
          <w:rtl/>
        </w:rPr>
        <w:t>-</w:t>
      </w:r>
      <w:r>
        <w:rPr>
          <w:rtl/>
        </w:rPr>
        <w:tab/>
        <w:t>وترحب اللجنة أيضاً بمبادرات الدولة الطرف الرامية إلى تنقيح التشريعات</w:t>
      </w:r>
      <w:r w:rsidR="00550F6E">
        <w:rPr>
          <w:rtl/>
        </w:rPr>
        <w:t xml:space="preserve"> </w:t>
      </w:r>
      <w:r>
        <w:rPr>
          <w:rtl/>
        </w:rPr>
        <w:t>وسنّ أخرى في المجالات ذات الصلة بالاتفاقية، بما في ذلك اعتماد ما يلي:</w:t>
      </w:r>
      <w:r w:rsidR="005C003B">
        <w:rPr>
          <w:rFonts w:hint="cs"/>
          <w:szCs w:val="20"/>
          <w:lang w:eastAsia="zh-TW" w:bidi="en-GB"/>
        </w:rPr>
        <w:t xml:space="preserve"> </w:t>
      </w:r>
    </w:p>
    <w:p w14:paraId="0DA1544A" w14:textId="1984243B" w:rsidR="009C0CE0" w:rsidRPr="00A43935" w:rsidRDefault="00EC1593" w:rsidP="00EC1593">
      <w:pPr>
        <w:pStyle w:val="SingleTxtGA"/>
        <w:rPr>
          <w:szCs w:val="20"/>
          <w:rtl/>
          <w:lang w:val="en-US" w:eastAsia="zh-TW"/>
        </w:rPr>
      </w:pPr>
      <w:r>
        <w:rPr>
          <w:rtl/>
        </w:rPr>
        <w:tab/>
      </w:r>
      <w:r w:rsidR="009C0CE0">
        <w:rPr>
          <w:rtl/>
        </w:rPr>
        <w:t>(أ)</w:t>
      </w:r>
      <w:r w:rsidR="009C0CE0">
        <w:rPr>
          <w:rtl/>
        </w:rPr>
        <w:tab/>
        <w:t xml:space="preserve">قانون العمل، في عام </w:t>
      </w:r>
      <w:r w:rsidR="009C0CE0" w:rsidRPr="00D577DE">
        <w:rPr>
          <w:rtl/>
        </w:rPr>
        <w:t>2006</w:t>
      </w:r>
      <w:r w:rsidR="009C0CE0">
        <w:rPr>
          <w:rtl/>
        </w:rPr>
        <w:t>، الذي ينص على مبادئ عامة تشمل حظر العمل القسري أو الإلزامي؛</w:t>
      </w:r>
    </w:p>
    <w:p w14:paraId="012B558E" w14:textId="7AB8D26F" w:rsidR="009C0CE0" w:rsidRPr="00110930" w:rsidRDefault="00EC1593" w:rsidP="00EC1593">
      <w:pPr>
        <w:pStyle w:val="SingleTxtGA"/>
        <w:rPr>
          <w:szCs w:val="20"/>
          <w:lang w:val="ar-SA" w:eastAsia="zh-TW" w:bidi="en-GB"/>
        </w:rPr>
      </w:pPr>
      <w:r>
        <w:rPr>
          <w:rtl/>
        </w:rPr>
        <w:lastRenderedPageBreak/>
        <w:tab/>
      </w:r>
      <w:r w:rsidR="009C0CE0">
        <w:rPr>
          <w:rtl/>
        </w:rPr>
        <w:t>(ب)</w:t>
      </w:r>
      <w:r w:rsidR="009C0CE0">
        <w:rPr>
          <w:rtl/>
        </w:rPr>
        <w:tab/>
        <w:t xml:space="preserve">قانون اللاجئين، في عام </w:t>
      </w:r>
      <w:r w:rsidR="009C0CE0" w:rsidRPr="00D577DE">
        <w:rPr>
          <w:rtl/>
        </w:rPr>
        <w:t>2006</w:t>
      </w:r>
      <w:r w:rsidR="009C0CE0">
        <w:rPr>
          <w:rtl/>
        </w:rPr>
        <w:t>؛</w:t>
      </w:r>
    </w:p>
    <w:p w14:paraId="767DE4AD" w14:textId="5EBBEE11" w:rsidR="009C0CE0" w:rsidRPr="00110930" w:rsidRDefault="00EC1593" w:rsidP="00EC1593">
      <w:pPr>
        <w:pStyle w:val="SingleTxtGA"/>
        <w:rPr>
          <w:szCs w:val="20"/>
          <w:lang w:val="ar-SA" w:eastAsia="zh-TW" w:bidi="en-GB"/>
        </w:rPr>
      </w:pPr>
      <w:r>
        <w:rPr>
          <w:rtl/>
        </w:rPr>
        <w:tab/>
      </w:r>
      <w:r w:rsidR="009C0CE0">
        <w:rPr>
          <w:rtl/>
        </w:rPr>
        <w:t>(ج)</w:t>
      </w:r>
      <w:r w:rsidR="009C0CE0">
        <w:rPr>
          <w:rtl/>
        </w:rPr>
        <w:tab/>
        <w:t xml:space="preserve">قانون منع الاتجار بالأشخاص، في عام </w:t>
      </w:r>
      <w:r w:rsidR="009C0CE0" w:rsidRPr="00D577DE">
        <w:rPr>
          <w:rtl/>
        </w:rPr>
        <w:t>2009</w:t>
      </w:r>
      <w:r w:rsidR="009C0CE0">
        <w:rPr>
          <w:rtl/>
        </w:rPr>
        <w:t>؛</w:t>
      </w:r>
      <w:r w:rsidR="00385264">
        <w:rPr>
          <w:rtl/>
        </w:rPr>
        <w:t xml:space="preserve"> </w:t>
      </w:r>
    </w:p>
    <w:p w14:paraId="56BAB49D" w14:textId="3E4F754F" w:rsidR="009C0CE0" w:rsidRPr="00110930" w:rsidRDefault="00EC1593" w:rsidP="00EC1593">
      <w:pPr>
        <w:pStyle w:val="SingleTxtGA"/>
        <w:rPr>
          <w:szCs w:val="20"/>
          <w:lang w:val="ar-SA" w:eastAsia="zh-TW" w:bidi="en-GB"/>
        </w:rPr>
      </w:pPr>
      <w:r>
        <w:rPr>
          <w:rtl/>
        </w:rPr>
        <w:tab/>
      </w:r>
      <w:r w:rsidR="009C0CE0">
        <w:rPr>
          <w:rtl/>
        </w:rPr>
        <w:t>(د)</w:t>
      </w:r>
      <w:r w:rsidR="009C0CE0">
        <w:rPr>
          <w:rtl/>
        </w:rPr>
        <w:tab/>
        <w:t xml:space="preserve">القانون المتعلق بالعنف العائلي، في عام </w:t>
      </w:r>
      <w:r w:rsidR="009C0CE0" w:rsidRPr="00D577DE">
        <w:rPr>
          <w:rtl/>
        </w:rPr>
        <w:t>2010</w:t>
      </w:r>
      <w:r w:rsidR="009C0CE0">
        <w:rPr>
          <w:rtl/>
        </w:rPr>
        <w:t xml:space="preserve">؛ </w:t>
      </w:r>
    </w:p>
    <w:p w14:paraId="53AFC27A" w14:textId="4B9C17F2" w:rsidR="009C0CE0" w:rsidRPr="00110930" w:rsidRDefault="00EC1593" w:rsidP="00EC1593">
      <w:pPr>
        <w:pStyle w:val="SingleTxtGA"/>
        <w:rPr>
          <w:szCs w:val="20"/>
          <w:lang w:val="ar-SA" w:eastAsia="zh-TW" w:bidi="en-GB"/>
        </w:rPr>
      </w:pPr>
      <w:r>
        <w:rPr>
          <w:rtl/>
        </w:rPr>
        <w:tab/>
      </w:r>
      <w:r w:rsidR="009C0CE0">
        <w:rPr>
          <w:rtl/>
        </w:rPr>
        <w:t>(هـ)</w:t>
      </w:r>
      <w:r w:rsidR="009C0CE0">
        <w:rPr>
          <w:rtl/>
        </w:rPr>
        <w:tab/>
        <w:t xml:space="preserve">قانون حظر تشويه الأعضاء التناسلية الأنثوية، في عام </w:t>
      </w:r>
      <w:r w:rsidR="009C0CE0" w:rsidRPr="00D577DE">
        <w:rPr>
          <w:rtl/>
        </w:rPr>
        <w:t>2010</w:t>
      </w:r>
      <w:r w:rsidR="009C0CE0">
        <w:rPr>
          <w:rtl/>
        </w:rPr>
        <w:t>؛</w:t>
      </w:r>
    </w:p>
    <w:p w14:paraId="55E80A40" w14:textId="3817CDBB" w:rsidR="00704AD2" w:rsidRPr="00704AD2" w:rsidRDefault="00EC1593" w:rsidP="00EC1593">
      <w:pPr>
        <w:pStyle w:val="SingleTxtGA"/>
        <w:rPr>
          <w:szCs w:val="20"/>
          <w:lang w:val="ar-SA" w:eastAsia="zh-TW" w:bidi="en-GB"/>
        </w:rPr>
      </w:pPr>
      <w:r>
        <w:rPr>
          <w:rtl/>
        </w:rPr>
        <w:tab/>
      </w:r>
      <w:r w:rsidR="009C0CE0">
        <w:rPr>
          <w:rtl/>
        </w:rPr>
        <w:t>(و)</w:t>
      </w:r>
      <w:r w:rsidR="009C0CE0">
        <w:rPr>
          <w:rtl/>
        </w:rPr>
        <w:tab/>
        <w:t xml:space="preserve">قانون المحكمة الجنائية الدولية، في عام </w:t>
      </w:r>
      <w:r w:rsidR="009C0CE0" w:rsidRPr="00D577DE">
        <w:rPr>
          <w:rtl/>
        </w:rPr>
        <w:t>201</w:t>
      </w:r>
      <w:r w:rsidR="00704AD2" w:rsidRPr="00D577DE">
        <w:rPr>
          <w:rtl/>
        </w:rPr>
        <w:t>0</w:t>
      </w:r>
      <w:r w:rsidR="00704AD2" w:rsidRPr="00704AD2">
        <w:rPr>
          <w:rtl/>
        </w:rPr>
        <w:t>.</w:t>
      </w:r>
    </w:p>
    <w:p w14:paraId="4982443F" w14:textId="41DE2945" w:rsidR="009C0CE0" w:rsidRPr="00110930" w:rsidRDefault="009C0CE0" w:rsidP="00EC1593">
      <w:pPr>
        <w:pStyle w:val="SingleTxtGA"/>
        <w:rPr>
          <w:szCs w:val="20"/>
          <w:lang w:val="ar-SA" w:eastAsia="zh-TW" w:bidi="en-GB"/>
        </w:rPr>
      </w:pPr>
      <w:r w:rsidRPr="00D577DE">
        <w:rPr>
          <w:rtl/>
        </w:rPr>
        <w:t>7</w:t>
      </w:r>
      <w:r>
        <w:rPr>
          <w:rFonts w:ascii="Simplified Arabic"/>
          <w:szCs w:val="20"/>
          <w:rtl/>
        </w:rPr>
        <w:t>-</w:t>
      </w:r>
      <w:r>
        <w:rPr>
          <w:rtl/>
        </w:rPr>
        <w:tab/>
        <w:t>وتثني اللجنة على المبادرات التي اتخذتها الدولة الطرف لتعزيز إطارها المؤسسي بهدف زيادة حماية حقوق الإنسان وتطبيق الاتفاقية بشكل أوسع، ومن ذلك على وجه الخصوص ما يلي:</w:t>
      </w:r>
    </w:p>
    <w:p w14:paraId="25810D7D" w14:textId="07590164" w:rsidR="009C0CE0" w:rsidRPr="00110930" w:rsidRDefault="00EC1593" w:rsidP="00EC1593">
      <w:pPr>
        <w:pStyle w:val="SingleTxtGA"/>
        <w:rPr>
          <w:szCs w:val="20"/>
          <w:lang w:val="ar-SA" w:eastAsia="zh-TW" w:bidi="en-GB"/>
        </w:rPr>
      </w:pPr>
      <w:r>
        <w:rPr>
          <w:rtl/>
        </w:rPr>
        <w:tab/>
      </w:r>
      <w:r w:rsidR="009C0CE0">
        <w:rPr>
          <w:rtl/>
        </w:rPr>
        <w:t>(أ)</w:t>
      </w:r>
      <w:r w:rsidR="009C0CE0">
        <w:rPr>
          <w:rtl/>
        </w:rPr>
        <w:tab/>
        <w:t xml:space="preserve">إنشاء اللجنة البرلمانية الدائمة لحقوق الإنسان، في أيار/مايو </w:t>
      </w:r>
      <w:r w:rsidR="009C0CE0" w:rsidRPr="00D577DE">
        <w:rPr>
          <w:rtl/>
        </w:rPr>
        <w:t>2012</w:t>
      </w:r>
      <w:r w:rsidR="009C0CE0">
        <w:rPr>
          <w:rtl/>
        </w:rPr>
        <w:t xml:space="preserve">، لضمان الامتثال لمعايير حقوق الإنسان في عمل </w:t>
      </w:r>
      <w:proofErr w:type="gramStart"/>
      <w:r w:rsidR="009C0CE0">
        <w:rPr>
          <w:rtl/>
        </w:rPr>
        <w:t>البرلمان</w:t>
      </w:r>
      <w:proofErr w:type="gramEnd"/>
      <w:r w:rsidR="009C0CE0">
        <w:rPr>
          <w:rtl/>
        </w:rPr>
        <w:t xml:space="preserve">؛ </w:t>
      </w:r>
    </w:p>
    <w:p w14:paraId="62EF3DC3" w14:textId="58F9EF2A" w:rsidR="009C0CE0" w:rsidRPr="00110930" w:rsidRDefault="00EC1593" w:rsidP="00EC1593">
      <w:pPr>
        <w:pStyle w:val="SingleTxtGA"/>
        <w:rPr>
          <w:szCs w:val="20"/>
          <w:lang w:val="ar-SA" w:eastAsia="zh-TW" w:bidi="en-GB"/>
        </w:rPr>
      </w:pPr>
      <w:r>
        <w:rPr>
          <w:rtl/>
        </w:rPr>
        <w:tab/>
      </w:r>
      <w:r w:rsidR="009C0CE0">
        <w:rPr>
          <w:rtl/>
        </w:rPr>
        <w:t>(ب)</w:t>
      </w:r>
      <w:r w:rsidR="009C0CE0">
        <w:rPr>
          <w:rtl/>
        </w:rPr>
        <w:tab/>
        <w:t xml:space="preserve">إنشاء مديرية حقوق الإنسان والخدمات القانونية في قوة الشرطة الأوغندية، في آب/أغسطس </w:t>
      </w:r>
      <w:r w:rsidR="009C0CE0" w:rsidRPr="00D577DE">
        <w:rPr>
          <w:rtl/>
        </w:rPr>
        <w:t>2013</w:t>
      </w:r>
      <w:r w:rsidR="009C0CE0">
        <w:rPr>
          <w:rtl/>
        </w:rPr>
        <w:t>، وتكليفها بولاية تضمن الامتثال لحقوق الإنسان وسيادة القانون في عمليات الشرطة؛</w:t>
      </w:r>
    </w:p>
    <w:p w14:paraId="0F215B60" w14:textId="7FB3C696" w:rsidR="009C0CE0" w:rsidRPr="00A43935" w:rsidRDefault="00EC1593" w:rsidP="00EC1593">
      <w:pPr>
        <w:pStyle w:val="SingleTxtGA"/>
        <w:rPr>
          <w:spacing w:val="-2"/>
          <w:szCs w:val="20"/>
          <w:lang w:val="ar-SA" w:eastAsia="zh-TW" w:bidi="en-GB"/>
        </w:rPr>
      </w:pPr>
      <w:r>
        <w:rPr>
          <w:rtl/>
        </w:rPr>
        <w:tab/>
      </w:r>
      <w:r w:rsidR="009C0CE0">
        <w:rPr>
          <w:rtl/>
        </w:rPr>
        <w:t>(ج)</w:t>
      </w:r>
      <w:r w:rsidR="009C0CE0">
        <w:rPr>
          <w:rtl/>
        </w:rPr>
        <w:tab/>
        <w:t xml:space="preserve">تعزيز مديرية حقوق الإنسان في قوات الدفاع الشعبية الأوغندية، التي أنشئت في </w:t>
      </w:r>
      <w:r w:rsidR="009C0CE0" w:rsidRPr="00A43935">
        <w:rPr>
          <w:spacing w:val="-2"/>
          <w:rtl/>
        </w:rPr>
        <w:t>عام</w:t>
      </w:r>
      <w:r w:rsidR="00A43935" w:rsidRPr="00A43935">
        <w:rPr>
          <w:rFonts w:hint="cs"/>
          <w:spacing w:val="-2"/>
          <w:rtl/>
        </w:rPr>
        <w:t> </w:t>
      </w:r>
      <w:r w:rsidR="009C0CE0" w:rsidRPr="00D577DE">
        <w:rPr>
          <w:rtl/>
        </w:rPr>
        <w:t>2007</w:t>
      </w:r>
      <w:r w:rsidR="009C0CE0" w:rsidRPr="00A43935">
        <w:rPr>
          <w:spacing w:val="-2"/>
          <w:rtl/>
        </w:rPr>
        <w:t xml:space="preserve">، وإنشاء مكاتب لحقوق الإنسان في قيادة الاستخبارات العسكرية والقوات الجوية في عام </w:t>
      </w:r>
      <w:r w:rsidR="009C0CE0" w:rsidRPr="00D577DE">
        <w:rPr>
          <w:rtl/>
        </w:rPr>
        <w:t>2012</w:t>
      </w:r>
      <w:r w:rsidR="009C0CE0" w:rsidRPr="00A43935">
        <w:rPr>
          <w:spacing w:val="-2"/>
          <w:rtl/>
        </w:rPr>
        <w:t>؛</w:t>
      </w:r>
    </w:p>
    <w:p w14:paraId="5767BFA5" w14:textId="5CF41CF1" w:rsidR="00704AD2" w:rsidRPr="00704AD2" w:rsidRDefault="00EC1593" w:rsidP="00EC1593">
      <w:pPr>
        <w:pStyle w:val="SingleTxtGA"/>
        <w:rPr>
          <w:szCs w:val="20"/>
          <w:lang w:val="ar-SA" w:eastAsia="zh-TW" w:bidi="en-GB"/>
        </w:rPr>
      </w:pPr>
      <w:r>
        <w:rPr>
          <w:rtl/>
        </w:rPr>
        <w:tab/>
      </w:r>
      <w:r w:rsidR="009C0CE0">
        <w:rPr>
          <w:rtl/>
        </w:rPr>
        <w:t>(د)</w:t>
      </w:r>
      <w:r w:rsidR="009C0CE0">
        <w:rPr>
          <w:rtl/>
        </w:rPr>
        <w:tab/>
        <w:t xml:space="preserve">اعتماد دائرة السجون الأوغندية مبادئ توجيهية بشأن إصدار تعليمات بإنشاء لجان معنية بحقوق الإنسان في السجون ومكتب لحقوق الإنسان في مقرها، في عام </w:t>
      </w:r>
      <w:r w:rsidR="009C0CE0" w:rsidRPr="00D577DE">
        <w:rPr>
          <w:rtl/>
        </w:rPr>
        <w:t>201</w:t>
      </w:r>
      <w:r w:rsidR="00704AD2" w:rsidRPr="00D577DE">
        <w:rPr>
          <w:rtl/>
        </w:rPr>
        <w:t>0</w:t>
      </w:r>
      <w:r w:rsidR="00704AD2" w:rsidRPr="00704AD2">
        <w:rPr>
          <w:rtl/>
        </w:rPr>
        <w:t>.</w:t>
      </w:r>
    </w:p>
    <w:p w14:paraId="6326D63D" w14:textId="42300252" w:rsidR="009C0CE0" w:rsidRPr="00110930" w:rsidRDefault="00EC1593" w:rsidP="00EC1593">
      <w:pPr>
        <w:pStyle w:val="H1GA"/>
        <w:rPr>
          <w:szCs w:val="20"/>
          <w:lang w:val="ar-SA" w:eastAsia="zh-TW" w:bidi="en-GB"/>
        </w:rPr>
      </w:pPr>
      <w:r>
        <w:rPr>
          <w:rtl/>
        </w:rPr>
        <w:tab/>
      </w:r>
      <w:r w:rsidR="009C0CE0">
        <w:rPr>
          <w:rtl/>
        </w:rPr>
        <w:t>جيم-</w:t>
      </w:r>
      <w:r w:rsidR="009C0CE0">
        <w:rPr>
          <w:rtl/>
        </w:rPr>
        <w:tab/>
        <w:t>دواعي القلق الرئيسية والتوصيات</w:t>
      </w:r>
    </w:p>
    <w:p w14:paraId="63F5DBC4" w14:textId="77777777" w:rsidR="009C0CE0" w:rsidRPr="00110930" w:rsidRDefault="009C0CE0" w:rsidP="00EC1593">
      <w:pPr>
        <w:pStyle w:val="H23GA"/>
        <w:rPr>
          <w:szCs w:val="20"/>
          <w:lang w:val="ar-SA" w:eastAsia="zh-TW" w:bidi="en-GB"/>
        </w:rPr>
      </w:pPr>
      <w:bookmarkStart w:id="0" w:name="_Hlk118718917"/>
      <w:r>
        <w:rPr>
          <w:rtl/>
        </w:rPr>
        <w:tab/>
      </w:r>
      <w:r>
        <w:rPr>
          <w:rtl/>
        </w:rPr>
        <w:tab/>
        <w:t>مسائل المتابعة المعلَّقة منذ الجولة السابقة لتقديم التقارير</w:t>
      </w:r>
    </w:p>
    <w:p w14:paraId="41F3CCD7" w14:textId="320E2888" w:rsidR="00704AD2" w:rsidRPr="004B6834" w:rsidRDefault="009C0CE0" w:rsidP="00EC1593">
      <w:pPr>
        <w:pStyle w:val="SingleTxtGA"/>
        <w:rPr>
          <w:spacing w:val="-4"/>
          <w:szCs w:val="20"/>
          <w:lang w:val="ar-SA" w:eastAsia="zh-TW" w:bidi="en-GB"/>
        </w:rPr>
      </w:pPr>
      <w:r w:rsidRPr="00D577DE">
        <w:rPr>
          <w:rtl/>
        </w:rPr>
        <w:t>8</w:t>
      </w:r>
      <w:r>
        <w:rPr>
          <w:rFonts w:ascii="Simplified Arabic"/>
          <w:szCs w:val="20"/>
          <w:rtl/>
        </w:rPr>
        <w:t>-</w:t>
      </w:r>
      <w:r>
        <w:rPr>
          <w:rtl/>
        </w:rPr>
        <w:tab/>
      </w:r>
      <w:r w:rsidRPr="004B6834">
        <w:rPr>
          <w:spacing w:val="-4"/>
          <w:rtl/>
        </w:rPr>
        <w:t>طلبت اللجنة إلى الدولة الطرف، في الملاحظات الختامية التي قدمتها بشأن تقريرها الأولي، موافاتها بمعلومات عن تنفيذها لتوصيات اللجنة بأن تقلل إلى أدنى حد من عدد قوات ووكالات الأمن التي تتمتع بسلطة الاعتقال والاحتجاز والتحقيق؛ وإلغاء استخدام أماكن الاحتجاز</w:t>
      </w:r>
      <w:r w:rsidR="00550F6E" w:rsidRPr="004B6834">
        <w:rPr>
          <w:spacing w:val="-4"/>
          <w:rtl/>
        </w:rPr>
        <w:t xml:space="preserve"> </w:t>
      </w:r>
      <w:r w:rsidRPr="004B6834">
        <w:rPr>
          <w:spacing w:val="-4"/>
          <w:rtl/>
        </w:rPr>
        <w:t>أو "البيوت الآمنة" "غير المعلنة في الجريدة الرسمية" أو غير المصرح بها؛ والسماح لمراقبي حقوق الإنسان المستقلين بالوصول الكامل إلى أماكن الاحتجاز أو "البيوت الآمنة" الرسمية وغير الرسمية، من دون إخطار مسبق؛ وحماية السكان المدنيين في مناطق النزاعات المسلحة؛ ومنع اختطاف الأطفال وتسهيل إعادة إدماج الجنود السابقين من</w:t>
      </w:r>
      <w:r w:rsidR="00550F6E" w:rsidRPr="004B6834">
        <w:rPr>
          <w:spacing w:val="-4"/>
          <w:rtl/>
        </w:rPr>
        <w:t xml:space="preserve"> </w:t>
      </w:r>
      <w:r w:rsidRPr="004B6834">
        <w:rPr>
          <w:spacing w:val="-4"/>
          <w:rtl/>
        </w:rPr>
        <w:t>الأطفال في المجتمع</w:t>
      </w:r>
      <w:r w:rsidR="00704AD2" w:rsidRPr="004B6834">
        <w:rPr>
          <w:rStyle w:val="FootnoteReference"/>
          <w:spacing w:val="-4"/>
          <w:szCs w:val="22"/>
          <w:rtl/>
        </w:rPr>
        <w:t>(</w:t>
      </w:r>
      <w:r w:rsidR="00704AD2" w:rsidRPr="004B6834">
        <w:rPr>
          <w:rStyle w:val="FootnoteReference"/>
          <w:spacing w:val="-4"/>
          <w:szCs w:val="22"/>
          <w:rtl/>
        </w:rPr>
        <w:footnoteReference w:id="4"/>
      </w:r>
      <w:r w:rsidR="00704AD2" w:rsidRPr="004B6834">
        <w:rPr>
          <w:rStyle w:val="FootnoteReference"/>
          <w:spacing w:val="-4"/>
          <w:szCs w:val="22"/>
          <w:rtl/>
        </w:rPr>
        <w:t>)</w:t>
      </w:r>
      <w:r w:rsidR="00704AD2" w:rsidRPr="004B6834">
        <w:rPr>
          <w:spacing w:val="-4"/>
          <w:rtl/>
        </w:rPr>
        <w:t xml:space="preserve">. </w:t>
      </w:r>
      <w:r w:rsidRPr="004B6834">
        <w:rPr>
          <w:spacing w:val="-4"/>
          <w:rtl/>
        </w:rPr>
        <w:t>وتعرب اللجنة عن أسفها لعدم تلقيها أي رد من الدولة الطرف في إطار إجراء متابعة الملاحظات الختامية، رغم أن المقرر المعني بمتابعة الملاحظات الختامية أحال إلى الدولة الطرف رسالة تذكير بهذا الشأن في 5 نيسان/</w:t>
      </w:r>
      <w:r w:rsidR="004B6834">
        <w:rPr>
          <w:rFonts w:hint="cs"/>
          <w:spacing w:val="-4"/>
          <w:rtl/>
        </w:rPr>
        <w:t xml:space="preserve"> </w:t>
      </w:r>
      <w:r w:rsidRPr="004B6834">
        <w:rPr>
          <w:spacing w:val="-4"/>
          <w:rtl/>
        </w:rPr>
        <w:t>أبريل 200</w:t>
      </w:r>
      <w:r w:rsidR="00704AD2" w:rsidRPr="004B6834">
        <w:rPr>
          <w:spacing w:val="-4"/>
          <w:rtl/>
        </w:rPr>
        <w:t>7</w:t>
      </w:r>
      <w:r w:rsidR="00704AD2" w:rsidRPr="004B6834">
        <w:rPr>
          <w:rFonts w:ascii="Simplified Arabic"/>
          <w:spacing w:val="-4"/>
          <w:szCs w:val="20"/>
          <w:rtl/>
        </w:rPr>
        <w:t>.</w:t>
      </w:r>
      <w:r w:rsidR="00704AD2" w:rsidRPr="004B6834">
        <w:rPr>
          <w:spacing w:val="-4"/>
          <w:rtl/>
        </w:rPr>
        <w:t xml:space="preserve"> </w:t>
      </w:r>
      <w:r w:rsidRPr="004B6834">
        <w:rPr>
          <w:spacing w:val="-4"/>
          <w:rtl/>
        </w:rPr>
        <w:t>وفي ضوء الوقائع الواردة في التقرير الدوري الثاني للدولة الطرف والمعلومات التي قدمها الوفد، ترى اللجنة أن هذه التوصيات قد نفذت جزئيا</w:t>
      </w:r>
      <w:r w:rsidR="00EB46B8" w:rsidRPr="004B6834">
        <w:rPr>
          <w:rFonts w:hint="cs"/>
          <w:spacing w:val="-4"/>
          <w:rtl/>
        </w:rPr>
        <w:t>ً</w:t>
      </w:r>
      <w:r w:rsidRPr="004B6834">
        <w:rPr>
          <w:spacing w:val="-4"/>
          <w:rtl/>
        </w:rPr>
        <w:t xml:space="preserve"> (انظر الفقرتين 14 </w:t>
      </w:r>
      <w:proofErr w:type="spellStart"/>
      <w:r w:rsidRPr="004B6834">
        <w:rPr>
          <w:spacing w:val="-4"/>
          <w:rtl/>
        </w:rPr>
        <w:t>و16</w:t>
      </w:r>
      <w:proofErr w:type="spellEnd"/>
      <w:r w:rsidRPr="004B6834">
        <w:rPr>
          <w:spacing w:val="-4"/>
          <w:rtl/>
        </w:rPr>
        <w:t xml:space="preserve"> أدناه</w:t>
      </w:r>
      <w:r w:rsidR="00704AD2" w:rsidRPr="004B6834">
        <w:rPr>
          <w:spacing w:val="-4"/>
          <w:rtl/>
        </w:rPr>
        <w:t>).</w:t>
      </w:r>
    </w:p>
    <w:p w14:paraId="26308A84" w14:textId="410636A3" w:rsidR="009C0CE0" w:rsidRPr="00110930" w:rsidRDefault="009C0CE0" w:rsidP="00EC1593">
      <w:pPr>
        <w:pStyle w:val="H23GA"/>
        <w:rPr>
          <w:szCs w:val="20"/>
          <w:lang w:val="ar-SA" w:eastAsia="zh-TW" w:bidi="en-GB"/>
        </w:rPr>
      </w:pPr>
      <w:r>
        <w:rPr>
          <w:rtl/>
        </w:rPr>
        <w:tab/>
      </w:r>
      <w:r>
        <w:rPr>
          <w:rtl/>
        </w:rPr>
        <w:tab/>
        <w:t xml:space="preserve">تعريف التعذيب وتجريمه </w:t>
      </w:r>
    </w:p>
    <w:p w14:paraId="06E336CD" w14:textId="3F3C7C89" w:rsidR="00704AD2" w:rsidRPr="00704AD2" w:rsidRDefault="009C0CE0" w:rsidP="00EC1593">
      <w:pPr>
        <w:pStyle w:val="SingleTxtGA"/>
        <w:rPr>
          <w:szCs w:val="20"/>
          <w:lang w:val="ar-SA" w:eastAsia="zh-TW" w:bidi="en-GB"/>
        </w:rPr>
      </w:pPr>
      <w:bookmarkStart w:id="1" w:name="_Hlk118717537"/>
      <w:r w:rsidRPr="00D577DE">
        <w:rPr>
          <w:rtl/>
        </w:rPr>
        <w:t>9</w:t>
      </w:r>
      <w:r>
        <w:rPr>
          <w:rFonts w:ascii="Simplified Arabic"/>
          <w:szCs w:val="20"/>
          <w:rtl/>
        </w:rPr>
        <w:t>-</w:t>
      </w:r>
      <w:r>
        <w:rPr>
          <w:rtl/>
        </w:rPr>
        <w:tab/>
        <w:t>تحيط اللجنة علما</w:t>
      </w:r>
      <w:r w:rsidR="00EB46B8">
        <w:rPr>
          <w:rFonts w:hint="cs"/>
          <w:rtl/>
        </w:rPr>
        <w:t>ً</w:t>
      </w:r>
      <w:r>
        <w:rPr>
          <w:rtl/>
        </w:rPr>
        <w:t xml:space="preserve"> بالمعلومات التي قدمتها الدولة الطرف بشأن حظر التعذيب حظرا</w:t>
      </w:r>
      <w:r w:rsidR="00EB46B8">
        <w:rPr>
          <w:rFonts w:hint="cs"/>
          <w:rtl/>
        </w:rPr>
        <w:t>ً</w:t>
      </w:r>
      <w:r>
        <w:rPr>
          <w:rtl/>
        </w:rPr>
        <w:t xml:space="preserve"> مطلقا</w:t>
      </w:r>
      <w:r w:rsidR="00EB46B8">
        <w:rPr>
          <w:rFonts w:hint="cs"/>
          <w:rtl/>
        </w:rPr>
        <w:t>ً</w:t>
      </w:r>
      <w:r>
        <w:rPr>
          <w:rtl/>
        </w:rPr>
        <w:t xml:space="preserve"> لا</w:t>
      </w:r>
      <w:r w:rsidR="00A43935">
        <w:rPr>
          <w:rFonts w:hint="cs"/>
          <w:rtl/>
        </w:rPr>
        <w:t> </w:t>
      </w:r>
      <w:r>
        <w:rPr>
          <w:rtl/>
        </w:rPr>
        <w:t xml:space="preserve">يقبل التقييد الوارد في الدستور وقانون منع التعذيب وحظره لعام </w:t>
      </w:r>
      <w:r w:rsidRPr="00D577DE">
        <w:rPr>
          <w:rtl/>
        </w:rPr>
        <w:t>201</w:t>
      </w:r>
      <w:r w:rsidR="00704AD2" w:rsidRPr="00D577DE">
        <w:rPr>
          <w:rtl/>
        </w:rPr>
        <w:t>2</w:t>
      </w:r>
      <w:r w:rsidR="00704AD2" w:rsidRPr="00704AD2">
        <w:rPr>
          <w:rFonts w:ascii="Simplified Arabic"/>
          <w:szCs w:val="20"/>
          <w:rtl/>
        </w:rPr>
        <w:t>.</w:t>
      </w:r>
      <w:r w:rsidR="00704AD2" w:rsidRPr="00704AD2">
        <w:rPr>
          <w:rtl/>
        </w:rPr>
        <w:t xml:space="preserve"> </w:t>
      </w:r>
      <w:r>
        <w:rPr>
          <w:rtl/>
        </w:rPr>
        <w:t xml:space="preserve">وتلاحظ اللجنة أن قانون منع التعذيب وحظره يتضمن تعريف التعذيب الوارد في المادة </w:t>
      </w:r>
      <w:r w:rsidRPr="00D577DE">
        <w:rPr>
          <w:rtl/>
        </w:rPr>
        <w:t>1</w:t>
      </w:r>
      <w:r>
        <w:rPr>
          <w:rtl/>
        </w:rPr>
        <w:t xml:space="preserve"> من الاتفاقية، ويشمل أعمال التعذيب غير </w:t>
      </w:r>
      <w:r>
        <w:rPr>
          <w:rtl/>
        </w:rPr>
        <w:lastRenderedPageBreak/>
        <w:t>المتعمدة، ويوسع نطاق المسؤولية عن التعذيب بما يتجاوز الموظفين العموميين ويشمل "الشخص الذي يتصرف بصفته الشخصية"، رغم أن هذا القانون لا يعرّف هذا المصطلح تعريفا</w:t>
      </w:r>
      <w:r w:rsidR="00061B67">
        <w:rPr>
          <w:rFonts w:hint="cs"/>
          <w:rtl/>
        </w:rPr>
        <w:t>ً</w:t>
      </w:r>
      <w:r>
        <w:rPr>
          <w:rtl/>
        </w:rPr>
        <w:t xml:space="preserve"> واضحا</w:t>
      </w:r>
      <w:r w:rsidR="00061B67">
        <w:rPr>
          <w:rFonts w:hint="cs"/>
          <w:rtl/>
        </w:rPr>
        <w:t>ً</w:t>
      </w:r>
      <w:r>
        <w:rPr>
          <w:rtl/>
        </w:rPr>
        <w:t xml:space="preserve"> (المادة </w:t>
      </w:r>
      <w:r w:rsidR="00704AD2" w:rsidRPr="00D577DE">
        <w:rPr>
          <w:rtl/>
        </w:rPr>
        <w:t>1</w:t>
      </w:r>
      <w:bookmarkEnd w:id="1"/>
      <w:r w:rsidR="00704AD2" w:rsidRPr="00704AD2">
        <w:rPr>
          <w:rFonts w:ascii="Simplified Arabic"/>
          <w:szCs w:val="20"/>
          <w:rtl/>
        </w:rPr>
        <w:t>)</w:t>
      </w:r>
      <w:r w:rsidR="00704AD2" w:rsidRPr="00704AD2">
        <w:rPr>
          <w:rtl/>
        </w:rPr>
        <w:t>.</w:t>
      </w:r>
    </w:p>
    <w:p w14:paraId="14FB7F28" w14:textId="55B9FB56" w:rsidR="009C0CE0" w:rsidRPr="00732741" w:rsidRDefault="009C0CE0" w:rsidP="00EC1593">
      <w:pPr>
        <w:pStyle w:val="SingleTxtGA"/>
        <w:rPr>
          <w:b/>
          <w:bCs/>
          <w:lang w:val="ar-SA" w:eastAsia="zh-TW" w:bidi="en-GB"/>
        </w:rPr>
      </w:pPr>
      <w:r w:rsidRPr="00732741">
        <w:rPr>
          <w:rtl/>
        </w:rPr>
        <w:t>10</w:t>
      </w:r>
      <w:r w:rsidRPr="00732741">
        <w:rPr>
          <w:rFonts w:ascii="Simplified Arabic"/>
          <w:rtl/>
        </w:rPr>
        <w:t>-</w:t>
      </w:r>
      <w:r w:rsidRPr="00732741">
        <w:rPr>
          <w:rtl/>
        </w:rPr>
        <w:tab/>
      </w:r>
      <w:r w:rsidRPr="00732741">
        <w:rPr>
          <w:b/>
          <w:bCs/>
          <w:rtl/>
        </w:rPr>
        <w:t>ينبغي أن تكفل الدولة الطرف حظر جميع أشكال التعذيب وفقا</w:t>
      </w:r>
      <w:r w:rsidR="00061B67" w:rsidRPr="00732741">
        <w:rPr>
          <w:rFonts w:hint="cs"/>
          <w:b/>
          <w:bCs/>
          <w:rtl/>
        </w:rPr>
        <w:t>ً</w:t>
      </w:r>
      <w:r w:rsidRPr="00732741">
        <w:rPr>
          <w:b/>
          <w:bCs/>
          <w:rtl/>
        </w:rPr>
        <w:t xml:space="preserve"> للتعريف الوارد في المادة </w:t>
      </w:r>
      <w:r w:rsidRPr="00732741">
        <w:rPr>
          <w:rtl/>
        </w:rPr>
        <w:t>1</w:t>
      </w:r>
      <w:r w:rsidRPr="00732741">
        <w:rPr>
          <w:b/>
          <w:bCs/>
          <w:rtl/>
        </w:rPr>
        <w:t xml:space="preserve"> من الاتفاقية، لا في القانون فحسب، بل وفي الممارسة العملية أيضا</w:t>
      </w:r>
      <w:r w:rsidR="00061B67" w:rsidRPr="00732741">
        <w:rPr>
          <w:rFonts w:hint="cs"/>
          <w:b/>
          <w:bCs/>
          <w:rtl/>
        </w:rPr>
        <w:t>ً</w:t>
      </w:r>
      <w:r w:rsidRPr="00732741">
        <w:rPr>
          <w:b/>
          <w:bCs/>
          <w:rtl/>
        </w:rPr>
        <w:t xml:space="preserve">. وفي هذا الصدد، ينبغي أن تضمن الدولة الطرف ألا يترك تطبيق الأحكام الشاملة المناهضة للتعذيب في تشريعاتها، أي ثغرات فعلية أو محتملة تتيح الإفلات من العقاب. </w:t>
      </w:r>
    </w:p>
    <w:p w14:paraId="0F49D157" w14:textId="77777777" w:rsidR="009C0CE0" w:rsidRPr="00D577DE" w:rsidRDefault="009C0CE0" w:rsidP="00EC1593">
      <w:pPr>
        <w:pStyle w:val="H23GA"/>
        <w:rPr>
          <w:szCs w:val="20"/>
          <w:lang w:val="en-US" w:eastAsia="zh-TW" w:bidi="en-GB"/>
        </w:rPr>
      </w:pPr>
      <w:r>
        <w:rPr>
          <w:rtl/>
        </w:rPr>
        <w:tab/>
      </w:r>
      <w:r>
        <w:rPr>
          <w:rtl/>
        </w:rPr>
        <w:tab/>
        <w:t xml:space="preserve">ادعاءات ممارسة التعذيب وسوء المعاملة على نطاق واسع </w:t>
      </w:r>
    </w:p>
    <w:p w14:paraId="1DF0A5BD" w14:textId="468F402A" w:rsidR="009C0CE0" w:rsidRPr="00331598" w:rsidRDefault="009C0CE0" w:rsidP="004B6834">
      <w:pPr>
        <w:pStyle w:val="SingleTxtGA"/>
        <w:spacing w:line="340" w:lineRule="exact"/>
        <w:rPr>
          <w:spacing w:val="-4"/>
          <w:lang w:val="ar-SA" w:eastAsia="zh-TW" w:bidi="en-GB"/>
        </w:rPr>
      </w:pPr>
      <w:r w:rsidRPr="00D577DE">
        <w:rPr>
          <w:rtl/>
        </w:rPr>
        <w:t>11</w:t>
      </w:r>
      <w:r w:rsidRPr="00331598">
        <w:rPr>
          <w:rFonts w:ascii="Simplified Arabic"/>
          <w:rtl/>
        </w:rPr>
        <w:t>-</w:t>
      </w:r>
      <w:r w:rsidRPr="00331598">
        <w:rPr>
          <w:rtl/>
        </w:rPr>
        <w:tab/>
        <w:t>يساور اللجنة قلق بالغ إزاء ورود تقارير تفيد بأن التعذيب وسوء المعاملة لا يزالان منتشرين على نطاق واسع ويمارسان على نحو شائع في أوغندا. ويساورها القلق أيضا</w:t>
      </w:r>
      <w:r w:rsidR="00061B67" w:rsidRPr="00331598">
        <w:rPr>
          <w:rFonts w:hint="cs"/>
          <w:rtl/>
        </w:rPr>
        <w:t>ً</w:t>
      </w:r>
      <w:r w:rsidRPr="00331598">
        <w:rPr>
          <w:rtl/>
        </w:rPr>
        <w:t xml:space="preserve"> إزاء ورود تقارير تشير إلى لجوء الأجهزة الأمنية إلى الاستخدام المفرط للقوة وغيرها من أعمال العنف في سياق التدابير الطارئة المتعلقة بمرض فيروس كورونا (كوفيد-</w:t>
      </w:r>
      <w:r w:rsidRPr="00D577DE">
        <w:rPr>
          <w:rtl/>
        </w:rPr>
        <w:t>1</w:t>
      </w:r>
      <w:r w:rsidR="00704AD2" w:rsidRPr="00D577DE">
        <w:rPr>
          <w:rtl/>
        </w:rPr>
        <w:t>9</w:t>
      </w:r>
      <w:r w:rsidR="00704AD2" w:rsidRPr="00331598">
        <w:rPr>
          <w:rFonts w:ascii="Simplified Arabic"/>
          <w:rtl/>
        </w:rPr>
        <w:t>)</w:t>
      </w:r>
      <w:r w:rsidR="00704AD2" w:rsidRPr="00331598">
        <w:rPr>
          <w:rtl/>
        </w:rPr>
        <w:t xml:space="preserve"> </w:t>
      </w:r>
      <w:r w:rsidRPr="00331598">
        <w:rPr>
          <w:rtl/>
        </w:rPr>
        <w:t>وتنفيذ التوجيهات الرئاسية. وفي هذا الصدد، تحيط اللجنة علما</w:t>
      </w:r>
      <w:r w:rsidR="00061B67" w:rsidRPr="00331598">
        <w:rPr>
          <w:rFonts w:hint="cs"/>
          <w:rtl/>
        </w:rPr>
        <w:t>ً</w:t>
      </w:r>
      <w:r w:rsidRPr="00331598">
        <w:rPr>
          <w:rtl/>
        </w:rPr>
        <w:t xml:space="preserve"> بالتوضيحات التي قدمها وفد الدولة الطرف فيما يتعلق بالتحقيق في أعمال التعذيب وإساءة المعاملة المزعومة ومقاضاة مرتكبيها. ووفقا</w:t>
      </w:r>
      <w:r w:rsidR="00061B67" w:rsidRPr="00331598">
        <w:rPr>
          <w:rFonts w:hint="cs"/>
          <w:rtl/>
        </w:rPr>
        <w:t>ً</w:t>
      </w:r>
      <w:r w:rsidRPr="00331598">
        <w:rPr>
          <w:rtl/>
        </w:rPr>
        <w:t xml:space="preserve"> للمعلومات التي قدمها الوفد، أنجز مكتب مدير النيابة العامة </w:t>
      </w:r>
      <w:r w:rsidRPr="00D577DE">
        <w:rPr>
          <w:rtl/>
        </w:rPr>
        <w:t>508</w:t>
      </w:r>
      <w:r w:rsidRPr="00331598">
        <w:rPr>
          <w:rtl/>
        </w:rPr>
        <w:t xml:space="preserve"> قضايا تتعلق بالتعذيب، </w:t>
      </w:r>
      <w:proofErr w:type="spellStart"/>
      <w:r w:rsidRPr="00331598">
        <w:rPr>
          <w:rtl/>
        </w:rPr>
        <w:t>و</w:t>
      </w:r>
      <w:r w:rsidRPr="00D577DE">
        <w:rPr>
          <w:rtl/>
        </w:rPr>
        <w:t>515</w:t>
      </w:r>
      <w:proofErr w:type="spellEnd"/>
      <w:r w:rsidRPr="00331598">
        <w:rPr>
          <w:rFonts w:ascii="Simplified Arabic"/>
          <w:rtl/>
        </w:rPr>
        <w:t xml:space="preserve"> </w:t>
      </w:r>
      <w:r w:rsidRPr="00D577DE">
        <w:rPr>
          <w:rtl/>
        </w:rPr>
        <w:t>1</w:t>
      </w:r>
      <w:r w:rsidRPr="00331598">
        <w:rPr>
          <w:rtl/>
        </w:rPr>
        <w:t xml:space="preserve"> قضية تنطوي على ضروب أخرى من المعاملة القاسية أو اللاإنسانية أو المهينة، مما أسفر عن صدور </w:t>
      </w:r>
      <w:r w:rsidRPr="00D577DE">
        <w:rPr>
          <w:rtl/>
        </w:rPr>
        <w:t>885</w:t>
      </w:r>
      <w:r w:rsidRPr="00331598">
        <w:rPr>
          <w:rtl/>
        </w:rPr>
        <w:t xml:space="preserve"> حكم إدانة في الفترة </w:t>
      </w:r>
      <w:r w:rsidRPr="00D577DE">
        <w:rPr>
          <w:rtl/>
        </w:rPr>
        <w:t>2021</w:t>
      </w:r>
      <w:r w:rsidRPr="00331598">
        <w:rPr>
          <w:rFonts w:ascii="Simplified Arabic"/>
          <w:rtl/>
        </w:rPr>
        <w:t>-</w:t>
      </w:r>
      <w:r w:rsidRPr="00D577DE">
        <w:rPr>
          <w:rtl/>
        </w:rPr>
        <w:t>202</w:t>
      </w:r>
      <w:r w:rsidR="00704AD2" w:rsidRPr="00D577DE">
        <w:rPr>
          <w:rtl/>
        </w:rPr>
        <w:t>2</w:t>
      </w:r>
      <w:r w:rsidR="00704AD2" w:rsidRPr="00331598">
        <w:rPr>
          <w:rFonts w:ascii="Simplified Arabic"/>
          <w:rtl/>
        </w:rPr>
        <w:t>.</w:t>
      </w:r>
      <w:r w:rsidR="00704AD2" w:rsidRPr="00331598">
        <w:rPr>
          <w:rtl/>
        </w:rPr>
        <w:t xml:space="preserve"> </w:t>
      </w:r>
      <w:r w:rsidRPr="00331598">
        <w:rPr>
          <w:rtl/>
        </w:rPr>
        <w:t xml:space="preserve">ويساور اللجنة القلق كذلك إزاء ورود تقارير تفيد بأن الوكالات المعنية، بما فيها قوة الشرطة الأوغندية، لم تنفذ لوائح منع التعذيب وحظره لعام </w:t>
      </w:r>
      <w:r w:rsidRPr="00D577DE">
        <w:rPr>
          <w:rtl/>
        </w:rPr>
        <w:t>201</w:t>
      </w:r>
      <w:r w:rsidR="00704AD2" w:rsidRPr="00D577DE">
        <w:rPr>
          <w:rtl/>
        </w:rPr>
        <w:t>7</w:t>
      </w:r>
      <w:r w:rsidR="00704AD2" w:rsidRPr="00331598">
        <w:rPr>
          <w:rFonts w:ascii="Simplified Arabic"/>
          <w:rtl/>
        </w:rPr>
        <w:t>.</w:t>
      </w:r>
      <w:r w:rsidR="00704AD2" w:rsidRPr="00331598">
        <w:rPr>
          <w:rtl/>
        </w:rPr>
        <w:t xml:space="preserve"> </w:t>
      </w:r>
      <w:r w:rsidRPr="00331598">
        <w:rPr>
          <w:rtl/>
        </w:rPr>
        <w:t>ووفقا</w:t>
      </w:r>
      <w:r w:rsidR="00061B67" w:rsidRPr="00331598">
        <w:rPr>
          <w:rFonts w:hint="cs"/>
          <w:rtl/>
        </w:rPr>
        <w:t>ً</w:t>
      </w:r>
      <w:r w:rsidRPr="00331598">
        <w:rPr>
          <w:rtl/>
        </w:rPr>
        <w:t xml:space="preserve"> للمعلومات المعروضة على اللجنة، لا تزال قوة الشرطة الأوغندية تستخدم قانون العقوبات </w:t>
      </w:r>
      <w:r w:rsidRPr="00331598">
        <w:rPr>
          <w:rFonts w:ascii="Simplified Arabic"/>
        </w:rPr>
        <w:t>(</w:t>
      </w:r>
      <w:r w:rsidR="008A2029" w:rsidRPr="00331598">
        <w:rPr>
          <w:rFonts w:cs="Times New Roman"/>
        </w:rPr>
        <w:t>Cap</w:t>
      </w:r>
      <w:r w:rsidR="00C325CE" w:rsidRPr="00331598">
        <w:rPr>
          <w:rFonts w:cs="Times New Roman"/>
        </w:rPr>
        <w:t xml:space="preserve">. </w:t>
      </w:r>
      <w:r w:rsidR="00C325CE" w:rsidRPr="00D577DE">
        <w:t>120</w:t>
      </w:r>
      <w:r w:rsidR="00704AD2" w:rsidRPr="00331598">
        <w:rPr>
          <w:rFonts w:ascii="Simplified Arabic" w:cs="Times New Roman"/>
        </w:rPr>
        <w:t>)</w:t>
      </w:r>
      <w:r w:rsidR="00704AD2" w:rsidRPr="00331598">
        <w:rPr>
          <w:rFonts w:cs="Times New Roman"/>
          <w:rtl/>
        </w:rPr>
        <w:t xml:space="preserve"> </w:t>
      </w:r>
      <w:r w:rsidRPr="00331598">
        <w:rPr>
          <w:rtl/>
        </w:rPr>
        <w:t>وتسجل حالات التعذيب كاعتداء، بدلا</w:t>
      </w:r>
      <w:r w:rsidR="00061B67" w:rsidRPr="00331598">
        <w:rPr>
          <w:rFonts w:hint="cs"/>
          <w:rtl/>
        </w:rPr>
        <w:t>ً</w:t>
      </w:r>
      <w:r w:rsidRPr="00331598">
        <w:rPr>
          <w:rtl/>
        </w:rPr>
        <w:t xml:space="preserve"> من استخدام الاستمارة </w:t>
      </w:r>
      <w:r w:rsidRPr="00D577DE">
        <w:rPr>
          <w:rtl/>
        </w:rPr>
        <w:t>4</w:t>
      </w:r>
      <w:r w:rsidRPr="00331598">
        <w:rPr>
          <w:rtl/>
        </w:rPr>
        <w:t>، التي وضعت لتوثيق حالات التعذيب استنادا</w:t>
      </w:r>
      <w:r w:rsidR="00061B67" w:rsidRPr="00331598">
        <w:rPr>
          <w:rFonts w:hint="cs"/>
          <w:rtl/>
        </w:rPr>
        <w:t>ً</w:t>
      </w:r>
      <w:r w:rsidRPr="00331598">
        <w:rPr>
          <w:rtl/>
        </w:rPr>
        <w:t xml:space="preserve"> إلى دليل التقصي والتوثيق الفعالين للتعذيب وغيره من ضروب المعاملة أو العقوبة القاسية أو اللاإنسانية أو المهينة (بروتوكول اسطنبول</w:t>
      </w:r>
      <w:r w:rsidR="00704AD2" w:rsidRPr="00331598">
        <w:rPr>
          <w:rtl/>
        </w:rPr>
        <w:t xml:space="preserve">). </w:t>
      </w:r>
      <w:r w:rsidRPr="00331598">
        <w:rPr>
          <w:rtl/>
        </w:rPr>
        <w:t xml:space="preserve">ولذلك، فإن فرص الضحايا في الوصول إلى العدالة محدودة لأن المدعين العامين والقضاة تنقصهم الأدلة الكافية لمقاضاة ومحاكمة مرتكبي حالات التعذيب. ومع أن المادة </w:t>
      </w:r>
      <w:r w:rsidRPr="00D577DE">
        <w:rPr>
          <w:rtl/>
        </w:rPr>
        <w:t>21</w:t>
      </w:r>
      <w:r w:rsidRPr="00331598">
        <w:rPr>
          <w:rtl/>
        </w:rPr>
        <w:t xml:space="preserve"> من قانون منع التعذيب وحظره تنص على حماية الشهود وضحايا </w:t>
      </w:r>
      <w:r w:rsidRPr="00331598">
        <w:rPr>
          <w:spacing w:val="-4"/>
          <w:rtl/>
        </w:rPr>
        <w:t>التعذيب، فإن المعلومات التي تلقتها اللجنة تشير إلى أن إحدى العقبات التي تعترض التحقيق والمقاضاة هي إحجام الضحايا والشهود عن إبلاغ السلطات المختصة بالتعذيب خوفا</w:t>
      </w:r>
      <w:r w:rsidR="004429C2" w:rsidRPr="00331598">
        <w:rPr>
          <w:rFonts w:hint="cs"/>
          <w:spacing w:val="-4"/>
          <w:rtl/>
        </w:rPr>
        <w:t>ً</w:t>
      </w:r>
      <w:r w:rsidRPr="00331598">
        <w:rPr>
          <w:spacing w:val="-4"/>
          <w:rtl/>
        </w:rPr>
        <w:t xml:space="preserve"> من الانتقام (المواد </w:t>
      </w:r>
      <w:r w:rsidRPr="00D577DE">
        <w:rPr>
          <w:rtl/>
        </w:rPr>
        <w:t>2</w:t>
      </w:r>
      <w:r w:rsidR="00550F6E" w:rsidRPr="00331598">
        <w:rPr>
          <w:spacing w:val="-4"/>
          <w:rtl/>
        </w:rPr>
        <w:t xml:space="preserve"> </w:t>
      </w:r>
      <w:proofErr w:type="spellStart"/>
      <w:r w:rsidR="00550F6E" w:rsidRPr="00331598">
        <w:rPr>
          <w:spacing w:val="-4"/>
          <w:rtl/>
        </w:rPr>
        <w:t>و</w:t>
      </w:r>
      <w:r w:rsidRPr="00D577DE">
        <w:rPr>
          <w:rtl/>
        </w:rPr>
        <w:t>12</w:t>
      </w:r>
      <w:proofErr w:type="spellEnd"/>
      <w:r w:rsidRPr="00331598">
        <w:rPr>
          <w:rFonts w:ascii="Simplified Arabic"/>
          <w:spacing w:val="-4"/>
          <w:rtl/>
        </w:rPr>
        <w:t>-</w:t>
      </w:r>
      <w:r w:rsidRPr="00D577DE">
        <w:rPr>
          <w:rtl/>
        </w:rPr>
        <w:t>13</w:t>
      </w:r>
      <w:r w:rsidRPr="00331598">
        <w:rPr>
          <w:spacing w:val="-4"/>
          <w:rtl/>
        </w:rPr>
        <w:t xml:space="preserve"> </w:t>
      </w:r>
      <w:proofErr w:type="spellStart"/>
      <w:r w:rsidRPr="00331598">
        <w:rPr>
          <w:spacing w:val="-4"/>
          <w:rtl/>
        </w:rPr>
        <w:t>و</w:t>
      </w:r>
      <w:r w:rsidRPr="00D577DE">
        <w:rPr>
          <w:rtl/>
        </w:rPr>
        <w:t>1</w:t>
      </w:r>
      <w:r w:rsidR="00704AD2" w:rsidRPr="00D577DE">
        <w:rPr>
          <w:rtl/>
        </w:rPr>
        <w:t>6</w:t>
      </w:r>
      <w:proofErr w:type="spellEnd"/>
      <w:r w:rsidR="00704AD2" w:rsidRPr="00331598">
        <w:rPr>
          <w:rFonts w:ascii="Simplified Arabic"/>
          <w:spacing w:val="-4"/>
          <w:rtl/>
        </w:rPr>
        <w:t>)</w:t>
      </w:r>
      <w:r w:rsidR="00704AD2" w:rsidRPr="00331598">
        <w:rPr>
          <w:spacing w:val="-4"/>
          <w:rtl/>
        </w:rPr>
        <w:t xml:space="preserve">. </w:t>
      </w:r>
    </w:p>
    <w:p w14:paraId="341300CD" w14:textId="77777777" w:rsidR="009C0CE0" w:rsidRPr="00375D09" w:rsidRDefault="009C0CE0" w:rsidP="004B6834">
      <w:pPr>
        <w:pStyle w:val="SingleTxtGA"/>
        <w:spacing w:line="340" w:lineRule="exact"/>
        <w:rPr>
          <w:b/>
          <w:bCs/>
          <w:szCs w:val="20"/>
          <w:lang w:val="ar-SA" w:eastAsia="zh-TW" w:bidi="en-GB"/>
        </w:rPr>
      </w:pPr>
      <w:r w:rsidRPr="00D577DE">
        <w:rPr>
          <w:rtl/>
        </w:rPr>
        <w:t>12</w:t>
      </w:r>
      <w:r>
        <w:rPr>
          <w:rFonts w:ascii="Simplified Arabic"/>
          <w:szCs w:val="20"/>
          <w:rtl/>
        </w:rPr>
        <w:t>-</w:t>
      </w:r>
      <w:r>
        <w:rPr>
          <w:rtl/>
        </w:rPr>
        <w:tab/>
      </w:r>
      <w:r w:rsidRPr="00375D09">
        <w:rPr>
          <w:b/>
          <w:bCs/>
          <w:rtl/>
        </w:rPr>
        <w:t>ينبغي للدولة الطرف القيام بما يلي:</w:t>
      </w:r>
    </w:p>
    <w:p w14:paraId="58129AB4" w14:textId="7F506BAE" w:rsidR="009C0CE0" w:rsidRPr="00EE1659" w:rsidRDefault="00EC1593" w:rsidP="004B6834">
      <w:pPr>
        <w:pStyle w:val="SingleTxtGA"/>
        <w:spacing w:line="340" w:lineRule="exact"/>
        <w:rPr>
          <w:rFonts w:ascii="Times New Roman Bold" w:hAnsi="Times New Roman Bold" w:hint="eastAsia"/>
          <w:b/>
          <w:bCs/>
          <w:spacing w:val="-4"/>
          <w:szCs w:val="20"/>
          <w:lang w:val="ar-SA" w:eastAsia="zh-TW" w:bidi="en-GB"/>
        </w:rPr>
      </w:pPr>
      <w:r w:rsidRPr="004B6834">
        <w:rPr>
          <w:rtl/>
        </w:rPr>
        <w:tab/>
      </w:r>
      <w:r w:rsidR="009C0CE0" w:rsidRPr="004B6834">
        <w:rPr>
          <w:rtl/>
        </w:rPr>
        <w:t>(أ)</w:t>
      </w:r>
      <w:r w:rsidR="009C0CE0" w:rsidRPr="004B6834">
        <w:rPr>
          <w:rtl/>
        </w:rPr>
        <w:tab/>
      </w:r>
      <w:r w:rsidR="009C0CE0" w:rsidRPr="00375D09">
        <w:rPr>
          <w:b/>
          <w:bCs/>
          <w:rtl/>
        </w:rPr>
        <w:t xml:space="preserve">ضمان تحقيق هيئة مستقلة فوراً وبنزاهة في جميع شكاوى التعذيب وسوء المعاملة </w:t>
      </w:r>
      <w:r w:rsidR="009C0CE0" w:rsidRPr="00EE1659">
        <w:rPr>
          <w:rFonts w:ascii="Times New Roman Bold" w:hAnsi="Times New Roman Bold"/>
          <w:b/>
          <w:bCs/>
          <w:spacing w:val="-4"/>
          <w:rtl/>
        </w:rPr>
        <w:t>وضمان عدم وجود أي علاقة مؤسسية أو هرمية بين محققي هذه الهيئة والمشتبه في ارتكابهم هذه الأفعال؛</w:t>
      </w:r>
    </w:p>
    <w:p w14:paraId="5CC5CA40" w14:textId="073109C4" w:rsidR="009C0CE0" w:rsidRPr="00375D09" w:rsidRDefault="00EC1593" w:rsidP="004B6834">
      <w:pPr>
        <w:pStyle w:val="SingleTxtGA"/>
        <w:spacing w:line="340" w:lineRule="exact"/>
        <w:rPr>
          <w:b/>
          <w:bCs/>
          <w:szCs w:val="20"/>
          <w:lang w:val="ar-SA" w:eastAsia="zh-TW" w:bidi="en-GB"/>
        </w:rPr>
      </w:pPr>
      <w:r w:rsidRPr="004B6834">
        <w:rPr>
          <w:rtl/>
        </w:rPr>
        <w:tab/>
      </w:r>
      <w:r w:rsidR="009C0CE0" w:rsidRPr="004B6834">
        <w:rPr>
          <w:rtl/>
        </w:rPr>
        <w:t>(ب)</w:t>
      </w:r>
      <w:r w:rsidR="009C0CE0" w:rsidRPr="004B6834">
        <w:rPr>
          <w:rtl/>
        </w:rPr>
        <w:tab/>
      </w:r>
      <w:r w:rsidR="009C0CE0" w:rsidRPr="00375D09">
        <w:rPr>
          <w:b/>
          <w:bCs/>
          <w:rtl/>
        </w:rPr>
        <w:t>ضمان فتح السلطات تحقيقات كلما وردت شكاوى تتعلق بالتعذيب وسوء المعاملة وتوافرت أسباب معقولة تدعو إلى الاعتقاد أن ثمة من ارتكب فعلاً من أفعال التعذيب أو سوء المعاملة؛</w:t>
      </w:r>
    </w:p>
    <w:p w14:paraId="2AECD171" w14:textId="040677DD" w:rsidR="009C0CE0" w:rsidRPr="00375D09" w:rsidRDefault="00EC1593" w:rsidP="004B6834">
      <w:pPr>
        <w:pStyle w:val="SingleTxtGA"/>
        <w:spacing w:line="340" w:lineRule="exact"/>
        <w:rPr>
          <w:b/>
          <w:bCs/>
          <w:szCs w:val="20"/>
          <w:lang w:val="ar-SA" w:eastAsia="zh-TW" w:bidi="en-GB"/>
        </w:rPr>
      </w:pPr>
      <w:r w:rsidRPr="004B6834">
        <w:rPr>
          <w:rtl/>
        </w:rPr>
        <w:tab/>
      </w:r>
      <w:r w:rsidR="009C0CE0" w:rsidRPr="004B6834">
        <w:rPr>
          <w:rtl/>
        </w:rPr>
        <w:t>(ج)</w:t>
      </w:r>
      <w:r w:rsidR="009C0CE0" w:rsidRPr="004B6834">
        <w:rPr>
          <w:rtl/>
        </w:rPr>
        <w:tab/>
      </w:r>
      <w:r w:rsidR="009C0CE0" w:rsidRPr="00375D09">
        <w:rPr>
          <w:b/>
          <w:bCs/>
          <w:rtl/>
        </w:rPr>
        <w:t>الحرص، في حالات ادعاء التعذيب أو سوء المعاملة، على توقيف المشتبه فيهم عن العمل فوراً طوال مدة التحقيق، ولا سيما إذا كان استمرارهم في العمل قد يتسبب في تكرار الفعل المدعى ارتكابه أو في الانتقام من الشخص المدعى أنه ضحية أو في عرقلة التحقيق؛</w:t>
      </w:r>
    </w:p>
    <w:p w14:paraId="5A2BADDF" w14:textId="428F278B" w:rsidR="009C0CE0" w:rsidRPr="004B6834" w:rsidRDefault="00EC1593" w:rsidP="004B6834">
      <w:pPr>
        <w:pStyle w:val="SingleTxtGA"/>
        <w:spacing w:line="340" w:lineRule="exact"/>
        <w:rPr>
          <w:rFonts w:ascii="Times New Roman Bold" w:hAnsi="Times New Roman Bold"/>
          <w:b/>
          <w:bCs/>
          <w:spacing w:val="-4"/>
          <w:szCs w:val="20"/>
          <w:lang w:val="ar-SA" w:eastAsia="zh-TW" w:bidi="en-GB"/>
        </w:rPr>
      </w:pPr>
      <w:r w:rsidRPr="004B6834">
        <w:rPr>
          <w:rtl/>
        </w:rPr>
        <w:tab/>
      </w:r>
      <w:r w:rsidR="009C0CE0" w:rsidRPr="004B6834">
        <w:rPr>
          <w:rtl/>
        </w:rPr>
        <w:t>(د)</w:t>
      </w:r>
      <w:r w:rsidR="009C0CE0" w:rsidRPr="00375D09">
        <w:rPr>
          <w:b/>
          <w:bCs/>
          <w:rtl/>
        </w:rPr>
        <w:tab/>
      </w:r>
      <w:r w:rsidR="009C0CE0" w:rsidRPr="004B6834">
        <w:rPr>
          <w:rFonts w:ascii="Times New Roman Bold" w:hAnsi="Times New Roman Bold"/>
          <w:b/>
          <w:bCs/>
          <w:spacing w:val="-4"/>
          <w:rtl/>
        </w:rPr>
        <w:t>تجميع معلومات</w:t>
      </w:r>
      <w:r w:rsidR="00550F6E" w:rsidRPr="004B6834">
        <w:rPr>
          <w:rFonts w:ascii="Times New Roman Bold" w:hAnsi="Times New Roman Bold"/>
          <w:b/>
          <w:bCs/>
          <w:spacing w:val="-4"/>
          <w:rtl/>
        </w:rPr>
        <w:t xml:space="preserve"> </w:t>
      </w:r>
      <w:r w:rsidR="009C0CE0" w:rsidRPr="004B6834">
        <w:rPr>
          <w:rFonts w:ascii="Times New Roman Bold" w:hAnsi="Times New Roman Bold"/>
          <w:b/>
          <w:bCs/>
          <w:spacing w:val="-4"/>
          <w:rtl/>
        </w:rPr>
        <w:t>مفصلة شاملة تتصل بجميع الشكاوى والتقارير الواردة بشأن التعذيب أو سوء المعاملة ونشر هذه المعلومات، بما في ذلك معلومات عما إذا كانت هذه الشكاوى قد أفضت إلى تحقيقات، وذكر السلطة التي تولت التحقيق، إذا كان الأمر كذلك، وما إذا كانت التحقيقات أسفرت عن فرض تدابير تأديبية و/أو ملاحقات قضائية، وما إذا كان الضحايا قد حصلوا على الجبر، على النحو الذي يمكن الدولة الطرف من أن تقدم هذه المعلومات إلى اللجنة وغيرها من المراقبين ذوي الصلة في المستقبل</w:t>
      </w:r>
      <w:r w:rsidR="00375D09" w:rsidRPr="004B6834">
        <w:rPr>
          <w:rFonts w:ascii="Times New Roman Bold" w:hAnsi="Times New Roman Bold" w:hint="cs"/>
          <w:b/>
          <w:bCs/>
          <w:spacing w:val="-4"/>
          <w:rtl/>
        </w:rPr>
        <w:t>؛</w:t>
      </w:r>
    </w:p>
    <w:p w14:paraId="58BA2B56" w14:textId="1088ED3A" w:rsidR="009C0CE0" w:rsidRPr="00375D09" w:rsidRDefault="00EC1593" w:rsidP="00EC1593">
      <w:pPr>
        <w:pStyle w:val="SingleTxtGA"/>
        <w:rPr>
          <w:b/>
          <w:bCs/>
          <w:szCs w:val="20"/>
          <w:lang w:val="ar-SA" w:eastAsia="zh-TW" w:bidi="en-GB"/>
        </w:rPr>
      </w:pPr>
      <w:r w:rsidRPr="004B6834">
        <w:rPr>
          <w:rtl/>
        </w:rPr>
        <w:tab/>
      </w:r>
      <w:r w:rsidR="009C0CE0" w:rsidRPr="004B6834">
        <w:rPr>
          <w:rtl/>
        </w:rPr>
        <w:t>(هـ)</w:t>
      </w:r>
      <w:r w:rsidR="009C0CE0" w:rsidRPr="00375D09">
        <w:rPr>
          <w:b/>
          <w:bCs/>
          <w:rtl/>
        </w:rPr>
        <w:tab/>
        <w:t>اعتماد مشروع قانون حماية الشهود وتحويله إلى قانون؛</w:t>
      </w:r>
    </w:p>
    <w:p w14:paraId="791D6E96" w14:textId="5B84CBBD" w:rsidR="009C0CE0" w:rsidRPr="004261B4" w:rsidRDefault="00EC1593" w:rsidP="00EC1593">
      <w:pPr>
        <w:pStyle w:val="SingleTxtGA"/>
        <w:rPr>
          <w:b/>
          <w:bCs/>
          <w:lang w:val="ar-SA" w:eastAsia="zh-TW" w:bidi="en-GB"/>
        </w:rPr>
      </w:pPr>
      <w:r w:rsidRPr="004B6834">
        <w:rPr>
          <w:rtl/>
        </w:rPr>
        <w:lastRenderedPageBreak/>
        <w:tab/>
      </w:r>
      <w:r w:rsidR="009C0CE0" w:rsidRPr="004B6834">
        <w:rPr>
          <w:rtl/>
        </w:rPr>
        <w:t>(و)</w:t>
      </w:r>
      <w:r w:rsidR="009C0CE0" w:rsidRPr="004261B4">
        <w:rPr>
          <w:b/>
          <w:bCs/>
          <w:rtl/>
        </w:rPr>
        <w:tab/>
        <w:t>تعزيز التوعية وبناء القدرات والتدريب في جميع وكالات إنفاذ القانون بشأن التنفيذ الفعال لقانون منع وحظر التعذيب لعام 2012 ولوائح منع وحظر التعذيب لعام 2017، وضمان الاستخدام المنهجي للنموذج 4 والعقوبات ضد المسؤولين الذين لا ينفذون قانون منع وحظر التعذيب.</w:t>
      </w:r>
    </w:p>
    <w:p w14:paraId="7928635B" w14:textId="77777777" w:rsidR="009C0CE0" w:rsidRPr="00581524" w:rsidRDefault="009C0CE0" w:rsidP="00EC1593">
      <w:pPr>
        <w:pStyle w:val="H23GA"/>
        <w:rPr>
          <w:szCs w:val="20"/>
          <w:lang w:val="en-US" w:eastAsia="zh-TW" w:bidi="en-GB"/>
        </w:rPr>
      </w:pPr>
      <w:r>
        <w:rPr>
          <w:rtl/>
        </w:rPr>
        <w:tab/>
      </w:r>
      <w:r>
        <w:rPr>
          <w:rtl/>
        </w:rPr>
        <w:tab/>
        <w:t>عدم الإعادة القسرية</w:t>
      </w:r>
    </w:p>
    <w:bookmarkEnd w:id="0"/>
    <w:p w14:paraId="458766C2" w14:textId="55D8CE0F" w:rsidR="00704AD2" w:rsidRPr="004B6834" w:rsidRDefault="009C0CE0" w:rsidP="00EC1593">
      <w:pPr>
        <w:pStyle w:val="SingleTxtGA"/>
        <w:rPr>
          <w:spacing w:val="-4"/>
          <w:lang w:val="ar-SA" w:eastAsia="zh-TW" w:bidi="en-GB"/>
        </w:rPr>
      </w:pPr>
      <w:r w:rsidRPr="00D577DE">
        <w:rPr>
          <w:rtl/>
        </w:rPr>
        <w:t>13</w:t>
      </w:r>
      <w:r w:rsidRPr="00331598">
        <w:rPr>
          <w:rFonts w:ascii="Simplified Arabic"/>
          <w:rtl/>
        </w:rPr>
        <w:t>-</w:t>
      </w:r>
      <w:r w:rsidRPr="00331598">
        <w:rPr>
          <w:rtl/>
        </w:rPr>
        <w:tab/>
      </w:r>
      <w:r w:rsidRPr="004B6834">
        <w:rPr>
          <w:spacing w:val="-4"/>
          <w:rtl/>
        </w:rPr>
        <w:t xml:space="preserve">تحيط اللجنة علماً بالمعلومات التي قدمها الوفد بشأن المبادئ التي تنظم تسليم المطلوبين، ولكنها تأسف لنقص المعلومات المتاحة عن عدد عمليات تسليم المطلوبين التي نفذت خلال الفترة المشمولة بالتقرير، وعن عدد الحالات وأنواع القضايا التي عرضت فيها الدولة الطرف تأكيدات أو ضمانات دبلوماسية أو قبلت بها، وعن التدابير المتخذة في هذه الحالات فيما يتعلق بالمراقبة اللاحقة (المادة </w:t>
      </w:r>
      <w:r w:rsidR="00704AD2" w:rsidRPr="004B6834">
        <w:rPr>
          <w:spacing w:val="-4"/>
          <w:rtl/>
        </w:rPr>
        <w:t>3</w:t>
      </w:r>
      <w:r w:rsidR="00704AD2" w:rsidRPr="004B6834">
        <w:rPr>
          <w:rFonts w:ascii="Simplified Arabic"/>
          <w:spacing w:val="-4"/>
          <w:rtl/>
        </w:rPr>
        <w:t>)</w:t>
      </w:r>
      <w:r w:rsidR="00704AD2" w:rsidRPr="004B6834">
        <w:rPr>
          <w:spacing w:val="-4"/>
          <w:rtl/>
        </w:rPr>
        <w:t>.</w:t>
      </w:r>
    </w:p>
    <w:p w14:paraId="33A3B20A" w14:textId="767DE901" w:rsidR="009C0CE0" w:rsidRPr="00375D09" w:rsidRDefault="009C0CE0" w:rsidP="00EC1593">
      <w:pPr>
        <w:pStyle w:val="SingleTxtGA"/>
        <w:rPr>
          <w:b/>
          <w:bCs/>
          <w:szCs w:val="20"/>
          <w:lang w:val="ar-SA" w:eastAsia="zh-TW" w:bidi="en-GB"/>
        </w:rPr>
      </w:pPr>
      <w:r w:rsidRPr="00D577DE">
        <w:rPr>
          <w:rtl/>
        </w:rPr>
        <w:t>14</w:t>
      </w:r>
      <w:r>
        <w:rPr>
          <w:rFonts w:ascii="Simplified Arabic"/>
          <w:szCs w:val="20"/>
          <w:rtl/>
        </w:rPr>
        <w:t>-</w:t>
      </w:r>
      <w:r>
        <w:rPr>
          <w:rtl/>
        </w:rPr>
        <w:tab/>
      </w:r>
      <w:r w:rsidRPr="00375D09">
        <w:rPr>
          <w:b/>
          <w:bCs/>
          <w:rtl/>
        </w:rPr>
        <w:t>ينبغي للدولة الطرف القيام بما يلي:</w:t>
      </w:r>
    </w:p>
    <w:p w14:paraId="29F204BF" w14:textId="0D58EEF0" w:rsidR="009C0CE0" w:rsidRPr="00375D09" w:rsidRDefault="00EC1593" w:rsidP="00EC1593">
      <w:pPr>
        <w:pStyle w:val="SingleTxtGA"/>
        <w:rPr>
          <w:b/>
          <w:bCs/>
          <w:szCs w:val="20"/>
          <w:lang w:val="ar-SA" w:eastAsia="zh-TW" w:bidi="en-GB"/>
        </w:rPr>
      </w:pPr>
      <w:r w:rsidRPr="004B6834">
        <w:rPr>
          <w:rtl/>
        </w:rPr>
        <w:tab/>
      </w:r>
      <w:r w:rsidR="009C0CE0" w:rsidRPr="004B6834">
        <w:rPr>
          <w:rtl/>
        </w:rPr>
        <w:t>(أ)</w:t>
      </w:r>
      <w:r w:rsidR="009C0CE0" w:rsidRPr="00375D09">
        <w:rPr>
          <w:b/>
          <w:bCs/>
          <w:rtl/>
        </w:rPr>
        <w:tab/>
        <w:t>ضمان عدم القيام في الممارسة العملية بطرد أيّ شخص أو إعادته أو تسليمه إلى دولة أخرى عندما تتوافر أسباب حقيقية تدعو إلى الاعتقاد بأنه سيواجه خطرا</w:t>
      </w:r>
      <w:r w:rsidR="004429C2" w:rsidRPr="00375D09">
        <w:rPr>
          <w:rFonts w:hint="cs"/>
          <w:b/>
          <w:bCs/>
          <w:rtl/>
        </w:rPr>
        <w:t>ً</w:t>
      </w:r>
      <w:r w:rsidR="009C0CE0" w:rsidRPr="00375D09">
        <w:rPr>
          <w:b/>
          <w:bCs/>
          <w:rtl/>
        </w:rPr>
        <w:t xml:space="preserve"> شخصيا</w:t>
      </w:r>
      <w:r w:rsidR="004429C2" w:rsidRPr="00375D09">
        <w:rPr>
          <w:rFonts w:hint="cs"/>
          <w:b/>
          <w:bCs/>
          <w:rtl/>
        </w:rPr>
        <w:t>ً</w:t>
      </w:r>
      <w:r w:rsidR="009C0CE0" w:rsidRPr="00375D09">
        <w:rPr>
          <w:b/>
          <w:bCs/>
          <w:rtl/>
        </w:rPr>
        <w:t xml:space="preserve"> ومتوقعا</w:t>
      </w:r>
      <w:r w:rsidR="004429C2" w:rsidRPr="00375D09">
        <w:rPr>
          <w:rFonts w:hint="cs"/>
          <w:b/>
          <w:bCs/>
          <w:rtl/>
        </w:rPr>
        <w:t>ً</w:t>
      </w:r>
      <w:r w:rsidR="009C0CE0" w:rsidRPr="00375D09">
        <w:rPr>
          <w:b/>
          <w:bCs/>
          <w:rtl/>
        </w:rPr>
        <w:t xml:space="preserve"> من التعرض للتعذيب وسوء المعاملة؛</w:t>
      </w:r>
    </w:p>
    <w:p w14:paraId="44ACE86E" w14:textId="4CEBCEAB" w:rsidR="009C0CE0" w:rsidRPr="00375D09" w:rsidRDefault="00EC1593" w:rsidP="00EC1593">
      <w:pPr>
        <w:pStyle w:val="SingleTxtGA"/>
        <w:rPr>
          <w:b/>
          <w:bCs/>
          <w:szCs w:val="20"/>
          <w:lang w:val="ar-SA" w:eastAsia="zh-TW" w:bidi="en-GB"/>
        </w:rPr>
      </w:pPr>
      <w:r w:rsidRPr="004B6834">
        <w:rPr>
          <w:rStyle w:val="SingleTxtGAChar"/>
          <w:rtl/>
        </w:rPr>
        <w:tab/>
      </w:r>
      <w:r w:rsidR="009C0CE0" w:rsidRPr="004B6834">
        <w:rPr>
          <w:rStyle w:val="SingleTxtGAChar"/>
          <w:rtl/>
        </w:rPr>
        <w:t>(ب)</w:t>
      </w:r>
      <w:r w:rsidR="009C0CE0" w:rsidRPr="00375D09">
        <w:rPr>
          <w:rStyle w:val="SingleTxtGAChar"/>
          <w:b/>
          <w:bCs/>
          <w:rtl/>
        </w:rPr>
        <w:tab/>
        <w:t>ضمان توفر ضمانات إجرائية بشأن الإعادة القسرية، وسبل انتصاف فعالة فيما يتعلق بالمطالبات المقدمة</w:t>
      </w:r>
      <w:r w:rsidR="009C0CE0" w:rsidRPr="00375D09">
        <w:rPr>
          <w:b/>
          <w:bCs/>
          <w:rtl/>
        </w:rPr>
        <w:t xml:space="preserve"> بشأن الإعادة القسرية في سياق إجراءات الإبعاد، بما في ذلك اضطلاع هيئة قضائية مستقلة بمراجعة قرارات الرفض، وخاصة في مرحلة الاستئناف؛</w:t>
      </w:r>
    </w:p>
    <w:p w14:paraId="385DA405" w14:textId="27D324C9" w:rsidR="009C0CE0" w:rsidRPr="00375D09" w:rsidRDefault="00EC1593" w:rsidP="00EC1593">
      <w:pPr>
        <w:pStyle w:val="SingleTxtGA"/>
        <w:rPr>
          <w:b/>
          <w:bCs/>
          <w:szCs w:val="20"/>
          <w:lang w:val="ar-SA" w:eastAsia="zh-TW" w:bidi="en-GB"/>
        </w:rPr>
      </w:pPr>
      <w:r w:rsidRPr="004B6834">
        <w:rPr>
          <w:rtl/>
        </w:rPr>
        <w:tab/>
      </w:r>
      <w:r w:rsidR="009C0CE0" w:rsidRPr="004B6834">
        <w:rPr>
          <w:rtl/>
        </w:rPr>
        <w:t>(ج)</w:t>
      </w:r>
      <w:r w:rsidR="009C0CE0" w:rsidRPr="00375D09">
        <w:rPr>
          <w:b/>
          <w:bCs/>
          <w:rtl/>
        </w:rPr>
        <w:tab/>
        <w:t>ضمان إنشاء آلية للتعرف سريعا</w:t>
      </w:r>
      <w:r w:rsidR="004429C2" w:rsidRPr="00375D09">
        <w:rPr>
          <w:rFonts w:hint="cs"/>
          <w:b/>
          <w:bCs/>
          <w:rtl/>
        </w:rPr>
        <w:t>ً</w:t>
      </w:r>
      <w:r w:rsidR="009C0CE0" w:rsidRPr="00375D09">
        <w:rPr>
          <w:b/>
          <w:bCs/>
          <w:rtl/>
        </w:rPr>
        <w:t xml:space="preserve"> على ضحايا التعذيب من بين ملتمسي اللجوء.</w:t>
      </w:r>
    </w:p>
    <w:p w14:paraId="7B6A2868" w14:textId="77777777" w:rsidR="009C0CE0" w:rsidRPr="00110930" w:rsidRDefault="009C0CE0" w:rsidP="00EC1593">
      <w:pPr>
        <w:pStyle w:val="H23GA"/>
        <w:rPr>
          <w:szCs w:val="20"/>
          <w:lang w:val="ar-SA" w:eastAsia="zh-TW" w:bidi="en-GB"/>
        </w:rPr>
      </w:pPr>
      <w:r>
        <w:rPr>
          <w:rtl/>
        </w:rPr>
        <w:tab/>
      </w:r>
      <w:r>
        <w:rPr>
          <w:rtl/>
        </w:rPr>
        <w:tab/>
        <w:t>تنفيذ أوامر الإحضار أمام المحكمة</w:t>
      </w:r>
    </w:p>
    <w:p w14:paraId="3F5854C3" w14:textId="0E0D6CCA" w:rsidR="00704AD2" w:rsidRPr="006E6FDC" w:rsidRDefault="009C0CE0" w:rsidP="00EC1593">
      <w:pPr>
        <w:pStyle w:val="SingleTxtGA"/>
        <w:rPr>
          <w:lang w:val="ar-SA" w:eastAsia="zh-TW" w:bidi="en-GB"/>
        </w:rPr>
      </w:pPr>
      <w:r w:rsidRPr="00D577DE">
        <w:rPr>
          <w:rtl/>
        </w:rPr>
        <w:t>15</w:t>
      </w:r>
      <w:r w:rsidRPr="006E6FDC">
        <w:rPr>
          <w:rFonts w:ascii="Simplified Arabic"/>
          <w:rtl/>
        </w:rPr>
        <w:t>-</w:t>
      </w:r>
      <w:r w:rsidRPr="006E6FDC">
        <w:rPr>
          <w:rtl/>
        </w:rPr>
        <w:tab/>
        <w:t xml:space="preserve">ترحب اللجنة بالبيانات التي قدمتها الدولة الطرف بشأن عدد طلبات المثول أمام القضاء في الأعوام </w:t>
      </w:r>
      <w:r w:rsidRPr="00D577DE">
        <w:rPr>
          <w:rtl/>
        </w:rPr>
        <w:t>2020</w:t>
      </w:r>
      <w:r w:rsidRPr="006E6FDC">
        <w:rPr>
          <w:rFonts w:ascii="Simplified Arabic"/>
          <w:rtl/>
        </w:rPr>
        <w:t>(</w:t>
      </w:r>
      <w:r w:rsidRPr="00D577DE">
        <w:rPr>
          <w:rtl/>
        </w:rPr>
        <w:t>3</w:t>
      </w:r>
      <w:r w:rsidR="00704AD2" w:rsidRPr="00D577DE">
        <w:rPr>
          <w:rtl/>
        </w:rPr>
        <w:t>1</w:t>
      </w:r>
      <w:r w:rsidR="00704AD2" w:rsidRPr="006E6FDC">
        <w:rPr>
          <w:rFonts w:ascii="Simplified Arabic"/>
          <w:rtl/>
        </w:rPr>
        <w:t>)</w:t>
      </w:r>
      <w:r w:rsidR="00704AD2" w:rsidRPr="006E6FDC">
        <w:rPr>
          <w:rtl/>
        </w:rPr>
        <w:t xml:space="preserve"> </w:t>
      </w:r>
      <w:proofErr w:type="spellStart"/>
      <w:r w:rsidRPr="006E6FDC">
        <w:rPr>
          <w:rtl/>
        </w:rPr>
        <w:t>و</w:t>
      </w:r>
      <w:r w:rsidRPr="00D577DE">
        <w:rPr>
          <w:rtl/>
        </w:rPr>
        <w:t>2021</w:t>
      </w:r>
      <w:proofErr w:type="spellEnd"/>
      <w:r w:rsidRPr="006E6FDC">
        <w:rPr>
          <w:rFonts w:ascii="Simplified Arabic"/>
          <w:rtl/>
        </w:rPr>
        <w:t>(</w:t>
      </w:r>
      <w:r w:rsidRPr="00D577DE">
        <w:rPr>
          <w:rtl/>
        </w:rPr>
        <w:t>4</w:t>
      </w:r>
      <w:r w:rsidR="00704AD2" w:rsidRPr="00D577DE">
        <w:rPr>
          <w:rtl/>
        </w:rPr>
        <w:t>8</w:t>
      </w:r>
      <w:r w:rsidR="00704AD2" w:rsidRPr="006E6FDC">
        <w:rPr>
          <w:rFonts w:ascii="Simplified Arabic"/>
          <w:rtl/>
        </w:rPr>
        <w:t>)</w:t>
      </w:r>
      <w:r w:rsidR="00704AD2" w:rsidRPr="006E6FDC">
        <w:rPr>
          <w:rtl/>
        </w:rPr>
        <w:t xml:space="preserve"> </w:t>
      </w:r>
      <w:proofErr w:type="spellStart"/>
      <w:r w:rsidRPr="006E6FDC">
        <w:rPr>
          <w:rtl/>
        </w:rPr>
        <w:t>و</w:t>
      </w:r>
      <w:r w:rsidRPr="00D577DE">
        <w:rPr>
          <w:rtl/>
        </w:rPr>
        <w:t>2022</w:t>
      </w:r>
      <w:proofErr w:type="spellEnd"/>
      <w:r w:rsidRPr="006E6FDC">
        <w:rPr>
          <w:rFonts w:ascii="Simplified Arabic"/>
          <w:rtl/>
        </w:rPr>
        <w:t>(</w:t>
      </w:r>
      <w:r w:rsidRPr="00D577DE">
        <w:rPr>
          <w:rtl/>
        </w:rPr>
        <w:t>16</w:t>
      </w:r>
      <w:r w:rsidR="00704AD2" w:rsidRPr="006E6FDC">
        <w:rPr>
          <w:rFonts w:ascii="Simplified Arabic"/>
          <w:rtl/>
        </w:rPr>
        <w:t>)</w:t>
      </w:r>
      <w:r w:rsidR="00704AD2" w:rsidRPr="006E6FDC">
        <w:rPr>
          <w:rtl/>
        </w:rPr>
        <w:t xml:space="preserve">، </w:t>
      </w:r>
      <w:r w:rsidRPr="006E6FDC">
        <w:rPr>
          <w:rtl/>
        </w:rPr>
        <w:t xml:space="preserve">بيد أنها لا تزال تشعر بالقلق إزاء ما ذكر عن محدودية فرص الاستفادة من هذا الإجراء وفعاليته (المواد </w:t>
      </w:r>
      <w:r w:rsidRPr="00D577DE">
        <w:rPr>
          <w:rtl/>
        </w:rPr>
        <w:t>2</w:t>
      </w:r>
      <w:r w:rsidRPr="006E6FDC">
        <w:rPr>
          <w:rtl/>
        </w:rPr>
        <w:t xml:space="preserve"> </w:t>
      </w:r>
      <w:proofErr w:type="spellStart"/>
      <w:r w:rsidRPr="006E6FDC">
        <w:rPr>
          <w:rtl/>
        </w:rPr>
        <w:t>و</w:t>
      </w:r>
      <w:r w:rsidRPr="00D577DE">
        <w:rPr>
          <w:rtl/>
        </w:rPr>
        <w:t>11</w:t>
      </w:r>
      <w:proofErr w:type="spellEnd"/>
      <w:r w:rsidRPr="006E6FDC">
        <w:rPr>
          <w:rtl/>
        </w:rPr>
        <w:t xml:space="preserve"> </w:t>
      </w:r>
      <w:proofErr w:type="spellStart"/>
      <w:r w:rsidRPr="006E6FDC">
        <w:rPr>
          <w:rtl/>
        </w:rPr>
        <w:t>و</w:t>
      </w:r>
      <w:r w:rsidRPr="00D577DE">
        <w:rPr>
          <w:rtl/>
        </w:rPr>
        <w:t>1</w:t>
      </w:r>
      <w:r w:rsidR="00704AD2" w:rsidRPr="00D577DE">
        <w:rPr>
          <w:rtl/>
        </w:rPr>
        <w:t>6</w:t>
      </w:r>
      <w:proofErr w:type="spellEnd"/>
      <w:r w:rsidR="00704AD2" w:rsidRPr="006E6FDC">
        <w:rPr>
          <w:rFonts w:ascii="Simplified Arabic"/>
          <w:rtl/>
        </w:rPr>
        <w:t>)</w:t>
      </w:r>
      <w:r w:rsidR="00704AD2" w:rsidRPr="006E6FDC">
        <w:rPr>
          <w:rtl/>
        </w:rPr>
        <w:t>.</w:t>
      </w:r>
    </w:p>
    <w:p w14:paraId="50FE796F" w14:textId="3AB8A00C" w:rsidR="009C0CE0" w:rsidRPr="00375D09" w:rsidRDefault="009C0CE0" w:rsidP="00EC1593">
      <w:pPr>
        <w:pStyle w:val="SingleTxtGA"/>
        <w:rPr>
          <w:b/>
          <w:bCs/>
          <w:szCs w:val="20"/>
          <w:lang w:val="ar-SA" w:eastAsia="zh-TW" w:bidi="en-GB"/>
        </w:rPr>
      </w:pPr>
      <w:r w:rsidRPr="00D577DE">
        <w:rPr>
          <w:rtl/>
        </w:rPr>
        <w:t>16</w:t>
      </w:r>
      <w:r>
        <w:rPr>
          <w:rFonts w:ascii="Simplified Arabic"/>
          <w:szCs w:val="20"/>
          <w:rtl/>
        </w:rPr>
        <w:t>-</w:t>
      </w:r>
      <w:r>
        <w:rPr>
          <w:rtl/>
        </w:rPr>
        <w:tab/>
      </w:r>
      <w:r w:rsidRPr="00375D09">
        <w:rPr>
          <w:b/>
          <w:bCs/>
          <w:rtl/>
        </w:rPr>
        <w:t>ينبغي أن تتخذ الدولة الطرف جميع التدابير اللازمة لضمان احترام الحق في المثول أمام القضاء في الممارسة العملية وضمان فعاليته في كفالة الإفراج عن المحتجزين.</w:t>
      </w:r>
    </w:p>
    <w:p w14:paraId="4D8571B0" w14:textId="77777777" w:rsidR="009C0CE0" w:rsidRPr="00110930" w:rsidRDefault="009C0CE0" w:rsidP="00EC1593">
      <w:pPr>
        <w:pStyle w:val="H23GA"/>
        <w:rPr>
          <w:szCs w:val="20"/>
          <w:lang w:val="ar-SA" w:eastAsia="zh-TW" w:bidi="en-GB"/>
        </w:rPr>
      </w:pPr>
      <w:r>
        <w:rPr>
          <w:rtl/>
        </w:rPr>
        <w:tab/>
      </w:r>
      <w:r>
        <w:rPr>
          <w:rtl/>
        </w:rPr>
        <w:tab/>
        <w:t xml:space="preserve">النظام القضائي </w:t>
      </w:r>
    </w:p>
    <w:p w14:paraId="13674907" w14:textId="3DF80351" w:rsidR="009C0CE0" w:rsidRPr="006E6FDC" w:rsidRDefault="009C0CE0" w:rsidP="00EC1593">
      <w:pPr>
        <w:pStyle w:val="SingleTxtGA"/>
        <w:rPr>
          <w:lang w:val="ar-SA" w:eastAsia="zh-TW" w:bidi="en-GB"/>
        </w:rPr>
      </w:pPr>
      <w:r w:rsidRPr="00D577DE">
        <w:rPr>
          <w:rtl/>
        </w:rPr>
        <w:t>17</w:t>
      </w:r>
      <w:r w:rsidRPr="006E6FDC">
        <w:rPr>
          <w:rFonts w:ascii="Simplified Arabic"/>
          <w:rtl/>
        </w:rPr>
        <w:t>-</w:t>
      </w:r>
      <w:r w:rsidRPr="006E6FDC">
        <w:rPr>
          <w:rtl/>
        </w:rPr>
        <w:tab/>
        <w:t xml:space="preserve">ترحب اللجنة بالمعلومات المقدمة عن النظام القضائي وعن عملية التوظيف، بما في ذلك البيانات الإضافية عن أداء شعبة الجرائم الدولية التابعة للمحكمة العليا وعن تطبيق الشريعة الإسلامية في أوغندا، بيد أنها تشعر بالقلق إزاء عدم استقلال السلطة القضائية عن السلطة التنفيذية واحتمال رضوخها للضغط السياسي (المادة </w:t>
      </w:r>
      <w:r w:rsidRPr="00D577DE">
        <w:rPr>
          <w:rtl/>
        </w:rPr>
        <w:t>1</w:t>
      </w:r>
      <w:r w:rsidR="00704AD2" w:rsidRPr="00D577DE">
        <w:rPr>
          <w:rtl/>
        </w:rPr>
        <w:t>4</w:t>
      </w:r>
      <w:r w:rsidR="00704AD2" w:rsidRPr="006E6FDC">
        <w:rPr>
          <w:rFonts w:ascii="Simplified Arabic"/>
          <w:rtl/>
        </w:rPr>
        <w:t>)</w:t>
      </w:r>
      <w:r w:rsidR="00704AD2" w:rsidRPr="006E6FDC">
        <w:rPr>
          <w:rtl/>
        </w:rPr>
        <w:t xml:space="preserve">. </w:t>
      </w:r>
    </w:p>
    <w:p w14:paraId="7C694E15" w14:textId="77777777" w:rsidR="009C0CE0" w:rsidRPr="00375D09" w:rsidRDefault="009C0CE0" w:rsidP="00EC1593">
      <w:pPr>
        <w:pStyle w:val="SingleTxtGA"/>
        <w:rPr>
          <w:b/>
          <w:bCs/>
          <w:szCs w:val="20"/>
          <w:lang w:val="ar-SA" w:eastAsia="zh-TW" w:bidi="en-GB"/>
        </w:rPr>
      </w:pPr>
      <w:r w:rsidRPr="00D577DE">
        <w:rPr>
          <w:rtl/>
        </w:rPr>
        <w:t>18</w:t>
      </w:r>
      <w:r>
        <w:rPr>
          <w:rFonts w:ascii="Simplified Arabic"/>
          <w:szCs w:val="20"/>
          <w:rtl/>
        </w:rPr>
        <w:t>-</w:t>
      </w:r>
      <w:r>
        <w:rPr>
          <w:rtl/>
        </w:rPr>
        <w:tab/>
      </w:r>
      <w:r w:rsidRPr="00375D09">
        <w:rPr>
          <w:b/>
          <w:bCs/>
          <w:rtl/>
        </w:rPr>
        <w:t>ينبغي للدولة الطرف القيام بما يلي</w:t>
      </w:r>
      <w:r w:rsidRPr="00375D09">
        <w:rPr>
          <w:rFonts w:ascii="Simplified Arabic"/>
          <w:b/>
          <w:bCs/>
          <w:szCs w:val="20"/>
        </w:rPr>
        <w:t>:</w:t>
      </w:r>
      <w:r w:rsidRPr="00375D09">
        <w:rPr>
          <w:b/>
          <w:bCs/>
          <w:rtl/>
        </w:rPr>
        <w:t xml:space="preserve"> </w:t>
      </w:r>
    </w:p>
    <w:p w14:paraId="6EE572D6" w14:textId="0088B35C" w:rsidR="009C0CE0" w:rsidRPr="00EE1659" w:rsidRDefault="00EC1593" w:rsidP="00EC1593">
      <w:pPr>
        <w:pStyle w:val="SingleTxtGA"/>
        <w:rPr>
          <w:rFonts w:ascii="Times New Roman Bold" w:hAnsi="Times New Roman Bold" w:hint="eastAsia"/>
          <w:b/>
          <w:bCs/>
          <w:spacing w:val="-4"/>
          <w:szCs w:val="20"/>
          <w:lang w:val="en-US" w:eastAsia="zh-TW" w:bidi="en-GB"/>
        </w:rPr>
      </w:pPr>
      <w:r w:rsidRPr="004B6834">
        <w:rPr>
          <w:rtl/>
        </w:rPr>
        <w:tab/>
      </w:r>
      <w:r w:rsidR="009C0CE0" w:rsidRPr="004B6834">
        <w:rPr>
          <w:rtl/>
        </w:rPr>
        <w:t>(أ)</w:t>
      </w:r>
      <w:r w:rsidR="009C0CE0" w:rsidRPr="00375D09">
        <w:rPr>
          <w:b/>
          <w:bCs/>
          <w:rtl/>
        </w:rPr>
        <w:tab/>
        <w:t xml:space="preserve">كفالة استقلال القضاء التام ونزاهته وفعاليته، بطرق منها التأكد من توافق عملية </w:t>
      </w:r>
      <w:r w:rsidR="009C0CE0" w:rsidRPr="00EE1659">
        <w:rPr>
          <w:rFonts w:ascii="Times New Roman Bold" w:hAnsi="Times New Roman Bold"/>
          <w:b/>
          <w:bCs/>
          <w:spacing w:val="-4"/>
          <w:rtl/>
        </w:rPr>
        <w:t>تعيين القضاة مع المعايير الدولية ذات الصلة، بما فيها المبادئ الأساسية بشأن استقلال السلطة القضائية</w:t>
      </w:r>
      <w:r w:rsidR="00375D09" w:rsidRPr="00EE1659">
        <w:rPr>
          <w:rFonts w:ascii="Times New Roman Bold" w:hAnsi="Times New Roman Bold" w:hint="cs"/>
          <w:b/>
          <w:bCs/>
          <w:spacing w:val="-4"/>
          <w:rtl/>
        </w:rPr>
        <w:t>؛</w:t>
      </w:r>
    </w:p>
    <w:p w14:paraId="73737BA4" w14:textId="08A24C8D" w:rsidR="009C0CE0" w:rsidRPr="00375D09" w:rsidRDefault="00EC1593" w:rsidP="00EC1593">
      <w:pPr>
        <w:pStyle w:val="SingleTxtGA"/>
        <w:rPr>
          <w:b/>
          <w:bCs/>
          <w:szCs w:val="20"/>
          <w:lang w:val="ar-SA" w:eastAsia="zh-TW" w:bidi="en-GB"/>
        </w:rPr>
      </w:pPr>
      <w:r w:rsidRPr="004B6834">
        <w:rPr>
          <w:rtl/>
        </w:rPr>
        <w:tab/>
      </w:r>
      <w:r w:rsidR="009C0CE0" w:rsidRPr="004B6834">
        <w:rPr>
          <w:rtl/>
        </w:rPr>
        <w:t>(ب)</w:t>
      </w:r>
      <w:r w:rsidR="009C0CE0" w:rsidRPr="00375D09">
        <w:rPr>
          <w:b/>
          <w:bCs/>
          <w:rtl/>
        </w:rPr>
        <w:tab/>
        <w:t>تقديم معلومات مفصلة عن تطبيق الشريعة الإسلامية.</w:t>
      </w:r>
    </w:p>
    <w:p w14:paraId="305B452E" w14:textId="77777777" w:rsidR="009C0CE0" w:rsidRPr="004B6834" w:rsidRDefault="009C0CE0" w:rsidP="00EC1593">
      <w:pPr>
        <w:pStyle w:val="H23GA"/>
        <w:rPr>
          <w:szCs w:val="20"/>
          <w:lang w:val="en-US" w:eastAsia="zh-TW" w:bidi="en-GB"/>
        </w:rPr>
      </w:pPr>
      <w:r>
        <w:rPr>
          <w:rtl/>
        </w:rPr>
        <w:lastRenderedPageBreak/>
        <w:tab/>
      </w:r>
      <w:r>
        <w:rPr>
          <w:rtl/>
        </w:rPr>
        <w:tab/>
        <w:t>التدريب</w:t>
      </w:r>
    </w:p>
    <w:p w14:paraId="03AFD9BE" w14:textId="724B9DE8" w:rsidR="00704AD2" w:rsidRPr="006E6FDC" w:rsidRDefault="009C0CE0" w:rsidP="00EC1593">
      <w:pPr>
        <w:pStyle w:val="SingleTxtGA"/>
        <w:rPr>
          <w:lang w:val="ar-SA" w:eastAsia="zh-TW" w:bidi="en-GB"/>
        </w:rPr>
      </w:pPr>
      <w:r w:rsidRPr="00D577DE">
        <w:rPr>
          <w:rtl/>
        </w:rPr>
        <w:t>19</w:t>
      </w:r>
      <w:r w:rsidRPr="006E6FDC">
        <w:rPr>
          <w:rFonts w:ascii="Simplified Arabic"/>
          <w:rtl/>
        </w:rPr>
        <w:t>-</w:t>
      </w:r>
      <w:r w:rsidRPr="006E6FDC">
        <w:rPr>
          <w:rtl/>
        </w:rPr>
        <w:tab/>
        <w:t>تحيط اللجنة علما</w:t>
      </w:r>
      <w:r w:rsidR="004429C2" w:rsidRPr="006E6FDC">
        <w:rPr>
          <w:rFonts w:hint="cs"/>
          <w:rtl/>
        </w:rPr>
        <w:t>ً</w:t>
      </w:r>
      <w:r w:rsidRPr="006E6FDC">
        <w:rPr>
          <w:rtl/>
        </w:rPr>
        <w:t xml:space="preserve"> بالمعلومات التي قدمها وفد الدولة الطرف والتي تتضمن تفاصيل عن التدريب في مجال حقوق الإنسان والمعايير الدولية المقدم إلى الموظفين المكلفين بإنفاذ القوانين، ولكنها تأسف لعدم تلقيها معلومات عن التدريب الإلزامي المتعلق بالاتفاقية تحديدا</w:t>
      </w:r>
      <w:r w:rsidR="00EA68AF" w:rsidRPr="006E6FDC">
        <w:rPr>
          <w:rFonts w:hint="cs"/>
          <w:rtl/>
        </w:rPr>
        <w:t>ً</w:t>
      </w:r>
      <w:r w:rsidRPr="006E6FDC">
        <w:rPr>
          <w:rtl/>
        </w:rPr>
        <w:t>. وهي تأسف أيضا</w:t>
      </w:r>
      <w:r w:rsidR="004429C2" w:rsidRPr="006E6FDC">
        <w:rPr>
          <w:rFonts w:hint="cs"/>
          <w:rtl/>
        </w:rPr>
        <w:t>ً</w:t>
      </w:r>
      <w:r w:rsidRPr="006E6FDC">
        <w:rPr>
          <w:rtl/>
        </w:rPr>
        <w:t xml:space="preserve"> لعدم وجود معلومات عن برامج التدريب التي تتاح للمهنيين المشاركين بصفة مباشرة في التحقيق في حالات التعذيب وتوثيقها، وكذلك للأخصائيين الطبيين وغيرهم من الموظفين الذين يتعاملون مع المحتجزين، بشأن سُبل كشف وتوثيق الآثار البدنية والنفسية للتعذيب وسوء المعاملة (المادة برامج تدريب المهنيين المعنيين مباشرة بالتحقيق في التعذيب وتوثيقه وللموظفين الطبيين وغيرهم من الموظفين الذين يتعاملون مع المحتجزين بشأن كيفية كشف وتوثيق العواقب البدنية والنفسية للتعذيب وسوء المعاملة (المادة </w:t>
      </w:r>
      <w:r w:rsidRPr="00D577DE">
        <w:rPr>
          <w:rtl/>
        </w:rPr>
        <w:t>1</w:t>
      </w:r>
      <w:r w:rsidR="00704AD2" w:rsidRPr="00D577DE">
        <w:rPr>
          <w:rtl/>
        </w:rPr>
        <w:t>1</w:t>
      </w:r>
      <w:r w:rsidR="00704AD2" w:rsidRPr="006E6FDC">
        <w:rPr>
          <w:rFonts w:ascii="Simplified Arabic"/>
          <w:rtl/>
        </w:rPr>
        <w:t>)</w:t>
      </w:r>
      <w:r w:rsidR="00704AD2" w:rsidRPr="006E6FDC">
        <w:rPr>
          <w:rtl/>
        </w:rPr>
        <w:t>.</w:t>
      </w:r>
    </w:p>
    <w:p w14:paraId="31D1C047" w14:textId="0C40EFAB" w:rsidR="009C0CE0" w:rsidRPr="00375D09" w:rsidRDefault="009C0CE0" w:rsidP="00EC1593">
      <w:pPr>
        <w:pStyle w:val="SingleTxtGA"/>
        <w:rPr>
          <w:b/>
          <w:bCs/>
          <w:szCs w:val="20"/>
          <w:lang w:val="ar-SA" w:eastAsia="zh-TW" w:bidi="en-GB"/>
        </w:rPr>
      </w:pPr>
      <w:r w:rsidRPr="00D577DE">
        <w:rPr>
          <w:rtl/>
        </w:rPr>
        <w:t>20</w:t>
      </w:r>
      <w:r>
        <w:rPr>
          <w:rFonts w:ascii="Simplified Arabic"/>
          <w:szCs w:val="20"/>
          <w:rtl/>
        </w:rPr>
        <w:t>-</w:t>
      </w:r>
      <w:r>
        <w:rPr>
          <w:rtl/>
        </w:rPr>
        <w:tab/>
      </w:r>
      <w:r w:rsidRPr="00375D09">
        <w:rPr>
          <w:b/>
          <w:bCs/>
          <w:rtl/>
        </w:rPr>
        <w:t>ينبغي للدولة الطرف القيام بما يلي</w:t>
      </w:r>
      <w:r w:rsidRPr="00375D09">
        <w:rPr>
          <w:rFonts w:ascii="Simplified Arabic"/>
          <w:b/>
          <w:bCs/>
          <w:szCs w:val="20"/>
        </w:rPr>
        <w:t>:</w:t>
      </w:r>
      <w:r w:rsidRPr="00375D09">
        <w:rPr>
          <w:b/>
          <w:bCs/>
          <w:rtl/>
        </w:rPr>
        <w:t xml:space="preserve"> </w:t>
      </w:r>
    </w:p>
    <w:p w14:paraId="56CA39E2" w14:textId="0F9CACEA" w:rsidR="009C0CE0" w:rsidRPr="00375D09" w:rsidRDefault="00EC1593" w:rsidP="00EC1593">
      <w:pPr>
        <w:pStyle w:val="SingleTxtGA"/>
        <w:rPr>
          <w:b/>
          <w:bCs/>
          <w:szCs w:val="20"/>
          <w:lang w:val="ar-SA" w:eastAsia="zh-TW" w:bidi="en-GB"/>
        </w:rPr>
      </w:pPr>
      <w:r w:rsidRPr="004B6834">
        <w:rPr>
          <w:rtl/>
        </w:rPr>
        <w:tab/>
      </w:r>
      <w:r w:rsidR="009C0CE0" w:rsidRPr="004B6834">
        <w:rPr>
          <w:rtl/>
        </w:rPr>
        <w:t>(أ)</w:t>
      </w:r>
      <w:r w:rsidR="009C0CE0" w:rsidRPr="00375D09">
        <w:rPr>
          <w:b/>
          <w:bCs/>
          <w:rtl/>
        </w:rPr>
        <w:tab/>
        <w:t>المضي في وضع برامج تدريبية إلزامية أولية وأثناء الخدمة بغرض ضمان اطلاع جميع الموظفين العموميين المعنيين اطلاعاً جيداً على أحكام الاتفاقية، ولا سيما الحظر المطلق للتعذيب، وإدراكهم تماماً أن الانتهاكات لا تسامح فيها وستخضع للتحقيق ويلاحَق مرتكبوها أمام القضاء ويعاقَبون بما يتناسب مع الجرم المرتكب إذا ثبتت إدانتهم؛</w:t>
      </w:r>
    </w:p>
    <w:p w14:paraId="271B87FE" w14:textId="25E9A647" w:rsidR="009C0CE0" w:rsidRPr="00375D09" w:rsidRDefault="00EC1593" w:rsidP="00EC1593">
      <w:pPr>
        <w:pStyle w:val="SingleTxtGA"/>
        <w:rPr>
          <w:b/>
          <w:bCs/>
          <w:szCs w:val="20"/>
          <w:lang w:val="ar-SA" w:eastAsia="zh-TW" w:bidi="en-GB"/>
        </w:rPr>
      </w:pPr>
      <w:r w:rsidRPr="004B6834">
        <w:rPr>
          <w:rtl/>
        </w:rPr>
        <w:tab/>
      </w:r>
      <w:r w:rsidR="009C0CE0" w:rsidRPr="004B6834">
        <w:rPr>
          <w:rtl/>
        </w:rPr>
        <w:t>(ب)</w:t>
      </w:r>
      <w:r w:rsidR="009C0CE0" w:rsidRPr="00375D09">
        <w:rPr>
          <w:b/>
          <w:bCs/>
          <w:rtl/>
        </w:rPr>
        <w:tab/>
        <w:t>ضمان حصول جميع الموظفين المختصين، بمن فيهم الموظفون الطبيون، على تدريب خاص يمكنهم من تحديد حالات التعذيب وسوء المعاملة، وفقاً لبروتوكول اسطنبول؛</w:t>
      </w:r>
    </w:p>
    <w:p w14:paraId="663CDC89" w14:textId="27EC0E34" w:rsidR="009C0CE0" w:rsidRPr="00375D09" w:rsidRDefault="00EC1593" w:rsidP="00EC1593">
      <w:pPr>
        <w:pStyle w:val="SingleTxtGA"/>
        <w:rPr>
          <w:b/>
          <w:bCs/>
          <w:szCs w:val="20"/>
          <w:lang w:val="ar-SA" w:eastAsia="zh-TW" w:bidi="en-GB"/>
        </w:rPr>
      </w:pPr>
      <w:r w:rsidRPr="004B6834">
        <w:rPr>
          <w:rtl/>
        </w:rPr>
        <w:tab/>
      </w:r>
      <w:r w:rsidR="009C0CE0" w:rsidRPr="004B6834">
        <w:rPr>
          <w:rtl/>
        </w:rPr>
        <w:t>(ج)</w:t>
      </w:r>
      <w:r w:rsidR="009C0CE0" w:rsidRPr="00375D09">
        <w:rPr>
          <w:b/>
          <w:bCs/>
          <w:rtl/>
        </w:rPr>
        <w:tab/>
        <w:t>وضع منهجية لتقييم فعالية برامج التدريب في خفض عدد حالات التعذيب وسوء المعاملة، وفي ضمان تحديد هذه الأفعال وتوثيقها والتحقيق فيها، ومقاضاة المسؤولين عنها.</w:t>
      </w:r>
    </w:p>
    <w:p w14:paraId="47E555A0" w14:textId="77777777" w:rsidR="009C0CE0" w:rsidRPr="00110930" w:rsidRDefault="009C0CE0" w:rsidP="00EC1593">
      <w:pPr>
        <w:pStyle w:val="H23GA"/>
        <w:rPr>
          <w:szCs w:val="20"/>
          <w:lang w:val="ar-SA" w:eastAsia="zh-TW" w:bidi="en-GB"/>
        </w:rPr>
      </w:pPr>
      <w:r>
        <w:rPr>
          <w:rtl/>
        </w:rPr>
        <w:tab/>
      </w:r>
      <w:r>
        <w:rPr>
          <w:rtl/>
        </w:rPr>
        <w:tab/>
        <w:t xml:space="preserve">أماكن الاحتجاز "غير المعلنة في الجريدة الرسمية" أو غير المصرح بها </w:t>
      </w:r>
    </w:p>
    <w:p w14:paraId="099988FD" w14:textId="2FEB8EF4" w:rsidR="00704AD2" w:rsidRPr="006E6FDC" w:rsidRDefault="009C0CE0" w:rsidP="00EC1593">
      <w:pPr>
        <w:pStyle w:val="SingleTxtGA"/>
        <w:rPr>
          <w:lang w:val="ar-SA" w:eastAsia="zh-TW" w:bidi="en-GB"/>
        </w:rPr>
      </w:pPr>
      <w:r w:rsidRPr="00D577DE">
        <w:rPr>
          <w:rtl/>
        </w:rPr>
        <w:t>21</w:t>
      </w:r>
      <w:r w:rsidRPr="006E6FDC">
        <w:rPr>
          <w:rFonts w:ascii="Simplified Arabic"/>
          <w:rtl/>
        </w:rPr>
        <w:t>-</w:t>
      </w:r>
      <w:r w:rsidRPr="006E6FDC">
        <w:rPr>
          <w:rtl/>
        </w:rPr>
        <w:tab/>
        <w:t xml:space="preserve">تلاحظ اللجنة تأكيد الدولة الطرف أن الحكومة لا تدير أي "بيوت آمنة" أو أماكن احتجاز "غير منشورة في الجريدة الرسمية" وأن هذه الأماكن يديرها أفراد لا علاقة لهم بالحكومة، بيد أنها لا تزال تشعر بالقلق إزاء التقارير التي تشير إلى أن هذه الممارسة لا تزال تحدث في أوغندا (المواد </w:t>
      </w:r>
      <w:r w:rsidRPr="00D577DE">
        <w:rPr>
          <w:rtl/>
        </w:rPr>
        <w:t>2</w:t>
      </w:r>
      <w:r w:rsidRPr="006E6FDC">
        <w:rPr>
          <w:rtl/>
        </w:rPr>
        <w:t xml:space="preserve"> </w:t>
      </w:r>
      <w:proofErr w:type="spellStart"/>
      <w:r w:rsidRPr="006E6FDC">
        <w:rPr>
          <w:rtl/>
        </w:rPr>
        <w:t>و</w:t>
      </w:r>
      <w:r w:rsidRPr="00D577DE">
        <w:rPr>
          <w:rtl/>
        </w:rPr>
        <w:t>13</w:t>
      </w:r>
      <w:proofErr w:type="spellEnd"/>
      <w:r w:rsidRPr="006E6FDC">
        <w:rPr>
          <w:rFonts w:ascii="Simplified Arabic"/>
          <w:rtl/>
        </w:rPr>
        <w:t>-</w:t>
      </w:r>
      <w:r w:rsidRPr="00D577DE">
        <w:rPr>
          <w:rtl/>
        </w:rPr>
        <w:t>11</w:t>
      </w:r>
      <w:r w:rsidRPr="006E6FDC">
        <w:rPr>
          <w:rtl/>
        </w:rPr>
        <w:t xml:space="preserve"> </w:t>
      </w:r>
      <w:proofErr w:type="spellStart"/>
      <w:r w:rsidRPr="006E6FDC">
        <w:rPr>
          <w:rtl/>
        </w:rPr>
        <w:t>و</w:t>
      </w:r>
      <w:r w:rsidRPr="00D577DE">
        <w:rPr>
          <w:rtl/>
        </w:rPr>
        <w:t>1</w:t>
      </w:r>
      <w:r w:rsidR="00704AD2" w:rsidRPr="00D577DE">
        <w:rPr>
          <w:rtl/>
        </w:rPr>
        <w:t>6</w:t>
      </w:r>
      <w:proofErr w:type="spellEnd"/>
      <w:r w:rsidR="00704AD2" w:rsidRPr="006E6FDC">
        <w:rPr>
          <w:rFonts w:ascii="Simplified Arabic"/>
          <w:rtl/>
        </w:rPr>
        <w:t>)</w:t>
      </w:r>
      <w:r w:rsidR="00704AD2" w:rsidRPr="006E6FDC">
        <w:rPr>
          <w:rtl/>
        </w:rPr>
        <w:t>.</w:t>
      </w:r>
    </w:p>
    <w:p w14:paraId="1DFCEAA9" w14:textId="186639A6" w:rsidR="009C0CE0" w:rsidRPr="00704642" w:rsidRDefault="009C0CE0" w:rsidP="00EC1593">
      <w:pPr>
        <w:pStyle w:val="SingleTxtGA"/>
        <w:rPr>
          <w:b/>
          <w:bCs/>
          <w:szCs w:val="20"/>
          <w:lang w:val="ar-SA" w:eastAsia="zh-TW" w:bidi="en-GB"/>
        </w:rPr>
      </w:pPr>
      <w:r w:rsidRPr="00D577DE">
        <w:rPr>
          <w:rtl/>
        </w:rPr>
        <w:t>22</w:t>
      </w:r>
      <w:r>
        <w:rPr>
          <w:rFonts w:ascii="Simplified Arabic"/>
          <w:szCs w:val="20"/>
          <w:rtl/>
        </w:rPr>
        <w:t>-</w:t>
      </w:r>
      <w:r w:rsidRPr="00704642">
        <w:rPr>
          <w:b/>
          <w:bCs/>
          <w:rtl/>
        </w:rPr>
        <w:tab/>
        <w:t>تكرر اللجنة التوصية الواردة في ملاحظاتها الختامية السابقة بأن تلغي الدولة الطرف استخدام "أماكن الاحتجاز غير المذكورة في الجريدة الرسمية" أو "البيوت الآمنة" "غير المذكورة في الجريدة الرسمية" أو غير المأذون بها، وأن تقدم فورا</w:t>
      </w:r>
      <w:r w:rsidR="004429C2" w:rsidRPr="00704642">
        <w:rPr>
          <w:rFonts w:hint="cs"/>
          <w:b/>
          <w:bCs/>
          <w:rtl/>
        </w:rPr>
        <w:t>ً</w:t>
      </w:r>
      <w:r w:rsidRPr="00704642">
        <w:rPr>
          <w:b/>
          <w:bCs/>
          <w:rtl/>
        </w:rPr>
        <w:t xml:space="preserve"> معلومات عن جميع أماكن الاحتجاز</w:t>
      </w:r>
      <w:r w:rsidR="00704AD2" w:rsidRPr="004B6834">
        <w:rPr>
          <w:rStyle w:val="FootnoteReference"/>
          <w:szCs w:val="22"/>
          <w:rtl/>
        </w:rPr>
        <w:t>(</w:t>
      </w:r>
      <w:r w:rsidR="00704AD2" w:rsidRPr="004B6834">
        <w:rPr>
          <w:rStyle w:val="FootnoteReference"/>
          <w:szCs w:val="22"/>
          <w:rtl/>
        </w:rPr>
        <w:footnoteReference w:id="5"/>
      </w:r>
      <w:r w:rsidR="00704AD2" w:rsidRPr="004B6834">
        <w:rPr>
          <w:rStyle w:val="FootnoteReference"/>
          <w:szCs w:val="22"/>
          <w:rtl/>
        </w:rPr>
        <w:t>)</w:t>
      </w:r>
      <w:r w:rsidR="00704AD2" w:rsidRPr="00704642">
        <w:rPr>
          <w:b/>
          <w:bCs/>
          <w:rtl/>
        </w:rPr>
        <w:t xml:space="preserve">. </w:t>
      </w:r>
      <w:r w:rsidRPr="00704642">
        <w:rPr>
          <w:b/>
          <w:bCs/>
          <w:rtl/>
        </w:rPr>
        <w:t>وينبغي أن تحقق الدولة الطرف أيضا</w:t>
      </w:r>
      <w:r w:rsidR="004429C2" w:rsidRPr="00704642">
        <w:rPr>
          <w:rFonts w:hint="cs"/>
          <w:b/>
          <w:bCs/>
          <w:rtl/>
        </w:rPr>
        <w:t>ً</w:t>
      </w:r>
      <w:r w:rsidRPr="00704642">
        <w:rPr>
          <w:b/>
          <w:bCs/>
          <w:rtl/>
        </w:rPr>
        <w:t xml:space="preserve"> مع المسؤولين المتورطين في الاحتجاز التعسفي وفي تشغيل أماكن احتجاز غير مأذون بها وأن تكفل مقاضاتهم، وأن تكفل وصول الضحايا إلى سبل انتصاف ملائمة.</w:t>
      </w:r>
    </w:p>
    <w:p w14:paraId="0AC32559" w14:textId="77777777" w:rsidR="009C0CE0" w:rsidRPr="00110930" w:rsidRDefault="009C0CE0" w:rsidP="00EC1593">
      <w:pPr>
        <w:pStyle w:val="H23GA"/>
        <w:rPr>
          <w:szCs w:val="20"/>
          <w:lang w:val="ar-SA" w:eastAsia="zh-TW" w:bidi="en-GB"/>
        </w:rPr>
      </w:pPr>
      <w:r>
        <w:rPr>
          <w:rtl/>
        </w:rPr>
        <w:tab/>
      </w:r>
      <w:r>
        <w:rPr>
          <w:rtl/>
        </w:rPr>
        <w:tab/>
        <w:t>ظروف الاحتجاز</w:t>
      </w:r>
    </w:p>
    <w:p w14:paraId="7B7C7389" w14:textId="41F64C8A" w:rsidR="009C0CE0" w:rsidRPr="00027118" w:rsidRDefault="009C0CE0" w:rsidP="00EC1593">
      <w:pPr>
        <w:pStyle w:val="SingleTxtGA"/>
        <w:rPr>
          <w:lang w:val="ar-SA" w:eastAsia="zh-TW" w:bidi="en-GB"/>
        </w:rPr>
      </w:pPr>
      <w:r w:rsidRPr="00D577DE">
        <w:rPr>
          <w:rtl/>
        </w:rPr>
        <w:t>23</w:t>
      </w:r>
      <w:r w:rsidRPr="00027118">
        <w:rPr>
          <w:rFonts w:ascii="Simplified Arabic"/>
          <w:rtl/>
        </w:rPr>
        <w:t>-</w:t>
      </w:r>
      <w:r w:rsidRPr="00027118">
        <w:rPr>
          <w:rtl/>
        </w:rPr>
        <w:tab/>
        <w:t>تلاحظ اللجنة الجهود التي تبذلها الدولة الطرف للحد من اكتظاظ السجون، بيد أنها تشعر بالقلق لأن معدلات الإشغال لا تزال مرتفعة، ويعزى ذلك جزئيا</w:t>
      </w:r>
      <w:r w:rsidR="004429C2" w:rsidRPr="00027118">
        <w:rPr>
          <w:rFonts w:hint="cs"/>
          <w:rtl/>
        </w:rPr>
        <w:t>ً</w:t>
      </w:r>
      <w:r w:rsidRPr="00027118">
        <w:rPr>
          <w:rtl/>
        </w:rPr>
        <w:t xml:space="preserve"> إلى عدد الأشخاص المحتجزين احتياطي</w:t>
      </w:r>
      <w:r w:rsidR="00EA68AF" w:rsidRPr="00027118">
        <w:rPr>
          <w:rtl/>
        </w:rPr>
        <w:t>اً.</w:t>
      </w:r>
      <w:r w:rsidRPr="00027118">
        <w:rPr>
          <w:rtl/>
        </w:rPr>
        <w:t xml:space="preserve"> وفي هذا الصدد، يساور اللجنة القلق أيضا</w:t>
      </w:r>
      <w:r w:rsidR="004429C2" w:rsidRPr="00027118">
        <w:rPr>
          <w:rFonts w:hint="cs"/>
          <w:rtl/>
        </w:rPr>
        <w:t>ً</w:t>
      </w:r>
      <w:r w:rsidRPr="00027118">
        <w:rPr>
          <w:rtl/>
        </w:rPr>
        <w:t xml:space="preserve"> إزاء ورود تقارير تشير إلى أن اكتظاظ السجون أدى إلى محدودية فرص الحصول على فراش وعلى حيز للنوم، وإلى سوء الرعاية الصحية، ونقص مخزون الأدوية في مرافق الاحتجاز (المواد </w:t>
      </w:r>
      <w:r w:rsidRPr="00D577DE">
        <w:rPr>
          <w:rtl/>
        </w:rPr>
        <w:t>2</w:t>
      </w:r>
      <w:r w:rsidRPr="00027118">
        <w:rPr>
          <w:rtl/>
        </w:rPr>
        <w:t xml:space="preserve"> </w:t>
      </w:r>
      <w:proofErr w:type="spellStart"/>
      <w:r w:rsidRPr="00027118">
        <w:rPr>
          <w:rtl/>
        </w:rPr>
        <w:t>و</w:t>
      </w:r>
      <w:r w:rsidRPr="00D577DE">
        <w:rPr>
          <w:rtl/>
        </w:rPr>
        <w:t>11</w:t>
      </w:r>
      <w:proofErr w:type="spellEnd"/>
      <w:r w:rsidRPr="00027118">
        <w:rPr>
          <w:rtl/>
        </w:rPr>
        <w:t xml:space="preserve"> </w:t>
      </w:r>
      <w:proofErr w:type="spellStart"/>
      <w:r w:rsidRPr="00027118">
        <w:rPr>
          <w:rtl/>
        </w:rPr>
        <w:t>و</w:t>
      </w:r>
      <w:r w:rsidRPr="00D577DE">
        <w:rPr>
          <w:rtl/>
        </w:rPr>
        <w:t>1</w:t>
      </w:r>
      <w:r w:rsidR="00704AD2" w:rsidRPr="00D577DE">
        <w:rPr>
          <w:rtl/>
        </w:rPr>
        <w:t>6</w:t>
      </w:r>
      <w:proofErr w:type="spellEnd"/>
      <w:r w:rsidR="00704AD2" w:rsidRPr="00027118">
        <w:rPr>
          <w:rFonts w:ascii="Simplified Arabic"/>
          <w:rtl/>
        </w:rPr>
        <w:t>)</w:t>
      </w:r>
      <w:r w:rsidR="00704AD2" w:rsidRPr="00027118">
        <w:rPr>
          <w:rtl/>
        </w:rPr>
        <w:t xml:space="preserve">. </w:t>
      </w:r>
    </w:p>
    <w:p w14:paraId="7069556A" w14:textId="77777777" w:rsidR="009C0CE0" w:rsidRPr="006C7EBE" w:rsidRDefault="009C0CE0" w:rsidP="006C7EBE">
      <w:pPr>
        <w:pStyle w:val="SingleTxtGA"/>
        <w:rPr>
          <w:b/>
          <w:bCs/>
          <w:szCs w:val="20"/>
          <w:lang w:val="ar-SA" w:eastAsia="zh-TW" w:bidi="en-GB"/>
        </w:rPr>
      </w:pPr>
      <w:r w:rsidRPr="00D577DE">
        <w:rPr>
          <w:rtl/>
        </w:rPr>
        <w:lastRenderedPageBreak/>
        <w:t>24</w:t>
      </w:r>
      <w:r>
        <w:rPr>
          <w:rFonts w:ascii="Simplified Arabic"/>
          <w:szCs w:val="20"/>
          <w:rtl/>
        </w:rPr>
        <w:t>-</w:t>
      </w:r>
      <w:r>
        <w:rPr>
          <w:rtl/>
        </w:rPr>
        <w:tab/>
      </w:r>
      <w:r w:rsidRPr="006C7EBE">
        <w:rPr>
          <w:b/>
          <w:bCs/>
          <w:rtl/>
        </w:rPr>
        <w:t>يجب على الدولة الطرف القيام بما يلي:</w:t>
      </w:r>
    </w:p>
    <w:p w14:paraId="4CDDBCE8" w14:textId="2B832E56" w:rsidR="00704AD2" w:rsidRPr="006C7EBE" w:rsidRDefault="00EC1593" w:rsidP="00EC1593">
      <w:pPr>
        <w:pStyle w:val="SingleTxtGA"/>
        <w:rPr>
          <w:b/>
          <w:bCs/>
          <w:szCs w:val="20"/>
          <w:lang w:val="ar-SA" w:eastAsia="zh-TW" w:bidi="en-GB"/>
        </w:rPr>
      </w:pPr>
      <w:r w:rsidRPr="004B6834">
        <w:rPr>
          <w:rtl/>
        </w:rPr>
        <w:tab/>
      </w:r>
      <w:r w:rsidR="009C0CE0" w:rsidRPr="004B6834">
        <w:rPr>
          <w:rtl/>
        </w:rPr>
        <w:t>(أ)</w:t>
      </w:r>
      <w:r w:rsidR="009C0CE0" w:rsidRPr="006C7EBE">
        <w:rPr>
          <w:b/>
          <w:bCs/>
          <w:rtl/>
        </w:rPr>
        <w:tab/>
        <w:t xml:space="preserve">تكثيف جهودها لمواءمة ظروف الاحتجاز مع قواعد الأمم المتحدة النموذجية الدنيا لمعاملة السجناء (قواعد نيلسون مانديلا) والسعي إلى القضاء على الاكتظاظ في المؤسسات الإصلاحية وغيرها من مرافق الاحتجاز، بما في ذلك من خلال تطبيق تدابير غير احتجازية. وفي هذا الصدد، توجه اللجنة انتباه الدولة الطرف إلى قواعد الأمم المتحدة الدنيا النموذجية للتدابير غير </w:t>
      </w:r>
      <w:proofErr w:type="spellStart"/>
      <w:r w:rsidR="009C0CE0" w:rsidRPr="006C7EBE">
        <w:rPr>
          <w:b/>
          <w:bCs/>
          <w:rtl/>
        </w:rPr>
        <w:t>الاحتجازية</w:t>
      </w:r>
      <w:proofErr w:type="spellEnd"/>
      <w:r w:rsidR="009C0CE0" w:rsidRPr="006C7EBE">
        <w:rPr>
          <w:b/>
          <w:bCs/>
          <w:rtl/>
        </w:rPr>
        <w:t xml:space="preserve"> (قواعد طوكيو</w:t>
      </w:r>
      <w:r w:rsidR="00704AD2" w:rsidRPr="006C7EBE">
        <w:rPr>
          <w:b/>
          <w:bCs/>
          <w:rtl/>
        </w:rPr>
        <w:t xml:space="preserve">)، </w:t>
      </w:r>
      <w:r w:rsidR="009C0CE0" w:rsidRPr="006C7EBE">
        <w:rPr>
          <w:b/>
          <w:bCs/>
          <w:rtl/>
        </w:rPr>
        <w:t xml:space="preserve">وقواعد الأمم المتحدة لمعاملة السجينات والتدابير غير </w:t>
      </w:r>
      <w:proofErr w:type="spellStart"/>
      <w:r w:rsidR="009C0CE0" w:rsidRPr="006C7EBE">
        <w:rPr>
          <w:b/>
          <w:bCs/>
          <w:rtl/>
        </w:rPr>
        <w:t>الاحتجازية</w:t>
      </w:r>
      <w:proofErr w:type="spellEnd"/>
      <w:r w:rsidR="009C0CE0" w:rsidRPr="006C7EBE">
        <w:rPr>
          <w:b/>
          <w:bCs/>
          <w:rtl/>
        </w:rPr>
        <w:t xml:space="preserve"> للمجرمات (قواعد بانكوك</w:t>
      </w:r>
      <w:r w:rsidR="00704AD2" w:rsidRPr="006C7EBE">
        <w:rPr>
          <w:b/>
          <w:bCs/>
          <w:rtl/>
        </w:rPr>
        <w:t>)؛</w:t>
      </w:r>
    </w:p>
    <w:p w14:paraId="2C42D5EC" w14:textId="71A4F522" w:rsidR="009C0CE0" w:rsidRPr="00350E2A" w:rsidRDefault="00EC1593" w:rsidP="00EC1593">
      <w:pPr>
        <w:pStyle w:val="SingleTxtGA"/>
        <w:rPr>
          <w:b/>
          <w:bCs/>
          <w:szCs w:val="20"/>
          <w:lang w:val="ar-SA" w:eastAsia="zh-TW" w:bidi="en-GB"/>
        </w:rPr>
      </w:pPr>
      <w:r w:rsidRPr="004B6834">
        <w:rPr>
          <w:rtl/>
        </w:rPr>
        <w:tab/>
      </w:r>
      <w:r w:rsidR="009C0CE0" w:rsidRPr="004B6834">
        <w:rPr>
          <w:rtl/>
        </w:rPr>
        <w:t>(ب)</w:t>
      </w:r>
      <w:r w:rsidR="009C0CE0" w:rsidRPr="00350E2A">
        <w:rPr>
          <w:b/>
          <w:bCs/>
          <w:rtl/>
        </w:rPr>
        <w:tab/>
        <w:t>ضمان تخصيص الموارد البشرية والمادية اللازمة للرعاية الطبية والصحية الملائمة للسجناء، على النحو المبين في القواعد من 24 إلى 35 من قواعد نيلسون مانديلا.</w:t>
      </w:r>
    </w:p>
    <w:p w14:paraId="1B1589AA" w14:textId="77777777" w:rsidR="009C0CE0" w:rsidRPr="004B6834" w:rsidRDefault="009C0CE0" w:rsidP="00EC1593">
      <w:pPr>
        <w:pStyle w:val="H23GA"/>
        <w:rPr>
          <w:szCs w:val="20"/>
          <w:lang w:val="en-US" w:eastAsia="zh-TW" w:bidi="en-GB"/>
        </w:rPr>
      </w:pPr>
      <w:r>
        <w:rPr>
          <w:rtl/>
        </w:rPr>
        <w:tab/>
      </w:r>
      <w:r>
        <w:rPr>
          <w:rtl/>
        </w:rPr>
        <w:tab/>
        <w:t>مراقبة مراكز الاحتجاز</w:t>
      </w:r>
    </w:p>
    <w:p w14:paraId="4CCD4359" w14:textId="4459C905" w:rsidR="00704AD2" w:rsidRPr="00027118" w:rsidRDefault="009C0CE0" w:rsidP="00EC1593">
      <w:pPr>
        <w:pStyle w:val="SingleTxtGA"/>
        <w:rPr>
          <w:lang w:val="ar-SA" w:eastAsia="zh-TW" w:bidi="en-GB"/>
        </w:rPr>
      </w:pPr>
      <w:r w:rsidRPr="00D577DE">
        <w:rPr>
          <w:rtl/>
        </w:rPr>
        <w:t>25</w:t>
      </w:r>
      <w:r w:rsidRPr="00027118">
        <w:rPr>
          <w:rFonts w:ascii="Simplified Arabic"/>
          <w:rtl/>
        </w:rPr>
        <w:t>-</w:t>
      </w:r>
      <w:r w:rsidRPr="00027118">
        <w:rPr>
          <w:rtl/>
        </w:rPr>
        <w:tab/>
        <w:t>تحيط اللجنة علما</w:t>
      </w:r>
      <w:r w:rsidR="004429C2" w:rsidRPr="00027118">
        <w:rPr>
          <w:rFonts w:hint="cs"/>
          <w:rtl/>
        </w:rPr>
        <w:t>ً</w:t>
      </w:r>
      <w:r w:rsidRPr="00027118">
        <w:rPr>
          <w:rtl/>
        </w:rPr>
        <w:t xml:space="preserve"> بالتدابير التي اتخذتها الدولة الطرف لمنع تعذيب السجناء وإساءة معاملتهم، والتي قللت إلى حد كبير من حالات التعذيب داخل السجون، وبالآليات القائمة لتيسير التعرف على التعذيب، والعمل الهام الذي قامت به لجنة حقوق الإنسان الأوغندية في القيام بزيارات إلى أماكن الحرمان من الحرية. ومع ذلك، تشير التقارير إلى استمرار سوء المعاملة، ولا سيما ضرب السجناء على أيدي </w:t>
      </w:r>
      <w:proofErr w:type="spellStart"/>
      <w:r w:rsidRPr="00027118">
        <w:rPr>
          <w:rtl/>
        </w:rPr>
        <w:t>الكاتيكيروس</w:t>
      </w:r>
      <w:proofErr w:type="spellEnd"/>
      <w:r w:rsidRPr="00027118">
        <w:rPr>
          <w:rtl/>
        </w:rPr>
        <w:t xml:space="preserve"> (القادة المعينين من بين السجناء) وفرض حراس السجون الحبس الانفرادي والضرب بالعصا كتدابير تأديبية. وتلاحظ اللجنة إنشاء لجان لحقوق الإنسان مكلفة برصد أماكن الاحتجاز، لكنها تشعر بالقلق إزاء التقارير التي تفيد بأن هذه اللجان غير فعالة وأن معارف ومهارات أعضائها محدودة فيما يتعلق بانتهاكات حقوق الإنسان (المواد </w:t>
      </w:r>
      <w:r w:rsidRPr="00D577DE">
        <w:rPr>
          <w:rtl/>
        </w:rPr>
        <w:t>2</w:t>
      </w:r>
      <w:r w:rsidRPr="00027118">
        <w:rPr>
          <w:rtl/>
        </w:rPr>
        <w:t xml:space="preserve"> </w:t>
      </w:r>
      <w:proofErr w:type="spellStart"/>
      <w:r w:rsidRPr="00027118">
        <w:rPr>
          <w:rtl/>
        </w:rPr>
        <w:t>و</w:t>
      </w:r>
      <w:r w:rsidRPr="00D577DE">
        <w:rPr>
          <w:rtl/>
        </w:rPr>
        <w:t>11</w:t>
      </w:r>
      <w:proofErr w:type="spellEnd"/>
      <w:r w:rsidRPr="00027118">
        <w:rPr>
          <w:rtl/>
        </w:rPr>
        <w:t xml:space="preserve"> </w:t>
      </w:r>
      <w:proofErr w:type="spellStart"/>
      <w:r w:rsidRPr="00027118">
        <w:rPr>
          <w:rtl/>
        </w:rPr>
        <w:t>و</w:t>
      </w:r>
      <w:r w:rsidRPr="00D577DE">
        <w:rPr>
          <w:rtl/>
        </w:rPr>
        <w:t>1</w:t>
      </w:r>
      <w:r w:rsidR="00704AD2" w:rsidRPr="00D577DE">
        <w:rPr>
          <w:rtl/>
        </w:rPr>
        <w:t>6</w:t>
      </w:r>
      <w:proofErr w:type="spellEnd"/>
      <w:r w:rsidR="00704AD2" w:rsidRPr="00027118">
        <w:rPr>
          <w:rFonts w:ascii="Simplified Arabic"/>
          <w:rtl/>
        </w:rPr>
        <w:t>)</w:t>
      </w:r>
      <w:r w:rsidR="00704AD2" w:rsidRPr="00027118">
        <w:rPr>
          <w:rtl/>
        </w:rPr>
        <w:t>.</w:t>
      </w:r>
    </w:p>
    <w:p w14:paraId="075E8F0E" w14:textId="799D818C" w:rsidR="009C0CE0" w:rsidRPr="006C7EBE" w:rsidRDefault="009C0CE0" w:rsidP="00EC1593">
      <w:pPr>
        <w:pStyle w:val="SingleTxtGA"/>
        <w:rPr>
          <w:b/>
          <w:bCs/>
          <w:szCs w:val="20"/>
          <w:lang w:val="ar-SA" w:eastAsia="zh-TW" w:bidi="en-GB"/>
        </w:rPr>
      </w:pPr>
      <w:r w:rsidRPr="00D577DE">
        <w:rPr>
          <w:rtl/>
        </w:rPr>
        <w:t>26</w:t>
      </w:r>
      <w:r>
        <w:rPr>
          <w:rFonts w:ascii="Simplified Arabic"/>
          <w:szCs w:val="20"/>
          <w:rtl/>
        </w:rPr>
        <w:t>-</w:t>
      </w:r>
      <w:r>
        <w:rPr>
          <w:rtl/>
        </w:rPr>
        <w:tab/>
      </w:r>
      <w:r w:rsidRPr="006C7EBE">
        <w:rPr>
          <w:b/>
          <w:bCs/>
          <w:rtl/>
        </w:rPr>
        <w:t>ينبغي للدولة الطرف القيام بما يلي:</w:t>
      </w:r>
    </w:p>
    <w:p w14:paraId="51A2B61F" w14:textId="0A08C44E" w:rsidR="009C0CE0" w:rsidRPr="006C7EBE" w:rsidRDefault="00EC1593" w:rsidP="00EC1593">
      <w:pPr>
        <w:pStyle w:val="SingleTxtGA"/>
        <w:rPr>
          <w:b/>
          <w:bCs/>
          <w:szCs w:val="20"/>
          <w:lang w:val="ar-SA" w:eastAsia="zh-TW" w:bidi="en-GB"/>
        </w:rPr>
      </w:pPr>
      <w:r w:rsidRPr="004B6834">
        <w:rPr>
          <w:rtl/>
        </w:rPr>
        <w:tab/>
      </w:r>
      <w:r w:rsidR="009C0CE0" w:rsidRPr="004B6834">
        <w:rPr>
          <w:rtl/>
        </w:rPr>
        <w:t>(أ)</w:t>
      </w:r>
      <w:r w:rsidR="009C0CE0" w:rsidRPr="006C7EBE">
        <w:rPr>
          <w:b/>
          <w:bCs/>
          <w:rtl/>
        </w:rPr>
        <w:tab/>
        <w:t>اتخاذ تدابير لضمان خضوع جميع أماكن الاحتجاز والحرمان من الحرية للرصد والتفتيش المستقلين والفعالين والمنتظمين دون إشعار مسبق، وتمكين المراقبين من تحديد الظروف أو المعاملة أو السلوك في أماكن الحرمان من الحرية التي تشكل ضرباً من التعذيب أو سوء المعاملة، وإجراء مقابلات سرية مع المحتجزين، وتقديم تقرير عن استنتاجاتهم إلى السلطات المعنية؛</w:t>
      </w:r>
    </w:p>
    <w:p w14:paraId="6A319947" w14:textId="0167E6AA" w:rsidR="009C0CE0" w:rsidRPr="004B6834" w:rsidRDefault="00EC1593" w:rsidP="00EC1593">
      <w:pPr>
        <w:pStyle w:val="SingleTxtGA"/>
        <w:rPr>
          <w:b/>
          <w:bCs/>
          <w:szCs w:val="20"/>
          <w:lang w:val="en-US" w:eastAsia="zh-TW" w:bidi="en-GB"/>
        </w:rPr>
      </w:pPr>
      <w:r w:rsidRPr="004B6834">
        <w:rPr>
          <w:rtl/>
        </w:rPr>
        <w:tab/>
      </w:r>
      <w:r w:rsidR="009C0CE0" w:rsidRPr="004B6834">
        <w:rPr>
          <w:rtl/>
        </w:rPr>
        <w:t>(ب)</w:t>
      </w:r>
      <w:r w:rsidR="009C0CE0" w:rsidRPr="006C7EBE">
        <w:rPr>
          <w:b/>
          <w:bCs/>
          <w:rtl/>
        </w:rPr>
        <w:tab/>
        <w:t>ضمان إتاحة آليات شكاوى فعالة ومستقلة وميسرة لجميع الأشخاص المحرومين من حريتهم؛</w:t>
      </w:r>
    </w:p>
    <w:p w14:paraId="0BD226B7" w14:textId="017505B0" w:rsidR="009C0CE0" w:rsidRPr="006C7EBE" w:rsidRDefault="00EC1593" w:rsidP="00EC1593">
      <w:pPr>
        <w:pStyle w:val="SingleTxtGA"/>
        <w:rPr>
          <w:b/>
          <w:bCs/>
          <w:szCs w:val="20"/>
          <w:lang w:val="ar-SA" w:eastAsia="zh-TW" w:bidi="en-GB"/>
        </w:rPr>
      </w:pPr>
      <w:r w:rsidRPr="004B6834">
        <w:rPr>
          <w:rtl/>
        </w:rPr>
        <w:tab/>
      </w:r>
      <w:r w:rsidR="009C0CE0" w:rsidRPr="004B6834">
        <w:rPr>
          <w:rtl/>
        </w:rPr>
        <w:t>(ج)</w:t>
      </w:r>
      <w:r w:rsidR="009C0CE0" w:rsidRPr="006C7EBE">
        <w:rPr>
          <w:b/>
          <w:bCs/>
          <w:rtl/>
        </w:rPr>
        <w:tab/>
        <w:t>ضمان توفير الموارد والسبل اللازمة لاضطلاع اللجنة الأوغندية لحقوق الإنسان بمهامها في رصد جميع أماكن الحرمان من الحرية، وتمكينها من تلقي الشكاوى المتعلقة بالتعذيب وسوء المعاملة أثناء الاحتجاز والنظر فيها؛</w:t>
      </w:r>
    </w:p>
    <w:p w14:paraId="1823FFDE" w14:textId="74FF4E8A" w:rsidR="009C0CE0" w:rsidRPr="006C7EBE" w:rsidRDefault="00EC1593" w:rsidP="00EC1593">
      <w:pPr>
        <w:pStyle w:val="SingleTxtGA"/>
        <w:rPr>
          <w:b/>
          <w:bCs/>
          <w:szCs w:val="20"/>
          <w:lang w:val="ar-SA" w:eastAsia="zh-TW" w:bidi="en-GB"/>
        </w:rPr>
      </w:pPr>
      <w:r w:rsidRPr="004B6834">
        <w:rPr>
          <w:rtl/>
        </w:rPr>
        <w:tab/>
      </w:r>
      <w:r w:rsidR="009C0CE0" w:rsidRPr="004B6834">
        <w:rPr>
          <w:rtl/>
        </w:rPr>
        <w:t>(د)</w:t>
      </w:r>
      <w:r w:rsidR="009C0CE0" w:rsidRPr="006C7EBE">
        <w:rPr>
          <w:b/>
          <w:bCs/>
          <w:rtl/>
        </w:rPr>
        <w:tab/>
        <w:t>السماح لمنظمات المجتمع المدني وغيرها من أصحاب المصلحة الناشطين في مجال حماية وتعزيز حقوق الإنسان بالوصول إلى أماكن الاحتجاز والحرمان من الحرية؛</w:t>
      </w:r>
    </w:p>
    <w:p w14:paraId="381BA2C5" w14:textId="43CB9AD2" w:rsidR="009C0CE0" w:rsidRPr="006C7EBE" w:rsidRDefault="00EC1593" w:rsidP="00EC1593">
      <w:pPr>
        <w:pStyle w:val="SingleTxtGA"/>
        <w:rPr>
          <w:b/>
          <w:bCs/>
          <w:szCs w:val="20"/>
          <w:lang w:val="ar-SA" w:eastAsia="zh-TW" w:bidi="en-GB"/>
        </w:rPr>
      </w:pPr>
      <w:r w:rsidRPr="004B6834">
        <w:rPr>
          <w:rtl/>
        </w:rPr>
        <w:tab/>
      </w:r>
      <w:r w:rsidR="009C0CE0" w:rsidRPr="004B6834">
        <w:rPr>
          <w:rtl/>
        </w:rPr>
        <w:t>(هـ)</w:t>
      </w:r>
      <w:r w:rsidR="009C0CE0" w:rsidRPr="006C7EBE">
        <w:rPr>
          <w:b/>
          <w:bCs/>
          <w:rtl/>
        </w:rPr>
        <w:tab/>
        <w:t>ضمان فعالية الأداء في اللجان المعنية بحقوق الإنسان داخل مرافق السجون من خلال ضمان اكتمال تشكيلها وتدريبها؛</w:t>
      </w:r>
    </w:p>
    <w:p w14:paraId="17401F1C" w14:textId="3963C6BA" w:rsidR="009C0CE0" w:rsidRPr="006C7EBE" w:rsidRDefault="00EC1593" w:rsidP="00EC1593">
      <w:pPr>
        <w:pStyle w:val="SingleTxtGA"/>
        <w:rPr>
          <w:b/>
          <w:bCs/>
          <w:szCs w:val="20"/>
          <w:lang w:val="ar-SA" w:eastAsia="zh-TW" w:bidi="en-GB"/>
        </w:rPr>
      </w:pPr>
      <w:r w:rsidRPr="004B6834">
        <w:rPr>
          <w:rtl/>
        </w:rPr>
        <w:tab/>
      </w:r>
      <w:r w:rsidR="009C0CE0" w:rsidRPr="004B6834">
        <w:rPr>
          <w:rtl/>
        </w:rPr>
        <w:t>(و)</w:t>
      </w:r>
      <w:r w:rsidR="009C0CE0" w:rsidRPr="006C7EBE">
        <w:rPr>
          <w:b/>
          <w:bCs/>
          <w:rtl/>
        </w:rPr>
        <w:tab/>
        <w:t>النظر في التصديق على البروتوكول الاختياري لاتفاقية مناهضة التعذيب.</w:t>
      </w:r>
    </w:p>
    <w:p w14:paraId="11F629D9" w14:textId="77777777" w:rsidR="009C0CE0" w:rsidRPr="00110930" w:rsidRDefault="009C0CE0" w:rsidP="00EC1593">
      <w:pPr>
        <w:pStyle w:val="H23GA"/>
        <w:rPr>
          <w:szCs w:val="20"/>
          <w:lang w:val="ar-SA" w:eastAsia="zh-TW" w:bidi="en-GB"/>
        </w:rPr>
      </w:pPr>
      <w:r>
        <w:rPr>
          <w:rtl/>
        </w:rPr>
        <w:lastRenderedPageBreak/>
        <w:tab/>
      </w:r>
      <w:r>
        <w:rPr>
          <w:rtl/>
        </w:rPr>
        <w:tab/>
        <w:t>العنف الجنساني</w:t>
      </w:r>
    </w:p>
    <w:p w14:paraId="2BB037E9" w14:textId="77C9F3A5" w:rsidR="009C0CE0" w:rsidRPr="00581524" w:rsidRDefault="009C0CE0" w:rsidP="00EC1593">
      <w:pPr>
        <w:pStyle w:val="SingleTxtGA"/>
        <w:rPr>
          <w:lang w:val="en-US" w:eastAsia="zh-TW" w:bidi="en-GB"/>
        </w:rPr>
      </w:pPr>
      <w:r w:rsidRPr="00D577DE">
        <w:rPr>
          <w:rtl/>
        </w:rPr>
        <w:t>27</w:t>
      </w:r>
      <w:r w:rsidRPr="00027118">
        <w:rPr>
          <w:rFonts w:ascii="Simplified Arabic"/>
          <w:rtl/>
        </w:rPr>
        <w:t>-</w:t>
      </w:r>
      <w:r w:rsidRPr="00027118">
        <w:rPr>
          <w:rtl/>
        </w:rPr>
        <w:tab/>
        <w:t>تلاحظ اللجنة الخطوات التي اتخذتها الدولة الطرف للتصدي للعنف العائلي وغيره من أشكال العنف الجنسي والجنساني والمبادرة الرامية إلى زيادة الاكتفاء الذاتي للنساء والفتيات، بيد أنها تأسف لاستمرار الإبلاغ عن حوادث عنف جنساني، حيث كانت حوادث العنف العائلي الأكثر شيوعا</w:t>
      </w:r>
      <w:r w:rsidR="004429C2" w:rsidRPr="00027118">
        <w:rPr>
          <w:rFonts w:hint="cs"/>
          <w:rtl/>
        </w:rPr>
        <w:t>ً</w:t>
      </w:r>
      <w:r w:rsidRPr="00027118">
        <w:rPr>
          <w:rtl/>
        </w:rPr>
        <w:t xml:space="preserve"> في عام</w:t>
      </w:r>
      <w:r w:rsidR="004429C2" w:rsidRPr="00027118">
        <w:rPr>
          <w:rFonts w:hint="cs"/>
          <w:rtl/>
        </w:rPr>
        <w:t> </w:t>
      </w:r>
      <w:r w:rsidRPr="00D577DE">
        <w:rPr>
          <w:rtl/>
        </w:rPr>
        <w:t>2021</w:t>
      </w:r>
      <w:r w:rsidRPr="00027118">
        <w:rPr>
          <w:rtl/>
        </w:rPr>
        <w:t xml:space="preserve"> وفقا</w:t>
      </w:r>
      <w:r w:rsidR="004429C2" w:rsidRPr="00027118">
        <w:rPr>
          <w:rFonts w:hint="cs"/>
          <w:rtl/>
        </w:rPr>
        <w:t>ً</w:t>
      </w:r>
      <w:r w:rsidRPr="00027118">
        <w:rPr>
          <w:rtl/>
        </w:rPr>
        <w:t xml:space="preserve"> لتقرير الجريمة السنوي الذي نشرته قوة الشرطة الأوغندية،</w:t>
      </w:r>
      <w:r w:rsidR="00550F6E" w:rsidRPr="00027118">
        <w:rPr>
          <w:rtl/>
        </w:rPr>
        <w:t xml:space="preserve"> </w:t>
      </w:r>
      <w:r w:rsidRPr="00027118">
        <w:rPr>
          <w:rtl/>
        </w:rPr>
        <w:t xml:space="preserve">وعدم توافر بيانات إحصائية عن عدد الشكاوى والتحقيقات والملاحقات القضائية والإدانات في حالات العنف الجنساني (المواد </w:t>
      </w:r>
      <w:r w:rsidRPr="00D577DE">
        <w:rPr>
          <w:rtl/>
        </w:rPr>
        <w:t>2</w:t>
      </w:r>
      <w:r w:rsidRPr="00027118">
        <w:rPr>
          <w:rtl/>
        </w:rPr>
        <w:t xml:space="preserve"> </w:t>
      </w:r>
      <w:proofErr w:type="spellStart"/>
      <w:r w:rsidRPr="00027118">
        <w:rPr>
          <w:rtl/>
        </w:rPr>
        <w:t>و</w:t>
      </w:r>
      <w:r w:rsidRPr="00D577DE">
        <w:rPr>
          <w:rtl/>
        </w:rPr>
        <w:t>4</w:t>
      </w:r>
      <w:proofErr w:type="spellEnd"/>
      <w:r w:rsidRPr="00027118">
        <w:rPr>
          <w:rtl/>
        </w:rPr>
        <w:t xml:space="preserve"> </w:t>
      </w:r>
      <w:proofErr w:type="spellStart"/>
      <w:r w:rsidRPr="00027118">
        <w:rPr>
          <w:rtl/>
        </w:rPr>
        <w:t>و</w:t>
      </w:r>
      <w:r w:rsidRPr="00D577DE">
        <w:rPr>
          <w:rtl/>
        </w:rPr>
        <w:t>12</w:t>
      </w:r>
      <w:proofErr w:type="spellEnd"/>
      <w:r w:rsidRPr="00027118">
        <w:rPr>
          <w:rtl/>
        </w:rPr>
        <w:t xml:space="preserve"> </w:t>
      </w:r>
      <w:proofErr w:type="spellStart"/>
      <w:r w:rsidRPr="00027118">
        <w:rPr>
          <w:rtl/>
        </w:rPr>
        <w:t>و</w:t>
      </w:r>
      <w:r w:rsidRPr="00D577DE">
        <w:rPr>
          <w:rtl/>
        </w:rPr>
        <w:t>1</w:t>
      </w:r>
      <w:r w:rsidR="00704AD2" w:rsidRPr="00D577DE">
        <w:rPr>
          <w:rtl/>
        </w:rPr>
        <w:t>6</w:t>
      </w:r>
      <w:proofErr w:type="spellEnd"/>
      <w:r w:rsidR="00704AD2" w:rsidRPr="00027118">
        <w:rPr>
          <w:rFonts w:ascii="Simplified Arabic"/>
          <w:rtl/>
        </w:rPr>
        <w:t>)</w:t>
      </w:r>
      <w:r w:rsidR="00704AD2" w:rsidRPr="00027118">
        <w:rPr>
          <w:rtl/>
        </w:rPr>
        <w:t xml:space="preserve">. </w:t>
      </w:r>
    </w:p>
    <w:p w14:paraId="225DA376" w14:textId="77777777" w:rsidR="009C0CE0" w:rsidRPr="006C7EBE" w:rsidRDefault="009C0CE0" w:rsidP="00EC1593">
      <w:pPr>
        <w:pStyle w:val="SingleTxtGA"/>
        <w:rPr>
          <w:b/>
          <w:bCs/>
          <w:szCs w:val="20"/>
          <w:lang w:val="ar-SA" w:eastAsia="zh-TW" w:bidi="en-GB"/>
        </w:rPr>
      </w:pPr>
      <w:r w:rsidRPr="00D577DE">
        <w:rPr>
          <w:rtl/>
        </w:rPr>
        <w:t>28</w:t>
      </w:r>
      <w:r>
        <w:rPr>
          <w:rFonts w:ascii="Simplified Arabic"/>
          <w:szCs w:val="20"/>
          <w:rtl/>
        </w:rPr>
        <w:t>-</w:t>
      </w:r>
      <w:r>
        <w:rPr>
          <w:rtl/>
        </w:rPr>
        <w:tab/>
      </w:r>
      <w:r w:rsidRPr="006C7EBE">
        <w:rPr>
          <w:b/>
          <w:bCs/>
          <w:rtl/>
        </w:rPr>
        <w:t>ينبغي للدولة الطرف القيام بما يلي</w:t>
      </w:r>
      <w:r w:rsidRPr="006C7EBE">
        <w:rPr>
          <w:rFonts w:ascii="Simplified Arabic"/>
          <w:b/>
          <w:bCs/>
          <w:szCs w:val="20"/>
        </w:rPr>
        <w:t>:</w:t>
      </w:r>
      <w:r w:rsidRPr="006C7EBE">
        <w:rPr>
          <w:b/>
          <w:bCs/>
          <w:rtl/>
        </w:rPr>
        <w:t xml:space="preserve"> </w:t>
      </w:r>
    </w:p>
    <w:p w14:paraId="7D54BA15" w14:textId="4589252B" w:rsidR="009C0CE0" w:rsidRPr="004B6834" w:rsidRDefault="00EC1593" w:rsidP="00EC1593">
      <w:pPr>
        <w:pStyle w:val="SingleTxtGA"/>
        <w:rPr>
          <w:b/>
          <w:bCs/>
          <w:szCs w:val="20"/>
          <w:lang w:val="en-US" w:eastAsia="zh-TW" w:bidi="en-GB"/>
        </w:rPr>
      </w:pPr>
      <w:r w:rsidRPr="004B6834">
        <w:rPr>
          <w:rtl/>
        </w:rPr>
        <w:tab/>
      </w:r>
      <w:r w:rsidR="009C0CE0" w:rsidRPr="004B6834">
        <w:rPr>
          <w:rtl/>
        </w:rPr>
        <w:t>(أ)</w:t>
      </w:r>
      <w:r w:rsidR="009C0CE0" w:rsidRPr="006C7EBE">
        <w:rPr>
          <w:b/>
          <w:bCs/>
          <w:rtl/>
        </w:rPr>
        <w:tab/>
        <w:t>ضمان التحقيق الشامل في جميع حالات العنف الجنساني، ولا سيما تلك التي اتخذت فيها سلطات الدولة أو كيانات أخرى إجراءات أو امتنعت فيها عن اتخاذ إجراءات على نحو أثار المسؤولية الدولية للدولة الطرف بموجب الاتفاقية، وضمان محاكمة من يُدَّعى أنهم ارتكبوا تلك الأفعال ومعاقبتهم، في حال إدانتهم، على النحو الواجب، وضمان الجبر للضحايا أو أسرهم، بما في ذلك التعويض الكافي؛</w:t>
      </w:r>
    </w:p>
    <w:p w14:paraId="3673BE20" w14:textId="311D2109" w:rsidR="009C0CE0" w:rsidRPr="006C7EBE" w:rsidRDefault="00EC1593" w:rsidP="00EC1593">
      <w:pPr>
        <w:pStyle w:val="SingleTxtGA"/>
        <w:rPr>
          <w:b/>
          <w:bCs/>
          <w:szCs w:val="20"/>
          <w:lang w:val="ar-SA" w:eastAsia="zh-TW" w:bidi="en-GB"/>
        </w:rPr>
      </w:pPr>
      <w:r w:rsidRPr="004B6834">
        <w:rPr>
          <w:rtl/>
        </w:rPr>
        <w:tab/>
      </w:r>
      <w:r w:rsidR="009C0CE0" w:rsidRPr="004B6834">
        <w:rPr>
          <w:rtl/>
        </w:rPr>
        <w:t>(ب)</w:t>
      </w:r>
      <w:r w:rsidR="009C0CE0" w:rsidRPr="006C7EBE">
        <w:rPr>
          <w:b/>
          <w:bCs/>
          <w:rtl/>
        </w:rPr>
        <w:tab/>
        <w:t xml:space="preserve">إتاحة التدريب الإلزامي لجميع موظفي العدالة وموظفي إنفاذ القانون على مقاضاة مرتكبي العنف الجنساني وتنفيذ حملات توعية بجميع أشكال العنف ضد المرأة؛ </w:t>
      </w:r>
    </w:p>
    <w:p w14:paraId="1151AD44" w14:textId="5EEC7A4F" w:rsidR="009C0CE0" w:rsidRPr="00EA68AF" w:rsidRDefault="00EC1593" w:rsidP="00EC1593">
      <w:pPr>
        <w:pStyle w:val="SingleTxtGA"/>
        <w:rPr>
          <w:rFonts w:ascii="Times New Roman Bold" w:hAnsi="Times New Roman Bold" w:hint="eastAsia"/>
          <w:b/>
          <w:bCs/>
          <w:spacing w:val="-2"/>
          <w:szCs w:val="20"/>
          <w:lang w:val="ar-SA" w:eastAsia="zh-TW" w:bidi="en-GB"/>
        </w:rPr>
      </w:pPr>
      <w:r w:rsidRPr="004B6834">
        <w:rPr>
          <w:rtl/>
        </w:rPr>
        <w:tab/>
      </w:r>
      <w:r w:rsidR="009C0CE0" w:rsidRPr="004B6834">
        <w:rPr>
          <w:rtl/>
        </w:rPr>
        <w:t>(ج)</w:t>
      </w:r>
      <w:r w:rsidR="009C0CE0" w:rsidRPr="006C7EBE">
        <w:rPr>
          <w:b/>
          <w:bCs/>
          <w:rtl/>
        </w:rPr>
        <w:tab/>
        <w:t xml:space="preserve">تجميع بيانات إحصائية، مصنفة حسب سن الضحية </w:t>
      </w:r>
      <w:proofErr w:type="spellStart"/>
      <w:r w:rsidR="009C0CE0" w:rsidRPr="006C7EBE">
        <w:rPr>
          <w:b/>
          <w:bCs/>
          <w:rtl/>
        </w:rPr>
        <w:t>وإثنيتها</w:t>
      </w:r>
      <w:proofErr w:type="spellEnd"/>
      <w:r w:rsidR="009C0CE0" w:rsidRPr="006C7EBE">
        <w:rPr>
          <w:b/>
          <w:bCs/>
          <w:rtl/>
        </w:rPr>
        <w:t xml:space="preserve"> أو جنسيتها وموافاة اللجنة بها فيما يتعلق بعدد الشكاوى والتحقيقات والملاحقات القضائية، والإدانات والأحكام المسجلة في </w:t>
      </w:r>
      <w:r w:rsidR="009C0CE0" w:rsidRPr="00EA68AF">
        <w:rPr>
          <w:rFonts w:ascii="Times New Roman Bold" w:hAnsi="Times New Roman Bold"/>
          <w:b/>
          <w:bCs/>
          <w:spacing w:val="-2"/>
          <w:rtl/>
        </w:rPr>
        <w:t>حالات العنف الجنساني، وبالتدابير المتخذة لضمان حصول الضحايا على سبل الانتصاف الفعالة والجبر.</w:t>
      </w:r>
    </w:p>
    <w:p w14:paraId="0570C2CD" w14:textId="77777777" w:rsidR="009C0CE0" w:rsidRPr="00110930" w:rsidRDefault="009C0CE0" w:rsidP="00EC1593">
      <w:pPr>
        <w:pStyle w:val="H23GA"/>
        <w:rPr>
          <w:szCs w:val="20"/>
          <w:lang w:val="ar-SA" w:eastAsia="zh-TW" w:bidi="en-GB"/>
        </w:rPr>
      </w:pPr>
      <w:r>
        <w:rPr>
          <w:rtl/>
        </w:rPr>
        <w:tab/>
      </w:r>
      <w:r>
        <w:rPr>
          <w:rtl/>
        </w:rPr>
        <w:tab/>
        <w:t>جميع أشكال العنف ضد الأطفال</w:t>
      </w:r>
    </w:p>
    <w:p w14:paraId="11C54091" w14:textId="0FE07282" w:rsidR="00704AD2" w:rsidRPr="00027118" w:rsidRDefault="009C0CE0" w:rsidP="00EC1593">
      <w:pPr>
        <w:pStyle w:val="SingleTxtGA"/>
        <w:rPr>
          <w:lang w:val="ar-SA" w:eastAsia="zh-TW" w:bidi="en-GB"/>
        </w:rPr>
      </w:pPr>
      <w:r w:rsidRPr="00D577DE">
        <w:rPr>
          <w:rtl/>
        </w:rPr>
        <w:t>29</w:t>
      </w:r>
      <w:r w:rsidRPr="00027118">
        <w:rPr>
          <w:rFonts w:ascii="Simplified Arabic"/>
          <w:rtl/>
        </w:rPr>
        <w:t>-</w:t>
      </w:r>
      <w:r w:rsidRPr="00027118">
        <w:rPr>
          <w:rtl/>
        </w:rPr>
        <w:tab/>
        <w:t>تحيط اللجنة علما</w:t>
      </w:r>
      <w:r w:rsidR="004429C2" w:rsidRPr="00027118">
        <w:rPr>
          <w:rFonts w:hint="cs"/>
          <w:rtl/>
        </w:rPr>
        <w:t>ً</w:t>
      </w:r>
      <w:r w:rsidRPr="00027118">
        <w:rPr>
          <w:rtl/>
        </w:rPr>
        <w:t xml:space="preserve"> ببيان الدولة الطرف بشأن حظر العقوبة البدنية للأطفال في جميع الأماكن، بيد أنها تشعر بالقلق إزاء ورود تقارير تؤكد استمرار اعتراف القانون العام بـ "العقاب المعقول"</w:t>
      </w:r>
      <w:r w:rsidR="00550F6E" w:rsidRPr="00027118">
        <w:rPr>
          <w:rtl/>
        </w:rPr>
        <w:t xml:space="preserve"> </w:t>
      </w:r>
      <w:r w:rsidRPr="00027118">
        <w:rPr>
          <w:rtl/>
        </w:rPr>
        <w:t>وأن العقوبة البدنية ليس محظورة صراحة في جميع الأماكن. ويساور اللجنة القلق أيضا</w:t>
      </w:r>
      <w:r w:rsidR="004429C2" w:rsidRPr="00027118">
        <w:rPr>
          <w:rFonts w:hint="cs"/>
          <w:rtl/>
        </w:rPr>
        <w:t>ً</w:t>
      </w:r>
      <w:r w:rsidRPr="00027118">
        <w:rPr>
          <w:rtl/>
        </w:rPr>
        <w:t xml:space="preserve"> إزاء ما أبلغ عنه من حوادث تقديم الأطفال كقرابين في أوغندا (المادتان </w:t>
      </w:r>
      <w:r w:rsidRPr="00D577DE">
        <w:rPr>
          <w:rtl/>
        </w:rPr>
        <w:t>2</w:t>
      </w:r>
      <w:r w:rsidRPr="00027118">
        <w:rPr>
          <w:rtl/>
        </w:rPr>
        <w:t xml:space="preserve"> </w:t>
      </w:r>
      <w:proofErr w:type="spellStart"/>
      <w:r w:rsidRPr="00027118">
        <w:rPr>
          <w:rtl/>
        </w:rPr>
        <w:t>و</w:t>
      </w:r>
      <w:r w:rsidRPr="00D577DE">
        <w:rPr>
          <w:rtl/>
        </w:rPr>
        <w:t>1</w:t>
      </w:r>
      <w:r w:rsidR="00704AD2" w:rsidRPr="00D577DE">
        <w:rPr>
          <w:rtl/>
        </w:rPr>
        <w:t>6</w:t>
      </w:r>
      <w:proofErr w:type="spellEnd"/>
      <w:r w:rsidR="00704AD2" w:rsidRPr="00027118">
        <w:rPr>
          <w:rFonts w:ascii="Simplified Arabic"/>
          <w:rtl/>
        </w:rPr>
        <w:t>)</w:t>
      </w:r>
      <w:r w:rsidR="00704AD2" w:rsidRPr="00027118">
        <w:rPr>
          <w:rtl/>
        </w:rPr>
        <w:t>.</w:t>
      </w:r>
    </w:p>
    <w:p w14:paraId="30F711CB" w14:textId="574AC215" w:rsidR="009C0CE0" w:rsidRPr="006C7EBE" w:rsidRDefault="009C0CE0" w:rsidP="00EC1593">
      <w:pPr>
        <w:pStyle w:val="SingleTxtGA"/>
        <w:rPr>
          <w:b/>
          <w:bCs/>
          <w:szCs w:val="20"/>
          <w:lang w:val="ar-SA" w:eastAsia="zh-TW" w:bidi="en-GB"/>
        </w:rPr>
      </w:pPr>
      <w:r w:rsidRPr="00D577DE">
        <w:rPr>
          <w:rtl/>
        </w:rPr>
        <w:t>30</w:t>
      </w:r>
      <w:r>
        <w:rPr>
          <w:rFonts w:ascii="Simplified Arabic"/>
          <w:szCs w:val="20"/>
          <w:rtl/>
        </w:rPr>
        <w:t>-</w:t>
      </w:r>
      <w:r>
        <w:rPr>
          <w:rtl/>
        </w:rPr>
        <w:tab/>
      </w:r>
      <w:r w:rsidRPr="006C7EBE">
        <w:rPr>
          <w:b/>
          <w:bCs/>
          <w:rtl/>
        </w:rPr>
        <w:t>تدعو اللجنة الدولة الطرف إلى ما يلي:</w:t>
      </w:r>
    </w:p>
    <w:p w14:paraId="11725CB6" w14:textId="548DCC89" w:rsidR="009C0CE0" w:rsidRPr="004B6834" w:rsidRDefault="00EC1593" w:rsidP="00EC1593">
      <w:pPr>
        <w:pStyle w:val="SingleTxtGA"/>
        <w:rPr>
          <w:b/>
          <w:bCs/>
          <w:szCs w:val="20"/>
          <w:lang w:val="en-US" w:eastAsia="zh-TW" w:bidi="en-GB"/>
        </w:rPr>
      </w:pPr>
      <w:r w:rsidRPr="004B6834">
        <w:rPr>
          <w:rtl/>
        </w:rPr>
        <w:tab/>
      </w:r>
      <w:r w:rsidR="009C0CE0" w:rsidRPr="004B6834">
        <w:rPr>
          <w:rtl/>
        </w:rPr>
        <w:t>(أ)</w:t>
      </w:r>
      <w:r w:rsidR="009C0CE0" w:rsidRPr="006C7EBE">
        <w:rPr>
          <w:b/>
          <w:bCs/>
          <w:rtl/>
        </w:rPr>
        <w:tab/>
        <w:t>سنّ تشريع ينص صراحةً على حظر ممارسة العقوبة البدنية في حق الأطفال في جميع الأماكن؛</w:t>
      </w:r>
    </w:p>
    <w:p w14:paraId="6B5B5BED" w14:textId="4C041B08" w:rsidR="009C0CE0" w:rsidRPr="00581524" w:rsidRDefault="00EC1593" w:rsidP="00EC1593">
      <w:pPr>
        <w:pStyle w:val="SingleTxtGA"/>
        <w:rPr>
          <w:b/>
          <w:bCs/>
          <w:szCs w:val="20"/>
          <w:lang w:val="en-US" w:eastAsia="zh-TW" w:bidi="en-GB"/>
        </w:rPr>
      </w:pPr>
      <w:r w:rsidRPr="004B6834">
        <w:rPr>
          <w:rtl/>
        </w:rPr>
        <w:tab/>
      </w:r>
      <w:r w:rsidR="009C0CE0" w:rsidRPr="004B6834">
        <w:rPr>
          <w:rtl/>
        </w:rPr>
        <w:t>(ب)</w:t>
      </w:r>
      <w:r w:rsidR="009C0CE0" w:rsidRPr="006C7EBE">
        <w:rPr>
          <w:b/>
          <w:bCs/>
          <w:rtl/>
        </w:rPr>
        <w:tab/>
        <w:t>حظر جميع أعمال تقديم الأطفال كقرابين وغيرها من الممارسات الضارة بشكل قاطع والتحقيق فيها والمعاقبة عليها.</w:t>
      </w:r>
    </w:p>
    <w:p w14:paraId="2AE27A93" w14:textId="77777777" w:rsidR="009C0CE0" w:rsidRPr="004B6834" w:rsidRDefault="009C0CE0" w:rsidP="00EC1593">
      <w:pPr>
        <w:pStyle w:val="H23GA"/>
        <w:rPr>
          <w:szCs w:val="20"/>
          <w:lang w:val="en-US" w:eastAsia="zh-TW" w:bidi="en-GB"/>
        </w:rPr>
      </w:pPr>
      <w:r>
        <w:rPr>
          <w:rtl/>
        </w:rPr>
        <w:tab/>
      </w:r>
      <w:r>
        <w:rPr>
          <w:rtl/>
        </w:rPr>
        <w:tab/>
        <w:t>الجبر</w:t>
      </w:r>
    </w:p>
    <w:p w14:paraId="4D852D65" w14:textId="006D6AC0" w:rsidR="009C0CE0" w:rsidRPr="00D9370A" w:rsidRDefault="009C0CE0" w:rsidP="00EC1593">
      <w:pPr>
        <w:pStyle w:val="SingleTxtGA"/>
        <w:rPr>
          <w:lang w:val="ar-SA" w:eastAsia="zh-TW" w:bidi="en-GB"/>
        </w:rPr>
      </w:pPr>
      <w:r w:rsidRPr="00D577DE">
        <w:rPr>
          <w:rtl/>
        </w:rPr>
        <w:t>31</w:t>
      </w:r>
      <w:r w:rsidRPr="00D9370A">
        <w:rPr>
          <w:rFonts w:ascii="Simplified Arabic"/>
          <w:rtl/>
        </w:rPr>
        <w:t>-</w:t>
      </w:r>
      <w:r w:rsidRPr="00D9370A">
        <w:rPr>
          <w:rtl/>
        </w:rPr>
        <w:tab/>
        <w:t>تحيط اللجنة علما</w:t>
      </w:r>
      <w:r w:rsidR="00D00E70" w:rsidRPr="00D9370A">
        <w:rPr>
          <w:rFonts w:hint="cs"/>
          <w:rtl/>
        </w:rPr>
        <w:t>ً</w:t>
      </w:r>
      <w:r w:rsidRPr="00D9370A">
        <w:rPr>
          <w:rtl/>
        </w:rPr>
        <w:t xml:space="preserve"> بالمعلومات التي قدمتها الدولة الطرف بشأن التعويضات الممنوحة لضحايا انتهاكات حقوق الإنسان في عام </w:t>
      </w:r>
      <w:r w:rsidRPr="00D577DE">
        <w:rPr>
          <w:rtl/>
        </w:rPr>
        <w:t>2021</w:t>
      </w:r>
      <w:r w:rsidRPr="00D9370A">
        <w:rPr>
          <w:rtl/>
        </w:rPr>
        <w:t>، لكنها لا تزال تشعر بالقلق إزاء ورود تقارير تفيد بأن عددا</w:t>
      </w:r>
      <w:r w:rsidR="00D00E70" w:rsidRPr="00D9370A">
        <w:rPr>
          <w:rFonts w:hint="cs"/>
          <w:rtl/>
        </w:rPr>
        <w:t>ً</w:t>
      </w:r>
      <w:r w:rsidRPr="00D9370A">
        <w:rPr>
          <w:rtl/>
        </w:rPr>
        <w:t xml:space="preserve"> قليلا</w:t>
      </w:r>
      <w:r w:rsidR="00D00E70" w:rsidRPr="00D9370A">
        <w:rPr>
          <w:rFonts w:hint="cs"/>
          <w:rtl/>
        </w:rPr>
        <w:t>ً</w:t>
      </w:r>
      <w:r w:rsidRPr="00D9370A">
        <w:rPr>
          <w:rtl/>
        </w:rPr>
        <w:t xml:space="preserve"> فقط من الضحايا حصلوا على تعويض من خلال القضايا المدنية أو الشكاوى المقدمة إلى لجنة حقوق الإنسان الأوغندية خلال الفترة قيد الاستعراض. وتأسف اللجنة أيضا</w:t>
      </w:r>
      <w:r w:rsidR="00D00E70" w:rsidRPr="00D9370A">
        <w:rPr>
          <w:rFonts w:hint="cs"/>
          <w:rtl/>
        </w:rPr>
        <w:t>ً</w:t>
      </w:r>
      <w:r w:rsidRPr="00D9370A">
        <w:rPr>
          <w:rtl/>
        </w:rPr>
        <w:t xml:space="preserve"> لأن الحكومة لم تعتمد أي برامج لإعادة تأهيل ضحايا التعذيب ولعدم منح الدعم المالي للهيئات غير الحكومية الراغبة في الاضطلاع بهذه المهمة (المادة </w:t>
      </w:r>
      <w:r w:rsidRPr="00D577DE">
        <w:rPr>
          <w:rtl/>
        </w:rPr>
        <w:t>1</w:t>
      </w:r>
      <w:r w:rsidR="00704AD2" w:rsidRPr="00D577DE">
        <w:rPr>
          <w:rtl/>
        </w:rPr>
        <w:t>4</w:t>
      </w:r>
      <w:r w:rsidR="00704AD2" w:rsidRPr="00D9370A">
        <w:rPr>
          <w:rFonts w:ascii="Simplified Arabic"/>
          <w:rtl/>
        </w:rPr>
        <w:t>)</w:t>
      </w:r>
      <w:r w:rsidR="00704AD2" w:rsidRPr="00D9370A">
        <w:rPr>
          <w:rtl/>
        </w:rPr>
        <w:t xml:space="preserve">. </w:t>
      </w:r>
    </w:p>
    <w:p w14:paraId="092B6D49" w14:textId="6E08276C" w:rsidR="009C0CE0" w:rsidRPr="00350E2A" w:rsidRDefault="009C0CE0" w:rsidP="00EC1593">
      <w:pPr>
        <w:pStyle w:val="SingleTxtGA"/>
        <w:rPr>
          <w:b/>
          <w:bCs/>
          <w:lang w:val="ar-SA" w:eastAsia="zh-TW" w:bidi="en-GB"/>
        </w:rPr>
      </w:pPr>
      <w:r w:rsidRPr="004B6834">
        <w:rPr>
          <w:rtl/>
        </w:rPr>
        <w:lastRenderedPageBreak/>
        <w:t>32</w:t>
      </w:r>
      <w:r w:rsidRPr="004B6834">
        <w:rPr>
          <w:rFonts w:ascii="Simplified Arabic"/>
          <w:rtl/>
        </w:rPr>
        <w:t>-</w:t>
      </w:r>
      <w:r w:rsidRPr="004B6834">
        <w:rPr>
          <w:rtl/>
        </w:rPr>
        <w:tab/>
      </w:r>
      <w:r w:rsidRPr="00350E2A">
        <w:rPr>
          <w:b/>
          <w:bCs/>
          <w:rtl/>
        </w:rPr>
        <w:t>ينبغي أن تكفل الدولة الطرف حصول جميع ضحايا التعذيب وسوء المعاملة على الجبر، بما في ذلك الحق القابل للإنفاذ في تعويض عادل ومناسب، وعلى وسائل إعادة تأهيلهم على أكمل وجه ممكن. تلفت اللجنة انتباه الدولة الطرف إلى التعليق العام رقم 3</w:t>
      </w:r>
      <w:r w:rsidRPr="00350E2A">
        <w:rPr>
          <w:rFonts w:ascii="Simplified Arabic"/>
          <w:b/>
          <w:bCs/>
          <w:rtl/>
        </w:rPr>
        <w:t>(</w:t>
      </w:r>
      <w:r w:rsidRPr="00350E2A">
        <w:rPr>
          <w:b/>
          <w:bCs/>
          <w:rtl/>
        </w:rPr>
        <w:t>2012</w:t>
      </w:r>
      <w:r w:rsidR="00704AD2" w:rsidRPr="00350E2A">
        <w:rPr>
          <w:rFonts w:ascii="Simplified Arabic"/>
          <w:b/>
          <w:bCs/>
          <w:rtl/>
        </w:rPr>
        <w:t>)</w:t>
      </w:r>
      <w:r w:rsidR="00704AD2" w:rsidRPr="00350E2A">
        <w:rPr>
          <w:b/>
          <w:bCs/>
          <w:rtl/>
        </w:rPr>
        <w:t xml:space="preserve">، </w:t>
      </w:r>
      <w:r w:rsidRPr="00350E2A">
        <w:rPr>
          <w:b/>
          <w:bCs/>
          <w:rtl/>
        </w:rPr>
        <w:t>الذي توضح فيه اللجنة فحوى ونطاق التزام الدول الأطراف بجبر الضرر اللاحق بضحايا التعذيب على نحو كامل. وينبغي أن تجمع الدولة الطرف معلومات عن تدابير الجبر والتعويض، بما في ذلك وسائل إعادة التأهيل، بأمر من المحاكم أو هيئات الدولة الأخرى، التي منحت بالفعل لضحايا التعذيب أو سوء المعاملة، وإبلاغ اللجنة بها. وتشجع اللجنة الدولة الطرف على التعاون مع منظمات المجتمع المدني في إعداد خدمات إعادة التأهيل وتقديمها.</w:t>
      </w:r>
    </w:p>
    <w:p w14:paraId="620C4B14" w14:textId="77777777" w:rsidR="009C0CE0" w:rsidRPr="00110930" w:rsidRDefault="009C0CE0" w:rsidP="00EC1593">
      <w:pPr>
        <w:pStyle w:val="H23GA"/>
        <w:rPr>
          <w:szCs w:val="20"/>
          <w:lang w:val="ar-SA" w:eastAsia="zh-TW" w:bidi="en-GB"/>
        </w:rPr>
      </w:pPr>
      <w:bookmarkStart w:id="2" w:name="_Toc115692473"/>
      <w:bookmarkStart w:id="3" w:name="_Toc115687528"/>
      <w:r>
        <w:rPr>
          <w:rtl/>
        </w:rPr>
        <w:tab/>
      </w:r>
      <w:r>
        <w:rPr>
          <w:rtl/>
        </w:rPr>
        <w:tab/>
        <w:t>اللاجئون وملتمسو اللجوء.</w:t>
      </w:r>
      <w:bookmarkEnd w:id="2"/>
      <w:bookmarkEnd w:id="3"/>
    </w:p>
    <w:p w14:paraId="0CA93C00" w14:textId="127967A4" w:rsidR="009C0CE0" w:rsidRPr="00D21FB8" w:rsidRDefault="009C0CE0" w:rsidP="009C0CE0">
      <w:pPr>
        <w:pStyle w:val="SingleTxtGA"/>
        <w:rPr>
          <w:lang w:val="ar-SA" w:eastAsia="zh-TW" w:bidi="en-GB"/>
        </w:rPr>
      </w:pPr>
      <w:r w:rsidRPr="00D577DE">
        <w:rPr>
          <w:rtl/>
        </w:rPr>
        <w:t>33</w:t>
      </w:r>
      <w:r w:rsidRPr="00D21FB8">
        <w:rPr>
          <w:rFonts w:ascii="Simplified Arabic"/>
          <w:rtl/>
        </w:rPr>
        <w:t>-</w:t>
      </w:r>
      <w:r w:rsidRPr="00D21FB8">
        <w:rPr>
          <w:rtl/>
        </w:rPr>
        <w:tab/>
        <w:t>تضع اللجنة في اعتبارها أن أوغندا تحتل المرتبة الأولى بين البلدان المضيفة للاجئين في أفريقيا والثالثة في العالم</w:t>
      </w:r>
      <w:r w:rsidR="00704AD2" w:rsidRPr="004B6834">
        <w:rPr>
          <w:rStyle w:val="FootnoteReference"/>
          <w:szCs w:val="22"/>
          <w:rtl/>
        </w:rPr>
        <w:t>(</w:t>
      </w:r>
      <w:r w:rsidR="00704AD2" w:rsidRPr="004B6834">
        <w:rPr>
          <w:rStyle w:val="FootnoteReference"/>
          <w:szCs w:val="22"/>
          <w:rtl/>
        </w:rPr>
        <w:footnoteReference w:id="6"/>
      </w:r>
      <w:r w:rsidR="00704AD2" w:rsidRPr="004B6834">
        <w:rPr>
          <w:rStyle w:val="FootnoteReference"/>
          <w:szCs w:val="22"/>
          <w:rtl/>
        </w:rPr>
        <w:t>)</w:t>
      </w:r>
      <w:r w:rsidR="00704AD2" w:rsidRPr="00D21FB8">
        <w:rPr>
          <w:rtl/>
        </w:rPr>
        <w:t xml:space="preserve">، </w:t>
      </w:r>
      <w:r w:rsidRPr="00D21FB8">
        <w:rPr>
          <w:rtl/>
        </w:rPr>
        <w:t xml:space="preserve">وتلاحظ اعتماد قانون اللاجئين في عام </w:t>
      </w:r>
      <w:r w:rsidRPr="00D577DE">
        <w:rPr>
          <w:rtl/>
        </w:rPr>
        <w:t>2006</w:t>
      </w:r>
      <w:r w:rsidRPr="00D21FB8">
        <w:rPr>
          <w:rtl/>
        </w:rPr>
        <w:t xml:space="preserve">، وتلاحظ الجهود التي تبذلها الدولة الطرف فيما يتعلق بتحديد هوية اللاجئين وطالبي اللجوء وفرزهم وتوفير الخدمات لهم، ولكنها لا تزال تتلقى تقارير عن حالات تعذيب وإساءة معاملة في صفوف اللاجئين وطالبي اللجوء، ولا سيما بين اللاجئين من جنوب السودان في مخيم بيدي بيدي للاجئين، حيث وقع ما بين </w:t>
      </w:r>
      <w:r w:rsidRPr="00D577DE">
        <w:rPr>
          <w:rtl/>
        </w:rPr>
        <w:t>80</w:t>
      </w:r>
      <w:r w:rsidRPr="00D21FB8">
        <w:rPr>
          <w:rtl/>
        </w:rPr>
        <w:t xml:space="preserve"> إلى </w:t>
      </w:r>
      <w:r w:rsidRPr="00D577DE">
        <w:rPr>
          <w:rtl/>
        </w:rPr>
        <w:t>90</w:t>
      </w:r>
      <w:r w:rsidRPr="00D21FB8">
        <w:rPr>
          <w:rtl/>
        </w:rPr>
        <w:t xml:space="preserve"> في المائة من اللاجئين ضحايا للتعذيب أو سوء المعاملة في عام </w:t>
      </w:r>
      <w:r w:rsidRPr="00D577DE">
        <w:rPr>
          <w:rtl/>
        </w:rPr>
        <w:t>202</w:t>
      </w:r>
      <w:r w:rsidR="00704AD2" w:rsidRPr="00D577DE">
        <w:rPr>
          <w:rtl/>
        </w:rPr>
        <w:t>0</w:t>
      </w:r>
      <w:r w:rsidR="00704AD2" w:rsidRPr="00D21FB8">
        <w:rPr>
          <w:rFonts w:ascii="Simplified Arabic"/>
          <w:rtl/>
        </w:rPr>
        <w:t>.</w:t>
      </w:r>
      <w:r w:rsidR="00704AD2" w:rsidRPr="00D21FB8">
        <w:rPr>
          <w:rtl/>
        </w:rPr>
        <w:t xml:space="preserve"> </w:t>
      </w:r>
      <w:r w:rsidRPr="00D21FB8">
        <w:rPr>
          <w:rtl/>
        </w:rPr>
        <w:t xml:space="preserve">ويساور اللجنة القلق إزاء عدم توفير التدريب الكافي للموظفين المسؤولين عن اللاجئين، ولا سيما في المسائل المتصلة بحق اللاجئين في إعادة التأهيل. وبالإضافة إلى ذلك، يساور اللجنة القلق إزاء التحفظات التسعة التي أبدتها أوغندا على الاتفاقية الخاصة بوضع اللاجئين لدى انضمامها إليها عام </w:t>
      </w:r>
      <w:r w:rsidRPr="00D577DE">
        <w:rPr>
          <w:rtl/>
        </w:rPr>
        <w:t>1976</w:t>
      </w:r>
      <w:r w:rsidRPr="00D21FB8">
        <w:rPr>
          <w:rtl/>
        </w:rPr>
        <w:t xml:space="preserve">، وهي تحفظات تتعلق بالمواد </w:t>
      </w:r>
      <w:r w:rsidRPr="00D577DE">
        <w:rPr>
          <w:rtl/>
        </w:rPr>
        <w:t>7</w:t>
      </w:r>
      <w:r w:rsidRPr="00D21FB8">
        <w:rPr>
          <w:rtl/>
        </w:rPr>
        <w:t xml:space="preserve"> </w:t>
      </w:r>
      <w:proofErr w:type="spellStart"/>
      <w:r w:rsidRPr="00D21FB8">
        <w:rPr>
          <w:rtl/>
        </w:rPr>
        <w:t>و</w:t>
      </w:r>
      <w:r w:rsidRPr="00D577DE">
        <w:rPr>
          <w:rtl/>
        </w:rPr>
        <w:t>8</w:t>
      </w:r>
      <w:proofErr w:type="spellEnd"/>
      <w:r w:rsidRPr="00D21FB8">
        <w:rPr>
          <w:rtl/>
        </w:rPr>
        <w:t xml:space="preserve"> </w:t>
      </w:r>
      <w:proofErr w:type="spellStart"/>
      <w:r w:rsidRPr="00D21FB8">
        <w:rPr>
          <w:rtl/>
        </w:rPr>
        <w:t>و</w:t>
      </w:r>
      <w:r w:rsidRPr="00D577DE">
        <w:rPr>
          <w:rtl/>
        </w:rPr>
        <w:t>9</w:t>
      </w:r>
      <w:proofErr w:type="spellEnd"/>
      <w:r w:rsidRPr="00D21FB8">
        <w:rPr>
          <w:rtl/>
        </w:rPr>
        <w:t xml:space="preserve"> </w:t>
      </w:r>
      <w:proofErr w:type="spellStart"/>
      <w:r w:rsidRPr="00D21FB8">
        <w:rPr>
          <w:rtl/>
        </w:rPr>
        <w:t>و</w:t>
      </w:r>
      <w:r w:rsidRPr="00D577DE">
        <w:rPr>
          <w:rtl/>
        </w:rPr>
        <w:t>13</w:t>
      </w:r>
      <w:proofErr w:type="spellEnd"/>
      <w:r w:rsidRPr="00D21FB8">
        <w:rPr>
          <w:rtl/>
        </w:rPr>
        <w:t xml:space="preserve"> </w:t>
      </w:r>
      <w:proofErr w:type="spellStart"/>
      <w:r w:rsidRPr="00D21FB8">
        <w:rPr>
          <w:rtl/>
        </w:rPr>
        <w:t>و</w:t>
      </w:r>
      <w:r w:rsidRPr="00D577DE">
        <w:rPr>
          <w:rtl/>
        </w:rPr>
        <w:t>15</w:t>
      </w:r>
      <w:proofErr w:type="spellEnd"/>
      <w:r w:rsidRPr="00D21FB8">
        <w:rPr>
          <w:rtl/>
        </w:rPr>
        <w:t xml:space="preserve"> </w:t>
      </w:r>
      <w:proofErr w:type="spellStart"/>
      <w:r w:rsidRPr="00D21FB8">
        <w:rPr>
          <w:rtl/>
        </w:rPr>
        <w:t>و</w:t>
      </w:r>
      <w:r w:rsidRPr="00D577DE">
        <w:rPr>
          <w:rtl/>
        </w:rPr>
        <w:t>16</w:t>
      </w:r>
      <w:proofErr w:type="spellEnd"/>
      <w:r w:rsidRPr="00D21FB8">
        <w:rPr>
          <w:rtl/>
        </w:rPr>
        <w:t xml:space="preserve"> </w:t>
      </w:r>
      <w:proofErr w:type="spellStart"/>
      <w:r w:rsidRPr="00D21FB8">
        <w:rPr>
          <w:rtl/>
        </w:rPr>
        <w:t>و</w:t>
      </w:r>
      <w:r w:rsidRPr="00D577DE">
        <w:rPr>
          <w:rtl/>
        </w:rPr>
        <w:t>17</w:t>
      </w:r>
      <w:proofErr w:type="spellEnd"/>
      <w:r w:rsidRPr="00D21FB8">
        <w:rPr>
          <w:rtl/>
        </w:rPr>
        <w:t xml:space="preserve"> </w:t>
      </w:r>
      <w:proofErr w:type="spellStart"/>
      <w:r w:rsidRPr="00D21FB8">
        <w:rPr>
          <w:rtl/>
        </w:rPr>
        <w:t>و</w:t>
      </w:r>
      <w:r w:rsidRPr="00D577DE">
        <w:rPr>
          <w:rtl/>
        </w:rPr>
        <w:t>25</w:t>
      </w:r>
      <w:proofErr w:type="spellEnd"/>
      <w:r w:rsidRPr="00D21FB8">
        <w:rPr>
          <w:rtl/>
        </w:rPr>
        <w:t xml:space="preserve"> </w:t>
      </w:r>
      <w:proofErr w:type="spellStart"/>
      <w:r w:rsidRPr="00D21FB8">
        <w:rPr>
          <w:rtl/>
        </w:rPr>
        <w:t>و</w:t>
      </w:r>
      <w:r w:rsidRPr="00D577DE">
        <w:rPr>
          <w:rtl/>
        </w:rPr>
        <w:t>32</w:t>
      </w:r>
      <w:proofErr w:type="spellEnd"/>
      <w:r w:rsidRPr="00D21FB8">
        <w:rPr>
          <w:rFonts w:ascii="Simplified Arabic"/>
          <w:rtl/>
        </w:rPr>
        <w:t xml:space="preserve"> (</w:t>
      </w:r>
      <w:r w:rsidRPr="00D21FB8">
        <w:rPr>
          <w:rtl/>
        </w:rPr>
        <w:t xml:space="preserve">المواد </w:t>
      </w:r>
      <w:r w:rsidRPr="00D577DE">
        <w:rPr>
          <w:rtl/>
        </w:rPr>
        <w:t>2</w:t>
      </w:r>
      <w:r w:rsidRPr="00D21FB8">
        <w:rPr>
          <w:rtl/>
        </w:rPr>
        <w:t xml:space="preserve"> </w:t>
      </w:r>
      <w:proofErr w:type="spellStart"/>
      <w:r w:rsidRPr="00D21FB8">
        <w:rPr>
          <w:rtl/>
        </w:rPr>
        <w:t>و</w:t>
      </w:r>
      <w:r w:rsidRPr="00D577DE">
        <w:rPr>
          <w:rtl/>
        </w:rPr>
        <w:t>10</w:t>
      </w:r>
      <w:proofErr w:type="spellEnd"/>
      <w:r w:rsidRPr="00D21FB8">
        <w:rPr>
          <w:rtl/>
        </w:rPr>
        <w:t xml:space="preserve"> </w:t>
      </w:r>
      <w:proofErr w:type="spellStart"/>
      <w:r w:rsidRPr="00D21FB8">
        <w:rPr>
          <w:rtl/>
        </w:rPr>
        <w:t>و</w:t>
      </w:r>
      <w:r w:rsidRPr="00D577DE">
        <w:rPr>
          <w:rtl/>
        </w:rPr>
        <w:t>1</w:t>
      </w:r>
      <w:r w:rsidR="00704AD2" w:rsidRPr="00D577DE">
        <w:rPr>
          <w:rtl/>
        </w:rPr>
        <w:t>6</w:t>
      </w:r>
      <w:proofErr w:type="spellEnd"/>
      <w:r w:rsidR="00704AD2" w:rsidRPr="00D21FB8">
        <w:rPr>
          <w:rFonts w:ascii="Simplified Arabic"/>
          <w:rtl/>
        </w:rPr>
        <w:t>).</w:t>
      </w:r>
      <w:r w:rsidR="00704AD2" w:rsidRPr="00D21FB8">
        <w:rPr>
          <w:rtl/>
        </w:rPr>
        <w:t xml:space="preserve"> </w:t>
      </w:r>
    </w:p>
    <w:p w14:paraId="536F7788" w14:textId="77777777" w:rsidR="009C0CE0" w:rsidRPr="006C7EBE" w:rsidRDefault="009C0CE0" w:rsidP="009C0CE0">
      <w:pPr>
        <w:pStyle w:val="SingleTxtGA"/>
        <w:rPr>
          <w:b/>
          <w:bCs/>
          <w:szCs w:val="20"/>
          <w:lang w:val="ar-SA" w:eastAsia="zh-TW" w:bidi="en-GB"/>
        </w:rPr>
      </w:pPr>
      <w:r w:rsidRPr="00D577DE">
        <w:rPr>
          <w:rtl/>
        </w:rPr>
        <w:t>34</w:t>
      </w:r>
      <w:r>
        <w:rPr>
          <w:rFonts w:ascii="Simplified Arabic"/>
          <w:szCs w:val="20"/>
          <w:rtl/>
        </w:rPr>
        <w:t>-</w:t>
      </w:r>
      <w:r>
        <w:rPr>
          <w:rtl/>
        </w:rPr>
        <w:tab/>
      </w:r>
      <w:r w:rsidRPr="006C7EBE">
        <w:rPr>
          <w:b/>
          <w:bCs/>
          <w:rtl/>
        </w:rPr>
        <w:t>ينبغي للدولة الطرف القيام بما يلي:</w:t>
      </w:r>
    </w:p>
    <w:p w14:paraId="76498AB3" w14:textId="456D2C0B" w:rsidR="009C0CE0" w:rsidRPr="00524C83" w:rsidRDefault="009C0CE0" w:rsidP="009C0CE0">
      <w:pPr>
        <w:pStyle w:val="SingleTxtGA"/>
        <w:rPr>
          <w:b/>
          <w:bCs/>
          <w:szCs w:val="20"/>
          <w:lang w:val="en-US" w:eastAsia="zh-TW" w:bidi="en-GB"/>
        </w:rPr>
      </w:pPr>
      <w:r w:rsidRPr="004B6834">
        <w:rPr>
          <w:rtl/>
        </w:rPr>
        <w:tab/>
        <w:t>(أ)</w:t>
      </w:r>
      <w:r w:rsidRPr="006C7EBE">
        <w:rPr>
          <w:b/>
          <w:bCs/>
          <w:rtl/>
        </w:rPr>
        <w:tab/>
        <w:t>النظر في سحب تحفظاتها على الاتفاقية الخاصة بوضع اللاجئين</w:t>
      </w:r>
      <w:r w:rsidR="00524C83">
        <w:rPr>
          <w:rFonts w:hint="cs"/>
          <w:b/>
          <w:bCs/>
          <w:rtl/>
        </w:rPr>
        <w:t>؛</w:t>
      </w:r>
    </w:p>
    <w:p w14:paraId="7E5ADD40" w14:textId="080D7D1A" w:rsidR="009C0CE0" w:rsidRPr="006C7EBE" w:rsidRDefault="009C0CE0" w:rsidP="009C0CE0">
      <w:pPr>
        <w:pStyle w:val="SingleTxtGA"/>
        <w:rPr>
          <w:b/>
          <w:bCs/>
          <w:szCs w:val="20"/>
          <w:lang w:val="ar-SA" w:eastAsia="zh-TW" w:bidi="en-GB"/>
        </w:rPr>
      </w:pPr>
      <w:r w:rsidRPr="004B6834">
        <w:rPr>
          <w:rtl/>
        </w:rPr>
        <w:tab/>
        <w:t>(ب)</w:t>
      </w:r>
      <w:r w:rsidRPr="006C7EBE">
        <w:rPr>
          <w:b/>
          <w:bCs/>
          <w:rtl/>
        </w:rPr>
        <w:tab/>
        <w:t>ضمان إنشاء آليات فعالة للتعرف الفوري على ضحايا التعذيب من بين اللاجئين وطالبي اللجوء، وتزويدهم بالرعاية الطبية والنفسية؛</w:t>
      </w:r>
    </w:p>
    <w:p w14:paraId="7EE6D390" w14:textId="5CA02DE4" w:rsidR="009C0CE0" w:rsidRPr="006C7EBE" w:rsidRDefault="009C0CE0" w:rsidP="009C0CE0">
      <w:pPr>
        <w:pStyle w:val="SingleTxtGA"/>
        <w:rPr>
          <w:b/>
          <w:bCs/>
          <w:szCs w:val="20"/>
          <w:lang w:val="ar-SA" w:eastAsia="zh-TW" w:bidi="en-GB"/>
        </w:rPr>
      </w:pPr>
      <w:r w:rsidRPr="004B6834">
        <w:rPr>
          <w:rtl/>
        </w:rPr>
        <w:tab/>
        <w:t>(ج)</w:t>
      </w:r>
      <w:r w:rsidRPr="006C7EBE">
        <w:rPr>
          <w:b/>
          <w:bCs/>
          <w:rtl/>
        </w:rPr>
        <w:tab/>
        <w:t>تعزيز التنسيق والتعاون مع المنظمات غير الحكومية الوطنية والدولية العاملة في مجال حماية اللاجئين لضمان إجراء تحقيقات شاملة في ادعاءات التعذيب وضمان إعادة التأهيل الكامل لضحايا التعذيب من اللاجئين وملتمسي اللجوء في الممارسة العملية.</w:t>
      </w:r>
    </w:p>
    <w:p w14:paraId="784F2A21" w14:textId="77777777" w:rsidR="009C0CE0" w:rsidRPr="00110930" w:rsidRDefault="009C0CE0" w:rsidP="009C0CE0">
      <w:pPr>
        <w:pStyle w:val="H23GA"/>
        <w:rPr>
          <w:szCs w:val="20"/>
          <w:lang w:val="ar-SA" w:eastAsia="zh-TW" w:bidi="en-GB"/>
        </w:rPr>
      </w:pPr>
      <w:r>
        <w:rPr>
          <w:rtl/>
        </w:rPr>
        <w:tab/>
      </w:r>
      <w:r>
        <w:rPr>
          <w:rtl/>
        </w:rPr>
        <w:tab/>
        <w:t>الاتجار بالأشخاص</w:t>
      </w:r>
    </w:p>
    <w:p w14:paraId="38287CFC" w14:textId="046630C7" w:rsidR="00704AD2" w:rsidRPr="00D21FB8" w:rsidRDefault="009C0CE0" w:rsidP="009C0CE0">
      <w:pPr>
        <w:pStyle w:val="SingleTxtGA"/>
        <w:rPr>
          <w:lang w:val="ar-SA" w:eastAsia="zh-TW" w:bidi="en-GB"/>
        </w:rPr>
      </w:pPr>
      <w:r w:rsidRPr="00D577DE">
        <w:rPr>
          <w:rtl/>
        </w:rPr>
        <w:t>35</w:t>
      </w:r>
      <w:r w:rsidRPr="00D21FB8">
        <w:rPr>
          <w:rFonts w:ascii="Simplified Arabic"/>
          <w:rtl/>
        </w:rPr>
        <w:t>-</w:t>
      </w:r>
      <w:r w:rsidRPr="00D21FB8">
        <w:rPr>
          <w:rtl/>
        </w:rPr>
        <w:tab/>
        <w:t xml:space="preserve">تلاحظ اللجنة التحديات المتصلة بالتعرف على ضحايا الاتجار بالأشخاص وتوثيقه ومنعه في سياق التشريد القسري، ولا سيما في مخيمات اللاجئين وملتمسي اللجوء في البلد، وترحب باعتماد قوانين وسياسات شاملة لمعالجة هذه المسألة. ومع ذلك، يساور اللجنة القلق إزاء عدم فعالية تنفيذ هذه الأحكام بسبب نقص المعارف بين الجهات المسؤولة والجهات الفاعلة في الخطوط الأمامية المكلفة بتنفيذها وافتقارهم إلى التدريب (المادتان </w:t>
      </w:r>
      <w:r w:rsidRPr="00D577DE">
        <w:rPr>
          <w:rtl/>
        </w:rPr>
        <w:t>2</w:t>
      </w:r>
      <w:r w:rsidRPr="00D21FB8">
        <w:rPr>
          <w:rtl/>
        </w:rPr>
        <w:t xml:space="preserve"> </w:t>
      </w:r>
      <w:proofErr w:type="spellStart"/>
      <w:r w:rsidRPr="00D21FB8">
        <w:rPr>
          <w:rtl/>
        </w:rPr>
        <w:t>و</w:t>
      </w:r>
      <w:r w:rsidRPr="00D577DE">
        <w:rPr>
          <w:rtl/>
        </w:rPr>
        <w:t>1</w:t>
      </w:r>
      <w:r w:rsidR="00704AD2" w:rsidRPr="00D577DE">
        <w:rPr>
          <w:rtl/>
        </w:rPr>
        <w:t>6</w:t>
      </w:r>
      <w:proofErr w:type="spellEnd"/>
      <w:r w:rsidR="00704AD2" w:rsidRPr="00D21FB8">
        <w:rPr>
          <w:rFonts w:ascii="Simplified Arabic"/>
          <w:rtl/>
        </w:rPr>
        <w:t>)</w:t>
      </w:r>
      <w:r w:rsidR="00704AD2" w:rsidRPr="00D21FB8">
        <w:rPr>
          <w:rtl/>
        </w:rPr>
        <w:t>.</w:t>
      </w:r>
    </w:p>
    <w:p w14:paraId="56A9A4D3" w14:textId="044FB049" w:rsidR="009C0CE0" w:rsidRPr="006C7EBE" w:rsidRDefault="009C0CE0" w:rsidP="009C0CE0">
      <w:pPr>
        <w:pStyle w:val="SingleTxtGA"/>
        <w:rPr>
          <w:b/>
          <w:bCs/>
          <w:szCs w:val="20"/>
          <w:lang w:val="ar-SA" w:eastAsia="zh-TW" w:bidi="en-GB"/>
        </w:rPr>
      </w:pPr>
      <w:r w:rsidRPr="00D577DE">
        <w:rPr>
          <w:rtl/>
        </w:rPr>
        <w:lastRenderedPageBreak/>
        <w:t>36</w:t>
      </w:r>
      <w:r>
        <w:rPr>
          <w:rFonts w:ascii="Simplified Arabic"/>
          <w:szCs w:val="20"/>
          <w:rtl/>
        </w:rPr>
        <w:t>-</w:t>
      </w:r>
      <w:r>
        <w:rPr>
          <w:rtl/>
        </w:rPr>
        <w:tab/>
      </w:r>
      <w:r w:rsidRPr="006C7EBE">
        <w:rPr>
          <w:b/>
          <w:bCs/>
          <w:rtl/>
        </w:rPr>
        <w:t>ينبغي للدولة الطرف القيام بما يلي</w:t>
      </w:r>
      <w:r w:rsidRPr="006C7EBE">
        <w:rPr>
          <w:rFonts w:ascii="Simplified Arabic"/>
          <w:b/>
          <w:bCs/>
          <w:szCs w:val="20"/>
        </w:rPr>
        <w:t>:</w:t>
      </w:r>
      <w:r w:rsidRPr="006C7EBE">
        <w:rPr>
          <w:b/>
          <w:bCs/>
          <w:rtl/>
        </w:rPr>
        <w:t xml:space="preserve"> </w:t>
      </w:r>
    </w:p>
    <w:p w14:paraId="45251FE6" w14:textId="0A6B9783" w:rsidR="009C0CE0" w:rsidRPr="006C7EBE" w:rsidRDefault="009C0CE0" w:rsidP="009C0CE0">
      <w:pPr>
        <w:pStyle w:val="SingleTxtGA"/>
        <w:rPr>
          <w:b/>
          <w:bCs/>
          <w:szCs w:val="20"/>
          <w:lang w:val="ar-SA" w:eastAsia="zh-TW" w:bidi="en-GB"/>
        </w:rPr>
      </w:pPr>
      <w:r w:rsidRPr="004B6834">
        <w:rPr>
          <w:rtl/>
        </w:rPr>
        <w:tab/>
        <w:t>(أ)</w:t>
      </w:r>
      <w:r w:rsidRPr="006C7EBE">
        <w:rPr>
          <w:b/>
          <w:bCs/>
          <w:rtl/>
        </w:rPr>
        <w:tab/>
        <w:t>تكثيف جهودها لمنع ومكافحة الاتجار، بطرق منها وضع إجراءات فعالة لتحديد هوية الضحايا بين الفئات الضعيفة وإحالتهم، مثل ملتمسي اللجوء والمهاجرين غير النظاميين؛</w:t>
      </w:r>
    </w:p>
    <w:p w14:paraId="3C458DF3" w14:textId="00CE6E56" w:rsidR="009C0CE0" w:rsidRPr="006C7EBE" w:rsidRDefault="009C0CE0" w:rsidP="009C0CE0">
      <w:pPr>
        <w:pStyle w:val="SingleTxtGA"/>
        <w:rPr>
          <w:b/>
          <w:bCs/>
          <w:szCs w:val="20"/>
          <w:lang w:val="ar-SA" w:eastAsia="zh-TW" w:bidi="en-GB"/>
        </w:rPr>
      </w:pPr>
      <w:r w:rsidRPr="004B6834">
        <w:rPr>
          <w:rtl/>
        </w:rPr>
        <w:tab/>
        <w:t>(ب)</w:t>
      </w:r>
      <w:r w:rsidRPr="006C7EBE">
        <w:rPr>
          <w:b/>
          <w:bCs/>
          <w:rtl/>
        </w:rPr>
        <w:tab/>
        <w:t>تحسين تدريب الموظفين المكلفين بإنفاذ القوانين وغيرهم من المجيبين الأوائل عن طريق إضافة التدريب القانوني على تحديد وإحالة الضحايا المحتملين للاتجار بالأشخاص؛</w:t>
      </w:r>
    </w:p>
    <w:p w14:paraId="5363837C" w14:textId="797B0DD4" w:rsidR="009C0CE0" w:rsidRPr="006C7EBE" w:rsidRDefault="009C0CE0" w:rsidP="009C0CE0">
      <w:pPr>
        <w:pStyle w:val="SingleTxtGA"/>
        <w:rPr>
          <w:b/>
          <w:bCs/>
          <w:szCs w:val="20"/>
          <w:lang w:val="ar-SA" w:eastAsia="zh-TW" w:bidi="en-GB"/>
        </w:rPr>
      </w:pPr>
      <w:r w:rsidRPr="004B6834">
        <w:rPr>
          <w:rtl/>
        </w:rPr>
        <w:tab/>
        <w:t>(ج)</w:t>
      </w:r>
      <w:r w:rsidRPr="006C7EBE">
        <w:rPr>
          <w:b/>
          <w:bCs/>
          <w:rtl/>
        </w:rPr>
        <w:tab/>
        <w:t>اتخاذ تدابير لتعزيز التنسيق بين أنظمة حماية اللاجئين وسلطات مكافحة الاتجار من أجل تحسين تحديد ضحايا الاتجار بالبشر ومنع الاتجار من أوغندا وإليها؛</w:t>
      </w:r>
    </w:p>
    <w:p w14:paraId="2BB80E94" w14:textId="7B430EFA" w:rsidR="009C0CE0" w:rsidRPr="006C7EBE" w:rsidRDefault="009C0CE0" w:rsidP="009C0CE0">
      <w:pPr>
        <w:pStyle w:val="SingleTxtGA"/>
        <w:rPr>
          <w:b/>
          <w:bCs/>
          <w:szCs w:val="20"/>
          <w:lang w:val="en-US" w:eastAsia="zh-TW" w:bidi="en-GB"/>
        </w:rPr>
      </w:pPr>
      <w:r w:rsidRPr="004B6834">
        <w:rPr>
          <w:rtl/>
        </w:rPr>
        <w:tab/>
        <w:t>(د)</w:t>
      </w:r>
      <w:r w:rsidRPr="006C7EBE">
        <w:rPr>
          <w:b/>
          <w:bCs/>
          <w:rtl/>
        </w:rPr>
        <w:tab/>
        <w:t>ضمان حصول ضحايا الاتجار على الحماية والدعم الكافيين، بصرف النظر عن قدرتهم على التعاون في الإجراءات القانونية ضد المتجرين</w:t>
      </w:r>
      <w:r w:rsidR="006C7EBE">
        <w:rPr>
          <w:rFonts w:hint="cs"/>
          <w:b/>
          <w:bCs/>
          <w:rtl/>
        </w:rPr>
        <w:t>؛</w:t>
      </w:r>
    </w:p>
    <w:p w14:paraId="4F141822" w14:textId="36C4ED7D" w:rsidR="009C0CE0" w:rsidRPr="006C7EBE" w:rsidRDefault="009C0CE0" w:rsidP="009C0CE0">
      <w:pPr>
        <w:pStyle w:val="SingleTxtGA"/>
        <w:rPr>
          <w:b/>
          <w:bCs/>
          <w:szCs w:val="20"/>
          <w:rtl/>
          <w:lang w:eastAsia="zh-TW"/>
        </w:rPr>
      </w:pPr>
      <w:r w:rsidRPr="004B6834">
        <w:rPr>
          <w:rtl/>
        </w:rPr>
        <w:tab/>
        <w:t>(هـ)</w:t>
      </w:r>
      <w:r w:rsidRPr="006C7EBE">
        <w:rPr>
          <w:b/>
          <w:bCs/>
          <w:rtl/>
        </w:rPr>
        <w:tab/>
        <w:t>موافاة اللجنة ببيانات مصنّفة شاملة عن عدد التحقيقات والملاحقات والأحكام الصادرة في حق مرتكبي جرائم الاتجار بالبشر، وعن توفير تدابير الجبر الفعال للضحايا.</w:t>
      </w:r>
    </w:p>
    <w:p w14:paraId="50EEBE6C" w14:textId="77777777" w:rsidR="009C0CE0" w:rsidRPr="00D31C91" w:rsidRDefault="009C0CE0" w:rsidP="009C0CE0">
      <w:pPr>
        <w:pStyle w:val="H23GA"/>
        <w:rPr>
          <w:szCs w:val="20"/>
          <w:lang w:val="en-US" w:eastAsia="zh-TW" w:bidi="en-GB"/>
        </w:rPr>
      </w:pPr>
      <w:r>
        <w:rPr>
          <w:rtl/>
        </w:rPr>
        <w:tab/>
      </w:r>
      <w:r>
        <w:rPr>
          <w:rtl/>
        </w:rPr>
        <w:tab/>
        <w:t>مكافحة الإرهاب</w:t>
      </w:r>
    </w:p>
    <w:p w14:paraId="720C088D" w14:textId="0FEE652C" w:rsidR="009C0CE0" w:rsidRPr="00CD4E2D" w:rsidRDefault="009C0CE0" w:rsidP="009C0CE0">
      <w:pPr>
        <w:pStyle w:val="SingleTxtGA"/>
        <w:rPr>
          <w:lang w:val="ar-SA" w:eastAsia="zh-TW" w:bidi="en-GB"/>
        </w:rPr>
      </w:pPr>
      <w:r w:rsidRPr="00D577DE">
        <w:rPr>
          <w:rtl/>
        </w:rPr>
        <w:t>37</w:t>
      </w:r>
      <w:r w:rsidRPr="00CD4E2D">
        <w:rPr>
          <w:rFonts w:ascii="Simplified Arabic"/>
          <w:rtl/>
        </w:rPr>
        <w:t>-</w:t>
      </w:r>
      <w:r w:rsidRPr="00CD4E2D">
        <w:rPr>
          <w:rtl/>
        </w:rPr>
        <w:tab/>
        <w:t>تحيط اللجنة علم</w:t>
      </w:r>
      <w:r w:rsidR="00C43E94" w:rsidRPr="00CD4E2D">
        <w:rPr>
          <w:rtl/>
        </w:rPr>
        <w:t xml:space="preserve">اً </w:t>
      </w:r>
      <w:r w:rsidRPr="00CD4E2D">
        <w:rPr>
          <w:rtl/>
        </w:rPr>
        <w:t xml:space="preserve">بالتعديلات التي أدخلت على قانون مكافحة الإرهاب لعام </w:t>
      </w:r>
      <w:r w:rsidRPr="00D577DE">
        <w:rPr>
          <w:rtl/>
        </w:rPr>
        <w:t>2002</w:t>
      </w:r>
      <w:r w:rsidRPr="00CD4E2D">
        <w:rPr>
          <w:rtl/>
        </w:rPr>
        <w:t xml:space="preserve">، المعتمدة في عامي </w:t>
      </w:r>
      <w:r w:rsidRPr="00D577DE">
        <w:rPr>
          <w:rtl/>
        </w:rPr>
        <w:t>2015</w:t>
      </w:r>
      <w:r w:rsidRPr="00CD4E2D">
        <w:rPr>
          <w:rtl/>
        </w:rPr>
        <w:t xml:space="preserve"> </w:t>
      </w:r>
      <w:proofErr w:type="spellStart"/>
      <w:r w:rsidRPr="00CD4E2D">
        <w:rPr>
          <w:rtl/>
        </w:rPr>
        <w:t>و</w:t>
      </w:r>
      <w:r w:rsidRPr="00D577DE">
        <w:rPr>
          <w:rtl/>
        </w:rPr>
        <w:t>2017</w:t>
      </w:r>
      <w:proofErr w:type="spellEnd"/>
      <w:r w:rsidRPr="00CD4E2D">
        <w:rPr>
          <w:rtl/>
        </w:rPr>
        <w:t xml:space="preserve">، وإنشاء مديرية مكافحة الإرهاب ووحدة التحقيقات الخاصة في قوة الشرطة الأوغندية، ولكنها تأسف لعدم توافر معلومات عن الكيفية التي كفلت بها الدولة الطرف توافق هذه التدابير مع جميع التزاماتها بموجب الاتفاقية (المادة </w:t>
      </w:r>
      <w:r w:rsidR="00704AD2" w:rsidRPr="00D577DE">
        <w:rPr>
          <w:rtl/>
        </w:rPr>
        <w:t>2</w:t>
      </w:r>
      <w:r w:rsidR="00704AD2" w:rsidRPr="00CD4E2D">
        <w:rPr>
          <w:rFonts w:ascii="Simplified Arabic"/>
          <w:rtl/>
        </w:rPr>
        <w:t>)</w:t>
      </w:r>
      <w:r w:rsidR="00704AD2" w:rsidRPr="00CD4E2D">
        <w:rPr>
          <w:rtl/>
        </w:rPr>
        <w:t xml:space="preserve">. </w:t>
      </w:r>
    </w:p>
    <w:p w14:paraId="52B108D3" w14:textId="77777777" w:rsidR="009C0CE0" w:rsidRPr="00F11EE2" w:rsidRDefault="009C0CE0" w:rsidP="009C0CE0">
      <w:pPr>
        <w:pStyle w:val="SingleTxtGA"/>
        <w:rPr>
          <w:b/>
          <w:bCs/>
          <w:szCs w:val="20"/>
          <w:lang w:val="ar-SA" w:eastAsia="zh-TW" w:bidi="en-GB"/>
        </w:rPr>
      </w:pPr>
      <w:r w:rsidRPr="00D577DE">
        <w:rPr>
          <w:rtl/>
        </w:rPr>
        <w:t>38</w:t>
      </w:r>
      <w:r>
        <w:rPr>
          <w:rFonts w:ascii="Simplified Arabic"/>
          <w:szCs w:val="20"/>
          <w:rtl/>
        </w:rPr>
        <w:t>-</w:t>
      </w:r>
      <w:r>
        <w:rPr>
          <w:rtl/>
        </w:rPr>
        <w:tab/>
      </w:r>
      <w:r w:rsidRPr="00F11EE2">
        <w:rPr>
          <w:b/>
          <w:bCs/>
          <w:rtl/>
        </w:rPr>
        <w:t>ينبغي للدولة الطرف القيام بما يلي</w:t>
      </w:r>
      <w:r w:rsidRPr="00F11EE2">
        <w:rPr>
          <w:rFonts w:ascii="Simplified Arabic"/>
          <w:b/>
          <w:bCs/>
          <w:szCs w:val="20"/>
        </w:rPr>
        <w:t>:</w:t>
      </w:r>
      <w:r w:rsidRPr="00F11EE2">
        <w:rPr>
          <w:b/>
          <w:bCs/>
          <w:rtl/>
        </w:rPr>
        <w:t xml:space="preserve"> </w:t>
      </w:r>
    </w:p>
    <w:p w14:paraId="6CAC6D60" w14:textId="2970BAB4" w:rsidR="009C0CE0" w:rsidRPr="00524C83" w:rsidRDefault="009C0CE0" w:rsidP="009C0CE0">
      <w:pPr>
        <w:pStyle w:val="SingleTxtGA"/>
        <w:rPr>
          <w:rFonts w:ascii="Times New Roman Bold" w:hAnsi="Times New Roman Bold" w:hint="eastAsia"/>
          <w:b/>
          <w:bCs/>
          <w:spacing w:val="-8"/>
          <w:szCs w:val="20"/>
          <w:lang w:val="ar-SA" w:eastAsia="zh-TW" w:bidi="en-GB"/>
        </w:rPr>
      </w:pPr>
      <w:r w:rsidRPr="00524C83">
        <w:rPr>
          <w:rFonts w:ascii="Times New Roman Bold" w:hAnsi="Times New Roman Bold"/>
          <w:b/>
          <w:bCs/>
          <w:spacing w:val="-8"/>
          <w:rtl/>
        </w:rPr>
        <w:tab/>
      </w:r>
      <w:r w:rsidRPr="004B6834">
        <w:rPr>
          <w:rFonts w:ascii="Times New Roman Bold" w:hAnsi="Times New Roman Bold"/>
          <w:spacing w:val="-8"/>
          <w:rtl/>
        </w:rPr>
        <w:t>(أ)</w:t>
      </w:r>
      <w:r w:rsidRPr="00524C83">
        <w:rPr>
          <w:rFonts w:ascii="Times New Roman Bold" w:hAnsi="Times New Roman Bold"/>
          <w:b/>
          <w:bCs/>
          <w:spacing w:val="-8"/>
          <w:rtl/>
        </w:rPr>
        <w:tab/>
        <w:t>تقديم بيانات مصنفة ومستكملة عن الأشخاص الذين أدينوا بموجب قانون مكافحة الإرهاب؛</w:t>
      </w:r>
    </w:p>
    <w:p w14:paraId="2DECFD34" w14:textId="0262F57F" w:rsidR="009C0CE0" w:rsidRPr="00F11EE2" w:rsidRDefault="009C0CE0" w:rsidP="009C0CE0">
      <w:pPr>
        <w:pStyle w:val="SingleTxtGA"/>
        <w:rPr>
          <w:b/>
          <w:bCs/>
          <w:szCs w:val="20"/>
          <w:lang w:val="ar-SA" w:eastAsia="zh-TW" w:bidi="en-GB"/>
        </w:rPr>
      </w:pPr>
      <w:r w:rsidRPr="004B6834">
        <w:rPr>
          <w:rtl/>
        </w:rPr>
        <w:tab/>
        <w:t>(ب)</w:t>
      </w:r>
      <w:r w:rsidRPr="00F11EE2">
        <w:rPr>
          <w:b/>
          <w:bCs/>
          <w:rtl/>
        </w:rPr>
        <w:tab/>
        <w:t>تقديم معلومات عن أي شكاوى تتعلق بعدم مراعاة المعايير الدولية في سياق تطبيق قانون مكافحة الإرهاب؛</w:t>
      </w:r>
    </w:p>
    <w:p w14:paraId="77BA7B25" w14:textId="051A2274" w:rsidR="009C0CE0" w:rsidRPr="00350E2A" w:rsidRDefault="009C0CE0" w:rsidP="009C0CE0">
      <w:pPr>
        <w:pStyle w:val="SingleTxtGA"/>
        <w:rPr>
          <w:b/>
          <w:bCs/>
          <w:lang w:val="en-US" w:eastAsia="zh-TW" w:bidi="en-GB"/>
        </w:rPr>
      </w:pPr>
      <w:r w:rsidRPr="004B6834">
        <w:rPr>
          <w:rtl/>
        </w:rPr>
        <w:tab/>
        <w:t>(ج)</w:t>
      </w:r>
      <w:r w:rsidRPr="00350E2A">
        <w:rPr>
          <w:b/>
          <w:bCs/>
          <w:rtl/>
        </w:rPr>
        <w:tab/>
        <w:t>ضمان امتثال قوانين مكافحة الإرهاب والقوانين المتعلقة بأمن الدولة امتثالاً تاماً للمعايير الدولية لحقوق الإنسان، بما يشمل توفير جميع الضمانات القانونية الأساسية المبينة في الفقرة 13 من التعليق العام رقم 2</w:t>
      </w:r>
      <w:r w:rsidRPr="00350E2A">
        <w:rPr>
          <w:rFonts w:ascii="Simplified Arabic"/>
          <w:b/>
          <w:bCs/>
          <w:rtl/>
        </w:rPr>
        <w:t>(</w:t>
      </w:r>
      <w:r w:rsidRPr="00350E2A">
        <w:rPr>
          <w:b/>
          <w:bCs/>
          <w:rtl/>
        </w:rPr>
        <w:t>2007</w:t>
      </w:r>
      <w:r w:rsidR="00704AD2" w:rsidRPr="00350E2A">
        <w:rPr>
          <w:rFonts w:ascii="Simplified Arabic"/>
          <w:b/>
          <w:bCs/>
          <w:rtl/>
        </w:rPr>
        <w:t>)</w:t>
      </w:r>
      <w:r w:rsidR="00704AD2" w:rsidRPr="00350E2A">
        <w:rPr>
          <w:b/>
          <w:bCs/>
          <w:rtl/>
        </w:rPr>
        <w:t xml:space="preserve">، </w:t>
      </w:r>
      <w:r w:rsidRPr="00350E2A">
        <w:rPr>
          <w:b/>
          <w:bCs/>
          <w:rtl/>
        </w:rPr>
        <w:t>وتطبيق هذه الضمانات عملي</w:t>
      </w:r>
      <w:r w:rsidR="00EA68AF" w:rsidRPr="00350E2A">
        <w:rPr>
          <w:b/>
          <w:bCs/>
          <w:rtl/>
        </w:rPr>
        <w:t>اً،</w:t>
      </w:r>
      <w:r w:rsidRPr="00350E2A">
        <w:rPr>
          <w:b/>
          <w:bCs/>
          <w:rtl/>
        </w:rPr>
        <w:t xml:space="preserve"> بما في ذلك على أحزاب أو مرشحي المعارضة</w:t>
      </w:r>
      <w:r w:rsidR="00524C83" w:rsidRPr="00350E2A">
        <w:rPr>
          <w:rFonts w:hint="cs"/>
          <w:b/>
          <w:bCs/>
          <w:rtl/>
        </w:rPr>
        <w:t>.</w:t>
      </w:r>
    </w:p>
    <w:p w14:paraId="481330AE" w14:textId="77777777" w:rsidR="009C0CE0" w:rsidRPr="00110930" w:rsidRDefault="009C0CE0" w:rsidP="009C0CE0">
      <w:pPr>
        <w:pStyle w:val="H23GA"/>
        <w:rPr>
          <w:szCs w:val="20"/>
          <w:lang w:val="ar-SA" w:eastAsia="zh-TW" w:bidi="en-GB"/>
        </w:rPr>
      </w:pPr>
      <w:r>
        <w:rPr>
          <w:rtl/>
        </w:rPr>
        <w:tab/>
      </w:r>
      <w:r>
        <w:rPr>
          <w:rtl/>
        </w:rPr>
        <w:tab/>
        <w:t>عقوبة الإعدام</w:t>
      </w:r>
    </w:p>
    <w:p w14:paraId="233F4EF7" w14:textId="12996F91" w:rsidR="009C0CE0" w:rsidRPr="00734175" w:rsidRDefault="009C0CE0" w:rsidP="009C0CE0">
      <w:pPr>
        <w:pStyle w:val="SingleTxtGA"/>
        <w:rPr>
          <w:lang w:val="ar-SA" w:eastAsia="zh-TW" w:bidi="en-GB"/>
        </w:rPr>
      </w:pPr>
      <w:r w:rsidRPr="00D577DE">
        <w:rPr>
          <w:rtl/>
        </w:rPr>
        <w:t>39</w:t>
      </w:r>
      <w:r w:rsidRPr="00734175">
        <w:rPr>
          <w:rFonts w:ascii="Simplified Arabic"/>
          <w:rtl/>
        </w:rPr>
        <w:t>-</w:t>
      </w:r>
      <w:r w:rsidRPr="00734175">
        <w:rPr>
          <w:rtl/>
        </w:rPr>
        <w:tab/>
        <w:t xml:space="preserve">تلاحظ اللجنة أنه، في أعقاب قضية </w:t>
      </w:r>
      <w:r w:rsidRPr="00734175">
        <w:rPr>
          <w:i/>
          <w:iCs/>
          <w:rtl/>
        </w:rPr>
        <w:t xml:space="preserve">المدعي العام ضد سوزان </w:t>
      </w:r>
      <w:proofErr w:type="spellStart"/>
      <w:r w:rsidRPr="00734175">
        <w:rPr>
          <w:i/>
          <w:iCs/>
          <w:rtl/>
        </w:rPr>
        <w:t>كيغولا</w:t>
      </w:r>
      <w:proofErr w:type="spellEnd"/>
      <w:r w:rsidRPr="00734175">
        <w:rPr>
          <w:i/>
          <w:iCs/>
          <w:rtl/>
        </w:rPr>
        <w:t xml:space="preserve"> </w:t>
      </w:r>
      <w:proofErr w:type="spellStart"/>
      <w:r w:rsidRPr="00734175">
        <w:rPr>
          <w:i/>
          <w:iCs/>
          <w:rtl/>
        </w:rPr>
        <w:t>و</w:t>
      </w:r>
      <w:r w:rsidRPr="00D577DE">
        <w:rPr>
          <w:rtl/>
        </w:rPr>
        <w:t>417</w:t>
      </w:r>
      <w:proofErr w:type="spellEnd"/>
      <w:r w:rsidRPr="00734175">
        <w:rPr>
          <w:i/>
          <w:iCs/>
          <w:rtl/>
        </w:rPr>
        <w:t xml:space="preserve"> آخرين</w:t>
      </w:r>
      <w:r w:rsidR="00704AD2" w:rsidRPr="004B6834">
        <w:rPr>
          <w:rStyle w:val="FootnoteReference"/>
          <w:szCs w:val="22"/>
          <w:rtl/>
        </w:rPr>
        <w:t>(</w:t>
      </w:r>
      <w:r w:rsidR="00704AD2" w:rsidRPr="004B6834">
        <w:rPr>
          <w:rStyle w:val="FootnoteReference"/>
          <w:szCs w:val="22"/>
          <w:rtl/>
        </w:rPr>
        <w:footnoteReference w:id="7"/>
      </w:r>
      <w:r w:rsidR="00B457E1" w:rsidRPr="004B6834">
        <w:rPr>
          <w:rStyle w:val="FootnoteReference"/>
          <w:szCs w:val="22"/>
          <w:rtl/>
        </w:rPr>
        <w:t>)</w:t>
      </w:r>
      <w:r w:rsidR="00E573D6" w:rsidRPr="00734175">
        <w:rPr>
          <w:rFonts w:hint="cs"/>
          <w:rtl/>
        </w:rPr>
        <w:t>،</w:t>
      </w:r>
      <w:r w:rsidRPr="00734175">
        <w:rPr>
          <w:rtl/>
        </w:rPr>
        <w:t> وهي قضية بارزة، لم تعد عقوبة الإعدام إلزامية في الجرائم التي يعاقب عليها بالإعدام وباتت الآن تخضع للسلطة التقديرية للقضاة، وأنه وفق</w:t>
      </w:r>
      <w:r w:rsidR="00C43E94" w:rsidRPr="00734175">
        <w:rPr>
          <w:rtl/>
        </w:rPr>
        <w:t xml:space="preserve">اً </w:t>
      </w:r>
      <w:r w:rsidRPr="00734175">
        <w:rPr>
          <w:rtl/>
        </w:rPr>
        <w:t>للمعلومات التي قدمتها الدولة الطرف، إذا لم تتخذ السلطة التنفيذية، بعد ثلاثة أشهر من تاريخ الحكم،</w:t>
      </w:r>
      <w:r w:rsidR="00550F6E" w:rsidRPr="00734175">
        <w:rPr>
          <w:rtl/>
        </w:rPr>
        <w:t xml:space="preserve"> </w:t>
      </w:r>
      <w:r w:rsidRPr="00734175">
        <w:rPr>
          <w:rtl/>
        </w:rPr>
        <w:t>قرار</w:t>
      </w:r>
      <w:r w:rsidR="00C43E94" w:rsidRPr="00734175">
        <w:rPr>
          <w:rtl/>
        </w:rPr>
        <w:t xml:space="preserve">اً </w:t>
      </w:r>
      <w:r w:rsidRPr="00734175">
        <w:rPr>
          <w:rtl/>
        </w:rPr>
        <w:t>بتنفيذ أمر المحكمة بإعدام المدان، يعتبر حكم الإعدام مخفف</w:t>
      </w:r>
      <w:r w:rsidR="00C43E94" w:rsidRPr="00734175">
        <w:rPr>
          <w:rtl/>
        </w:rPr>
        <w:t xml:space="preserve">اً </w:t>
      </w:r>
      <w:r w:rsidRPr="00734175">
        <w:rPr>
          <w:rtl/>
        </w:rPr>
        <w:t xml:space="preserve">إلى السجن مدى الحياة من دون إمكانية الاستفادة من العفو. تلاحظ اللجنة أن قانون العقوبات يتضمن ثمانية مواد يمكن أو يجب أن يعاقب بموجبها على الجرائم بالإعدام، وأن </w:t>
      </w:r>
      <w:r w:rsidRPr="00D577DE">
        <w:rPr>
          <w:rtl/>
        </w:rPr>
        <w:t>28</w:t>
      </w:r>
      <w:r w:rsidRPr="00734175">
        <w:rPr>
          <w:rtl/>
        </w:rPr>
        <w:t xml:space="preserve"> جريمة، بموجب قانون العقوبات وقانون مكافحة الإرهاب وقانون قوات الدفاع الشعبية الأوغندية، يعاقب عليها بالإعدام، بيد أنها تأسف لأن </w:t>
      </w:r>
      <w:r w:rsidRPr="00734175">
        <w:rPr>
          <w:rtl/>
        </w:rPr>
        <w:lastRenderedPageBreak/>
        <w:t xml:space="preserve">اللغة المستخدمة غير متسقة في جميع التشريعات ولعدم تقديم بيانات مفصلة ومصنفة عن عدد الأفراد المحكوم عليهم بالإعدام خلال الفترة المشمولة بالتقرير. (المادتان </w:t>
      </w:r>
      <w:r w:rsidRPr="00D577DE">
        <w:rPr>
          <w:rtl/>
        </w:rPr>
        <w:t>2</w:t>
      </w:r>
      <w:r w:rsidRPr="00734175">
        <w:rPr>
          <w:rtl/>
        </w:rPr>
        <w:t xml:space="preserve"> </w:t>
      </w:r>
      <w:proofErr w:type="spellStart"/>
      <w:r w:rsidRPr="00734175">
        <w:rPr>
          <w:rtl/>
        </w:rPr>
        <w:t>و</w:t>
      </w:r>
      <w:r w:rsidRPr="00D577DE">
        <w:rPr>
          <w:rtl/>
        </w:rPr>
        <w:t>1</w:t>
      </w:r>
      <w:r w:rsidR="00704AD2" w:rsidRPr="00D577DE">
        <w:rPr>
          <w:rtl/>
        </w:rPr>
        <w:t>6</w:t>
      </w:r>
      <w:proofErr w:type="spellEnd"/>
      <w:r w:rsidR="00704AD2" w:rsidRPr="00734175">
        <w:rPr>
          <w:rFonts w:ascii="Simplified Arabic"/>
          <w:rtl/>
        </w:rPr>
        <w:t>)</w:t>
      </w:r>
      <w:r w:rsidR="00704AD2" w:rsidRPr="00734175">
        <w:rPr>
          <w:rtl/>
        </w:rPr>
        <w:t xml:space="preserve">. </w:t>
      </w:r>
    </w:p>
    <w:p w14:paraId="4EC525B5" w14:textId="77777777" w:rsidR="009C0CE0" w:rsidRPr="00F11EE2" w:rsidRDefault="009C0CE0" w:rsidP="009C0CE0">
      <w:pPr>
        <w:pStyle w:val="SingleTxtGA"/>
        <w:rPr>
          <w:b/>
          <w:bCs/>
          <w:szCs w:val="20"/>
          <w:lang w:val="ar-SA" w:eastAsia="zh-TW" w:bidi="en-GB"/>
        </w:rPr>
      </w:pPr>
      <w:r w:rsidRPr="00D577DE">
        <w:rPr>
          <w:rtl/>
        </w:rPr>
        <w:t>40</w:t>
      </w:r>
      <w:r>
        <w:rPr>
          <w:rFonts w:ascii="Simplified Arabic"/>
          <w:szCs w:val="20"/>
          <w:rtl/>
        </w:rPr>
        <w:t>-</w:t>
      </w:r>
      <w:r>
        <w:rPr>
          <w:rtl/>
        </w:rPr>
        <w:tab/>
      </w:r>
      <w:r w:rsidRPr="00F11EE2">
        <w:rPr>
          <w:b/>
          <w:bCs/>
          <w:rtl/>
        </w:rPr>
        <w:t>تدعو اللجنة الدولة الطرف إلى ما يلي</w:t>
      </w:r>
      <w:r w:rsidRPr="00F11EE2">
        <w:rPr>
          <w:rFonts w:ascii="Simplified Arabic"/>
          <w:b/>
          <w:bCs/>
          <w:szCs w:val="20"/>
        </w:rPr>
        <w:t>:</w:t>
      </w:r>
      <w:r w:rsidRPr="00F11EE2">
        <w:rPr>
          <w:b/>
          <w:bCs/>
          <w:rtl/>
        </w:rPr>
        <w:t xml:space="preserve"> </w:t>
      </w:r>
    </w:p>
    <w:p w14:paraId="7C4471A2" w14:textId="0077D799" w:rsidR="009C0CE0" w:rsidRPr="00F11EE2" w:rsidRDefault="009C0CE0" w:rsidP="009C0CE0">
      <w:pPr>
        <w:pStyle w:val="SingleTxtGA"/>
        <w:rPr>
          <w:b/>
          <w:bCs/>
          <w:szCs w:val="20"/>
          <w:lang w:val="ar-SA" w:eastAsia="zh-TW" w:bidi="en-GB"/>
        </w:rPr>
      </w:pPr>
      <w:r w:rsidRPr="004B6834">
        <w:rPr>
          <w:rtl/>
        </w:rPr>
        <w:tab/>
        <w:t>(أ)</w:t>
      </w:r>
      <w:r w:rsidRPr="00F11EE2">
        <w:rPr>
          <w:b/>
          <w:bCs/>
          <w:rtl/>
        </w:rPr>
        <w:tab/>
        <w:t xml:space="preserve">اتخاذ الخطوات المناسبة لضمان تخفيف أحكام الإعدام الصادرة بحق جميع الأشخاص المحكوم عليهم بالإعدام منذ أكثر من ثلاث سنوات إلى أحكام بالسجن؛ </w:t>
      </w:r>
    </w:p>
    <w:p w14:paraId="68C84EBB" w14:textId="6792136F" w:rsidR="009C0CE0" w:rsidRPr="00F11EE2" w:rsidRDefault="009C0CE0" w:rsidP="009C0CE0">
      <w:pPr>
        <w:pStyle w:val="SingleTxtGA"/>
        <w:rPr>
          <w:b/>
          <w:bCs/>
          <w:szCs w:val="20"/>
          <w:lang w:val="ar-SA" w:eastAsia="zh-TW" w:bidi="en-GB"/>
        </w:rPr>
      </w:pPr>
      <w:r w:rsidRPr="004B6834">
        <w:rPr>
          <w:rtl/>
        </w:rPr>
        <w:tab/>
        <w:t>(ب)</w:t>
      </w:r>
      <w:r w:rsidRPr="00F11EE2">
        <w:rPr>
          <w:b/>
          <w:bCs/>
          <w:rtl/>
        </w:rPr>
        <w:tab/>
        <w:t>تقديم بيانات سنوية مفصلة عن العدد الحالي للأشخاص</w:t>
      </w:r>
      <w:r w:rsidR="00550F6E" w:rsidRPr="00F11EE2">
        <w:rPr>
          <w:b/>
          <w:bCs/>
          <w:rtl/>
        </w:rPr>
        <w:t xml:space="preserve"> </w:t>
      </w:r>
      <w:r w:rsidRPr="00F11EE2">
        <w:rPr>
          <w:b/>
          <w:bCs/>
          <w:rtl/>
        </w:rPr>
        <w:t>المحكوم عليهم بالإعدام، بما في ذلك معلومات عن نوع الجنس، والجنسية، وتاريخ الاعتقال، وتاريخ الإدانة، والجرائم المرتكبة، والعلاقة بالضحايا، والسلطة التي أصدرت الحكم، وحالة أي طعون، وأي إعادة نظر في القضية أو أي طلبات عفو أو رأفة، والعقوبة التي يجري تنفيذها؛</w:t>
      </w:r>
    </w:p>
    <w:p w14:paraId="678157F0" w14:textId="6BA44FF0" w:rsidR="009C0CE0" w:rsidRPr="00155A7C" w:rsidRDefault="009C0CE0" w:rsidP="009C0CE0">
      <w:pPr>
        <w:pStyle w:val="SingleTxtGA"/>
        <w:rPr>
          <w:b/>
          <w:bCs/>
          <w:spacing w:val="-6"/>
          <w:szCs w:val="20"/>
          <w:lang w:val="ar-SA" w:eastAsia="zh-TW" w:bidi="en-GB"/>
        </w:rPr>
      </w:pPr>
      <w:r w:rsidRPr="004B6834">
        <w:rPr>
          <w:rFonts w:ascii="Times New Roman Bold" w:hAnsi="Times New Roman Bold"/>
          <w:rtl/>
        </w:rPr>
        <w:tab/>
        <w:t>(ج)</w:t>
      </w:r>
      <w:r w:rsidRPr="00155A7C">
        <w:rPr>
          <w:rFonts w:ascii="Times New Roman Bold" w:hAnsi="Times New Roman Bold"/>
          <w:b/>
          <w:bCs/>
          <w:rtl/>
        </w:rPr>
        <w:tab/>
        <w:t xml:space="preserve">تحسين نوعية المساعدة القانونية للأفراد المتهمين بجرائم يعاقب عليها بالإعدام </w:t>
      </w:r>
      <w:r w:rsidRPr="00155A7C">
        <w:rPr>
          <w:rFonts w:ascii="Times New Roman Bold" w:hAnsi="Times New Roman Bold"/>
          <w:b/>
          <w:bCs/>
          <w:spacing w:val="-6"/>
          <w:rtl/>
        </w:rPr>
        <w:t>والأشخاص المحكوم عليهم بالإعدام، من خلال تعزيز التمويل والتدريب، بالتعاون مع منظمات المجتمع</w:t>
      </w:r>
      <w:r w:rsidRPr="00155A7C">
        <w:rPr>
          <w:b/>
          <w:bCs/>
          <w:spacing w:val="-6"/>
          <w:rtl/>
        </w:rPr>
        <w:t xml:space="preserve"> المدني؛</w:t>
      </w:r>
    </w:p>
    <w:p w14:paraId="681783A0" w14:textId="30A601EB" w:rsidR="009C0CE0" w:rsidRPr="00F11EE2" w:rsidRDefault="009C0CE0" w:rsidP="009C0CE0">
      <w:pPr>
        <w:pStyle w:val="SingleTxtGA"/>
        <w:rPr>
          <w:b/>
          <w:bCs/>
          <w:szCs w:val="20"/>
          <w:lang w:val="ar-SA" w:eastAsia="zh-TW" w:bidi="en-GB"/>
        </w:rPr>
      </w:pPr>
      <w:r w:rsidRPr="00F11EE2">
        <w:rPr>
          <w:b/>
          <w:bCs/>
          <w:rtl/>
        </w:rPr>
        <w:tab/>
      </w:r>
      <w:r w:rsidRPr="004B6834">
        <w:rPr>
          <w:rtl/>
        </w:rPr>
        <w:t>(د)</w:t>
      </w:r>
      <w:r w:rsidRPr="00F11EE2">
        <w:rPr>
          <w:b/>
          <w:bCs/>
          <w:rtl/>
        </w:rPr>
        <w:tab/>
        <w:t>النظر في مواصلة تخفيض عدد الجرائم التي يعاقب عليها بالإعدام في تشريعاتها؛</w:t>
      </w:r>
    </w:p>
    <w:p w14:paraId="6921917A" w14:textId="70420AD2" w:rsidR="009C0CE0" w:rsidRPr="00F11EE2" w:rsidRDefault="009C0CE0" w:rsidP="00E53C05">
      <w:pPr>
        <w:pStyle w:val="SingleTxtGA"/>
        <w:rPr>
          <w:b/>
          <w:bCs/>
          <w:szCs w:val="20"/>
          <w:lang w:val="ar-SA" w:eastAsia="zh-TW" w:bidi="en-GB"/>
        </w:rPr>
      </w:pPr>
      <w:r w:rsidRPr="004B6834">
        <w:rPr>
          <w:rtl/>
        </w:rPr>
        <w:tab/>
        <w:t>(هـ)</w:t>
      </w:r>
      <w:r w:rsidRPr="00F11EE2">
        <w:rPr>
          <w:b/>
          <w:bCs/>
          <w:rtl/>
        </w:rPr>
        <w:tab/>
        <w:t>النظر في التصديق على البروتوكول الاختياري الثاني الملحق بالعهد الدولي الخاص بالحقوق المدنية والسياسية، الهادف إلى إلغاء عقوبة الإعدام.</w:t>
      </w:r>
    </w:p>
    <w:p w14:paraId="47D6D4EE" w14:textId="77777777" w:rsidR="009C0CE0" w:rsidRPr="00110930" w:rsidRDefault="009C0CE0" w:rsidP="009C0CE0">
      <w:pPr>
        <w:pStyle w:val="H23GA"/>
        <w:rPr>
          <w:szCs w:val="20"/>
          <w:lang w:val="ar-SA" w:eastAsia="zh-TW" w:bidi="en-GB"/>
        </w:rPr>
      </w:pPr>
      <w:r>
        <w:rPr>
          <w:rtl/>
        </w:rPr>
        <w:tab/>
      </w:r>
      <w:r>
        <w:rPr>
          <w:rtl/>
        </w:rPr>
        <w:tab/>
        <w:t xml:space="preserve">عدالة الغوغاء </w:t>
      </w:r>
    </w:p>
    <w:p w14:paraId="720EB691" w14:textId="308BC3DB" w:rsidR="00704AD2" w:rsidRPr="00734175" w:rsidRDefault="009C0CE0" w:rsidP="009C0CE0">
      <w:pPr>
        <w:pStyle w:val="SingleTxtGA"/>
        <w:rPr>
          <w:lang w:val="ar-SA" w:eastAsia="zh-TW" w:bidi="en-GB"/>
        </w:rPr>
      </w:pPr>
      <w:r w:rsidRPr="00D577DE">
        <w:rPr>
          <w:rtl/>
        </w:rPr>
        <w:t>41</w:t>
      </w:r>
      <w:r w:rsidRPr="00734175">
        <w:rPr>
          <w:rFonts w:ascii="Simplified Arabic"/>
          <w:rtl/>
        </w:rPr>
        <w:t>-</w:t>
      </w:r>
      <w:r w:rsidRPr="00734175">
        <w:rPr>
          <w:rtl/>
        </w:rPr>
        <w:tab/>
        <w:t xml:space="preserve">لا تزال اللجنة تشعر بالقلق إزاء عدد حالات عدالة الغوغاء في أوغندا، حيث تم توثيق </w:t>
      </w:r>
      <w:r w:rsidRPr="00D577DE">
        <w:rPr>
          <w:rtl/>
        </w:rPr>
        <w:t>779</w:t>
      </w:r>
      <w:r w:rsidRPr="00734175">
        <w:rPr>
          <w:rtl/>
        </w:rPr>
        <w:t xml:space="preserve"> حالة قتل بطريقة غوغائية في عام </w:t>
      </w:r>
      <w:r w:rsidRPr="00D577DE">
        <w:rPr>
          <w:rtl/>
        </w:rPr>
        <w:t>2021</w:t>
      </w:r>
      <w:r w:rsidRPr="00734175">
        <w:rPr>
          <w:rFonts w:ascii="Simplified Arabic"/>
          <w:rtl/>
        </w:rPr>
        <w:t xml:space="preserve"> (</w:t>
      </w:r>
      <w:r w:rsidRPr="00734175">
        <w:rPr>
          <w:rtl/>
        </w:rPr>
        <w:t xml:space="preserve">المادتان </w:t>
      </w:r>
      <w:r w:rsidRPr="00D577DE">
        <w:rPr>
          <w:rtl/>
        </w:rPr>
        <w:t>2</w:t>
      </w:r>
      <w:r w:rsidRPr="00734175">
        <w:rPr>
          <w:rtl/>
        </w:rPr>
        <w:t xml:space="preserve"> </w:t>
      </w:r>
      <w:proofErr w:type="spellStart"/>
      <w:r w:rsidRPr="00734175">
        <w:rPr>
          <w:rtl/>
        </w:rPr>
        <w:t>و</w:t>
      </w:r>
      <w:r w:rsidRPr="00D577DE">
        <w:rPr>
          <w:rtl/>
        </w:rPr>
        <w:t>1</w:t>
      </w:r>
      <w:r w:rsidR="00704AD2" w:rsidRPr="00D577DE">
        <w:rPr>
          <w:rtl/>
        </w:rPr>
        <w:t>6</w:t>
      </w:r>
      <w:proofErr w:type="spellEnd"/>
      <w:r w:rsidR="00704AD2" w:rsidRPr="00734175">
        <w:rPr>
          <w:rFonts w:ascii="Simplified Arabic"/>
          <w:rtl/>
        </w:rPr>
        <w:t>)</w:t>
      </w:r>
      <w:r w:rsidR="00704AD2" w:rsidRPr="00734175">
        <w:rPr>
          <w:rtl/>
        </w:rPr>
        <w:t>.</w:t>
      </w:r>
    </w:p>
    <w:p w14:paraId="5C3352A5" w14:textId="48F54D26" w:rsidR="009C0CE0" w:rsidRPr="00F11EE2" w:rsidRDefault="009C0CE0" w:rsidP="009C0CE0">
      <w:pPr>
        <w:pStyle w:val="SingleTxtGA"/>
        <w:rPr>
          <w:b/>
          <w:bCs/>
          <w:szCs w:val="20"/>
          <w:lang w:val="ar-SA" w:eastAsia="zh-TW" w:bidi="en-GB"/>
        </w:rPr>
      </w:pPr>
      <w:r w:rsidRPr="00D577DE">
        <w:rPr>
          <w:rtl/>
        </w:rPr>
        <w:t>42</w:t>
      </w:r>
      <w:r>
        <w:rPr>
          <w:rFonts w:ascii="Simplified Arabic"/>
          <w:szCs w:val="20"/>
          <w:rtl/>
        </w:rPr>
        <w:t>-</w:t>
      </w:r>
      <w:r>
        <w:rPr>
          <w:rtl/>
        </w:rPr>
        <w:tab/>
      </w:r>
      <w:r w:rsidRPr="00F11EE2">
        <w:rPr>
          <w:b/>
          <w:bCs/>
          <w:rtl/>
        </w:rPr>
        <w:t>تشير اللجنة إلى ملاحظاتها الختامية السابقة، وتحث الدولة الطرف على اتخاذ جميع التدابير اللازمة، بما في ذلك التدابير القضائية، لمنع عدالة الغوغاء</w:t>
      </w:r>
      <w:r w:rsidR="00704AD2" w:rsidRPr="004B6834">
        <w:rPr>
          <w:rStyle w:val="FootnoteReference"/>
          <w:szCs w:val="22"/>
          <w:rtl/>
        </w:rPr>
        <w:t>(</w:t>
      </w:r>
      <w:r w:rsidR="00704AD2" w:rsidRPr="004B6834">
        <w:rPr>
          <w:rStyle w:val="FootnoteReference"/>
          <w:szCs w:val="22"/>
          <w:rtl/>
        </w:rPr>
        <w:footnoteReference w:id="8"/>
      </w:r>
      <w:r w:rsidR="00704AD2" w:rsidRPr="004B6834">
        <w:rPr>
          <w:rStyle w:val="FootnoteReference"/>
          <w:szCs w:val="22"/>
          <w:rtl/>
        </w:rPr>
        <w:t>)</w:t>
      </w:r>
      <w:r w:rsidR="00704AD2" w:rsidRPr="00704AD2">
        <w:rPr>
          <w:b/>
          <w:bCs/>
          <w:rtl/>
        </w:rPr>
        <w:t xml:space="preserve">. </w:t>
      </w:r>
    </w:p>
    <w:p w14:paraId="37F66F04" w14:textId="77777777" w:rsidR="009C0CE0" w:rsidRPr="00110930" w:rsidRDefault="009C0CE0" w:rsidP="009C0CE0">
      <w:pPr>
        <w:pStyle w:val="H23GA"/>
        <w:rPr>
          <w:szCs w:val="20"/>
          <w:lang w:val="ar-SA" w:eastAsia="zh-TW" w:bidi="en-GB"/>
        </w:rPr>
      </w:pPr>
      <w:r>
        <w:rPr>
          <w:rtl/>
        </w:rPr>
        <w:tab/>
      </w:r>
      <w:r>
        <w:rPr>
          <w:rtl/>
        </w:rPr>
        <w:tab/>
        <w:t xml:space="preserve">العدالة الانتقالية </w:t>
      </w:r>
    </w:p>
    <w:p w14:paraId="040DB596" w14:textId="157283FB" w:rsidR="009C0CE0" w:rsidRPr="00CB7210" w:rsidRDefault="009C0CE0" w:rsidP="009C0CE0">
      <w:pPr>
        <w:pStyle w:val="SingleTxtGA"/>
        <w:rPr>
          <w:lang w:val="ar-SA" w:eastAsia="zh-TW" w:bidi="en-GB"/>
        </w:rPr>
      </w:pPr>
      <w:r w:rsidRPr="00D577DE">
        <w:rPr>
          <w:rtl/>
        </w:rPr>
        <w:t>43</w:t>
      </w:r>
      <w:r w:rsidRPr="00CB7210">
        <w:rPr>
          <w:rFonts w:ascii="Simplified Arabic"/>
          <w:rtl/>
        </w:rPr>
        <w:t>-</w:t>
      </w:r>
      <w:r w:rsidRPr="00CB7210">
        <w:rPr>
          <w:rtl/>
        </w:rPr>
        <w:tab/>
        <w:t xml:space="preserve">تلاحظ اللجنة النهج الذي يركز على الضحايا في السياسة الوطنية للعدالة الانتقالية التي اعتمدتها الحكومة، والتعقيدات الناجمة عن عدد القبائل في أوغندا والتحديات المتصلة بالتشاور مع السكان، بيد أنها تأسف لعدم تقديم مزيد من المعلومات عن هذه السياسة (المواد </w:t>
      </w:r>
      <w:r w:rsidRPr="00D577DE">
        <w:rPr>
          <w:rtl/>
        </w:rPr>
        <w:t>2</w:t>
      </w:r>
      <w:r w:rsidRPr="00CB7210">
        <w:rPr>
          <w:rtl/>
        </w:rPr>
        <w:t xml:space="preserve"> </w:t>
      </w:r>
      <w:proofErr w:type="spellStart"/>
      <w:r w:rsidRPr="00CB7210">
        <w:rPr>
          <w:rtl/>
        </w:rPr>
        <w:t>و</w:t>
      </w:r>
      <w:r w:rsidRPr="00D577DE">
        <w:rPr>
          <w:rtl/>
        </w:rPr>
        <w:t>13</w:t>
      </w:r>
      <w:proofErr w:type="spellEnd"/>
      <w:r w:rsidRPr="00CB7210">
        <w:rPr>
          <w:rFonts w:ascii="Simplified Arabic"/>
          <w:rtl/>
        </w:rPr>
        <w:t>-</w:t>
      </w:r>
      <w:r w:rsidRPr="00D577DE">
        <w:rPr>
          <w:rtl/>
        </w:rPr>
        <w:t>12</w:t>
      </w:r>
      <w:r w:rsidRPr="00CB7210">
        <w:rPr>
          <w:rtl/>
        </w:rPr>
        <w:t xml:space="preserve"> </w:t>
      </w:r>
      <w:proofErr w:type="spellStart"/>
      <w:r w:rsidRPr="00CB7210">
        <w:rPr>
          <w:rtl/>
        </w:rPr>
        <w:t>و</w:t>
      </w:r>
      <w:r w:rsidRPr="00D577DE">
        <w:rPr>
          <w:rtl/>
        </w:rPr>
        <w:t>1</w:t>
      </w:r>
      <w:r w:rsidR="00704AD2" w:rsidRPr="00D577DE">
        <w:rPr>
          <w:rtl/>
        </w:rPr>
        <w:t>6</w:t>
      </w:r>
      <w:proofErr w:type="spellEnd"/>
      <w:r w:rsidR="00704AD2" w:rsidRPr="00CB7210">
        <w:rPr>
          <w:rFonts w:ascii="Simplified Arabic"/>
          <w:rtl/>
        </w:rPr>
        <w:t>)</w:t>
      </w:r>
      <w:r w:rsidR="00704AD2" w:rsidRPr="00CB7210">
        <w:rPr>
          <w:rtl/>
        </w:rPr>
        <w:t xml:space="preserve">. </w:t>
      </w:r>
    </w:p>
    <w:p w14:paraId="1CFBF9C3" w14:textId="77777777" w:rsidR="009C0CE0" w:rsidRPr="00B457E1" w:rsidRDefault="009C0CE0" w:rsidP="009C0CE0">
      <w:pPr>
        <w:pStyle w:val="SingleTxtGA"/>
        <w:rPr>
          <w:b/>
          <w:bCs/>
          <w:szCs w:val="20"/>
          <w:lang w:val="en-US" w:eastAsia="zh-TW" w:bidi="en-GB"/>
        </w:rPr>
      </w:pPr>
      <w:r w:rsidRPr="00D577DE">
        <w:rPr>
          <w:rtl/>
        </w:rPr>
        <w:t>44</w:t>
      </w:r>
      <w:r>
        <w:rPr>
          <w:rFonts w:ascii="Simplified Arabic"/>
          <w:szCs w:val="20"/>
          <w:rtl/>
        </w:rPr>
        <w:t>-</w:t>
      </w:r>
      <w:r>
        <w:rPr>
          <w:rtl/>
        </w:rPr>
        <w:tab/>
      </w:r>
      <w:r w:rsidRPr="00F11EE2">
        <w:rPr>
          <w:b/>
          <w:bCs/>
          <w:rtl/>
        </w:rPr>
        <w:t xml:space="preserve">تحث اللجنة الدولة الطرف على مواصلة مبادراتها الرامية إلى تنفيذ السياسة الوطنية للعدالة الانتقالية، التي ينبغي أن تسهم في الجهود الرامية إلى مكافحة التعذيب، وتقديم معلومات مفصلة عن هذه السياسة. </w:t>
      </w:r>
    </w:p>
    <w:p w14:paraId="09A95F25" w14:textId="77777777" w:rsidR="009C0CE0" w:rsidRPr="00F11EE2" w:rsidRDefault="009C0CE0" w:rsidP="009C0CE0">
      <w:pPr>
        <w:pStyle w:val="H23GA"/>
        <w:rPr>
          <w:szCs w:val="20"/>
          <w:lang w:val="en-US" w:eastAsia="zh-TW" w:bidi="en-GB"/>
        </w:rPr>
      </w:pPr>
      <w:r>
        <w:rPr>
          <w:rtl/>
        </w:rPr>
        <w:tab/>
      </w:r>
      <w:r>
        <w:rPr>
          <w:rtl/>
        </w:rPr>
        <w:tab/>
        <w:t>المعونة القضائية</w:t>
      </w:r>
    </w:p>
    <w:p w14:paraId="08650AE6" w14:textId="6DB06722" w:rsidR="00704AD2" w:rsidRPr="00CB7210" w:rsidRDefault="009C0CE0" w:rsidP="009C0CE0">
      <w:pPr>
        <w:pStyle w:val="SingleTxtGA"/>
        <w:rPr>
          <w:lang w:val="ar-SA" w:eastAsia="zh-TW" w:bidi="en-GB"/>
        </w:rPr>
      </w:pPr>
      <w:r w:rsidRPr="00D577DE">
        <w:rPr>
          <w:rtl/>
        </w:rPr>
        <w:t>45</w:t>
      </w:r>
      <w:r w:rsidRPr="00CB7210">
        <w:rPr>
          <w:rFonts w:ascii="Simplified Arabic"/>
          <w:rtl/>
        </w:rPr>
        <w:t>-</w:t>
      </w:r>
      <w:r w:rsidRPr="00CB7210">
        <w:rPr>
          <w:rtl/>
        </w:rPr>
        <w:tab/>
        <w:t xml:space="preserve">ترحب اللجنة بالجهود المبذولة لاعتماد السياسة الوطنية للمساعدة القانونية ومشروع القانون ذي الصلة، اللذين أبلغت الدولة الطرف اللجنة بأن </w:t>
      </w:r>
      <w:proofErr w:type="gramStart"/>
      <w:r w:rsidRPr="00CB7210">
        <w:rPr>
          <w:rtl/>
        </w:rPr>
        <w:t>البرلمان</w:t>
      </w:r>
      <w:proofErr w:type="gramEnd"/>
      <w:r w:rsidRPr="00CB7210">
        <w:rPr>
          <w:rtl/>
        </w:rPr>
        <w:t xml:space="preserve"> ينظر فيهما حاليا</w:t>
      </w:r>
      <w:r w:rsidR="00C43E94" w:rsidRPr="00CB7210">
        <w:rPr>
          <w:rFonts w:hint="cs"/>
          <w:rtl/>
        </w:rPr>
        <w:t>ً</w:t>
      </w:r>
      <w:r w:rsidRPr="00CB7210">
        <w:rPr>
          <w:rtl/>
        </w:rPr>
        <w:t xml:space="preserve">، ولكنها أعربت عن الأسف لأن السياسة ومشروع القانون لم يُعتمدا بعد (المادة </w:t>
      </w:r>
      <w:r w:rsidR="00704AD2" w:rsidRPr="00D577DE">
        <w:rPr>
          <w:rtl/>
        </w:rPr>
        <w:t>2</w:t>
      </w:r>
      <w:r w:rsidR="00704AD2" w:rsidRPr="00CB7210">
        <w:rPr>
          <w:rFonts w:ascii="Simplified Arabic"/>
          <w:rtl/>
        </w:rPr>
        <w:t>)</w:t>
      </w:r>
      <w:r w:rsidR="00704AD2" w:rsidRPr="00CB7210">
        <w:rPr>
          <w:rtl/>
        </w:rPr>
        <w:t>.</w:t>
      </w:r>
    </w:p>
    <w:p w14:paraId="2B1FC3A5" w14:textId="275FE17D" w:rsidR="009C0CE0" w:rsidRPr="000167BD" w:rsidRDefault="009C0CE0" w:rsidP="009C0CE0">
      <w:pPr>
        <w:pStyle w:val="SingleTxtGA"/>
        <w:rPr>
          <w:szCs w:val="20"/>
          <w:lang w:val="ar-SA" w:eastAsia="zh-TW" w:bidi="en-GB"/>
        </w:rPr>
      </w:pPr>
      <w:r w:rsidRPr="00D577DE">
        <w:rPr>
          <w:rtl/>
        </w:rPr>
        <w:lastRenderedPageBreak/>
        <w:t>46</w:t>
      </w:r>
      <w:r>
        <w:rPr>
          <w:rFonts w:ascii="Simplified Arabic"/>
          <w:szCs w:val="20"/>
          <w:rtl/>
        </w:rPr>
        <w:t>-</w:t>
      </w:r>
      <w:r>
        <w:rPr>
          <w:rtl/>
        </w:rPr>
        <w:tab/>
      </w:r>
      <w:r w:rsidRPr="00F11EE2">
        <w:rPr>
          <w:b/>
          <w:bCs/>
          <w:rtl/>
        </w:rPr>
        <w:t>تشجع اللجنة الدولة الطرف على التعجيل بسن السياسة الوطنية للمساعدة القانونية ومشروع القانون ذي الصلة.</w:t>
      </w:r>
    </w:p>
    <w:p w14:paraId="7CA1544C" w14:textId="77777777" w:rsidR="009C0CE0" w:rsidRPr="00110930" w:rsidRDefault="009C0CE0" w:rsidP="009C0CE0">
      <w:pPr>
        <w:pStyle w:val="H23GA"/>
        <w:rPr>
          <w:szCs w:val="20"/>
          <w:lang w:val="ar-SA" w:eastAsia="zh-TW" w:bidi="en-GB"/>
        </w:rPr>
      </w:pPr>
      <w:r>
        <w:rPr>
          <w:rtl/>
        </w:rPr>
        <w:tab/>
      </w:r>
      <w:r>
        <w:rPr>
          <w:rtl/>
        </w:rPr>
        <w:tab/>
        <w:t>خطة العمل الوطنية بشأن حقوق الإنسان</w:t>
      </w:r>
    </w:p>
    <w:p w14:paraId="542BF320" w14:textId="22C5BDF0" w:rsidR="009C0CE0" w:rsidRPr="00580603" w:rsidRDefault="009C0CE0" w:rsidP="009C0CE0">
      <w:pPr>
        <w:pStyle w:val="SingleTxtGA"/>
        <w:rPr>
          <w:lang w:val="ar-SA" w:eastAsia="zh-TW" w:bidi="en-GB"/>
        </w:rPr>
      </w:pPr>
      <w:r w:rsidRPr="00D577DE">
        <w:rPr>
          <w:rtl/>
        </w:rPr>
        <w:t>47</w:t>
      </w:r>
      <w:r w:rsidRPr="00580603">
        <w:rPr>
          <w:rFonts w:ascii="Simplified Arabic"/>
          <w:rtl/>
        </w:rPr>
        <w:t>-</w:t>
      </w:r>
      <w:r w:rsidRPr="00580603">
        <w:rPr>
          <w:rtl/>
        </w:rPr>
        <w:tab/>
        <w:t xml:space="preserve">تلاحظ اللجنة أن خطة التنمية الوطنية الثانية، للفترة من </w:t>
      </w:r>
      <w:r w:rsidRPr="00D577DE">
        <w:t>16</w:t>
      </w:r>
      <w:r w:rsidRPr="00580603">
        <w:rPr>
          <w:rFonts w:ascii="Simplified Arabic"/>
        </w:rPr>
        <w:t>/</w:t>
      </w:r>
      <w:r w:rsidRPr="00D577DE">
        <w:t>2015</w:t>
      </w:r>
      <w:r w:rsidRPr="00580603">
        <w:rPr>
          <w:rtl/>
        </w:rPr>
        <w:t xml:space="preserve"> إلى </w:t>
      </w:r>
      <w:r w:rsidRPr="00D577DE">
        <w:t>20</w:t>
      </w:r>
      <w:r w:rsidRPr="00580603">
        <w:rPr>
          <w:rFonts w:ascii="Simplified Arabic"/>
        </w:rPr>
        <w:t>/</w:t>
      </w:r>
      <w:r w:rsidRPr="00D577DE">
        <w:t>2019</w:t>
      </w:r>
      <w:r w:rsidRPr="00580603">
        <w:rPr>
          <w:rtl/>
        </w:rPr>
        <w:t xml:space="preserve">، قد أعدت في عام </w:t>
      </w:r>
      <w:r w:rsidRPr="00D577DE">
        <w:rPr>
          <w:rtl/>
        </w:rPr>
        <w:t>2014</w:t>
      </w:r>
      <w:r w:rsidRPr="00580603">
        <w:rPr>
          <w:rtl/>
        </w:rPr>
        <w:t>، لكنها تأسف لأن خطة العمل الوطنية بشأن حقوق الإنسان، التي من شأنها أن تتيح فرص</w:t>
      </w:r>
      <w:r w:rsidR="00C43E94" w:rsidRPr="00580603">
        <w:rPr>
          <w:rtl/>
        </w:rPr>
        <w:t xml:space="preserve">اً </w:t>
      </w:r>
      <w:r w:rsidRPr="00580603">
        <w:rPr>
          <w:rtl/>
        </w:rPr>
        <w:t xml:space="preserve">لتعزيز قدرات السلطات الإدارية والقضائية المختصة في أوغندا على مكافحة التعذيب، لم تُسن بعد (المادة </w:t>
      </w:r>
      <w:r w:rsidR="00704AD2" w:rsidRPr="00D577DE">
        <w:rPr>
          <w:rtl/>
        </w:rPr>
        <w:t>2</w:t>
      </w:r>
      <w:r w:rsidR="00704AD2" w:rsidRPr="00580603">
        <w:rPr>
          <w:rFonts w:ascii="Simplified Arabic"/>
          <w:rtl/>
        </w:rPr>
        <w:t>)</w:t>
      </w:r>
      <w:r w:rsidR="00704AD2" w:rsidRPr="00580603">
        <w:rPr>
          <w:rtl/>
        </w:rPr>
        <w:t xml:space="preserve">. </w:t>
      </w:r>
    </w:p>
    <w:p w14:paraId="351AF4DB" w14:textId="77777777" w:rsidR="009C0CE0" w:rsidRPr="00F11EE2" w:rsidRDefault="009C0CE0" w:rsidP="009C0CE0">
      <w:pPr>
        <w:pStyle w:val="SingleTxtGA"/>
        <w:rPr>
          <w:b/>
          <w:bCs/>
          <w:szCs w:val="20"/>
          <w:lang w:val="ar-SA" w:eastAsia="zh-TW" w:bidi="en-GB"/>
        </w:rPr>
      </w:pPr>
      <w:r w:rsidRPr="00D577DE">
        <w:rPr>
          <w:rtl/>
        </w:rPr>
        <w:t>48</w:t>
      </w:r>
      <w:r>
        <w:rPr>
          <w:rFonts w:ascii="Simplified Arabic"/>
          <w:szCs w:val="20"/>
          <w:rtl/>
        </w:rPr>
        <w:t>-</w:t>
      </w:r>
      <w:r>
        <w:rPr>
          <w:rtl/>
        </w:rPr>
        <w:tab/>
      </w:r>
      <w:r w:rsidRPr="00F11EE2">
        <w:rPr>
          <w:b/>
          <w:bCs/>
          <w:rtl/>
        </w:rPr>
        <w:t>ينبغي للدولة الطرف القيام بما يلي:</w:t>
      </w:r>
    </w:p>
    <w:p w14:paraId="6630546A" w14:textId="7889B32B" w:rsidR="009C0CE0" w:rsidRPr="00F11EE2" w:rsidRDefault="009C0CE0" w:rsidP="009C0CE0">
      <w:pPr>
        <w:pStyle w:val="SingleTxtGA"/>
        <w:rPr>
          <w:b/>
          <w:bCs/>
          <w:szCs w:val="20"/>
          <w:lang w:val="ar-SA" w:eastAsia="zh-TW" w:bidi="en-GB"/>
        </w:rPr>
      </w:pPr>
      <w:r w:rsidRPr="004B6834">
        <w:rPr>
          <w:rtl/>
        </w:rPr>
        <w:tab/>
        <w:t>(أ)</w:t>
      </w:r>
      <w:r w:rsidRPr="00F11EE2">
        <w:rPr>
          <w:b/>
          <w:bCs/>
          <w:rtl/>
        </w:rPr>
        <w:tab/>
        <w:t>اعتماد وتنفيذ خطة العمل الوطنية بشأن حقوق الإنسان، بالتشاور مع جميع أصحاب المصلحة المعنيين، بما في ذلك لجنة حقوق الإنسان الأوغندية والمجتمع المدني، وهي خطة من شأنها أن تسهم في تعزيز وحماية حقوق الإنسان وتتيح فرص</w:t>
      </w:r>
      <w:r w:rsidR="00C43E94">
        <w:rPr>
          <w:b/>
          <w:bCs/>
          <w:rtl/>
        </w:rPr>
        <w:t xml:space="preserve">اً </w:t>
      </w:r>
      <w:r w:rsidRPr="00F11EE2">
        <w:rPr>
          <w:b/>
          <w:bCs/>
          <w:rtl/>
        </w:rPr>
        <w:t>لتعزيز قدرات السلطات الإدارية والقضائية المختصة في أوغندا على مكافحة التعذيب؛</w:t>
      </w:r>
    </w:p>
    <w:p w14:paraId="6723650F" w14:textId="2243F2F4" w:rsidR="009C0CE0" w:rsidRPr="00F11EE2" w:rsidRDefault="009C0CE0" w:rsidP="009C0CE0">
      <w:pPr>
        <w:pStyle w:val="SingleTxtGA"/>
        <w:rPr>
          <w:b/>
          <w:bCs/>
          <w:szCs w:val="20"/>
          <w:lang w:val="ar-SA" w:eastAsia="zh-TW" w:bidi="en-GB"/>
        </w:rPr>
      </w:pPr>
      <w:r w:rsidRPr="004B6834">
        <w:rPr>
          <w:rtl/>
        </w:rPr>
        <w:tab/>
        <w:t>(ب)</w:t>
      </w:r>
      <w:r w:rsidRPr="00F11EE2">
        <w:rPr>
          <w:b/>
          <w:bCs/>
          <w:rtl/>
        </w:rPr>
        <w:tab/>
        <w:t>إدراج توصيات اللجنة الواردة في هذه الملاحظات الختامية في عملية وضع الصيغة النهائية لخطة العمل الوطنية لحقوق الإنسان واعتمادها وتنفيذها، وإدراج عناصر تتعلق بتعزيز قدرات السلطات المختصة على منع أعمال التعذيب ومقاضاة مرتكبيها وضمان جبر الضرر وإعادة التأهيل للضحايا من الناحية العملية.</w:t>
      </w:r>
    </w:p>
    <w:p w14:paraId="53E8E8A2" w14:textId="77777777" w:rsidR="009C0CE0" w:rsidRPr="00110930" w:rsidRDefault="009C0CE0" w:rsidP="009C0CE0">
      <w:pPr>
        <w:pStyle w:val="H23GA"/>
        <w:rPr>
          <w:szCs w:val="20"/>
          <w:lang w:val="ar-SA" w:eastAsia="zh-TW" w:bidi="en-GB"/>
        </w:rPr>
      </w:pPr>
      <w:r>
        <w:rPr>
          <w:rtl/>
        </w:rPr>
        <w:tab/>
      </w:r>
      <w:r>
        <w:rPr>
          <w:rtl/>
        </w:rPr>
        <w:tab/>
        <w:t xml:space="preserve">المؤسسة الوطنية لحقوق الإنسان </w:t>
      </w:r>
    </w:p>
    <w:p w14:paraId="2931762E" w14:textId="77777777" w:rsidR="009C0CE0" w:rsidRPr="00110930" w:rsidRDefault="009C0CE0" w:rsidP="009C0CE0">
      <w:pPr>
        <w:pStyle w:val="SingleTxtGA"/>
        <w:rPr>
          <w:szCs w:val="20"/>
          <w:lang w:val="ar-SA" w:eastAsia="zh-TW" w:bidi="en-GB"/>
        </w:rPr>
      </w:pPr>
      <w:r w:rsidRPr="00D577DE">
        <w:rPr>
          <w:rtl/>
        </w:rPr>
        <w:t>49</w:t>
      </w:r>
      <w:r>
        <w:rPr>
          <w:rFonts w:ascii="Simplified Arabic"/>
          <w:szCs w:val="20"/>
          <w:rtl/>
        </w:rPr>
        <w:t>-</w:t>
      </w:r>
      <w:r>
        <w:rPr>
          <w:rtl/>
        </w:rPr>
        <w:tab/>
        <w:t xml:space="preserve">تلاحظ اللجنة اعتماد اللجنة الأوغندية لحقوق الإنسان في المركز ألف عام </w:t>
      </w:r>
      <w:r w:rsidRPr="00D577DE">
        <w:rPr>
          <w:rtl/>
        </w:rPr>
        <w:t>2000</w:t>
      </w:r>
      <w:r>
        <w:rPr>
          <w:rtl/>
        </w:rPr>
        <w:t xml:space="preserve"> من جانب اللجنة الفرعية المعنية بالاعتماد التابعة للتحالف العالمي للمؤسسات الوطنية لحقوق الإنسان، وترحب بالعمل الهام الذي قامت به اللجنة لتنفيذ ولايتها. ومع ذلك، شجعت اللجنة الفرعية، في توصياتها الصادرة في أيار/مايو </w:t>
      </w:r>
      <w:r w:rsidRPr="00D577DE">
        <w:rPr>
          <w:rtl/>
        </w:rPr>
        <w:t>2018</w:t>
      </w:r>
      <w:r>
        <w:rPr>
          <w:rtl/>
        </w:rPr>
        <w:t xml:space="preserve">، اللجنة على الدعوة إلى إضفاء الطابع الرسمي على عملية شفافة وتشاركية لاختيار وتعيين أعضائها في التشريعات أو اللوائح أو المبادئ التوجيهية الإدارية الملزمة ذات الصلة. </w:t>
      </w:r>
    </w:p>
    <w:p w14:paraId="698F88B1" w14:textId="4D1C77BF" w:rsidR="009C0CE0" w:rsidRPr="00110930" w:rsidRDefault="009C0CE0" w:rsidP="009C0CE0">
      <w:pPr>
        <w:pStyle w:val="SingleTxtGA"/>
        <w:rPr>
          <w:szCs w:val="20"/>
          <w:lang w:val="ar-SA" w:eastAsia="zh-TW" w:bidi="en-GB"/>
        </w:rPr>
      </w:pPr>
      <w:r w:rsidRPr="00D577DE">
        <w:rPr>
          <w:rtl/>
        </w:rPr>
        <w:t>50</w:t>
      </w:r>
      <w:r>
        <w:rPr>
          <w:rFonts w:ascii="Simplified Arabic"/>
          <w:szCs w:val="20"/>
          <w:rtl/>
        </w:rPr>
        <w:t>-</w:t>
      </w:r>
      <w:r>
        <w:rPr>
          <w:rtl/>
        </w:rPr>
        <w:tab/>
        <w:t>وتأسف اللجنة لأن اللجنة الأوغندية لحقوق الإنسان شكلت جزء</w:t>
      </w:r>
      <w:r w:rsidR="00C43E94">
        <w:rPr>
          <w:rtl/>
        </w:rPr>
        <w:t xml:space="preserve">اً </w:t>
      </w:r>
      <w:r>
        <w:rPr>
          <w:rtl/>
        </w:rPr>
        <w:t xml:space="preserve">من وفد الدولة الطرف ولم تستجب لدعوة اللجنة إلى الاجتماع بها على انفراد قبل استعراض الحالة في الدولة الطرف (المادة </w:t>
      </w:r>
      <w:r w:rsidR="00704AD2" w:rsidRPr="00D577DE">
        <w:rPr>
          <w:rtl/>
        </w:rPr>
        <w:t>2</w:t>
      </w:r>
      <w:r w:rsidR="00704AD2" w:rsidRPr="00704AD2">
        <w:rPr>
          <w:rFonts w:ascii="Simplified Arabic"/>
          <w:szCs w:val="20"/>
          <w:rtl/>
        </w:rPr>
        <w:t>)</w:t>
      </w:r>
      <w:r w:rsidR="00704AD2" w:rsidRPr="00704AD2">
        <w:rPr>
          <w:rtl/>
        </w:rPr>
        <w:t xml:space="preserve">. </w:t>
      </w:r>
    </w:p>
    <w:p w14:paraId="427BE12B" w14:textId="77777777" w:rsidR="009C0CE0" w:rsidRPr="001E7EB2" w:rsidRDefault="009C0CE0" w:rsidP="009C0CE0">
      <w:pPr>
        <w:pStyle w:val="SingleTxtGA"/>
        <w:rPr>
          <w:b/>
          <w:bCs/>
          <w:szCs w:val="20"/>
          <w:lang w:val="ar-SA" w:eastAsia="zh-TW" w:bidi="en-GB"/>
        </w:rPr>
      </w:pPr>
      <w:r w:rsidRPr="00D577DE">
        <w:rPr>
          <w:rtl/>
        </w:rPr>
        <w:t>51</w:t>
      </w:r>
      <w:r>
        <w:rPr>
          <w:rFonts w:ascii="Simplified Arabic"/>
          <w:szCs w:val="20"/>
          <w:rtl/>
        </w:rPr>
        <w:t>-</w:t>
      </w:r>
      <w:r>
        <w:rPr>
          <w:rtl/>
        </w:rPr>
        <w:tab/>
      </w:r>
      <w:r w:rsidRPr="001E7EB2">
        <w:rPr>
          <w:b/>
          <w:bCs/>
          <w:rtl/>
        </w:rPr>
        <w:t>ينبغي للدولة الطرف القيام بما يلي</w:t>
      </w:r>
      <w:r w:rsidRPr="001E7EB2">
        <w:rPr>
          <w:rFonts w:ascii="Simplified Arabic"/>
          <w:b/>
          <w:bCs/>
          <w:szCs w:val="20"/>
        </w:rPr>
        <w:t>:</w:t>
      </w:r>
      <w:r w:rsidRPr="001E7EB2">
        <w:rPr>
          <w:b/>
          <w:bCs/>
          <w:rtl/>
        </w:rPr>
        <w:t xml:space="preserve"> </w:t>
      </w:r>
    </w:p>
    <w:p w14:paraId="2579F38F" w14:textId="0C9098D6" w:rsidR="009C0CE0" w:rsidRPr="001E7EB2" w:rsidRDefault="009C0CE0" w:rsidP="009C0CE0">
      <w:pPr>
        <w:pStyle w:val="SingleTxtGA"/>
        <w:rPr>
          <w:b/>
          <w:bCs/>
          <w:szCs w:val="20"/>
          <w:lang w:val="ar-SA" w:eastAsia="zh-TW" w:bidi="en-GB"/>
        </w:rPr>
      </w:pPr>
      <w:r w:rsidRPr="004B6834">
        <w:rPr>
          <w:rtl/>
        </w:rPr>
        <w:tab/>
        <w:t>(أ)</w:t>
      </w:r>
      <w:r w:rsidRPr="001E7EB2">
        <w:rPr>
          <w:b/>
          <w:bCs/>
          <w:rtl/>
        </w:rPr>
        <w:tab/>
        <w:t>تعزيز قدرة اللجنة الأوغندية لحقوق الإنسان على الرصد المستقل لحالات التعذيب وتوثيقها والتحقيق فيها، وتوفير بيانات عن تحقيقاتها في حالات التعذيب؛</w:t>
      </w:r>
    </w:p>
    <w:p w14:paraId="52816C9F" w14:textId="3D9EB4F3" w:rsidR="009C0CE0" w:rsidRPr="001E7EB2" w:rsidRDefault="009C0CE0" w:rsidP="009C0CE0">
      <w:pPr>
        <w:pStyle w:val="SingleTxtGA"/>
        <w:rPr>
          <w:b/>
          <w:bCs/>
          <w:szCs w:val="20"/>
          <w:lang w:val="ar-SA" w:eastAsia="zh-TW" w:bidi="en-GB"/>
        </w:rPr>
      </w:pPr>
      <w:r w:rsidRPr="004B6834">
        <w:rPr>
          <w:rtl/>
        </w:rPr>
        <w:tab/>
        <w:t>(ب)</w:t>
      </w:r>
      <w:r w:rsidRPr="001E7EB2">
        <w:rPr>
          <w:b/>
          <w:bCs/>
          <w:rtl/>
        </w:rPr>
        <w:tab/>
        <w:t>تخصيص ما يكفي من التمويل والموظفين للجنة الأوغندية لحقوق الإنسان لتمكينها من الاضطلاع بولايتها، ولا سيما في مجال منع التعذيب.</w:t>
      </w:r>
    </w:p>
    <w:p w14:paraId="4A30E807" w14:textId="77777777" w:rsidR="009C0CE0" w:rsidRPr="00110930" w:rsidRDefault="009C0CE0" w:rsidP="009C0CE0">
      <w:pPr>
        <w:pStyle w:val="H23GA"/>
        <w:rPr>
          <w:szCs w:val="20"/>
          <w:lang w:val="ar-SA" w:eastAsia="zh-TW" w:bidi="en-GB"/>
        </w:rPr>
      </w:pPr>
      <w:r>
        <w:rPr>
          <w:rtl/>
        </w:rPr>
        <w:tab/>
      </w:r>
      <w:r>
        <w:rPr>
          <w:rtl/>
        </w:rPr>
        <w:tab/>
        <w:t>إجراءات المتابعة</w:t>
      </w:r>
    </w:p>
    <w:p w14:paraId="51422D55" w14:textId="491203B9" w:rsidR="009C0CE0" w:rsidRPr="004B6834" w:rsidRDefault="009C0CE0" w:rsidP="009C0CE0">
      <w:pPr>
        <w:pStyle w:val="SingleTxtGA"/>
        <w:rPr>
          <w:spacing w:val="-4"/>
          <w:szCs w:val="20"/>
          <w:lang w:val="ar-SA" w:eastAsia="zh-TW" w:bidi="en-GB"/>
        </w:rPr>
      </w:pPr>
      <w:r w:rsidRPr="00D577DE">
        <w:rPr>
          <w:rtl/>
        </w:rPr>
        <w:t>52</w:t>
      </w:r>
      <w:r>
        <w:rPr>
          <w:rFonts w:ascii="Simplified Arabic"/>
          <w:szCs w:val="20"/>
          <w:rtl/>
        </w:rPr>
        <w:t>-</w:t>
      </w:r>
      <w:r>
        <w:rPr>
          <w:rtl/>
        </w:rPr>
        <w:tab/>
      </w:r>
      <w:r w:rsidRPr="004B6834">
        <w:rPr>
          <w:b/>
          <w:bCs/>
          <w:spacing w:val="-4"/>
          <w:rtl/>
        </w:rPr>
        <w:t xml:space="preserve">تطلب اللجنة إلى الدولة الطرف أن تقدم، بحلول 25 تشرين الثاني/نوفمبر 2023، معلومات عن متابعة توصيات اللجنة بشأن أماكن الاحتجاز "غير المذكورة في الجريدة الرسمية" أو غير المصرح بها، وبشأن العنف الجنساني، والمؤسسة الوطنية لحقوق الإنسان (انظر الفقرات 22 </w:t>
      </w:r>
      <w:proofErr w:type="spellStart"/>
      <w:r w:rsidRPr="004B6834">
        <w:rPr>
          <w:b/>
          <w:bCs/>
          <w:spacing w:val="-4"/>
          <w:rtl/>
        </w:rPr>
        <w:t>و28</w:t>
      </w:r>
      <w:proofErr w:type="spellEnd"/>
      <w:r w:rsidRPr="004B6834">
        <w:rPr>
          <w:rFonts w:ascii="Simplified Arabic"/>
          <w:b/>
          <w:bCs/>
          <w:spacing w:val="-4"/>
          <w:szCs w:val="20"/>
          <w:rtl/>
        </w:rPr>
        <w:t>(</w:t>
      </w:r>
      <w:r w:rsidRPr="004B6834">
        <w:rPr>
          <w:b/>
          <w:bCs/>
          <w:spacing w:val="-4"/>
          <w:rtl/>
        </w:rPr>
        <w:t>أ</w:t>
      </w:r>
      <w:r w:rsidRPr="004B6834">
        <w:rPr>
          <w:rFonts w:ascii="Simplified Arabic"/>
          <w:b/>
          <w:bCs/>
          <w:spacing w:val="-4"/>
          <w:szCs w:val="20"/>
          <w:rtl/>
        </w:rPr>
        <w:t>)</w:t>
      </w:r>
      <w:r w:rsidRPr="004B6834">
        <w:rPr>
          <w:b/>
          <w:bCs/>
          <w:spacing w:val="-4"/>
          <w:rtl/>
        </w:rPr>
        <w:t xml:space="preserve"> </w:t>
      </w:r>
      <w:proofErr w:type="spellStart"/>
      <w:r w:rsidRPr="004B6834">
        <w:rPr>
          <w:b/>
          <w:bCs/>
          <w:spacing w:val="-4"/>
          <w:rtl/>
        </w:rPr>
        <w:t>و51</w:t>
      </w:r>
      <w:proofErr w:type="spellEnd"/>
      <w:r w:rsidRPr="004B6834">
        <w:rPr>
          <w:b/>
          <w:bCs/>
          <w:spacing w:val="-4"/>
          <w:rtl/>
        </w:rPr>
        <w:t xml:space="preserve"> أعلاه</w:t>
      </w:r>
      <w:r w:rsidR="00704AD2" w:rsidRPr="004B6834">
        <w:rPr>
          <w:b/>
          <w:bCs/>
          <w:spacing w:val="-4"/>
          <w:rtl/>
        </w:rPr>
        <w:t xml:space="preserve">). </w:t>
      </w:r>
      <w:r w:rsidRPr="004B6834">
        <w:rPr>
          <w:b/>
          <w:bCs/>
          <w:spacing w:val="-4"/>
          <w:rtl/>
        </w:rPr>
        <w:lastRenderedPageBreak/>
        <w:t>وفي</w:t>
      </w:r>
      <w:r w:rsidR="004B6834">
        <w:rPr>
          <w:rFonts w:hint="cs"/>
          <w:b/>
          <w:bCs/>
          <w:spacing w:val="-4"/>
          <w:rtl/>
        </w:rPr>
        <w:t> </w:t>
      </w:r>
      <w:r w:rsidRPr="004B6834">
        <w:rPr>
          <w:b/>
          <w:bCs/>
          <w:spacing w:val="-4"/>
          <w:rtl/>
        </w:rPr>
        <w:t>هذا السياق، تُدعى الدولة الطرف إلى إبلاغ اللجنة بخططها الرامية إلى تنفيذ بعض أو كل التوصيات المتبقية في الملاحظات الختامية، في غضون الفترة المشمولة بالتقرير المقبل.</w:t>
      </w:r>
    </w:p>
    <w:p w14:paraId="72D1F915" w14:textId="77777777" w:rsidR="009C0CE0" w:rsidRPr="00110930" w:rsidRDefault="009C0CE0" w:rsidP="009C0CE0">
      <w:pPr>
        <w:pStyle w:val="H23GA"/>
        <w:rPr>
          <w:szCs w:val="20"/>
          <w:lang w:val="ar-SA" w:eastAsia="zh-TW" w:bidi="en-GB"/>
        </w:rPr>
      </w:pPr>
      <w:r>
        <w:rPr>
          <w:rtl/>
        </w:rPr>
        <w:tab/>
      </w:r>
      <w:r>
        <w:rPr>
          <w:rtl/>
        </w:rPr>
        <w:tab/>
        <w:t>مسائل أخرى</w:t>
      </w:r>
    </w:p>
    <w:p w14:paraId="7C4D8759" w14:textId="11D3D72B" w:rsidR="009C0CE0" w:rsidRPr="00385264" w:rsidRDefault="009C0CE0" w:rsidP="009C0CE0">
      <w:pPr>
        <w:pStyle w:val="SingleTxtGA"/>
        <w:rPr>
          <w:szCs w:val="20"/>
          <w:lang w:val="en-US" w:eastAsia="zh-TW" w:bidi="en-GB"/>
        </w:rPr>
      </w:pPr>
      <w:r w:rsidRPr="00D577DE">
        <w:rPr>
          <w:rtl/>
        </w:rPr>
        <w:t>53</w:t>
      </w:r>
      <w:r>
        <w:rPr>
          <w:rFonts w:ascii="Simplified Arabic"/>
          <w:szCs w:val="20"/>
          <w:rtl/>
        </w:rPr>
        <w:t>-</w:t>
      </w:r>
      <w:r>
        <w:rPr>
          <w:rtl/>
        </w:rPr>
        <w:tab/>
      </w:r>
      <w:r w:rsidRPr="00D577DE">
        <w:rPr>
          <w:b/>
          <w:bCs/>
          <w:rtl/>
        </w:rPr>
        <w:t>تشجّع اللجنة الدولة الطرف على النظر في إصدار الإعلان المنصوص عليه في المادة 22 من الاتفاقية، والاعتراف بذلك باختصاص</w:t>
      </w:r>
      <w:r w:rsidRPr="001E7EB2">
        <w:rPr>
          <w:b/>
          <w:bCs/>
          <w:rtl/>
        </w:rPr>
        <w:t xml:space="preserve"> اللجنة في تلقي البلاغات الواردة من الأفراد الخاضعين لولايتها القضائية والنظر فيها.</w:t>
      </w:r>
      <w:r>
        <w:rPr>
          <w:rtl/>
        </w:rPr>
        <w:t xml:space="preserve"> </w:t>
      </w:r>
    </w:p>
    <w:p w14:paraId="454E50C0" w14:textId="77777777" w:rsidR="009C0CE0" w:rsidRPr="000167BD" w:rsidRDefault="009C0CE0" w:rsidP="009C0CE0">
      <w:pPr>
        <w:pStyle w:val="SingleTxtGA"/>
        <w:rPr>
          <w:szCs w:val="20"/>
          <w:lang w:val="ar-SA" w:eastAsia="zh-TW" w:bidi="en-GB"/>
        </w:rPr>
      </w:pPr>
      <w:r w:rsidRPr="00D577DE">
        <w:rPr>
          <w:rtl/>
        </w:rPr>
        <w:t>54</w:t>
      </w:r>
      <w:r>
        <w:rPr>
          <w:rFonts w:ascii="Simplified Arabic"/>
          <w:szCs w:val="20"/>
          <w:rtl/>
        </w:rPr>
        <w:t>-</w:t>
      </w:r>
      <w:r>
        <w:rPr>
          <w:rtl/>
        </w:rPr>
        <w:tab/>
      </w:r>
      <w:r w:rsidRPr="001E7EB2">
        <w:rPr>
          <w:b/>
          <w:bCs/>
          <w:rtl/>
        </w:rPr>
        <w:t>يرجى من الدولة الطرف أن تنشر على نطاق واسع التقرير المقدم إلى اللجنة وهذه الملاحظات الختامية، باللغات المناسبة، عن طريق المواقع الرسمية على شبكة الإنترنت ووسائل الإعلام والمنظمات غير الحكومية، وأن تبلغ اللجنة بأنشطتها في مجال النشر.</w:t>
      </w:r>
    </w:p>
    <w:p w14:paraId="687CB37C" w14:textId="4B799675" w:rsidR="009C0CE0" w:rsidRPr="00D577DE" w:rsidRDefault="009C0CE0" w:rsidP="009C0CE0">
      <w:pPr>
        <w:pStyle w:val="SingleTxtGA"/>
        <w:rPr>
          <w:b/>
          <w:bCs/>
          <w:szCs w:val="20"/>
          <w:lang w:val="en-US" w:eastAsia="zh-TW" w:bidi="en-GB"/>
        </w:rPr>
      </w:pPr>
      <w:r w:rsidRPr="00D577DE">
        <w:rPr>
          <w:rtl/>
        </w:rPr>
        <w:t>55</w:t>
      </w:r>
      <w:r>
        <w:rPr>
          <w:rFonts w:ascii="Simplified Arabic"/>
          <w:szCs w:val="20"/>
          <w:rtl/>
        </w:rPr>
        <w:t>-</w:t>
      </w:r>
      <w:r>
        <w:rPr>
          <w:rtl/>
        </w:rPr>
        <w:tab/>
      </w:r>
      <w:r w:rsidRPr="00D577DE">
        <w:rPr>
          <w:b/>
          <w:bCs/>
          <w:rtl/>
        </w:rPr>
        <w:t>وتطلب اللجنة إلى الدولة الطرف أن تقدم تقريرها الدوري المقبل، الذي سيكون تقريرها الثالث، بحلول 25 تشرين الثاني/نوفمبر 202</w:t>
      </w:r>
      <w:r w:rsidR="00704AD2" w:rsidRPr="00D577DE">
        <w:rPr>
          <w:b/>
          <w:bCs/>
          <w:rtl/>
        </w:rPr>
        <w:t>6</w:t>
      </w:r>
      <w:r w:rsidR="00704AD2" w:rsidRPr="00D577DE">
        <w:rPr>
          <w:rFonts w:ascii="Simplified Arabic"/>
          <w:b/>
          <w:bCs/>
          <w:szCs w:val="20"/>
          <w:rtl/>
        </w:rPr>
        <w:t>.</w:t>
      </w:r>
      <w:r w:rsidR="00704AD2" w:rsidRPr="00D577DE">
        <w:rPr>
          <w:b/>
          <w:bCs/>
          <w:rtl/>
        </w:rPr>
        <w:t xml:space="preserve"> </w:t>
      </w:r>
      <w:r w:rsidRPr="00D577DE">
        <w:rPr>
          <w:b/>
          <w:bCs/>
          <w:rtl/>
        </w:rPr>
        <w:t>ولهذا الغرض، وبالنظر إلى قبول الدولة الطرف تقديم تقريرها إلى اللجنة عملاً بالإجراء المبسط لتقديم التقارير، فإن اللجنة ستحيل إليها، في الوقت المناسب، قائمة مسائل لمعالجتها قبل تقديم تقريرها. وستشكل ردود الدولة الطرف على قائمة المسائل هذه تقريرها الدوري الثالث بموجب المادة 19 من الاتفاقية، الذي تحث اللجنة الدولة الطرف على تقديمه في أوانه.</w:t>
      </w:r>
    </w:p>
    <w:p w14:paraId="12FE7ECE" w14:textId="77777777" w:rsidR="009C0CE0" w:rsidRPr="00E24B9E" w:rsidRDefault="009C0CE0" w:rsidP="009C0CE0">
      <w:pPr>
        <w:spacing w:before="240"/>
        <w:jc w:val="center"/>
        <w:rPr>
          <w:u w:val="single"/>
        </w:rPr>
      </w:pPr>
      <w:r w:rsidRPr="00E24B9E">
        <w:rPr>
          <w:u w:val="single"/>
        </w:rPr>
        <w:tab/>
      </w:r>
      <w:r w:rsidRPr="00E24B9E">
        <w:rPr>
          <w:u w:val="single"/>
        </w:rPr>
        <w:tab/>
      </w:r>
      <w:r w:rsidRPr="00E24B9E">
        <w:rPr>
          <w:u w:val="single"/>
        </w:rPr>
        <w:tab/>
      </w:r>
    </w:p>
    <w:sectPr w:rsidR="009C0CE0" w:rsidRPr="00E24B9E" w:rsidSect="00033BA9">
      <w:headerReference w:type="even" r:id="rId9"/>
      <w:headerReference w:type="default" r:id="rId10"/>
      <w:footerReference w:type="even" r:id="rId11"/>
      <w:footerReference w:type="default" r:id="rId12"/>
      <w:footerReference w:type="first" r:id="rId13"/>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1618B" w14:textId="77777777" w:rsidR="00992F1D" w:rsidRPr="002901D9" w:rsidRDefault="00992F1D" w:rsidP="00874514">
      <w:pPr>
        <w:spacing w:after="60" w:line="240" w:lineRule="auto"/>
        <w:ind w:left="57"/>
        <w:rPr>
          <w:i/>
          <w:iCs/>
        </w:rPr>
      </w:pPr>
      <w:r>
        <w:rPr>
          <w:rFonts w:hint="cs"/>
          <w:i/>
          <w:iCs/>
          <w:rtl/>
        </w:rPr>
        <w:t>الحواشي</w:t>
      </w:r>
    </w:p>
  </w:endnote>
  <w:endnote w:type="continuationSeparator" w:id="0">
    <w:p w14:paraId="575F1F4B" w14:textId="77777777" w:rsidR="00992F1D" w:rsidRDefault="00992F1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30D78" w14:textId="12D7A405" w:rsidR="006411A5" w:rsidRPr="006411A5" w:rsidRDefault="006411A5" w:rsidP="006411A5">
    <w:pPr>
      <w:pStyle w:val="Footer"/>
      <w:tabs>
        <w:tab w:val="right" w:pos="9638"/>
      </w:tabs>
      <w:rPr>
        <w:b/>
        <w:sz w:val="18"/>
        <w:lang w:val="en-US"/>
      </w:rPr>
    </w:pPr>
    <w:proofErr w:type="spellStart"/>
    <w:r>
      <w:rPr>
        <w:lang w:val="en-US"/>
      </w:rPr>
      <w:t>GE.22</w:t>
    </w:r>
    <w:proofErr w:type="spellEnd"/>
    <w:r>
      <w:rPr>
        <w:lang w:val="en-US"/>
      </w:rPr>
      <w:t>-26904</w:t>
    </w:r>
    <w:r>
      <w:rPr>
        <w:lang w:val="en-US"/>
      </w:rPr>
      <w:tab/>
    </w:r>
    <w:r w:rsidRPr="006411A5">
      <w:rPr>
        <w:b/>
        <w:sz w:val="18"/>
        <w:lang w:val="en-US"/>
      </w:rPr>
      <w:fldChar w:fldCharType="begin"/>
    </w:r>
    <w:r w:rsidRPr="006411A5">
      <w:rPr>
        <w:b/>
        <w:sz w:val="18"/>
        <w:lang w:val="en-US"/>
      </w:rPr>
      <w:instrText xml:space="preserve"> PAGE  \* MERGEFORMAT </w:instrText>
    </w:r>
    <w:r w:rsidRPr="006411A5">
      <w:rPr>
        <w:b/>
        <w:sz w:val="18"/>
        <w:lang w:val="en-US"/>
      </w:rPr>
      <w:fldChar w:fldCharType="separate"/>
    </w:r>
    <w:r w:rsidRPr="006411A5">
      <w:rPr>
        <w:b/>
        <w:noProof/>
        <w:sz w:val="18"/>
        <w:lang w:val="en-US"/>
      </w:rPr>
      <w:t>2</w:t>
    </w:r>
    <w:r w:rsidRPr="006411A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C322D" w14:textId="196275C3" w:rsidR="006959B0" w:rsidRPr="006411A5" w:rsidRDefault="006411A5" w:rsidP="006411A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GE.22</w:t>
    </w:r>
    <w:proofErr w:type="spellEnd"/>
    <w:r>
      <w:rPr>
        <w:lang w:val="en-US"/>
      </w:rPr>
      <w:t>-26904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F5C14" w14:textId="6DEFD4CB" w:rsidR="00261289" w:rsidRPr="006411A5" w:rsidRDefault="006411A5" w:rsidP="006411A5">
    <w:pPr>
      <w:pStyle w:val="Footer"/>
      <w:spacing w:before="600"/>
      <w:ind w:left="567"/>
      <w:jc w:val="right"/>
      <w:rPr>
        <w:sz w:val="20"/>
        <w:lang w:val="en-US"/>
      </w:rPr>
    </w:pPr>
    <w:proofErr w:type="spellStart"/>
    <w:r>
      <w:rPr>
        <w:sz w:val="20"/>
        <w:lang w:val="en-US"/>
      </w:rPr>
      <w:t>GE.</w:t>
    </w:r>
    <w:r w:rsidR="00F62057">
      <w:rPr>
        <w:noProof/>
      </w:rPr>
      <w:drawing>
        <wp:anchor distT="0" distB="0" distL="114300" distR="114300" simplePos="0" relativeHeight="251658240" behindDoc="1" locked="1" layoutInCell="0" allowOverlap="1" wp14:anchorId="1EC4D68E" wp14:editId="3C67B04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w:t>
    </w:r>
    <w:proofErr w:type="spellEnd"/>
    <w:r>
      <w:rPr>
        <w:sz w:val="20"/>
        <w:lang w:val="en-US"/>
      </w:rPr>
      <w:t>-26904 (A)</w:t>
    </w:r>
    <w:r>
      <w:rPr>
        <w:noProof/>
        <w:sz w:val="20"/>
        <w:lang w:val="en-US"/>
      </w:rPr>
      <w:drawing>
        <wp:anchor distT="0" distB="0" distL="114300" distR="114300" simplePos="0" relativeHeight="251659264" behindDoc="0" locked="0" layoutInCell="1" allowOverlap="1" wp14:anchorId="036858DD" wp14:editId="6B41CD9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C86C3" w14:textId="77777777" w:rsidR="00992F1D" w:rsidRPr="004956DC" w:rsidRDefault="00992F1D" w:rsidP="000F71D2">
      <w:pPr>
        <w:pStyle w:val="Footer"/>
        <w:bidi/>
        <w:spacing w:after="80" w:line="200" w:lineRule="exact"/>
        <w:ind w:left="680"/>
      </w:pPr>
      <w:r>
        <w:rPr>
          <w:rtl/>
        </w:rPr>
        <w:t>__________</w:t>
      </w:r>
    </w:p>
  </w:footnote>
  <w:footnote w:type="continuationSeparator" w:id="0">
    <w:p w14:paraId="312A2EC5" w14:textId="77777777" w:rsidR="00992F1D" w:rsidRDefault="00992F1D" w:rsidP="00656392">
      <w:pPr>
        <w:spacing w:line="240" w:lineRule="auto"/>
      </w:pPr>
      <w:r>
        <w:continuationSeparator/>
      </w:r>
    </w:p>
  </w:footnote>
  <w:footnote w:id="1">
    <w:p w14:paraId="485367BF" w14:textId="2834BF1A" w:rsidR="009C0CE0" w:rsidRPr="00CD78B2" w:rsidRDefault="009C0CE0" w:rsidP="00CD78B2">
      <w:pPr>
        <w:pStyle w:val="FootnoteText"/>
        <w:tabs>
          <w:tab w:val="clear" w:pos="1021"/>
        </w:tabs>
        <w:bidi/>
        <w:spacing w:after="60" w:line="280" w:lineRule="exact"/>
        <w:ind w:left="1247" w:right="1247" w:hanging="567"/>
        <w:jc w:val="lowKashida"/>
        <w:textDirection w:val="tbRlV"/>
        <w:rPr>
          <w:szCs w:val="18"/>
          <w:lang w:val="ar-SA" w:eastAsia="zh-TW" w:bidi="en-GB"/>
        </w:rPr>
      </w:pPr>
      <w:r w:rsidRPr="00CD78B2">
        <w:rPr>
          <w:rFonts w:ascii="Simplified Arabic"/>
          <w:szCs w:val="18"/>
        </w:rPr>
        <w:t>*</w:t>
      </w:r>
      <w:r w:rsidRPr="00CD78B2">
        <w:rPr>
          <w:szCs w:val="18"/>
          <w:rtl/>
        </w:rPr>
        <w:tab/>
        <w:t xml:space="preserve">اعتمدتها اللجنة في دورتها الخامسة والسبعين </w:t>
      </w:r>
      <w:r w:rsidRPr="00CD78B2">
        <w:rPr>
          <w:rFonts w:ascii="Simplified Arabic"/>
          <w:szCs w:val="18"/>
          <w:rtl/>
        </w:rPr>
        <w:t>(31</w:t>
      </w:r>
      <w:r w:rsidRPr="00CD78B2">
        <w:rPr>
          <w:szCs w:val="18"/>
          <w:rtl/>
        </w:rPr>
        <w:t xml:space="preserve"> تشرين الأول/أكتوبر - </w:t>
      </w:r>
      <w:r w:rsidRPr="00CD78B2">
        <w:rPr>
          <w:rFonts w:ascii="Simplified Arabic"/>
          <w:szCs w:val="18"/>
          <w:rtl/>
        </w:rPr>
        <w:t>25</w:t>
      </w:r>
      <w:r w:rsidRPr="00CD78B2">
        <w:rPr>
          <w:szCs w:val="18"/>
          <w:rtl/>
        </w:rPr>
        <w:t xml:space="preserve"> تشرين الثاني/نوفمبر </w:t>
      </w:r>
      <w:r w:rsidRPr="00CD78B2">
        <w:rPr>
          <w:rFonts w:ascii="Simplified Arabic"/>
          <w:szCs w:val="18"/>
          <w:rtl/>
        </w:rPr>
        <w:t>2022</w:t>
      </w:r>
      <w:r w:rsidR="00704AD2" w:rsidRPr="00704AD2">
        <w:rPr>
          <w:rFonts w:ascii="Simplified Arabic"/>
          <w:szCs w:val="18"/>
          <w:rtl/>
        </w:rPr>
        <w:t>)</w:t>
      </w:r>
      <w:r w:rsidR="00704AD2" w:rsidRPr="00704AD2">
        <w:rPr>
          <w:szCs w:val="18"/>
          <w:rtl/>
        </w:rPr>
        <w:t xml:space="preserve">. </w:t>
      </w:r>
    </w:p>
  </w:footnote>
  <w:footnote w:id="2">
    <w:p w14:paraId="19E841FC" w14:textId="77777777" w:rsidR="00704AD2" w:rsidRPr="00CD78B2" w:rsidRDefault="00704AD2" w:rsidP="00704AD2">
      <w:pPr>
        <w:pStyle w:val="FootnoteText"/>
        <w:tabs>
          <w:tab w:val="clear" w:pos="1021"/>
        </w:tabs>
        <w:bidi/>
        <w:spacing w:after="60" w:line="280" w:lineRule="exact"/>
        <w:ind w:left="1247" w:right="1247" w:hanging="567"/>
        <w:jc w:val="lowKashida"/>
        <w:textDirection w:val="tbRlV"/>
        <w:rPr>
          <w:szCs w:val="18"/>
          <w:lang w:val="ar-SA" w:eastAsia="zh-TW" w:bidi="en-GB"/>
        </w:rPr>
      </w:pPr>
      <w:r w:rsidRPr="004B6834">
        <w:rPr>
          <w:rStyle w:val="FootnoteReference"/>
          <w:vertAlign w:val="baseline"/>
          <w:rtl/>
        </w:rPr>
        <w:t>(</w:t>
      </w:r>
      <w:r w:rsidRPr="004B6834">
        <w:rPr>
          <w:rStyle w:val="FootnoteReference"/>
          <w:vertAlign w:val="baseline"/>
          <w:rtl/>
        </w:rPr>
        <w:footnoteRef/>
      </w:r>
      <w:r w:rsidRPr="004B6834">
        <w:rPr>
          <w:rStyle w:val="FootnoteReference"/>
          <w:vertAlign w:val="baseline"/>
          <w:rtl/>
        </w:rPr>
        <w:t>)</w:t>
      </w:r>
      <w:r w:rsidRPr="00CD78B2">
        <w:rPr>
          <w:szCs w:val="18"/>
          <w:rtl/>
        </w:rPr>
        <w:tab/>
      </w:r>
      <w:hyperlink r:id="rId1" w:history="1">
        <w:r w:rsidRPr="00704AD2">
          <w:rPr>
            <w:rStyle w:val="Hyperlink"/>
          </w:rPr>
          <w:t>CAT/C/</w:t>
        </w:r>
        <w:proofErr w:type="spellStart"/>
        <w:r w:rsidRPr="00704AD2">
          <w:rPr>
            <w:rStyle w:val="Hyperlink"/>
          </w:rPr>
          <w:t>UGA</w:t>
        </w:r>
        <w:proofErr w:type="spellEnd"/>
        <w:r w:rsidRPr="00704AD2">
          <w:rPr>
            <w:rStyle w:val="Hyperlink"/>
          </w:rPr>
          <w:t>/2</w:t>
        </w:r>
      </w:hyperlink>
      <w:r w:rsidRPr="00704AD2">
        <w:rPr>
          <w:rFonts w:cs="Times New Roman"/>
          <w:szCs w:val="18"/>
          <w:rtl/>
        </w:rPr>
        <w:t xml:space="preserve">. </w:t>
      </w:r>
    </w:p>
  </w:footnote>
  <w:footnote w:id="3">
    <w:p w14:paraId="734E3310" w14:textId="77777777" w:rsidR="00704AD2" w:rsidRPr="00CD78B2" w:rsidRDefault="00704AD2" w:rsidP="00704AD2">
      <w:pPr>
        <w:pStyle w:val="FootnoteText"/>
        <w:tabs>
          <w:tab w:val="clear" w:pos="1021"/>
        </w:tabs>
        <w:bidi/>
        <w:spacing w:after="60" w:line="280" w:lineRule="exact"/>
        <w:ind w:left="1247" w:right="1247" w:hanging="567"/>
        <w:jc w:val="lowKashida"/>
        <w:textDirection w:val="tbRlV"/>
        <w:rPr>
          <w:szCs w:val="18"/>
          <w:lang w:val="ar-SA" w:eastAsia="zh-TW" w:bidi="en-GB"/>
        </w:rPr>
      </w:pPr>
      <w:r w:rsidRPr="004B6834">
        <w:rPr>
          <w:rStyle w:val="FootnoteReference"/>
          <w:vertAlign w:val="baseline"/>
          <w:rtl/>
        </w:rPr>
        <w:t>(</w:t>
      </w:r>
      <w:r w:rsidRPr="004B6834">
        <w:rPr>
          <w:rStyle w:val="FootnoteReference"/>
          <w:vertAlign w:val="baseline"/>
          <w:rtl/>
        </w:rPr>
        <w:footnoteRef/>
      </w:r>
      <w:r w:rsidRPr="004B6834">
        <w:rPr>
          <w:rStyle w:val="FootnoteReference"/>
          <w:vertAlign w:val="baseline"/>
          <w:rtl/>
        </w:rPr>
        <w:t>)</w:t>
      </w:r>
      <w:r w:rsidRPr="00CD78B2">
        <w:rPr>
          <w:szCs w:val="18"/>
          <w:rtl/>
        </w:rPr>
        <w:tab/>
        <w:t xml:space="preserve">انظر الوثيقة </w:t>
      </w:r>
      <w:hyperlink r:id="rId2" w:history="1">
        <w:r w:rsidRPr="00704AD2">
          <w:rPr>
            <w:rStyle w:val="Hyperlink"/>
          </w:rPr>
          <w:t>CAT/C/</w:t>
        </w:r>
        <w:proofErr w:type="spellStart"/>
        <w:r w:rsidRPr="00704AD2">
          <w:rPr>
            <w:rStyle w:val="Hyperlink"/>
          </w:rPr>
          <w:t>SR.1951</w:t>
        </w:r>
        <w:proofErr w:type="spellEnd"/>
      </w:hyperlink>
      <w:r w:rsidRPr="00CD78B2">
        <w:rPr>
          <w:szCs w:val="18"/>
          <w:rtl/>
        </w:rPr>
        <w:t xml:space="preserve"> والوثيقة </w:t>
      </w:r>
      <w:hyperlink r:id="rId3" w:history="1">
        <w:r w:rsidRPr="00704AD2">
          <w:rPr>
            <w:rStyle w:val="Hyperlink"/>
          </w:rPr>
          <w:t>CAT/C/SR/1954</w:t>
        </w:r>
      </w:hyperlink>
      <w:r w:rsidRPr="00704AD2">
        <w:rPr>
          <w:rFonts w:cs="Times New Roman"/>
          <w:szCs w:val="18"/>
          <w:rtl/>
        </w:rPr>
        <w:t xml:space="preserve">. </w:t>
      </w:r>
    </w:p>
  </w:footnote>
  <w:footnote w:id="4">
    <w:p w14:paraId="596D078F" w14:textId="2ED66A0B" w:rsidR="00704AD2" w:rsidRPr="00CD78B2" w:rsidRDefault="00704AD2" w:rsidP="00704AD2">
      <w:pPr>
        <w:pStyle w:val="FootnoteText"/>
        <w:tabs>
          <w:tab w:val="clear" w:pos="1021"/>
        </w:tabs>
        <w:bidi/>
        <w:spacing w:after="60" w:line="280" w:lineRule="exact"/>
        <w:ind w:left="1247" w:right="1247" w:hanging="567"/>
        <w:jc w:val="lowKashida"/>
        <w:textDirection w:val="tbRlV"/>
        <w:rPr>
          <w:szCs w:val="18"/>
          <w:lang w:val="ar-SA" w:eastAsia="zh-TW" w:bidi="en-GB"/>
        </w:rPr>
      </w:pPr>
      <w:r w:rsidRPr="004B6834">
        <w:rPr>
          <w:rStyle w:val="FootnoteReference"/>
          <w:vertAlign w:val="baseline"/>
          <w:rtl/>
        </w:rPr>
        <w:t>(</w:t>
      </w:r>
      <w:r w:rsidRPr="004B6834">
        <w:rPr>
          <w:rStyle w:val="FootnoteReference"/>
          <w:vertAlign w:val="baseline"/>
          <w:rtl/>
        </w:rPr>
        <w:footnoteRef/>
      </w:r>
      <w:r w:rsidRPr="004B6834">
        <w:rPr>
          <w:rStyle w:val="FootnoteReference"/>
          <w:vertAlign w:val="baseline"/>
          <w:rtl/>
        </w:rPr>
        <w:t>)</w:t>
      </w:r>
      <w:r w:rsidRPr="00CD78B2">
        <w:rPr>
          <w:szCs w:val="18"/>
          <w:rtl/>
        </w:rPr>
        <w:tab/>
      </w:r>
      <w:hyperlink r:id="rId4" w:history="1">
        <w:r w:rsidRPr="00704AD2">
          <w:rPr>
            <w:rStyle w:val="Hyperlink"/>
          </w:rPr>
          <w:t>CAT/C/CR/34/</w:t>
        </w:r>
        <w:proofErr w:type="spellStart"/>
        <w:r w:rsidRPr="00704AD2">
          <w:rPr>
            <w:rStyle w:val="Hyperlink"/>
          </w:rPr>
          <w:t>UGA</w:t>
        </w:r>
        <w:proofErr w:type="spellEnd"/>
      </w:hyperlink>
      <w:r w:rsidRPr="00CD78B2">
        <w:rPr>
          <w:szCs w:val="18"/>
          <w:rtl/>
        </w:rPr>
        <w:t xml:space="preserve">، الفقرات </w:t>
      </w:r>
      <w:r w:rsidRPr="00CD78B2">
        <w:rPr>
          <w:rFonts w:ascii="Simplified Arabic"/>
          <w:szCs w:val="18"/>
          <w:rtl/>
        </w:rPr>
        <w:t>10(</w:t>
      </w:r>
      <w:r w:rsidRPr="00CD78B2">
        <w:rPr>
          <w:szCs w:val="18"/>
          <w:rtl/>
        </w:rPr>
        <w:t>ح</w:t>
      </w:r>
      <w:r w:rsidRPr="00CD78B2">
        <w:rPr>
          <w:rFonts w:ascii="Simplified Arabic"/>
          <w:szCs w:val="18"/>
          <w:rtl/>
        </w:rPr>
        <w:t>)</w:t>
      </w:r>
      <w:r w:rsidRPr="00CD78B2">
        <w:rPr>
          <w:szCs w:val="18"/>
          <w:rtl/>
        </w:rPr>
        <w:t xml:space="preserve"> و(ط) و(ي) و(ن) و(س) </w:t>
      </w:r>
      <w:proofErr w:type="spellStart"/>
      <w:r w:rsidRPr="00CD78B2">
        <w:rPr>
          <w:szCs w:val="18"/>
          <w:rtl/>
        </w:rPr>
        <w:t>و</w:t>
      </w:r>
      <w:r w:rsidRPr="00CD78B2">
        <w:rPr>
          <w:rFonts w:ascii="Simplified Arabic"/>
          <w:szCs w:val="18"/>
          <w:rtl/>
        </w:rPr>
        <w:t>1</w:t>
      </w:r>
      <w:r w:rsidRPr="00704AD2">
        <w:rPr>
          <w:rFonts w:ascii="Simplified Arabic"/>
          <w:szCs w:val="18"/>
          <w:rtl/>
        </w:rPr>
        <w:t>4</w:t>
      </w:r>
      <w:proofErr w:type="spellEnd"/>
      <w:r w:rsidRPr="00704AD2">
        <w:rPr>
          <w:rFonts w:ascii="Simplified Arabic"/>
          <w:szCs w:val="18"/>
          <w:rtl/>
        </w:rPr>
        <w:t>.</w:t>
      </w:r>
      <w:r w:rsidRPr="00704AD2">
        <w:rPr>
          <w:szCs w:val="18"/>
          <w:rtl/>
        </w:rPr>
        <w:t xml:space="preserve"> </w:t>
      </w:r>
    </w:p>
  </w:footnote>
  <w:footnote w:id="5">
    <w:p w14:paraId="24BE4AA8" w14:textId="3413471B" w:rsidR="00704AD2" w:rsidRPr="00CD78B2" w:rsidRDefault="00704AD2" w:rsidP="00CD78B2">
      <w:pPr>
        <w:pStyle w:val="FootnoteText"/>
        <w:tabs>
          <w:tab w:val="clear" w:pos="1021"/>
        </w:tabs>
        <w:bidi/>
        <w:spacing w:after="60" w:line="280" w:lineRule="exact"/>
        <w:ind w:left="1247" w:right="1247" w:hanging="567"/>
        <w:jc w:val="lowKashida"/>
        <w:textDirection w:val="tbRlV"/>
        <w:rPr>
          <w:szCs w:val="18"/>
          <w:lang w:val="ar-SA" w:eastAsia="zh-TW" w:bidi="en-GB"/>
        </w:rPr>
      </w:pPr>
      <w:r w:rsidRPr="004B6834">
        <w:rPr>
          <w:rStyle w:val="FootnoteReference"/>
          <w:vertAlign w:val="baseline"/>
          <w:rtl/>
        </w:rPr>
        <w:t>(</w:t>
      </w:r>
      <w:r w:rsidRPr="004B6834">
        <w:rPr>
          <w:rStyle w:val="FootnoteReference"/>
          <w:vertAlign w:val="baseline"/>
          <w:rtl/>
        </w:rPr>
        <w:footnoteRef/>
      </w:r>
      <w:r w:rsidRPr="004B6834">
        <w:rPr>
          <w:rStyle w:val="FootnoteReference"/>
          <w:vertAlign w:val="baseline"/>
          <w:rtl/>
        </w:rPr>
        <w:t>)</w:t>
      </w:r>
      <w:r w:rsidRPr="00CD78B2">
        <w:rPr>
          <w:szCs w:val="18"/>
          <w:rtl/>
        </w:rPr>
        <w:tab/>
        <w:t xml:space="preserve">المرجع نفسه، الفقرة </w:t>
      </w:r>
      <w:r w:rsidRPr="00CD78B2">
        <w:rPr>
          <w:rFonts w:ascii="Simplified Arabic"/>
          <w:szCs w:val="18"/>
          <w:rtl/>
        </w:rPr>
        <w:t>10(</w:t>
      </w:r>
      <w:r w:rsidRPr="00CD78B2">
        <w:rPr>
          <w:szCs w:val="18"/>
          <w:rtl/>
        </w:rPr>
        <w:t>ط</w:t>
      </w:r>
      <w:r w:rsidRPr="00704AD2">
        <w:rPr>
          <w:rFonts w:ascii="Simplified Arabic"/>
          <w:szCs w:val="18"/>
          <w:rtl/>
        </w:rPr>
        <w:t>)</w:t>
      </w:r>
      <w:r w:rsidRPr="00704AD2">
        <w:rPr>
          <w:szCs w:val="18"/>
          <w:rtl/>
        </w:rPr>
        <w:t xml:space="preserve">. </w:t>
      </w:r>
    </w:p>
  </w:footnote>
  <w:footnote w:id="6">
    <w:p w14:paraId="5689C10A" w14:textId="77777777" w:rsidR="00704AD2" w:rsidRPr="00CD78B2" w:rsidRDefault="00704AD2" w:rsidP="00704AD2">
      <w:pPr>
        <w:pStyle w:val="FootnoteText"/>
        <w:tabs>
          <w:tab w:val="clear" w:pos="1021"/>
        </w:tabs>
        <w:bidi/>
        <w:spacing w:after="60" w:line="280" w:lineRule="exact"/>
        <w:ind w:left="1247" w:right="1247" w:hanging="567"/>
        <w:jc w:val="lowKashida"/>
        <w:textDirection w:val="tbRlV"/>
        <w:rPr>
          <w:rFonts w:ascii="Arial" w:hAnsi="Arial" w:cs="Arial"/>
          <w:szCs w:val="18"/>
          <w:lang w:val="ar-SA" w:eastAsia="zh-TW" w:bidi="en-GB"/>
        </w:rPr>
      </w:pPr>
      <w:r w:rsidRPr="004B6834">
        <w:rPr>
          <w:rStyle w:val="FootnoteReference"/>
          <w:vertAlign w:val="baseline"/>
          <w:rtl/>
        </w:rPr>
        <w:t>(</w:t>
      </w:r>
      <w:r w:rsidRPr="004B6834">
        <w:rPr>
          <w:rStyle w:val="FootnoteReference"/>
          <w:vertAlign w:val="baseline"/>
          <w:rtl/>
        </w:rPr>
        <w:footnoteRef/>
      </w:r>
      <w:r w:rsidRPr="004B6834">
        <w:rPr>
          <w:rStyle w:val="FootnoteReference"/>
          <w:vertAlign w:val="baseline"/>
          <w:rtl/>
        </w:rPr>
        <w:t>)</w:t>
      </w:r>
      <w:r w:rsidRPr="00CD78B2">
        <w:rPr>
          <w:szCs w:val="18"/>
          <w:rtl/>
        </w:rPr>
        <w:tab/>
        <w:t xml:space="preserve">حتى </w:t>
      </w:r>
      <w:r w:rsidRPr="00CD78B2">
        <w:rPr>
          <w:rFonts w:ascii="Simplified Arabic"/>
          <w:szCs w:val="18"/>
          <w:rtl/>
        </w:rPr>
        <w:t>31</w:t>
      </w:r>
      <w:r w:rsidRPr="00CD78B2">
        <w:rPr>
          <w:szCs w:val="18"/>
          <w:rtl/>
        </w:rPr>
        <w:t xml:space="preserve"> تموز/يوليه </w:t>
      </w:r>
      <w:r w:rsidRPr="00CD78B2">
        <w:rPr>
          <w:rFonts w:ascii="Simplified Arabic"/>
          <w:szCs w:val="18"/>
          <w:rtl/>
        </w:rPr>
        <w:t>2022</w:t>
      </w:r>
      <w:r w:rsidRPr="00704AD2">
        <w:rPr>
          <w:szCs w:val="18"/>
          <w:rtl/>
        </w:rPr>
        <w:t>،</w:t>
      </w:r>
      <w:r w:rsidRPr="00CD78B2">
        <w:rPr>
          <w:szCs w:val="18"/>
          <w:rtl/>
        </w:rPr>
        <w:t xml:space="preserve"> تجاوز عدد اللاجئين في أوغندا </w:t>
      </w:r>
      <w:r w:rsidRPr="00CD78B2">
        <w:rPr>
          <w:rFonts w:ascii="Simplified Arabic"/>
          <w:szCs w:val="18"/>
          <w:rtl/>
        </w:rPr>
        <w:t>1,5</w:t>
      </w:r>
      <w:r w:rsidRPr="00CD78B2">
        <w:rPr>
          <w:szCs w:val="18"/>
          <w:rtl/>
        </w:rPr>
        <w:t xml:space="preserve"> مليون لاجئ. مفوضية الأمم المتحدة لشؤون اللاجئين، بوابة أوغندا الشاملة للاستجابة لحالات اللجوء. متاح في</w:t>
      </w:r>
      <w:r w:rsidRPr="00CD78B2">
        <w:rPr>
          <w:rFonts w:ascii="Simplified Arabic"/>
          <w:szCs w:val="18"/>
        </w:rPr>
        <w:t>:</w:t>
      </w:r>
      <w:r w:rsidRPr="00CD78B2">
        <w:rPr>
          <w:szCs w:val="18"/>
          <w:rtl/>
        </w:rPr>
        <w:t xml:space="preserve"> </w:t>
      </w:r>
      <w:hyperlink r:id="rId5" w:history="1">
        <w:r w:rsidRPr="00704AD2">
          <w:rPr>
            <w:rStyle w:val="Hyperlink"/>
          </w:rPr>
          <w:t>https://</w:t>
        </w:r>
        <w:proofErr w:type="spellStart"/>
        <w:r w:rsidRPr="00704AD2">
          <w:rPr>
            <w:rStyle w:val="Hyperlink"/>
          </w:rPr>
          <w:t>data.unhcr.org</w:t>
        </w:r>
        <w:proofErr w:type="spellEnd"/>
        <w:r w:rsidRPr="00704AD2">
          <w:rPr>
            <w:rStyle w:val="Hyperlink"/>
          </w:rPr>
          <w:t>/</w:t>
        </w:r>
        <w:proofErr w:type="spellStart"/>
        <w:r w:rsidRPr="00704AD2">
          <w:rPr>
            <w:rStyle w:val="Hyperlink"/>
          </w:rPr>
          <w:t>en</w:t>
        </w:r>
        <w:proofErr w:type="spellEnd"/>
        <w:r w:rsidRPr="00704AD2">
          <w:rPr>
            <w:rStyle w:val="Hyperlink"/>
          </w:rPr>
          <w:t>/country/</w:t>
        </w:r>
        <w:proofErr w:type="spellStart"/>
        <w:r w:rsidRPr="00704AD2">
          <w:rPr>
            <w:rStyle w:val="Hyperlink"/>
          </w:rPr>
          <w:t>uga</w:t>
        </w:r>
        <w:proofErr w:type="spellEnd"/>
      </w:hyperlink>
      <w:r w:rsidRPr="00CD78B2">
        <w:rPr>
          <w:rFonts w:cs="Times New Roman"/>
          <w:szCs w:val="18"/>
          <w:rtl/>
        </w:rPr>
        <w:t xml:space="preserve"> (</w:t>
      </w:r>
      <w:proofErr w:type="spellStart"/>
      <w:r w:rsidRPr="00CD78B2">
        <w:rPr>
          <w:rFonts w:cs="Times New Roman"/>
          <w:szCs w:val="18"/>
          <w:rtl/>
        </w:rPr>
        <w:t>accessed</w:t>
      </w:r>
      <w:proofErr w:type="spellEnd"/>
      <w:r w:rsidRPr="00CD78B2">
        <w:rPr>
          <w:rFonts w:cs="Times New Roman"/>
          <w:szCs w:val="18"/>
          <w:rtl/>
        </w:rPr>
        <w:t xml:space="preserve"> </w:t>
      </w:r>
      <w:proofErr w:type="spellStart"/>
      <w:r w:rsidRPr="00CD78B2">
        <w:rPr>
          <w:rFonts w:cs="Times New Roman"/>
          <w:szCs w:val="18"/>
          <w:rtl/>
        </w:rPr>
        <w:t>on</w:t>
      </w:r>
      <w:proofErr w:type="spellEnd"/>
      <w:r w:rsidRPr="00CD78B2">
        <w:rPr>
          <w:rFonts w:cs="Times New Roman"/>
          <w:szCs w:val="18"/>
          <w:rtl/>
        </w:rPr>
        <w:t xml:space="preserve"> 22 </w:t>
      </w:r>
      <w:proofErr w:type="spellStart"/>
      <w:r w:rsidRPr="00CD78B2">
        <w:rPr>
          <w:rFonts w:cs="Times New Roman"/>
          <w:szCs w:val="18"/>
          <w:rtl/>
        </w:rPr>
        <w:t>August</w:t>
      </w:r>
      <w:proofErr w:type="spellEnd"/>
      <w:r w:rsidRPr="00CD78B2">
        <w:rPr>
          <w:rFonts w:cs="Times New Roman"/>
          <w:szCs w:val="18"/>
          <w:rtl/>
        </w:rPr>
        <w:t xml:space="preserve"> 2022</w:t>
      </w:r>
      <w:r w:rsidRPr="00704AD2">
        <w:rPr>
          <w:rFonts w:cs="Times New Roman"/>
          <w:szCs w:val="18"/>
          <w:rtl/>
        </w:rPr>
        <w:t xml:space="preserve">). </w:t>
      </w:r>
    </w:p>
  </w:footnote>
  <w:footnote w:id="7">
    <w:p w14:paraId="6110EA6A" w14:textId="77777777" w:rsidR="00704AD2" w:rsidRPr="00CD78B2" w:rsidRDefault="00704AD2" w:rsidP="00CD78B2">
      <w:pPr>
        <w:pStyle w:val="FootnoteText"/>
        <w:tabs>
          <w:tab w:val="clear" w:pos="1021"/>
        </w:tabs>
        <w:bidi/>
        <w:spacing w:after="60" w:line="280" w:lineRule="exact"/>
        <w:ind w:left="1247" w:right="1247" w:hanging="567"/>
        <w:jc w:val="lowKashida"/>
        <w:textDirection w:val="tbRlV"/>
        <w:rPr>
          <w:szCs w:val="18"/>
          <w:lang w:eastAsia="zh-TW" w:bidi="en-GB"/>
        </w:rPr>
      </w:pPr>
      <w:r w:rsidRPr="004B6834">
        <w:rPr>
          <w:rStyle w:val="FootnoteReference"/>
          <w:vertAlign w:val="baseline"/>
          <w:rtl/>
        </w:rPr>
        <w:t>(</w:t>
      </w:r>
      <w:r w:rsidRPr="004B6834">
        <w:rPr>
          <w:rStyle w:val="FootnoteReference"/>
          <w:vertAlign w:val="baseline"/>
          <w:rtl/>
        </w:rPr>
        <w:footnoteRef/>
      </w:r>
      <w:r w:rsidRPr="004B6834">
        <w:rPr>
          <w:rStyle w:val="FootnoteReference"/>
          <w:vertAlign w:val="baseline"/>
          <w:rtl/>
        </w:rPr>
        <w:t>)</w:t>
      </w:r>
      <w:r w:rsidRPr="00CD78B2">
        <w:rPr>
          <w:szCs w:val="18"/>
          <w:rtl/>
        </w:rPr>
        <w:tab/>
        <w:t xml:space="preserve">المحكمة العليا، </w:t>
      </w:r>
      <w:r w:rsidRPr="004B6834">
        <w:rPr>
          <w:i/>
          <w:iCs/>
          <w:szCs w:val="18"/>
          <w:rtl/>
        </w:rPr>
        <w:t xml:space="preserve">قضية المدعي العام ضد سوزان </w:t>
      </w:r>
      <w:proofErr w:type="spellStart"/>
      <w:r w:rsidRPr="004B6834">
        <w:rPr>
          <w:i/>
          <w:iCs/>
          <w:szCs w:val="18"/>
          <w:rtl/>
        </w:rPr>
        <w:t>كيغولا</w:t>
      </w:r>
      <w:proofErr w:type="spellEnd"/>
      <w:r w:rsidRPr="004B6834">
        <w:rPr>
          <w:i/>
          <w:iCs/>
          <w:szCs w:val="18"/>
          <w:rtl/>
        </w:rPr>
        <w:t xml:space="preserve"> </w:t>
      </w:r>
      <w:proofErr w:type="spellStart"/>
      <w:r w:rsidRPr="004B6834">
        <w:rPr>
          <w:i/>
          <w:iCs/>
          <w:szCs w:val="18"/>
          <w:rtl/>
        </w:rPr>
        <w:t>و</w:t>
      </w:r>
      <w:r w:rsidRPr="004B6834">
        <w:rPr>
          <w:rFonts w:ascii="Simplified Arabic"/>
          <w:i/>
          <w:iCs/>
          <w:szCs w:val="18"/>
          <w:rtl/>
        </w:rPr>
        <w:t>417</w:t>
      </w:r>
      <w:proofErr w:type="spellEnd"/>
      <w:r w:rsidRPr="004B6834">
        <w:rPr>
          <w:i/>
          <w:iCs/>
          <w:szCs w:val="18"/>
          <w:rtl/>
        </w:rPr>
        <w:t xml:space="preserve"> آخرين</w:t>
      </w:r>
      <w:r w:rsidRPr="00CD78B2">
        <w:rPr>
          <w:szCs w:val="18"/>
          <w:rtl/>
        </w:rPr>
        <w:t xml:space="preserve">، الاستئناف الدستوري رقم </w:t>
      </w:r>
      <w:r w:rsidRPr="00CD78B2">
        <w:rPr>
          <w:rFonts w:ascii="Simplified Arabic"/>
          <w:szCs w:val="18"/>
          <w:rtl/>
        </w:rPr>
        <w:t>3</w:t>
      </w:r>
      <w:r w:rsidRPr="00CD78B2">
        <w:rPr>
          <w:szCs w:val="18"/>
          <w:rtl/>
        </w:rPr>
        <w:t xml:space="preserve"> لعام </w:t>
      </w:r>
      <w:r w:rsidRPr="00CD78B2">
        <w:rPr>
          <w:rFonts w:ascii="Simplified Arabic"/>
          <w:szCs w:val="18"/>
          <w:rtl/>
        </w:rPr>
        <w:t>2006</w:t>
      </w:r>
      <w:r w:rsidRPr="00CD78B2">
        <w:rPr>
          <w:szCs w:val="18"/>
          <w:rtl/>
        </w:rPr>
        <w:t xml:space="preserve">، الحكم، </w:t>
      </w:r>
      <w:r w:rsidRPr="00CD78B2">
        <w:rPr>
          <w:rFonts w:ascii="Simplified Arabic"/>
          <w:szCs w:val="18"/>
          <w:rtl/>
        </w:rPr>
        <w:t>21</w:t>
      </w:r>
      <w:r w:rsidRPr="00CD78B2">
        <w:rPr>
          <w:szCs w:val="18"/>
          <w:rtl/>
        </w:rPr>
        <w:t xml:space="preserve"> كانون الثاني/يناير </w:t>
      </w:r>
      <w:r w:rsidRPr="00CD78B2">
        <w:rPr>
          <w:rFonts w:ascii="Simplified Arabic"/>
          <w:szCs w:val="18"/>
          <w:rtl/>
        </w:rPr>
        <w:t>200</w:t>
      </w:r>
      <w:r w:rsidRPr="00704AD2">
        <w:rPr>
          <w:rFonts w:ascii="Simplified Arabic"/>
          <w:szCs w:val="18"/>
          <w:rtl/>
        </w:rPr>
        <w:t>9</w:t>
      </w:r>
      <w:r w:rsidRPr="00704AD2">
        <w:rPr>
          <w:szCs w:val="18"/>
          <w:rtl/>
        </w:rPr>
        <w:t xml:space="preserve">. </w:t>
      </w:r>
    </w:p>
  </w:footnote>
  <w:footnote w:id="8">
    <w:p w14:paraId="059D7630" w14:textId="77777777" w:rsidR="00704AD2" w:rsidRPr="00CD78B2" w:rsidRDefault="00704AD2" w:rsidP="00704AD2">
      <w:pPr>
        <w:pStyle w:val="FootnoteText"/>
        <w:tabs>
          <w:tab w:val="clear" w:pos="1021"/>
        </w:tabs>
        <w:bidi/>
        <w:spacing w:after="60" w:line="280" w:lineRule="exact"/>
        <w:ind w:left="1247" w:right="1247" w:hanging="567"/>
        <w:jc w:val="lowKashida"/>
        <w:textDirection w:val="tbRlV"/>
        <w:rPr>
          <w:szCs w:val="18"/>
          <w:lang w:val="ar-SA" w:eastAsia="zh-TW" w:bidi="en-GB"/>
        </w:rPr>
      </w:pPr>
      <w:r w:rsidRPr="004B6834">
        <w:rPr>
          <w:rStyle w:val="FootnoteReference"/>
          <w:vertAlign w:val="baseline"/>
          <w:rtl/>
        </w:rPr>
        <w:t>(</w:t>
      </w:r>
      <w:r w:rsidRPr="004B6834">
        <w:rPr>
          <w:rStyle w:val="FootnoteReference"/>
          <w:vertAlign w:val="baseline"/>
          <w:rtl/>
        </w:rPr>
        <w:footnoteRef/>
      </w:r>
      <w:r w:rsidRPr="004B6834">
        <w:rPr>
          <w:rStyle w:val="FootnoteReference"/>
          <w:vertAlign w:val="baseline"/>
          <w:rtl/>
        </w:rPr>
        <w:t>)</w:t>
      </w:r>
      <w:r w:rsidRPr="00CD78B2">
        <w:rPr>
          <w:szCs w:val="18"/>
          <w:rtl/>
        </w:rPr>
        <w:tab/>
      </w:r>
      <w:hyperlink r:id="rId6" w:history="1">
        <w:r w:rsidRPr="00704AD2">
          <w:rPr>
            <w:rStyle w:val="Hyperlink"/>
          </w:rPr>
          <w:t>CAT/C/CR/34/</w:t>
        </w:r>
        <w:proofErr w:type="spellStart"/>
        <w:r w:rsidRPr="00704AD2">
          <w:rPr>
            <w:rStyle w:val="Hyperlink"/>
          </w:rPr>
          <w:t>UGA</w:t>
        </w:r>
        <w:proofErr w:type="spellEnd"/>
      </w:hyperlink>
      <w:r w:rsidRPr="00CD78B2">
        <w:rPr>
          <w:szCs w:val="18"/>
          <w:rtl/>
        </w:rPr>
        <w:t xml:space="preserve">، الفقرة </w:t>
      </w:r>
      <w:r w:rsidRPr="00CD78B2">
        <w:rPr>
          <w:rFonts w:ascii="Simplified Arabic"/>
          <w:szCs w:val="18"/>
          <w:rtl/>
        </w:rPr>
        <w:t>10(</w:t>
      </w:r>
      <w:r w:rsidRPr="00CD78B2">
        <w:rPr>
          <w:szCs w:val="18"/>
          <w:rtl/>
        </w:rPr>
        <w:t>ع</w:t>
      </w:r>
      <w:r w:rsidRPr="00704AD2">
        <w:rPr>
          <w:rFonts w:ascii="Simplified Arabic"/>
          <w:szCs w:val="18"/>
          <w:rtl/>
        </w:rPr>
        <w:t>)</w:t>
      </w:r>
      <w:r w:rsidRPr="00704AD2">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3250C" w14:textId="4905EF69" w:rsidR="006411A5" w:rsidRPr="006411A5" w:rsidRDefault="006411A5" w:rsidP="006411A5">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743C1">
      <w:t>CAT/C/</w:t>
    </w:r>
    <w:proofErr w:type="spellStart"/>
    <w:r w:rsidR="00D743C1">
      <w:t>UGA</w:t>
    </w:r>
    <w:proofErr w:type="spellEnd"/>
    <w:r w:rsidR="00D743C1">
      <w:t>/CO/2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3F78D" w14:textId="39CE88BB" w:rsidR="006411A5" w:rsidRPr="006411A5" w:rsidRDefault="006411A5" w:rsidP="006411A5">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743C1">
      <w:t>CAT/C/</w:t>
    </w:r>
    <w:proofErr w:type="spellStart"/>
    <w:r w:rsidR="00D743C1">
      <w:t>UGA</w:t>
    </w:r>
    <w:proofErr w:type="spellEnd"/>
    <w:r w:rsidR="00D743C1">
      <w:t>/CO/2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F1D"/>
    <w:rsid w:val="000076D5"/>
    <w:rsid w:val="00027118"/>
    <w:rsid w:val="00033BA9"/>
    <w:rsid w:val="00043663"/>
    <w:rsid w:val="000456F3"/>
    <w:rsid w:val="000505CF"/>
    <w:rsid w:val="00061B67"/>
    <w:rsid w:val="000A2113"/>
    <w:rsid w:val="000D701C"/>
    <w:rsid w:val="000E11D4"/>
    <w:rsid w:val="000E2A71"/>
    <w:rsid w:val="000F71D2"/>
    <w:rsid w:val="00155A7C"/>
    <w:rsid w:val="00160263"/>
    <w:rsid w:val="00166BD2"/>
    <w:rsid w:val="00167825"/>
    <w:rsid w:val="00170EB3"/>
    <w:rsid w:val="00181F96"/>
    <w:rsid w:val="001A1371"/>
    <w:rsid w:val="001B346A"/>
    <w:rsid w:val="001D6F7B"/>
    <w:rsid w:val="001E1CAD"/>
    <w:rsid w:val="001E290D"/>
    <w:rsid w:val="001E7EB2"/>
    <w:rsid w:val="00210DD4"/>
    <w:rsid w:val="002144FA"/>
    <w:rsid w:val="0023469A"/>
    <w:rsid w:val="00243C8A"/>
    <w:rsid w:val="00261289"/>
    <w:rsid w:val="00266034"/>
    <w:rsid w:val="0026755E"/>
    <w:rsid w:val="00267A0E"/>
    <w:rsid w:val="002901D9"/>
    <w:rsid w:val="002976C2"/>
    <w:rsid w:val="00323EC8"/>
    <w:rsid w:val="003260FF"/>
    <w:rsid w:val="00331598"/>
    <w:rsid w:val="00343D95"/>
    <w:rsid w:val="00350E2A"/>
    <w:rsid w:val="00362E33"/>
    <w:rsid w:val="00374341"/>
    <w:rsid w:val="00375D09"/>
    <w:rsid w:val="00384DA7"/>
    <w:rsid w:val="00385264"/>
    <w:rsid w:val="00390568"/>
    <w:rsid w:val="003D1062"/>
    <w:rsid w:val="00420D7B"/>
    <w:rsid w:val="004261B4"/>
    <w:rsid w:val="004429C2"/>
    <w:rsid w:val="00450B21"/>
    <w:rsid w:val="00453B63"/>
    <w:rsid w:val="00455780"/>
    <w:rsid w:val="00462F28"/>
    <w:rsid w:val="00472BE8"/>
    <w:rsid w:val="004811D5"/>
    <w:rsid w:val="004956DC"/>
    <w:rsid w:val="004B0A1C"/>
    <w:rsid w:val="004B6834"/>
    <w:rsid w:val="004D2177"/>
    <w:rsid w:val="004D298E"/>
    <w:rsid w:val="004D5DAB"/>
    <w:rsid w:val="00524C83"/>
    <w:rsid w:val="00531DEA"/>
    <w:rsid w:val="0054472E"/>
    <w:rsid w:val="00550F6E"/>
    <w:rsid w:val="005662A9"/>
    <w:rsid w:val="00575E9A"/>
    <w:rsid w:val="00580603"/>
    <w:rsid w:val="00581524"/>
    <w:rsid w:val="005827D4"/>
    <w:rsid w:val="005947CB"/>
    <w:rsid w:val="0059622A"/>
    <w:rsid w:val="005A3015"/>
    <w:rsid w:val="005C003B"/>
    <w:rsid w:val="005C5878"/>
    <w:rsid w:val="005C5965"/>
    <w:rsid w:val="005C7CEA"/>
    <w:rsid w:val="005D3C0B"/>
    <w:rsid w:val="005E23DF"/>
    <w:rsid w:val="005E5217"/>
    <w:rsid w:val="005F0FA4"/>
    <w:rsid w:val="005F30EE"/>
    <w:rsid w:val="0060473A"/>
    <w:rsid w:val="006411A5"/>
    <w:rsid w:val="00656392"/>
    <w:rsid w:val="006646E9"/>
    <w:rsid w:val="0068781D"/>
    <w:rsid w:val="006959B0"/>
    <w:rsid w:val="006B2A7F"/>
    <w:rsid w:val="006B3E27"/>
    <w:rsid w:val="006B6507"/>
    <w:rsid w:val="006C104C"/>
    <w:rsid w:val="006C7EBE"/>
    <w:rsid w:val="006D05CB"/>
    <w:rsid w:val="006E179A"/>
    <w:rsid w:val="006E6FDC"/>
    <w:rsid w:val="00704642"/>
    <w:rsid w:val="00704AD2"/>
    <w:rsid w:val="00706DFD"/>
    <w:rsid w:val="00712059"/>
    <w:rsid w:val="00732741"/>
    <w:rsid w:val="00733704"/>
    <w:rsid w:val="00734175"/>
    <w:rsid w:val="00761849"/>
    <w:rsid w:val="0076754C"/>
    <w:rsid w:val="0078071A"/>
    <w:rsid w:val="007A3847"/>
    <w:rsid w:val="007D56C1"/>
    <w:rsid w:val="007E0534"/>
    <w:rsid w:val="00817373"/>
    <w:rsid w:val="00852A9A"/>
    <w:rsid w:val="00860491"/>
    <w:rsid w:val="00874514"/>
    <w:rsid w:val="00893A8A"/>
    <w:rsid w:val="00897AA1"/>
    <w:rsid w:val="008A2029"/>
    <w:rsid w:val="008C0B37"/>
    <w:rsid w:val="008F49E1"/>
    <w:rsid w:val="0090370F"/>
    <w:rsid w:val="00906A57"/>
    <w:rsid w:val="009269D2"/>
    <w:rsid w:val="00942135"/>
    <w:rsid w:val="009521B0"/>
    <w:rsid w:val="00972676"/>
    <w:rsid w:val="00981C12"/>
    <w:rsid w:val="00992F1D"/>
    <w:rsid w:val="009A7E9F"/>
    <w:rsid w:val="009C0CE0"/>
    <w:rsid w:val="009E4397"/>
    <w:rsid w:val="009E5018"/>
    <w:rsid w:val="009F09F5"/>
    <w:rsid w:val="00A12B37"/>
    <w:rsid w:val="00A34EA8"/>
    <w:rsid w:val="00A43935"/>
    <w:rsid w:val="00A44D86"/>
    <w:rsid w:val="00A6402E"/>
    <w:rsid w:val="00A67AF5"/>
    <w:rsid w:val="00A94CA3"/>
    <w:rsid w:val="00AB2C0B"/>
    <w:rsid w:val="00AB6758"/>
    <w:rsid w:val="00AE422A"/>
    <w:rsid w:val="00B04767"/>
    <w:rsid w:val="00B07715"/>
    <w:rsid w:val="00B13763"/>
    <w:rsid w:val="00B456A0"/>
    <w:rsid w:val="00B457E1"/>
    <w:rsid w:val="00B477A4"/>
    <w:rsid w:val="00B54045"/>
    <w:rsid w:val="00B82677"/>
    <w:rsid w:val="00BA39D4"/>
    <w:rsid w:val="00BD0805"/>
    <w:rsid w:val="00C325CE"/>
    <w:rsid w:val="00C438D7"/>
    <w:rsid w:val="00C43E94"/>
    <w:rsid w:val="00C62476"/>
    <w:rsid w:val="00C81B50"/>
    <w:rsid w:val="00C87F1F"/>
    <w:rsid w:val="00C96AFF"/>
    <w:rsid w:val="00CA2103"/>
    <w:rsid w:val="00CA35DF"/>
    <w:rsid w:val="00CB7210"/>
    <w:rsid w:val="00CD1801"/>
    <w:rsid w:val="00CD4E2D"/>
    <w:rsid w:val="00CD78B2"/>
    <w:rsid w:val="00CF13D7"/>
    <w:rsid w:val="00CF2580"/>
    <w:rsid w:val="00CF25FC"/>
    <w:rsid w:val="00D00E70"/>
    <w:rsid w:val="00D10EF1"/>
    <w:rsid w:val="00D21FB8"/>
    <w:rsid w:val="00D31C91"/>
    <w:rsid w:val="00D42810"/>
    <w:rsid w:val="00D577DE"/>
    <w:rsid w:val="00D743C1"/>
    <w:rsid w:val="00D914A7"/>
    <w:rsid w:val="00D9370A"/>
    <w:rsid w:val="00DB712F"/>
    <w:rsid w:val="00DC1D29"/>
    <w:rsid w:val="00DD13C3"/>
    <w:rsid w:val="00DD41E6"/>
    <w:rsid w:val="00DD596E"/>
    <w:rsid w:val="00DD621E"/>
    <w:rsid w:val="00DF0575"/>
    <w:rsid w:val="00E2697F"/>
    <w:rsid w:val="00E53C05"/>
    <w:rsid w:val="00E573D6"/>
    <w:rsid w:val="00E64B72"/>
    <w:rsid w:val="00E70E04"/>
    <w:rsid w:val="00E76499"/>
    <w:rsid w:val="00EA68AF"/>
    <w:rsid w:val="00EB46B8"/>
    <w:rsid w:val="00EC05A7"/>
    <w:rsid w:val="00EC1593"/>
    <w:rsid w:val="00EC4B6B"/>
    <w:rsid w:val="00EE1659"/>
    <w:rsid w:val="00EE56C3"/>
    <w:rsid w:val="00EF1EE5"/>
    <w:rsid w:val="00F11EE2"/>
    <w:rsid w:val="00F1695F"/>
    <w:rsid w:val="00F408D0"/>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E09440"/>
  <w15:docId w15:val="{E790A819-B551-48BF-AFCD-B47501127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12F"/>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DB712F"/>
    <w:pPr>
      <w:bidi w:val="0"/>
      <w:outlineLvl w:val="0"/>
    </w:pPr>
  </w:style>
  <w:style w:type="paragraph" w:styleId="Heading2">
    <w:name w:val="heading 2"/>
    <w:basedOn w:val="Normal"/>
    <w:next w:val="Normal"/>
    <w:link w:val="Heading2Char"/>
    <w:uiPriority w:val="9"/>
    <w:unhideWhenUsed/>
    <w:rsid w:val="00DB712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B712F"/>
    <w:pPr>
      <w:keepNext/>
      <w:keepLines/>
      <w:spacing w:before="200"/>
      <w:outlineLvl w:val="2"/>
    </w:pPr>
    <w:rPr>
      <w:b/>
      <w:bCs/>
      <w:color w:val="4F81BD"/>
    </w:rPr>
  </w:style>
  <w:style w:type="paragraph" w:styleId="Heading4">
    <w:name w:val="heading 4"/>
    <w:basedOn w:val="Normal"/>
    <w:next w:val="Normal"/>
    <w:link w:val="Heading4Char"/>
    <w:uiPriority w:val="9"/>
    <w:unhideWhenUsed/>
    <w:rsid w:val="00DB712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B712F"/>
    <w:pPr>
      <w:keepNext/>
      <w:keepLines/>
      <w:spacing w:before="200"/>
      <w:outlineLvl w:val="4"/>
    </w:pPr>
    <w:rPr>
      <w:color w:val="243F60"/>
    </w:rPr>
  </w:style>
  <w:style w:type="paragraph" w:styleId="Heading6">
    <w:name w:val="heading 6"/>
    <w:basedOn w:val="Normal"/>
    <w:next w:val="Normal"/>
    <w:link w:val="Heading6Char"/>
    <w:uiPriority w:val="9"/>
    <w:unhideWhenUsed/>
    <w:rsid w:val="00DB712F"/>
    <w:pPr>
      <w:keepNext/>
      <w:keepLines/>
      <w:spacing w:before="200"/>
      <w:outlineLvl w:val="5"/>
    </w:pPr>
    <w:rPr>
      <w:i/>
      <w:iCs/>
      <w:color w:val="243F60"/>
    </w:rPr>
  </w:style>
  <w:style w:type="paragraph" w:styleId="Heading7">
    <w:name w:val="heading 7"/>
    <w:basedOn w:val="Normal"/>
    <w:next w:val="Normal"/>
    <w:link w:val="Heading7Char"/>
    <w:uiPriority w:val="9"/>
    <w:unhideWhenUsed/>
    <w:rsid w:val="00DB712F"/>
    <w:pPr>
      <w:keepNext/>
      <w:keepLines/>
      <w:spacing w:before="200"/>
      <w:outlineLvl w:val="6"/>
    </w:pPr>
    <w:rPr>
      <w:i/>
      <w:iCs/>
      <w:color w:val="404040"/>
    </w:rPr>
  </w:style>
  <w:style w:type="paragraph" w:styleId="Heading8">
    <w:name w:val="heading 8"/>
    <w:basedOn w:val="Normal"/>
    <w:next w:val="Normal"/>
    <w:link w:val="Heading8Char"/>
    <w:uiPriority w:val="9"/>
    <w:unhideWhenUsed/>
    <w:rsid w:val="00DB712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B712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DB712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DB712F"/>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DB712F"/>
    <w:rPr>
      <w:szCs w:val="18"/>
      <w:vertAlign w:val="superscript"/>
    </w:rPr>
  </w:style>
  <w:style w:type="paragraph" w:customStyle="1" w:styleId="HMGA">
    <w:name w:val="_ H __M_GA"/>
    <w:basedOn w:val="Normal"/>
    <w:next w:val="SingleTxtGA"/>
    <w:qFormat/>
    <w:rsid w:val="00DB712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B712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B712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B712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B712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B712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B712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B712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B712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B712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B712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B712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B712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B712F"/>
    <w:pPr>
      <w:numPr>
        <w:numId w:val="5"/>
      </w:numPr>
      <w:bidi w:val="0"/>
    </w:pPr>
    <w:rPr>
      <w:lang w:val="en-US"/>
    </w:rPr>
  </w:style>
  <w:style w:type="paragraph" w:customStyle="1" w:styleId="Roman1GA">
    <w:name w:val="_Roman 1_GA"/>
    <w:basedOn w:val="Bullet1GA"/>
    <w:qFormat/>
    <w:rsid w:val="00DB712F"/>
    <w:pPr>
      <w:numPr>
        <w:numId w:val="6"/>
      </w:numPr>
      <w:tabs>
        <w:tab w:val="clear" w:pos="2310"/>
        <w:tab w:val="left" w:pos="2486"/>
      </w:tabs>
      <w:ind w:left="2486" w:hanging="378"/>
    </w:pPr>
  </w:style>
  <w:style w:type="paragraph" w:customStyle="1" w:styleId="Roman2GA">
    <w:name w:val="_Roman 2_GA"/>
    <w:basedOn w:val="Bullet2GA"/>
    <w:qFormat/>
    <w:rsid w:val="00DB712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DB712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B712F"/>
    <w:rPr>
      <w:rFonts w:ascii="Times New Roman" w:eastAsia="PMingLiU" w:hAnsi="Times New Roman" w:cs="Simplified Arabic"/>
      <w:sz w:val="18"/>
      <w:lang w:val="en-GB" w:eastAsia="en-US"/>
    </w:rPr>
  </w:style>
  <w:style w:type="character" w:customStyle="1" w:styleId="EndtnoteReference">
    <w:name w:val="Endtnote Reference"/>
    <w:aliases w:val="1_GA"/>
    <w:qFormat/>
    <w:rsid w:val="00DB712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B712F"/>
    <w:pPr>
      <w:suppressAutoHyphens/>
      <w:bidi w:val="0"/>
      <w:spacing w:line="240" w:lineRule="auto"/>
    </w:pPr>
    <w:rPr>
      <w:sz w:val="16"/>
      <w:lang w:val="en-GB"/>
    </w:rPr>
  </w:style>
  <w:style w:type="character" w:customStyle="1" w:styleId="FooterChar">
    <w:name w:val="Footer Char"/>
    <w:aliases w:val="3_GA Char,3_G Char"/>
    <w:link w:val="Footer"/>
    <w:rsid w:val="00DB712F"/>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DB712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B712F"/>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DB712F"/>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DB712F"/>
    <w:rPr>
      <w:rFonts w:ascii="Times New Roman" w:eastAsia="PMingLiU" w:hAnsi="Times New Roman" w:cs="Simplified Arabic"/>
      <w:sz w:val="22"/>
      <w:szCs w:val="22"/>
      <w:lang w:val="en-GB" w:eastAsia="en-US"/>
    </w:rPr>
  </w:style>
  <w:style w:type="character" w:styleId="PageNumber">
    <w:name w:val="page number"/>
    <w:aliases w:val="7_GA,7_G"/>
    <w:qFormat/>
    <w:rsid w:val="00DB712F"/>
    <w:rPr>
      <w:rFonts w:ascii="Times New Roman Bold" w:hAnsi="Times New Roman Bold"/>
      <w:b/>
      <w:i w:val="0"/>
      <w:sz w:val="18"/>
      <w:szCs w:val="18"/>
    </w:rPr>
  </w:style>
  <w:style w:type="paragraph" w:customStyle="1" w:styleId="XXLargeGA">
    <w:name w:val="XXLarge_GA"/>
    <w:basedOn w:val="Normal"/>
    <w:next w:val="SingleTxtGA"/>
    <w:qFormat/>
    <w:rsid w:val="00DB712F"/>
    <w:pPr>
      <w:suppressAutoHyphens/>
      <w:spacing w:line="820" w:lineRule="exact"/>
    </w:pPr>
    <w:rPr>
      <w:spacing w:val="-8"/>
      <w:w w:val="96"/>
      <w:sz w:val="57"/>
      <w:szCs w:val="86"/>
      <w:lang w:val="en-GB"/>
    </w:rPr>
  </w:style>
  <w:style w:type="character" w:customStyle="1" w:styleId="Heading2Char">
    <w:name w:val="Heading 2 Char"/>
    <w:link w:val="Heading2"/>
    <w:uiPriority w:val="9"/>
    <w:rsid w:val="00DB712F"/>
    <w:rPr>
      <w:rFonts w:ascii="Times New Roman" w:eastAsia="PMingLiU" w:hAnsi="Times New Roman" w:cs="Simplified Arabic"/>
      <w:b/>
      <w:bCs/>
      <w:color w:val="4F81BD"/>
      <w:sz w:val="26"/>
      <w:szCs w:val="26"/>
      <w:lang w:eastAsia="en-US"/>
    </w:rPr>
  </w:style>
  <w:style w:type="character" w:styleId="BookTitle">
    <w:name w:val="Book Title"/>
    <w:uiPriority w:val="33"/>
    <w:rsid w:val="00DB712F"/>
    <w:rPr>
      <w:b/>
      <w:bCs/>
      <w:smallCaps/>
      <w:spacing w:val="5"/>
    </w:rPr>
  </w:style>
  <w:style w:type="character" w:customStyle="1" w:styleId="Heading3Char">
    <w:name w:val="Heading 3 Char"/>
    <w:link w:val="Heading3"/>
    <w:uiPriority w:val="9"/>
    <w:rsid w:val="00DB712F"/>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DB712F"/>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DB712F"/>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DB712F"/>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DB712F"/>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DB712F"/>
    <w:rPr>
      <w:rFonts w:ascii="Times New Roman" w:eastAsia="PMingLiU" w:hAnsi="Times New Roman" w:cs="Simplified Arabic"/>
      <w:color w:val="404040"/>
      <w:lang w:eastAsia="en-US"/>
    </w:rPr>
  </w:style>
  <w:style w:type="character" w:customStyle="1" w:styleId="Heading9Char">
    <w:name w:val="Heading 9 Char"/>
    <w:link w:val="Heading9"/>
    <w:uiPriority w:val="9"/>
    <w:rsid w:val="00DB712F"/>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DB712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B712F"/>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DB712F"/>
    <w:pPr>
      <w:numPr>
        <w:ilvl w:val="1"/>
      </w:numPr>
    </w:pPr>
    <w:rPr>
      <w:i/>
      <w:iCs/>
      <w:color w:val="4F81BD"/>
      <w:spacing w:val="15"/>
      <w:sz w:val="24"/>
      <w:szCs w:val="24"/>
    </w:rPr>
  </w:style>
  <w:style w:type="character" w:customStyle="1" w:styleId="SubtitleChar">
    <w:name w:val="Subtitle Char"/>
    <w:link w:val="Subtitle"/>
    <w:uiPriority w:val="11"/>
    <w:rsid w:val="00DB712F"/>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DB712F"/>
    <w:rPr>
      <w:i/>
      <w:iCs/>
      <w:color w:val="808080"/>
    </w:rPr>
  </w:style>
  <w:style w:type="table" w:styleId="ColorfulGrid-Accent6">
    <w:name w:val="Colorful Grid Accent 6"/>
    <w:basedOn w:val="TableNormal"/>
    <w:uiPriority w:val="73"/>
    <w:rsid w:val="00DB712F"/>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DB712F"/>
    <w:rPr>
      <w:i/>
      <w:iCs/>
    </w:rPr>
  </w:style>
  <w:style w:type="character" w:styleId="IntenseEmphasis">
    <w:name w:val="Intense Emphasis"/>
    <w:uiPriority w:val="21"/>
    <w:rsid w:val="00DB712F"/>
    <w:rPr>
      <w:b/>
      <w:bCs/>
      <w:i/>
      <w:iCs/>
      <w:color w:val="4F81BD"/>
    </w:rPr>
  </w:style>
  <w:style w:type="character" w:styleId="Strong">
    <w:name w:val="Strong"/>
    <w:uiPriority w:val="22"/>
    <w:rsid w:val="00DB712F"/>
    <w:rPr>
      <w:b/>
      <w:bCs/>
    </w:rPr>
  </w:style>
  <w:style w:type="paragraph" w:styleId="Quote">
    <w:name w:val="Quote"/>
    <w:basedOn w:val="Normal"/>
    <w:next w:val="Normal"/>
    <w:link w:val="QuoteChar"/>
    <w:uiPriority w:val="29"/>
    <w:rsid w:val="00DB712F"/>
    <w:rPr>
      <w:i/>
      <w:iCs/>
      <w:color w:val="000000"/>
    </w:rPr>
  </w:style>
  <w:style w:type="character" w:customStyle="1" w:styleId="QuoteChar">
    <w:name w:val="Quote Char"/>
    <w:link w:val="Quote"/>
    <w:uiPriority w:val="29"/>
    <w:rsid w:val="00DB712F"/>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DB712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B712F"/>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DB712F"/>
    <w:rPr>
      <w:smallCaps/>
      <w:color w:val="C0504D"/>
      <w:u w:val="single"/>
    </w:rPr>
  </w:style>
  <w:style w:type="character" w:styleId="IntenseReference">
    <w:name w:val="Intense Reference"/>
    <w:uiPriority w:val="32"/>
    <w:rsid w:val="00DB712F"/>
    <w:rPr>
      <w:b/>
      <w:bCs/>
      <w:smallCaps/>
      <w:color w:val="C0504D"/>
      <w:spacing w:val="5"/>
      <w:u w:val="single"/>
    </w:rPr>
  </w:style>
  <w:style w:type="paragraph" w:styleId="ListParagraph">
    <w:name w:val="List Paragraph"/>
    <w:basedOn w:val="Normal"/>
    <w:uiPriority w:val="34"/>
    <w:rsid w:val="00DB712F"/>
    <w:pPr>
      <w:ind w:left="720"/>
      <w:contextualSpacing/>
    </w:pPr>
  </w:style>
  <w:style w:type="table" w:styleId="MediumShading1-Accent4">
    <w:name w:val="Medium Shading 1 Accent 4"/>
    <w:basedOn w:val="TableNormal"/>
    <w:uiPriority w:val="63"/>
    <w:rsid w:val="00DB712F"/>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B712F"/>
    <w:rPr>
      <w:rFonts w:eastAsia="MS Mincho"/>
      <w:sz w:val="18"/>
      <w:vertAlign w:val="superscript"/>
    </w:rPr>
  </w:style>
  <w:style w:type="table" w:styleId="TableGrid">
    <w:name w:val="Table Grid"/>
    <w:basedOn w:val="TableNormal"/>
    <w:rsid w:val="00DB712F"/>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712F"/>
    <w:pPr>
      <w:spacing w:line="240" w:lineRule="auto"/>
    </w:pPr>
    <w:rPr>
      <w:sz w:val="16"/>
      <w:szCs w:val="16"/>
    </w:rPr>
  </w:style>
  <w:style w:type="character" w:customStyle="1" w:styleId="BalloonTextChar">
    <w:name w:val="Balloon Text Char"/>
    <w:link w:val="BalloonText"/>
    <w:uiPriority w:val="99"/>
    <w:semiHidden/>
    <w:rsid w:val="00DB712F"/>
    <w:rPr>
      <w:rFonts w:ascii="Times New Roman" w:eastAsia="PMingLiU" w:hAnsi="Times New Roman" w:cs="Simplified Arabic"/>
      <w:sz w:val="16"/>
      <w:szCs w:val="16"/>
      <w:lang w:eastAsia="en-US"/>
    </w:rPr>
  </w:style>
  <w:style w:type="character" w:styleId="Hyperlink">
    <w:name w:val="Hyperlink"/>
    <w:uiPriority w:val="99"/>
    <w:unhideWhenUsed/>
    <w:rsid w:val="00DB712F"/>
    <w:rPr>
      <w:color w:val="0000FF"/>
      <w:u w:val="none"/>
    </w:rPr>
  </w:style>
  <w:style w:type="paragraph" w:styleId="TOC1">
    <w:name w:val="toc 1"/>
    <w:basedOn w:val="Normal"/>
    <w:link w:val="TOC1Char"/>
    <w:autoRedefine/>
    <w:uiPriority w:val="39"/>
    <w:unhideWhenUsed/>
    <w:rsid w:val="00DB712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B712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B712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B712F"/>
    <w:rPr>
      <w:rFonts w:eastAsia="DengXian"/>
      <w:color w:val="auto"/>
      <w:sz w:val="20"/>
      <w:szCs w:val="20"/>
      <w:u w:val="none"/>
      <w:lang w:eastAsia="zh-CN" w:bidi="ar-EG"/>
    </w:rPr>
  </w:style>
  <w:style w:type="paragraph" w:styleId="TOC4">
    <w:name w:val="toc 4"/>
    <w:basedOn w:val="Normal"/>
    <w:link w:val="TOC4Char"/>
    <w:autoRedefine/>
    <w:uiPriority w:val="39"/>
    <w:unhideWhenUsed/>
    <w:rsid w:val="00DB712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B712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B712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B712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DB712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B712F"/>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DB712F"/>
    <w:rPr>
      <w:color w:val="605E5C"/>
      <w:shd w:val="clear" w:color="auto" w:fill="E1DFDD"/>
    </w:rPr>
  </w:style>
  <w:style w:type="character" w:customStyle="1" w:styleId="TOC1Char">
    <w:name w:val="TOC 1 Char"/>
    <w:basedOn w:val="DefaultParagraphFont"/>
    <w:link w:val="TOC1"/>
    <w:uiPriority w:val="39"/>
    <w:rsid w:val="00DB712F"/>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DB712F"/>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DB712F"/>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DB712F"/>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DB712F"/>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DB712F"/>
    <w:rPr>
      <w:rFonts w:ascii="Times New Roman" w:eastAsia="PMingLiU" w:hAnsi="Times New Roman" w:cs="Simplified Arabic"/>
      <w:lang w:val="en-GB" w:eastAsia="en-US"/>
    </w:rPr>
  </w:style>
  <w:style w:type="paragraph" w:customStyle="1" w:styleId="SessionDate">
    <w:name w:val="Session_Date"/>
    <w:basedOn w:val="Normal"/>
    <w:qFormat/>
    <w:rsid w:val="00DB712F"/>
    <w:pPr>
      <w:spacing w:before="240" w:after="240" w:line="460" w:lineRule="exact"/>
      <w:ind w:left="1247"/>
    </w:pPr>
    <w:rPr>
      <w:b/>
      <w:bCs/>
      <w:sz w:val="32"/>
      <w:szCs w:val="44"/>
    </w:rPr>
  </w:style>
  <w:style w:type="paragraph" w:customStyle="1" w:styleId="SessionNumber">
    <w:name w:val="Session_Number"/>
    <w:basedOn w:val="Normal"/>
    <w:qFormat/>
    <w:rsid w:val="00DB712F"/>
    <w:pPr>
      <w:spacing w:line="480" w:lineRule="exact"/>
      <w:ind w:left="1247"/>
    </w:pPr>
    <w:rPr>
      <w:b/>
      <w:bCs/>
      <w:sz w:val="28"/>
      <w:szCs w:val="38"/>
    </w:rPr>
  </w:style>
  <w:style w:type="paragraph" w:customStyle="1" w:styleId="CityandYear">
    <w:name w:val="City and Year"/>
    <w:basedOn w:val="SingleTxtGA"/>
    <w:qFormat/>
    <w:rsid w:val="00DB712F"/>
    <w:pPr>
      <w:spacing w:line="480" w:lineRule="exact"/>
    </w:pPr>
    <w:rPr>
      <w:b/>
      <w:bCs/>
      <w:sz w:val="30"/>
      <w:szCs w:val="38"/>
      <w:lang w:eastAsia="ar-SA"/>
    </w:rPr>
  </w:style>
  <w:style w:type="paragraph" w:customStyle="1" w:styleId="NormalA">
    <w:name w:val="Normal_A"/>
    <w:basedOn w:val="Normal"/>
    <w:qFormat/>
    <w:rsid w:val="00DB712F"/>
  </w:style>
  <w:style w:type="paragraph" w:customStyle="1" w:styleId="H1G">
    <w:name w:val="_ H_1_G"/>
    <w:basedOn w:val="Normal"/>
    <w:next w:val="Normal"/>
    <w:qFormat/>
    <w:rsid w:val="00DB712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DB712F"/>
    <w:pPr>
      <w:suppressAutoHyphens/>
      <w:bidi w:val="0"/>
      <w:spacing w:after="120"/>
      <w:ind w:left="1134" w:right="1134"/>
      <w:jc w:val="both"/>
    </w:pPr>
    <w:rPr>
      <w:szCs w:val="20"/>
      <w:lang w:val="en-GB"/>
    </w:rPr>
  </w:style>
  <w:style w:type="paragraph" w:customStyle="1" w:styleId="HChG">
    <w:name w:val="_ H _Ch_G"/>
    <w:basedOn w:val="Normal"/>
    <w:next w:val="Normal"/>
    <w:qFormat/>
    <w:rsid w:val="00DB712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DB712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B712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B712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B712F"/>
    <w:rPr>
      <w:sz w:val="44"/>
      <w:szCs w:val="44"/>
      <w:lang w:val="en-US" w:bidi="ar-DZ"/>
    </w:rPr>
  </w:style>
  <w:style w:type="paragraph" w:customStyle="1" w:styleId="FootnoteGA0">
    <w:name w:val="Footnote_GA"/>
    <w:basedOn w:val="Normal"/>
    <w:qFormat/>
    <w:rsid w:val="00DB712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B712F"/>
    <w:pPr>
      <w:keepNext/>
      <w:keepLines/>
      <w:spacing w:after="120" w:line="400" w:lineRule="exact"/>
      <w:outlineLvl w:val="0"/>
    </w:pPr>
    <w:rPr>
      <w:b/>
      <w:bCs/>
      <w:kern w:val="14"/>
      <w:sz w:val="24"/>
      <w:szCs w:val="32"/>
    </w:rPr>
  </w:style>
  <w:style w:type="paragraph" w:customStyle="1" w:styleId="HCh">
    <w:name w:val="_ H _Ch"/>
    <w:basedOn w:val="H1"/>
    <w:next w:val="SingleTxt"/>
    <w:qFormat/>
    <w:rsid w:val="00DB712F"/>
    <w:pPr>
      <w:spacing w:line="440" w:lineRule="exact"/>
    </w:pPr>
    <w:rPr>
      <w:spacing w:val="-2"/>
      <w:sz w:val="28"/>
      <w:szCs w:val="36"/>
    </w:rPr>
  </w:style>
  <w:style w:type="character" w:styleId="CommentReference">
    <w:name w:val="annotation reference"/>
    <w:uiPriority w:val="99"/>
    <w:semiHidden/>
    <w:rsid w:val="00DB712F"/>
    <w:rPr>
      <w:sz w:val="6"/>
      <w:szCs w:val="9"/>
    </w:rPr>
  </w:style>
  <w:style w:type="paragraph" w:customStyle="1" w:styleId="HM">
    <w:name w:val="_ H __M"/>
    <w:basedOn w:val="HCh"/>
    <w:next w:val="Normal"/>
    <w:qFormat/>
    <w:rsid w:val="00DB712F"/>
    <w:pPr>
      <w:suppressAutoHyphens/>
      <w:spacing w:line="520" w:lineRule="exact"/>
    </w:pPr>
    <w:rPr>
      <w:spacing w:val="-3"/>
      <w:sz w:val="34"/>
      <w:szCs w:val="48"/>
    </w:rPr>
  </w:style>
  <w:style w:type="paragraph" w:customStyle="1" w:styleId="SingleTxt">
    <w:name w:val="__Single Txt"/>
    <w:basedOn w:val="Normal"/>
    <w:qFormat/>
    <w:rsid w:val="00DB712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B712F"/>
    <w:pPr>
      <w:suppressAutoHyphens/>
      <w:spacing w:line="360" w:lineRule="exact"/>
      <w:outlineLvl w:val="1"/>
    </w:pPr>
    <w:rPr>
      <w:spacing w:val="2"/>
      <w:sz w:val="20"/>
      <w:szCs w:val="28"/>
    </w:rPr>
  </w:style>
  <w:style w:type="paragraph" w:customStyle="1" w:styleId="H4">
    <w:name w:val="_ H_4"/>
    <w:basedOn w:val="Normal"/>
    <w:next w:val="Normal"/>
    <w:qFormat/>
    <w:rsid w:val="00DB712F"/>
    <w:pPr>
      <w:keepNext/>
      <w:keepLines/>
      <w:spacing w:after="120" w:line="360" w:lineRule="exact"/>
      <w:outlineLvl w:val="3"/>
    </w:pPr>
    <w:rPr>
      <w:i/>
      <w:iCs/>
      <w:kern w:val="14"/>
      <w:szCs w:val="28"/>
    </w:rPr>
  </w:style>
  <w:style w:type="paragraph" w:customStyle="1" w:styleId="H56">
    <w:name w:val="_ H_5/6"/>
    <w:basedOn w:val="Normal"/>
    <w:next w:val="Normal"/>
    <w:qFormat/>
    <w:rsid w:val="00DB712F"/>
    <w:pPr>
      <w:keepNext/>
      <w:keepLines/>
      <w:spacing w:after="120" w:line="360" w:lineRule="exact"/>
      <w:outlineLvl w:val="4"/>
    </w:pPr>
    <w:rPr>
      <w:kern w:val="14"/>
      <w:szCs w:val="28"/>
    </w:rPr>
  </w:style>
  <w:style w:type="paragraph" w:customStyle="1" w:styleId="DualTxt">
    <w:name w:val="__Dual Txt"/>
    <w:basedOn w:val="Normal"/>
    <w:qFormat/>
    <w:rsid w:val="00DB712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B712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B712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B712F"/>
    <w:pPr>
      <w:spacing w:after="120" w:line="440" w:lineRule="exact"/>
      <w:jc w:val="center"/>
    </w:pPr>
    <w:rPr>
      <w:b/>
      <w:bCs/>
      <w:sz w:val="25"/>
      <w:szCs w:val="38"/>
    </w:rPr>
  </w:style>
  <w:style w:type="paragraph" w:customStyle="1" w:styleId="JH1">
    <w:name w:val="J_H_1"/>
    <w:basedOn w:val="JCH"/>
    <w:qFormat/>
    <w:rsid w:val="00DB712F"/>
    <w:pPr>
      <w:spacing w:line="420" w:lineRule="exact"/>
    </w:pPr>
    <w:rPr>
      <w:sz w:val="23"/>
      <w:szCs w:val="34"/>
    </w:rPr>
  </w:style>
  <w:style w:type="paragraph" w:customStyle="1" w:styleId="JH2">
    <w:name w:val="J_H_2"/>
    <w:basedOn w:val="JH1"/>
    <w:qFormat/>
    <w:rsid w:val="00DB712F"/>
    <w:pPr>
      <w:spacing w:line="400" w:lineRule="exact"/>
    </w:pPr>
    <w:rPr>
      <w:sz w:val="20"/>
      <w:szCs w:val="30"/>
    </w:rPr>
  </w:style>
  <w:style w:type="paragraph" w:customStyle="1" w:styleId="JSmall">
    <w:name w:val="J_Small"/>
    <w:basedOn w:val="JSingleTxt"/>
    <w:next w:val="JSingleTxt"/>
    <w:qFormat/>
    <w:rsid w:val="00DB712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B712F"/>
    <w:pPr>
      <w:tabs>
        <w:tab w:val="right" w:leader="dot" w:pos="360"/>
      </w:tabs>
      <w:spacing w:line="310" w:lineRule="exact"/>
      <w:jc w:val="right"/>
    </w:pPr>
    <w:rPr>
      <w:spacing w:val="5"/>
      <w:w w:val="104"/>
      <w:kern w:val="14"/>
      <w:sz w:val="17"/>
      <w:szCs w:val="25"/>
    </w:rPr>
  </w:style>
  <w:style w:type="character" w:styleId="LineNumber">
    <w:name w:val="line number"/>
    <w:qFormat/>
    <w:rsid w:val="00DB712F"/>
    <w:rPr>
      <w:sz w:val="14"/>
      <w:szCs w:val="16"/>
    </w:rPr>
  </w:style>
  <w:style w:type="paragraph" w:customStyle="1" w:styleId="SmallX">
    <w:name w:val="SmallX"/>
    <w:basedOn w:val="Small"/>
    <w:next w:val="Normal"/>
    <w:qFormat/>
    <w:rsid w:val="00DB712F"/>
    <w:pPr>
      <w:spacing w:line="240" w:lineRule="exact"/>
    </w:pPr>
    <w:rPr>
      <w:spacing w:val="6"/>
      <w:w w:val="106"/>
      <w:sz w:val="14"/>
      <w:szCs w:val="21"/>
    </w:rPr>
  </w:style>
  <w:style w:type="paragraph" w:customStyle="1" w:styleId="XLarge">
    <w:name w:val="XLarge"/>
    <w:basedOn w:val="HM"/>
    <w:qFormat/>
    <w:rsid w:val="00DB712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B712F"/>
    <w:pPr>
      <w:spacing w:line="820" w:lineRule="exact"/>
    </w:pPr>
    <w:rPr>
      <w:spacing w:val="-8"/>
      <w:w w:val="96"/>
      <w:sz w:val="57"/>
      <w:szCs w:val="86"/>
    </w:rPr>
  </w:style>
  <w:style w:type="paragraph" w:customStyle="1" w:styleId="Distribution">
    <w:name w:val="Distribu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B712F"/>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DB712F"/>
    <w:pPr>
      <w:tabs>
        <w:tab w:val="left" w:pos="662"/>
        <w:tab w:val="left" w:pos="1267"/>
        <w:tab w:val="left" w:pos="1987"/>
        <w:tab w:val="left" w:pos="2650"/>
      </w:tabs>
      <w:spacing w:after="0"/>
      <w:ind w:left="662" w:hanging="662"/>
    </w:pPr>
  </w:style>
  <w:style w:type="paragraph" w:customStyle="1" w:styleId="Committee">
    <w:name w:val="Committee"/>
    <w:basedOn w:val="H1"/>
    <w:qFormat/>
    <w:rsid w:val="00DB712F"/>
    <w:pPr>
      <w:tabs>
        <w:tab w:val="left" w:pos="662"/>
        <w:tab w:val="left" w:pos="1267"/>
        <w:tab w:val="left" w:pos="1987"/>
        <w:tab w:val="left" w:pos="2650"/>
      </w:tabs>
      <w:ind w:right="1264"/>
    </w:pPr>
  </w:style>
  <w:style w:type="paragraph" w:customStyle="1" w:styleId="AgendaItemNormal">
    <w:name w:val="Agenda_Item_Normal"/>
    <w:next w:val="Normal"/>
    <w:qFormat/>
    <w:rsid w:val="00DB712F"/>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DB712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B712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B712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B712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DB712F"/>
    <w:rPr>
      <w:i w:val="0"/>
      <w:color w:val="0000FF"/>
      <w:u w:val="none"/>
    </w:rPr>
  </w:style>
  <w:style w:type="paragraph" w:customStyle="1" w:styleId="Bullet1">
    <w:name w:val="Bullet 1"/>
    <w:basedOn w:val="Normal"/>
    <w:qFormat/>
    <w:rsid w:val="00DB712F"/>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B712F"/>
    <w:pPr>
      <w:numPr>
        <w:numId w:val="19"/>
      </w:numPr>
      <w:spacing w:after="120" w:line="360" w:lineRule="exact"/>
      <w:ind w:right="1264"/>
    </w:pPr>
    <w:rPr>
      <w:kern w:val="14"/>
      <w:szCs w:val="28"/>
    </w:rPr>
  </w:style>
  <w:style w:type="paragraph" w:customStyle="1" w:styleId="Bullet3">
    <w:name w:val="Bullet 3"/>
    <w:basedOn w:val="SingleTxt"/>
    <w:qFormat/>
    <w:rsid w:val="00DB712F"/>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B712F"/>
    <w:pPr>
      <w:ind w:right="5760"/>
      <w:outlineLvl w:val="1"/>
    </w:pPr>
    <w:rPr>
      <w:spacing w:val="2"/>
      <w:sz w:val="20"/>
      <w:szCs w:val="28"/>
    </w:rPr>
  </w:style>
  <w:style w:type="paragraph" w:customStyle="1" w:styleId="STitleM">
    <w:name w:val="S_Title_M"/>
    <w:basedOn w:val="Normal"/>
    <w:next w:val="Normal"/>
    <w:qFormat/>
    <w:rsid w:val="00DB712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B712F"/>
    <w:pPr>
      <w:spacing w:line="600" w:lineRule="exact"/>
      <w:ind w:left="1267" w:right="1267"/>
    </w:pPr>
    <w:rPr>
      <w:w w:val="103"/>
      <w:sz w:val="60"/>
      <w:szCs w:val="60"/>
    </w:rPr>
  </w:style>
  <w:style w:type="paragraph" w:customStyle="1" w:styleId="STitleL">
    <w:name w:val="S_Title_L"/>
    <w:basedOn w:val="XLarge"/>
    <w:next w:val="Normal"/>
    <w:qFormat/>
    <w:rsid w:val="00DB712F"/>
    <w:rPr>
      <w:spacing w:val="-8"/>
      <w:w w:val="96"/>
      <w:sz w:val="57"/>
    </w:rPr>
  </w:style>
  <w:style w:type="paragraph" w:styleId="CommentText">
    <w:name w:val="annotation text"/>
    <w:basedOn w:val="Normal"/>
    <w:link w:val="CommentTextChar"/>
    <w:uiPriority w:val="99"/>
    <w:semiHidden/>
    <w:unhideWhenUsed/>
    <w:rsid w:val="00DB712F"/>
    <w:pPr>
      <w:spacing w:line="240" w:lineRule="auto"/>
    </w:pPr>
    <w:rPr>
      <w:kern w:val="14"/>
    </w:rPr>
  </w:style>
  <w:style w:type="character" w:customStyle="1" w:styleId="CommentTextChar">
    <w:name w:val="Comment Text Char"/>
    <w:basedOn w:val="DefaultParagraphFont"/>
    <w:link w:val="CommentText"/>
    <w:uiPriority w:val="99"/>
    <w:semiHidden/>
    <w:rsid w:val="00DB712F"/>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DB712F"/>
    <w:rPr>
      <w:b/>
      <w:bCs/>
    </w:rPr>
  </w:style>
  <w:style w:type="character" w:customStyle="1" w:styleId="CommentSubjectChar">
    <w:name w:val="Comment Subject Char"/>
    <w:basedOn w:val="CommentTextChar"/>
    <w:link w:val="CommentSubject"/>
    <w:uiPriority w:val="99"/>
    <w:semiHidden/>
    <w:rsid w:val="00DB712F"/>
    <w:rPr>
      <w:rFonts w:ascii="Times New Roman" w:eastAsia="PMingLiU" w:hAnsi="Times New Roman" w:cs="Simplified Arabic"/>
      <w:b/>
      <w:bCs/>
      <w:kern w:val="14"/>
      <w:szCs w:val="22"/>
      <w:lang w:eastAsia="en-US"/>
    </w:rPr>
  </w:style>
  <w:style w:type="paragraph" w:customStyle="1" w:styleId="Bullet1G">
    <w:name w:val="_Bullet 1_G"/>
    <w:basedOn w:val="Normal"/>
    <w:qFormat/>
    <w:rsid w:val="00DB712F"/>
    <w:pPr>
      <w:numPr>
        <w:numId w:val="21"/>
      </w:numPr>
      <w:bidi w:val="0"/>
      <w:spacing w:after="120"/>
      <w:ind w:right="1134"/>
      <w:jc w:val="both"/>
    </w:pPr>
    <w:rPr>
      <w:sz w:val="22"/>
    </w:rPr>
  </w:style>
  <w:style w:type="character" w:customStyle="1" w:styleId="SingleTxtGChar">
    <w:name w:val="_ Single Txt_G Char"/>
    <w:link w:val="SingleTxtG"/>
    <w:rsid w:val="00DB712F"/>
    <w:rPr>
      <w:rFonts w:ascii="Times New Roman" w:eastAsia="PMingLiU" w:hAnsi="Times New Roman" w:cs="Simplified Arabic"/>
      <w:lang w:val="en-GB" w:eastAsia="en-US"/>
    </w:rPr>
  </w:style>
  <w:style w:type="paragraph" w:customStyle="1" w:styleId="Preparedby">
    <w:name w:val="Prepared by:"/>
    <w:basedOn w:val="H23GA"/>
    <w:qFormat/>
    <w:rsid w:val="00DB712F"/>
    <w:rPr>
      <w:sz w:val="32"/>
      <w:szCs w:val="32"/>
    </w:rPr>
  </w:style>
  <w:style w:type="paragraph" w:customStyle="1" w:styleId="ParaNoG">
    <w:name w:val="_ParaNo._G"/>
    <w:basedOn w:val="SingleTxtG"/>
    <w:rsid w:val="00DB712F"/>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B712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B712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B712F"/>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B712F"/>
    <w:rPr>
      <w:rFonts w:asciiTheme="minorHAnsi" w:eastAsiaTheme="minorEastAsia" w:hAnsiTheme="minorHAnsi" w:cstheme="minorBidi"/>
      <w:sz w:val="24"/>
      <w:szCs w:val="24"/>
      <w:lang w:val="fr-FR" w:eastAsia="fr-FR"/>
    </w:rPr>
  </w:style>
  <w:style w:type="paragraph" w:customStyle="1" w:styleId="Default">
    <w:name w:val="Default"/>
    <w:semiHidden/>
    <w:rsid w:val="00DB712F"/>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B712F"/>
  </w:style>
  <w:style w:type="character" w:customStyle="1" w:styleId="preferred">
    <w:name w:val="preferred"/>
    <w:basedOn w:val="DefaultParagraphFont"/>
    <w:rsid w:val="00DB712F"/>
  </w:style>
  <w:style w:type="character" w:customStyle="1" w:styleId="admitted">
    <w:name w:val="admitted"/>
    <w:basedOn w:val="DefaultParagraphFont"/>
    <w:rsid w:val="00DB7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AT/C/SR/1954" TargetMode="External"/><Relationship Id="rId2" Type="http://schemas.openxmlformats.org/officeDocument/2006/relationships/hyperlink" Target="https://undocs.org/ar/CAT/C/SR.1951" TargetMode="External"/><Relationship Id="rId1" Type="http://schemas.openxmlformats.org/officeDocument/2006/relationships/hyperlink" Target="https://undocs.org/ar/CAT/C/UGA/2" TargetMode="External"/><Relationship Id="rId6" Type="http://schemas.openxmlformats.org/officeDocument/2006/relationships/hyperlink" Target="https://undocs.org/ar/CAT/C/CR/34/UGA" TargetMode="External"/><Relationship Id="rId5" Type="http://schemas.openxmlformats.org/officeDocument/2006/relationships/hyperlink" Target="https://data.unhcr.org/en/country/uga" TargetMode="External"/><Relationship Id="rId4" Type="http://schemas.openxmlformats.org/officeDocument/2006/relationships/hyperlink" Target="https://undocs.org/ar/CAT/C/CR/34/U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4359</Words>
  <Characters>22712</Characters>
  <Application>Microsoft Office Word</Application>
  <DocSecurity>0</DocSecurity>
  <Lines>378</Lines>
  <Paragraphs>179</Paragraphs>
  <ScaleCrop>false</ScaleCrop>
  <HeadingPairs>
    <vt:vector size="2" baseType="variant">
      <vt:variant>
        <vt:lpstr>Title</vt:lpstr>
      </vt:variant>
      <vt:variant>
        <vt:i4>1</vt:i4>
      </vt:variant>
    </vt:vector>
  </HeadingPairs>
  <TitlesOfParts>
    <vt:vector size="1" baseType="lpstr">
      <vt:lpstr>CAT/C/UGA/CO/2</vt:lpstr>
    </vt:vector>
  </TitlesOfParts>
  <Company>DCM</Company>
  <LinksUpToDate>false</LinksUpToDate>
  <CharactersWithSpaces>26892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CAT/C/UGA/CO/2</dc:title>
  <dc:subject>GE.2226904(A)</dc:subject>
  <dc:creator>Ihab RIZ - </dc:creator>
  <cp:keywords>GE.(A)</cp:keywords>
  <dc:description>General_x000d_
_x000d_
Arabic_x000d_
English</dc:description>
  <cp:lastModifiedBy>Ibrahim Balan</cp:lastModifiedBy>
  <cp:revision>3</cp:revision>
  <cp:lastPrinted>2022-12-12T16:06:00Z</cp:lastPrinted>
  <dcterms:created xsi:type="dcterms:W3CDTF">2022-12-12T16:06:00Z</dcterms:created>
  <dcterms:modified xsi:type="dcterms:W3CDTF">2022-12-12T16:08:00Z</dcterms:modified>
  <cp:category>Final</cp:category>
</cp:coreProperties>
</file>