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000000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000000" w:rsidRDefault="00000000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20"/>
              <w:jc w:val="right"/>
            </w:pPr>
            <w:r>
              <w:rPr>
                <w:sz w:val="40"/>
              </w:rPr>
              <w:t>CRC</w:t>
            </w:r>
            <w:r>
              <w:t>/C/BHR/Q/2-3</w:t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44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Convención sobre los</w:t>
            </w:r>
            <w:r>
              <w:rPr>
                <w:b/>
                <w:sz w:val="40"/>
                <w:szCs w:val="40"/>
              </w:rPr>
              <w:br/>
              <w:t>Derechos 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</w:pPr>
            <w:r>
              <w:t xml:space="preserve">Distr. general </w:t>
            </w:r>
          </w:p>
          <w:p w:rsidR="00000000" w:rsidRDefault="00000000">
            <w:r>
              <w:t>2 de noviembre de 2010</w:t>
            </w:r>
          </w:p>
          <w:p w:rsidR="00000000" w:rsidRDefault="00000000">
            <w:r>
              <w:t>Español</w:t>
            </w:r>
          </w:p>
          <w:p w:rsidR="00000000" w:rsidRDefault="00000000">
            <w:r>
              <w:t>Original: inglés</w:t>
            </w:r>
          </w:p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Comité de los Derechos del Niño</w:t>
      </w:r>
    </w:p>
    <w:p w:rsidR="00000000" w:rsidRDefault="00000000">
      <w:pPr>
        <w:rPr>
          <w:b/>
        </w:rPr>
      </w:pPr>
      <w:r>
        <w:rPr>
          <w:b/>
        </w:rPr>
        <w:t>57º período de sesiones</w:t>
      </w:r>
    </w:p>
    <w:p w:rsidR="00000000" w:rsidRDefault="00000000">
      <w:r>
        <w:t>30 de mayo a 17 de junio de 2010</w:t>
      </w:r>
    </w:p>
    <w:p w:rsidR="00000000" w:rsidRDefault="00000000">
      <w:pPr>
        <w:pStyle w:val="HChG"/>
      </w:pPr>
      <w:r>
        <w:tab/>
      </w:r>
      <w:r>
        <w:tab/>
        <w:t xml:space="preserve">Aplicación de la Convención sobre los Derechos del Niño </w:t>
      </w:r>
    </w:p>
    <w:p w:rsidR="00000000" w:rsidRDefault="00000000">
      <w:pPr>
        <w:pStyle w:val="H1G"/>
      </w:pPr>
      <w:r>
        <w:tab/>
      </w:r>
      <w:r>
        <w:tab/>
        <w:t>Lista de cuestiones que requieren información adicional y</w:t>
      </w:r>
      <w:r>
        <w:br/>
        <w:t>actualizada en relación con el examen de los informes periódicos segundo y tercero combinados de Bahrein (</w:t>
      </w:r>
      <w:bookmarkStart w:id="0" w:name="OLE_LINK2"/>
      <w:bookmarkStart w:id="1" w:name="OLE_LINK3"/>
      <w:r>
        <w:t>CRC/C/BHR/</w:t>
      </w:r>
      <w:bookmarkEnd w:id="0"/>
      <w:bookmarkEnd w:id="1"/>
      <w:r>
        <w:t>2-3)</w:t>
      </w:r>
    </w:p>
    <w:p w:rsidR="00000000" w:rsidRDefault="00000000">
      <w:pPr>
        <w:pStyle w:val="SingleTxtG"/>
        <w:rPr>
          <w:b/>
        </w:rPr>
      </w:pPr>
      <w:r>
        <w:rPr>
          <w:b/>
        </w:rPr>
        <w:t>Se pide al Estado parte que presente por escrito información adicional y actualizada, de ser posible antes del 19 de noviembre de 2010 y sin exceder las 30 páginas.</w:t>
      </w:r>
    </w:p>
    <w:p w:rsidR="00000000" w:rsidRDefault="00000000">
      <w:pPr>
        <w:pStyle w:val="SingleTxtG"/>
        <w:rPr>
          <w:i/>
        </w:rPr>
      </w:pPr>
      <w:r>
        <w:rPr>
          <w:i/>
        </w:rPr>
        <w:t xml:space="preserve">En el diálogo con el Estado parte, el Comité puede abordar todos los aspectos de los derechos del niño contemplados en la Convención. </w:t>
      </w:r>
    </w:p>
    <w:p w:rsidR="00000000" w:rsidRDefault="00000000">
      <w:pPr>
        <w:pStyle w:val="HChG"/>
      </w:pPr>
      <w:r>
        <w:tab/>
      </w:r>
      <w:r>
        <w:tab/>
        <w:t>Parte I</w:t>
      </w:r>
    </w:p>
    <w:p w:rsidR="00000000" w:rsidRDefault="00000000">
      <w:pPr>
        <w:pStyle w:val="SingleTxtG"/>
      </w:pPr>
      <w:r>
        <w:t>1.</w:t>
      </w:r>
      <w:r>
        <w:tab/>
        <w:t>Sírvanse proporcionar información sobre la situación en la que se encuentra actualmente el proyecto de ley sobre la infancia y el proyecto de ley sobre educación infantil.</w:t>
      </w:r>
    </w:p>
    <w:p w:rsidR="00000000" w:rsidRDefault="00000000">
      <w:pPr>
        <w:pStyle w:val="SingleTxtG"/>
      </w:pPr>
      <w:r>
        <w:t>2.</w:t>
      </w:r>
      <w:r>
        <w:tab/>
        <w:t xml:space="preserve">Rogamos informen sobre las medidas adoptadas por el Estado parte para asegurar la compatibilidad de la legislación nacional con la Convención, especialmente con respecto a </w:t>
      </w:r>
      <w:bookmarkStart w:id="2" w:name="OLE_LINK1"/>
      <w:bookmarkStart w:id="3" w:name="OLE_LINK4"/>
      <w:r>
        <w:t xml:space="preserve">la prohibición explícita </w:t>
      </w:r>
      <w:bookmarkEnd w:id="2"/>
      <w:bookmarkEnd w:id="3"/>
      <w:r>
        <w:t>en la legislación interna del castigo corporal en cualquier contexto, incluido el hogar, la edad mínima de los jóvenes y las jóvenes para contraer matrimonio y la edad mínima de admisión al empleo.</w:t>
      </w:r>
    </w:p>
    <w:p w:rsidR="00000000" w:rsidRDefault="00000000">
      <w:pPr>
        <w:pStyle w:val="SingleTxtG"/>
      </w:pPr>
      <w:r>
        <w:t>3.</w:t>
      </w:r>
      <w:r>
        <w:tab/>
        <w:t>Sírvanse facilitar información sobre las medidas adoptadas para modificar la legislación relativa a la transmisión de la nacionalidad de Bahrein a los hijos de padre extranjero y madre bahreiní.</w:t>
      </w:r>
    </w:p>
    <w:p w:rsidR="00000000" w:rsidRDefault="00000000">
      <w:pPr>
        <w:pStyle w:val="SingleTxtG"/>
      </w:pPr>
      <w:r>
        <w:t>4.</w:t>
      </w:r>
      <w:r>
        <w:tab/>
        <w:t>Proporciónese información actualizada sobre los progresos realizados para adoptar la estrategia nacional en favor de los niños.</w:t>
      </w:r>
    </w:p>
    <w:p w:rsidR="00000000" w:rsidRDefault="00000000">
      <w:pPr>
        <w:pStyle w:val="SingleTxtG"/>
      </w:pPr>
      <w:r>
        <w:t>5.</w:t>
      </w:r>
      <w:r>
        <w:tab/>
        <w:t xml:space="preserve">Sírvanse proporcionar información actualizada sobre los avances logrados en la creación de un mecanismo centralizado (DevInfo) para reunir datos relativos a la aplicación de la Convención en todo el territorio del Estado parte. </w:t>
      </w:r>
    </w:p>
    <w:p w:rsidR="00000000" w:rsidRDefault="00000000">
      <w:pPr>
        <w:pStyle w:val="SingleTxtG"/>
      </w:pPr>
      <w:r>
        <w:t>6.</w:t>
      </w:r>
      <w:r>
        <w:tab/>
        <w:t>Rogamos faciliten información actualizada sobre la situación, la composición y los recursos humanos y financieros de la institución nacional de derechos humanos mencionada en el párrafo 54 del informe del Estado parte e indíquese si tiene una dependencia específica que se ocupe de los derechos del niño y si está facultada para recibir quejas.</w:t>
      </w:r>
    </w:p>
    <w:p w:rsidR="00000000" w:rsidRDefault="00000000">
      <w:pPr>
        <w:pStyle w:val="SingleTxtG"/>
      </w:pPr>
      <w:r>
        <w:t>7.</w:t>
      </w:r>
      <w:r>
        <w:tab/>
      </w:r>
      <w:bookmarkStart w:id="4" w:name="OLE_LINK6"/>
      <w:bookmarkStart w:id="5" w:name="OLE_LINK7"/>
      <w:r>
        <w:t xml:space="preserve">Sírvanse indicar si el Estado parte ha previsto </w:t>
      </w:r>
      <w:bookmarkEnd w:id="4"/>
      <w:bookmarkEnd w:id="5"/>
      <w:r>
        <w:t xml:space="preserve">desarrollar un enfoque sistemático para cooperar con la sociedad civil y hacerla partícipe, especialmente por lo que se refiere a las asociaciones que se ocupan de los niños y las organizaciones no gubernamentales que se centran en los derechos humanos, en todas las etapas de la aplicación de la Convención, incluidas las formulación de políticas, y la supervisión y evaluación de los programas. </w:t>
      </w:r>
    </w:p>
    <w:p w:rsidR="00000000" w:rsidRDefault="00000000">
      <w:pPr>
        <w:pStyle w:val="HChG"/>
      </w:pPr>
      <w:r>
        <w:tab/>
      </w:r>
      <w:r>
        <w:tab/>
        <w:t>Parte II</w:t>
      </w:r>
    </w:p>
    <w:p w:rsidR="00000000" w:rsidRDefault="00000000">
      <w:pPr>
        <w:pStyle w:val="SingleTxtG"/>
        <w:rPr>
          <w:b/>
        </w:rPr>
      </w:pPr>
      <w:r>
        <w:rPr>
          <w:b/>
        </w:rPr>
        <w:t>En esta sección, se invita al Estado parte a actualizar brevemente (en tres páginas como máximo) la información proporcionada en su informe en relación con:</w:t>
      </w:r>
    </w:p>
    <w:p w:rsidR="00000000" w:rsidRDefault="00000000">
      <w:pPr>
        <w:pStyle w:val="SingleTxtG"/>
      </w:pPr>
      <w:r>
        <w:tab/>
        <w:t>a)</w:t>
      </w:r>
      <w:r>
        <w:tab/>
        <w:t>Los nuevos proyectos de ley o nuevas leyes y sus respectivos reglamentos;</w:t>
      </w:r>
    </w:p>
    <w:p w:rsidR="00000000" w:rsidRDefault="00000000">
      <w:pPr>
        <w:pStyle w:val="SingleTxtG"/>
      </w:pPr>
      <w:r>
        <w:tab/>
        <w:t>b)</w:t>
      </w:r>
      <w:r>
        <w:tab/>
        <w:t xml:space="preserve">Las nuevas instituciones (y sus mandatos) o reformas institucionales; </w:t>
      </w:r>
    </w:p>
    <w:p w:rsidR="00000000" w:rsidRDefault="00000000">
      <w:pPr>
        <w:pStyle w:val="SingleTxtG"/>
      </w:pPr>
      <w:r>
        <w:tab/>
        <w:t>c)</w:t>
      </w:r>
      <w:r>
        <w:tab/>
        <w:t>Las políticas, los programas y los planes de acción adoptados recientemente y su alcance y financiación;</w:t>
      </w:r>
    </w:p>
    <w:p w:rsidR="00000000" w:rsidRDefault="00000000">
      <w:pPr>
        <w:pStyle w:val="SingleTxtG"/>
      </w:pPr>
      <w:r>
        <w:tab/>
        <w:t>d)</w:t>
      </w:r>
      <w:r>
        <w:tab/>
        <w:t>Las ratificaciones recientes de instrumentos de derechos humanos.</w:t>
      </w:r>
    </w:p>
    <w:p w:rsidR="00000000" w:rsidRDefault="00000000">
      <w:pPr>
        <w:pStyle w:val="HChG"/>
      </w:pPr>
      <w:r>
        <w:tab/>
      </w:r>
      <w:r>
        <w:tab/>
        <w:t>Parte III</w:t>
      </w:r>
    </w:p>
    <w:p w:rsidR="00000000" w:rsidRDefault="00000000">
      <w:pPr>
        <w:pStyle w:val="H1G"/>
      </w:pPr>
      <w:r>
        <w:tab/>
      </w:r>
      <w:r>
        <w:tab/>
        <w:t>Datos, estadísticas y demás información de que se disponga</w:t>
      </w:r>
    </w:p>
    <w:p w:rsidR="00000000" w:rsidRDefault="00000000">
      <w:pPr>
        <w:pStyle w:val="SingleTxtG"/>
      </w:pPr>
      <w:r>
        <w:t>1.</w:t>
      </w:r>
      <w:r>
        <w:tab/>
        <w:t>Sírvanse facilitar información actualizada correspondiente al período que abarca el informe sobre las asignaciones presupuestarias para los niños en las áreas de la educación, la salud, los servicios sociales y la protección de la infancia. Rogamos expliquen cuáles son las repercusiones de la crisis financiera en los recursos destinados a los niños.</w:t>
      </w:r>
    </w:p>
    <w:p w:rsidR="00000000" w:rsidRDefault="00000000">
      <w:pPr>
        <w:pStyle w:val="SingleTxtG"/>
      </w:pPr>
      <w:r>
        <w:t>2.</w:t>
      </w:r>
      <w:r>
        <w:tab/>
        <w:t>Sírvanse aportar datos estadísticos desglosados (por sexo, edad, origen étnico, zonas urbanas o rurales y situación socioeconómica) correspondientes al período que abarca el informe sobre los siguientes aspectos (como porcentaje del grupo de edad correspondiente):</w:t>
      </w:r>
    </w:p>
    <w:p w:rsidR="00000000" w:rsidRDefault="00000000">
      <w:pPr>
        <w:pStyle w:val="SingleTxtG"/>
      </w:pPr>
      <w:r>
        <w:tab/>
        <w:t>a)</w:t>
      </w:r>
      <w:r>
        <w:tab/>
        <w:t>Porcentaje de niños en la enseñanza preescolar;</w:t>
      </w:r>
    </w:p>
    <w:p w:rsidR="00000000" w:rsidRDefault="00000000">
      <w:pPr>
        <w:pStyle w:val="SingleTxtG"/>
      </w:pPr>
      <w:r>
        <w:tab/>
        <w:t>b)</w:t>
      </w:r>
      <w:r>
        <w:tab/>
        <w:t xml:space="preserve">Porcentaje de niños que terminan la enseñanza primaria y la secundaria; </w:t>
      </w:r>
    </w:p>
    <w:p w:rsidR="00000000" w:rsidRDefault="00000000">
      <w:pPr>
        <w:pStyle w:val="SingleTxtG"/>
      </w:pPr>
      <w:r>
        <w:tab/>
        <w:t>c)</w:t>
      </w:r>
      <w:r>
        <w:tab/>
        <w:t>Porcentaje de niños que participan en programas de educación y formación no académica;</w:t>
      </w:r>
    </w:p>
    <w:p w:rsidR="00000000" w:rsidRDefault="00000000">
      <w:pPr>
        <w:pStyle w:val="SingleTxtG"/>
      </w:pPr>
      <w:r>
        <w:tab/>
        <w:t>d)</w:t>
      </w:r>
      <w:r>
        <w:tab/>
        <w:t>Índice de alumnos por profesor y número de niños en cada clase.</w:t>
      </w:r>
    </w:p>
    <w:p w:rsidR="00000000" w:rsidRDefault="00000000">
      <w:pPr>
        <w:pStyle w:val="SingleTxtG"/>
      </w:pPr>
      <w:r>
        <w:t>3.</w:t>
      </w:r>
      <w:r>
        <w:tab/>
      </w:r>
      <w:bookmarkStart w:id="6" w:name="OLE_LINK8"/>
      <w:bookmarkStart w:id="7" w:name="OLE_LINK9"/>
      <w:r>
        <w:t xml:space="preserve">Facilítense datos desglosados correspondientes al período examinado </w:t>
      </w:r>
      <w:bookmarkEnd w:id="6"/>
      <w:bookmarkEnd w:id="7"/>
      <w:r>
        <w:t>(por sexo, edad, origen étnico, zonas urbanas o rurales y situación socioeconómica) en relación con el número de personas menores de 18 que trabajan, tanto en los sectores estructurado como no estructurado.</w:t>
      </w:r>
    </w:p>
    <w:p w:rsidR="00000000" w:rsidRDefault="00000000">
      <w:pPr>
        <w:pStyle w:val="SingleTxtG"/>
      </w:pPr>
      <w:r>
        <w:t>4.</w:t>
      </w:r>
      <w:r>
        <w:tab/>
        <w:t>En relación con el maltrato de niños, sírvanse aportar datos desglosados (por edad, sexo, origen étnico, zonas urbanas o rurales y tipo de violación denunciada) correspondientes al período que abarca el informe sobre los casos de maltrato infantil, incluidos los abusos sexuales, el número y el porcentaje de los que han dado lugar a una decisión judicial o a otro tipo de seguimiento, y el número y la proporción de víctimas que han recibido orientación y asistencia para su recuperación.</w:t>
      </w:r>
    </w:p>
    <w:p w:rsidR="00000000" w:rsidRDefault="00000000">
      <w:pPr>
        <w:pStyle w:val="SingleTxtG"/>
      </w:pPr>
      <w:r>
        <w:t>5.</w:t>
      </w:r>
      <w:r>
        <w:tab/>
        <w:t>Sírvanse facilitar el número de niños en instituciones de atención a la infancia, en particular en el Centro Nacional para la Protección de la Infancia, la Fundación Benéfica Real para Huérfanos y el Centro para el Bienestar de los Niños, así como información sobre su rehabilitación y reintegración.</w:t>
      </w:r>
    </w:p>
    <w:p w:rsidR="00000000" w:rsidRDefault="00000000">
      <w:pPr>
        <w:pStyle w:val="SingleTxtG"/>
      </w:pPr>
      <w:r>
        <w:t>6.</w:t>
      </w:r>
      <w:r>
        <w:tab/>
        <w:t xml:space="preserve">Rogamos proporcionen la información actualizada disponible sobre el número de niños internados en centros para menores, el número de niños privados de libertad y el número de sentencias. </w:t>
      </w:r>
    </w:p>
    <w:p w:rsidR="00000000" w:rsidRDefault="00000000">
      <w:pPr>
        <w:pStyle w:val="SingleTxtG"/>
      </w:pPr>
      <w:r>
        <w:t>7.</w:t>
      </w:r>
      <w:r>
        <w:tab/>
        <w:t>El Estado parte también podría citar las áreas que afectan a los niños y que, en su opinión, son importantes para la aplicación de la Convención.</w:t>
      </w:r>
    </w:p>
    <w:p w:rsidR="00000000" w:rsidRDefault="00000000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spacing w:after="240" w:line="240" w:lineRule="auto"/>
      </w:pPr>
    </w:p>
    <w:p w:rsidR="00000000" w:rsidRDefault="00000000"/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b/>
        <w:sz w:val="18"/>
      </w:rPr>
      <w:tab/>
    </w:r>
    <w:r>
      <w:t>GE.10-46283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  <w:rPr>
        <w:b/>
        <w:sz w:val="18"/>
      </w:rPr>
    </w:pPr>
    <w:r>
      <w:t>GE.10-46283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sz w:val="20"/>
      </w:rPr>
      <w:t>GE.10-46283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191110    221110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CRC/C/BHR/Q/2-3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jc w:val="right"/>
    </w:pPr>
    <w:r>
      <w:t>CRC/C/BHR/Q/2-3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Pr>
      <w:sz w:val="16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pPr>
      <w:numPr>
        <w:numId w:val="3"/>
      </w:numPr>
    </w:pPr>
  </w:style>
  <w:style w:type="numbering" w:styleId="1ai">
    <w:name w:val="Outline List 1"/>
    <w:basedOn w:val="NoList"/>
    <w:semiHidden/>
    <w:pPr>
      <w:numPr>
        <w:numId w:val="4"/>
      </w:numPr>
    </w:pPr>
  </w:style>
  <w:style w:type="character" w:styleId="HTMLAcronym">
    <w:name w:val="HTML Acronym"/>
    <w:basedOn w:val="DefaultParagraphFont"/>
    <w:semiHidden/>
  </w:style>
  <w:style w:type="numbering" w:styleId="ArticleSection">
    <w:name w:val="Outline List 3"/>
    <w:basedOn w:val="NoList"/>
    <w:semiHidden/>
    <w:pPr>
      <w:numPr>
        <w:numId w:val="5"/>
      </w:numPr>
    </w:pPr>
  </w:style>
  <w:style w:type="paragraph" w:styleId="Closing">
    <w:name w:val="Closing"/>
    <w:basedOn w:val="Normal"/>
    <w:semiHidden/>
    <w:pPr>
      <w:ind w:left="4252"/>
    </w:pPr>
  </w:style>
  <w:style w:type="character" w:styleId="HTMLCite">
    <w:name w:val="HTML Cite"/>
    <w:semiHidden/>
    <w:rPr>
      <w:i/>
      <w:iCs/>
    </w:r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character" w:styleId="HTMLDefinition">
    <w:name w:val="HTML Definition"/>
    <w:semiHidden/>
    <w:rPr>
      <w:i/>
      <w:iCs/>
    </w:r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</w:style>
  <w:style w:type="character" w:styleId="Emphasis">
    <w:name w:val="Emphasis"/>
    <w:qFormat/>
    <w:rPr>
      <w:i/>
      <w:iCs/>
    </w:rPr>
  </w:style>
  <w:style w:type="paragraph" w:styleId="Date">
    <w:name w:val="Date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</w:pPr>
  </w:style>
  <w:style w:type="paragraph" w:styleId="ListNumber3">
    <w:name w:val="List Number 3"/>
    <w:basedOn w:val="Normal"/>
    <w:semiHidden/>
    <w:pPr>
      <w:numPr>
        <w:numId w:val="8"/>
      </w:numPr>
    </w:pPr>
  </w:style>
  <w:style w:type="paragraph" w:styleId="ListNumber4">
    <w:name w:val="List Number 4"/>
    <w:basedOn w:val="Normal"/>
    <w:semiHidden/>
    <w:pPr>
      <w:numPr>
        <w:numId w:val="9"/>
      </w:numPr>
    </w:pPr>
  </w:style>
  <w:style w:type="paragraph" w:styleId="ListNumber5">
    <w:name w:val="List Number 5"/>
    <w:basedOn w:val="Normal"/>
    <w:semiHidden/>
    <w:pPr>
      <w:numPr>
        <w:numId w:val="10"/>
      </w:numPr>
    </w:pPr>
  </w:style>
  <w:style w:type="paragraph" w:styleId="ListBullet">
    <w:name w:val="List Bullet"/>
    <w:basedOn w:val="Normal"/>
    <w:semiHidden/>
    <w:pPr>
      <w:numPr>
        <w:numId w:val="11"/>
      </w:numPr>
    </w:pPr>
  </w:style>
  <w:style w:type="paragraph" w:styleId="ListBullet2">
    <w:name w:val="List Bullet 2"/>
    <w:basedOn w:val="Normal"/>
    <w:semiHidden/>
    <w:pPr>
      <w:numPr>
        <w:numId w:val="12"/>
      </w:numPr>
    </w:pPr>
  </w:style>
  <w:style w:type="paragraph" w:styleId="ListBullet3">
    <w:name w:val="List Bullet 3"/>
    <w:basedOn w:val="Normal"/>
    <w:semiHidden/>
    <w:pPr>
      <w:numPr>
        <w:numId w:val="13"/>
      </w:numPr>
    </w:pPr>
  </w:style>
  <w:style w:type="paragraph" w:styleId="ListBullet4">
    <w:name w:val="List Bullet 4"/>
    <w:basedOn w:val="Normal"/>
    <w:semiHidden/>
    <w:pPr>
      <w:numPr>
        <w:numId w:val="14"/>
      </w:numPr>
    </w:pPr>
  </w:style>
  <w:style w:type="paragraph" w:styleId="ListBullet5">
    <w:name w:val="List Bullet 5"/>
    <w:basedOn w:val="Normal"/>
    <w:semiHidden/>
    <w:pPr>
      <w:numPr>
        <w:numId w:val="15"/>
      </w:numPr>
    </w:p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Pr>
      <w:sz w:val="24"/>
      <w:szCs w:val="24"/>
    </w:rPr>
  </w:style>
  <w:style w:type="character" w:styleId="LineNumber">
    <w:name w:val="line number"/>
    <w:basedOn w:val="DefaultParagraphFont"/>
    <w:semiHidden/>
  </w:style>
  <w:style w:type="character" w:styleId="PageNumber">
    <w:name w:val="page number"/>
    <w:aliases w:val="7_G"/>
    <w:rPr>
      <w:b/>
      <w:sz w:val="18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paragraph" w:styleId="Salutation">
    <w:name w:val="Salutation"/>
    <w:basedOn w:val="Normal"/>
    <w:next w:val="Normal"/>
    <w:semiHidden/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NormalIndent">
    <w:name w:val="Normal Indent"/>
    <w:basedOn w:val="Normal"/>
    <w:semiHidden/>
    <w:pPr>
      <w:ind w:left="567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character" w:styleId="Strong">
    <w:name w:val="Strong"/>
    <w:qFormat/>
    <w:rPr>
      <w:b/>
      <w:bCs/>
    </w:r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EndnoteText">
    <w:name w:val="endnote text"/>
    <w:aliases w:val="2_G"/>
    <w:basedOn w:val="FootnoteText"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Pr>
      <w:i/>
      <w:iCs/>
    </w:rPr>
  </w:style>
  <w:style w:type="paragraph" w:customStyle="1" w:styleId="Bullet1G">
    <w:name w:val="_Bullet 1_G"/>
    <w:basedOn w:val="Normal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3</Pages>
  <Words>863</Words>
  <Characters>4752</Characters>
  <Application>Microsoft Office Word</Application>
  <DocSecurity>4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CRC/C/BHR/Q/2-3 - 10-46283</vt:lpstr>
    </vt:vector>
  </TitlesOfParts>
  <Company/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CRC/C/BHR/Q/2-3 - 10-46283</dc:title>
  <dc:subject>FINAL</dc:subject>
  <dc:creator>Ricardo Sáenz</dc:creator>
  <cp:keywords/>
  <dc:description/>
  <cp:lastModifiedBy>Admieng</cp:lastModifiedBy>
  <cp:revision>2</cp:revision>
  <cp:lastPrinted>2010-11-22T07:32:00Z</cp:lastPrinted>
  <dcterms:created xsi:type="dcterms:W3CDTF">2010-11-22T08:36:00Z</dcterms:created>
  <dcterms:modified xsi:type="dcterms:W3CDTF">2010-11-22T08:36:00Z</dcterms:modified>
</cp:coreProperties>
</file>