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8E3" w:rsidRDefault="005268E3" w:rsidP="005268E3">
      <w:pPr>
        <w:spacing w:line="60" w:lineRule="exact"/>
        <w:rPr>
          <w:sz w:val="6"/>
        </w:rPr>
        <w:sectPr w:rsidR="005268E3" w:rsidSect="005268E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5268E3" w:rsidRDefault="005268E3" w:rsidP="005268E3">
      <w:pPr>
        <w:spacing w:line="60" w:lineRule="exact"/>
        <w:rPr>
          <w:sz w:val="6"/>
        </w:rPr>
      </w:pPr>
    </w:p>
    <w:p w:rsidR="00867B5E" w:rsidRPr="00867B5E" w:rsidRDefault="00867B5E" w:rsidP="00867B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sidRPr="00867B5E">
        <w:rPr>
          <w:rFonts w:hint="eastAsia"/>
        </w:rPr>
        <w:t>消除对妇女一切形式歧视委员会</w:t>
      </w:r>
    </w:p>
    <w:p w:rsidR="00867B5E" w:rsidRPr="00867B5E" w:rsidRDefault="00867B5E" w:rsidP="00867B5E">
      <w:pPr>
        <w:pStyle w:val="SingleTxt"/>
        <w:spacing w:after="60"/>
        <w:ind w:left="0"/>
        <w:rPr>
          <w:rFonts w:ascii="SimHei" w:eastAsia="SimHei" w:hint="eastAsia"/>
          <w:color w:val="FF0000"/>
        </w:rPr>
      </w:pPr>
      <w:r w:rsidRPr="00867B5E">
        <w:rPr>
          <w:rFonts w:ascii="SimHei" w:eastAsia="SimHei" w:hint="eastAsia"/>
          <w:color w:val="FF0000"/>
        </w:rPr>
        <w:t>会前工作组</w:t>
      </w:r>
    </w:p>
    <w:p w:rsidR="00867B5E" w:rsidRPr="00867B5E" w:rsidRDefault="00867B5E" w:rsidP="00867B5E">
      <w:pPr>
        <w:pStyle w:val="SingleTxt"/>
        <w:spacing w:after="60"/>
        <w:ind w:left="0"/>
        <w:rPr>
          <w:rFonts w:ascii="SimHei" w:eastAsia="SimHei" w:hint="eastAsia"/>
          <w:color w:val="FF0000"/>
        </w:rPr>
      </w:pPr>
      <w:r w:rsidRPr="00867B5E">
        <w:rPr>
          <w:rFonts w:ascii="SimHei" w:eastAsia="SimHei" w:hint="eastAsia"/>
          <w:color w:val="FF0000"/>
        </w:rPr>
        <w:t>第三十九届会议</w:t>
      </w:r>
    </w:p>
    <w:p w:rsidR="00867B5E" w:rsidRDefault="00867B5E" w:rsidP="00867B5E">
      <w:pPr>
        <w:pStyle w:val="SingleTxt"/>
        <w:ind w:left="0"/>
        <w:rPr>
          <w:rFonts w:hint="eastAsia"/>
        </w:rPr>
      </w:pPr>
      <w:r>
        <w:rPr>
          <w:rFonts w:hint="eastAsia"/>
        </w:rPr>
        <w:t>2007年7月23日至8月10日</w:t>
      </w:r>
    </w:p>
    <w:p w:rsidR="00867B5E" w:rsidRPr="00867B5E" w:rsidRDefault="00867B5E" w:rsidP="00867B5E">
      <w:pPr>
        <w:pStyle w:val="SingleTxt"/>
        <w:spacing w:after="0" w:line="120" w:lineRule="exact"/>
        <w:rPr>
          <w:rFonts w:hint="eastAsia"/>
          <w:sz w:val="10"/>
        </w:rPr>
      </w:pPr>
    </w:p>
    <w:p w:rsidR="00867B5E" w:rsidRPr="00867B5E" w:rsidRDefault="00867B5E" w:rsidP="00867B5E">
      <w:pPr>
        <w:pStyle w:val="SingleTxt"/>
        <w:spacing w:after="0" w:line="120" w:lineRule="exact"/>
        <w:rPr>
          <w:rFonts w:hint="eastAsia"/>
          <w:sz w:val="10"/>
        </w:rPr>
      </w:pPr>
    </w:p>
    <w:p w:rsidR="00867B5E" w:rsidRDefault="00867B5E" w:rsidP="00867B5E">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与审议定期报告有关的议题和问题清单</w:t>
      </w:r>
    </w:p>
    <w:p w:rsidR="00867B5E" w:rsidRPr="00867B5E" w:rsidRDefault="00867B5E" w:rsidP="00867B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rFonts w:hint="eastAsia"/>
          <w:sz w:val="10"/>
        </w:rPr>
      </w:pPr>
    </w:p>
    <w:p w:rsidR="00867B5E" w:rsidRPr="00867B5E" w:rsidRDefault="00867B5E" w:rsidP="00867B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rFonts w:hint="eastAsia"/>
          <w:sz w:val="10"/>
        </w:rPr>
      </w:pPr>
    </w:p>
    <w:p w:rsidR="00867B5E" w:rsidRDefault="00867B5E" w:rsidP="00867B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洪都拉斯</w:t>
      </w:r>
    </w:p>
    <w:p w:rsidR="00867B5E" w:rsidRPr="00867B5E" w:rsidRDefault="00867B5E" w:rsidP="00867B5E">
      <w:pPr>
        <w:pStyle w:val="SingleTxt"/>
        <w:spacing w:after="0" w:line="120" w:lineRule="exact"/>
        <w:rPr>
          <w:rFonts w:hint="eastAsia"/>
          <w:sz w:val="10"/>
        </w:rPr>
      </w:pPr>
    </w:p>
    <w:p w:rsidR="00867B5E" w:rsidRPr="00867B5E" w:rsidRDefault="00867B5E" w:rsidP="00867B5E">
      <w:pPr>
        <w:pStyle w:val="SingleTxt"/>
        <w:spacing w:after="0" w:line="120" w:lineRule="exact"/>
        <w:rPr>
          <w:rFonts w:hint="eastAsia"/>
          <w:sz w:val="10"/>
        </w:rPr>
      </w:pPr>
    </w:p>
    <w:p w:rsidR="00867B5E" w:rsidRDefault="00867B5E" w:rsidP="00867B5E">
      <w:pPr>
        <w:pStyle w:val="SingleTxt"/>
        <w:rPr>
          <w:rFonts w:hint="eastAsia"/>
        </w:rPr>
      </w:pPr>
      <w:r>
        <w:rPr>
          <w:rFonts w:hint="eastAsia"/>
        </w:rPr>
        <w:t>1.</w:t>
      </w:r>
      <w:r>
        <w:rPr>
          <w:rFonts w:hint="eastAsia"/>
        </w:rPr>
        <w:tab/>
        <w:t>会前工作组审查了洪都拉斯的第四、第五和第六次合并定期报告（CEDAW/C/　HON/6）。</w:t>
      </w:r>
    </w:p>
    <w:p w:rsidR="00867B5E" w:rsidRPr="00867B5E" w:rsidRDefault="00867B5E" w:rsidP="00867B5E">
      <w:pPr>
        <w:pStyle w:val="SingleTxt"/>
        <w:rPr>
          <w:rFonts w:ascii="SimHei" w:eastAsia="SimHei" w:hint="eastAsia"/>
          <w:color w:val="FF0000"/>
        </w:rPr>
      </w:pPr>
      <w:r w:rsidRPr="00867B5E">
        <w:rPr>
          <w:rFonts w:ascii="SimHei" w:eastAsia="SimHei" w:hint="eastAsia"/>
          <w:color w:val="FF0000"/>
        </w:rPr>
        <w:t>概述</w:t>
      </w:r>
    </w:p>
    <w:p w:rsidR="00867B5E" w:rsidRDefault="00867B5E" w:rsidP="00867B5E">
      <w:pPr>
        <w:pStyle w:val="SingleTxt"/>
        <w:rPr>
          <w:rFonts w:hint="eastAsia"/>
        </w:rPr>
      </w:pPr>
      <w:r>
        <w:rPr>
          <w:rFonts w:hint="eastAsia"/>
        </w:rPr>
        <w:t>2.</w:t>
      </w:r>
      <w:r>
        <w:rPr>
          <w:rFonts w:hint="eastAsia"/>
        </w:rPr>
        <w:tab/>
        <w:t>请提供关于编写第四、第五和第六次合并定期报告过程的资料。其中应说明哪些政府部门参与了这一过程及说明其参与的性质和程度，是否与非政府组织进行过协商，该报告是否经由政府通过并提交给议会。</w:t>
      </w:r>
    </w:p>
    <w:p w:rsidR="00867B5E" w:rsidRDefault="00867B5E" w:rsidP="00867B5E">
      <w:pPr>
        <w:pStyle w:val="SingleTxt"/>
        <w:rPr>
          <w:rFonts w:hint="eastAsia"/>
        </w:rPr>
      </w:pPr>
      <w:r>
        <w:rPr>
          <w:rFonts w:hint="eastAsia"/>
        </w:rPr>
        <w:t>3.</w:t>
      </w:r>
      <w:r>
        <w:rPr>
          <w:rFonts w:hint="eastAsia"/>
        </w:rPr>
        <w:tab/>
        <w:t>请提供在该国收集一般数据情况的资料并说明在多大程度上这种数据的收集是按性别分类的。还请说明政府如何收集与《公约》各项规定有关的数据，以及这些数据如何用于政策与方案的制定，并用于监测在实现男女事实平等方面取得的进展。</w:t>
      </w:r>
    </w:p>
    <w:p w:rsidR="00867B5E" w:rsidRPr="00867B5E" w:rsidRDefault="00867B5E" w:rsidP="00867B5E">
      <w:pPr>
        <w:pStyle w:val="SingleTxt"/>
        <w:rPr>
          <w:rFonts w:ascii="SimHei" w:eastAsia="SimHei" w:hint="eastAsia"/>
          <w:color w:val="FF0000"/>
        </w:rPr>
      </w:pPr>
      <w:r w:rsidRPr="00867B5E">
        <w:rPr>
          <w:rFonts w:ascii="SimHei" w:eastAsia="SimHei" w:hint="eastAsia"/>
          <w:color w:val="FF0000"/>
        </w:rPr>
        <w:t>宪法和立法框架</w:t>
      </w:r>
    </w:p>
    <w:p w:rsidR="00867B5E" w:rsidRDefault="00867B5E" w:rsidP="00867B5E">
      <w:pPr>
        <w:pStyle w:val="SingleTxt"/>
        <w:rPr>
          <w:rFonts w:hint="eastAsia"/>
        </w:rPr>
      </w:pPr>
      <w:r>
        <w:rPr>
          <w:rFonts w:hint="eastAsia"/>
        </w:rPr>
        <w:t>4.</w:t>
      </w:r>
      <w:r>
        <w:rPr>
          <w:rFonts w:hint="eastAsia"/>
        </w:rPr>
        <w:tab/>
        <w:t>请提供资料说明国内法院是否引用《公约》的规定，并提供有关案例法的实例。此外，请提供资料说明政府采取何种步骤为法律专业人员和其他负责执行《公约》的行为者，包括律师、法官和检察官提供有关该缔约国承担《公约》规定的国际法律义务方面的充分信息和培训。</w:t>
      </w:r>
    </w:p>
    <w:p w:rsidR="00867B5E" w:rsidRDefault="00867B5E" w:rsidP="00867B5E">
      <w:pPr>
        <w:pStyle w:val="SingleTxt"/>
        <w:rPr>
          <w:rFonts w:hint="eastAsia"/>
        </w:rPr>
      </w:pPr>
      <w:r>
        <w:rPr>
          <w:rFonts w:hint="eastAsia"/>
        </w:rPr>
        <w:t>5.</w:t>
      </w:r>
      <w:r>
        <w:rPr>
          <w:rFonts w:hint="eastAsia"/>
        </w:rPr>
        <w:tab/>
        <w:t>该报告指出，对《刑法》进行了改革，目的是消除对妇女一切形式歧视。然而，其他法律、程序法规、规则和其他文书中仍存在歧视性规定。请提供资料说明已采取或计划采取的步骤，以消除国家法律框架中所有歧视性条款并提供有关时间表。</w:t>
      </w:r>
    </w:p>
    <w:p w:rsidR="00867B5E" w:rsidRDefault="00867B5E" w:rsidP="00867B5E">
      <w:pPr>
        <w:pStyle w:val="SingleTxt"/>
        <w:rPr>
          <w:rFonts w:hint="eastAsia"/>
        </w:rPr>
      </w:pPr>
      <w:r>
        <w:rPr>
          <w:rFonts w:hint="eastAsia"/>
        </w:rPr>
        <w:t>6.</w:t>
      </w:r>
      <w:r>
        <w:rPr>
          <w:rFonts w:hint="eastAsia"/>
        </w:rPr>
        <w:tab/>
        <w:t>请说明是否制定暂行特别措施，以便按照《公约》第四条第</w:t>
      </w:r>
      <w:r w:rsidR="008075F6">
        <w:t>(</w:t>
      </w:r>
      <w:r>
        <w:rPr>
          <w:rFonts w:hint="eastAsia"/>
        </w:rPr>
        <w:t>1</w:t>
      </w:r>
      <w:r w:rsidR="008075F6">
        <w:t>)</w:t>
      </w:r>
      <w:r>
        <w:rPr>
          <w:rFonts w:hint="eastAsia"/>
        </w:rPr>
        <w:t>款以及委员会一般性建议25，加快实现妇女与男子的事实平等，并说明在采取这些措施后取得的结果。</w:t>
      </w:r>
    </w:p>
    <w:p w:rsidR="00867B5E" w:rsidRPr="00867B5E" w:rsidRDefault="00867B5E" w:rsidP="00867B5E">
      <w:pPr>
        <w:pStyle w:val="SingleTxt"/>
        <w:rPr>
          <w:rFonts w:ascii="SimHei" w:eastAsia="SimHei" w:hint="eastAsia"/>
          <w:color w:val="FF0000"/>
        </w:rPr>
      </w:pPr>
      <w:r w:rsidRPr="00867B5E">
        <w:rPr>
          <w:rFonts w:ascii="SimHei" w:eastAsia="SimHei" w:hint="eastAsia"/>
          <w:color w:val="FF0000"/>
        </w:rPr>
        <w:t>体制框架</w:t>
      </w:r>
    </w:p>
    <w:p w:rsidR="00867B5E" w:rsidRDefault="00867B5E" w:rsidP="00867B5E">
      <w:pPr>
        <w:pStyle w:val="SingleTxt"/>
        <w:rPr>
          <w:rFonts w:hint="eastAsia"/>
        </w:rPr>
      </w:pPr>
      <w:r>
        <w:rPr>
          <w:rFonts w:hint="eastAsia"/>
        </w:rPr>
        <w:t>7.</w:t>
      </w:r>
      <w:r>
        <w:rPr>
          <w:rFonts w:hint="eastAsia"/>
        </w:rPr>
        <w:tab/>
        <w:t>报告承认，各机构将性别问题有效纳入主流的工作薄弱。重要原因是缺乏资源、未建立协调机制、对妇女权利的认识不足、没有政治意愿以及存在重男轻女思想，这些均构成促进妇女平等地位的障碍。报告还指出，资源拮据影响到国家妇女研究所的工作。缔约国打算如何及何时改变这种情况？</w:t>
      </w:r>
    </w:p>
    <w:p w:rsidR="00867B5E" w:rsidRDefault="00867B5E" w:rsidP="00867B5E">
      <w:pPr>
        <w:pStyle w:val="SingleTxt"/>
        <w:rPr>
          <w:rFonts w:hint="eastAsia"/>
        </w:rPr>
      </w:pPr>
      <w:r>
        <w:rPr>
          <w:rFonts w:hint="eastAsia"/>
        </w:rPr>
        <w:t>8.</w:t>
      </w:r>
      <w:r>
        <w:rPr>
          <w:rFonts w:hint="eastAsia"/>
        </w:rPr>
        <w:tab/>
        <w:t>尽管在1994年成立了妇女特别检察院，但报告指出“事实上，由于存在着与政府各部门决策人直接相关的一系列障碍，使司法行政受阻。</w:t>
      </w:r>
      <w:r w:rsidR="008075F6">
        <w:rPr>
          <w:rFonts w:hint="eastAsia"/>
        </w:rPr>
        <w:t>”</w:t>
      </w:r>
      <w:r>
        <w:rPr>
          <w:rFonts w:hint="eastAsia"/>
        </w:rPr>
        <w:t>这些障碍是指什么？政府正采取哪些具体步骤在一定的时间内消除这些障碍？</w:t>
      </w:r>
    </w:p>
    <w:p w:rsidR="00867B5E" w:rsidRDefault="00867B5E" w:rsidP="00867B5E">
      <w:pPr>
        <w:pStyle w:val="SingleTxt"/>
        <w:rPr>
          <w:rFonts w:hint="eastAsia"/>
        </w:rPr>
      </w:pPr>
      <w:r>
        <w:rPr>
          <w:rFonts w:hint="eastAsia"/>
        </w:rPr>
        <w:t>9.</w:t>
      </w:r>
      <w:r>
        <w:rPr>
          <w:rFonts w:hint="eastAsia"/>
        </w:rPr>
        <w:tab/>
        <w:t>请简要说明2002-2007年《国家妇女政策和第一个机会均等计划》的内容，包括为执行该计划划拨的资源、为定期监测和评价其影响设立的机制和程序以及迄今取得的成果。</w:t>
      </w:r>
    </w:p>
    <w:p w:rsidR="00867B5E" w:rsidRDefault="00867B5E" w:rsidP="00867B5E">
      <w:pPr>
        <w:pStyle w:val="SingleTxt"/>
        <w:rPr>
          <w:rFonts w:hint="eastAsia"/>
        </w:rPr>
      </w:pPr>
      <w:r>
        <w:rPr>
          <w:rFonts w:hint="eastAsia"/>
        </w:rPr>
        <w:t>10.</w:t>
      </w:r>
      <w:r>
        <w:rPr>
          <w:rFonts w:hint="eastAsia"/>
        </w:rPr>
        <w:tab/>
        <w:t>请提供资料说明社会传播业者争取性别平等文化协会的任务、活动范围以及资源，该机构根据《国家妇女政策》支持妇女参政。</w:t>
      </w:r>
    </w:p>
    <w:p w:rsidR="00867B5E" w:rsidRPr="00867B5E" w:rsidRDefault="00867B5E" w:rsidP="00867B5E">
      <w:pPr>
        <w:pStyle w:val="SingleTxt"/>
        <w:rPr>
          <w:rFonts w:ascii="SimHei" w:eastAsia="SimHei" w:hint="eastAsia"/>
          <w:color w:val="FF0000"/>
        </w:rPr>
      </w:pPr>
      <w:r w:rsidRPr="00867B5E">
        <w:rPr>
          <w:rFonts w:ascii="SimHei" w:eastAsia="SimHei" w:hint="eastAsia"/>
          <w:color w:val="FF0000"/>
        </w:rPr>
        <w:t>陈规定型观念和教育</w:t>
      </w:r>
    </w:p>
    <w:p w:rsidR="00867B5E" w:rsidRDefault="00867B5E" w:rsidP="00867B5E">
      <w:pPr>
        <w:pStyle w:val="SingleTxt"/>
        <w:rPr>
          <w:rFonts w:hint="eastAsia"/>
        </w:rPr>
      </w:pPr>
      <w:r>
        <w:rPr>
          <w:rFonts w:hint="eastAsia"/>
        </w:rPr>
        <w:t>11.</w:t>
      </w:r>
      <w:r>
        <w:rPr>
          <w:rFonts w:hint="eastAsia"/>
        </w:rPr>
        <w:tab/>
        <w:t>委员会在审议洪都拉斯第一、第二和第三次合并定期报告</w:t>
      </w:r>
      <w:r w:rsidR="0088214A">
        <w:rPr>
          <w:rStyle w:val="FootnoteReference"/>
        </w:rPr>
        <w:footnoteReference w:id="1"/>
      </w:r>
      <w:r>
        <w:rPr>
          <w:rFonts w:hint="eastAsia"/>
        </w:rPr>
        <w:t xml:space="preserve"> 时，希望缔约国采取坚决措施消除陈规定型观念，包括提高男女对消除对妇女歧视问题的认识。请提供进一步资料，说明政府采取了哪些步骤，抵制普遍存在的歧视妇女和女孩，包括歧视残疾妇女、土著妇女和非洲裔妇女的陈规定型观念和负面态度，以及在这段时间取得的成就。</w:t>
      </w:r>
    </w:p>
    <w:p w:rsidR="00867B5E" w:rsidRDefault="00867B5E" w:rsidP="00867B5E">
      <w:pPr>
        <w:pStyle w:val="SingleTxt"/>
        <w:rPr>
          <w:rFonts w:hint="eastAsia"/>
        </w:rPr>
      </w:pPr>
      <w:r>
        <w:rPr>
          <w:rFonts w:hint="eastAsia"/>
        </w:rPr>
        <w:t>12.</w:t>
      </w:r>
      <w:r>
        <w:rPr>
          <w:rFonts w:hint="eastAsia"/>
        </w:rPr>
        <w:tab/>
        <w:t>报告中有关教育领域的政策和目标的资料很少，其中指出（第120段）“性别问题不是各机构的首要任务”。请提供资料说明政府依照《公约》第十条已采取或计划采取的步骤，以便将在教育领域实现妇女和男子、女孩和男孩的平等作为优先事项，确保所有妇女和女孩都能公平接受教育和培训，并确保在校率和毕业率。</w:t>
      </w:r>
    </w:p>
    <w:p w:rsidR="00867B5E" w:rsidRDefault="00867B5E" w:rsidP="00867B5E">
      <w:pPr>
        <w:pStyle w:val="SingleTxt"/>
        <w:rPr>
          <w:rFonts w:hint="eastAsia"/>
        </w:rPr>
      </w:pPr>
      <w:r>
        <w:rPr>
          <w:rFonts w:hint="eastAsia"/>
        </w:rPr>
        <w:t>13.</w:t>
      </w:r>
      <w:r>
        <w:rPr>
          <w:rFonts w:hint="eastAsia"/>
        </w:rPr>
        <w:tab/>
        <w:t>请提供按年龄、民族和城乡地区分列的统计数据，说明在该报告所述期间，洪都拉斯妇女和女孩受教育的趋势和取得的成果。</w:t>
      </w:r>
    </w:p>
    <w:p w:rsidR="00867B5E" w:rsidRDefault="00867B5E" w:rsidP="00867B5E">
      <w:pPr>
        <w:pStyle w:val="SingleTxt"/>
        <w:rPr>
          <w:rFonts w:hint="eastAsia"/>
        </w:rPr>
      </w:pPr>
      <w:r>
        <w:rPr>
          <w:rFonts w:hint="eastAsia"/>
        </w:rPr>
        <w:t>14.</w:t>
      </w:r>
      <w:r>
        <w:rPr>
          <w:rFonts w:hint="eastAsia"/>
        </w:rPr>
        <w:tab/>
        <w:t>请提供资料说明洪都拉斯少女怀孕的情况以及对女孩教育成果的影响。也请提供资料说明支持怀孕少女或年轻母亲继续接受教育的情况。在这方面，请提供资料说明《妇女机会均等法》第35条的实施情况，该法允许怀孕学生享有产假。</w:t>
      </w:r>
    </w:p>
    <w:p w:rsidR="00867B5E" w:rsidRPr="00867B5E" w:rsidRDefault="00867B5E" w:rsidP="00867B5E">
      <w:pPr>
        <w:pStyle w:val="SingleTxt"/>
        <w:rPr>
          <w:rFonts w:ascii="SimHei" w:eastAsia="SimHei" w:hint="eastAsia"/>
          <w:color w:val="FF0000"/>
        </w:rPr>
      </w:pPr>
      <w:r w:rsidRPr="00867B5E">
        <w:rPr>
          <w:rFonts w:ascii="SimHei" w:eastAsia="SimHei" w:hint="eastAsia"/>
          <w:color w:val="FF0000"/>
        </w:rPr>
        <w:t>保健</w:t>
      </w:r>
    </w:p>
    <w:p w:rsidR="00867B5E" w:rsidRDefault="00867B5E" w:rsidP="00867B5E">
      <w:pPr>
        <w:pStyle w:val="SingleTxt"/>
        <w:rPr>
          <w:rFonts w:hint="eastAsia"/>
        </w:rPr>
      </w:pPr>
      <w:r>
        <w:rPr>
          <w:rFonts w:hint="eastAsia"/>
        </w:rPr>
        <w:t>15.</w:t>
      </w:r>
      <w:r>
        <w:rPr>
          <w:rFonts w:hint="eastAsia"/>
        </w:rPr>
        <w:tab/>
        <w:t>请提供数据说明洪都拉斯妇女保健趋势，包括按年龄、民族和城乡地区分列的性健康和生殖健康数据。数据应包括产妇死亡率趋势，其中包括不安全堕胎造成的死亡。</w:t>
      </w:r>
    </w:p>
    <w:p w:rsidR="00867B5E" w:rsidRDefault="00867B5E" w:rsidP="00867B5E">
      <w:pPr>
        <w:pStyle w:val="SingleTxt"/>
        <w:rPr>
          <w:rFonts w:hint="eastAsia"/>
        </w:rPr>
      </w:pPr>
      <w:r>
        <w:rPr>
          <w:rFonts w:hint="eastAsia"/>
        </w:rPr>
        <w:t>16.</w:t>
      </w:r>
      <w:r>
        <w:rPr>
          <w:rFonts w:hint="eastAsia"/>
        </w:rPr>
        <w:tab/>
        <w:t>报告承认在某些妇女群体中艾滋病毒/艾滋病感染率有所上升，包括已婚妇女、土著妇女和非洲裔妇女（第265和266段）。请说明政府正在采取或计划采取哪些步骤加强预防艾滋病毒/艾滋病方案和支助服务，及其在多大程度上是以妇女为目标。如果政策、方案和服务都得到落实，请提供资料说明产生的效果。</w:t>
      </w:r>
    </w:p>
    <w:p w:rsidR="00867B5E" w:rsidRDefault="00867B5E" w:rsidP="00867B5E">
      <w:pPr>
        <w:pStyle w:val="SingleTxt"/>
        <w:rPr>
          <w:rFonts w:hint="eastAsia"/>
        </w:rPr>
      </w:pPr>
      <w:r>
        <w:rPr>
          <w:rFonts w:hint="eastAsia"/>
        </w:rPr>
        <w:t>17.</w:t>
      </w:r>
      <w:r>
        <w:rPr>
          <w:rFonts w:hint="eastAsia"/>
        </w:rPr>
        <w:tab/>
        <w:t>报告指出，青少年不是卫生部的首要对象，事实上，可能会被拒绝提供保健服务(第302段和第295段）。报告还特别指出《儿童法》和《卫生部青少年综合照顾方案》在有关青少年获得保健服务方面相互矛盾。报告还指出，1999年政府第0966/SS号法令授权向成年妇女提供避孕药具，但似乎不包括少女。正在作出哪些努力确保青少年获得充分和适龄的保健服务，包括性教育、性健康和生殖健康服务以及计划生育咨询？</w:t>
      </w:r>
    </w:p>
    <w:p w:rsidR="00867B5E" w:rsidRPr="00867B5E" w:rsidRDefault="00867B5E" w:rsidP="00867B5E">
      <w:pPr>
        <w:pStyle w:val="SingleTxt"/>
        <w:rPr>
          <w:rFonts w:ascii="SimHei" w:eastAsia="SimHei" w:hint="eastAsia"/>
          <w:color w:val="FF0000"/>
        </w:rPr>
      </w:pPr>
      <w:r w:rsidRPr="00867B5E">
        <w:rPr>
          <w:rFonts w:ascii="SimHei" w:eastAsia="SimHei" w:hint="eastAsia"/>
          <w:color w:val="FF0000"/>
        </w:rPr>
        <w:t>暴力侵害妇女行为</w:t>
      </w:r>
    </w:p>
    <w:p w:rsidR="00867B5E" w:rsidRDefault="00867B5E" w:rsidP="00867B5E">
      <w:pPr>
        <w:pStyle w:val="SingleTxt"/>
        <w:rPr>
          <w:rFonts w:hint="eastAsia"/>
        </w:rPr>
      </w:pPr>
      <w:r>
        <w:rPr>
          <w:rFonts w:hint="eastAsia"/>
        </w:rPr>
        <w:t>18.</w:t>
      </w:r>
      <w:r>
        <w:rPr>
          <w:rFonts w:hint="eastAsia"/>
        </w:rPr>
        <w:tab/>
        <w:t>报告指出，已建立暴力侵害妇女行为数据收集系统，但该系统不在卫生部的官方记录系统内。与此同时，报告没有明确概述在洪都拉斯对妇女一切形式暴力行为的普遍程度。请提供资料说明洪都拉斯境内对妇女一切形式暴力行为的根源、程度和范围，包括人口调查中有关对妇女暴力行为的调查结果，或尽可能提供按民族、年龄、城乡地区分列的其他现有统计数据或资料，使委员会能够深入了解这方面情况。也请说明特别是在决策和提供服务方面政府计划如何加强对现有资料的检索和使用。</w:t>
      </w:r>
    </w:p>
    <w:p w:rsidR="00867B5E" w:rsidRDefault="00867B5E" w:rsidP="00867B5E">
      <w:pPr>
        <w:pStyle w:val="SingleTxt"/>
        <w:rPr>
          <w:rFonts w:hint="eastAsia"/>
        </w:rPr>
      </w:pPr>
      <w:r>
        <w:rPr>
          <w:rFonts w:hint="eastAsia"/>
        </w:rPr>
        <w:t>19.</w:t>
      </w:r>
      <w:r>
        <w:rPr>
          <w:rFonts w:hint="eastAsia"/>
        </w:rPr>
        <w:tab/>
        <w:t>报告承认在制止暴力侵害妇女方面存在障碍，包括政策、法律和计划得不到遵守（第247段），决策者缺乏认识（第248段）。政府正采取何种步骤在规定的时间表内消除这些障碍？</w:t>
      </w:r>
    </w:p>
    <w:p w:rsidR="00867B5E" w:rsidRPr="00867B5E" w:rsidRDefault="00867B5E" w:rsidP="00867B5E">
      <w:pPr>
        <w:pStyle w:val="SingleTxt"/>
        <w:rPr>
          <w:rFonts w:ascii="SimHei" w:eastAsia="SimHei" w:hint="eastAsia"/>
          <w:color w:val="FF0000"/>
        </w:rPr>
      </w:pPr>
      <w:r w:rsidRPr="00867B5E">
        <w:rPr>
          <w:rFonts w:ascii="SimHei" w:eastAsia="SimHei" w:hint="eastAsia"/>
          <w:color w:val="FF0000"/>
        </w:rPr>
        <w:t>贩运人口以及利用卖淫营利</w:t>
      </w:r>
    </w:p>
    <w:p w:rsidR="00867B5E" w:rsidRDefault="00867B5E" w:rsidP="00867B5E">
      <w:pPr>
        <w:pStyle w:val="SingleTxt"/>
        <w:rPr>
          <w:rFonts w:hint="eastAsia"/>
        </w:rPr>
      </w:pPr>
      <w:r>
        <w:rPr>
          <w:rFonts w:hint="eastAsia"/>
        </w:rPr>
        <w:t>20.</w:t>
      </w:r>
      <w:r>
        <w:rPr>
          <w:rFonts w:hint="eastAsia"/>
        </w:rPr>
        <w:tab/>
        <w:t>该报告指出，特别是在边境地区就对女童和青少年的性剥削和商业剥削行为进行了研究（第96段），但没有提供有关这些研究结果的资料。请说明对妇女、女孩和青少年进行商业剥削和性剥削的情况，包括利用贩运手段，并说明其发生率、原因和后果。也请提供资料说明为解决这一问题实施的任何方案。</w:t>
      </w:r>
    </w:p>
    <w:p w:rsidR="00867B5E" w:rsidRPr="00867B5E" w:rsidRDefault="00867B5E" w:rsidP="00867B5E">
      <w:pPr>
        <w:pStyle w:val="SingleTxt"/>
        <w:rPr>
          <w:rFonts w:ascii="SimHei" w:eastAsia="SimHei" w:hint="eastAsia"/>
          <w:color w:val="FF0000"/>
        </w:rPr>
      </w:pPr>
      <w:r w:rsidRPr="00867B5E">
        <w:rPr>
          <w:rFonts w:ascii="SimHei" w:eastAsia="SimHei" w:hint="eastAsia"/>
          <w:color w:val="FF0000"/>
        </w:rPr>
        <w:t>参与政治和公共生活以及决策</w:t>
      </w:r>
    </w:p>
    <w:p w:rsidR="00867B5E" w:rsidRDefault="00867B5E" w:rsidP="00867B5E">
      <w:pPr>
        <w:pStyle w:val="SingleTxt"/>
        <w:rPr>
          <w:rFonts w:hint="eastAsia"/>
        </w:rPr>
      </w:pPr>
      <w:r>
        <w:rPr>
          <w:rFonts w:hint="eastAsia"/>
        </w:rPr>
        <w:t>21.</w:t>
      </w:r>
      <w:r>
        <w:rPr>
          <w:rFonts w:hint="eastAsia"/>
        </w:rPr>
        <w:tab/>
        <w:t>报告提供的资料显示，在最近的选举中，妇女担任民选职位的人数下降。已采取何种措施保障有效执行《选举和政团法》第105条？也请说明依照《公约》第四条第1款以及委员会一般性建议23和25，实施了哪些其他暂行特别措施，以加快妇女全面平等参与公共生活和决策的所有领域。</w:t>
      </w:r>
    </w:p>
    <w:p w:rsidR="00867B5E" w:rsidRDefault="00867B5E" w:rsidP="00867B5E">
      <w:pPr>
        <w:pStyle w:val="SingleTxt"/>
        <w:rPr>
          <w:rFonts w:hint="eastAsia"/>
        </w:rPr>
      </w:pPr>
      <w:r>
        <w:rPr>
          <w:rFonts w:hint="eastAsia"/>
        </w:rPr>
        <w:t>22.</w:t>
      </w:r>
      <w:r>
        <w:rPr>
          <w:rFonts w:hint="eastAsia"/>
        </w:rPr>
        <w:tab/>
        <w:t>报告指出，必须依照《选举和政团法》第105条，为妇女参与民选职位规定最低配额，但报告又指出，该条规定“违背和违反了”该法第104条以及《机会均等法》。请进一步解释缔约国采取何种措施就这一已知的抵触进行辩论并加以解决。</w:t>
      </w:r>
    </w:p>
    <w:p w:rsidR="00867B5E" w:rsidRPr="00867B5E" w:rsidRDefault="00867B5E" w:rsidP="00867B5E">
      <w:pPr>
        <w:pStyle w:val="SingleTxt"/>
        <w:rPr>
          <w:rFonts w:ascii="SimHei" w:eastAsia="SimHei" w:hint="eastAsia"/>
          <w:color w:val="FF0000"/>
        </w:rPr>
      </w:pPr>
      <w:r w:rsidRPr="00867B5E">
        <w:rPr>
          <w:rFonts w:ascii="SimHei" w:eastAsia="SimHei" w:hint="eastAsia"/>
          <w:color w:val="FF0000"/>
        </w:rPr>
        <w:t>就业；社会和经济福利</w:t>
      </w:r>
    </w:p>
    <w:p w:rsidR="00867B5E" w:rsidRDefault="00867B5E" w:rsidP="00867B5E">
      <w:pPr>
        <w:pStyle w:val="SingleTxt"/>
        <w:rPr>
          <w:rFonts w:hint="eastAsia"/>
        </w:rPr>
      </w:pPr>
      <w:r>
        <w:rPr>
          <w:rFonts w:hint="eastAsia"/>
        </w:rPr>
        <w:t>23.</w:t>
      </w:r>
      <w:r>
        <w:rPr>
          <w:rFonts w:hint="eastAsia"/>
        </w:rPr>
        <w:tab/>
        <w:t>报告承认消除就业领域歧视的方案没有效果，立法框架不够充分。请提供资料说明修订《劳工法》的时间表，以便从法律上遵守《公约》第十一条。请进一步说明在修订国家法律以及制定政策与方案时，如何以及在何种程度上考虑到2004年国家妇女研究所提出的：“性别平等的就业”的建议。</w:t>
      </w:r>
    </w:p>
    <w:p w:rsidR="00867B5E" w:rsidRDefault="00867B5E" w:rsidP="00867B5E">
      <w:pPr>
        <w:pStyle w:val="SingleTxt"/>
        <w:rPr>
          <w:rFonts w:hint="eastAsia"/>
        </w:rPr>
      </w:pPr>
      <w:r>
        <w:rPr>
          <w:rFonts w:hint="eastAsia"/>
        </w:rPr>
        <w:t>24.</w:t>
      </w:r>
      <w:r>
        <w:rPr>
          <w:rFonts w:hint="eastAsia"/>
        </w:rPr>
        <w:tab/>
        <w:t>根据该报告，女性劳动适龄人口界定为“10岁以上”（第328段），在家庭服务领域工作的女孩中有64.4</w:t>
      </w:r>
      <w:r w:rsidR="00490C1E">
        <w:rPr>
          <w:rFonts w:hint="eastAsia"/>
        </w:rPr>
        <w:t>％</w:t>
      </w:r>
      <w:r>
        <w:rPr>
          <w:rFonts w:hint="eastAsia"/>
        </w:rPr>
        <w:t>不到14岁。请说明政府正采取何种具体步骤确保少女不受经济剥削以及不当最恶劣形式的童工，确保在家庭服务部门工作的少女继续接受教育。</w:t>
      </w:r>
    </w:p>
    <w:p w:rsidR="00867B5E" w:rsidRDefault="00867B5E" w:rsidP="00867B5E">
      <w:pPr>
        <w:pStyle w:val="SingleTxt"/>
        <w:rPr>
          <w:rFonts w:hint="eastAsia"/>
        </w:rPr>
      </w:pPr>
      <w:r>
        <w:rPr>
          <w:rFonts w:hint="eastAsia"/>
        </w:rPr>
        <w:t>25.</w:t>
      </w:r>
      <w:r>
        <w:rPr>
          <w:rFonts w:hint="eastAsia"/>
        </w:rPr>
        <w:tab/>
        <w:t>请提供资料说明在出口加工业就业的妇女的工作条件。也请提供资料说明政府为确保出口加工业就业妇女的权益采取的行动，包括最低薪金权利，确保妇女了解其权利并能争取其权利。</w:t>
      </w:r>
    </w:p>
    <w:p w:rsidR="00867B5E" w:rsidRPr="00867B5E" w:rsidRDefault="00867B5E" w:rsidP="00867B5E">
      <w:pPr>
        <w:pStyle w:val="SingleTxt"/>
        <w:rPr>
          <w:rFonts w:ascii="SimHei" w:eastAsia="SimHei" w:hint="eastAsia"/>
          <w:color w:val="FF0000"/>
        </w:rPr>
      </w:pPr>
      <w:r w:rsidRPr="00867B5E">
        <w:rPr>
          <w:rFonts w:ascii="SimHei" w:eastAsia="SimHei" w:hint="eastAsia"/>
          <w:color w:val="FF0000"/>
        </w:rPr>
        <w:t>贫穷与农村妇女</w:t>
      </w:r>
    </w:p>
    <w:p w:rsidR="00867B5E" w:rsidRDefault="00867B5E" w:rsidP="00867B5E">
      <w:pPr>
        <w:pStyle w:val="SingleTxt"/>
        <w:rPr>
          <w:rFonts w:hint="eastAsia"/>
        </w:rPr>
      </w:pPr>
      <w:r>
        <w:rPr>
          <w:rFonts w:hint="eastAsia"/>
        </w:rPr>
        <w:t>26.</w:t>
      </w:r>
      <w:r>
        <w:rPr>
          <w:rFonts w:hint="eastAsia"/>
        </w:rPr>
        <w:tab/>
        <w:t>请提供资料说明在境内和国际移徙的妇女和女孩的情况，包括她们的人数和概况，以及采取何种步骤保护移徙妇女和女孩免受虐待、剥削和暴力。</w:t>
      </w:r>
    </w:p>
    <w:p w:rsidR="00867B5E" w:rsidRDefault="00867B5E" w:rsidP="00867B5E">
      <w:pPr>
        <w:pStyle w:val="SingleTxt"/>
        <w:rPr>
          <w:rFonts w:hint="eastAsia"/>
        </w:rPr>
      </w:pPr>
      <w:r>
        <w:rPr>
          <w:rFonts w:hint="eastAsia"/>
        </w:rPr>
        <w:t>27.</w:t>
      </w:r>
      <w:r>
        <w:rPr>
          <w:rFonts w:hint="eastAsia"/>
        </w:rPr>
        <w:tab/>
        <w:t>报告（第88和第91段）称，农业部门妇女所获权利似乎“令人满意”，但由于资源分配不足和不公平以及贸易条件不平等，她们的权利得不到保障，使妇女更易陷入贫穷。现已采取何种步骤确保妇女积极参与制定和执行农业部门的各项方案和全面减贫方案，包括国际援助分配方案？</w:t>
      </w:r>
    </w:p>
    <w:p w:rsidR="00867B5E" w:rsidRPr="00867B5E" w:rsidRDefault="00867B5E" w:rsidP="00867B5E">
      <w:pPr>
        <w:pStyle w:val="SingleTxt"/>
        <w:rPr>
          <w:rFonts w:ascii="SimHei" w:eastAsia="SimHei" w:hint="eastAsia"/>
          <w:color w:val="FF0000"/>
        </w:rPr>
      </w:pPr>
      <w:r w:rsidRPr="00867B5E">
        <w:rPr>
          <w:rFonts w:ascii="SimHei" w:eastAsia="SimHei" w:hint="eastAsia"/>
          <w:color w:val="FF0000"/>
        </w:rPr>
        <w:t>婚姻和家庭关系</w:t>
      </w:r>
    </w:p>
    <w:p w:rsidR="00867B5E" w:rsidRDefault="00867B5E" w:rsidP="00867B5E">
      <w:pPr>
        <w:pStyle w:val="SingleTxt"/>
        <w:rPr>
          <w:rFonts w:hint="eastAsia"/>
        </w:rPr>
      </w:pPr>
      <w:r>
        <w:rPr>
          <w:rFonts w:hint="eastAsia"/>
        </w:rPr>
        <w:t>28.</w:t>
      </w:r>
      <w:r>
        <w:rPr>
          <w:rFonts w:hint="eastAsia"/>
        </w:rPr>
        <w:tab/>
        <w:t>报告承认《家庭法》是有缺陷的，妨碍对妇女和儿童产生效果。报告特别指出“国家司法执行机制</w:t>
      </w:r>
      <w:r w:rsidR="005E4073">
        <w:rPr>
          <w:rFonts w:hint="eastAsia"/>
        </w:rPr>
        <w:t>”</w:t>
      </w:r>
      <w:r>
        <w:rPr>
          <w:rFonts w:hint="eastAsia"/>
        </w:rPr>
        <w:t>社会、文化和经济因素可能构成妨碍妇女获得司法保护的障碍（第361段和第362段）。请概述缔约国正采取哪些步骤提高妇女对其权利的认识并提高妇女在所有家庭事务中获得司法协助的能力。</w:t>
      </w:r>
    </w:p>
    <w:p w:rsidR="00867B5E" w:rsidRPr="00867B5E" w:rsidRDefault="00867B5E" w:rsidP="00867B5E">
      <w:pPr>
        <w:pStyle w:val="SingleTxt"/>
        <w:rPr>
          <w:rFonts w:ascii="SimHei" w:eastAsia="SimHei" w:hint="eastAsia"/>
          <w:color w:val="FF0000"/>
        </w:rPr>
      </w:pPr>
      <w:r w:rsidRPr="00867B5E">
        <w:rPr>
          <w:rFonts w:ascii="SimHei" w:eastAsia="SimHei" w:hint="eastAsia"/>
          <w:color w:val="FF0000"/>
        </w:rPr>
        <w:t>《任择议定书》和第二十条第1款的修正案</w:t>
      </w:r>
    </w:p>
    <w:p w:rsidR="00867B5E" w:rsidRDefault="00867B5E" w:rsidP="00867B5E">
      <w:pPr>
        <w:pStyle w:val="SingleTxt"/>
        <w:rPr>
          <w:rFonts w:hint="eastAsia"/>
        </w:rPr>
      </w:pPr>
      <w:r>
        <w:rPr>
          <w:rFonts w:hint="eastAsia"/>
        </w:rPr>
        <w:t>29.</w:t>
      </w:r>
      <w:r>
        <w:rPr>
          <w:rFonts w:hint="eastAsia"/>
        </w:rPr>
        <w:tab/>
        <w:t>请说明在批准/加入《公约任择议定书》方面取得的进展。也请说明在接受《公约》第二十条第1款修正案方面取得的进展。</w:t>
      </w:r>
    </w:p>
    <w:p w:rsidR="00EA31C3" w:rsidRPr="00867B5E" w:rsidRDefault="00867B5E" w:rsidP="00867B5E">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867B5E" w:rsidSect="005268E3">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5T09:50:00Z" w:initials="Start">
    <w:p w:rsidR="00F63753" w:rsidRDefault="00F63753">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NO&gt;&gt;N0725009C&lt;&lt;ODS JOB NO&gt;&gt;</w:t>
      </w:r>
    </w:p>
    <w:p w:rsidR="00F63753" w:rsidRDefault="00F63753">
      <w:pPr>
        <w:pStyle w:val="CommentText"/>
      </w:pPr>
      <w:r>
        <w:t>&lt;&lt;ODS DOC SYMBOL1&gt;&gt;CEDAW/C/HON/Q/6&lt;&lt;ODS DOC SYMBOL1&gt;&gt;</w:t>
      </w:r>
    </w:p>
    <w:p w:rsidR="00F63753" w:rsidRDefault="00F6375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B87" w:rsidRDefault="00456B87" w:rsidP="005268E3">
      <w:pPr>
        <w:pStyle w:val="Footer"/>
      </w:pPr>
      <w:r>
        <w:separator/>
      </w:r>
    </w:p>
  </w:endnote>
  <w:endnote w:type="continuationSeparator" w:id="0">
    <w:p w:rsidR="00456B87" w:rsidRDefault="00456B87" w:rsidP="005268E3">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63753" w:rsidTr="005268E3">
      <w:tblPrEx>
        <w:tblCellMar>
          <w:top w:w="0" w:type="dxa"/>
          <w:bottom w:w="0" w:type="dxa"/>
        </w:tblCellMar>
      </w:tblPrEx>
      <w:tc>
        <w:tcPr>
          <w:tcW w:w="5033" w:type="dxa"/>
          <w:shd w:val="clear" w:color="auto" w:fill="auto"/>
          <w:vAlign w:val="bottom"/>
        </w:tcPr>
        <w:p w:rsidR="00F63753" w:rsidRPr="005268E3" w:rsidRDefault="00F63753" w:rsidP="005268E3">
          <w:pPr>
            <w:pStyle w:val="Footer"/>
            <w:jc w:val="left"/>
          </w:pPr>
          <w:r>
            <w:fldChar w:fldCharType="begin"/>
          </w:r>
          <w:r>
            <w:instrText xml:space="preserve"> PAGE  \* MERGEFORMAT </w:instrText>
          </w:r>
          <w:r>
            <w:fldChar w:fldCharType="separate"/>
          </w:r>
          <w:r w:rsidR="00D15405">
            <w:t>4</w:t>
          </w:r>
          <w:r>
            <w:fldChar w:fldCharType="end"/>
          </w:r>
        </w:p>
      </w:tc>
      <w:tc>
        <w:tcPr>
          <w:tcW w:w="5033" w:type="dxa"/>
          <w:shd w:val="clear" w:color="auto" w:fill="auto"/>
          <w:vAlign w:val="bottom"/>
        </w:tcPr>
        <w:p w:rsidR="00F63753" w:rsidRPr="005268E3" w:rsidRDefault="00F63753" w:rsidP="005268E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07-25009</w:t>
          </w:r>
          <w:r>
            <w:rPr>
              <w:b w:val="0"/>
              <w:sz w:val="14"/>
            </w:rPr>
            <w:fldChar w:fldCharType="end"/>
          </w:r>
        </w:p>
      </w:tc>
    </w:tr>
  </w:tbl>
  <w:p w:rsidR="00F63753" w:rsidRPr="005268E3" w:rsidRDefault="00F63753" w:rsidP="005268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63753" w:rsidTr="005268E3">
      <w:tblPrEx>
        <w:tblCellMar>
          <w:top w:w="0" w:type="dxa"/>
          <w:bottom w:w="0" w:type="dxa"/>
        </w:tblCellMar>
      </w:tblPrEx>
      <w:tc>
        <w:tcPr>
          <w:tcW w:w="5033" w:type="dxa"/>
          <w:shd w:val="clear" w:color="auto" w:fill="auto"/>
          <w:vAlign w:val="bottom"/>
        </w:tcPr>
        <w:p w:rsidR="00F63753" w:rsidRPr="005268E3" w:rsidRDefault="00F63753" w:rsidP="005268E3">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07-25009</w:t>
          </w:r>
          <w:r>
            <w:rPr>
              <w:b w:val="0"/>
              <w:sz w:val="14"/>
            </w:rPr>
            <w:fldChar w:fldCharType="end"/>
          </w:r>
        </w:p>
      </w:tc>
      <w:tc>
        <w:tcPr>
          <w:tcW w:w="5033" w:type="dxa"/>
          <w:shd w:val="clear" w:color="auto" w:fill="auto"/>
          <w:vAlign w:val="bottom"/>
        </w:tcPr>
        <w:p w:rsidR="00F63753" w:rsidRPr="005268E3" w:rsidRDefault="00F63753" w:rsidP="005268E3">
          <w:pPr>
            <w:pStyle w:val="Footer"/>
            <w:jc w:val="right"/>
          </w:pPr>
          <w:r>
            <w:fldChar w:fldCharType="begin"/>
          </w:r>
          <w:r>
            <w:instrText xml:space="preserve"> PAGE  \* MERGEFORMAT </w:instrText>
          </w:r>
          <w:r>
            <w:fldChar w:fldCharType="separate"/>
          </w:r>
          <w:r w:rsidR="00D15405">
            <w:t>5</w:t>
          </w:r>
          <w:r>
            <w:fldChar w:fldCharType="end"/>
          </w:r>
        </w:p>
      </w:tc>
    </w:tr>
  </w:tbl>
  <w:p w:rsidR="00F63753" w:rsidRPr="005268E3" w:rsidRDefault="00F63753" w:rsidP="005268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753" w:rsidRDefault="00F63753" w:rsidP="005268E3">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07-25009 (C)</w:t>
    </w:r>
    <w:r>
      <w:rPr>
        <w:b w:val="0"/>
        <w:sz w:val="21"/>
      </w:rPr>
      <w:fldChar w:fldCharType="end"/>
    </w:r>
    <w:r>
      <w:rPr>
        <w:b w:val="0"/>
        <w:sz w:val="21"/>
      </w:rPr>
      <w:t xml:space="preserve">    130307    150307</w:t>
    </w:r>
  </w:p>
  <w:p w:rsidR="00F63753" w:rsidRPr="005268E3" w:rsidRDefault="00F63753" w:rsidP="005268E3">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*0725009*</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B87" w:rsidRPr="0088214A" w:rsidRDefault="00456B87" w:rsidP="0088214A">
      <w:pPr>
        <w:pStyle w:val="Footer"/>
        <w:spacing w:after="80"/>
        <w:ind w:left="792"/>
        <w:rPr>
          <w:sz w:val="16"/>
        </w:rPr>
      </w:pPr>
      <w:r w:rsidRPr="0088214A">
        <w:rPr>
          <w:sz w:val="16"/>
        </w:rPr>
        <w:t>__________________</w:t>
      </w:r>
    </w:p>
  </w:footnote>
  <w:footnote w:type="continuationSeparator" w:id="0">
    <w:p w:rsidR="00456B87" w:rsidRPr="0088214A" w:rsidRDefault="00456B87" w:rsidP="0088214A">
      <w:pPr>
        <w:pStyle w:val="Footer"/>
        <w:spacing w:after="80"/>
        <w:ind w:left="792"/>
        <w:rPr>
          <w:sz w:val="16"/>
        </w:rPr>
      </w:pPr>
      <w:r w:rsidRPr="0088214A">
        <w:rPr>
          <w:sz w:val="16"/>
        </w:rPr>
        <w:t>__________________</w:t>
      </w:r>
    </w:p>
  </w:footnote>
  <w:footnote w:id="1">
    <w:p w:rsidR="00F63753" w:rsidRPr="0088214A" w:rsidRDefault="00F63753" w:rsidP="0088214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8214A">
        <w:rPr>
          <w:rFonts w:hint="eastAsia"/>
        </w:rPr>
        <w:t>见《大会正式记录，第四十七届会议，补编第38号》（A/47/38）,第三部分，B节，第106至143段。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63753" w:rsidTr="005268E3">
      <w:tblPrEx>
        <w:tblCellMar>
          <w:top w:w="0" w:type="dxa"/>
          <w:bottom w:w="0" w:type="dxa"/>
        </w:tblCellMar>
      </w:tblPrEx>
      <w:trPr>
        <w:trHeight w:hRule="exact" w:val="864"/>
      </w:trPr>
      <w:tc>
        <w:tcPr>
          <w:tcW w:w="4838" w:type="dxa"/>
          <w:shd w:val="clear" w:color="auto" w:fill="auto"/>
          <w:vAlign w:val="bottom"/>
        </w:tcPr>
        <w:p w:rsidR="00F63753" w:rsidRPr="005268E3" w:rsidRDefault="00F63753" w:rsidP="005268E3">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CEDAW/C/HON/Q/6</w:t>
          </w:r>
          <w:r>
            <w:rPr>
              <w:b/>
              <w:sz w:val="17"/>
            </w:rPr>
            <w:fldChar w:fldCharType="end"/>
          </w:r>
        </w:p>
      </w:tc>
      <w:tc>
        <w:tcPr>
          <w:tcW w:w="5033" w:type="dxa"/>
          <w:shd w:val="clear" w:color="auto" w:fill="auto"/>
          <w:vAlign w:val="bottom"/>
        </w:tcPr>
        <w:p w:rsidR="00F63753" w:rsidRDefault="00F63753" w:rsidP="005268E3">
          <w:pPr>
            <w:pStyle w:val="Header"/>
          </w:pPr>
        </w:p>
      </w:tc>
    </w:tr>
  </w:tbl>
  <w:p w:rsidR="00F63753" w:rsidRPr="005268E3" w:rsidRDefault="00F63753" w:rsidP="005268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63753" w:rsidTr="005268E3">
      <w:tblPrEx>
        <w:tblCellMar>
          <w:top w:w="0" w:type="dxa"/>
          <w:bottom w:w="0" w:type="dxa"/>
        </w:tblCellMar>
      </w:tblPrEx>
      <w:trPr>
        <w:trHeight w:hRule="exact" w:val="864"/>
      </w:trPr>
      <w:tc>
        <w:tcPr>
          <w:tcW w:w="4838" w:type="dxa"/>
          <w:shd w:val="clear" w:color="auto" w:fill="auto"/>
          <w:vAlign w:val="bottom"/>
        </w:tcPr>
        <w:p w:rsidR="00F63753" w:rsidRDefault="00F63753" w:rsidP="005268E3">
          <w:pPr>
            <w:pStyle w:val="Header"/>
          </w:pPr>
        </w:p>
      </w:tc>
      <w:tc>
        <w:tcPr>
          <w:tcW w:w="5033" w:type="dxa"/>
          <w:shd w:val="clear" w:color="auto" w:fill="auto"/>
          <w:vAlign w:val="bottom"/>
        </w:tcPr>
        <w:p w:rsidR="00F63753" w:rsidRPr="005268E3" w:rsidRDefault="00F63753" w:rsidP="005268E3">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CEDAW/C/HON/Q/6</w:t>
          </w:r>
          <w:r>
            <w:rPr>
              <w:b/>
              <w:sz w:val="17"/>
            </w:rPr>
            <w:fldChar w:fldCharType="end"/>
          </w:r>
        </w:p>
      </w:tc>
    </w:tr>
  </w:tbl>
  <w:p w:rsidR="00F63753" w:rsidRPr="005268E3" w:rsidRDefault="00F63753" w:rsidP="005268E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63753" w:rsidTr="005268E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63753" w:rsidRDefault="00F63753" w:rsidP="005268E3">
          <w:pPr>
            <w:pStyle w:val="Header"/>
            <w:spacing w:after="120"/>
          </w:pPr>
        </w:p>
      </w:tc>
      <w:tc>
        <w:tcPr>
          <w:tcW w:w="1872" w:type="dxa"/>
          <w:tcBorders>
            <w:bottom w:val="single" w:sz="4" w:space="0" w:color="auto"/>
          </w:tcBorders>
          <w:shd w:val="clear" w:color="auto" w:fill="auto"/>
          <w:vAlign w:val="bottom"/>
        </w:tcPr>
        <w:p w:rsidR="00F63753" w:rsidRPr="005268E3" w:rsidRDefault="00F63753" w:rsidP="005268E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63753" w:rsidRDefault="00F63753" w:rsidP="005268E3">
          <w:pPr>
            <w:pStyle w:val="Header"/>
            <w:spacing w:after="120"/>
          </w:pPr>
        </w:p>
      </w:tc>
      <w:tc>
        <w:tcPr>
          <w:tcW w:w="6523" w:type="dxa"/>
          <w:gridSpan w:val="3"/>
          <w:tcBorders>
            <w:bottom w:val="single" w:sz="4" w:space="0" w:color="auto"/>
          </w:tcBorders>
          <w:shd w:val="clear" w:color="auto" w:fill="auto"/>
          <w:vAlign w:val="bottom"/>
        </w:tcPr>
        <w:p w:rsidR="00F63753" w:rsidRPr="005268E3" w:rsidRDefault="00F63753" w:rsidP="005268E3">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/C/HON/Q/6</w:t>
          </w:r>
        </w:p>
      </w:tc>
    </w:tr>
    <w:tr w:rsidR="00F63753" w:rsidRPr="005268E3" w:rsidTr="005268E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63753" w:rsidRDefault="00F63753" w:rsidP="005268E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63753" w:rsidRPr="005268E3" w:rsidRDefault="00F63753" w:rsidP="005268E3">
          <w:pPr>
            <w:pStyle w:val="Header"/>
            <w:spacing w:before="109"/>
            <w:ind w:left="-72"/>
          </w:pPr>
        </w:p>
      </w:tc>
      <w:tc>
        <w:tcPr>
          <w:tcW w:w="5227" w:type="dxa"/>
          <w:gridSpan w:val="3"/>
          <w:tcBorders>
            <w:top w:val="single" w:sz="4" w:space="0" w:color="auto"/>
            <w:bottom w:val="single" w:sz="12" w:space="0" w:color="auto"/>
          </w:tcBorders>
          <w:shd w:val="clear" w:color="auto" w:fill="auto"/>
        </w:tcPr>
        <w:p w:rsidR="00F63753" w:rsidRPr="005268E3" w:rsidRDefault="00F63753" w:rsidP="005268E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63753" w:rsidRPr="005268E3" w:rsidRDefault="00F63753" w:rsidP="005268E3">
          <w:pPr>
            <w:pStyle w:val="Header"/>
            <w:spacing w:before="109"/>
          </w:pPr>
        </w:p>
      </w:tc>
      <w:tc>
        <w:tcPr>
          <w:tcW w:w="3180" w:type="dxa"/>
          <w:gridSpan w:val="2"/>
          <w:tcBorders>
            <w:top w:val="single" w:sz="4" w:space="0" w:color="auto"/>
            <w:bottom w:val="single" w:sz="12" w:space="0" w:color="auto"/>
          </w:tcBorders>
          <w:shd w:val="clear" w:color="auto" w:fill="auto"/>
        </w:tcPr>
        <w:p w:rsidR="00F63753" w:rsidRDefault="00F63753" w:rsidP="005268E3">
          <w:pPr>
            <w:spacing w:before="240" w:line="240" w:lineRule="exact"/>
            <w:rPr>
              <w:rFonts w:ascii="Times New Roman"/>
            </w:rPr>
          </w:pPr>
          <w:r>
            <w:rPr>
              <w:rFonts w:ascii="Times New Roman"/>
            </w:rPr>
            <w:t>Distr.: General</w:t>
          </w:r>
        </w:p>
        <w:p w:rsidR="00F63753" w:rsidRDefault="00F63753" w:rsidP="005268E3">
          <w:pPr>
            <w:spacing w:line="240" w:lineRule="exact"/>
            <w:rPr>
              <w:rFonts w:ascii="Times New Roman"/>
            </w:rPr>
          </w:pPr>
          <w:r>
            <w:rPr>
              <w:rFonts w:ascii="Times New Roman"/>
            </w:rPr>
            <w:t>26 February 2007</w:t>
          </w:r>
        </w:p>
        <w:p w:rsidR="00F63753" w:rsidRDefault="00F63753" w:rsidP="005268E3">
          <w:pPr>
            <w:spacing w:line="240" w:lineRule="exact"/>
            <w:rPr>
              <w:rFonts w:ascii="Times New Roman"/>
            </w:rPr>
          </w:pPr>
          <w:r>
            <w:rPr>
              <w:rFonts w:ascii="Times New Roman"/>
            </w:rPr>
            <w:t>Chinese</w:t>
          </w:r>
        </w:p>
        <w:p w:rsidR="00F63753" w:rsidRPr="005268E3" w:rsidRDefault="00F63753" w:rsidP="005268E3">
          <w:pPr>
            <w:spacing w:line="240" w:lineRule="exact"/>
            <w:rPr>
              <w:rFonts w:ascii="Times New Roman"/>
            </w:rPr>
          </w:pPr>
          <w:r>
            <w:rPr>
              <w:rFonts w:ascii="Times New Roman"/>
            </w:rPr>
            <w:t>Original: English</w:t>
          </w:r>
        </w:p>
      </w:tc>
    </w:tr>
  </w:tbl>
  <w:p w:rsidR="00F63753" w:rsidRPr="005268E3" w:rsidRDefault="00F63753" w:rsidP="005268E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009*"/>
    <w:docVar w:name="CreationDt" w:val="14/03/2007 16:58:41"/>
    <w:docVar w:name="DocCategory" w:val="Doc"/>
    <w:docVar w:name="DocType" w:val="Final"/>
    <w:docVar w:name="FooterJN" w:val="07-25009"/>
    <w:docVar w:name="jobn" w:val="07-25009 (C)"/>
    <w:docVar w:name="jobnDT" w:val="07-25009 (C)   140307"/>
    <w:docVar w:name="jobnDTDT" w:val="07-25009 (C)   140307   140307"/>
    <w:docVar w:name="JobNo" w:val="0725009C"/>
    <w:docVar w:name="OandT" w:val="Wang xq"/>
    <w:docVar w:name="sss1" w:val="CEDAW/C/HON/Q/6"/>
    <w:docVar w:name="sss2" w:val="-"/>
    <w:docVar w:name="Symbol1" w:val="CEDAW/C/HON/Q/6"/>
    <w:docVar w:name="Symbol2" w:val="-"/>
  </w:docVars>
  <w:rsids>
    <w:rsidRoot w:val="00D51A59"/>
    <w:rsid w:val="000125BC"/>
    <w:rsid w:val="00021A2B"/>
    <w:rsid w:val="00037B39"/>
    <w:rsid w:val="00044CA4"/>
    <w:rsid w:val="00045EFE"/>
    <w:rsid w:val="0007337D"/>
    <w:rsid w:val="000758DF"/>
    <w:rsid w:val="00076EB8"/>
    <w:rsid w:val="000870A5"/>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316D"/>
    <w:rsid w:val="00266257"/>
    <w:rsid w:val="00271BE6"/>
    <w:rsid w:val="0027454D"/>
    <w:rsid w:val="00280671"/>
    <w:rsid w:val="002814F9"/>
    <w:rsid w:val="002816BF"/>
    <w:rsid w:val="00282D17"/>
    <w:rsid w:val="002A4AEF"/>
    <w:rsid w:val="002B305F"/>
    <w:rsid w:val="002B564F"/>
    <w:rsid w:val="002C2254"/>
    <w:rsid w:val="002C3BC9"/>
    <w:rsid w:val="002C54DB"/>
    <w:rsid w:val="002C7EE3"/>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24EF"/>
    <w:rsid w:val="00453BB0"/>
    <w:rsid w:val="00456B87"/>
    <w:rsid w:val="00460162"/>
    <w:rsid w:val="004620A8"/>
    <w:rsid w:val="00490C1E"/>
    <w:rsid w:val="004A06D1"/>
    <w:rsid w:val="004A11FC"/>
    <w:rsid w:val="004C3255"/>
    <w:rsid w:val="004D1C19"/>
    <w:rsid w:val="004F29B8"/>
    <w:rsid w:val="0050413E"/>
    <w:rsid w:val="00515657"/>
    <w:rsid w:val="00517FB6"/>
    <w:rsid w:val="00521275"/>
    <w:rsid w:val="0052216F"/>
    <w:rsid w:val="005232CA"/>
    <w:rsid w:val="00523636"/>
    <w:rsid w:val="005268E3"/>
    <w:rsid w:val="005335B9"/>
    <w:rsid w:val="00536CCE"/>
    <w:rsid w:val="005541E4"/>
    <w:rsid w:val="0058302A"/>
    <w:rsid w:val="005B7338"/>
    <w:rsid w:val="005C02AB"/>
    <w:rsid w:val="005C7651"/>
    <w:rsid w:val="005D0F04"/>
    <w:rsid w:val="005E4073"/>
    <w:rsid w:val="005F3273"/>
    <w:rsid w:val="005F34A3"/>
    <w:rsid w:val="00610CF2"/>
    <w:rsid w:val="006479F1"/>
    <w:rsid w:val="00650BEE"/>
    <w:rsid w:val="006520FA"/>
    <w:rsid w:val="0065377D"/>
    <w:rsid w:val="006740A7"/>
    <w:rsid w:val="00691524"/>
    <w:rsid w:val="006A654B"/>
    <w:rsid w:val="006E2924"/>
    <w:rsid w:val="006E7A26"/>
    <w:rsid w:val="006F2B3D"/>
    <w:rsid w:val="007319E0"/>
    <w:rsid w:val="00734138"/>
    <w:rsid w:val="00737B00"/>
    <w:rsid w:val="00751207"/>
    <w:rsid w:val="0075155C"/>
    <w:rsid w:val="00753A05"/>
    <w:rsid w:val="00761190"/>
    <w:rsid w:val="007622AB"/>
    <w:rsid w:val="00776537"/>
    <w:rsid w:val="00783A25"/>
    <w:rsid w:val="007E1B5E"/>
    <w:rsid w:val="007F2278"/>
    <w:rsid w:val="00805783"/>
    <w:rsid w:val="00806F57"/>
    <w:rsid w:val="00806F90"/>
    <w:rsid w:val="008075F6"/>
    <w:rsid w:val="00824C19"/>
    <w:rsid w:val="008378D1"/>
    <w:rsid w:val="00846462"/>
    <w:rsid w:val="0086691F"/>
    <w:rsid w:val="00867B5E"/>
    <w:rsid w:val="008772CF"/>
    <w:rsid w:val="0088214A"/>
    <w:rsid w:val="00884C8F"/>
    <w:rsid w:val="008C3296"/>
    <w:rsid w:val="008F2BB5"/>
    <w:rsid w:val="008F5472"/>
    <w:rsid w:val="008F5D0F"/>
    <w:rsid w:val="009122E0"/>
    <w:rsid w:val="00913351"/>
    <w:rsid w:val="0096193C"/>
    <w:rsid w:val="009769E1"/>
    <w:rsid w:val="00977E0D"/>
    <w:rsid w:val="00986C04"/>
    <w:rsid w:val="009A23CD"/>
    <w:rsid w:val="009A2F76"/>
    <w:rsid w:val="009B7C9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55D61"/>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C77AA"/>
    <w:rsid w:val="00BE365A"/>
    <w:rsid w:val="00BE47C4"/>
    <w:rsid w:val="00C052A2"/>
    <w:rsid w:val="00C06A4A"/>
    <w:rsid w:val="00C1391A"/>
    <w:rsid w:val="00C148A4"/>
    <w:rsid w:val="00C14CE6"/>
    <w:rsid w:val="00C2725D"/>
    <w:rsid w:val="00C42033"/>
    <w:rsid w:val="00CB2B1E"/>
    <w:rsid w:val="00CC3E8B"/>
    <w:rsid w:val="00CC4E84"/>
    <w:rsid w:val="00CD5641"/>
    <w:rsid w:val="00CD5A26"/>
    <w:rsid w:val="00CE64AC"/>
    <w:rsid w:val="00CF7718"/>
    <w:rsid w:val="00D15405"/>
    <w:rsid w:val="00D177F1"/>
    <w:rsid w:val="00D323B5"/>
    <w:rsid w:val="00D42ACC"/>
    <w:rsid w:val="00D51A59"/>
    <w:rsid w:val="00D51DC5"/>
    <w:rsid w:val="00D676D7"/>
    <w:rsid w:val="00D874E1"/>
    <w:rsid w:val="00D9586D"/>
    <w:rsid w:val="00DB00D0"/>
    <w:rsid w:val="00DC2506"/>
    <w:rsid w:val="00DC49FA"/>
    <w:rsid w:val="00DD3D6B"/>
    <w:rsid w:val="00DD4467"/>
    <w:rsid w:val="00DD61C8"/>
    <w:rsid w:val="00DD772B"/>
    <w:rsid w:val="00E25442"/>
    <w:rsid w:val="00E37EEB"/>
    <w:rsid w:val="00E442F3"/>
    <w:rsid w:val="00E710FB"/>
    <w:rsid w:val="00E806D9"/>
    <w:rsid w:val="00E82CA2"/>
    <w:rsid w:val="00E95594"/>
    <w:rsid w:val="00EA31C3"/>
    <w:rsid w:val="00EC6F21"/>
    <w:rsid w:val="00EE0913"/>
    <w:rsid w:val="00F01440"/>
    <w:rsid w:val="00F13305"/>
    <w:rsid w:val="00F40463"/>
    <w:rsid w:val="00F50336"/>
    <w:rsid w:val="00F62E3F"/>
    <w:rsid w:val="00F63753"/>
    <w:rsid w:val="00F67F90"/>
    <w:rsid w:val="00F77B3E"/>
    <w:rsid w:val="00F82645"/>
    <w:rsid w:val="00F833CB"/>
    <w:rsid w:val="00F87754"/>
    <w:rsid w:val="00F90A4B"/>
    <w:rsid w:val="00FA526E"/>
    <w:rsid w:val="00FC1CE4"/>
    <w:rsid w:val="00FD4541"/>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1</Pages>
  <Words>517</Words>
  <Characters>2951</Characters>
  <Application>Microsoft Office Word</Application>
  <DocSecurity>4</DocSecurity>
  <Lines>24</Lines>
  <Paragraphs>6</Paragraphs>
  <ScaleCrop>false</ScaleCrop>
  <Company>United Nations</Company>
  <LinksUpToDate>false</LinksUpToDate>
  <CharactersWithSpaces>3462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Xiuqin.Wang</dc:creator>
  <cp:keywords/>
  <dc:description/>
  <cp:lastModifiedBy>Xiuqin.Wang</cp:lastModifiedBy>
  <cp:revision>35</cp:revision>
  <cp:lastPrinted>2007-03-15T10:32:00Z</cp:lastPrinted>
  <dcterms:created xsi:type="dcterms:W3CDTF">2007-03-14T15:57:00Z</dcterms:created>
  <dcterms:modified xsi:type="dcterms:W3CDTF">2007-03-15T10:34:00Z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0725009</vt:lpwstr>
  </property>
  <property fmtid="{D5CDD505-2E9C-101B-9397-08002B2CF9AE}" pid="3" name="Symbol1">
    <vt:lpwstr>CEDAW/C/HON/Q/6</vt:lpwstr>
  </property>
  <property fmtid="{D5CDD505-2E9C-101B-9397-08002B2CF9AE}" pid="4" name="Symbol2">
    <vt:lpwstr/>
  </property>
  <property fmtid="{D5CDD505-2E9C-101B-9397-08002B2CF9AE}" pid="5" name="Translator">
    <vt:lpwstr/>
  </property>
  <property fmtid="{D5CDD505-2E9C-101B-9397-08002B2CF9AE}" pid="6" name="Operator">
    <vt:lpwstr>Wang xq</vt:lpwstr>
  </property>
  <property fmtid="{D5CDD505-2E9C-101B-9397-08002B2CF9AE}" pid="7" name="DraftPages">
    <vt:lpwstr> </vt:lpwstr>
  </property>
  <property fmtid="{D5CDD505-2E9C-101B-9397-08002B2CF9AE}" pid="8" name="Comment">
    <vt:lpwstr/>
  </property>
</Properties>
</file>