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000000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000000" w:rsidRDefault="00000000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20"/>
              <w:jc w:val="right"/>
            </w:pPr>
            <w:r>
              <w:rPr>
                <w:sz w:val="40"/>
              </w:rPr>
              <w:t>CRC</w:t>
            </w:r>
            <w:r>
              <w:t>/C/SGP/Q/2-3</w:t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44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Convención sobre los</w:t>
            </w:r>
            <w:r>
              <w:rPr>
                <w:b/>
                <w:sz w:val="40"/>
                <w:szCs w:val="40"/>
              </w:rPr>
              <w:br/>
              <w:t>Derechos 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</w:pPr>
            <w:r>
              <w:t>Distr. general</w:t>
            </w:r>
          </w:p>
          <w:p w:rsidR="00000000" w:rsidRDefault="00000000">
            <w:r>
              <w:t>2 de noviembre de 2010</w:t>
            </w:r>
          </w:p>
          <w:p w:rsidR="00000000" w:rsidRDefault="00000000">
            <w:r>
              <w:t>Español</w:t>
            </w:r>
          </w:p>
          <w:p w:rsidR="00000000" w:rsidRDefault="00000000">
            <w:r>
              <w:t>Original: inglés</w:t>
            </w:r>
          </w:p>
        </w:tc>
      </w:tr>
    </w:tbl>
    <w:p w:rsidR="00000000" w:rsidRDefault="00000000">
      <w:pPr>
        <w:spacing w:before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Comité de los Derechos del Niño</w:t>
      </w:r>
    </w:p>
    <w:p w:rsidR="00000000" w:rsidRDefault="00000000">
      <w:pPr>
        <w:spacing w:line="240" w:lineRule="auto"/>
        <w:rPr>
          <w:b/>
        </w:rPr>
      </w:pPr>
      <w:r>
        <w:rPr>
          <w:b/>
        </w:rPr>
        <w:t>56º período de sesiones</w:t>
      </w:r>
    </w:p>
    <w:p w:rsidR="00000000" w:rsidRDefault="00000000">
      <w:pPr>
        <w:spacing w:after="240" w:line="240" w:lineRule="auto"/>
      </w:pPr>
      <w:r>
        <w:t>17 de enero a 4 de febrero de 2011</w:t>
      </w:r>
    </w:p>
    <w:p w:rsidR="00000000" w:rsidRDefault="00000000">
      <w:pPr>
        <w:pStyle w:val="HChG"/>
      </w:pPr>
      <w:r>
        <w:tab/>
      </w:r>
      <w:r>
        <w:tab/>
        <w:t>Aplicación de la Convención sobre los Derechos del Niño</w:t>
      </w:r>
    </w:p>
    <w:p w:rsidR="00000000" w:rsidRDefault="00000000">
      <w:pPr>
        <w:pStyle w:val="H1G"/>
      </w:pPr>
      <w:r>
        <w:tab/>
      </w:r>
      <w:r>
        <w:tab/>
        <w:t xml:space="preserve">Lista de cuestiones que requieren información adicional y actualizada en relación con los informes periódicos segundo y tercero de Singapur (CRC/C/SGP/2-3) </w:t>
      </w:r>
    </w:p>
    <w:p w:rsidR="00000000" w:rsidRDefault="00000000">
      <w:pPr>
        <w:pStyle w:val="SingleTxtG"/>
        <w:rPr>
          <w:b/>
        </w:rPr>
      </w:pPr>
      <w:r>
        <w:rPr>
          <w:b/>
        </w:rPr>
        <w:t>Se pide al Estado parte que presente por escrito información adicional y actualizada, de ser posible antes del 19 de noviembre de 2010 y sin exceder las 30 páginas.</w:t>
      </w:r>
    </w:p>
    <w:p w:rsidR="00000000" w:rsidRDefault="00000000">
      <w:pPr>
        <w:pStyle w:val="SingleTxtG"/>
        <w:rPr>
          <w:i/>
        </w:rPr>
      </w:pPr>
      <w:r>
        <w:rPr>
          <w:i/>
        </w:rPr>
        <w:t xml:space="preserve">En el diálogo con el Estado parte, el Comité puede abordar todos los aspectos de los derechos del niño contemplados en la Convención. </w:t>
      </w:r>
    </w:p>
    <w:p w:rsidR="00000000" w:rsidRDefault="00000000">
      <w:pPr>
        <w:pStyle w:val="H1G"/>
      </w:pPr>
      <w:r>
        <w:tab/>
      </w:r>
      <w:r>
        <w:tab/>
        <w:t>Parte I</w:t>
      </w:r>
    </w:p>
    <w:p w:rsidR="00000000" w:rsidRDefault="00000000">
      <w:pPr>
        <w:pStyle w:val="SingleTxtG"/>
      </w:pPr>
      <w:r>
        <w:t>1.</w:t>
      </w:r>
      <w:r>
        <w:tab/>
        <w:t>Sírvanse proporcionar información actualizada sobre el resultado del examen de la Ley de la infancia y la juventud. ¿Hasta qué punto han participado las organizaciones de la sociedad civil y los niños en las consultas públicas sobre las modificaciones de la ley?</w:t>
      </w:r>
    </w:p>
    <w:p w:rsidR="00000000" w:rsidRDefault="00000000">
      <w:pPr>
        <w:pStyle w:val="SingleTxtG"/>
      </w:pPr>
      <w:r>
        <w:t>2.</w:t>
      </w:r>
      <w:r>
        <w:tab/>
        <w:t>Sírvanse dar más detalles sobre los progresos hechos en el reforzamiento del mandato y de las funciones de la Comisión Interministerial de la Convención sobre los Derechos del Niño y en la formulación de un plan de acción nacional para los niños con miras a la plena aplicación de la Convención.</w:t>
      </w:r>
    </w:p>
    <w:p w:rsidR="00000000" w:rsidRDefault="00000000">
      <w:pPr>
        <w:pStyle w:val="SingleTxtG"/>
      </w:pPr>
      <w:r>
        <w:t>3.</w:t>
      </w:r>
      <w:r>
        <w:tab/>
        <w:t xml:space="preserve">Sírvanse dar detalles sobre cualquier medida adoptada con respecto a un mecanismo centralizado para la reunión y el análisis de datos cuantitativos y cualitativos sobre los niños, así como sobre los indicadores de los resultados globales en lo que concierne a los niños. </w:t>
      </w:r>
    </w:p>
    <w:p w:rsidR="00000000" w:rsidRDefault="00000000">
      <w:pPr>
        <w:pStyle w:val="SingleTxtG"/>
      </w:pPr>
      <w:r>
        <w:t>4.</w:t>
      </w:r>
      <w:r>
        <w:tab/>
        <w:t>Sírvanse indicar las medidas adoptadas o previstas para asegurar la cooperación efectiva con la sociedad civil en la formulación de políticas sobre los derechos de los niños y en aplicación de la Convención.</w:t>
      </w:r>
    </w:p>
    <w:p w:rsidR="00000000" w:rsidRDefault="00000000">
      <w:pPr>
        <w:pStyle w:val="SingleTxtG"/>
      </w:pPr>
      <w:r>
        <w:t>5.</w:t>
      </w:r>
      <w:r>
        <w:tab/>
        <w:t>Sírvanse informar al Comité sobre las medidas que esté adoptando el Estado parte para elevar a 15 años la edad mínima para la responsabilidad penal, de conformidad con las normas internacionales, y la edad mínima para el empleo, así como para hacer extensiva la aplicación de la Ley de la infancia y la juventud a todas las personas de menos de 18 años de edad (CRC/C/15/Add.220, párr. 22).</w:t>
      </w:r>
    </w:p>
    <w:p w:rsidR="00000000" w:rsidRDefault="00000000">
      <w:pPr>
        <w:pStyle w:val="SingleTxtG"/>
      </w:pPr>
      <w:r>
        <w:t>6.</w:t>
      </w:r>
      <w:r>
        <w:tab/>
        <w:t>Sírvanse proporcionar información actualizada sobre las disposiciones legislativas adoptadas para garantizar el derecho de las personas de menos de 18 años de edad a constituir sus propias asociaciones y a expresar su opinión libremente en todas las cuestiones que las afecten, incluso en las actuaciones judiciales.</w:t>
      </w:r>
    </w:p>
    <w:p w:rsidR="00000000" w:rsidRDefault="00000000">
      <w:pPr>
        <w:pStyle w:val="SingleTxtG"/>
      </w:pPr>
      <w:r>
        <w:t>7.</w:t>
      </w:r>
      <w:r>
        <w:tab/>
        <w:t>Sírvanse informar sobre las medidas concretas tomadas para mejorar la asistencia a los padres en el desempeño de sus funciones de educar a los hijos y para apoyar la comunicación y las relaciones entre los niños y sus padres y maestros. ¿Qué se ha hecho para evitar que se ingrese a los niños en instituciones como resultado de los procedimientos seguidos en relación con los niños que ya no están bajo la autoridad de sus padres?</w:t>
      </w:r>
    </w:p>
    <w:p w:rsidR="00000000" w:rsidRDefault="00000000">
      <w:pPr>
        <w:pStyle w:val="SingleTxtG"/>
      </w:pPr>
      <w:r>
        <w:t>8.</w:t>
      </w:r>
      <w:r>
        <w:tab/>
        <w:t>Sírvanse informar al Comité sobre los progresos hechos hacia la consecución del pleno respeto del derecho de los niños a la protección contra todas las formas de violencia, especialmente los castigos corporales. Sírvanse incluir información sobre la capacitación especial dada a los maestros y al personal que trabaja en instituciones y en centros de detención de jóvenes sobre las formas de disciplina no violentas.</w:t>
      </w:r>
    </w:p>
    <w:p w:rsidR="00000000" w:rsidRDefault="00000000">
      <w:pPr>
        <w:pStyle w:val="SingleTxtG"/>
      </w:pPr>
      <w:r>
        <w:t>9.</w:t>
      </w:r>
      <w:r>
        <w:tab/>
        <w:t>Sírvanse dar información detallada sobre los progresos hechos para establecer la enseñanza obligatoria para todos los niños con discapacidad y para hacer extensiva a las escuelas especiales la Ley de enseñanza obligatoria.</w:t>
      </w:r>
    </w:p>
    <w:p w:rsidR="00000000" w:rsidRDefault="00000000">
      <w:pPr>
        <w:pStyle w:val="SingleTxtG"/>
      </w:pPr>
      <w:r>
        <w:t>10.</w:t>
      </w:r>
      <w:r>
        <w:tab/>
        <w:t>Sírvanse dar información detallada sobre las medidas adoptadas para hacer extensiva la Ley de enseñanza obligatoria a los niños que no son ciudadanos pero que residen en el Estado parte.</w:t>
      </w:r>
    </w:p>
    <w:p w:rsidR="00000000" w:rsidRDefault="00000000">
      <w:pPr>
        <w:pStyle w:val="SingleTxtG"/>
      </w:pPr>
      <w:r>
        <w:t>11.</w:t>
      </w:r>
      <w:r>
        <w:tab/>
        <w:t xml:space="preserve">Sírvanse informar sobre cualquier estrategia, programa o plan nacional existente en relación con la salud mental de los niños, prestando especial atención a la prevención, en particular de los suicidios de los niños. </w:t>
      </w:r>
    </w:p>
    <w:p w:rsidR="00000000" w:rsidRDefault="00000000">
      <w:pPr>
        <w:pStyle w:val="SingleTxtG"/>
      </w:pPr>
      <w:r>
        <w:t>12.</w:t>
      </w:r>
      <w:r>
        <w:tab/>
        <w:t>Sírvanse informar sobre la eficacia de las medidas tomadas como parte del programa "Enseñar menos, aprender más", así como de otras medidas destinadas a reducir las tensiones relacionadas con la escuela y la competitividad del sistema de educación.</w:t>
      </w:r>
    </w:p>
    <w:p w:rsidR="00000000" w:rsidRDefault="00000000">
      <w:pPr>
        <w:pStyle w:val="SingleTxtG"/>
      </w:pPr>
      <w:r>
        <w:t>13.</w:t>
      </w:r>
      <w:r>
        <w:tab/>
        <w:t>Sírvanse dar detalles sobre las medidas adoptadas para proteger a todos los niños contra los abusos sexuales y la explotación y para luchar eficazmente contra los delitos relacionados con el turismo sexual que afectan a los niños. Sírvanse informar sobre los centros de acogida y los profesionales formados que están disponibles en todo el Estado parte para atender las necesidades de recuperación, rehabilitación y reintegración social de las víctimas infantiles de abusos sexuales y de explotación.</w:t>
      </w:r>
    </w:p>
    <w:p w:rsidR="00000000" w:rsidRDefault="00000000">
      <w:pPr>
        <w:pStyle w:val="SingleTxtG"/>
      </w:pPr>
      <w:r>
        <w:t>14.</w:t>
      </w:r>
      <w:r>
        <w:tab/>
        <w:t>Sírvanse indicar las medidas tomadas para prohibir los castigos corporales, incluyendo los bastonazos, y la reclusión en régimen de aislamiento en todas las instituciones de detención para delincuentes jóvenes.</w:t>
      </w:r>
    </w:p>
    <w:p w:rsidR="00000000" w:rsidRDefault="00000000">
      <w:pPr>
        <w:pStyle w:val="HChG"/>
      </w:pPr>
      <w:r>
        <w:tab/>
      </w:r>
      <w:r>
        <w:tab/>
        <w:t>Parte II</w:t>
      </w:r>
    </w:p>
    <w:p w:rsidR="00000000" w:rsidRDefault="00000000">
      <w:pPr>
        <w:pStyle w:val="SingleTxtG"/>
        <w:rPr>
          <w:b/>
        </w:rPr>
      </w:pPr>
      <w:r>
        <w:rPr>
          <w:b/>
        </w:rPr>
        <w:t>En esta sección, se invita al Estado parte a actualizar brevemente (en tres páginas como máximo) la información proporcionada en su informe en relación con:</w:t>
      </w:r>
    </w:p>
    <w:p w:rsidR="00000000" w:rsidRDefault="00000000">
      <w:pPr>
        <w:pStyle w:val="SingleTxtG"/>
      </w:pPr>
      <w:r>
        <w:tab/>
        <w:t>a)</w:t>
      </w:r>
      <w:r>
        <w:tab/>
        <w:t>Los nuevos proyectos de ley o nuevas leyes y sus respectivos reglamentos;</w:t>
      </w:r>
    </w:p>
    <w:p w:rsidR="00000000" w:rsidRDefault="00000000">
      <w:pPr>
        <w:pStyle w:val="SingleTxtG"/>
      </w:pPr>
      <w:r>
        <w:tab/>
        <w:t>b)</w:t>
      </w:r>
      <w:r>
        <w:tab/>
        <w:t>Las nuevas instituciones (y sus mandatos) o reformas institucionales;</w:t>
      </w:r>
    </w:p>
    <w:p w:rsidR="00000000" w:rsidRDefault="00000000">
      <w:pPr>
        <w:pStyle w:val="SingleTxtG"/>
      </w:pPr>
      <w:r>
        <w:tab/>
        <w:t>c)</w:t>
      </w:r>
      <w:r>
        <w:tab/>
        <w:t>Las políticas, los programas y los planes de acción adoptados recientemente y su alcance y financiación;</w:t>
      </w:r>
    </w:p>
    <w:p w:rsidR="00000000" w:rsidRDefault="00000000">
      <w:pPr>
        <w:pStyle w:val="SingleTxtG"/>
      </w:pPr>
      <w:r>
        <w:tab/>
        <w:t>d)</w:t>
      </w:r>
      <w:r>
        <w:tab/>
        <w:t>Las ratificaciones recientes de instrumentos de derechos humanos y las medidas tomadas para proceder a tales ratificaciones, en particular con respecto al Protocolo Facultativo de la Convención sobre los Derechos del Niño relativo a la venta de niños, la prostitución infantil y la utilización de niños en la pornografía.</w:t>
      </w:r>
    </w:p>
    <w:p w:rsidR="00000000" w:rsidRDefault="00000000">
      <w:pPr>
        <w:pStyle w:val="HChG"/>
      </w:pPr>
      <w:r>
        <w:tab/>
      </w:r>
      <w:r>
        <w:tab/>
        <w:t>Parte III</w:t>
      </w:r>
    </w:p>
    <w:p w:rsidR="00000000" w:rsidRDefault="00000000">
      <w:pPr>
        <w:pStyle w:val="H1G"/>
      </w:pPr>
      <w:r>
        <w:tab/>
      </w:r>
      <w:r>
        <w:tab/>
        <w:t>Datos, estadísticas y demás información de que se disponga</w:t>
      </w:r>
    </w:p>
    <w:p w:rsidR="00000000" w:rsidRDefault="00000000">
      <w:pPr>
        <w:pStyle w:val="SingleTxtG"/>
      </w:pPr>
      <w:r>
        <w:t>1.</w:t>
      </w:r>
      <w:r>
        <w:tab/>
        <w:t>Sírvanse proporcionar los datos estadísticos disponibles (desglosados por nacionalidad, edad, sexo, origen étnico, ubicación geográfica y condición socioeconómica) relativos al período comprendido entre 2007 y 2009 sobre:</w:t>
      </w:r>
    </w:p>
    <w:p w:rsidR="00000000" w:rsidRDefault="00000000">
      <w:pPr>
        <w:pStyle w:val="SingleTxtG"/>
      </w:pPr>
      <w:r>
        <w:tab/>
        <w:t>a)</w:t>
      </w:r>
      <w:r>
        <w:tab/>
        <w:t xml:space="preserve">Las asignaciones presupuestarias para programas destinados a aplicar la Convención o para otras medidas en beneficio de los niños; </w:t>
      </w:r>
    </w:p>
    <w:p w:rsidR="00000000" w:rsidRDefault="00000000">
      <w:pPr>
        <w:pStyle w:val="SingleTxtG"/>
      </w:pPr>
      <w:r>
        <w:tab/>
        <w:t>b)</w:t>
      </w:r>
      <w:r>
        <w:tab/>
        <w:t xml:space="preserve">El número de niños privados de un entorno familiar y las asignaciones presupuestarias para los internados, los hogares de acogida y otras formas alternativas de cuidado de los niños; </w:t>
      </w:r>
    </w:p>
    <w:p w:rsidR="00000000" w:rsidRDefault="00000000">
      <w:pPr>
        <w:pStyle w:val="SingleTxtG"/>
      </w:pPr>
      <w:r>
        <w:tab/>
        <w:t>c)</w:t>
      </w:r>
      <w:r>
        <w:tab/>
        <w:t>El número de niños acogidos en instituciones cuando los padres no pueden ocuparse adecuadamente de ellos;</w:t>
      </w:r>
    </w:p>
    <w:p w:rsidR="00000000" w:rsidRDefault="00000000">
      <w:pPr>
        <w:pStyle w:val="SingleTxtG"/>
      </w:pPr>
      <w:r>
        <w:tab/>
        <w:t>d)</w:t>
      </w:r>
      <w:r>
        <w:tab/>
        <w:t>El número de suicidios de niños;</w:t>
      </w:r>
    </w:p>
    <w:p w:rsidR="00000000" w:rsidRDefault="00000000">
      <w:pPr>
        <w:pStyle w:val="SingleTxtG"/>
      </w:pPr>
      <w:r>
        <w:tab/>
        <w:t>e)</w:t>
      </w:r>
      <w:r>
        <w:tab/>
        <w:t>Las cifras de matriculación de los niños que no son ciudadanos, incluyendo los niños apátridas, en las escuelas de enseñanza primaria y secundaria;</w:t>
      </w:r>
    </w:p>
    <w:p w:rsidR="00000000" w:rsidRDefault="00000000">
      <w:pPr>
        <w:pStyle w:val="SingleTxtG"/>
      </w:pPr>
      <w:r>
        <w:tab/>
        <w:t>f)</w:t>
      </w:r>
      <w:r>
        <w:tab/>
        <w:t>El número total de niños con discapacidad y el porcentaje de ellos que asisten a las escuelas ordinarias;</w:t>
      </w:r>
    </w:p>
    <w:p w:rsidR="00000000" w:rsidRDefault="00000000">
      <w:pPr>
        <w:pStyle w:val="SingleTxtG"/>
      </w:pPr>
      <w:r>
        <w:tab/>
        <w:t>g)</w:t>
      </w:r>
      <w:r>
        <w:tab/>
        <w:t>El número total de niños que son víctimas de explotación sexual y de trata, así como el número de enjuiciamientos, declaraciones de culpabilidad y condenas pronunciadas;</w:t>
      </w:r>
    </w:p>
    <w:p w:rsidR="00000000" w:rsidRDefault="00000000">
      <w:pPr>
        <w:pStyle w:val="SingleTxtG"/>
      </w:pPr>
      <w:r>
        <w:tab/>
        <w:t>h)</w:t>
      </w:r>
      <w:r>
        <w:tab/>
        <w:t xml:space="preserve">El número de trabajadores migrantes de menos de 18 años, y </w:t>
      </w:r>
    </w:p>
    <w:p w:rsidR="00000000" w:rsidRDefault="00000000">
      <w:pPr>
        <w:pStyle w:val="SingleTxtG"/>
      </w:pPr>
      <w:r>
        <w:tab/>
        <w:t>i)</w:t>
      </w:r>
      <w:r>
        <w:tab/>
        <w:t>El número de delincuentes juveniles juzgados por el Tribunal Superior y condenados a penas de bastonazos.</w:t>
      </w:r>
    </w:p>
    <w:p w:rsidR="00000000" w:rsidRDefault="00000000">
      <w:pPr>
        <w:pStyle w:val="SingleTxtG"/>
        <w:spacing w:after="240"/>
      </w:pPr>
      <w:r>
        <w:t>2.</w:t>
      </w:r>
      <w:r>
        <w:tab/>
        <w:t>Además, el Estado parte podría indicar las esferas en que los niños estén afectados que considere importantes para la aplicación de la Convención.</w:t>
      </w:r>
    </w:p>
    <w:p w:rsidR="00000000" w:rsidRDefault="00000000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tabs>
        <w:tab w:val="right" w:pos="9598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b/>
        <w:sz w:val="18"/>
      </w:rPr>
      <w:tab/>
    </w:r>
    <w:r>
      <w:t>GE.10-46312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tabs>
        <w:tab w:val="right" w:pos="9598"/>
      </w:tabs>
      <w:rPr>
        <w:b/>
        <w:sz w:val="18"/>
      </w:rPr>
    </w:pPr>
    <w:r>
      <w:t>GE.10-46312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</w:pPr>
    <w:r>
      <w:rPr>
        <w:sz w:val="20"/>
      </w:rPr>
      <w:t>GE.10-46312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 181110    191110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t>CRC/C/SGP/Q/2-3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jc w:val="right"/>
    </w:pPr>
    <w:r>
      <w:t>CRC/C/SGP/Q/2-3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aliases w:val="4_G"/>
    <w:basedOn w:val="DefaultParagraphFont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Pr>
      <w:sz w:val="16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pPr>
      <w:numPr>
        <w:numId w:val="3"/>
      </w:numPr>
    </w:pPr>
  </w:style>
  <w:style w:type="numbering" w:styleId="1ai">
    <w:name w:val="Outline List 1"/>
    <w:basedOn w:val="NoList"/>
    <w:semiHidden/>
    <w:pPr>
      <w:numPr>
        <w:numId w:val="4"/>
      </w:numPr>
    </w:pPr>
  </w:style>
  <w:style w:type="character" w:styleId="HTMLAcronym">
    <w:name w:val="HTML Acronym"/>
    <w:basedOn w:val="DefaultParagraphFont"/>
    <w:semiHidden/>
  </w:style>
  <w:style w:type="numbering" w:styleId="ArticleSection">
    <w:name w:val="Outline List 3"/>
    <w:basedOn w:val="NoList"/>
    <w:semiHidden/>
    <w:pPr>
      <w:numPr>
        <w:numId w:val="5"/>
      </w:numPr>
    </w:pPr>
  </w:style>
  <w:style w:type="paragraph" w:styleId="Closing">
    <w:name w:val="Closing"/>
    <w:basedOn w:val="Normal"/>
    <w:semiHidden/>
    <w:pPr>
      <w:ind w:left="4252"/>
    </w:pPr>
  </w:style>
  <w:style w:type="character" w:styleId="HTMLCite">
    <w:name w:val="HTML Cite"/>
    <w:basedOn w:val="DefaultParagraphFont"/>
    <w:semiHidden/>
    <w:rPr>
      <w:i/>
      <w:iCs/>
    </w:r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character" w:styleId="HTMLDefinition">
    <w:name w:val="HTML Definition"/>
    <w:basedOn w:val="DefaultParagraphFont"/>
    <w:semiHidden/>
    <w:rPr>
      <w:i/>
      <w:iCs/>
    </w:r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</w:style>
  <w:style w:type="character" w:styleId="Emphasis">
    <w:name w:val="Emphasis"/>
    <w:basedOn w:val="DefaultParagraphFont"/>
    <w:qFormat/>
    <w:rPr>
      <w:i/>
      <w:iCs/>
    </w:rPr>
  </w:style>
  <w:style w:type="paragraph" w:styleId="Date">
    <w:name w:val="Date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paragraph" w:styleId="E-mailSignature">
    <w:name w:val="E-mail Signature"/>
    <w:basedOn w:val="Normal"/>
    <w:semiHidden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</w:pPr>
  </w:style>
  <w:style w:type="paragraph" w:styleId="ListNumber3">
    <w:name w:val="List Number 3"/>
    <w:basedOn w:val="Normal"/>
    <w:semiHidden/>
    <w:pPr>
      <w:numPr>
        <w:numId w:val="8"/>
      </w:numPr>
    </w:pPr>
  </w:style>
  <w:style w:type="paragraph" w:styleId="ListNumber4">
    <w:name w:val="List Number 4"/>
    <w:basedOn w:val="Normal"/>
    <w:semiHidden/>
    <w:pPr>
      <w:numPr>
        <w:numId w:val="9"/>
      </w:numPr>
    </w:pPr>
  </w:style>
  <w:style w:type="paragraph" w:styleId="ListNumber5">
    <w:name w:val="List Number 5"/>
    <w:basedOn w:val="Normal"/>
    <w:semiHidden/>
    <w:pPr>
      <w:numPr>
        <w:numId w:val="10"/>
      </w:numPr>
    </w:pPr>
  </w:style>
  <w:style w:type="paragraph" w:styleId="ListBullet">
    <w:name w:val="List Bullet"/>
    <w:basedOn w:val="Normal"/>
    <w:semiHidden/>
    <w:pPr>
      <w:numPr>
        <w:numId w:val="11"/>
      </w:numPr>
    </w:pPr>
  </w:style>
  <w:style w:type="paragraph" w:styleId="ListBullet2">
    <w:name w:val="List Bullet 2"/>
    <w:basedOn w:val="Normal"/>
    <w:semiHidden/>
    <w:pPr>
      <w:numPr>
        <w:numId w:val="12"/>
      </w:numPr>
    </w:pPr>
  </w:style>
  <w:style w:type="paragraph" w:styleId="ListBullet3">
    <w:name w:val="List Bullet 3"/>
    <w:basedOn w:val="Normal"/>
    <w:semiHidden/>
    <w:pPr>
      <w:numPr>
        <w:numId w:val="13"/>
      </w:numPr>
    </w:pPr>
  </w:style>
  <w:style w:type="paragraph" w:styleId="ListBullet4">
    <w:name w:val="List Bullet 4"/>
    <w:basedOn w:val="Normal"/>
    <w:semiHidden/>
    <w:pPr>
      <w:numPr>
        <w:numId w:val="14"/>
      </w:numPr>
    </w:pPr>
  </w:style>
  <w:style w:type="paragraph" w:styleId="ListBullet5">
    <w:name w:val="List Bullet 5"/>
    <w:basedOn w:val="Normal"/>
    <w:semiHidden/>
    <w:pPr>
      <w:numPr>
        <w:numId w:val="15"/>
      </w:numPr>
    </w:p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Pr>
      <w:sz w:val="24"/>
      <w:szCs w:val="24"/>
    </w:rPr>
  </w:style>
  <w:style w:type="character" w:styleId="LineNumber">
    <w:name w:val="line number"/>
    <w:basedOn w:val="DefaultParagraphFont"/>
    <w:semiHidden/>
  </w:style>
  <w:style w:type="character" w:styleId="PageNumber">
    <w:name w:val="page number"/>
    <w:aliases w:val="7_G"/>
    <w:basedOn w:val="DefaultParagraphFont"/>
    <w:rPr>
      <w:b/>
      <w:sz w:val="18"/>
    </w:rPr>
  </w:style>
  <w:style w:type="character" w:styleId="EndnoteReference">
    <w:name w:val="endnote reference"/>
    <w:aliases w:val="1_G"/>
    <w:basedOn w:val="FootnoteReference"/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paragraph" w:styleId="Salutation">
    <w:name w:val="Salutation"/>
    <w:basedOn w:val="Normal"/>
    <w:next w:val="Normal"/>
    <w:semiHidden/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NormalIndent">
    <w:name w:val="Normal Indent"/>
    <w:basedOn w:val="Normal"/>
    <w:semiHidden/>
    <w:pPr>
      <w:ind w:left="567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character" w:styleId="Strong">
    <w:name w:val="Strong"/>
    <w:basedOn w:val="DefaultParagraphFont"/>
    <w:qFormat/>
    <w:rPr>
      <w:b/>
      <w:bCs/>
    </w:r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EndnoteText">
    <w:name w:val="endnote text"/>
    <w:aliases w:val="2_G"/>
    <w:basedOn w:val="FootnoteText"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Pr>
      <w:i/>
      <w:iCs/>
    </w:rPr>
  </w:style>
  <w:style w:type="paragraph" w:customStyle="1" w:styleId="Bullet1G">
    <w:name w:val="_Bullet 1_G"/>
    <w:basedOn w:val="Normal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3</Pages>
  <Words>1119</Words>
  <Characters>6157</Characters>
  <Application>Microsoft Office Outlook</Application>
  <DocSecurity>4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CRC/C/SGP/Q/2-3</vt:lpstr>
    </vt:vector>
  </TitlesOfParts>
  <Company/>
  <LinksUpToDate>false</LinksUpToDate>
  <CharactersWithSpaces>7262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CRC/C/SGP/Q/2-3</dc:title>
  <dc:subject>Final</dc:subject>
  <dc:creator>Bragunde</dc:creator>
  <cp:keywords/>
  <dc:description/>
  <cp:lastModifiedBy>Admieng</cp:lastModifiedBy>
  <cp:revision>2</cp:revision>
  <cp:lastPrinted>2008-01-15T08:58:00Z</cp:lastPrinted>
  <dcterms:created xsi:type="dcterms:W3CDTF">2010-11-19T14:55:00Z</dcterms:created>
  <dcterms:modified xsi:type="dcterms:W3CDTF">2010-11-19T14:55:00Z</dcterms:modified>
</cp:coreProperties>
</file>