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Предсессионная рабочая группа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Тридцать шестая сессия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7–25 августа 2006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Кабо-Верде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Предсессионная рабочая группа рассмотрела сводный первоначальный, второй, третий, четвертый, пятый и шестой периодический доклад Кабо-Верде (CEDAW/C/CPV/1–6).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 1 и 2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Просьба рассказать о процессе подготовки доклада, особо указав, пров</w:t>
      </w:r>
      <w:r>
        <w:t>о</w:t>
      </w:r>
      <w:r>
        <w:t>дились ли в ходе его подготовки консультации с неправительственными орг</w:t>
      </w:r>
      <w:r>
        <w:t>а</w:t>
      </w:r>
      <w:r>
        <w:t>низациями, и сообщить, был ли доклад представлен Национальному собр</w:t>
      </w:r>
      <w:r>
        <w:t>а</w:t>
      </w:r>
      <w:r>
        <w:t>нию.</w:t>
      </w:r>
    </w:p>
    <w:p w:rsidR="00000000" w:rsidRDefault="00000000">
      <w:pPr>
        <w:pStyle w:val="SingleTxt"/>
      </w:pPr>
      <w:r>
        <w:t>2.</w:t>
      </w:r>
      <w:r>
        <w:tab/>
        <w:t>В докладе говорится, что в статье 25 Основного закона «устанавливается равенство всех граждан перед законом, равные права и обязанности для всех, без различия пола, общественного положения, интеллектуального или культу</w:t>
      </w:r>
      <w:r>
        <w:t>р</w:t>
      </w:r>
      <w:r>
        <w:t>ного уровня, вероисповедания или мировоззренческих убеждений» (см. пункт 51). Просьба указать, было ли включено в Основной закон или н</w:t>
      </w:r>
      <w:r>
        <w:t>а</w:t>
      </w:r>
      <w:r>
        <w:t>циональное законодательство определение дискриминации в отношении же</w:t>
      </w:r>
      <w:r>
        <w:t>н</w:t>
      </w:r>
      <w:r>
        <w:t>щин по смыслу статьи 1 Конве</w:t>
      </w:r>
      <w:r>
        <w:t>н</w:t>
      </w:r>
      <w:r>
        <w:t>ции.</w:t>
      </w:r>
    </w:p>
    <w:p w:rsidR="00000000" w:rsidRDefault="00000000">
      <w:pPr>
        <w:pStyle w:val="SingleTxt"/>
      </w:pPr>
      <w:r>
        <w:t>3.</w:t>
      </w:r>
      <w:r>
        <w:tab/>
        <w:t>В докладе говорится, что «Конвенция была полностью включена во вну</w:t>
      </w:r>
      <w:r>
        <w:t>т</w:t>
      </w:r>
      <w:r>
        <w:t>реннее законодательство Кабо-Верде</w:t>
      </w:r>
      <w:r>
        <w:rPr>
          <w:lang w:val="en-US"/>
        </w:rPr>
        <w:t>,</w:t>
      </w:r>
      <w:r>
        <w:t xml:space="preserve"> и ее положения не вступили в против</w:t>
      </w:r>
      <w:r>
        <w:t>о</w:t>
      </w:r>
      <w:r>
        <w:t>речие ни с одной конституционной нормой» и что «любое лицо может ссылат</w:t>
      </w:r>
      <w:r>
        <w:t>ь</w:t>
      </w:r>
      <w:r>
        <w:t>ся в судах на международные договоры» (см. пункты 56 и 81). Передавались ли в суды на рассмотрение дела, связанные с дискриминацией по признаку пола согласно Конвенции? Если да, то сколько? Просьба представить подробную информ</w:t>
      </w:r>
      <w:r>
        <w:t>а</w:t>
      </w:r>
      <w:r>
        <w:t>цию.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3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4.</w:t>
      </w:r>
      <w:r>
        <w:tab/>
        <w:t>Согласно докладу, Институт по положению женщин «… был создан лишь в 1994 году, а его открытие затягивалось до его полного укомплектования ка</w:t>
      </w:r>
      <w:r>
        <w:t>д</w:t>
      </w:r>
      <w:r>
        <w:t>рами, и этот процесс по-прежнему продолжается» (см. пункт 5(b)). Просьба представить дополнительную информацию о полномочиях и людских и фина</w:t>
      </w:r>
      <w:r>
        <w:t>н</w:t>
      </w:r>
      <w:r>
        <w:t>совых ресурсах национального органа по улучшению положения женщин.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4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5.</w:t>
      </w:r>
      <w:r>
        <w:tab/>
        <w:t>Согласно докладу, «в правовой системе Кабо-Верде не предусмотрено принятие временных мер по смыслу пункта 1 статьи 4 Конвенции» (см. пункт 110). Вместе с тем при осуществлении ряда указанных мер в отн</w:t>
      </w:r>
      <w:r>
        <w:t>о</w:t>
      </w:r>
      <w:r>
        <w:t>шении участия в политической жизни применяется такой подход (см. пункты 111 и 156). Намерено ли правительство принять комплексную стратегию и осуществлять временные специальные меры в целях ускорения достижения равенства женщин во всех областях, указанных в Конвенции?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5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6.</w:t>
      </w:r>
      <w:r>
        <w:tab/>
        <w:t>Согласно докладу, «в школах часто организуются семинары, лекции и дискуссии, а по радио транслируются обсуждения соответствующих вопросов, с тем чтобы обеспечить более высокий уровень информированности все бол</w:t>
      </w:r>
      <w:r>
        <w:t>ь</w:t>
      </w:r>
      <w:r>
        <w:t>шего числа людей о проблемах женщин, их роли в развитии страны и необх</w:t>
      </w:r>
      <w:r>
        <w:t>о</w:t>
      </w:r>
      <w:r>
        <w:t>димости искоренения сложившихся в обществе стереотипов в отношении их подчиненного положения» (см. пункт 152). Просьба представить подробную информацию об этих мерах, в том числе, если возможно, о количестве людей, охваченных благодаря таким семинарам, лекциям, дискуссиям и программам в средствах массовой информации.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7.</w:t>
      </w:r>
      <w:r>
        <w:tab/>
        <w:t>В докладе говорится, что «в ответ на проблему бытового насилия в новом Уголовном кодексе Кабо-Верде, действующем с 1 июля 2004 года, предусмо</w:t>
      </w:r>
      <w:r>
        <w:t>т</w:t>
      </w:r>
      <w:r>
        <w:t>рено наказание за такое правонарушение» (см. пункт 139). Является ли изнас</w:t>
      </w:r>
      <w:r>
        <w:t>и</w:t>
      </w:r>
      <w:r>
        <w:t>лование супругом супруги уголовно наказуемым деянием согласно Уголовному кодексу? Просьба представить дезагрегированные по признаку пола данные о лицах, против которых было возбуждено дело и которые были осуждены по д</w:t>
      </w:r>
      <w:r>
        <w:t>е</w:t>
      </w:r>
      <w:r>
        <w:t>лам о бытовом насилии с момента вступления в силу нового Уголовного коде</w:t>
      </w:r>
      <w:r>
        <w:t>к</w:t>
      </w:r>
      <w:r>
        <w:t>са.</w:t>
      </w:r>
    </w:p>
    <w:p w:rsidR="00000000" w:rsidRDefault="00000000">
      <w:pPr>
        <w:pStyle w:val="SingleTxt"/>
      </w:pPr>
      <w:r>
        <w:t>8.</w:t>
      </w:r>
      <w:r>
        <w:tab/>
        <w:t>В докладе говорится, что правительство работает над принятием закон</w:t>
      </w:r>
      <w:r>
        <w:t>о</w:t>
      </w:r>
      <w:r>
        <w:t>дательных мер, направленных на борьбу с насилием в отношении женщин. Просьба представить информацию о развитии событий в этой области (см. пункт 137).</w:t>
      </w:r>
    </w:p>
    <w:p w:rsidR="00000000" w:rsidRDefault="00000000">
      <w:pPr>
        <w:pStyle w:val="SingleTxt"/>
      </w:pPr>
      <w:r>
        <w:t>9.</w:t>
      </w:r>
      <w:r>
        <w:tab/>
        <w:t>В докладе говорится, что «… с июля 2004 года правительство проводит кампании информирования женщин об их правах, разъясняет, что такое быт</w:t>
      </w:r>
      <w:r>
        <w:t>о</w:t>
      </w:r>
      <w:r>
        <w:t>вое насилие, каковы его формы и какие средства судебной защиты имеются в их распоряжении в подобных случаях» (см. пункт 141). Какие меры, помимо экспериментального проекта, упомянутого в пункте 144 доклада, принимаются для оказания женщинам юридической помощи, позволяющей им добиваться восстановления своих прав?</w:t>
      </w:r>
    </w:p>
    <w:p w:rsidR="00000000" w:rsidRDefault="00000000">
      <w:pPr>
        <w:pStyle w:val="SingleTxt"/>
      </w:pPr>
      <w:r>
        <w:t>10.</w:t>
      </w:r>
      <w:r>
        <w:tab/>
        <w:t>Просьба указать, имеется ли комплексная и междисциплинарная страт</w:t>
      </w:r>
      <w:r>
        <w:t>е</w:t>
      </w:r>
      <w:r>
        <w:t>гия борьбы со всеми формами насилия в отношении женщин, и, если да, просьба сообщить о ней.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6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11.</w:t>
      </w:r>
      <w:r>
        <w:tab/>
        <w:t>В докладе говорится, что «Кабо-Верде … не сталкивается с серьезными проблемами торговли женщинами и эксплуатации проституции» (см. пункт 174). Вместе с тем Специальный докладчик Комиссии по правам ч</w:t>
      </w:r>
      <w:r>
        <w:t>е</w:t>
      </w:r>
      <w:r>
        <w:t>ловека по вопросу о насилии в отношении женщин, его причинах и последс</w:t>
      </w:r>
      <w:r>
        <w:t>т</w:t>
      </w:r>
      <w:r>
        <w:t>виях сообщил, что «страна служит транзитным пунктом для торговцев…» и что «сохраняется серьезная обеспокоенность по поводу… проституции среди подростков» (E/CN.4/2003/75/Add.1, пункты 134 и 131). Помимо юридических положений Уголовного кодекса (см. CEDAW/C/CPV/1–6, пункт 186), какие принимаются меры для борьбы с торговлей, в том числе на основе двусторо</w:t>
      </w:r>
      <w:r>
        <w:t>н</w:t>
      </w:r>
      <w:r>
        <w:t>него и регионального сотрудничества с соседними странами, а также для пр</w:t>
      </w:r>
      <w:r>
        <w:t>е</w:t>
      </w:r>
      <w:r>
        <w:t>дупреждения эксплуатации проституции и обеспечения реабилитации и по</w:t>
      </w:r>
      <w:r>
        <w:t>д</w:t>
      </w:r>
      <w:r>
        <w:t>держки социальной реинтеграции женщин, которые желают отказаться от пр</w:t>
      </w:r>
      <w:r>
        <w:t>о</w:t>
      </w:r>
      <w:r>
        <w:t>ституц</w:t>
      </w:r>
      <w:r>
        <w:t>и</w:t>
      </w:r>
      <w:r>
        <w:t>и?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 7 и 8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12.</w:t>
      </w:r>
      <w:r>
        <w:tab/>
        <w:t>В докладе говорится, что «… Избирательный кодекс, который вступил в силу в 1999 году, предусматривает, что государство выделяет субсидии на в</w:t>
      </w:r>
      <w:r>
        <w:t>ы</w:t>
      </w:r>
      <w:r>
        <w:t>борные цели политическим партиям или объединениям, а также выдвигающим своих кандидатов группам граждан, в избирательных списках которых на м</w:t>
      </w:r>
      <w:r>
        <w:t>у</w:t>
      </w:r>
      <w:r>
        <w:t>ниципальном уровне числится, по меньшей мере, 25 процентов кандидатов-женщин (статья 420 Избирательного кодекса)» (см. пункт 111) и что «анал</w:t>
      </w:r>
      <w:r>
        <w:t>о</w:t>
      </w:r>
      <w:r>
        <w:t>гичные субсидии на тех же условиях выплачиваются государством и на общ</w:t>
      </w:r>
      <w:r>
        <w:t>е</w:t>
      </w:r>
      <w:r>
        <w:t>национальных выборах (статья 404 Избирательного кодекса)» (см. пункт 112). Сколько политических партий, объединений или групп граждан получили су</w:t>
      </w:r>
      <w:r>
        <w:t>б</w:t>
      </w:r>
      <w:r>
        <w:t>сидию на избирательные цели? Намерено ли правительство принять законод</w:t>
      </w:r>
      <w:r>
        <w:t>а</w:t>
      </w:r>
      <w:r>
        <w:t>тельство об обязательном использовании квот?</w:t>
      </w:r>
    </w:p>
    <w:p w:rsidR="00000000" w:rsidRDefault="00000000">
      <w:pPr>
        <w:pStyle w:val="SingleTxt"/>
      </w:pPr>
      <w:r>
        <w:t>13.</w:t>
      </w:r>
      <w:r>
        <w:tab/>
        <w:t>С учетом того факта, что женщины составляют 11,1 процента депутатов Национального собрания, 21,37 процента представителей в муниципалитетах, 15,09 процента представителей в муниципальных собраниях и 32,5 процента дипломатических гражданских служащих (пункты 161–165 и таблицы по пун</w:t>
      </w:r>
      <w:r>
        <w:t>к</w:t>
      </w:r>
      <w:r>
        <w:t>там 216 и 217), какие меры, включая временные специальные меры согласно пункту 1 статьи 4 Конвенции, принимает правительство для поощрения уч</w:t>
      </w:r>
      <w:r>
        <w:t>а</w:t>
      </w:r>
      <w:r>
        <w:t>стия женщин в политической и общественной жизни, в том числе на междун</w:t>
      </w:r>
      <w:r>
        <w:t>а</w:t>
      </w:r>
      <w:r>
        <w:t>родном уро</w:t>
      </w:r>
      <w:r>
        <w:t>в</w:t>
      </w:r>
      <w:r>
        <w:t>не?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10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14.</w:t>
      </w:r>
      <w:r>
        <w:tab/>
        <w:t>Согласно переписи населения 2000 года, уровень неграмотности среди женщин составляет 32,8 процента, а из 62 696 неграмотных женщины соста</w:t>
      </w:r>
      <w:r>
        <w:t>в</w:t>
      </w:r>
      <w:r>
        <w:t>ляют 69,5 процента (пункты 27 и 292). Просьба сообщить о любых дополн</w:t>
      </w:r>
      <w:r>
        <w:t>и</w:t>
      </w:r>
      <w:r>
        <w:t>тельных инициативах помимо инициатив, указанных в докладе, которые реал</w:t>
      </w:r>
      <w:r>
        <w:t>и</w:t>
      </w:r>
      <w:r>
        <w:t>зуются или намечены для повышения уровня грамотности женщин.</w:t>
      </w:r>
    </w:p>
    <w:p w:rsidR="00000000" w:rsidRDefault="00000000">
      <w:pPr>
        <w:pStyle w:val="SingleTxt"/>
      </w:pPr>
      <w:r>
        <w:t>15.</w:t>
      </w:r>
      <w:r>
        <w:tab/>
        <w:t>В докладе говорится, что «министерство образования, культуры и спорта предусмотрело, начиная с 2001/02 учебного года, возможность временного о</w:t>
      </w:r>
      <w:r>
        <w:t>с</w:t>
      </w:r>
      <w:r>
        <w:t>вобождения от посещения занятий в учебных заведениях беременных учениц» (см. пункт 294). В докладе также указывается, что такая мера вызвала много споров и «… негативные отклики и протесты со стороны групп гражданского общества, хотя реальное воздействие такой меры специально не изучалось» (см. пункт 296). Просьба разъяснить, проводился ли какой-либо анализ для оценки воздействия этой меры, и указать позицию правительства по этому в</w:t>
      </w:r>
      <w:r>
        <w:t>о</w:t>
      </w:r>
      <w:r>
        <w:t>просу.</w:t>
      </w:r>
    </w:p>
    <w:p w:rsidR="00000000" w:rsidRDefault="00000000">
      <w:pPr>
        <w:pStyle w:val="SingleTxt"/>
      </w:pPr>
      <w:r>
        <w:t>16.</w:t>
      </w:r>
      <w:r>
        <w:tab/>
        <w:t>В средних школах общего направления обучаются 52,8 процента девочек, а в средних школах технического направления — лишь 39,5 процента девочек (см. таблицы о количестве детей, обучающихся в средних школах, с разбивкой по полу, общее и техническое направление, стр. 47). Какие принимаются меры для поощрения девочек выбирать нетрадиционные предметы в школе?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11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17.</w:t>
      </w:r>
      <w:r>
        <w:tab/>
        <w:t>Просьба представить самую последнюю статистическую информацию, дезагрегированную по признаку пола и показывающую тенденции за опред</w:t>
      </w:r>
      <w:r>
        <w:t>е</w:t>
      </w:r>
      <w:r>
        <w:t>ленные периоды времени, с указанием общей численности работающих же</w:t>
      </w:r>
      <w:r>
        <w:t>н</w:t>
      </w:r>
      <w:r>
        <w:t>щин в государственном и частном секторах. Просьба также включить инфо</w:t>
      </w:r>
      <w:r>
        <w:t>р</w:t>
      </w:r>
      <w:r>
        <w:t>мацию о разнице в оплате труда женщин и мужчин, выполняющих работу ра</w:t>
      </w:r>
      <w:r>
        <w:t>в</w:t>
      </w:r>
      <w:r>
        <w:t>ной це</w:t>
      </w:r>
      <w:r>
        <w:t>н</w:t>
      </w:r>
      <w:r>
        <w:t>ности.</w:t>
      </w:r>
    </w:p>
    <w:p w:rsidR="00000000" w:rsidRDefault="00000000">
      <w:pPr>
        <w:pStyle w:val="SingleTxt"/>
      </w:pPr>
      <w:r>
        <w:t>18.</w:t>
      </w:r>
      <w:r>
        <w:tab/>
        <w:t>Просьба представить информацию об участии женщин в неформальном секторе, включая число женщин в неформальном секторе экономики по сра</w:t>
      </w:r>
      <w:r>
        <w:t>в</w:t>
      </w:r>
      <w:r>
        <w:t>нению с числом женщин, занятых в формальном секторе экономики.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12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19.</w:t>
      </w:r>
      <w:r>
        <w:tab/>
        <w:t>Просьба представить информацию о числе женщин, инфицированных ВИЧ/СПИДом, и указать, учитываются ли гендерные аспекты в существующих программах борьбы с ВИЧ/СПИДом.</w:t>
      </w:r>
    </w:p>
    <w:p w:rsidR="00000000" w:rsidRDefault="00000000">
      <w:pPr>
        <w:pStyle w:val="SingleTxt"/>
      </w:pPr>
      <w:r>
        <w:t>20.</w:t>
      </w:r>
      <w:r>
        <w:tab/>
        <w:t>Согласно докладу, «с 1990 по 2000 год среднее число детей в целом и в сельских районах в частности снизилось соответственно с 5,2 и 5,7 до 3,4 и 4,8… [из этого следует], что программы планирования семьи тяжелее осущес</w:t>
      </w:r>
      <w:r>
        <w:t>т</w:t>
      </w:r>
      <w:r>
        <w:t>влять в сельских районах и что сельские женщины в меньшей степени осв</w:t>
      </w:r>
      <w:r>
        <w:t>е</w:t>
      </w:r>
      <w:r>
        <w:t>домлены в вопросах планирования семьи» (см. пункт 398). Просьба сообщить о принимаемых мерах в целях обеспечения того, чтобы женщины, особенно сельские женщины, могли пользоваться доступными службами репродуктивн</w:t>
      </w:r>
      <w:r>
        <w:t>о</w:t>
      </w:r>
      <w:r>
        <w:t>го и сексуального здоровья и имели доступ к программам повышения образ</w:t>
      </w:r>
      <w:r>
        <w:t>о</w:t>
      </w:r>
      <w:r>
        <w:t>вания.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13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21.</w:t>
      </w:r>
      <w:r>
        <w:tab/>
        <w:t>С учетом того, что около 40,1 процента семей возглавляют женщины и что женщины-главы домашних хозяйств во многих случаях сталкиваются с нищетой (пункты 17 и 44), просьба сообщить об инициативах, которые реал</w:t>
      </w:r>
      <w:r>
        <w:t>и</w:t>
      </w:r>
      <w:r>
        <w:t>зуются или планируются для расширения экономических возможностей таких женщин.</w:t>
      </w:r>
    </w:p>
    <w:p w:rsidR="00000000" w:rsidRDefault="00000000">
      <w:pPr>
        <w:pStyle w:val="SingleTxt"/>
      </w:pPr>
      <w:r>
        <w:t>22.</w:t>
      </w:r>
      <w:r>
        <w:tab/>
        <w:t>Согласно докладу, Национальная комиссия по борьбе с нищетой, созда</w:t>
      </w:r>
      <w:r>
        <w:t>н</w:t>
      </w:r>
      <w:r>
        <w:t>ная в 2003 году, «… оказывает поддержку малоимущим в целях содействия их участию на рынке труда; такая мера является частью общенациональной пр</w:t>
      </w:r>
      <w:r>
        <w:t>о</w:t>
      </w:r>
      <w:r>
        <w:t>граммы. Вместе с тем некоторые подпрограммы осуществляются лишь в 7 из 17 местных муниципалитетов» (см. пункт 402). Принимаются ли меры для обеспечения осуществления аналогичных подпрограмм во всех муниципалит</w:t>
      </w:r>
      <w:r>
        <w:t>е</w:t>
      </w:r>
      <w:r>
        <w:t>тах?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14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23.</w:t>
      </w:r>
      <w:r>
        <w:tab/>
        <w:t>Просьба указать, разработало ли правительство политику развития сел</w:t>
      </w:r>
      <w:r>
        <w:t>ь</w:t>
      </w:r>
      <w:r>
        <w:t>ских районов и предусмотрено ли в ней уделение особого внимания сельским женщинам для расширения их доступа к системе образования, здравоохран</w:t>
      </w:r>
      <w:r>
        <w:t>е</w:t>
      </w:r>
      <w:r>
        <w:t>ния, экономическим возможностям и их участия в принятии решений, связа</w:t>
      </w:r>
      <w:r>
        <w:t>н</w:t>
      </w:r>
      <w:r>
        <w:t>ных с планированием развития, в том числе на местном уровне. Просьба пре</w:t>
      </w:r>
      <w:r>
        <w:t>д</w:t>
      </w:r>
      <w:r>
        <w:t>ставить также статистическую сопоставительную информацию о положении сельских женщин и сельских мужчин в этих областях.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15 и 16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24.</w:t>
      </w:r>
      <w:r>
        <w:tab/>
        <w:t>Согласно докладу, в брак могут вступать лица не моложе 18 лет (ст</w:t>
      </w:r>
      <w:r>
        <w:t>а</w:t>
      </w:r>
      <w:r>
        <w:t>тья 139 Гражданского кодекса) (см. пункт 477); несовершеннолетним лицам в возрасте до 16 лет запрещается вступать в брак (статьи 142, 1564 и 1592 Гра</w:t>
      </w:r>
      <w:r>
        <w:t>ж</w:t>
      </w:r>
      <w:r>
        <w:t>данского кодекса) (см. пункт 478); вместе с тем лица в возрасте 16–18 лет м</w:t>
      </w:r>
      <w:r>
        <w:t>о</w:t>
      </w:r>
      <w:r>
        <w:t>гут вступать в брак (статья 1572 Гражданского кодекса) (см. пункт 479). Прос</w:t>
      </w:r>
      <w:r>
        <w:t>ь</w:t>
      </w:r>
      <w:r>
        <w:t>ба представить дезагрегированные по признаку пола данные о лицах, вст</w:t>
      </w:r>
      <w:r>
        <w:t>у</w:t>
      </w:r>
      <w:r>
        <w:t>пающих в брак в возрасте 16–18 лет. Просьба также представить информацию о принимаемых мерах для обеспечения полного соответствия юридического возраста вступления в брак девочек положениям статьи 1 Конвенции о правах ребенка и пункта 2 статьи 16 Конвенции о ликвидации всех форм дискримин</w:t>
      </w:r>
      <w:r>
        <w:t>а</w:t>
      </w:r>
      <w:r>
        <w:t>ции в отношении женщин.</w:t>
      </w:r>
    </w:p>
    <w:p w:rsidR="00000000" w:rsidRDefault="00000000">
      <w:pPr>
        <w:pStyle w:val="SingleTxt"/>
      </w:pPr>
      <w:r>
        <w:t>25.</w:t>
      </w:r>
      <w:r>
        <w:tab/>
        <w:t>Оформляется ли развод женщин и мужчин на одинаковых основаниях? Каковы юридические обязательства материального обеспечения разведенной ж</w:t>
      </w:r>
      <w:r>
        <w:t>е</w:t>
      </w:r>
      <w:r>
        <w:t>ны?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Вопросы общего порядка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26.</w:t>
      </w:r>
      <w:r>
        <w:tab/>
        <w:t>Имеет ли Конвенция широкое распространение в стране?</w:t>
      </w:r>
    </w:p>
    <w:p w:rsidR="00000000" w:rsidRDefault="00000000">
      <w:pPr>
        <w:pStyle w:val="SingleTxt"/>
      </w:pPr>
      <w:r>
        <w:t>27.</w:t>
      </w:r>
      <w:r>
        <w:tab/>
        <w:t>Просьба указать любой прогресс в деле ратификации Факультативного протокола к Конвенции или присоединения к нему.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>
            <w10:wrap type="topAndBottom"/>
          </v:line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NO&gt;&gt;N0624976R&lt;&lt;ODS JOB NO&gt;&gt;</w:t>
      </w:r>
    </w:p>
    <w:p w:rsidR="00000000" w:rsidRDefault="00000000">
      <w:pPr>
        <w:pStyle w:val="CommentText"/>
      </w:pPr>
      <w:r>
        <w:t>&lt;&lt;ODS DOC SYMBOL1&gt;&gt;CEDAW/C/CPV/Q/6&lt;&lt;ODS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06-24976 (R)    020306    030306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*0624976*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CEDAW/C/CPV/Q/6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CEDAW/C/CPV/Q/6</w:t>
                      </w: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/C/CPV/Q/6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9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2/03/2006 20:29:43"/>
    <w:docVar w:name="DocCategory" w:val="Doc"/>
    <w:docVar w:name="DocType" w:val="Final"/>
    <w:docVar w:name="JobNo" w:val="0624976R"/>
    <w:docVar w:name="OandT" w:val=" "/>
    <w:docVar w:name="Symbol1" w:val="CEDAW/C/CPV/Q/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5</Pages>
  <Words>1669</Words>
  <Characters>9517</Characters>
  <Application>Microsoft Office Word</Application>
  <DocSecurity>4</DocSecurity>
  <Lines>79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11687</CharactersWithSpaces>
  <SharedDoc>false</SharedDoc>
  <HLinks>
    <vt:vector size="6" baseType="variant">
      <vt:variant>
        <vt:i4>4522087</vt:i4>
      </vt:variant>
      <vt:variant>
        <vt:i4>24344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Ekaterina.Alexeenko</dc:creator>
  <cp:keywords/>
  <dc:description/>
  <cp:lastModifiedBy>Tatyana Nikitina</cp:lastModifiedBy>
  <cp:revision>4</cp:revision>
  <cp:lastPrinted>2006-03-03T09:56:00Z</cp:lastPrinted>
  <dcterms:created xsi:type="dcterms:W3CDTF">2006-03-03T09:56:00Z</dcterms:created>
  <dcterms:modified xsi:type="dcterms:W3CDTF">2006-03-03T11:07:00Z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0624976</vt:lpwstr>
  </property>
  <property fmtid="{D5CDD505-2E9C-101B-9397-08002B2CF9AE}" pid="3" name="Symbol1">
    <vt:lpwstr>CEDAW/C/CPV/Q/6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5</vt:lpwstr>
  </property>
  <property fmtid="{D5CDD505-2E9C-101B-9397-08002B2CF9AE}" pid="8" name="Operator">
    <vt:lpwstr>Nikitina</vt:lpwstr>
  </property>
</Properties>
</file>