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864789">
                <w:t>C/SR.2836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864789">
              <w:rPr>
                <w:lang w:val="en-US"/>
              </w:rPr>
              <w:fldChar w:fldCharType="separate"/>
            </w:r>
            <w:r w:rsidR="00332445">
              <w:t>10</w:t>
            </w:r>
            <w:r w:rsidR="00864789">
              <w:rPr>
                <w:lang w:val="en-US"/>
              </w:rPr>
              <w:t xml:space="preserve"> October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925296" w:rsidRPr="00C32CE8" w:rsidRDefault="00925296" w:rsidP="00925296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925296" w:rsidRPr="00C32CE8" w:rsidRDefault="00925296" w:rsidP="00925296">
      <w:pPr>
        <w:rPr>
          <w:b/>
        </w:rPr>
      </w:pPr>
      <w:r>
        <w:rPr>
          <w:b/>
        </w:rPr>
        <w:t>Сто третья</w:t>
      </w:r>
      <w:r w:rsidRPr="00C32CE8">
        <w:rPr>
          <w:b/>
        </w:rPr>
        <w:t xml:space="preserve"> сессия</w:t>
      </w:r>
    </w:p>
    <w:p w:rsidR="00925296" w:rsidRPr="00C32CE8" w:rsidRDefault="00925296" w:rsidP="00925296">
      <w:pPr>
        <w:spacing w:before="120"/>
        <w:rPr>
          <w:b/>
        </w:rPr>
      </w:pPr>
      <w:r>
        <w:rPr>
          <w:b/>
        </w:rPr>
        <w:t>Краткий отчет (частичный)</w:t>
      </w:r>
      <w:r w:rsidR="003A3E97" w:rsidRPr="003A3E97">
        <w:rPr>
          <w:rStyle w:val="FootnoteReference"/>
          <w:szCs w:val="18"/>
          <w:vertAlign w:val="baseline"/>
        </w:rPr>
        <w:footnoteReference w:customMarkFollows="1" w:id="1"/>
        <w:t>*</w:t>
      </w:r>
      <w:r w:rsidRPr="003B18B0">
        <w:rPr>
          <w:b/>
        </w:rPr>
        <w:t xml:space="preserve"> </w:t>
      </w:r>
      <w:r w:rsidRPr="00C32CE8">
        <w:rPr>
          <w:b/>
        </w:rPr>
        <w:t>о</w:t>
      </w:r>
      <w:r>
        <w:rPr>
          <w:b/>
        </w:rPr>
        <w:t xml:space="preserve"> 2836-м заседании</w:t>
      </w:r>
      <w:r w:rsidRPr="00C32CE8">
        <w:rPr>
          <w:b/>
        </w:rPr>
        <w:t>,</w:t>
      </w:r>
    </w:p>
    <w:p w:rsidR="00925296" w:rsidRPr="00B55837" w:rsidRDefault="00925296" w:rsidP="00925296">
      <w:r w:rsidRPr="00B55837">
        <w:t>состоявше</w:t>
      </w:r>
      <w:r>
        <w:t>мся во Дворце Наций в Женеве</w:t>
      </w:r>
      <w:r>
        <w:br/>
        <w:t>во вторник</w:t>
      </w:r>
      <w:r w:rsidRPr="00B55837">
        <w:t xml:space="preserve">, </w:t>
      </w:r>
      <w:r>
        <w:t>18 октября 2011 года, в 15</w:t>
      </w:r>
      <w:r w:rsidRPr="00B55837">
        <w:t xml:space="preserve"> ч. 00 м.</w:t>
      </w:r>
    </w:p>
    <w:p w:rsidR="00925296" w:rsidRPr="00B55837" w:rsidRDefault="00925296" w:rsidP="00925296">
      <w:pPr>
        <w:spacing w:before="120" w:after="120"/>
      </w:pPr>
      <w:r w:rsidRPr="00C32CE8">
        <w:rPr>
          <w:i/>
        </w:rPr>
        <w:t>Председатель</w:t>
      </w:r>
      <w:r w:rsidRPr="00B55837">
        <w:t>:</w:t>
      </w:r>
      <w:r w:rsidRPr="00B55837">
        <w:tab/>
        <w:t>г-</w:t>
      </w:r>
      <w:r>
        <w:t>жа Майодина</w:t>
      </w:r>
    </w:p>
    <w:p w:rsidR="00925296" w:rsidRPr="00C32CE8" w:rsidRDefault="00925296" w:rsidP="00925296">
      <w:pPr>
        <w:spacing w:before="360" w:after="240"/>
        <w:rPr>
          <w:sz w:val="28"/>
          <w:szCs w:val="28"/>
        </w:rPr>
      </w:pPr>
      <w:r w:rsidRPr="00C32CE8">
        <w:rPr>
          <w:sz w:val="28"/>
          <w:szCs w:val="28"/>
        </w:rPr>
        <w:t>Содержание</w:t>
      </w:r>
    </w:p>
    <w:p w:rsidR="00925296" w:rsidRDefault="00925296" w:rsidP="00925296">
      <w:pPr>
        <w:pStyle w:val="SingleTxtGR"/>
        <w:jc w:val="left"/>
      </w:pPr>
      <w:r>
        <w:t>Рассмотрение докладов, представленных государствами-участниками</w:t>
      </w:r>
      <w:r>
        <w:br/>
        <w:t>в соотве</w:t>
      </w:r>
      <w:r>
        <w:t>т</w:t>
      </w:r>
      <w:r>
        <w:t>ствии со статьей 40 Пакта (</w:t>
      </w:r>
      <w:r w:rsidRPr="00D63C49">
        <w:rPr>
          <w:i/>
        </w:rPr>
        <w:t>продолжение</w:t>
      </w:r>
      <w:r>
        <w:t>)</w:t>
      </w:r>
    </w:p>
    <w:p w:rsidR="00925296" w:rsidRPr="00D63C49" w:rsidRDefault="00925296" w:rsidP="00332445">
      <w:pPr>
        <w:pStyle w:val="SingleTxtGR"/>
        <w:ind w:left="1701" w:hanging="567"/>
        <w:jc w:val="left"/>
      </w:pPr>
      <w:r>
        <w:tab/>
      </w:r>
      <w:r>
        <w:rPr>
          <w:i/>
        </w:rPr>
        <w:t>Третий периодический доклад Исламской Республики Иран</w:t>
      </w:r>
      <w:r>
        <w:rPr>
          <w:i/>
        </w:rPr>
        <w:br/>
      </w:r>
      <w:r w:rsidRPr="00D63C49">
        <w:t>(продолж</w:t>
      </w:r>
      <w:r w:rsidRPr="00D63C49">
        <w:t>е</w:t>
      </w:r>
      <w:r w:rsidRPr="00D63C49">
        <w:t>ние)</w:t>
      </w:r>
    </w:p>
    <w:p w:rsidR="00925296" w:rsidRPr="00B55837" w:rsidRDefault="00925296" w:rsidP="00925296">
      <w:pPr>
        <w:pStyle w:val="SingleTxtGR"/>
      </w:pPr>
      <w:r w:rsidRPr="00B55837">
        <w:br w:type="page"/>
      </w:r>
      <w:r>
        <w:rPr>
          <w:i/>
        </w:rPr>
        <w:t>Заседание открывается в 15 ч. 05 м</w:t>
      </w:r>
      <w:r w:rsidRPr="00B55837">
        <w:rPr>
          <w:i/>
        </w:rPr>
        <w:t>.</w:t>
      </w:r>
    </w:p>
    <w:p w:rsidR="00925296" w:rsidRPr="00BC59B8" w:rsidRDefault="00925296" w:rsidP="00925296">
      <w:pPr>
        <w:pStyle w:val="H23GR"/>
        <w:rPr>
          <w:b w:val="0"/>
          <w:i/>
        </w:rPr>
      </w:pPr>
      <w:r>
        <w:tab/>
      </w:r>
      <w:r>
        <w:tab/>
        <w:t xml:space="preserve">Рассмотрение докладов, представленных государствами-участниками в соответствии со статьей 40 Пакта </w:t>
      </w:r>
      <w:r w:rsidRPr="00236A4A">
        <w:rPr>
          <w:b w:val="0"/>
        </w:rPr>
        <w:t>(</w:t>
      </w:r>
      <w:r w:rsidRPr="00236A4A">
        <w:rPr>
          <w:b w:val="0"/>
          <w:i/>
        </w:rPr>
        <w:t>продолжение</w:t>
      </w:r>
      <w:r w:rsidRPr="00236A4A">
        <w:rPr>
          <w:b w:val="0"/>
        </w:rPr>
        <w:t>)</w:t>
      </w:r>
    </w:p>
    <w:p w:rsidR="00925296" w:rsidRPr="00332445" w:rsidRDefault="00332445" w:rsidP="00332445">
      <w:pPr>
        <w:pStyle w:val="H4GR"/>
        <w:ind w:left="1134" w:right="999" w:hanging="1134"/>
        <w:rPr>
          <w:i w:val="0"/>
        </w:rPr>
      </w:pPr>
      <w:r>
        <w:rPr>
          <w:lang w:val="en-US"/>
        </w:rPr>
        <w:tab/>
      </w:r>
      <w:r w:rsidR="00925296" w:rsidRPr="00EC1AB1">
        <w:tab/>
      </w:r>
      <w:r w:rsidR="00925296" w:rsidRPr="00236A4A">
        <w:t>Третий</w:t>
      </w:r>
      <w:r w:rsidR="00925296" w:rsidRPr="00EC1AB1">
        <w:t xml:space="preserve"> </w:t>
      </w:r>
      <w:r w:rsidR="00925296" w:rsidRPr="00236A4A">
        <w:t>периодический</w:t>
      </w:r>
      <w:r w:rsidR="00925296" w:rsidRPr="00EC1AB1">
        <w:t xml:space="preserve"> </w:t>
      </w:r>
      <w:r w:rsidR="00925296" w:rsidRPr="00236A4A">
        <w:t>доклад</w:t>
      </w:r>
      <w:r w:rsidR="00925296" w:rsidRPr="00EC1AB1">
        <w:t xml:space="preserve"> </w:t>
      </w:r>
      <w:r w:rsidR="00925296">
        <w:t>Исламской Республики Иран</w:t>
      </w:r>
      <w:r w:rsidR="00925296" w:rsidRPr="00EC1AB1">
        <w:t xml:space="preserve"> </w:t>
      </w:r>
      <w:r w:rsidR="00925296" w:rsidRPr="00332445">
        <w:rPr>
          <w:i w:val="0"/>
        </w:rPr>
        <w:t>(продолжение) (</w:t>
      </w:r>
      <w:r w:rsidR="00925296" w:rsidRPr="00332445">
        <w:rPr>
          <w:i w:val="0"/>
          <w:lang w:val="es-ES_tradnl"/>
        </w:rPr>
        <w:t>CCPR</w:t>
      </w:r>
      <w:r w:rsidR="00925296" w:rsidRPr="00332445">
        <w:rPr>
          <w:i w:val="0"/>
        </w:rPr>
        <w:t>/</w:t>
      </w:r>
      <w:r w:rsidR="00925296" w:rsidRPr="00332445">
        <w:rPr>
          <w:i w:val="0"/>
          <w:lang w:val="es-ES_tradnl"/>
        </w:rPr>
        <w:t>C</w:t>
      </w:r>
      <w:r w:rsidR="00925296" w:rsidRPr="00332445">
        <w:rPr>
          <w:i w:val="0"/>
        </w:rPr>
        <w:t>/</w:t>
      </w:r>
      <w:r w:rsidR="00925296" w:rsidRPr="00332445">
        <w:rPr>
          <w:i w:val="0"/>
          <w:lang w:val="es-ES_tradnl"/>
        </w:rPr>
        <w:t>IRN</w:t>
      </w:r>
      <w:r w:rsidR="00925296" w:rsidRPr="00332445">
        <w:rPr>
          <w:i w:val="0"/>
        </w:rPr>
        <w:t xml:space="preserve">/3; </w:t>
      </w:r>
      <w:r w:rsidR="00925296" w:rsidRPr="00332445">
        <w:rPr>
          <w:i w:val="0"/>
          <w:lang w:val="es-ES_tradnl"/>
        </w:rPr>
        <w:t>CCPR</w:t>
      </w:r>
      <w:r w:rsidR="00925296" w:rsidRPr="00332445">
        <w:rPr>
          <w:i w:val="0"/>
        </w:rPr>
        <w:t>/</w:t>
      </w:r>
      <w:r w:rsidR="00925296" w:rsidRPr="00332445">
        <w:rPr>
          <w:i w:val="0"/>
          <w:lang w:val="es-ES_tradnl"/>
        </w:rPr>
        <w:t>C</w:t>
      </w:r>
      <w:r w:rsidR="00925296" w:rsidRPr="00332445">
        <w:rPr>
          <w:i w:val="0"/>
        </w:rPr>
        <w:t>/</w:t>
      </w:r>
      <w:r w:rsidR="00925296" w:rsidRPr="00332445">
        <w:rPr>
          <w:i w:val="0"/>
          <w:lang w:val="es-ES_tradnl"/>
        </w:rPr>
        <w:t>IRN</w:t>
      </w:r>
      <w:r w:rsidR="00925296" w:rsidRPr="00332445">
        <w:rPr>
          <w:i w:val="0"/>
        </w:rPr>
        <w:t>/</w:t>
      </w:r>
      <w:r w:rsidR="00925296" w:rsidRPr="00332445">
        <w:rPr>
          <w:i w:val="0"/>
          <w:lang w:val="es-ES_tradnl"/>
        </w:rPr>
        <w:t>Q</w:t>
      </w:r>
      <w:r w:rsidR="00925296" w:rsidRPr="00332445">
        <w:rPr>
          <w:i w:val="0"/>
        </w:rPr>
        <w:t>/3</w:t>
      </w:r>
      <w:r w:rsidR="00327B4B" w:rsidRPr="00332445">
        <w:rPr>
          <w:i w:val="0"/>
        </w:rPr>
        <w:t xml:space="preserve"> и</w:t>
      </w:r>
      <w:r w:rsidR="00925296" w:rsidRPr="00332445">
        <w:rPr>
          <w:i w:val="0"/>
        </w:rPr>
        <w:t xml:space="preserve"> </w:t>
      </w:r>
      <w:r w:rsidR="00925296" w:rsidRPr="00332445">
        <w:rPr>
          <w:i w:val="0"/>
          <w:lang w:val="es-ES_tradnl"/>
        </w:rPr>
        <w:t>Add</w:t>
      </w:r>
      <w:r w:rsidR="00925296" w:rsidRPr="00332445">
        <w:rPr>
          <w:i w:val="0"/>
        </w:rPr>
        <w:t>.1)</w:t>
      </w:r>
    </w:p>
    <w:p w:rsidR="00925296" w:rsidRPr="00236A4A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</w:tabs>
        <w:rPr>
          <w:i/>
        </w:rPr>
      </w:pPr>
      <w:r w:rsidRPr="00236A4A">
        <w:t>1.</w:t>
      </w:r>
      <w:r w:rsidRPr="00236A4A">
        <w:tab/>
      </w:r>
      <w:r>
        <w:rPr>
          <w:i/>
        </w:rPr>
        <w:t>По приглашению Председателя члены делегации Исламской Республики Иран занимают ме</w:t>
      </w:r>
      <w:r>
        <w:rPr>
          <w:i/>
        </w:rPr>
        <w:t>с</w:t>
      </w:r>
      <w:r>
        <w:rPr>
          <w:i/>
        </w:rPr>
        <w:t>та за столом Комитета.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делегации </w:t>
      </w:r>
      <w:r w:rsidRPr="00D63C49">
        <w:t>Исламской Республики Иран</w:t>
      </w:r>
      <w:r>
        <w:t xml:space="preserve"> отв</w:t>
      </w:r>
      <w:r>
        <w:t>е</w:t>
      </w:r>
      <w:r>
        <w:t>тить на остающиеся вопросы (17</w:t>
      </w:r>
      <w:r w:rsidR="00332445" w:rsidRPr="00332445">
        <w:t>−</w:t>
      </w:r>
      <w:r>
        <w:t>34) перечня вопросов (</w:t>
      </w:r>
      <w:r>
        <w:rPr>
          <w:lang w:val="en-US"/>
        </w:rPr>
        <w:t>CCPR</w:t>
      </w:r>
      <w:r w:rsidRPr="00EC1AB1">
        <w:t>/</w:t>
      </w:r>
      <w:r>
        <w:rPr>
          <w:lang w:val="en-US"/>
        </w:rPr>
        <w:t>C</w:t>
      </w:r>
      <w:r w:rsidRPr="00EC1AB1">
        <w:t>/</w:t>
      </w:r>
      <w:r>
        <w:rPr>
          <w:lang w:val="en-US"/>
        </w:rPr>
        <w:t>IRN</w:t>
      </w:r>
      <w:r w:rsidRPr="00EC1AB1">
        <w:t>/</w:t>
      </w:r>
      <w:r>
        <w:rPr>
          <w:lang w:val="en-US"/>
        </w:rPr>
        <w:t>Q</w:t>
      </w:r>
      <w:r w:rsidRPr="00EC1AB1">
        <w:t>/3</w:t>
      </w:r>
      <w:r>
        <w:t>)</w:t>
      </w:r>
      <w:r w:rsidRPr="00EC1AB1">
        <w:t>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3.</w:t>
      </w:r>
      <w:r>
        <w:tab/>
      </w:r>
      <w:r w:rsidRPr="00D63C49">
        <w:rPr>
          <w:b/>
        </w:rPr>
        <w:t>Г-н Пурмусави</w:t>
      </w:r>
      <w:r>
        <w:t xml:space="preserve"> (</w:t>
      </w:r>
      <w:r w:rsidRPr="00D63C49">
        <w:t>Исламск</w:t>
      </w:r>
      <w:r>
        <w:t>ая</w:t>
      </w:r>
      <w:r w:rsidRPr="00D63C49">
        <w:t xml:space="preserve"> Республик</w:t>
      </w:r>
      <w:r>
        <w:t>а</w:t>
      </w:r>
      <w:r w:rsidRPr="00D63C49">
        <w:t xml:space="preserve"> Иран</w:t>
      </w:r>
      <w:r>
        <w:t>) говорит, что законы его страны о труде относятся к числу самых строгих в мире и высокопоставленные должностные лица Республики очень внимательно относятся к проблемам, к</w:t>
      </w:r>
      <w:r>
        <w:t>а</w:t>
      </w:r>
      <w:r>
        <w:t>сающимся трудящихся. Существует 250 союзов и гильдий трудящихся. Ст</w:t>
      </w:r>
      <w:r>
        <w:t>а</w:t>
      </w:r>
      <w:r>
        <w:t>тья 27 Конституции гарантирует свободу ассоциаций, и по состоянию на 2011 год трудящиеся организовали свыше 2</w:t>
      </w:r>
      <w:r w:rsidR="00327B4B">
        <w:t> </w:t>
      </w:r>
      <w:r>
        <w:t>000 митингов, на которых они озв</w:t>
      </w:r>
      <w:r>
        <w:t>у</w:t>
      </w:r>
      <w:r>
        <w:t>чили свои проблемы. В ходе этих митингов некоторые лица были действител</w:t>
      </w:r>
      <w:r>
        <w:t>ь</w:t>
      </w:r>
      <w:r>
        <w:t>но арестованы, но не за участие в демонстрации, а за совершение таких прав</w:t>
      </w:r>
      <w:r>
        <w:t>о</w:t>
      </w:r>
      <w:r>
        <w:t>нарушений, как уничтожение государственного имущества. Они были освобо</w:t>
      </w:r>
      <w:r>
        <w:t>ж</w:t>
      </w:r>
      <w:r>
        <w:t xml:space="preserve">дены после непродолжительного периода содержания под стражей. 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4.</w:t>
      </w:r>
      <w:r>
        <w:tab/>
        <w:t>Различные этнические и религиозные группы страны проживают в мире и гармонии друг с другом в течение многих столетий, и дискриминация в отн</w:t>
      </w:r>
      <w:r>
        <w:t>о</w:t>
      </w:r>
      <w:r>
        <w:t>шении меньшинств неприемлема для иранской культуры. Школы находятся в местном управлении, причем учителя назначаются местной общиной. Группы меньшинств имеют свои собственные школы, в которых их дети говорят на св</w:t>
      </w:r>
      <w:r>
        <w:t>о</w:t>
      </w:r>
      <w:r>
        <w:t>ем языке. На языках меньшинств издаются газеты. В интересах этнических меньшинств был принят ряд позитивных мер. Например, в парламенте есть представители этнических и религиозных меньшинств, насчитывающих лишь несколько тысяч человек. Кроме того, религиозным меньшинствам предоста</w:t>
      </w:r>
      <w:r>
        <w:t>в</w:t>
      </w:r>
      <w:r>
        <w:t>лена свобода в следовании своим собственным традициям, например путем и</w:t>
      </w:r>
      <w:r>
        <w:t>с</w:t>
      </w:r>
      <w:r>
        <w:t xml:space="preserve">пользования своих собственных призывов к молитве. 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5.</w:t>
      </w:r>
      <w:r>
        <w:tab/>
        <w:t>В то время как в стране насчитывается официально 2 млн. афганских б</w:t>
      </w:r>
      <w:r>
        <w:t>е</w:t>
      </w:r>
      <w:r>
        <w:t>женцев, фактически их число приближается к 3 млн., и они проживают в мире с местными общинами в течение последних трех десятилетий. Эти беженцы не подвергаются ненадлежащему обращению, и они сами заявляли, что у них нет проблем с местным населением. Суфии не подвергаются дискриминации по признаку их религиозных взглядов. Проблема, скорее, состоит в их поведении и соответствующей реакции со стороны местных общин, так что правительству иногда приходилось вмешиваться для восстановления общественного порядка.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6.</w:t>
      </w:r>
      <w:r>
        <w:tab/>
        <w:t>Утверждения о массовой расправе с арабами в Хузестане абсолютно н</w:t>
      </w:r>
      <w:r>
        <w:t>е</w:t>
      </w:r>
      <w:r>
        <w:t>верны. Некоторые арабы были арестованы, причем не по причине их этнич</w:t>
      </w:r>
      <w:r>
        <w:t>е</w:t>
      </w:r>
      <w:r>
        <w:t>ского происхождения, а вследствие их участия в террористических актах. Они затем были подвергнуты уголовному преследованию и получили наказание в соответствии с законом. Конфликт между членами общины бехаистов и мес</w:t>
      </w:r>
      <w:r>
        <w:t>т</w:t>
      </w:r>
      <w:r>
        <w:t>ным населением, в основе которого нередко лежит прозелитизм со стороны б</w:t>
      </w:r>
      <w:r>
        <w:t>е</w:t>
      </w:r>
      <w:r>
        <w:t>хаистов,</w:t>
      </w:r>
      <w:r w:rsidRPr="00FE2C65">
        <w:t xml:space="preserve"> </w:t>
      </w:r>
      <w:r>
        <w:t>не является секретом. Правительство иногда сталкивается с необход</w:t>
      </w:r>
      <w:r>
        <w:t>и</w:t>
      </w:r>
      <w:r>
        <w:t>мостью вмешаться и восстановить порядок в таких случаях. Тем не менее з</w:t>
      </w:r>
      <w:r>
        <w:t>а</w:t>
      </w:r>
      <w:r>
        <w:t>кон предусматривает равные права и равное обращение в отношении всех религ</w:t>
      </w:r>
      <w:r>
        <w:t>и</w:t>
      </w:r>
      <w:r>
        <w:t>озных меньшинств.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7.</w:t>
      </w:r>
      <w:r>
        <w:tab/>
      </w:r>
      <w:r w:rsidRPr="00277C8E">
        <w:rPr>
          <w:b/>
        </w:rPr>
        <w:t>Г-жа Элахейян</w:t>
      </w:r>
      <w:r>
        <w:t xml:space="preserve"> (</w:t>
      </w:r>
      <w:r w:rsidRPr="00D63C49">
        <w:t>Исламск</w:t>
      </w:r>
      <w:r>
        <w:t>ая</w:t>
      </w:r>
      <w:r w:rsidRPr="00D63C49">
        <w:t xml:space="preserve"> Республик</w:t>
      </w:r>
      <w:r>
        <w:t>а</w:t>
      </w:r>
      <w:r w:rsidRPr="00D63C49">
        <w:t xml:space="preserve"> Иран</w:t>
      </w:r>
      <w:r>
        <w:t>) говорит, что парламент поддерживает тесный контакт с рядом НПО и ассоциаций и работает в сотру</w:t>
      </w:r>
      <w:r>
        <w:t>д</w:t>
      </w:r>
      <w:r>
        <w:t>ничестве с ними в целях оказания помощи в их работе. Парламентская Коми</w:t>
      </w:r>
      <w:r>
        <w:t>с</w:t>
      </w:r>
      <w:r>
        <w:t>сия по вопросам внешней политики и национальной безопасности ежегодно встречается с лидерами религиозных меньшинств, с тем чтобы подтвердить свою приверженность налаживанию дружеских отношений между различными религиозными общинами. Группы религиозных меньшинств, некоторые из к</w:t>
      </w:r>
      <w:r>
        <w:t>о</w:t>
      </w:r>
      <w:r>
        <w:t>торых насчитывают лишь 20 000 человек, представляют пять членов парламе</w:t>
      </w:r>
      <w:r>
        <w:t>н</w:t>
      </w:r>
      <w:r>
        <w:t>та. В соответствии со статьей 13 Конституции религиозные меньшинства могут свободно отправлять свои ритуалы и следуют своим собственным законам по таким вопросам, как вступление в брак и развод. В Законе о защите семьи ог</w:t>
      </w:r>
      <w:r>
        <w:t>о</w:t>
      </w:r>
      <w:r>
        <w:t>варивается, что решения лидеров религиозных меньшинств по вопросам личн</w:t>
      </w:r>
      <w:r>
        <w:t>о</w:t>
      </w:r>
      <w:r>
        <w:t>го статуса принимаются во внимание судами. В правительственных учрежден</w:t>
      </w:r>
      <w:r>
        <w:t>и</w:t>
      </w:r>
      <w:r>
        <w:t>ях и ведомствах действуют специальные процедуры по набору представителей меньшинств. В статье 4 Закона о политических партиях ассоциация религио</w:t>
      </w:r>
      <w:r>
        <w:t>з</w:t>
      </w:r>
      <w:r>
        <w:t>ного меньшинства определяется как организация, состоящая из добровольцев от религиозного меньшинства, объединившихся с целью решения проблем и изучения религиозных, культурных, общественных вопросов и вопросов соц</w:t>
      </w:r>
      <w:r>
        <w:t>и</w:t>
      </w:r>
      <w:r>
        <w:t>ального обеспечения, связанных с этой общиной. В статье 41 Генеральных н</w:t>
      </w:r>
      <w:r>
        <w:t>а</w:t>
      </w:r>
      <w:r>
        <w:t>правлений и принципов программ радио и телевещания Исламской Республики Иран оговаривается, что целью работы этой организации должны быть поощр</w:t>
      </w:r>
      <w:r>
        <w:t>е</w:t>
      </w:r>
      <w:r>
        <w:t>ние и укрепление исламского братства между различными исламскими сектами и направлениями, а также солидарность с религиозными меньшинствами.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8.</w:t>
      </w:r>
      <w:r>
        <w:tab/>
        <w:t>В прошлом сумма выплаты вергельда ("дийя") для жертв-немусульман была ниже, чем для мусульман. Однако принятыми в 2003 году законодател</w:t>
      </w:r>
      <w:r>
        <w:t>ь</w:t>
      </w:r>
      <w:r>
        <w:t>ными актами это расхождение было устранено. Были созданы специальные с</w:t>
      </w:r>
      <w:r>
        <w:t>о</w:t>
      </w:r>
      <w:r>
        <w:t>веты по разрешению споров в целях расследования и урегулирования жалоб на дискриминацию в отношении меньшинств. Бехаисты пользуются полными пр</w:t>
      </w:r>
      <w:r>
        <w:t>а</w:t>
      </w:r>
      <w:r>
        <w:t>вами в качестве граждан, и правительство готово рассмотреть любую жалобу о дискриминации в их отношении по признаку их религиозных верований. В каждой провинции был создан инспекционный орган для защиты прав гра</w:t>
      </w:r>
      <w:r>
        <w:t>ж</w:t>
      </w:r>
      <w:r>
        <w:t>дан, а директором, курирующим работу всех этих органов, является представ</w:t>
      </w:r>
      <w:r>
        <w:t>и</w:t>
      </w:r>
      <w:r>
        <w:t>тель курдского меньшинства.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9.</w:t>
      </w:r>
      <w:r>
        <w:tab/>
      </w:r>
      <w:r w:rsidRPr="00072F14">
        <w:rPr>
          <w:b/>
        </w:rPr>
        <w:t>Г-жа Хамед</w:t>
      </w:r>
      <w:r>
        <w:t xml:space="preserve"> (</w:t>
      </w:r>
      <w:r w:rsidRPr="00D63C49">
        <w:t>Исламск</w:t>
      </w:r>
      <w:r>
        <w:t>ая</w:t>
      </w:r>
      <w:r w:rsidRPr="00D63C49">
        <w:t xml:space="preserve"> Республик</w:t>
      </w:r>
      <w:r>
        <w:t>а</w:t>
      </w:r>
      <w:r w:rsidRPr="00D63C49">
        <w:t xml:space="preserve"> Иран</w:t>
      </w:r>
      <w:r>
        <w:t>) говорит, что созданный в 2004</w:t>
      </w:r>
      <w:r w:rsidR="00327B4B">
        <w:t> </w:t>
      </w:r>
      <w:r>
        <w:t>году орган по рассмотрению жалоб действует во всех провинциях под р</w:t>
      </w:r>
      <w:r>
        <w:t>у</w:t>
      </w:r>
      <w:r>
        <w:t>ководством местного отделения Генерального атторнея, а также в Тегеране. Все граждане, включая членов религиозных меньшинств, могут подать жалобы о нарушении их прав человека через этот орган, сотрудники которого рассмотрят их без какой-либо дискриминации по признаку их вероисповедания. Жалобы на преследование по религиозным мотивам были представлены, главным образом, бехаистами, совершившими преступления. Она предлагает Комитету ознак</w:t>
      </w:r>
      <w:r>
        <w:t>о</w:t>
      </w:r>
      <w:r>
        <w:t>миться с информацией по этому вопросу, представленной во время рассмотр</w:t>
      </w:r>
      <w:r>
        <w:t>е</w:t>
      </w:r>
      <w:r>
        <w:t>ния докладов государства-участника Комитетом по ликвидации расовой ди</w:t>
      </w:r>
      <w:r>
        <w:t>с</w:t>
      </w:r>
      <w:r>
        <w:t>криминации в 2010 году, и выразила готовность представить более подробные статистические да</w:t>
      </w:r>
      <w:r>
        <w:t>н</w:t>
      </w:r>
      <w:r>
        <w:t>ные.</w:t>
      </w:r>
    </w:p>
    <w:p w:rsidR="00925296" w:rsidRDefault="00925296" w:rsidP="00327B4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10.</w:t>
      </w:r>
      <w:r>
        <w:tab/>
      </w:r>
      <w:r w:rsidRPr="00072F14">
        <w:rPr>
          <w:b/>
        </w:rPr>
        <w:t>Г-н П</w:t>
      </w:r>
      <w:r>
        <w:rPr>
          <w:b/>
        </w:rPr>
        <w:t>у</w:t>
      </w:r>
      <w:r w:rsidRPr="00072F14">
        <w:rPr>
          <w:b/>
        </w:rPr>
        <w:t>рмусави</w:t>
      </w:r>
      <w:r>
        <w:t xml:space="preserve"> (</w:t>
      </w:r>
      <w:r w:rsidRPr="00D63C49">
        <w:t>Исламск</w:t>
      </w:r>
      <w:r>
        <w:t>ая</w:t>
      </w:r>
      <w:r w:rsidRPr="00D63C49">
        <w:t xml:space="preserve"> Республик</w:t>
      </w:r>
      <w:r>
        <w:t>а</w:t>
      </w:r>
      <w:r w:rsidRPr="00D63C49">
        <w:t xml:space="preserve"> Иран</w:t>
      </w:r>
      <w:r>
        <w:t>) говорит, что предусмотр</w:t>
      </w:r>
      <w:r>
        <w:t>е</w:t>
      </w:r>
      <w:r>
        <w:t>на отсрочка приведения в исполнение смертного приговора в отношении бер</w:t>
      </w:r>
      <w:r>
        <w:t>е</w:t>
      </w:r>
      <w:r>
        <w:t>менных женщин до тех пор, пока они не закончат кормление грудью, макс</w:t>
      </w:r>
      <w:r>
        <w:t>и</w:t>
      </w:r>
      <w:r>
        <w:t>мальный срок которой составляет два</w:t>
      </w:r>
      <w:r w:rsidR="00327B4B">
        <w:t xml:space="preserve"> </w:t>
      </w:r>
      <w:r>
        <w:t>года. В Исламском уголовном кодексе преступления, связанные с безопасностью, прямо не упоминаются, однако в первой главе пятого тома содержатся конкретные ссылки на преступления в о</w:t>
      </w:r>
      <w:r>
        <w:t>т</w:t>
      </w:r>
      <w:r>
        <w:t>ношении внутренней и международной безопасности. Предусмотрены опред</w:t>
      </w:r>
      <w:r>
        <w:t>е</w:t>
      </w:r>
      <w:r>
        <w:t>ление и квалификация в качестве преступления актов терроризма, включая пр</w:t>
      </w:r>
      <w:r>
        <w:t>и</w:t>
      </w:r>
      <w:r>
        <w:t>зыв к мятежу, подстрекательство к насилию и попытки подрыва национальной безопасности, а также шпионаж. В Кодексе также оговаривается, что обвиня</w:t>
      </w:r>
      <w:r>
        <w:t>е</w:t>
      </w:r>
      <w:r>
        <w:t>мые должны быть информированы о предъявляемых им обвинен</w:t>
      </w:r>
      <w:r>
        <w:t>и</w:t>
      </w:r>
      <w:r>
        <w:t>ях.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11.</w:t>
      </w:r>
      <w:r>
        <w:tab/>
      </w:r>
      <w:r w:rsidRPr="00072F14">
        <w:rPr>
          <w:b/>
        </w:rPr>
        <w:t>Г-н Хакиме</w:t>
      </w:r>
      <w:r>
        <w:t xml:space="preserve"> (</w:t>
      </w:r>
      <w:r w:rsidRPr="00D63C49">
        <w:t>Исламск</w:t>
      </w:r>
      <w:r>
        <w:t>ая</w:t>
      </w:r>
      <w:r w:rsidRPr="00D63C49">
        <w:t xml:space="preserve"> Республик</w:t>
      </w:r>
      <w:r>
        <w:t>а</w:t>
      </w:r>
      <w:r w:rsidRPr="00D63C49">
        <w:t xml:space="preserve"> Иран</w:t>
      </w:r>
      <w:r>
        <w:t>), отвечая на вопросы о незав</w:t>
      </w:r>
      <w:r>
        <w:t>и</w:t>
      </w:r>
      <w:r>
        <w:t>симости судебной системы, говорит, что судьи в судах как низшей, так и вы</w:t>
      </w:r>
      <w:r>
        <w:t>с</w:t>
      </w:r>
      <w:r>
        <w:t>шей инстанции принимают присягу о соблюдении закона. Некоторые лица, во</w:t>
      </w:r>
      <w:r>
        <w:t>з</w:t>
      </w:r>
      <w:r>
        <w:t>можно, пытаются оказать на них влияние, однако судьи основывают свои реш</w:t>
      </w:r>
      <w:r>
        <w:t>е</w:t>
      </w:r>
      <w:r>
        <w:t>ния только на доказательствах. За любую небрежность в этом вопросе судья подвергается уголовному преследованию. Судебная система является весьма отлаженной, и судебные решения основываются на принципах каузальности и установления фактов. Положения, регулирующие деятельность представителей юридической профессии, четко зафиксированы в законе. Ассоциация адвокатов осуществляет свою деятельность в масштабах всей страны, а ее совет проводит регулярные совещания и работает в тесном сотрудничестве с судебной властью. Адвокаты находятся под защитой закона, и к ним с уважением относятся судьи, ведущие судебные заседания, однако они также должны с уважением относит</w:t>
      </w:r>
      <w:r>
        <w:t>ь</w:t>
      </w:r>
      <w:r>
        <w:t>ся к суду. Адвокаты, работающие в Исламской Республике Иран, проявляют большую принципиальность и не поддаются на влияние со стороны.</w:t>
      </w:r>
    </w:p>
    <w:p w:rsidR="00925296" w:rsidRPr="00EC1AB1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12.</w:t>
      </w:r>
      <w:r>
        <w:tab/>
        <w:t>Что касается уголовного судопроизводства, то согласно законам о правах граждан незаконно содержать людей под стражей, не доставляя их к судье в т</w:t>
      </w:r>
      <w:r>
        <w:t>е</w:t>
      </w:r>
      <w:r>
        <w:t>чение периода свыше 24 часов, а ряд случаев нарушения этих положений был рассмотрен в судах. Эти положения были введены для приведения внутреннего законодательства в большее соответствие с Пактом. Право на юридическое представительство также защищено законом, и, если обвиняемый не может п</w:t>
      </w:r>
      <w:r>
        <w:t>о</w:t>
      </w:r>
      <w:r>
        <w:t>зволить себе нанять адвоката, направляется обращение в Ассоциацию адвок</w:t>
      </w:r>
      <w:r>
        <w:t>а</w:t>
      </w:r>
      <w:r>
        <w:t>тов с просьбой о предоставлении бесплатных услуг адвоката. Судебное разб</w:t>
      </w:r>
      <w:r>
        <w:t>и</w:t>
      </w:r>
      <w:r>
        <w:t>рательство без присутствия адвоката считается недействительным. Адвокаты должны получить письменную доверенность клиента и разрешение со стороны председательствующего судьи на получение доступа к материалам дела клие</w:t>
      </w:r>
      <w:r>
        <w:t>н</w:t>
      </w:r>
      <w:r>
        <w:t>та. На досудебной стадии проводится предварительное расследование судьей, не участвующим в вынесении приговора, и адвокат ответчика может ознак</w:t>
      </w:r>
      <w:r>
        <w:t>о</w:t>
      </w:r>
      <w:r>
        <w:t>миться с материалами по делу, но не может вмешиваться или каким-либо обр</w:t>
      </w:r>
      <w:r>
        <w:t>а</w:t>
      </w:r>
      <w:r>
        <w:t>зом влиять на судопроизводство. Защита по существу может осуществляться непосредственно во время судебного процесса после передачи дела в уголо</w:t>
      </w:r>
      <w:r>
        <w:t>в</w:t>
      </w:r>
      <w:r>
        <w:t>ный суд, где оно рассматривается пятью судьями. В ходе судебного разбир</w:t>
      </w:r>
      <w:r>
        <w:t>а</w:t>
      </w:r>
      <w:r>
        <w:t>тельства адвокаты ответчиков могут вызывать любых свидетелей (как экспе</w:t>
      </w:r>
      <w:r>
        <w:t>р</w:t>
      </w:r>
      <w:r>
        <w:t>тов, так и иных лиц) по своему усмотрению при условии, что у суда будет на</w:t>
      </w:r>
      <w:r>
        <w:t>д</w:t>
      </w:r>
      <w:r>
        <w:t>лежащим образом запрошено соответствующее разрешение. Большинство дел рассматриваются в ходе открытого судебного разбирательства; к числу искл</w:t>
      </w:r>
      <w:r>
        <w:t>ю</w:t>
      </w:r>
      <w:r>
        <w:t>чений относятся дела, связанные с преступлениями против национальной без</w:t>
      </w:r>
      <w:r>
        <w:t>о</w:t>
      </w:r>
      <w:r>
        <w:t>пасности. При наличии должного обоснования судьи могут договориться о пр</w:t>
      </w:r>
      <w:r>
        <w:t>о</w:t>
      </w:r>
      <w:r>
        <w:t>ведении слушаний в других местах, помимо судов. Право на подачу апелляции признается, и во всех постановлениях гражданских судов оговаривается, что любая апелляция должна быть подана в течение 20 дней. Адвокаты могут также подавать жалобы на проведение разбирательства в Министерство юст</w:t>
      </w:r>
      <w:r>
        <w:t>и</w:t>
      </w:r>
      <w:r>
        <w:t>ции.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 w:rsidRPr="00EC1AB1">
        <w:t>13.</w:t>
      </w:r>
      <w:r w:rsidRPr="00EC1AB1">
        <w:tab/>
      </w:r>
      <w:r>
        <w:rPr>
          <w:b/>
        </w:rPr>
        <w:t xml:space="preserve">Г-жа Моток </w:t>
      </w:r>
      <w:r>
        <w:t>говорит, что, хотя в странах, откуда прибыли члены Комит</w:t>
      </w:r>
      <w:r>
        <w:t>е</w:t>
      </w:r>
      <w:r>
        <w:t>та, действуют правовые системы, отличные от правовой системы Исламской Республики Иран, они обладают достаточным опытом знакомства с ра</w:t>
      </w:r>
      <w:r>
        <w:t>з</w:t>
      </w:r>
      <w:r>
        <w:t>личными правовыми системами, чтобы иметь возможность для сравнения. И</w:t>
      </w:r>
      <w:r>
        <w:t>н</w:t>
      </w:r>
      <w:r>
        <w:t>формация, которой располагает Комитет, включает не только сообщения об арестах и пр</w:t>
      </w:r>
      <w:r>
        <w:t>е</w:t>
      </w:r>
      <w:r>
        <w:t>следованиях бехаистов, но и сообщения о том, что они лишены права на обр</w:t>
      </w:r>
      <w:r>
        <w:t>а</w:t>
      </w:r>
      <w:r>
        <w:t>зование. Бехаистский институт высшего образования, как представляе</w:t>
      </w:r>
      <w:r>
        <w:t>т</w:t>
      </w:r>
      <w:r>
        <w:t>ся, был объявлен вне закона, а преподаватели этого института, согласно утве</w:t>
      </w:r>
      <w:r>
        <w:t>р</w:t>
      </w:r>
      <w:r>
        <w:t>ждениям, столкнулись с угрозами уголовного преследования и даже были заключены в тюрьму. Кроме того, поступили сообщения о преследованиях политических а</w:t>
      </w:r>
      <w:r>
        <w:t>к</w:t>
      </w:r>
      <w:r>
        <w:t>тивистов, которые критиковали правительство. Одно из последних таких дел было связано с фильмом "</w:t>
      </w:r>
      <w:r w:rsidRPr="00885131">
        <w:t>Персеполис</w:t>
      </w:r>
      <w:r>
        <w:t>". Директору телевизионного канала, по которому был показан этот фильм, угрожали уголовным преследованием за преступления против общественной морали, что свидетельствует о несоблюд</w:t>
      </w:r>
      <w:r>
        <w:t>е</w:t>
      </w:r>
      <w:r>
        <w:t>нии государс</w:t>
      </w:r>
      <w:r>
        <w:t>т</w:t>
      </w:r>
      <w:r>
        <w:t>вом-участником права на свободное выражение мнений.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14.</w:t>
      </w:r>
      <w:r>
        <w:tab/>
      </w:r>
      <w:r>
        <w:rPr>
          <w:b/>
        </w:rPr>
        <w:t xml:space="preserve">Г-н Амор </w:t>
      </w:r>
      <w:r>
        <w:t>говорит, что он глубоко уважает государство-участник и его древнюю цивилизацию, однако именно эта цивилизация находится в настоящее время под угрозой, что является следствием определенных действий и практ</w:t>
      </w:r>
      <w:r>
        <w:t>и</w:t>
      </w:r>
      <w:r>
        <w:t>ческих мер. Его не убеждают ответы делегации, касающиеся бехаистов. Он з</w:t>
      </w:r>
      <w:r>
        <w:t>а</w:t>
      </w:r>
      <w:r>
        <w:t>дает вопрос о том, что имела в виду делегация, когда она заявила, что бехаисты имели проблемы с местными общинами. Отмечались ли случаи проявления н</w:t>
      </w:r>
      <w:r>
        <w:t>е</w:t>
      </w:r>
      <w:r>
        <w:t>терпимости или нападения на представителей местных общин? Бехаисты, бе</w:t>
      </w:r>
      <w:r>
        <w:t>з</w:t>
      </w:r>
      <w:r>
        <w:t>условно, должны обладать теми же правами и обязанностями, что и все остал</w:t>
      </w:r>
      <w:r>
        <w:t>ь</w:t>
      </w:r>
      <w:r>
        <w:t>ные граждане, однако реальная проблема связана с уважением или, по крайней мере, толерантностью в отношении религиозных меньшинств. В ряде конф</w:t>
      </w:r>
      <w:r>
        <w:t>и</w:t>
      </w:r>
      <w:r>
        <w:t>денциальных официальных циркуляров Министерства по делам науки, исслед</w:t>
      </w:r>
      <w:r>
        <w:t>о</w:t>
      </w:r>
      <w:r>
        <w:t>ваний и технологий указывается, что бехаистам следует запретить посещать университет, а те, кто уже принят, должны быть из него исключены. В других официальных циркулярах бехаистам запрещается заниматься некоторыми в</w:t>
      </w:r>
      <w:r>
        <w:t>и</w:t>
      </w:r>
      <w:r>
        <w:t>дами коммерческой деятельности. Эти ограничения были наложены не вследс</w:t>
      </w:r>
      <w:r>
        <w:t>т</w:t>
      </w:r>
      <w:r>
        <w:t>вие каких-то совершенных действий, а в силу того, что соответствующие лица придерживаются определенного вер</w:t>
      </w:r>
      <w:r>
        <w:t>о</w:t>
      </w:r>
      <w:r>
        <w:t>исповедания.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15.</w:t>
      </w:r>
      <w:r>
        <w:tab/>
        <w:t>Поэтому он спрашивает, может ли делегация заверить Комитет в том, что студенты из числа бехаистов действительно имеют право на посещение униве</w:t>
      </w:r>
      <w:r>
        <w:t>р</w:t>
      </w:r>
      <w:r>
        <w:t>ситета и не подвергаются исключению. Он также хотел бы знать, имеют ли б</w:t>
      </w:r>
      <w:r>
        <w:t>е</w:t>
      </w:r>
      <w:r>
        <w:t>хаисты право заниматься общественной, культурной и коммерческой деятел</w:t>
      </w:r>
      <w:r>
        <w:t>ь</w:t>
      </w:r>
      <w:r>
        <w:t>ностью на равных основаниях с другими гражданами. Наконец, он задает в</w:t>
      </w:r>
      <w:r>
        <w:t>о</w:t>
      </w:r>
      <w:r>
        <w:t>прос о том, выступят ли иранские власти с осуждением многочисленных актов осквернения бехаистских гробниц.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16.</w:t>
      </w:r>
      <w:r>
        <w:tab/>
      </w:r>
      <w:r>
        <w:rPr>
          <w:b/>
        </w:rPr>
        <w:t>Г-н Ивасава</w:t>
      </w:r>
      <w:r>
        <w:t xml:space="preserve"> благодарит делегацию за ее ответы, но отмечает, что многие поднятые им вопросы остались без ответа. Он хотел бы знать, каким образом будет гарантироваться независимость НПО в соответствии с рассматрива</w:t>
      </w:r>
      <w:r>
        <w:t>ю</w:t>
      </w:r>
      <w:r>
        <w:t>щимся в настоящее время в парламенте законопроектом о создании неправ</w:t>
      </w:r>
      <w:r>
        <w:t>и</w:t>
      </w:r>
      <w:r>
        <w:t>тельственных организаций и контроле за ними.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17.</w:t>
      </w:r>
      <w:r>
        <w:tab/>
      </w:r>
      <w:r>
        <w:rPr>
          <w:b/>
        </w:rPr>
        <w:t xml:space="preserve">Г-н Пурмусави </w:t>
      </w:r>
      <w:r>
        <w:t>(Исламская Республика Иран) говорит, что закона, з</w:t>
      </w:r>
      <w:r>
        <w:t>а</w:t>
      </w:r>
      <w:r>
        <w:t>прещающего митинги и собрания, не существует, однако прежде, чем пров</w:t>
      </w:r>
      <w:r>
        <w:t>о</w:t>
      </w:r>
      <w:r>
        <w:t>дить такие мероприятия, следует получить соответствующее разрешение. В то же время такого разрешения не требуется для работников, собравшихся для т</w:t>
      </w:r>
      <w:r>
        <w:t>о</w:t>
      </w:r>
      <w:r>
        <w:t>го, чтобы озвучить свое недовольство в связи с проблемами на рабочем месте. В его стране действуют различные НПО, целью которых является облегчение социальных проблем. В отношении этих организаций действует требование о получении разрешений, которые выдаются Министерством культуры и исла</w:t>
      </w:r>
      <w:r>
        <w:t>м</w:t>
      </w:r>
      <w:r>
        <w:t>ской ориентации. Специальные разрешения, требующиеся для политических групп, обычно выдаются Комиссией по соблюдению статьи 10, включающей представителей канцелярии Генерального атторнея, Высшего судебного совета, Министерства внутренних дел, а также представителей, избранных парламе</w:t>
      </w:r>
      <w:r>
        <w:t>н</w:t>
      </w:r>
      <w:r>
        <w:t>том.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18.</w:t>
      </w:r>
      <w:r>
        <w:tab/>
      </w:r>
      <w:r>
        <w:rPr>
          <w:b/>
        </w:rPr>
        <w:t xml:space="preserve">Г-жа Элахейян </w:t>
      </w:r>
      <w:r>
        <w:t>(Исламская Республика Иран) говорит, что иранская си</w:t>
      </w:r>
      <w:r>
        <w:t>с</w:t>
      </w:r>
      <w:r>
        <w:t>тема управления основывается на участии народа в общественной, культурной и политической деятельности; символом этого участия являются свыше тысячи НПО, действующих в стране. Правительство признает НПО и создает для них надлежащие условия, а парламент учредил парламентский комитет по делам НПО в целях установления тесных связей между парламентом и НПО. Этот к</w:t>
      </w:r>
      <w:r>
        <w:t>о</w:t>
      </w:r>
      <w:r>
        <w:t>митет встречается с представителями НПО и заслушивает их мнения по таким вопросам, как внесение поправок в Закон о защите семьи. В парламенте был разработан план предоставления НПО юридического статуса. Этот план был частично принят парламентом, а частично требует дальнейшего рассмотрения. Парламентский комитет по делам НПО также надеется создать структуру, на которую было бы возложено запрашивание мнений НПО и общественных орг</w:t>
      </w:r>
      <w:r>
        <w:t>а</w:t>
      </w:r>
      <w:r>
        <w:t>низаций о законопроектах и предложениях, находящихся на рассмотрении па</w:t>
      </w:r>
      <w:r>
        <w:t>р</w:t>
      </w:r>
      <w:r>
        <w:t>ламента.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19.</w:t>
      </w:r>
      <w:r>
        <w:tab/>
      </w:r>
      <w:r>
        <w:rPr>
          <w:b/>
        </w:rPr>
        <w:t xml:space="preserve">Г-н Хакиме </w:t>
      </w:r>
      <w:r>
        <w:t>(Исламская Республика Иран) говорит, что в его стране чл</w:t>
      </w:r>
      <w:r>
        <w:t>е</w:t>
      </w:r>
      <w:r>
        <w:t>ны религиозных меньшинств являются такими же гражданами, как и все о</w:t>
      </w:r>
      <w:r>
        <w:t>с</w:t>
      </w:r>
      <w:r>
        <w:t>тальные, и, если они не пытаются навязать свои религиозные верования м</w:t>
      </w:r>
      <w:r>
        <w:t>у</w:t>
      </w:r>
      <w:r>
        <w:t>сульманам, у них не бывает никаких неприятностей. Это – вопрос взаимоотн</w:t>
      </w:r>
      <w:r>
        <w:t>о</w:t>
      </w:r>
      <w:r>
        <w:t>шения культур и уважения к местным традициям и законам. Этот вопрос уже обсуждался в Комитете по социальным и гуманитарным вопросам и вопросам культуры Генеральной Ассамблеи Организации Объединенных Наций и при рассмотрении универсального периодического обзора. Университет могут п</w:t>
      </w:r>
      <w:r>
        <w:t>о</w:t>
      </w:r>
      <w:r>
        <w:t>сещать студенты всех вероисповеданий, и исключаются они из него только в случае нарушения правил или общественного порядка, а не вследствие их р</w:t>
      </w:r>
      <w:r>
        <w:t>е</w:t>
      </w:r>
      <w:r>
        <w:t>лигиозных предпочтений. Община бехаистов не является самым крупным рел</w:t>
      </w:r>
      <w:r>
        <w:t>и</w:t>
      </w:r>
      <w:r>
        <w:t>гиозным меньшинством, поскольку, как уже говорилось, в нее входят около 20 000, а не 200 000 или 2 млн. человек. Бехаисты процветают: например, чл</w:t>
      </w:r>
      <w:r>
        <w:t>е</w:t>
      </w:r>
      <w:r>
        <w:t>ны общины являются владельцами заводов и заседают в торгово-промышленных палатах, а в одном из недавних юридических споров суд вынес решение в пользу бехаистской партии. Жаль, что он не знал заранее, что его спросят о беха</w:t>
      </w:r>
      <w:r>
        <w:t>и</w:t>
      </w:r>
      <w:r>
        <w:t>стах, потому что он мог бы поделиться с Комитетом обширной информацией по этому вопр</w:t>
      </w:r>
      <w:r>
        <w:t>о</w:t>
      </w:r>
      <w:r>
        <w:t>су.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20.</w:t>
      </w:r>
      <w:r>
        <w:tab/>
        <w:t>В заключение он хотел бы поблагодарить Комитет за поднятые проблемы и заданные вопросы. Делегация тщательно рассмотрела и обсудила все из них. Он обратил внимание на то, что один из членов Комитета назвал государство-участник не так, как оно называется официально. Его правительство приверж</w:t>
      </w:r>
      <w:r>
        <w:t>е</w:t>
      </w:r>
      <w:r>
        <w:t>но делу соблюдения всех своих международных обязательств в том, что касае</w:t>
      </w:r>
      <w:r>
        <w:t>т</w:t>
      </w:r>
      <w:r>
        <w:t>ся гражданских и политических прав, однако правовая система Исламской Ре</w:t>
      </w:r>
      <w:r>
        <w:t>с</w:t>
      </w:r>
      <w:r>
        <w:t>публики Иран, как и правовые системы других стран, основывается на прин</w:t>
      </w:r>
      <w:r>
        <w:t>я</w:t>
      </w:r>
      <w:r>
        <w:t>тии законов парламентом. Он настоятельно призывает органы, занимающиеся поощрением прав человека, проявлять терпение и использовать диалог для до</w:t>
      </w:r>
      <w:r>
        <w:t>с</w:t>
      </w:r>
      <w:r>
        <w:t>тижения большего взаимопонимания между всеми затронутыми сторонами, п</w:t>
      </w:r>
      <w:r>
        <w:t>о</w:t>
      </w:r>
      <w:r>
        <w:t>скольку это не только поможет добиться целей Пакта, но и будет служить делу соблюдения человеческого достоинства.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21.</w:t>
      </w:r>
      <w:r>
        <w:tab/>
      </w:r>
      <w:r>
        <w:rPr>
          <w:b/>
        </w:rPr>
        <w:t xml:space="preserve">Председатель </w:t>
      </w:r>
      <w:r>
        <w:t>отмечает, что она приветствует добрую волю, вновь пр</w:t>
      </w:r>
      <w:r>
        <w:t>о</w:t>
      </w:r>
      <w:r>
        <w:t>явленную Исламской Республикой Иран, направившей делегацию для продо</w:t>
      </w:r>
      <w:r>
        <w:t>л</w:t>
      </w:r>
      <w:r>
        <w:t>жения диалога с Комитетом. Она с удовлетворением отмечает, что государство-участник включило в свою делегацию женщин, и выражает надежду, что в сл</w:t>
      </w:r>
      <w:r>
        <w:t>е</w:t>
      </w:r>
      <w:r>
        <w:t>дующий раз в составе делегации женщин будет еще больше. На нее произвело впечатление то обстоятельство, что в настоящее время на рассмотрении парл</w:t>
      </w:r>
      <w:r>
        <w:t>а</w:t>
      </w:r>
      <w:r>
        <w:t>мента находятся самые различные законопроекты, и она выражает надежду, что они будут в скором времени приняты.</w:t>
      </w:r>
    </w:p>
    <w:p w:rsidR="00925296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</w:pPr>
      <w:r>
        <w:t>22.</w:t>
      </w:r>
      <w:r>
        <w:tab/>
        <w:t>Некоторые вопросы по-прежнему вызывают озабоченность: статус Пакта во внутреннем законодательстве; положения о равном отношении к женщинам в различных областях; права лиц с другой сексуальной ориентацией; гарантии справедливого судебного разбирательства; а также сообщения о внесудебных казнях, пытках и незаконных задержаниях. Некоторые вопросы, такие как смертная казнь, свобода выражения мнений, свобода ассоциаций и права рел</w:t>
      </w:r>
      <w:r>
        <w:t>и</w:t>
      </w:r>
      <w:r>
        <w:t>гиозных меньшинств, в частности бехаистов, по-прежнему еще не были ра</w:t>
      </w:r>
      <w:r>
        <w:t>с</w:t>
      </w:r>
      <w:r>
        <w:t>смотрены в полной мере. Поскольку ряд аспектов обсуждения остались нез</w:t>
      </w:r>
      <w:r>
        <w:t>а</w:t>
      </w:r>
      <w:r>
        <w:t>тронутыми, она выражает надежду, что государство-участник будет исходить из того, что диалог происходит на постоянной основе и не будет слишком затяг</w:t>
      </w:r>
      <w:r>
        <w:t>и</w:t>
      </w:r>
      <w:r>
        <w:t>вать с представлением своего следующего периодического доклада. Комитет будет приветствовать представление государством-участником дополнительной информации в течение следующих 48 часов.</w:t>
      </w:r>
    </w:p>
    <w:p w:rsidR="00925296" w:rsidRPr="000A33DD" w:rsidRDefault="00925296" w:rsidP="00925296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center" w:pos="4819"/>
          <w:tab w:val="left" w:pos="6863"/>
        </w:tabs>
        <w:rPr>
          <w:i/>
        </w:rPr>
      </w:pPr>
      <w:r>
        <w:rPr>
          <w:i/>
        </w:rPr>
        <w:t>Обсуждение, отраженное в кратком отчете, заканчивается в 16 ч. 45 м.</w:t>
      </w:r>
    </w:p>
    <w:p w:rsidR="0084613B" w:rsidRPr="00925296" w:rsidRDefault="0084613B" w:rsidP="00D76358"/>
    <w:sectPr w:rsidR="0084613B" w:rsidRPr="0092529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8BB" w:rsidRDefault="006038BB">
      <w:r>
        <w:rPr>
          <w:lang w:val="en-US"/>
        </w:rPr>
        <w:tab/>
      </w:r>
      <w:r>
        <w:separator/>
      </w:r>
    </w:p>
  </w:endnote>
  <w:endnote w:type="continuationSeparator" w:id="0">
    <w:p w:rsidR="006038BB" w:rsidRDefault="0060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AAF" w:rsidRPr="005F0588" w:rsidRDefault="00161AA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7946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</w:t>
    </w:r>
    <w:r w:rsidR="00E07946">
      <w:rPr>
        <w:lang w:val="en-US"/>
      </w:rPr>
      <w:t>1</w:t>
    </w:r>
    <w:r>
      <w:rPr>
        <w:lang w:val="en-US"/>
      </w:rPr>
      <w:t>-46385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AAF" w:rsidRPr="005F0588" w:rsidRDefault="00161AAF">
    <w:pPr>
      <w:pStyle w:val="Footer"/>
      <w:rPr>
        <w:lang w:val="en-US"/>
      </w:rPr>
    </w:pPr>
    <w:r>
      <w:rPr>
        <w:lang w:val="en-US"/>
      </w:rPr>
      <w:t>GE.1</w:t>
    </w:r>
    <w:r w:rsidR="00E07946">
      <w:rPr>
        <w:lang w:val="en-US"/>
      </w:rPr>
      <w:t>1</w:t>
    </w:r>
    <w:r>
      <w:rPr>
        <w:lang w:val="en-US"/>
      </w:rPr>
      <w:t>-46385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7946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AAF" w:rsidRPr="007B2C3F" w:rsidRDefault="00161AAF">
    <w:pPr>
      <w:pStyle w:val="Footer"/>
      <w:rPr>
        <w:sz w:val="20"/>
        <w:lang w:val="en-US"/>
      </w:rPr>
    </w:pPr>
    <w:r>
      <w:rPr>
        <w:sz w:val="20"/>
        <w:lang w:val="en-US"/>
      </w:rPr>
      <w:t>GE.11-46385  (R)  040912  101012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8BB" w:rsidRPr="00F71F63" w:rsidRDefault="006038B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038BB" w:rsidRPr="00F71F63" w:rsidRDefault="006038B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038BB" w:rsidRPr="00635E86" w:rsidRDefault="006038BB" w:rsidP="00635E86">
      <w:pPr>
        <w:pStyle w:val="Footer"/>
      </w:pPr>
    </w:p>
  </w:footnote>
  <w:footnote w:id="1">
    <w:p w:rsidR="00161AAF" w:rsidRDefault="00161AAF">
      <w:pPr>
        <w:pStyle w:val="FootnoteText"/>
        <w:rPr>
          <w:lang w:val="en-US"/>
        </w:rPr>
      </w:pPr>
      <w:r>
        <w:tab/>
      </w:r>
      <w:r w:rsidRPr="003A3E97">
        <w:rPr>
          <w:rStyle w:val="FootnoteReference"/>
          <w:vertAlign w:val="baseline"/>
          <w:lang w:val="ru-RU"/>
        </w:rPr>
        <w:t>*</w:t>
      </w:r>
      <w:r w:rsidRPr="003A3E97">
        <w:rPr>
          <w:lang w:val="ru-RU"/>
        </w:rPr>
        <w:t xml:space="preserve"> </w:t>
      </w:r>
      <w:r w:rsidRPr="003A3E97">
        <w:rPr>
          <w:lang w:val="ru-RU"/>
        </w:rPr>
        <w:tab/>
      </w:r>
      <w:r>
        <w:rPr>
          <w:lang w:val="ru-RU"/>
        </w:rPr>
        <w:t>Краткий отчет об остальной части заседания не составлялся.</w:t>
      </w:r>
    </w:p>
    <w:p w:rsidR="00161AAF" w:rsidRDefault="00161AAF" w:rsidP="00B101C3">
      <w:pPr>
        <w:pStyle w:val="FootnoteText"/>
        <w:pBdr>
          <w:bottom w:val="single" w:sz="4" w:space="1" w:color="auto"/>
        </w:pBdr>
        <w:tabs>
          <w:tab w:val="clear" w:pos="1021"/>
          <w:tab w:val="right" w:pos="1020"/>
        </w:tabs>
        <w:ind w:left="0" w:right="0" w:firstLine="0"/>
        <w:rPr>
          <w:lang w:val="ru-RU"/>
        </w:rPr>
      </w:pPr>
    </w:p>
    <w:p w:rsidR="00161AAF" w:rsidRDefault="00161AAF" w:rsidP="00A1157B">
      <w:pPr>
        <w:spacing w:after="120"/>
        <w:ind w:left="567" w:firstLine="567"/>
        <w:rPr>
          <w:sz w:val="18"/>
          <w:szCs w:val="18"/>
        </w:rPr>
      </w:pPr>
      <w:r>
        <w:rPr>
          <w:sz w:val="18"/>
          <w:szCs w:val="18"/>
        </w:rPr>
        <w:t>В настоящий отчет могут вноситься поправки.</w:t>
      </w:r>
    </w:p>
    <w:p w:rsidR="00161AAF" w:rsidRDefault="00161AAF" w:rsidP="00A1157B">
      <w:pPr>
        <w:pStyle w:val="FootnoteText"/>
        <w:spacing w:after="120"/>
        <w:rPr>
          <w:szCs w:val="18"/>
        </w:rPr>
      </w:pPr>
      <w:r>
        <w:rPr>
          <w:szCs w:val="18"/>
        </w:rPr>
        <w:tab/>
      </w:r>
      <w:r>
        <w:rPr>
          <w:szCs w:val="18"/>
        </w:rPr>
        <w:tab/>
      </w:r>
      <w:r w:rsidRPr="001E7F92">
        <w:rPr>
          <w:szCs w:val="18"/>
          <w:lang w:val="ru-RU"/>
        </w:rPr>
        <w:t xml:space="preserve">Поправки должны представляться на одном из рабочих языков. </w:t>
      </w:r>
      <w:r>
        <w:rPr>
          <w:szCs w:val="18"/>
        </w:rPr>
        <w:t xml:space="preserve">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i/>
          <w:szCs w:val="18"/>
        </w:rPr>
        <w:t>в течение одной недели с момента выпуска настоящего документа</w:t>
      </w:r>
      <w:r>
        <w:rPr>
          <w:szCs w:val="18"/>
        </w:rPr>
        <w:t xml:space="preserve"> в Группу издания официальных документов, комната E.4108, Дворец Наций, Женева.</w:t>
      </w:r>
    </w:p>
    <w:p w:rsidR="00161AAF" w:rsidRPr="00B101C3" w:rsidRDefault="00161AAF" w:rsidP="00B101C3">
      <w:pPr>
        <w:pStyle w:val="FootnoteText"/>
        <w:rPr>
          <w:lang w:val="ru-RU"/>
        </w:rPr>
      </w:pPr>
      <w:r>
        <w:rPr>
          <w:szCs w:val="18"/>
          <w:lang w:val="en-US"/>
        </w:rPr>
        <w:tab/>
      </w:r>
      <w:r>
        <w:rPr>
          <w:szCs w:val="18"/>
          <w:lang w:val="en-US"/>
        </w:rPr>
        <w:tab/>
      </w:r>
      <w:r w:rsidRPr="00B101C3">
        <w:rPr>
          <w:szCs w:val="18"/>
          <w:lang w:val="ru-RU"/>
        </w:rPr>
        <w:t>Любые поправки к отчетам об открытых заседаниях Комитета на данной сессии будут сведены в ед</w:t>
      </w:r>
      <w:r w:rsidRPr="00B101C3">
        <w:rPr>
          <w:szCs w:val="18"/>
          <w:lang w:val="ru-RU"/>
        </w:rPr>
        <w:t>и</w:t>
      </w:r>
      <w:r w:rsidRPr="00B101C3">
        <w:rPr>
          <w:szCs w:val="18"/>
          <w:lang w:val="ru-RU"/>
        </w:rPr>
        <w:t>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AAF" w:rsidRPr="005F0588" w:rsidRDefault="00161AAF">
    <w:pPr>
      <w:pStyle w:val="Header"/>
      <w:rPr>
        <w:lang w:val="en-US"/>
      </w:rPr>
    </w:pPr>
    <w:r>
      <w:rPr>
        <w:lang w:val="en-US"/>
      </w:rPr>
      <w:t>CCPR/C/SR.2836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AAF" w:rsidRPr="005F0588" w:rsidRDefault="00161AAF">
    <w:pPr>
      <w:pStyle w:val="Header"/>
      <w:rPr>
        <w:lang w:val="en-US"/>
      </w:rPr>
    </w:pPr>
    <w:r>
      <w:rPr>
        <w:lang w:val="en-US"/>
      </w:rPr>
      <w:tab/>
      <w:t>CCPR/C/SR.2836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78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61AAF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7F92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7B4B"/>
    <w:rsid w:val="0033244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3E97"/>
    <w:rsid w:val="003B18B0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50E"/>
    <w:rsid w:val="004C3B35"/>
    <w:rsid w:val="004C43EC"/>
    <w:rsid w:val="004E6729"/>
    <w:rsid w:val="004F0E47"/>
    <w:rsid w:val="0051339C"/>
    <w:rsid w:val="0051412F"/>
    <w:rsid w:val="00522B6F"/>
    <w:rsid w:val="0052430E"/>
    <w:rsid w:val="005243B1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38B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462F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543AD"/>
    <w:rsid w:val="00861C52"/>
    <w:rsid w:val="00864789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296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3CB5"/>
    <w:rsid w:val="009E6279"/>
    <w:rsid w:val="009F00A6"/>
    <w:rsid w:val="009F56A7"/>
    <w:rsid w:val="009F5B05"/>
    <w:rsid w:val="00A026CA"/>
    <w:rsid w:val="00A07232"/>
    <w:rsid w:val="00A1157B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01C3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AE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07946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4F9D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46E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2897</Words>
  <Characters>16513</Characters>
  <Application>Microsoft Office Word</Application>
  <DocSecurity>4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19372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Larisa Maykovskaya</cp:lastModifiedBy>
  <cp:revision>3</cp:revision>
  <cp:lastPrinted>2012-10-10T11:00:00Z</cp:lastPrinted>
  <dcterms:created xsi:type="dcterms:W3CDTF">2012-10-10T10:59:00Z</dcterms:created>
  <dcterms:modified xsi:type="dcterms:W3CDTF">2012-10-10T11:01:00Z</dcterms:modified>
</cp:coreProperties>
</file>