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B85" w:rsidRDefault="00623B85" w:rsidP="00623B85">
      <w:pPr>
        <w:spacing w:line="240" w:lineRule="auto"/>
        <w:jc w:val="left"/>
        <w:rPr>
          <w:szCs w:val="6"/>
          <w:rtl/>
        </w:rPr>
        <w:sectPr w:rsidR="00623B85" w:rsidSect="00623B8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8&amp;Size =1&amp;Lang = A"/>
            <w10:wrap anchorx="page" anchory="page"/>
          </v:shape>
        </w:pict>
      </w:r>
    </w:p>
    <w:p w:rsidR="002F0573" w:rsidRDefault="00015718" w:rsidP="00686FF2">
      <w:pPr>
        <w:pStyle w:val="H1"/>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5377">
        <w:rPr>
          <w:rtl/>
        </w:rPr>
        <w:t>اللجنة المعنية بالقضاء على التمييز ضد المرأة</w:t>
      </w:r>
    </w:p>
    <w:p w:rsidR="00B463A1" w:rsidRPr="00B463A1" w:rsidRDefault="00B463A1" w:rsidP="00B463A1">
      <w:pPr>
        <w:pStyle w:val="SingleTxt"/>
        <w:spacing w:after="0" w:line="120" w:lineRule="exact"/>
        <w:rPr>
          <w:sz w:val="10"/>
          <w:rtl/>
        </w:rPr>
      </w:pPr>
    </w:p>
    <w:p w:rsidR="00B463A1" w:rsidRPr="00B463A1" w:rsidRDefault="00B463A1" w:rsidP="00B463A1">
      <w:pPr>
        <w:pStyle w:val="SingleTxt"/>
        <w:spacing w:after="0" w:line="120" w:lineRule="exact"/>
        <w:rPr>
          <w:sz w:val="10"/>
          <w:rtl/>
        </w:rPr>
      </w:pPr>
    </w:p>
    <w:p w:rsidR="00D20605" w:rsidRPr="00353E0D" w:rsidRDefault="00D20605" w:rsidP="00D20605">
      <w:pPr>
        <w:framePr w:w="9792" w:h="432" w:hSpace="187" w:wrap="around" w:hAnchor="page" w:x="1196" w:yAlign="bottom"/>
        <w:spacing w:line="240" w:lineRule="auto"/>
        <w:rPr>
          <w:szCs w:val="10"/>
          <w:rtl/>
        </w:rPr>
      </w:pPr>
    </w:p>
    <w:p w:rsidR="00D20605" w:rsidRPr="00353E0D" w:rsidRDefault="00D20605" w:rsidP="00D20605">
      <w:pPr>
        <w:framePr w:w="9792" w:h="432" w:hSpace="187" w:wrap="around" w:hAnchor="page" w:x="1196" w:yAlign="bottom"/>
        <w:spacing w:line="240" w:lineRule="auto"/>
        <w:rPr>
          <w:szCs w:val="6"/>
          <w:rtl/>
        </w:rPr>
      </w:pPr>
    </w:p>
    <w:p w:rsidR="00D20605" w:rsidRPr="00353E0D" w:rsidRDefault="00D20605" w:rsidP="00634682">
      <w:pPr>
        <w:framePr w:w="9792" w:h="432" w:hSpace="187" w:wrap="around" w:hAnchor="page" w:x="1196" w:yAlign="bottom"/>
        <w:tabs>
          <w:tab w:val="right" w:pos="1195"/>
        </w:tabs>
        <w:spacing w:after="80" w:line="300" w:lineRule="exact"/>
        <w:ind w:left="1267" w:right="1267" w:hanging="547"/>
        <w:rPr>
          <w:rFonts w:hint="cs"/>
          <w:sz w:val="17"/>
          <w:szCs w:val="26"/>
        </w:rPr>
      </w:pPr>
      <w:r>
        <w:rPr>
          <w:noProof/>
          <w:w w:val="100"/>
        </w:rPr>
        <w:pict>
          <v:line id="_x0000_s1028" style="position:absolute;left:0;text-align:left;z-index:2" from="396pt,-1pt" to="468pt,-1pt"/>
        </w:pict>
      </w:r>
      <w:r>
        <w:rPr>
          <w:rFonts w:hint="cs"/>
          <w:sz w:val="17"/>
          <w:szCs w:val="26"/>
          <w:rtl/>
        </w:rPr>
        <w:tab/>
        <w:t>*</w:t>
      </w:r>
      <w:r>
        <w:rPr>
          <w:rFonts w:hint="cs"/>
          <w:sz w:val="17"/>
          <w:szCs w:val="26"/>
          <w:rtl/>
        </w:rPr>
        <w:tab/>
      </w:r>
      <w:r>
        <w:rPr>
          <w:rFonts w:hint="cs"/>
          <w:sz w:val="12"/>
          <w:szCs w:val="26"/>
          <w:rtl/>
        </w:rPr>
        <w:t>اعتمدها الفريق العامل لما قبل الدورة التاسعة والخمسين في اجتماعه المعقود في الفترة من 3 إلى 7</w:t>
      </w:r>
      <w:r w:rsidR="00634682">
        <w:rPr>
          <w:rFonts w:hint="eastAsia"/>
          <w:sz w:val="12"/>
          <w:szCs w:val="26"/>
        </w:rPr>
        <w:t> </w:t>
      </w:r>
      <w:r>
        <w:rPr>
          <w:rFonts w:hint="cs"/>
          <w:sz w:val="12"/>
          <w:szCs w:val="26"/>
          <w:rtl/>
        </w:rPr>
        <w:t>آذار/مارس 2014.</w:t>
      </w:r>
    </w:p>
    <w:p w:rsidR="000D359B" w:rsidRPr="002C5377" w:rsidRDefault="000D359B" w:rsidP="00686FF2">
      <w:pPr>
        <w:pStyle w:val="HCh"/>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5377">
        <w:rPr>
          <w:rFonts w:hint="cs"/>
          <w:rtl/>
        </w:rPr>
        <w:tab/>
      </w:r>
      <w:r w:rsidRPr="002C5377">
        <w:rPr>
          <w:rFonts w:hint="cs"/>
          <w:rtl/>
        </w:rPr>
        <w:tab/>
      </w:r>
      <w:r w:rsidRPr="002C5377">
        <w:rPr>
          <w:rtl/>
        </w:rPr>
        <w:t>قائمة القضايا والأسئلة الم</w:t>
      </w:r>
      <w:r w:rsidRPr="002C5377">
        <w:rPr>
          <w:rFonts w:hint="cs"/>
          <w:rtl/>
        </w:rPr>
        <w:t xml:space="preserve">طروحة فيما يتعلق </w:t>
      </w:r>
      <w:r>
        <w:rPr>
          <w:rFonts w:hint="cs"/>
          <w:rtl/>
        </w:rPr>
        <w:t>بالتقرير الجامع للتقريرين الدوريين السابع والثامن ل</w:t>
      </w:r>
      <w:bookmarkStart w:id="1" w:name="TmpSave"/>
      <w:bookmarkEnd w:id="1"/>
      <w:r>
        <w:rPr>
          <w:rFonts w:hint="cs"/>
          <w:rtl/>
        </w:rPr>
        <w:t>بولندا</w:t>
      </w:r>
      <w:r w:rsidRPr="00A842BC">
        <w:rPr>
          <w:rFonts w:hint="cs"/>
          <w:sz w:val="20"/>
          <w:szCs w:val="30"/>
          <w:rtl/>
        </w:rPr>
        <w:t>*</w:t>
      </w:r>
    </w:p>
    <w:p w:rsidR="000D359B" w:rsidRPr="00E25208" w:rsidRDefault="000D359B" w:rsidP="000D359B">
      <w:pPr>
        <w:pStyle w:val="SingleTxt"/>
        <w:spacing w:after="0" w:line="120" w:lineRule="exact"/>
        <w:rPr>
          <w:rFonts w:hint="cs"/>
          <w:b/>
          <w:bCs/>
          <w:sz w:val="10"/>
          <w:rtl/>
        </w:rPr>
      </w:pPr>
    </w:p>
    <w:p w:rsidR="000D359B" w:rsidRPr="009476B3" w:rsidRDefault="000D359B"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476B3">
        <w:rPr>
          <w:rtl/>
        </w:rPr>
        <w:t>الإطار التشريعي</w:t>
      </w:r>
      <w:r w:rsidR="00647B5D">
        <w:rPr>
          <w:rtl/>
        </w:rPr>
        <w:t xml:space="preserve"> </w:t>
      </w:r>
      <w:r>
        <w:rPr>
          <w:rFonts w:hint="cs"/>
          <w:rtl/>
          <w:lang w:bidi="ar-SY"/>
        </w:rPr>
        <w:t>والمؤسسي</w:t>
      </w:r>
      <w:r w:rsidRPr="009476B3">
        <w:rPr>
          <w:rtl/>
        </w:rPr>
        <w:t xml:space="preserve"> وال</w:t>
      </w:r>
      <w:r>
        <w:rPr>
          <w:rFonts w:hint="cs"/>
          <w:rtl/>
        </w:rPr>
        <w:t>وصول إلى العدالة</w:t>
      </w:r>
    </w:p>
    <w:p w:rsidR="000D359B" w:rsidRDefault="000D359B" w:rsidP="000D359B">
      <w:pPr>
        <w:pStyle w:val="SingleTxt"/>
        <w:rPr>
          <w:rFonts w:hint="cs"/>
          <w:rtl/>
        </w:rPr>
      </w:pPr>
      <w:r w:rsidRPr="002C5377">
        <w:rPr>
          <w:rFonts w:hint="cs"/>
          <w:rtl/>
        </w:rPr>
        <w:t>1 -</w:t>
      </w:r>
      <w:r>
        <w:rPr>
          <w:rFonts w:hint="cs"/>
          <w:rtl/>
        </w:rPr>
        <w:tab/>
      </w:r>
      <w:r w:rsidRPr="002C5377">
        <w:rPr>
          <w:rtl/>
        </w:rPr>
        <w:t>يرجى</w:t>
      </w:r>
      <w:r>
        <w:rPr>
          <w:rFonts w:hint="cs"/>
          <w:rtl/>
        </w:rPr>
        <w:t xml:space="preserve"> بيان ما إذا كانت الدولة الطرف قد اعتمدت قانونا شاملا لمناهضة التمييز يحتوي على تعريف للتمييز ضد المرأة وفقا للمادة 1 من الاتفاقية، يشمل كلا من التمييز المباشر وغير المباشر ويغطي جميع المجالات المشمولة بالاتفاقية. يرجى الإشارة إلى الإجراءات التي وضعت موضع التطبيق من أجل تنفيذ التشريع المناهض للتمييز ورصده وإنفاذه بصورة فعالة. يرجى تقديم معلومات عن أي حالة لجأ فيها الأفراد إلى الاحتجاج بالاتفاقية أو تم تطبيقها مباشرة أو أشير إليها في إجراءات المحاكم في الدولة الطرف.</w:t>
      </w:r>
    </w:p>
    <w:p w:rsidR="000D359B" w:rsidRDefault="000D359B" w:rsidP="000D359B">
      <w:pPr>
        <w:pStyle w:val="SingleTxt"/>
      </w:pPr>
      <w:r>
        <w:rPr>
          <w:rFonts w:hint="cs"/>
          <w:rtl/>
        </w:rPr>
        <w:t>2 -</w:t>
      </w:r>
      <w:r>
        <w:rPr>
          <w:rFonts w:hint="cs"/>
          <w:rtl/>
        </w:rPr>
        <w:tab/>
        <w:t xml:space="preserve">نظرا لعدم وجود معلومات في تقرير الدولة الطرف، يرجى بيان عدد الشكاوى التي قدمتها نساء إلى المدافع عن حقوق الإنسان خلال الفترة المشمولة بالتقرير بشأن الادعاء بالتمييز بسبب نوع الجنس والنتيجة التي آلت إليها. يرجى </w:t>
      </w:r>
      <w:r w:rsidRPr="00424002">
        <w:rPr>
          <w:rtl/>
        </w:rPr>
        <w:t>بيان ما</w:t>
      </w:r>
      <w:r>
        <w:rPr>
          <w:rtl/>
        </w:rPr>
        <w:t xml:space="preserve"> إذا توف</w:t>
      </w:r>
      <w:r w:rsidRPr="00424002">
        <w:rPr>
          <w:rtl/>
        </w:rPr>
        <w:t xml:space="preserve">رت أي سبل انتصاف </w:t>
      </w:r>
      <w:r>
        <w:rPr>
          <w:rFonts w:hint="cs"/>
          <w:rtl/>
        </w:rPr>
        <w:t>ل</w:t>
      </w:r>
      <w:r w:rsidRPr="00424002">
        <w:rPr>
          <w:rtl/>
        </w:rPr>
        <w:t>لضحايا في القضايا التي ثبت فيها وقوع انتهاك</w:t>
      </w:r>
      <w:r>
        <w:rPr>
          <w:rtl/>
        </w:rPr>
        <w:t>.</w:t>
      </w:r>
      <w:r>
        <w:rPr>
          <w:rFonts w:hint="cs"/>
          <w:rtl/>
        </w:rPr>
        <w:t xml:space="preserve"> يرجى تقديم معلومات عن الخطوات المتخذة لتعزيز ولاية المدافع عن حقوق الإنسان </w:t>
      </w:r>
      <w:r w:rsidRPr="00424002">
        <w:rPr>
          <w:rtl/>
        </w:rPr>
        <w:t>مع الامتثال الكامل للمبادئ المتصلة بمركز المؤسسات الوطنية لتعزيز وحماية حقوق الإنسان</w:t>
      </w:r>
      <w:r>
        <w:rPr>
          <w:rFonts w:hint="cs"/>
          <w:rtl/>
        </w:rPr>
        <w:t xml:space="preserve"> (مبادئ باريس)، بما في ذلك توفير موارد مالية وبشرية كافية.</w:t>
      </w:r>
    </w:p>
    <w:p w:rsidR="000D359B" w:rsidRDefault="000D359B" w:rsidP="000D359B">
      <w:pPr>
        <w:pStyle w:val="SingleTxt"/>
        <w:rPr>
          <w:rtl/>
        </w:rPr>
      </w:pPr>
    </w:p>
    <w:p w:rsidR="000D359B" w:rsidRDefault="000D359B" w:rsidP="00686FF2">
      <w:pPr>
        <w:pStyle w:val="SingleTxt"/>
        <w:rPr>
          <w:rFonts w:hint="cs"/>
          <w:rtl/>
        </w:rPr>
      </w:pPr>
      <w:r>
        <w:rPr>
          <w:rFonts w:hint="cs"/>
          <w:rtl/>
        </w:rPr>
        <w:t>3 -</w:t>
      </w:r>
      <w:r>
        <w:rPr>
          <w:rFonts w:hint="cs"/>
          <w:rtl/>
        </w:rPr>
        <w:tab/>
      </w:r>
      <w:r>
        <w:rPr>
          <w:rtl/>
        </w:rPr>
        <w:t>ي</w:t>
      </w:r>
      <w:r w:rsidRPr="006E3254">
        <w:rPr>
          <w:rtl/>
        </w:rPr>
        <w:t xml:space="preserve">رجى الإشارة إلى كيفية قيام الدولة الطرف بتعزيز وعي ومعرفة </w:t>
      </w:r>
      <w:r>
        <w:rPr>
          <w:rFonts w:hint="cs"/>
          <w:rtl/>
        </w:rPr>
        <w:t>النساء</w:t>
      </w:r>
      <w:r w:rsidRPr="006E3254">
        <w:rPr>
          <w:rtl/>
        </w:rPr>
        <w:t>، ولا سيما المنتمي</w:t>
      </w:r>
      <w:r>
        <w:rPr>
          <w:rFonts w:hint="cs"/>
          <w:rtl/>
        </w:rPr>
        <w:t>ات</w:t>
      </w:r>
      <w:r w:rsidRPr="006E3254">
        <w:rPr>
          <w:rtl/>
        </w:rPr>
        <w:t xml:space="preserve"> إلى أشد الفئات حرماناً، </w:t>
      </w:r>
      <w:r>
        <w:rPr>
          <w:rFonts w:hint="cs"/>
          <w:rtl/>
        </w:rPr>
        <w:t>ك</w:t>
      </w:r>
      <w:r w:rsidRPr="006E3254">
        <w:rPr>
          <w:rtl/>
        </w:rPr>
        <w:t>النساء في المناطق الريفية</w:t>
      </w:r>
      <w:r>
        <w:rPr>
          <w:rFonts w:hint="cs"/>
          <w:rtl/>
        </w:rPr>
        <w:t>، والمهاجرات ونساء طائفة الروما</w:t>
      </w:r>
      <w:r w:rsidRPr="00424002">
        <w:rPr>
          <w:rtl/>
        </w:rPr>
        <w:t xml:space="preserve"> </w:t>
      </w:r>
      <w:r>
        <w:rPr>
          <w:rFonts w:hint="cs"/>
          <w:rtl/>
        </w:rPr>
        <w:t>وملتمسات اللجوء واللاجئات، بحقوقهن بموجب الاتفاقية والتشريع الوطني ذي</w:t>
      </w:r>
      <w:r w:rsidR="00686FF2">
        <w:rPr>
          <w:rFonts w:hint="eastAsia"/>
          <w:rtl/>
        </w:rPr>
        <w:t> </w:t>
      </w:r>
      <w:r>
        <w:rPr>
          <w:rFonts w:hint="cs"/>
          <w:rtl/>
        </w:rPr>
        <w:t>الصلة.</w:t>
      </w:r>
    </w:p>
    <w:p w:rsidR="00686FF2" w:rsidRPr="00686FF2" w:rsidRDefault="00686FF2" w:rsidP="00686FF2">
      <w:pPr>
        <w:pStyle w:val="SingleTxt"/>
        <w:spacing w:after="0" w:line="120" w:lineRule="exact"/>
        <w:rPr>
          <w:rFonts w:hint="cs"/>
          <w:b/>
          <w:bCs/>
          <w:sz w:val="10"/>
          <w:rtl/>
        </w:rPr>
      </w:pPr>
    </w:p>
    <w:p w:rsidR="000D359B" w:rsidRDefault="00686FF2"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D359B" w:rsidRPr="002C5377">
        <w:rPr>
          <w:rFonts w:hint="cs"/>
          <w:rtl/>
        </w:rPr>
        <w:t>الآلية الوطنية</w:t>
      </w:r>
      <w:r w:rsidR="000D359B">
        <w:rPr>
          <w:rFonts w:hint="cs"/>
          <w:rtl/>
        </w:rPr>
        <w:t xml:space="preserve"> للنهوض بالمرأة</w:t>
      </w:r>
    </w:p>
    <w:p w:rsidR="000D359B" w:rsidRDefault="000D359B" w:rsidP="000D359B">
      <w:pPr>
        <w:pStyle w:val="SingleTxt"/>
        <w:rPr>
          <w:rFonts w:hint="cs"/>
          <w:rtl/>
        </w:rPr>
      </w:pPr>
      <w:r w:rsidRPr="006E3254">
        <w:rPr>
          <w:rFonts w:hint="cs"/>
          <w:rtl/>
        </w:rPr>
        <w:t>4 -</w:t>
      </w:r>
      <w:r w:rsidRPr="006E3254">
        <w:rPr>
          <w:rFonts w:hint="cs"/>
          <w:rtl/>
        </w:rPr>
        <w:tab/>
      </w:r>
      <w:r>
        <w:rPr>
          <w:rFonts w:hint="cs"/>
          <w:rtl/>
        </w:rPr>
        <w:t xml:space="preserve">يرجى بيان تأثير </w:t>
      </w:r>
      <w:r w:rsidRPr="006E3254">
        <w:rPr>
          <w:rtl/>
        </w:rPr>
        <w:t>المفوض</w:t>
      </w:r>
      <w:r>
        <w:rPr>
          <w:rtl/>
        </w:rPr>
        <w:t xml:space="preserve"> الحكومي</w:t>
      </w:r>
      <w:r>
        <w:rPr>
          <w:rFonts w:hint="cs"/>
          <w:rtl/>
        </w:rPr>
        <w:t xml:space="preserve"> المعني</w:t>
      </w:r>
      <w:r w:rsidRPr="006E3254">
        <w:rPr>
          <w:rtl/>
        </w:rPr>
        <w:t xml:space="preserve"> </w:t>
      </w:r>
      <w:r>
        <w:rPr>
          <w:rFonts w:hint="cs"/>
          <w:rtl/>
        </w:rPr>
        <w:t>با</w:t>
      </w:r>
      <w:r w:rsidRPr="006E3254">
        <w:rPr>
          <w:rtl/>
        </w:rPr>
        <w:t>لمساواة في المعاملة</w:t>
      </w:r>
      <w:r>
        <w:rPr>
          <w:rFonts w:hint="cs"/>
          <w:rtl/>
        </w:rPr>
        <w:t xml:space="preserve"> وتوضيح التشريعات والمبادرات التي اتخذت في مجال السياسة العامة بشأن حقوق المرأة والمساواة بين الجنسين وتمكين المرأة خلال الفترة المشمولة بالتقر</w:t>
      </w:r>
      <w:r w:rsidR="00943642">
        <w:rPr>
          <w:rFonts w:hint="cs"/>
          <w:rtl/>
        </w:rPr>
        <w:t>ير</w:t>
      </w:r>
      <w:r>
        <w:rPr>
          <w:rFonts w:hint="cs"/>
          <w:rtl/>
        </w:rPr>
        <w:t xml:space="preserve"> (</w:t>
      </w:r>
      <w:hyperlink r:id="rId14" w:history="1">
        <w:r w:rsidRPr="00AE2142">
          <w:rPr>
            <w:rStyle w:val="Hyperlink"/>
          </w:rPr>
          <w:t>CEDAW/C/POL/7-8</w:t>
        </w:r>
      </w:hyperlink>
      <w:r w:rsidRPr="00691755">
        <w:rPr>
          <w:rFonts w:hint="cs"/>
          <w:rtl/>
        </w:rPr>
        <w:t>، الفقرة 15)</w:t>
      </w:r>
      <w:r w:rsidRPr="000D359B">
        <w:rPr>
          <w:vertAlign w:val="superscript"/>
          <w:rtl/>
        </w:rPr>
        <w:t>(</w:t>
      </w:r>
      <w:r w:rsidRPr="000D359B">
        <w:rPr>
          <w:rStyle w:val="FootnoteReference"/>
          <w:szCs w:val="30"/>
          <w:rtl/>
        </w:rPr>
        <w:footnoteReference w:id="1"/>
      </w:r>
      <w:r w:rsidRPr="000D359B">
        <w:rPr>
          <w:vertAlign w:val="superscript"/>
          <w:rtl/>
        </w:rPr>
        <w:t>)</w:t>
      </w:r>
      <w:r>
        <w:rPr>
          <w:rFonts w:hint="cs"/>
          <w:rtl/>
        </w:rPr>
        <w:t xml:space="preserve">. </w:t>
      </w:r>
      <w:r w:rsidRPr="00691755">
        <w:rPr>
          <w:rFonts w:hint="cs"/>
          <w:rtl/>
        </w:rPr>
        <w:t>يرجى بيان ما إذا</w:t>
      </w:r>
      <w:r w:rsidR="00647B5D">
        <w:rPr>
          <w:rFonts w:hint="cs"/>
          <w:rtl/>
        </w:rPr>
        <w:t xml:space="preserve"> </w:t>
      </w:r>
      <w:r w:rsidRPr="00691755">
        <w:rPr>
          <w:rFonts w:hint="cs"/>
          <w:rtl/>
        </w:rPr>
        <w:t>كانت الدولة الطرف تعتزم</w:t>
      </w:r>
      <w:r>
        <w:rPr>
          <w:rFonts w:hint="cs"/>
          <w:rtl/>
        </w:rPr>
        <w:t xml:space="preserve"> إنشاء هيئة حكومية دائمة مسؤولة بوجه خاص عن حقوق المرأة والمساواة بين الجنسين وتمكين المرأة وكفالة تزويدها بما يكفي من الموارد المالية والبشرية من أجل تنفيذ خطة العمل الوطنية للمساواة في المعاملة.</w:t>
      </w:r>
    </w:p>
    <w:p w:rsidR="000D359B" w:rsidRDefault="000D359B" w:rsidP="00943642">
      <w:pPr>
        <w:pStyle w:val="SingleTxt"/>
        <w:rPr>
          <w:rFonts w:hint="cs"/>
          <w:rtl/>
        </w:rPr>
      </w:pPr>
      <w:r>
        <w:rPr>
          <w:rFonts w:hint="cs"/>
          <w:rtl/>
        </w:rPr>
        <w:t>5 -</w:t>
      </w:r>
      <w:r>
        <w:rPr>
          <w:rFonts w:hint="cs"/>
          <w:rtl/>
        </w:rPr>
        <w:tab/>
        <w:t>في ضوء الملاحظات الختامية السابقة للجنة (</w:t>
      </w:r>
      <w:hyperlink r:id="rId15" w:history="1">
        <w:r w:rsidRPr="00AE2142">
          <w:rPr>
            <w:rStyle w:val="Hyperlink"/>
            <w:szCs w:val="20"/>
          </w:rPr>
          <w:t>CEDAW/C/POL/CO/6</w:t>
        </w:r>
      </w:hyperlink>
      <w:r w:rsidRPr="003B7456">
        <w:rPr>
          <w:rFonts w:hint="cs"/>
          <w:rtl/>
        </w:rPr>
        <w:t>، الفقرتان</w:t>
      </w:r>
      <w:r w:rsidR="00943642">
        <w:rPr>
          <w:rFonts w:hint="eastAsia"/>
          <w:rtl/>
        </w:rPr>
        <w:t> </w:t>
      </w:r>
      <w:r w:rsidRPr="003B7456">
        <w:rPr>
          <w:rFonts w:hint="cs"/>
          <w:rtl/>
        </w:rPr>
        <w:t>12</w:t>
      </w:r>
      <w:r w:rsidR="00943642">
        <w:rPr>
          <w:rFonts w:hint="eastAsia"/>
          <w:rtl/>
        </w:rPr>
        <w:t> </w:t>
      </w:r>
      <w:r w:rsidRPr="003B7456">
        <w:rPr>
          <w:rFonts w:hint="cs"/>
          <w:rtl/>
        </w:rPr>
        <w:t>و</w:t>
      </w:r>
      <w:r w:rsidR="00093DAC">
        <w:rPr>
          <w:rFonts w:hint="cs"/>
          <w:rtl/>
        </w:rPr>
        <w:t xml:space="preserve"> </w:t>
      </w:r>
      <w:r w:rsidRPr="003B7456">
        <w:rPr>
          <w:rFonts w:hint="cs"/>
          <w:rtl/>
        </w:rPr>
        <w:t>13)</w:t>
      </w:r>
      <w:r>
        <w:rPr>
          <w:rFonts w:hint="cs"/>
          <w:rtl/>
        </w:rPr>
        <w:t>، يرجى بيان ما إذا كان يجري تنفيذ أو وضع خطة عمل وطنية للمرأة. يرجى تقديم معلومات عن كيفية كفالة تنفيذ استراتيجيات تعميم مراعاة المنظور الجنساني في جميع الوزارات والوكالات الحكومية، بما في ذلك عن طريق آلية التنسيق بين المفوض الحكومي والوزارات، والتعليق على استراتيجيات تعميم مراعاة المنظور الجنساني على الصعيدين الوطني والإقليمي وعلى صعيد البلديات في جميع المجالات المشمولة بالاتفاقية (الفقرة 17).</w:t>
      </w:r>
    </w:p>
    <w:p w:rsidR="00686FF2" w:rsidRPr="00686FF2" w:rsidRDefault="00686FF2" w:rsidP="00686FF2">
      <w:pPr>
        <w:pStyle w:val="SingleTxt"/>
        <w:spacing w:after="0" w:line="120" w:lineRule="exact"/>
        <w:rPr>
          <w:rFonts w:hint="cs"/>
          <w:b/>
          <w:bCs/>
          <w:sz w:val="10"/>
          <w:rtl/>
        </w:rPr>
      </w:pPr>
    </w:p>
    <w:p w:rsidR="000D359B" w:rsidRPr="006518A0" w:rsidRDefault="00686FF2"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D359B" w:rsidRPr="006518A0">
        <w:rPr>
          <w:rFonts w:hint="cs"/>
          <w:rtl/>
        </w:rPr>
        <w:t>التدابير الخاصة</w:t>
      </w:r>
      <w:r w:rsidR="000D359B" w:rsidRPr="002C5352">
        <w:rPr>
          <w:rFonts w:hint="cs"/>
          <w:rtl/>
        </w:rPr>
        <w:t xml:space="preserve"> </w:t>
      </w:r>
      <w:r w:rsidR="000D359B" w:rsidRPr="006518A0">
        <w:rPr>
          <w:rFonts w:hint="cs"/>
          <w:rtl/>
        </w:rPr>
        <w:t>المؤقتة</w:t>
      </w:r>
    </w:p>
    <w:p w:rsidR="000D359B" w:rsidRDefault="000D359B" w:rsidP="000D359B">
      <w:pPr>
        <w:pStyle w:val="SingleTxt"/>
        <w:rPr>
          <w:rFonts w:hint="cs"/>
          <w:rtl/>
        </w:rPr>
      </w:pPr>
      <w:r>
        <w:rPr>
          <w:rFonts w:hint="cs"/>
          <w:rtl/>
        </w:rPr>
        <w:t>6 -</w:t>
      </w:r>
      <w:r>
        <w:rPr>
          <w:rFonts w:hint="cs"/>
          <w:rtl/>
        </w:rPr>
        <w:tab/>
        <w:t>نظرا لعدم وجود معلومات في تقرير الدولة الطرف، يرجى بيان الإجراءات التي تم اتخاذها من أجل تطبيق التدابير الخاصة المؤقتة عملا بالمادة 4 (1) من الاتفاقية. يرجى بيان التدابير الخاصة المؤقتة المعمول بها حاليا لزيادة توظيف النساء، بما في ذلك المنتميات إلى فئات النساء المحرومات، وتمثيل المرأة في مناصب صنع القرار والوظائف التي يتم شغلها بالانتخاب. يرجى بيان التدابير التي اتخذت لتحسين المساواة في التمثيل في مجالس الإدارة والإشراف للشركات العامة والخاصة. يرجى تقديم معلومات عن طابع المؤشر الجنساني والغرض منه واستخدامه في أمكنة العمل، ولا سيما في الإدارة العامة (الفقرة 28).</w:t>
      </w:r>
    </w:p>
    <w:p w:rsidR="000D359B" w:rsidRPr="00853E40"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D359B">
        <w:rPr>
          <w:rFonts w:hint="cs"/>
          <w:rtl/>
        </w:rPr>
        <w:t>القوالب</w:t>
      </w:r>
      <w:r w:rsidR="000D359B" w:rsidRPr="00853E40">
        <w:rPr>
          <w:rFonts w:hint="cs"/>
          <w:rtl/>
        </w:rPr>
        <w:t xml:space="preserve"> النمطية</w:t>
      </w:r>
    </w:p>
    <w:p w:rsidR="000D359B" w:rsidRDefault="000D359B" w:rsidP="00686FF2">
      <w:pPr>
        <w:pStyle w:val="SingleTxt"/>
        <w:rPr>
          <w:rFonts w:hint="cs"/>
          <w:rtl/>
        </w:rPr>
      </w:pPr>
      <w:r>
        <w:rPr>
          <w:rFonts w:hint="cs"/>
          <w:rtl/>
        </w:rPr>
        <w:t>7 -</w:t>
      </w:r>
      <w:r>
        <w:rPr>
          <w:rFonts w:hint="cs"/>
          <w:rtl/>
        </w:rPr>
        <w:tab/>
        <w:t>يرجى تقديم معلومات عن تقييم أثر حملات التوعية والتثقيف الموصوفة في التقرير والتي ترمي إلى التصدي للتنميط الجنساني، مع التركيز على المشاريع التي تم الاضطلاع بها أثناء الفترة المشمولة بالتقرير في المجالات غير المتصلة بالعمل والمهنة (الفقرات 38-41). كما يرجى بيان الطرق التي تصدت بها هذه الحملات للقضاء على القوالب النمطية الملازمة للأشكال المتعددة للتمييز الذي تواجهه مختلف الفئات المحرومة من النساء والفتيات بسبب الانتماء العرقي أو العمر أو الإعاقة أو غير ذلك من الخصائص.</w:t>
      </w:r>
    </w:p>
    <w:p w:rsidR="000D359B" w:rsidRDefault="000D359B" w:rsidP="00686FF2">
      <w:pPr>
        <w:pStyle w:val="SingleTxt"/>
        <w:rPr>
          <w:rFonts w:hint="cs"/>
          <w:rtl/>
        </w:rPr>
      </w:pPr>
      <w:r>
        <w:rPr>
          <w:rFonts w:hint="cs"/>
          <w:rtl/>
        </w:rPr>
        <w:t>8 -</w:t>
      </w:r>
      <w:r>
        <w:rPr>
          <w:rFonts w:hint="cs"/>
          <w:rtl/>
        </w:rPr>
        <w:tab/>
        <w:t xml:space="preserve">يرجى بيان تدابير التدخل الرامية للقضاء على صور المرأة النمطية والقائمة على السلطة الأبوية في وسائط الإعلام والإعلانات التجارية (الفقرة 62). يرجى تقديم معلومات عن اتخاذ أية تدابير، عملا بالمادة 5 من الاتفاقية، لمواجهة الحملات كالتي ترفض المفهوم </w:t>
      </w:r>
      <w:r w:rsidR="00686FF2">
        <w:rPr>
          <w:rFonts w:hint="cs"/>
          <w:rtl/>
        </w:rPr>
        <w:t>”الجنساني</w:t>
      </w:r>
      <w:r w:rsidR="00686FF2">
        <w:rPr>
          <w:rFonts w:hint="eastAsia"/>
          <w:rtl/>
        </w:rPr>
        <w:t>“</w:t>
      </w:r>
      <w:r>
        <w:rPr>
          <w:rFonts w:hint="cs"/>
          <w:rtl/>
        </w:rPr>
        <w:t>. ونظرا لعدم وجود معلومات في تقرير الدولة الطرف، يرجى بيان الخطوات التي اتخذت لاستعراض الكتب والمواد الدراسية على جميع مستويات التعليم، من أجل القضاء على الإشارات التي تؤكد أو تعزز القوالب النمطية القائمة على السلطة الأبوية (الفقرة</w:t>
      </w:r>
      <w:r w:rsidR="00686FF2">
        <w:rPr>
          <w:rFonts w:hint="eastAsia"/>
          <w:rtl/>
        </w:rPr>
        <w:t> </w:t>
      </w:r>
      <w:r>
        <w:rPr>
          <w:rFonts w:hint="cs"/>
          <w:rtl/>
        </w:rPr>
        <w:t>152).</w:t>
      </w:r>
    </w:p>
    <w:p w:rsidR="000D359B" w:rsidRDefault="000D359B" w:rsidP="00686FF2">
      <w:pPr>
        <w:pStyle w:val="SingleTxt"/>
        <w:rPr>
          <w:rFonts w:hint="cs"/>
          <w:rtl/>
        </w:rPr>
      </w:pPr>
      <w:r>
        <w:rPr>
          <w:rFonts w:hint="cs"/>
          <w:rtl/>
        </w:rPr>
        <w:t>9 -</w:t>
      </w:r>
      <w:r>
        <w:rPr>
          <w:rFonts w:hint="cs"/>
          <w:rtl/>
        </w:rPr>
        <w:tab/>
        <w:t>يرجى بيان الخطوات المتخذة لتعزيز المشاركة في المسؤوليات بين الرجل والمرأة في الأسرة، بما في ذلك تقديم معلومات عن مدة إجازة الأمومة أو إجازة الأبوة حاليا (الفقرتان 189 و194). يرجى بيان التدابير التدريبية وال</w:t>
      </w:r>
      <w:r w:rsidR="00093DAC">
        <w:rPr>
          <w:rFonts w:hint="cs"/>
          <w:rtl/>
        </w:rPr>
        <w:t>ت</w:t>
      </w:r>
      <w:r>
        <w:rPr>
          <w:rFonts w:hint="cs"/>
          <w:rtl/>
        </w:rPr>
        <w:t>ثقيفية المطبقة لموظفي إنفاذ القوانين ومسؤولي المؤسسات العامة الذين يقدمون المساعدة للنساء اللاتي يتعرضن للعنف الجنسي، ولا سيما الاغتصاب، لمنع وصم الضحايا وتفادي القوالب النمطية التي قد تؤدي إلى إدامة العنف ضد</w:t>
      </w:r>
      <w:r w:rsidR="00686FF2">
        <w:rPr>
          <w:rFonts w:hint="eastAsia"/>
          <w:rtl/>
        </w:rPr>
        <w:t> </w:t>
      </w:r>
      <w:r>
        <w:rPr>
          <w:rFonts w:hint="cs"/>
          <w:rtl/>
        </w:rPr>
        <w:t>المرأة.</w:t>
      </w:r>
    </w:p>
    <w:p w:rsidR="00686FF2" w:rsidRPr="00686FF2" w:rsidRDefault="00686FF2" w:rsidP="00686FF2">
      <w:pPr>
        <w:pStyle w:val="SingleTxt"/>
        <w:spacing w:after="0" w:line="120" w:lineRule="exact"/>
        <w:rPr>
          <w:rFonts w:hint="cs"/>
          <w:b/>
          <w:bCs/>
          <w:sz w:val="10"/>
          <w:rtl/>
        </w:rPr>
      </w:pPr>
    </w:p>
    <w:p w:rsidR="000D359B" w:rsidRPr="00CC4917"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D359B" w:rsidRPr="00CC4917">
        <w:rPr>
          <w:rFonts w:hint="cs"/>
          <w:rtl/>
        </w:rPr>
        <w:t>العنف ضد المرأة</w:t>
      </w:r>
    </w:p>
    <w:p w:rsidR="000D359B" w:rsidRPr="00691755" w:rsidRDefault="000D359B" w:rsidP="00093DAC">
      <w:pPr>
        <w:pStyle w:val="SingleTxt"/>
        <w:rPr>
          <w:rFonts w:hint="cs"/>
          <w:rtl/>
        </w:rPr>
      </w:pPr>
      <w:r>
        <w:rPr>
          <w:rFonts w:hint="cs"/>
          <w:rtl/>
        </w:rPr>
        <w:t>10 -</w:t>
      </w:r>
      <w:r>
        <w:rPr>
          <w:rFonts w:hint="cs"/>
          <w:rtl/>
        </w:rPr>
        <w:tab/>
        <w:t>يرجى تقييم فعالية التدابير التي تتخذ لمكافحة العنف ضد المرأة، ولا سيما التعديلات التي أدخلت على القانون المتعلق بمكافحة العنف العائلي في 10 حزيران/يونيه 2010 والبرنامج الوطني لمنع العنف العائلي للفترة 2006-2016 (الفقرتان 42 و</w:t>
      </w:r>
      <w:r w:rsidR="00093DAC">
        <w:rPr>
          <w:rFonts w:hint="cs"/>
          <w:rtl/>
        </w:rPr>
        <w:t xml:space="preserve"> </w:t>
      </w:r>
      <w:r>
        <w:rPr>
          <w:rFonts w:hint="cs"/>
          <w:rtl/>
        </w:rPr>
        <w:t>51). يرجى بيان ما إذا كان العنف العائلي والاغتصاب الزوجي معرفين بوصفهما جرائم محددة في القانون الجنائي.</w:t>
      </w:r>
    </w:p>
    <w:p w:rsidR="000D359B" w:rsidRDefault="000D359B" w:rsidP="00647B5D">
      <w:pPr>
        <w:pStyle w:val="SingleTxt"/>
      </w:pPr>
      <w:r>
        <w:rPr>
          <w:rtl/>
        </w:rPr>
        <w:t>11</w:t>
      </w:r>
      <w:r>
        <w:rPr>
          <w:rFonts w:hint="cs"/>
          <w:rtl/>
        </w:rPr>
        <w:t xml:space="preserve"> -</w:t>
      </w:r>
      <w:r>
        <w:rPr>
          <w:rFonts w:hint="cs"/>
          <w:rtl/>
        </w:rPr>
        <w:tab/>
      </w:r>
      <w:r>
        <w:rPr>
          <w:rtl/>
        </w:rPr>
        <w:t>في ضوء الملاحظات الختامية السابقة للجنة (</w:t>
      </w:r>
      <w:hyperlink r:id="rId16" w:history="1">
        <w:r w:rsidRPr="00AE2142">
          <w:rPr>
            <w:rStyle w:val="Hyperlink"/>
          </w:rPr>
          <w:t>CEDAW/C/POL/CO/6</w:t>
        </w:r>
      </w:hyperlink>
      <w:r>
        <w:rPr>
          <w:rtl/>
        </w:rPr>
        <w:t xml:space="preserve">، الفقرة 19)، يرجى وصف مدى </w:t>
      </w:r>
      <w:r>
        <w:rPr>
          <w:rFonts w:hint="cs"/>
          <w:rtl/>
        </w:rPr>
        <w:t xml:space="preserve">تمكن </w:t>
      </w:r>
      <w:r>
        <w:rPr>
          <w:rtl/>
        </w:rPr>
        <w:t xml:space="preserve">ضحايا العنف </w:t>
      </w:r>
      <w:r>
        <w:rPr>
          <w:rFonts w:hint="cs"/>
          <w:rtl/>
        </w:rPr>
        <w:t xml:space="preserve">العائلي </w:t>
      </w:r>
      <w:r>
        <w:rPr>
          <w:rtl/>
        </w:rPr>
        <w:t xml:space="preserve">من الوصول فورا إلى وسائل الحماية، بما في ذلك أوامر الحماية التي </w:t>
      </w:r>
      <w:r>
        <w:rPr>
          <w:rFonts w:hint="cs"/>
          <w:rtl/>
        </w:rPr>
        <w:t xml:space="preserve">تصدرها </w:t>
      </w:r>
      <w:r>
        <w:rPr>
          <w:rtl/>
        </w:rPr>
        <w:t>الشرط</w:t>
      </w:r>
      <w:r>
        <w:rPr>
          <w:rFonts w:hint="cs"/>
          <w:rtl/>
        </w:rPr>
        <w:t>ة</w:t>
      </w:r>
      <w:r>
        <w:rPr>
          <w:rtl/>
        </w:rPr>
        <w:t xml:space="preserve"> (الفقرة 47)، </w:t>
      </w:r>
      <w:r>
        <w:rPr>
          <w:rFonts w:hint="cs"/>
          <w:rtl/>
        </w:rPr>
        <w:t xml:space="preserve">ومدى توفر </w:t>
      </w:r>
      <w:r>
        <w:rPr>
          <w:rtl/>
        </w:rPr>
        <w:t xml:space="preserve">أعداد كافية من الملاجئ الآمنة </w:t>
      </w:r>
      <w:r>
        <w:rPr>
          <w:rFonts w:hint="cs"/>
          <w:rtl/>
        </w:rPr>
        <w:t>ال</w:t>
      </w:r>
      <w:r>
        <w:rPr>
          <w:rtl/>
        </w:rPr>
        <w:t>مجهزة بموظفين من ذوي الخبرة و</w:t>
      </w:r>
      <w:r>
        <w:rPr>
          <w:rFonts w:hint="cs"/>
          <w:rtl/>
        </w:rPr>
        <w:t>ب</w:t>
      </w:r>
      <w:r>
        <w:rPr>
          <w:rtl/>
        </w:rPr>
        <w:t xml:space="preserve">الخدمات </w:t>
      </w:r>
      <w:r>
        <w:rPr>
          <w:rFonts w:hint="cs"/>
          <w:rtl/>
        </w:rPr>
        <w:t xml:space="preserve">الأخرى </w:t>
      </w:r>
      <w:r>
        <w:rPr>
          <w:rtl/>
        </w:rPr>
        <w:t>والمع</w:t>
      </w:r>
      <w:r>
        <w:rPr>
          <w:rFonts w:hint="cs"/>
          <w:rtl/>
        </w:rPr>
        <w:t>ونة</w:t>
      </w:r>
      <w:r>
        <w:rPr>
          <w:rtl/>
        </w:rPr>
        <w:t xml:space="preserve"> القانونية المجانية (الفقرة</w:t>
      </w:r>
      <w:r w:rsidR="00093DAC">
        <w:rPr>
          <w:rFonts w:hint="cs"/>
          <w:rtl/>
        </w:rPr>
        <w:t> </w:t>
      </w:r>
      <w:r>
        <w:rPr>
          <w:rtl/>
        </w:rPr>
        <w:t>60) و</w:t>
      </w:r>
      <w:r>
        <w:rPr>
          <w:rFonts w:hint="cs"/>
          <w:rtl/>
        </w:rPr>
        <w:t xml:space="preserve">السكن </w:t>
      </w:r>
      <w:r>
        <w:rPr>
          <w:rtl/>
        </w:rPr>
        <w:t xml:space="preserve">البديل (الفقرتان 47 و 48). </w:t>
      </w:r>
      <w:r>
        <w:rPr>
          <w:rFonts w:hint="cs"/>
          <w:rtl/>
        </w:rPr>
        <w:t xml:space="preserve">يرجى تقديم </w:t>
      </w:r>
      <w:r>
        <w:rPr>
          <w:rtl/>
        </w:rPr>
        <w:t xml:space="preserve">بيانات </w:t>
      </w:r>
      <w:r>
        <w:rPr>
          <w:rFonts w:hint="cs"/>
          <w:rtl/>
        </w:rPr>
        <w:t xml:space="preserve">مستكملة، </w:t>
      </w:r>
      <w:r>
        <w:rPr>
          <w:rtl/>
        </w:rPr>
        <w:t>مصنفة حسب نوع العنف والعلاق</w:t>
      </w:r>
      <w:r>
        <w:rPr>
          <w:rFonts w:hint="cs"/>
          <w:rtl/>
        </w:rPr>
        <w:t xml:space="preserve">ة بين </w:t>
      </w:r>
      <w:r>
        <w:rPr>
          <w:rtl/>
        </w:rPr>
        <w:t xml:space="preserve">الجاني </w:t>
      </w:r>
      <w:r>
        <w:rPr>
          <w:rFonts w:hint="cs"/>
          <w:rtl/>
        </w:rPr>
        <w:t>وا</w:t>
      </w:r>
      <w:r>
        <w:rPr>
          <w:rtl/>
        </w:rPr>
        <w:t xml:space="preserve">لضحية، </w:t>
      </w:r>
      <w:r>
        <w:rPr>
          <w:rFonts w:hint="cs"/>
          <w:rtl/>
        </w:rPr>
        <w:t xml:space="preserve">عن </w:t>
      </w:r>
      <w:r>
        <w:rPr>
          <w:rtl/>
        </w:rPr>
        <w:t>الأفعال الإجرامية المتعلقة بالعنف ضد</w:t>
      </w:r>
      <w:r w:rsidR="00093DAC">
        <w:rPr>
          <w:rFonts w:hint="cs"/>
          <w:rtl/>
        </w:rPr>
        <w:t> </w:t>
      </w:r>
      <w:r>
        <w:rPr>
          <w:rtl/>
        </w:rPr>
        <w:t xml:space="preserve">المرأة، بما في ذلك العنف </w:t>
      </w:r>
      <w:r>
        <w:rPr>
          <w:rFonts w:hint="cs"/>
          <w:rtl/>
        </w:rPr>
        <w:t>العائلي، التي يبلغ عنها ويلاحق مرتكبوها</w:t>
      </w:r>
      <w:r>
        <w:rPr>
          <w:rtl/>
        </w:rPr>
        <w:t xml:space="preserve"> (</w:t>
      </w:r>
      <w:hyperlink r:id="rId17" w:history="1">
        <w:r w:rsidRPr="00AE2142">
          <w:rPr>
            <w:rStyle w:val="Hyperlink"/>
          </w:rPr>
          <w:t>CEDAW/C/POL/CO/6</w:t>
        </w:r>
      </w:hyperlink>
      <w:r>
        <w:rPr>
          <w:rtl/>
        </w:rPr>
        <w:t>، الفقرة 19).</w:t>
      </w:r>
    </w:p>
    <w:p w:rsidR="00686FF2" w:rsidRPr="00686FF2" w:rsidRDefault="00686FF2" w:rsidP="00686FF2">
      <w:pPr>
        <w:pStyle w:val="SingleTxt"/>
        <w:spacing w:after="0" w:line="120" w:lineRule="exact"/>
        <w:rPr>
          <w:b/>
          <w:bCs/>
          <w:sz w:val="10"/>
          <w:rtl/>
        </w:rPr>
      </w:pPr>
    </w:p>
    <w:p w:rsidR="000D359B" w:rsidRPr="009B4729"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9B4729">
        <w:rPr>
          <w:rtl/>
        </w:rPr>
        <w:t xml:space="preserve">الاتجار بالنساء و استغلالهن في البغاء </w:t>
      </w:r>
    </w:p>
    <w:p w:rsidR="000D359B" w:rsidRDefault="000D359B" w:rsidP="000D359B">
      <w:pPr>
        <w:pStyle w:val="SingleTxt"/>
      </w:pPr>
      <w:r>
        <w:rPr>
          <w:rtl/>
        </w:rPr>
        <w:t>12</w:t>
      </w:r>
      <w:r>
        <w:rPr>
          <w:rFonts w:hint="cs"/>
          <w:rtl/>
        </w:rPr>
        <w:t xml:space="preserve"> -</w:t>
      </w:r>
      <w:r>
        <w:rPr>
          <w:rFonts w:hint="cs"/>
          <w:rtl/>
        </w:rPr>
        <w:tab/>
      </w:r>
      <w:r>
        <w:rPr>
          <w:rtl/>
        </w:rPr>
        <w:t xml:space="preserve">يرجى </w:t>
      </w:r>
      <w:r>
        <w:rPr>
          <w:rFonts w:hint="cs"/>
          <w:rtl/>
        </w:rPr>
        <w:t xml:space="preserve">تقييم فعالية </w:t>
      </w:r>
      <w:r>
        <w:rPr>
          <w:rtl/>
        </w:rPr>
        <w:t xml:space="preserve">خطة العمل الوطنية لمكافحة الاتجار </w:t>
      </w:r>
      <w:r>
        <w:rPr>
          <w:rFonts w:hint="cs"/>
          <w:rtl/>
        </w:rPr>
        <w:t xml:space="preserve">بالبشر </w:t>
      </w:r>
      <w:r>
        <w:rPr>
          <w:rtl/>
        </w:rPr>
        <w:t>(الفقرة 69)، وت</w:t>
      </w:r>
      <w:r>
        <w:rPr>
          <w:rFonts w:hint="cs"/>
          <w:rtl/>
        </w:rPr>
        <w:t xml:space="preserve">قديم </w:t>
      </w:r>
      <w:r>
        <w:rPr>
          <w:rtl/>
        </w:rPr>
        <w:t xml:space="preserve">معلومات </w:t>
      </w:r>
      <w:r>
        <w:rPr>
          <w:rFonts w:hint="cs"/>
          <w:rtl/>
        </w:rPr>
        <w:t>مستكملة عن ال</w:t>
      </w:r>
      <w:r>
        <w:rPr>
          <w:rtl/>
        </w:rPr>
        <w:t xml:space="preserve">تدابير </w:t>
      </w:r>
      <w:r>
        <w:rPr>
          <w:rFonts w:hint="cs"/>
          <w:rtl/>
        </w:rPr>
        <w:t xml:space="preserve">المتخذة </w:t>
      </w:r>
      <w:r>
        <w:rPr>
          <w:rtl/>
        </w:rPr>
        <w:t>لمنع الاتجار بالنساء وزيادة الحماية لضحايا</w:t>
      </w:r>
      <w:r>
        <w:rPr>
          <w:rFonts w:hint="cs"/>
          <w:rtl/>
        </w:rPr>
        <w:t>ه</w:t>
      </w:r>
      <w:r>
        <w:rPr>
          <w:rtl/>
        </w:rPr>
        <w:t xml:space="preserve">. يرجى توضيح </w:t>
      </w:r>
      <w:r>
        <w:rPr>
          <w:rFonts w:hint="cs"/>
          <w:rtl/>
        </w:rPr>
        <w:t xml:space="preserve">ما إذا كانت </w:t>
      </w:r>
      <w:r>
        <w:rPr>
          <w:rtl/>
        </w:rPr>
        <w:t xml:space="preserve">الدولة الطرف تعتزم إنشاء آلية </w:t>
      </w:r>
      <w:r>
        <w:rPr>
          <w:rFonts w:hint="cs"/>
          <w:rtl/>
        </w:rPr>
        <w:t xml:space="preserve">أو هيئة </w:t>
      </w:r>
      <w:r>
        <w:rPr>
          <w:rtl/>
        </w:rPr>
        <w:t xml:space="preserve">مستقلة </w:t>
      </w:r>
      <w:r>
        <w:rPr>
          <w:rFonts w:hint="cs"/>
          <w:rtl/>
        </w:rPr>
        <w:t xml:space="preserve">تناط بها </w:t>
      </w:r>
      <w:r>
        <w:rPr>
          <w:rtl/>
        </w:rPr>
        <w:t>ولاية لجمع ونشر المعلومات و</w:t>
      </w:r>
      <w:r>
        <w:rPr>
          <w:rFonts w:hint="cs"/>
          <w:rtl/>
        </w:rPr>
        <w:t xml:space="preserve">اتخاذ </w:t>
      </w:r>
      <w:r>
        <w:rPr>
          <w:rtl/>
        </w:rPr>
        <w:t xml:space="preserve">تدابير لمكافحة الاتجار بالنساء. يرجى تقديم معلومات، مصنفة حسب </w:t>
      </w:r>
      <w:r>
        <w:rPr>
          <w:rFonts w:hint="cs"/>
          <w:rtl/>
        </w:rPr>
        <w:t xml:space="preserve">نوع </w:t>
      </w:r>
      <w:r>
        <w:rPr>
          <w:rtl/>
        </w:rPr>
        <w:t xml:space="preserve">الجنس </w:t>
      </w:r>
      <w:r>
        <w:rPr>
          <w:rFonts w:hint="cs"/>
          <w:rtl/>
        </w:rPr>
        <w:t xml:space="preserve">والعمر </w:t>
      </w:r>
      <w:r>
        <w:rPr>
          <w:rtl/>
        </w:rPr>
        <w:t>والجنسية</w:t>
      </w:r>
      <w:r>
        <w:rPr>
          <w:rFonts w:hint="cs"/>
          <w:rtl/>
        </w:rPr>
        <w:t>،</w:t>
      </w:r>
      <w:r>
        <w:rPr>
          <w:rtl/>
        </w:rPr>
        <w:t xml:space="preserve"> </w:t>
      </w:r>
      <w:r>
        <w:rPr>
          <w:rFonts w:hint="cs"/>
          <w:rtl/>
        </w:rPr>
        <w:t xml:space="preserve">عن </w:t>
      </w:r>
      <w:r>
        <w:rPr>
          <w:rtl/>
        </w:rPr>
        <w:t xml:space="preserve">عدد حالات الاتجار </w:t>
      </w:r>
      <w:r>
        <w:rPr>
          <w:rFonts w:hint="cs"/>
          <w:rtl/>
        </w:rPr>
        <w:t>ب</w:t>
      </w:r>
      <w:r>
        <w:rPr>
          <w:rtl/>
        </w:rPr>
        <w:t xml:space="preserve">النساء المبلغ عنها والملاحقات القضائية والإدانات والعقوبات المفروضة على </w:t>
      </w:r>
      <w:r>
        <w:rPr>
          <w:rFonts w:hint="cs"/>
          <w:rtl/>
        </w:rPr>
        <w:t>الجناة أثناء الفترة</w:t>
      </w:r>
      <w:r>
        <w:rPr>
          <w:rtl/>
        </w:rPr>
        <w:t xml:space="preserve"> المشمولة بالتقرير، بما في ذلك عدد النساء من ضحايا الاتجار بهدف الاستغلال الجنسي.</w:t>
      </w:r>
    </w:p>
    <w:p w:rsidR="000D359B" w:rsidRDefault="000D359B" w:rsidP="000D359B">
      <w:pPr>
        <w:pStyle w:val="SingleTxt"/>
      </w:pPr>
      <w:r>
        <w:rPr>
          <w:rtl/>
        </w:rPr>
        <w:t>13</w:t>
      </w:r>
      <w:r>
        <w:rPr>
          <w:rFonts w:hint="cs"/>
          <w:rtl/>
        </w:rPr>
        <w:t xml:space="preserve"> -</w:t>
      </w:r>
      <w:r>
        <w:rPr>
          <w:rFonts w:hint="cs"/>
          <w:rtl/>
        </w:rPr>
        <w:tab/>
        <w:t xml:space="preserve">يرجى </w:t>
      </w:r>
      <w:r>
        <w:rPr>
          <w:rtl/>
        </w:rPr>
        <w:t xml:space="preserve">أيضا </w:t>
      </w:r>
      <w:r>
        <w:rPr>
          <w:rFonts w:hint="cs"/>
          <w:rtl/>
        </w:rPr>
        <w:t>بيان الصكوك</w:t>
      </w:r>
      <w:r>
        <w:rPr>
          <w:rtl/>
        </w:rPr>
        <w:t xml:space="preserve"> المعمول بها حاليا من خلال </w:t>
      </w:r>
      <w:r>
        <w:rPr>
          <w:rFonts w:hint="cs"/>
          <w:rtl/>
        </w:rPr>
        <w:t>المركز الوطني للاستشارات و</w:t>
      </w:r>
      <w:r>
        <w:rPr>
          <w:rtl/>
        </w:rPr>
        <w:t xml:space="preserve">التدخلات أو </w:t>
      </w:r>
      <w:r>
        <w:rPr>
          <w:rFonts w:hint="cs"/>
          <w:rtl/>
        </w:rPr>
        <w:t>ال</w:t>
      </w:r>
      <w:r>
        <w:rPr>
          <w:rtl/>
        </w:rPr>
        <w:t xml:space="preserve">آليات </w:t>
      </w:r>
      <w:r>
        <w:rPr>
          <w:rFonts w:hint="cs"/>
          <w:rtl/>
        </w:rPr>
        <w:t>ال</w:t>
      </w:r>
      <w:r>
        <w:rPr>
          <w:rtl/>
        </w:rPr>
        <w:t>أخرى لتحسين التعرف المبكر على ضحايا الاتجار من النساء وتشجيع الضحايا على الإبلاغ عن الجرائم للشرطة (الفقرة 76)</w:t>
      </w:r>
      <w:r w:rsidR="00686FF2">
        <w:rPr>
          <w:rtl/>
        </w:rPr>
        <w:t>.</w:t>
      </w:r>
      <w:r>
        <w:rPr>
          <w:rtl/>
        </w:rPr>
        <w:t xml:space="preserve"> </w:t>
      </w:r>
      <w:r>
        <w:rPr>
          <w:rFonts w:hint="cs"/>
          <w:rtl/>
        </w:rPr>
        <w:t xml:space="preserve">ما هو </w:t>
      </w:r>
      <w:r>
        <w:rPr>
          <w:rtl/>
        </w:rPr>
        <w:t>عدد النساء من ضحايا الاتجار المقيم</w:t>
      </w:r>
      <w:r>
        <w:rPr>
          <w:rFonts w:hint="cs"/>
          <w:rtl/>
        </w:rPr>
        <w:t xml:space="preserve">ات </w:t>
      </w:r>
      <w:r>
        <w:rPr>
          <w:rtl/>
        </w:rPr>
        <w:t xml:space="preserve">في بولندا بشكل غير قانوني </w:t>
      </w:r>
      <w:r>
        <w:rPr>
          <w:rFonts w:hint="cs"/>
          <w:rtl/>
        </w:rPr>
        <w:t xml:space="preserve">اللاتي أصبح وضعهن قانونيا </w:t>
      </w:r>
      <w:r>
        <w:rPr>
          <w:rtl/>
        </w:rPr>
        <w:t xml:space="preserve">بموجب قانون </w:t>
      </w:r>
      <w:r>
        <w:rPr>
          <w:rFonts w:hint="cs"/>
          <w:rtl/>
        </w:rPr>
        <w:t>الأجانب المعدل</w:t>
      </w:r>
      <w:r>
        <w:rPr>
          <w:rtl/>
        </w:rPr>
        <w:t xml:space="preserve">؟ </w:t>
      </w:r>
      <w:r>
        <w:rPr>
          <w:rFonts w:hint="cs"/>
          <w:rtl/>
        </w:rPr>
        <w:t xml:space="preserve">ونظرا لعدم وجود </w:t>
      </w:r>
      <w:r>
        <w:rPr>
          <w:rtl/>
        </w:rPr>
        <w:t xml:space="preserve">معلومات في تقرير </w:t>
      </w:r>
      <w:r>
        <w:rPr>
          <w:rFonts w:hint="cs"/>
          <w:rtl/>
        </w:rPr>
        <w:t xml:space="preserve">الدولة الطرف عن </w:t>
      </w:r>
      <w:r>
        <w:rPr>
          <w:rtl/>
        </w:rPr>
        <w:t xml:space="preserve">انتشار الدعارة، يرجى التعليق على انتشار هذه الظاهرة في الدولة الطرف </w:t>
      </w:r>
      <w:r>
        <w:rPr>
          <w:rFonts w:hint="cs"/>
          <w:rtl/>
        </w:rPr>
        <w:t>و</w:t>
      </w:r>
      <w:r>
        <w:rPr>
          <w:rtl/>
        </w:rPr>
        <w:t>ع</w:t>
      </w:r>
      <w:r>
        <w:rPr>
          <w:rFonts w:hint="cs"/>
          <w:rtl/>
        </w:rPr>
        <w:t xml:space="preserve">ن </w:t>
      </w:r>
      <w:r>
        <w:rPr>
          <w:rtl/>
        </w:rPr>
        <w:t xml:space="preserve">السياسات والتدابير المتخذة لمنع الاستغلال الجنسي </w:t>
      </w:r>
      <w:r>
        <w:rPr>
          <w:rFonts w:hint="cs"/>
          <w:rtl/>
        </w:rPr>
        <w:t>ل</w:t>
      </w:r>
      <w:r>
        <w:rPr>
          <w:rtl/>
        </w:rPr>
        <w:t>لنساء والفتيات (الفقرة 81) وع</w:t>
      </w:r>
      <w:r>
        <w:rPr>
          <w:rFonts w:hint="cs"/>
          <w:rtl/>
        </w:rPr>
        <w:t xml:space="preserve">ن </w:t>
      </w:r>
      <w:r>
        <w:rPr>
          <w:rtl/>
        </w:rPr>
        <w:t xml:space="preserve">المساعدة </w:t>
      </w:r>
      <w:r>
        <w:rPr>
          <w:rFonts w:hint="cs"/>
          <w:rtl/>
        </w:rPr>
        <w:t>المقدمة للاتي ي</w:t>
      </w:r>
      <w:r>
        <w:rPr>
          <w:rtl/>
        </w:rPr>
        <w:t>رغب</w:t>
      </w:r>
      <w:r>
        <w:rPr>
          <w:rFonts w:hint="cs"/>
          <w:rtl/>
        </w:rPr>
        <w:t>ن</w:t>
      </w:r>
      <w:r>
        <w:rPr>
          <w:rtl/>
        </w:rPr>
        <w:t xml:space="preserve"> في ترك </w:t>
      </w:r>
      <w:r>
        <w:rPr>
          <w:rFonts w:hint="cs"/>
          <w:rtl/>
        </w:rPr>
        <w:t>ال</w:t>
      </w:r>
      <w:r>
        <w:rPr>
          <w:rtl/>
        </w:rPr>
        <w:t>دعارة</w:t>
      </w:r>
      <w:r w:rsidR="00686FF2">
        <w:rPr>
          <w:rtl/>
        </w:rPr>
        <w:t>.</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8955CF">
        <w:rPr>
          <w:rtl/>
        </w:rPr>
        <w:t>المشاركة في الحياة العامة والسياسية</w:t>
      </w:r>
      <w:r w:rsidR="000D359B">
        <w:rPr>
          <w:rtl/>
        </w:rPr>
        <w:t xml:space="preserve"> </w:t>
      </w:r>
    </w:p>
    <w:p w:rsidR="000D359B" w:rsidRDefault="000D359B" w:rsidP="001D511F">
      <w:pPr>
        <w:pStyle w:val="SingleTxt"/>
      </w:pPr>
      <w:r>
        <w:rPr>
          <w:rtl/>
        </w:rPr>
        <w:t>14</w:t>
      </w:r>
      <w:r>
        <w:rPr>
          <w:rFonts w:hint="cs"/>
          <w:rtl/>
        </w:rPr>
        <w:t xml:space="preserve"> -</w:t>
      </w:r>
      <w:r>
        <w:rPr>
          <w:rFonts w:hint="cs"/>
          <w:rtl/>
        </w:rPr>
        <w:tab/>
      </w:r>
      <w:r w:rsidRPr="001D511F">
        <w:rPr>
          <w:w w:val="100"/>
          <w:rtl/>
        </w:rPr>
        <w:t xml:space="preserve">مع </w:t>
      </w:r>
      <w:r w:rsidRPr="001D511F">
        <w:rPr>
          <w:rFonts w:hint="cs"/>
          <w:w w:val="100"/>
          <w:rtl/>
        </w:rPr>
        <w:t>مراعاة ال</w:t>
      </w:r>
      <w:r w:rsidRPr="001D511F">
        <w:rPr>
          <w:w w:val="100"/>
          <w:rtl/>
        </w:rPr>
        <w:t>ملاحظات الختامية السابقة للجنة (</w:t>
      </w:r>
      <w:hyperlink r:id="rId18" w:history="1">
        <w:r w:rsidRPr="00AE2142">
          <w:rPr>
            <w:rStyle w:val="Hyperlink"/>
            <w:w w:val="100"/>
          </w:rPr>
          <w:t>CEDAW/C/POL/CO/6</w:t>
        </w:r>
      </w:hyperlink>
      <w:r w:rsidRPr="001D511F">
        <w:rPr>
          <w:w w:val="100"/>
          <w:rtl/>
        </w:rPr>
        <w:t>، الفقرتان 14 و</w:t>
      </w:r>
      <w:r w:rsidR="001D511F">
        <w:rPr>
          <w:rFonts w:hint="cs"/>
          <w:w w:val="100"/>
          <w:rtl/>
        </w:rPr>
        <w:t> </w:t>
      </w:r>
      <w:r w:rsidRPr="001D511F">
        <w:rPr>
          <w:w w:val="100"/>
          <w:rtl/>
        </w:rPr>
        <w:t xml:space="preserve">15)، يرجى </w:t>
      </w:r>
      <w:r w:rsidRPr="001D511F">
        <w:rPr>
          <w:rFonts w:hint="cs"/>
          <w:w w:val="100"/>
          <w:rtl/>
        </w:rPr>
        <w:t xml:space="preserve">بيان </w:t>
      </w:r>
      <w:r w:rsidRPr="001D511F">
        <w:rPr>
          <w:w w:val="100"/>
          <w:rtl/>
        </w:rPr>
        <w:t>ما تم اعتماد</w:t>
      </w:r>
      <w:r w:rsidRPr="001D511F">
        <w:rPr>
          <w:rFonts w:hint="cs"/>
          <w:w w:val="100"/>
          <w:rtl/>
        </w:rPr>
        <w:t>ه من ال</w:t>
      </w:r>
      <w:r w:rsidRPr="001D511F">
        <w:rPr>
          <w:w w:val="100"/>
          <w:rtl/>
        </w:rPr>
        <w:t>استراتيجيات ل</w:t>
      </w:r>
      <w:r w:rsidRPr="001D511F">
        <w:rPr>
          <w:rFonts w:hint="cs"/>
          <w:w w:val="100"/>
          <w:rtl/>
        </w:rPr>
        <w:t>لتعجيل ب</w:t>
      </w:r>
      <w:r w:rsidRPr="001D511F">
        <w:rPr>
          <w:w w:val="100"/>
          <w:rtl/>
        </w:rPr>
        <w:t xml:space="preserve">مشاركة المرأة مشاركة كاملة وعلى قدم المساواة في الحياة العامة والسياسية. يرجى توضيح أثر قانون </w:t>
      </w:r>
      <w:r w:rsidRPr="001D511F">
        <w:rPr>
          <w:rFonts w:hint="cs"/>
          <w:w w:val="100"/>
          <w:rtl/>
        </w:rPr>
        <w:t>الحصص</w:t>
      </w:r>
      <w:r w:rsidRPr="001D511F">
        <w:rPr>
          <w:w w:val="100"/>
          <w:rtl/>
        </w:rPr>
        <w:t xml:space="preserve">، </w:t>
      </w:r>
      <w:r w:rsidRPr="001D511F">
        <w:rPr>
          <w:rFonts w:hint="cs"/>
          <w:w w:val="100"/>
          <w:rtl/>
        </w:rPr>
        <w:t xml:space="preserve">الذي بدأ </w:t>
      </w:r>
      <w:r w:rsidRPr="001D511F">
        <w:rPr>
          <w:w w:val="100"/>
          <w:rtl/>
        </w:rPr>
        <w:t>نفاذ</w:t>
      </w:r>
      <w:r w:rsidRPr="001D511F">
        <w:rPr>
          <w:rFonts w:hint="cs"/>
          <w:w w:val="100"/>
          <w:rtl/>
        </w:rPr>
        <w:t>ه</w:t>
      </w:r>
      <w:r w:rsidRPr="001D511F">
        <w:rPr>
          <w:w w:val="100"/>
          <w:rtl/>
        </w:rPr>
        <w:t xml:space="preserve"> في 3 </w:t>
      </w:r>
      <w:r w:rsidRPr="001D511F">
        <w:rPr>
          <w:rFonts w:hint="cs"/>
          <w:w w:val="100"/>
          <w:rtl/>
        </w:rPr>
        <w:t>آذار/</w:t>
      </w:r>
      <w:r w:rsidRPr="001D511F">
        <w:rPr>
          <w:w w:val="100"/>
          <w:rtl/>
        </w:rPr>
        <w:t>مارس 2011 بهدف تعزيز تمثيل المرأة في البرلمان (الفقرتان 89 و</w:t>
      </w:r>
      <w:r w:rsidR="001D511F">
        <w:rPr>
          <w:rFonts w:hint="cs"/>
          <w:w w:val="100"/>
          <w:rtl/>
        </w:rPr>
        <w:t xml:space="preserve"> </w:t>
      </w:r>
      <w:r w:rsidRPr="001D511F">
        <w:rPr>
          <w:w w:val="100"/>
          <w:rtl/>
        </w:rPr>
        <w:t>92). يرجى توضيح ما تم اتخاذ</w:t>
      </w:r>
      <w:r w:rsidRPr="001D511F">
        <w:rPr>
          <w:rFonts w:hint="cs"/>
          <w:w w:val="100"/>
          <w:rtl/>
        </w:rPr>
        <w:t xml:space="preserve">ه من </w:t>
      </w:r>
      <w:r w:rsidRPr="001D511F">
        <w:rPr>
          <w:w w:val="100"/>
          <w:rtl/>
        </w:rPr>
        <w:t>تدابير لتسهيل دخول المرأة إلى السلك الدبلوماسي (الفقرة 124).</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AE5FC4">
        <w:rPr>
          <w:rtl/>
        </w:rPr>
        <w:t>التعليم</w:t>
      </w:r>
    </w:p>
    <w:p w:rsidR="000D359B" w:rsidRDefault="000D359B" w:rsidP="00686FF2">
      <w:pPr>
        <w:pStyle w:val="SingleTxt"/>
      </w:pPr>
      <w:r>
        <w:rPr>
          <w:rtl/>
        </w:rPr>
        <w:t>15</w:t>
      </w:r>
      <w:r>
        <w:rPr>
          <w:rFonts w:hint="cs"/>
          <w:rtl/>
        </w:rPr>
        <w:t xml:space="preserve"> -</w:t>
      </w:r>
      <w:r>
        <w:rPr>
          <w:rFonts w:hint="cs"/>
          <w:rtl/>
        </w:rPr>
        <w:tab/>
      </w:r>
      <w:r>
        <w:rPr>
          <w:rtl/>
        </w:rPr>
        <w:t xml:space="preserve">يرجى </w:t>
      </w:r>
      <w:r>
        <w:rPr>
          <w:rFonts w:hint="cs"/>
          <w:rtl/>
        </w:rPr>
        <w:t xml:space="preserve">تعليل ارتفاع </w:t>
      </w:r>
      <w:r>
        <w:rPr>
          <w:rtl/>
        </w:rPr>
        <w:t xml:space="preserve">عدد المدارس الثانوية </w:t>
      </w:r>
      <w:r>
        <w:rPr>
          <w:rFonts w:hint="cs"/>
          <w:rtl/>
        </w:rPr>
        <w:t>المخصصة للذكور بال</w:t>
      </w:r>
      <w:r>
        <w:rPr>
          <w:rtl/>
        </w:rPr>
        <w:t xml:space="preserve">مقارنة مع </w:t>
      </w:r>
      <w:r>
        <w:rPr>
          <w:rFonts w:hint="cs"/>
          <w:rtl/>
        </w:rPr>
        <w:t>عدد المدارس المخصصة ل</w:t>
      </w:r>
      <w:r>
        <w:rPr>
          <w:rtl/>
        </w:rPr>
        <w:t>لفتيات (</w:t>
      </w:r>
      <w:r>
        <w:rPr>
          <w:rFonts w:hint="cs"/>
          <w:rtl/>
        </w:rPr>
        <w:t>ال</w:t>
      </w:r>
      <w:r>
        <w:rPr>
          <w:rtl/>
        </w:rPr>
        <w:t>مرفق</w:t>
      </w:r>
      <w:r>
        <w:rPr>
          <w:rFonts w:hint="cs"/>
          <w:rtl/>
        </w:rPr>
        <w:t>،</w:t>
      </w:r>
      <w:r>
        <w:rPr>
          <w:rtl/>
        </w:rPr>
        <w:t xml:space="preserve"> الجدول </w:t>
      </w:r>
      <w:r>
        <w:rPr>
          <w:rFonts w:hint="cs"/>
          <w:rtl/>
        </w:rPr>
        <w:t>ألف-10-1</w:t>
      </w:r>
      <w:r>
        <w:rPr>
          <w:rtl/>
        </w:rPr>
        <w:t>)</w:t>
      </w:r>
      <w:r w:rsidR="00686FF2">
        <w:rPr>
          <w:rtl/>
        </w:rPr>
        <w:t>.</w:t>
      </w:r>
      <w:r>
        <w:rPr>
          <w:rtl/>
        </w:rPr>
        <w:t xml:space="preserve"> يرجى أيضا تقديم معلومات عن مستوى حصول </w:t>
      </w:r>
      <w:r>
        <w:rPr>
          <w:rFonts w:hint="cs"/>
          <w:rtl/>
        </w:rPr>
        <w:t>ا</w:t>
      </w:r>
      <w:r>
        <w:rPr>
          <w:rtl/>
        </w:rPr>
        <w:t>لفئات المحرومة من النساء والفتيات</w:t>
      </w:r>
      <w:r w:rsidRPr="00AE5FC4">
        <w:rPr>
          <w:rtl/>
        </w:rPr>
        <w:t xml:space="preserve"> </w:t>
      </w:r>
      <w:r>
        <w:rPr>
          <w:rtl/>
        </w:rPr>
        <w:t xml:space="preserve">على التعليم، </w:t>
      </w:r>
      <w:r>
        <w:rPr>
          <w:rFonts w:hint="cs"/>
          <w:rtl/>
        </w:rPr>
        <w:t xml:space="preserve">كالنساء والفتيات في </w:t>
      </w:r>
      <w:r>
        <w:rPr>
          <w:rtl/>
        </w:rPr>
        <w:t xml:space="preserve">المناطق الريفية، </w:t>
      </w:r>
      <w:r>
        <w:rPr>
          <w:rFonts w:hint="cs"/>
          <w:rtl/>
        </w:rPr>
        <w:t>و</w:t>
      </w:r>
      <w:r>
        <w:rPr>
          <w:rtl/>
        </w:rPr>
        <w:t>اللاجئ</w:t>
      </w:r>
      <w:r>
        <w:rPr>
          <w:rFonts w:hint="cs"/>
          <w:rtl/>
        </w:rPr>
        <w:t xml:space="preserve">ات </w:t>
      </w:r>
      <w:r>
        <w:rPr>
          <w:rtl/>
        </w:rPr>
        <w:t>و</w:t>
      </w:r>
      <w:r>
        <w:rPr>
          <w:rFonts w:hint="cs"/>
          <w:rtl/>
        </w:rPr>
        <w:t>المنتميات لطائفة ال</w:t>
      </w:r>
      <w:r>
        <w:rPr>
          <w:rtl/>
        </w:rPr>
        <w:t>روما</w:t>
      </w:r>
      <w:r w:rsidRPr="00E70ADC">
        <w:rPr>
          <w:rtl/>
        </w:rPr>
        <w:t xml:space="preserve"> </w:t>
      </w:r>
      <w:r>
        <w:rPr>
          <w:rtl/>
        </w:rPr>
        <w:t xml:space="preserve">وذوات الإعاقة. يرجى </w:t>
      </w:r>
      <w:r>
        <w:rPr>
          <w:rFonts w:hint="cs"/>
          <w:rtl/>
        </w:rPr>
        <w:t>أ</w:t>
      </w:r>
      <w:r>
        <w:rPr>
          <w:rtl/>
        </w:rPr>
        <w:t xml:space="preserve">يضا </w:t>
      </w:r>
      <w:r>
        <w:rPr>
          <w:rFonts w:hint="cs"/>
          <w:rtl/>
        </w:rPr>
        <w:t xml:space="preserve">تقديم </w:t>
      </w:r>
      <w:r>
        <w:rPr>
          <w:rtl/>
        </w:rPr>
        <w:t xml:space="preserve">بيانات </w:t>
      </w:r>
      <w:r>
        <w:rPr>
          <w:rFonts w:hint="cs"/>
          <w:rtl/>
        </w:rPr>
        <w:t xml:space="preserve">مستكملة عن الخيارات </w:t>
      </w:r>
      <w:r>
        <w:rPr>
          <w:rtl/>
        </w:rPr>
        <w:t>المهنية والأكاديمية للمرأة والرجل على جميع المستويات التعليمية ذات الصلة (</w:t>
      </w:r>
      <w:r>
        <w:rPr>
          <w:rFonts w:hint="cs"/>
          <w:rtl/>
        </w:rPr>
        <w:t>المرفق،</w:t>
      </w:r>
      <w:r>
        <w:rPr>
          <w:rtl/>
        </w:rPr>
        <w:t xml:space="preserve"> الجدول</w:t>
      </w:r>
      <w:r>
        <w:rPr>
          <w:rFonts w:hint="cs"/>
          <w:rtl/>
        </w:rPr>
        <w:t>ان</w:t>
      </w:r>
      <w:r>
        <w:rPr>
          <w:rtl/>
        </w:rPr>
        <w:t xml:space="preserve"> </w:t>
      </w:r>
      <w:r>
        <w:rPr>
          <w:rFonts w:hint="cs"/>
          <w:rtl/>
        </w:rPr>
        <w:t>ألف-11-1-ألف، وألف-11-1-باء</w:t>
      </w:r>
      <w:r>
        <w:rPr>
          <w:rtl/>
        </w:rPr>
        <w:t xml:space="preserve">) ووصف الجهود التي بذلتها الدولة الطرف لتعزيز تنويع </w:t>
      </w:r>
      <w:r>
        <w:rPr>
          <w:rFonts w:hint="cs"/>
          <w:rtl/>
        </w:rPr>
        <w:t>ال</w:t>
      </w:r>
      <w:r>
        <w:rPr>
          <w:rtl/>
        </w:rPr>
        <w:t>خيارات التعليمية والمهنية للنساء والرجال</w:t>
      </w:r>
      <w:r w:rsidR="00686FF2">
        <w:rPr>
          <w:rtl/>
        </w:rPr>
        <w:t>.</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E70ADC">
        <w:rPr>
          <w:rtl/>
        </w:rPr>
        <w:t>العمالة</w:t>
      </w:r>
      <w:r w:rsidR="000D359B">
        <w:rPr>
          <w:rtl/>
        </w:rPr>
        <w:t xml:space="preserve"> </w:t>
      </w:r>
    </w:p>
    <w:p w:rsidR="000D359B" w:rsidRDefault="000D359B" w:rsidP="000D359B">
      <w:pPr>
        <w:pStyle w:val="SingleTxt"/>
      </w:pPr>
      <w:r>
        <w:rPr>
          <w:rtl/>
        </w:rPr>
        <w:t>16</w:t>
      </w:r>
      <w:r>
        <w:rPr>
          <w:rFonts w:hint="cs"/>
          <w:rtl/>
        </w:rPr>
        <w:t xml:space="preserve"> -</w:t>
      </w:r>
      <w:r>
        <w:rPr>
          <w:rFonts w:hint="cs"/>
          <w:rtl/>
        </w:rPr>
        <w:tab/>
        <w:t>يرجى بيان الخطوات</w:t>
      </w:r>
      <w:r>
        <w:rPr>
          <w:rtl/>
        </w:rPr>
        <w:t xml:space="preserve"> المحددة المتخذة </w:t>
      </w:r>
      <w:r>
        <w:rPr>
          <w:rFonts w:hint="cs"/>
          <w:rtl/>
        </w:rPr>
        <w:t xml:space="preserve">أثناء الفترة المشمولة بالتقرير </w:t>
      </w:r>
      <w:r>
        <w:rPr>
          <w:rtl/>
        </w:rPr>
        <w:t xml:space="preserve">لمعالجة استمرار </w:t>
      </w:r>
      <w:r>
        <w:rPr>
          <w:rFonts w:hint="cs"/>
          <w:rtl/>
        </w:rPr>
        <w:t xml:space="preserve">الفصل </w:t>
      </w:r>
      <w:r>
        <w:rPr>
          <w:rtl/>
        </w:rPr>
        <w:t xml:space="preserve">المهني </w:t>
      </w:r>
      <w:r>
        <w:rPr>
          <w:rFonts w:hint="cs"/>
          <w:rtl/>
        </w:rPr>
        <w:t>بين ا</w:t>
      </w:r>
      <w:r>
        <w:rPr>
          <w:rtl/>
        </w:rPr>
        <w:t xml:space="preserve">لرجال والنساء في سوق </w:t>
      </w:r>
      <w:r>
        <w:rPr>
          <w:rFonts w:hint="cs"/>
          <w:rtl/>
        </w:rPr>
        <w:t xml:space="preserve">العمل </w:t>
      </w:r>
      <w:r>
        <w:rPr>
          <w:rtl/>
        </w:rPr>
        <w:t>والفجوة بين الجنسين في الأجور السائدة في القطاعين الخاص والعام (الفقرة 165)</w:t>
      </w:r>
      <w:r w:rsidR="00686FF2">
        <w:rPr>
          <w:rtl/>
        </w:rPr>
        <w:t>.</w:t>
      </w:r>
      <w:r>
        <w:rPr>
          <w:rtl/>
        </w:rPr>
        <w:t xml:space="preserve"> يرجى </w:t>
      </w:r>
      <w:r>
        <w:rPr>
          <w:rFonts w:hint="cs"/>
          <w:rtl/>
        </w:rPr>
        <w:t xml:space="preserve">بيان </w:t>
      </w:r>
      <w:r>
        <w:rPr>
          <w:rtl/>
        </w:rPr>
        <w:t xml:space="preserve">الخطوات المتخذة لتعزيز </w:t>
      </w:r>
      <w:r>
        <w:rPr>
          <w:rFonts w:hint="cs"/>
          <w:rtl/>
        </w:rPr>
        <w:t>الفرص</w:t>
      </w:r>
      <w:r w:rsidRPr="00E70ADC">
        <w:rPr>
          <w:rFonts w:hint="cs"/>
          <w:rtl/>
        </w:rPr>
        <w:t xml:space="preserve"> </w:t>
      </w:r>
      <w:r>
        <w:rPr>
          <w:rFonts w:hint="cs"/>
          <w:rtl/>
        </w:rPr>
        <w:t>المتاحة ل</w:t>
      </w:r>
      <w:r>
        <w:rPr>
          <w:rtl/>
        </w:rPr>
        <w:t>لمرأة</w:t>
      </w:r>
      <w:r>
        <w:rPr>
          <w:rFonts w:hint="cs"/>
          <w:rtl/>
        </w:rPr>
        <w:t xml:space="preserve"> للتطوير الوظيفي و</w:t>
      </w:r>
      <w:r>
        <w:rPr>
          <w:rtl/>
        </w:rPr>
        <w:t xml:space="preserve">الحصول على </w:t>
      </w:r>
      <w:r>
        <w:rPr>
          <w:rFonts w:hint="cs"/>
          <w:rtl/>
        </w:rPr>
        <w:t>نطاق</w:t>
      </w:r>
      <w:r>
        <w:rPr>
          <w:rtl/>
        </w:rPr>
        <w:t xml:space="preserve"> واسع من </w:t>
      </w:r>
      <w:r>
        <w:rPr>
          <w:rFonts w:hint="cs"/>
          <w:rtl/>
        </w:rPr>
        <w:t>ا</w:t>
      </w:r>
      <w:r>
        <w:rPr>
          <w:rtl/>
        </w:rPr>
        <w:t xml:space="preserve">لوظائف. يرجى </w:t>
      </w:r>
      <w:r>
        <w:rPr>
          <w:rFonts w:hint="cs"/>
          <w:rtl/>
        </w:rPr>
        <w:t>بيان ما إذا ما</w:t>
      </w:r>
      <w:r w:rsidR="00686FF2">
        <w:rPr>
          <w:rFonts w:hint="cs"/>
          <w:rtl/>
        </w:rPr>
        <w:t xml:space="preserve"> </w:t>
      </w:r>
      <w:r>
        <w:rPr>
          <w:rFonts w:hint="cs"/>
          <w:rtl/>
        </w:rPr>
        <w:t xml:space="preserve">كانت </w:t>
      </w:r>
      <w:r>
        <w:rPr>
          <w:rtl/>
        </w:rPr>
        <w:t xml:space="preserve">الدولة الطرف </w:t>
      </w:r>
      <w:r>
        <w:rPr>
          <w:rFonts w:hint="cs"/>
          <w:rtl/>
        </w:rPr>
        <w:t xml:space="preserve">قد نفذت </w:t>
      </w:r>
      <w:r>
        <w:rPr>
          <w:rtl/>
        </w:rPr>
        <w:t xml:space="preserve">التوصية السابقة للجنة </w:t>
      </w:r>
      <w:r>
        <w:rPr>
          <w:rFonts w:hint="cs"/>
          <w:rtl/>
        </w:rPr>
        <w:t>ب</w:t>
      </w:r>
      <w:r>
        <w:rPr>
          <w:rtl/>
        </w:rPr>
        <w:t xml:space="preserve">اعتماد </w:t>
      </w:r>
      <w:r>
        <w:rPr>
          <w:rFonts w:hint="cs"/>
          <w:rtl/>
        </w:rPr>
        <w:t>سن ا</w:t>
      </w:r>
      <w:r>
        <w:rPr>
          <w:rtl/>
        </w:rPr>
        <w:t xml:space="preserve">لتقاعد الإلزامي </w:t>
      </w:r>
      <w:r>
        <w:rPr>
          <w:rFonts w:hint="cs"/>
          <w:rtl/>
        </w:rPr>
        <w:t xml:space="preserve">نفسه </w:t>
      </w:r>
      <w:r>
        <w:rPr>
          <w:rtl/>
        </w:rPr>
        <w:t>لل</w:t>
      </w:r>
      <w:r>
        <w:rPr>
          <w:rFonts w:hint="cs"/>
          <w:rtl/>
        </w:rPr>
        <w:t xml:space="preserve">مرأة </w:t>
      </w:r>
      <w:r>
        <w:rPr>
          <w:rtl/>
        </w:rPr>
        <w:t>والرجل (الفقرتان 174 و</w:t>
      </w:r>
      <w:r w:rsidR="00093DAC">
        <w:rPr>
          <w:rFonts w:hint="cs"/>
          <w:rtl/>
        </w:rPr>
        <w:t xml:space="preserve"> </w:t>
      </w:r>
      <w:r>
        <w:rPr>
          <w:rtl/>
        </w:rPr>
        <w:t xml:space="preserve">175). </w:t>
      </w:r>
      <w:r>
        <w:rPr>
          <w:rFonts w:hint="cs"/>
          <w:rtl/>
        </w:rPr>
        <w:t xml:space="preserve">يرجى تقديم </w:t>
      </w:r>
      <w:r>
        <w:rPr>
          <w:rtl/>
        </w:rPr>
        <w:t xml:space="preserve">بيانات </w:t>
      </w:r>
      <w:r>
        <w:rPr>
          <w:rFonts w:hint="cs"/>
          <w:rtl/>
        </w:rPr>
        <w:t>عن ال</w:t>
      </w:r>
      <w:r>
        <w:rPr>
          <w:rtl/>
        </w:rPr>
        <w:t xml:space="preserve">قضايا </w:t>
      </w:r>
      <w:r>
        <w:rPr>
          <w:rFonts w:hint="cs"/>
          <w:rtl/>
        </w:rPr>
        <w:t xml:space="preserve">التي قدمت خلال </w:t>
      </w:r>
      <w:r>
        <w:rPr>
          <w:rtl/>
        </w:rPr>
        <w:t xml:space="preserve">الفترة المشمولة بالتقرير </w:t>
      </w:r>
      <w:r>
        <w:rPr>
          <w:rFonts w:hint="cs"/>
          <w:rtl/>
        </w:rPr>
        <w:t xml:space="preserve">بشأن </w:t>
      </w:r>
      <w:r>
        <w:rPr>
          <w:rtl/>
        </w:rPr>
        <w:t>التمييز ضد المرأة في مكان العمل، بما في ذلك التمييز في الأجور والتحرش الجنسي، جنبا إلى جنب مع نتائج</w:t>
      </w:r>
      <w:r>
        <w:rPr>
          <w:rFonts w:hint="cs"/>
          <w:rtl/>
        </w:rPr>
        <w:t xml:space="preserve"> هذه</w:t>
      </w:r>
      <w:r>
        <w:rPr>
          <w:rtl/>
        </w:rPr>
        <w:t xml:space="preserve"> </w:t>
      </w:r>
      <w:r>
        <w:rPr>
          <w:rFonts w:hint="cs"/>
          <w:rtl/>
        </w:rPr>
        <w:t xml:space="preserve">القضايا </w:t>
      </w:r>
      <w:r>
        <w:rPr>
          <w:rtl/>
        </w:rPr>
        <w:t>(الفقرات 209-213)</w:t>
      </w:r>
      <w:r w:rsidR="00686FF2">
        <w:rPr>
          <w:rtl/>
        </w:rPr>
        <w:t>.</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C81F24">
        <w:rPr>
          <w:rtl/>
        </w:rPr>
        <w:t>الصحة</w:t>
      </w:r>
      <w:r w:rsidR="000D359B">
        <w:rPr>
          <w:rtl/>
        </w:rPr>
        <w:t xml:space="preserve"> </w:t>
      </w:r>
    </w:p>
    <w:p w:rsidR="000D359B" w:rsidRDefault="000D359B" w:rsidP="000D359B">
      <w:pPr>
        <w:pStyle w:val="SingleTxt"/>
      </w:pPr>
      <w:r>
        <w:rPr>
          <w:rtl/>
        </w:rPr>
        <w:t>17</w:t>
      </w:r>
      <w:r>
        <w:rPr>
          <w:rFonts w:hint="cs"/>
          <w:rtl/>
        </w:rPr>
        <w:t xml:space="preserve"> -</w:t>
      </w:r>
      <w:r>
        <w:rPr>
          <w:rFonts w:hint="cs"/>
          <w:rtl/>
        </w:rPr>
        <w:tab/>
      </w:r>
      <w:r>
        <w:rPr>
          <w:rtl/>
        </w:rPr>
        <w:t>يرجى تقديم معلومات عن مدى فعالية التدابير المبينة لمنع عمليات الإجهاض غير القانونية وتأثيرها على صحة المرأة وحيا</w:t>
      </w:r>
      <w:r>
        <w:rPr>
          <w:rFonts w:hint="cs"/>
          <w:rtl/>
        </w:rPr>
        <w:t>تها</w:t>
      </w:r>
      <w:r>
        <w:rPr>
          <w:rtl/>
        </w:rPr>
        <w:t xml:space="preserve"> </w:t>
      </w:r>
      <w:r>
        <w:rPr>
          <w:rFonts w:hint="cs"/>
          <w:rtl/>
        </w:rPr>
        <w:t>وبيان ما إذا كانت</w:t>
      </w:r>
      <w:r>
        <w:rPr>
          <w:rtl/>
        </w:rPr>
        <w:t xml:space="preserve"> الأطر القانونية والسياسية تمكن المرأة من ال</w:t>
      </w:r>
      <w:r>
        <w:rPr>
          <w:rFonts w:hint="cs"/>
          <w:rtl/>
        </w:rPr>
        <w:t>ح</w:t>
      </w:r>
      <w:r>
        <w:rPr>
          <w:rtl/>
        </w:rPr>
        <w:t xml:space="preserve">صول </w:t>
      </w:r>
      <w:r>
        <w:rPr>
          <w:rFonts w:hint="cs"/>
          <w:rtl/>
        </w:rPr>
        <w:t>على الإجهاض حيث يكون ال</w:t>
      </w:r>
      <w:r>
        <w:rPr>
          <w:rtl/>
        </w:rPr>
        <w:t xml:space="preserve">إجراء </w:t>
      </w:r>
      <w:r>
        <w:rPr>
          <w:rFonts w:hint="cs"/>
          <w:rtl/>
        </w:rPr>
        <w:t>ال</w:t>
      </w:r>
      <w:r>
        <w:rPr>
          <w:rtl/>
        </w:rPr>
        <w:t xml:space="preserve">طبي </w:t>
      </w:r>
      <w:r>
        <w:rPr>
          <w:rFonts w:hint="cs"/>
          <w:rtl/>
        </w:rPr>
        <w:t>م</w:t>
      </w:r>
      <w:r>
        <w:rPr>
          <w:rtl/>
        </w:rPr>
        <w:t>سم</w:t>
      </w:r>
      <w:r>
        <w:rPr>
          <w:rFonts w:hint="cs"/>
          <w:rtl/>
        </w:rPr>
        <w:t>و</w:t>
      </w:r>
      <w:r>
        <w:rPr>
          <w:rtl/>
        </w:rPr>
        <w:t>ح</w:t>
      </w:r>
      <w:r>
        <w:rPr>
          <w:rFonts w:hint="cs"/>
          <w:rtl/>
        </w:rPr>
        <w:t>ا</w:t>
      </w:r>
      <w:r>
        <w:rPr>
          <w:rtl/>
        </w:rPr>
        <w:t xml:space="preserve"> </w:t>
      </w:r>
      <w:r>
        <w:rPr>
          <w:rFonts w:hint="cs"/>
          <w:rtl/>
        </w:rPr>
        <w:t xml:space="preserve">بموجب </w:t>
      </w:r>
      <w:r>
        <w:rPr>
          <w:rtl/>
        </w:rPr>
        <w:t xml:space="preserve">القانون. </w:t>
      </w:r>
      <w:r>
        <w:rPr>
          <w:rFonts w:hint="cs"/>
          <w:rtl/>
        </w:rPr>
        <w:t xml:space="preserve">يرجى تقديم </w:t>
      </w:r>
      <w:r>
        <w:rPr>
          <w:rtl/>
        </w:rPr>
        <w:t xml:space="preserve">بيانات </w:t>
      </w:r>
      <w:r>
        <w:rPr>
          <w:rFonts w:hint="cs"/>
          <w:rtl/>
        </w:rPr>
        <w:t xml:space="preserve">مستكملة عن </w:t>
      </w:r>
      <w:r>
        <w:rPr>
          <w:rtl/>
        </w:rPr>
        <w:t xml:space="preserve">عدد </w:t>
      </w:r>
      <w:r>
        <w:rPr>
          <w:rFonts w:hint="cs"/>
          <w:rtl/>
        </w:rPr>
        <w:t xml:space="preserve">الحالات أثناء الفترة المشمولة بالتقرير التي رفض فيها فرادى </w:t>
      </w:r>
      <w:r>
        <w:rPr>
          <w:rtl/>
        </w:rPr>
        <w:t xml:space="preserve">الأطباء والمرافق الصحية إنهاء الحمل عن طريق </w:t>
      </w:r>
      <w:r>
        <w:rPr>
          <w:rFonts w:hint="cs"/>
          <w:rtl/>
        </w:rPr>
        <w:t>الاحتجاج ب</w:t>
      </w:r>
      <w:r>
        <w:rPr>
          <w:rtl/>
        </w:rPr>
        <w:t xml:space="preserve">ما يسمى </w:t>
      </w:r>
      <w:r>
        <w:rPr>
          <w:rFonts w:hint="cs"/>
          <w:rtl/>
        </w:rPr>
        <w:t>استنكاف</w:t>
      </w:r>
      <w:r>
        <w:rPr>
          <w:rtl/>
        </w:rPr>
        <w:t xml:space="preserve"> الضم</w:t>
      </w:r>
      <w:r>
        <w:rPr>
          <w:rFonts w:hint="cs"/>
          <w:rtl/>
        </w:rPr>
        <w:t>ي</w:t>
      </w:r>
      <w:r>
        <w:rPr>
          <w:rtl/>
        </w:rPr>
        <w:t>ر وتوضيح الخطوات التي اتخذت ل</w:t>
      </w:r>
      <w:r>
        <w:rPr>
          <w:rFonts w:hint="cs"/>
          <w:rtl/>
        </w:rPr>
        <w:t xml:space="preserve">كفالة </w:t>
      </w:r>
      <w:r>
        <w:rPr>
          <w:rtl/>
        </w:rPr>
        <w:t xml:space="preserve">الوصول إلى الإجهاض القانوني. يرجى تقديم معلومات عن التدابير المتخذة </w:t>
      </w:r>
      <w:r>
        <w:rPr>
          <w:rFonts w:hint="cs"/>
          <w:rtl/>
        </w:rPr>
        <w:t xml:space="preserve">لتعزيز </w:t>
      </w:r>
      <w:r>
        <w:rPr>
          <w:rtl/>
        </w:rPr>
        <w:t>ال</w:t>
      </w:r>
      <w:r>
        <w:rPr>
          <w:rFonts w:hint="cs"/>
          <w:rtl/>
        </w:rPr>
        <w:t>ح</w:t>
      </w:r>
      <w:r>
        <w:rPr>
          <w:rtl/>
        </w:rPr>
        <w:t xml:space="preserve">صول </w:t>
      </w:r>
      <w:r>
        <w:rPr>
          <w:rFonts w:hint="cs"/>
          <w:rtl/>
        </w:rPr>
        <w:t>ع</w:t>
      </w:r>
      <w:r>
        <w:rPr>
          <w:rtl/>
        </w:rPr>
        <w:t>لى وسائل منع الحمل و</w:t>
      </w:r>
      <w:r>
        <w:rPr>
          <w:rFonts w:hint="cs"/>
          <w:rtl/>
        </w:rPr>
        <w:t xml:space="preserve">بيان الخطوات المتخذة لإدماج </w:t>
      </w:r>
      <w:r>
        <w:rPr>
          <w:rtl/>
        </w:rPr>
        <w:t xml:space="preserve">التثقيف </w:t>
      </w:r>
      <w:r>
        <w:rPr>
          <w:rFonts w:hint="cs"/>
          <w:rtl/>
        </w:rPr>
        <w:t xml:space="preserve">المناسب للعمر </w:t>
      </w:r>
      <w:r>
        <w:rPr>
          <w:rtl/>
        </w:rPr>
        <w:t>في مجال الصحة والحقوق الجنسية والإنجابية، بما في ذلك السلوك الجنسي المسؤول، في المناهج التعليمية (الفقرتان 154 و</w:t>
      </w:r>
      <w:r w:rsidR="00093DAC">
        <w:rPr>
          <w:rFonts w:hint="cs"/>
          <w:rtl/>
        </w:rPr>
        <w:t xml:space="preserve"> </w:t>
      </w:r>
      <w:r>
        <w:rPr>
          <w:rtl/>
        </w:rPr>
        <w:t>156)</w:t>
      </w:r>
      <w:r w:rsidR="00686FF2">
        <w:rPr>
          <w:rtl/>
        </w:rPr>
        <w:t>.</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F02F7A">
        <w:rPr>
          <w:rtl/>
        </w:rPr>
        <w:t>المرأة الريفية</w:t>
      </w:r>
      <w:r w:rsidR="000D359B">
        <w:rPr>
          <w:rtl/>
        </w:rPr>
        <w:t xml:space="preserve"> </w:t>
      </w:r>
    </w:p>
    <w:p w:rsidR="000D359B" w:rsidRDefault="000D359B" w:rsidP="00066291">
      <w:pPr>
        <w:pStyle w:val="SingleTxt"/>
      </w:pPr>
      <w:r>
        <w:rPr>
          <w:rtl/>
        </w:rPr>
        <w:t>18</w:t>
      </w:r>
      <w:r>
        <w:rPr>
          <w:rFonts w:hint="cs"/>
          <w:rtl/>
        </w:rPr>
        <w:t xml:space="preserve"> -</w:t>
      </w:r>
      <w:r>
        <w:rPr>
          <w:rFonts w:hint="cs"/>
          <w:rtl/>
        </w:rPr>
        <w:tab/>
      </w:r>
      <w:r>
        <w:rPr>
          <w:rtl/>
        </w:rPr>
        <w:t xml:space="preserve">يرجى تقديم معلومات عن </w:t>
      </w:r>
      <w:r>
        <w:rPr>
          <w:rFonts w:hint="cs"/>
          <w:rtl/>
        </w:rPr>
        <w:t>تأثير</w:t>
      </w:r>
      <w:r>
        <w:rPr>
          <w:rtl/>
        </w:rPr>
        <w:t xml:space="preserve"> السياسات والبرامج التي تنفذ</w:t>
      </w:r>
      <w:r>
        <w:rPr>
          <w:rFonts w:hint="cs"/>
          <w:rtl/>
        </w:rPr>
        <w:t xml:space="preserve"> لتعزيز ح</w:t>
      </w:r>
      <w:r>
        <w:rPr>
          <w:rtl/>
        </w:rPr>
        <w:t xml:space="preserve">صول المرأة الريفية على </w:t>
      </w:r>
      <w:r>
        <w:rPr>
          <w:rFonts w:hint="cs"/>
          <w:rtl/>
        </w:rPr>
        <w:t xml:space="preserve">فرص </w:t>
      </w:r>
      <w:r>
        <w:rPr>
          <w:rtl/>
        </w:rPr>
        <w:t xml:space="preserve">التوظيف </w:t>
      </w:r>
      <w:r>
        <w:rPr>
          <w:rFonts w:hint="cs"/>
          <w:rtl/>
        </w:rPr>
        <w:t xml:space="preserve">والمشاركة في </w:t>
      </w:r>
      <w:r>
        <w:rPr>
          <w:rtl/>
        </w:rPr>
        <w:t xml:space="preserve">صنع القرار </w:t>
      </w:r>
      <w:r>
        <w:rPr>
          <w:rFonts w:hint="cs"/>
          <w:rtl/>
        </w:rPr>
        <w:t xml:space="preserve">في </w:t>
      </w:r>
      <w:r>
        <w:rPr>
          <w:rtl/>
        </w:rPr>
        <w:t xml:space="preserve">الحكم المحلي، على النحو </w:t>
      </w:r>
      <w:r>
        <w:rPr>
          <w:rFonts w:hint="cs"/>
          <w:rtl/>
        </w:rPr>
        <w:t xml:space="preserve">الذي أوصت به </w:t>
      </w:r>
      <w:r>
        <w:rPr>
          <w:rtl/>
        </w:rPr>
        <w:t>اللجنة في ملاحظات</w:t>
      </w:r>
      <w:r>
        <w:rPr>
          <w:rFonts w:hint="cs"/>
          <w:rtl/>
        </w:rPr>
        <w:t>ها</w:t>
      </w:r>
      <w:r>
        <w:rPr>
          <w:rtl/>
        </w:rPr>
        <w:t xml:space="preserve"> الختامية السابقة (</w:t>
      </w:r>
      <w:hyperlink r:id="rId19" w:history="1">
        <w:r w:rsidRPr="00AE2142">
          <w:rPr>
            <w:rStyle w:val="Hyperlink"/>
            <w:szCs w:val="20"/>
          </w:rPr>
          <w:t>CEDAW/C/POL/CO/6</w:t>
        </w:r>
      </w:hyperlink>
      <w:r>
        <w:rPr>
          <w:rFonts w:hint="cs"/>
          <w:rtl/>
        </w:rPr>
        <w:t>، الفقرة 27</w:t>
      </w:r>
      <w:r>
        <w:rPr>
          <w:rtl/>
        </w:rPr>
        <w:t xml:space="preserve">). </w:t>
      </w:r>
      <w:r>
        <w:rPr>
          <w:rFonts w:hint="cs"/>
          <w:rtl/>
        </w:rPr>
        <w:t>ما</w:t>
      </w:r>
      <w:r w:rsidR="00066291">
        <w:rPr>
          <w:rFonts w:hint="eastAsia"/>
          <w:rtl/>
        </w:rPr>
        <w:t> </w:t>
      </w:r>
      <w:r>
        <w:rPr>
          <w:rFonts w:hint="cs"/>
          <w:rtl/>
        </w:rPr>
        <w:t>هي الخطوات التي</w:t>
      </w:r>
      <w:r w:rsidR="00647B5D">
        <w:rPr>
          <w:rFonts w:hint="cs"/>
          <w:rtl/>
        </w:rPr>
        <w:t xml:space="preserve"> </w:t>
      </w:r>
      <w:r>
        <w:rPr>
          <w:rtl/>
        </w:rPr>
        <w:t xml:space="preserve">اتخذت لمعالجة اضطرابات الدورة الدموية بين النساء في المناطق الريفية، </w:t>
      </w:r>
      <w:r>
        <w:rPr>
          <w:rFonts w:hint="cs"/>
          <w:rtl/>
        </w:rPr>
        <w:t xml:space="preserve">التي تساهم في </w:t>
      </w:r>
      <w:r>
        <w:rPr>
          <w:rtl/>
        </w:rPr>
        <w:t xml:space="preserve">ارتفاع معدل وفيات الإناث في المناطق الريفية </w:t>
      </w:r>
      <w:r>
        <w:rPr>
          <w:rFonts w:hint="cs"/>
          <w:rtl/>
        </w:rPr>
        <w:t>بال</w:t>
      </w:r>
      <w:r>
        <w:rPr>
          <w:rtl/>
        </w:rPr>
        <w:t>مقارنة مع المناطق الحضرية (الفقرة 265)؟</w:t>
      </w:r>
    </w:p>
    <w:p w:rsidR="00686FF2" w:rsidRPr="00686FF2" w:rsidRDefault="00686FF2" w:rsidP="00686FF2">
      <w:pPr>
        <w:pStyle w:val="SingleTxt"/>
        <w:spacing w:after="0" w:line="120" w:lineRule="exact"/>
        <w:rPr>
          <w:b/>
          <w:bCs/>
          <w:sz w:val="10"/>
          <w:rtl/>
        </w:rPr>
      </w:pPr>
    </w:p>
    <w:p w:rsidR="000D359B" w:rsidRDefault="00686FF2" w:rsidP="00686FF2">
      <w:pPr>
        <w:pStyle w:val="H23"/>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0D359B" w:rsidRPr="00F02F7A">
        <w:rPr>
          <w:rtl/>
        </w:rPr>
        <w:t>الفئات المحرومة من النساء</w:t>
      </w:r>
      <w:r w:rsidR="000D359B">
        <w:rPr>
          <w:rtl/>
        </w:rPr>
        <w:t xml:space="preserve"> </w:t>
      </w:r>
    </w:p>
    <w:p w:rsidR="000D359B" w:rsidRDefault="000D359B" w:rsidP="00066291">
      <w:pPr>
        <w:pStyle w:val="SingleTxt"/>
      </w:pPr>
      <w:r>
        <w:rPr>
          <w:rtl/>
        </w:rPr>
        <w:t>19</w:t>
      </w:r>
      <w:r>
        <w:rPr>
          <w:rFonts w:hint="cs"/>
          <w:rtl/>
        </w:rPr>
        <w:t xml:space="preserve"> -</w:t>
      </w:r>
      <w:r>
        <w:rPr>
          <w:rFonts w:hint="cs"/>
          <w:rtl/>
        </w:rPr>
        <w:tab/>
        <w:t xml:space="preserve">يرجى تقديم </w:t>
      </w:r>
      <w:r>
        <w:rPr>
          <w:rtl/>
        </w:rPr>
        <w:t xml:space="preserve">معلومات </w:t>
      </w:r>
      <w:r>
        <w:rPr>
          <w:rFonts w:hint="cs"/>
          <w:rtl/>
        </w:rPr>
        <w:t>مستكملة</w:t>
      </w:r>
      <w:r>
        <w:rPr>
          <w:rtl/>
        </w:rPr>
        <w:t>، بما في ذلك بيانات إحصائية مصنفة، عن حالة الفئات المحرومة من النساء والفتيات، بما في ذلك اللاجئ</w:t>
      </w:r>
      <w:r>
        <w:rPr>
          <w:rFonts w:hint="cs"/>
          <w:rtl/>
        </w:rPr>
        <w:t>ات</w:t>
      </w:r>
      <w:r>
        <w:rPr>
          <w:rtl/>
        </w:rPr>
        <w:t xml:space="preserve"> وطالب</w:t>
      </w:r>
      <w:r>
        <w:rPr>
          <w:rFonts w:hint="cs"/>
          <w:rtl/>
        </w:rPr>
        <w:t>ات</w:t>
      </w:r>
      <w:r>
        <w:rPr>
          <w:rtl/>
        </w:rPr>
        <w:t xml:space="preserve"> اللجوء والمهاجر</w:t>
      </w:r>
      <w:r>
        <w:rPr>
          <w:rFonts w:hint="cs"/>
          <w:rtl/>
        </w:rPr>
        <w:t>ات</w:t>
      </w:r>
      <w:r>
        <w:rPr>
          <w:rtl/>
        </w:rPr>
        <w:t>، م</w:t>
      </w:r>
      <w:r>
        <w:rPr>
          <w:rFonts w:hint="cs"/>
          <w:rtl/>
        </w:rPr>
        <w:t>ما</w:t>
      </w:r>
      <w:r w:rsidR="00066291">
        <w:rPr>
          <w:rFonts w:hint="cs"/>
          <w:rtl/>
        </w:rPr>
        <w:t> </w:t>
      </w:r>
      <w:r>
        <w:rPr>
          <w:rFonts w:hint="cs"/>
          <w:rtl/>
        </w:rPr>
        <w:t>يتيح إجراء تقييمات لل</w:t>
      </w:r>
      <w:r>
        <w:rPr>
          <w:rtl/>
        </w:rPr>
        <w:t xml:space="preserve">أشكال </w:t>
      </w:r>
      <w:r>
        <w:rPr>
          <w:rFonts w:hint="cs"/>
          <w:rtl/>
        </w:rPr>
        <w:t>ال</w:t>
      </w:r>
      <w:r>
        <w:rPr>
          <w:rtl/>
        </w:rPr>
        <w:t>متعددة من التمييز، ووصف التدابير المتخذة لتعزيز حصوله</w:t>
      </w:r>
      <w:r>
        <w:rPr>
          <w:rFonts w:hint="cs"/>
          <w:rtl/>
        </w:rPr>
        <w:t>ن</w:t>
      </w:r>
      <w:r>
        <w:rPr>
          <w:rtl/>
        </w:rPr>
        <w:t xml:space="preserve"> </w:t>
      </w:r>
      <w:r>
        <w:rPr>
          <w:rFonts w:hint="cs"/>
          <w:rtl/>
        </w:rPr>
        <w:t xml:space="preserve">بوجه خاص </w:t>
      </w:r>
      <w:r>
        <w:rPr>
          <w:rtl/>
        </w:rPr>
        <w:t>على التعليم والعمل والرعاية الصح</w:t>
      </w:r>
      <w:r>
        <w:rPr>
          <w:rFonts w:hint="cs"/>
          <w:rtl/>
        </w:rPr>
        <w:t>ي</w:t>
      </w:r>
      <w:r>
        <w:rPr>
          <w:rtl/>
        </w:rPr>
        <w:t>ة والسكن الملائم والحماية من العنف ودعم اندماجه</w:t>
      </w:r>
      <w:r>
        <w:rPr>
          <w:rFonts w:hint="cs"/>
          <w:rtl/>
        </w:rPr>
        <w:t>ن</w:t>
      </w:r>
      <w:r>
        <w:rPr>
          <w:rtl/>
        </w:rPr>
        <w:t xml:space="preserve"> في المجتمع. يرجى توضيح الخطوات المتخذة لإنشاء آلية </w:t>
      </w:r>
      <w:r>
        <w:rPr>
          <w:rFonts w:hint="cs"/>
          <w:rtl/>
        </w:rPr>
        <w:t xml:space="preserve">وطنية </w:t>
      </w:r>
      <w:r>
        <w:rPr>
          <w:rtl/>
        </w:rPr>
        <w:t>للت</w:t>
      </w:r>
      <w:r>
        <w:rPr>
          <w:rFonts w:hint="cs"/>
          <w:rtl/>
        </w:rPr>
        <w:t xml:space="preserve">عرف </w:t>
      </w:r>
      <w:r>
        <w:rPr>
          <w:rtl/>
        </w:rPr>
        <w:t xml:space="preserve">المبكر </w:t>
      </w:r>
      <w:r>
        <w:rPr>
          <w:rFonts w:hint="cs"/>
          <w:rtl/>
        </w:rPr>
        <w:t xml:space="preserve">على طالبي </w:t>
      </w:r>
      <w:r>
        <w:rPr>
          <w:rtl/>
        </w:rPr>
        <w:t xml:space="preserve">اللجوء </w:t>
      </w:r>
      <w:r>
        <w:rPr>
          <w:rFonts w:hint="cs"/>
          <w:rtl/>
        </w:rPr>
        <w:t>ذوي الاحتياجات الخاصة</w:t>
      </w:r>
      <w:r>
        <w:rPr>
          <w:rtl/>
        </w:rPr>
        <w:t>، ولا سيما النساء</w:t>
      </w:r>
      <w:r>
        <w:rPr>
          <w:rFonts w:hint="cs"/>
          <w:rtl/>
        </w:rPr>
        <w:t xml:space="preserve"> منهم</w:t>
      </w:r>
      <w:r>
        <w:rPr>
          <w:rtl/>
        </w:rPr>
        <w:t xml:space="preserve">، </w:t>
      </w:r>
      <w:r>
        <w:rPr>
          <w:rFonts w:hint="cs"/>
          <w:rtl/>
        </w:rPr>
        <w:t xml:space="preserve">وتوضيح ما إذا كان يُكفل لهم </w:t>
      </w:r>
      <w:r>
        <w:rPr>
          <w:rtl/>
        </w:rPr>
        <w:t>ال</w:t>
      </w:r>
      <w:r>
        <w:rPr>
          <w:rFonts w:hint="cs"/>
          <w:rtl/>
        </w:rPr>
        <w:t>ح</w:t>
      </w:r>
      <w:r>
        <w:rPr>
          <w:rtl/>
        </w:rPr>
        <w:t xml:space="preserve">صول </w:t>
      </w:r>
      <w:r>
        <w:rPr>
          <w:rFonts w:hint="cs"/>
          <w:rtl/>
        </w:rPr>
        <w:t>ع</w:t>
      </w:r>
      <w:r>
        <w:rPr>
          <w:rtl/>
        </w:rPr>
        <w:t xml:space="preserve">لى مشورة قانونية </w:t>
      </w:r>
      <w:r>
        <w:rPr>
          <w:rFonts w:hint="cs"/>
          <w:rtl/>
        </w:rPr>
        <w:t xml:space="preserve">وتمثيل </w:t>
      </w:r>
      <w:r>
        <w:rPr>
          <w:rtl/>
        </w:rPr>
        <w:t>مستقل</w:t>
      </w:r>
      <w:r>
        <w:rPr>
          <w:rFonts w:hint="cs"/>
          <w:rtl/>
        </w:rPr>
        <w:t>ين</w:t>
      </w:r>
      <w:r>
        <w:rPr>
          <w:rtl/>
        </w:rPr>
        <w:t xml:space="preserve"> </w:t>
      </w:r>
      <w:r>
        <w:rPr>
          <w:rFonts w:hint="cs"/>
          <w:rtl/>
        </w:rPr>
        <w:t>ويتسمان بالكفاءة دون مقابل</w:t>
      </w:r>
      <w:r>
        <w:rPr>
          <w:rtl/>
        </w:rPr>
        <w:t>.</w:t>
      </w:r>
    </w:p>
    <w:p w:rsidR="000D359B" w:rsidRDefault="000D359B" w:rsidP="000D359B">
      <w:pPr>
        <w:pStyle w:val="SingleTxt"/>
        <w:rPr>
          <w:rFonts w:hint="cs"/>
          <w:rtl/>
        </w:rPr>
      </w:pPr>
      <w:r>
        <w:rPr>
          <w:rtl/>
        </w:rPr>
        <w:t>20</w:t>
      </w:r>
      <w:r>
        <w:rPr>
          <w:rFonts w:hint="cs"/>
          <w:rtl/>
        </w:rPr>
        <w:t xml:space="preserve"> -</w:t>
      </w:r>
      <w:r>
        <w:rPr>
          <w:rFonts w:hint="cs"/>
          <w:rtl/>
        </w:rPr>
        <w:tab/>
      </w:r>
      <w:r>
        <w:rPr>
          <w:rtl/>
        </w:rPr>
        <w:t xml:space="preserve">نظرا لعدم وجود معلومات في تقرير الدولة الطرف، يرجى وصف التدابير المتخذة لإزالة جميع الحواجز التي تحول دون وصول </w:t>
      </w:r>
      <w:r>
        <w:rPr>
          <w:rFonts w:hint="cs"/>
          <w:rtl/>
        </w:rPr>
        <w:t>النساء</w:t>
      </w:r>
      <w:r>
        <w:rPr>
          <w:rtl/>
        </w:rPr>
        <w:t xml:space="preserve"> ذ</w:t>
      </w:r>
      <w:r>
        <w:rPr>
          <w:rFonts w:hint="cs"/>
          <w:rtl/>
        </w:rPr>
        <w:t xml:space="preserve">وات </w:t>
      </w:r>
      <w:r>
        <w:rPr>
          <w:rtl/>
        </w:rPr>
        <w:t xml:space="preserve">الإعاقة </w:t>
      </w:r>
      <w:r>
        <w:rPr>
          <w:rFonts w:hint="cs"/>
          <w:rtl/>
        </w:rPr>
        <w:t xml:space="preserve">إلى </w:t>
      </w:r>
      <w:r>
        <w:rPr>
          <w:rtl/>
        </w:rPr>
        <w:t xml:space="preserve">سوق </w:t>
      </w:r>
      <w:r>
        <w:rPr>
          <w:rFonts w:hint="cs"/>
          <w:rtl/>
        </w:rPr>
        <w:t>العمل</w:t>
      </w:r>
      <w:r>
        <w:rPr>
          <w:rtl/>
        </w:rPr>
        <w:t xml:space="preserve"> والرعاية الصحية والمؤسسات التعليمية</w:t>
      </w:r>
      <w:r>
        <w:rPr>
          <w:rFonts w:hint="cs"/>
          <w:rtl/>
        </w:rPr>
        <w:t>؛</w:t>
      </w:r>
      <w:r>
        <w:rPr>
          <w:rtl/>
        </w:rPr>
        <w:t xml:space="preserve"> ومنع العنف ضد النساء ذوات الإعاقة</w:t>
      </w:r>
      <w:r>
        <w:rPr>
          <w:rFonts w:hint="cs"/>
          <w:rtl/>
        </w:rPr>
        <w:t>؛</w:t>
      </w:r>
      <w:r>
        <w:rPr>
          <w:rtl/>
        </w:rPr>
        <w:t xml:space="preserve"> وتك</w:t>
      </w:r>
      <w:r>
        <w:rPr>
          <w:rFonts w:hint="cs"/>
          <w:rtl/>
        </w:rPr>
        <w:t>ي</w:t>
      </w:r>
      <w:r>
        <w:rPr>
          <w:rtl/>
        </w:rPr>
        <w:t xml:space="preserve">يف مراكز تقديم </w:t>
      </w:r>
      <w:r>
        <w:rPr>
          <w:rFonts w:hint="cs"/>
          <w:rtl/>
        </w:rPr>
        <w:t>المعونة و</w:t>
      </w:r>
      <w:r>
        <w:rPr>
          <w:rtl/>
        </w:rPr>
        <w:t xml:space="preserve">الدعم لضحايا العنف </w:t>
      </w:r>
      <w:r>
        <w:rPr>
          <w:rFonts w:hint="cs"/>
          <w:rtl/>
        </w:rPr>
        <w:t xml:space="preserve">حسب احتياجات </w:t>
      </w:r>
      <w:r>
        <w:rPr>
          <w:rtl/>
        </w:rPr>
        <w:t xml:space="preserve">النساء ذوات الإعاقة. يرجى أيضا </w:t>
      </w:r>
      <w:r>
        <w:rPr>
          <w:rFonts w:hint="cs"/>
          <w:rtl/>
        </w:rPr>
        <w:t xml:space="preserve">بيان </w:t>
      </w:r>
      <w:r>
        <w:rPr>
          <w:rtl/>
        </w:rPr>
        <w:t xml:space="preserve">الخطوات التي اتخذت، إن وجدت، لتسهيل انتقال النساء والفتيات ذوات الإعاقة من </w:t>
      </w:r>
      <w:r>
        <w:rPr>
          <w:rFonts w:hint="cs"/>
          <w:rtl/>
        </w:rPr>
        <w:t xml:space="preserve">الرعاية في المؤسسات إلى بدائل </w:t>
      </w:r>
      <w:r>
        <w:rPr>
          <w:rtl/>
        </w:rPr>
        <w:t>الخدمة الاجتماعية المجتمعية.</w:t>
      </w:r>
      <w:r w:rsidRPr="002C5377">
        <w:rPr>
          <w:rtl/>
        </w:rPr>
        <w:t xml:space="preserve"> </w:t>
      </w:r>
    </w:p>
    <w:p w:rsidR="000D359B" w:rsidRPr="000D359B" w:rsidRDefault="000D359B" w:rsidP="000D359B">
      <w:pPr>
        <w:pStyle w:val="SingleTxt"/>
        <w:spacing w:after="0" w:line="240" w:lineRule="auto"/>
        <w:rPr>
          <w:rFonts w:hint="cs"/>
          <w:rtl/>
        </w:rPr>
      </w:pPr>
      <w:r>
        <w:rPr>
          <w:rFonts w:hint="cs"/>
          <w:noProof/>
          <w:w w:val="100"/>
          <w:rtl/>
        </w:rPr>
        <w:pict>
          <v:line id="_x0000_s1030" style="position:absolute;left:0;text-align:left;z-index:3" from="206.6pt,24pt" to="278.6pt,24pt" strokeweight=".25pt"/>
        </w:pict>
      </w:r>
    </w:p>
    <w:sectPr w:rsidR="000D359B" w:rsidRPr="000D359B" w:rsidSect="00623B8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7T13:41:00Z" w:initials="Start">
    <w:p w:rsidR="000D359B" w:rsidRDefault="000D35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NO&gt;&gt;N1425884A&lt;&lt;ODS JOB NO</w:t>
      </w:r>
      <w:r>
        <w:rPr>
          <w:rtl/>
        </w:rPr>
        <w:t>&gt;&gt;</w:t>
      </w:r>
    </w:p>
    <w:p w:rsidR="000D359B" w:rsidRDefault="000D359B">
      <w:pPr>
        <w:pStyle w:val="CommentText"/>
        <w:rPr>
          <w:rtl/>
        </w:rPr>
      </w:pPr>
      <w:r>
        <w:rPr>
          <w:rtl/>
        </w:rPr>
        <w:t>&lt;&lt;</w:t>
      </w:r>
      <w:r>
        <w:t>ODS DOC SYMBOL1&gt;&gt;CEDAW/C/POL/Q/7-8&lt;&lt;ODS DOC SYMBOL1</w:t>
      </w:r>
      <w:r>
        <w:rPr>
          <w:rtl/>
        </w:rPr>
        <w:t>&gt;&gt;</w:t>
      </w:r>
    </w:p>
    <w:p w:rsidR="000D359B" w:rsidRDefault="000D359B">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98C" w:rsidRDefault="00C9098C">
      <w:r>
        <w:separator/>
      </w:r>
    </w:p>
  </w:endnote>
  <w:endnote w:type="continuationSeparator" w:id="0">
    <w:p w:rsidR="00C9098C" w:rsidRDefault="00C909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D359B">
      <w:tblPrEx>
        <w:tblCellMar>
          <w:top w:w="0" w:type="dxa"/>
          <w:bottom w:w="0" w:type="dxa"/>
        </w:tblCellMar>
      </w:tblPrEx>
      <w:tc>
        <w:tcPr>
          <w:tcW w:w="5033" w:type="dxa"/>
          <w:shd w:val="clear" w:color="auto" w:fill="auto"/>
        </w:tcPr>
        <w:p w:rsidR="000D359B" w:rsidRPr="00623B85" w:rsidRDefault="000D359B" w:rsidP="00623B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E331B">
            <w:rPr>
              <w:w w:val="103"/>
            </w:rPr>
            <w:t>2</w:t>
          </w:r>
          <w:r>
            <w:rPr>
              <w:w w:val="103"/>
            </w:rPr>
            <w:fldChar w:fldCharType="end"/>
          </w:r>
          <w:r>
            <w:rPr>
              <w:w w:val="103"/>
            </w:rPr>
            <w:t>/</w:t>
          </w:r>
          <w:fldSimple w:instr=" NUMPAGES  \* Arabic  \* MERGEFORMAT ">
            <w:r w:rsidR="00FE331B">
              <w:rPr>
                <w:w w:val="103"/>
              </w:rPr>
              <w:t>6</w:t>
            </w:r>
          </w:fldSimple>
        </w:p>
      </w:tc>
      <w:tc>
        <w:tcPr>
          <w:tcW w:w="5033" w:type="dxa"/>
          <w:shd w:val="clear" w:color="auto" w:fill="auto"/>
        </w:tcPr>
        <w:p w:rsidR="000D359B" w:rsidRPr="00623B85" w:rsidRDefault="000D359B" w:rsidP="00623B85">
          <w:pPr>
            <w:pStyle w:val="Footer"/>
            <w:rPr>
              <w:b w:val="0"/>
              <w:w w:val="103"/>
            </w:rPr>
          </w:pPr>
          <w:fldSimple w:instr=" DOCVARIABLE &quot;FooterJN&quot; \* MERGEFORMAT ">
            <w:r w:rsidR="00647B5D">
              <w:rPr>
                <w:b w:val="0"/>
                <w:w w:val="103"/>
              </w:rPr>
              <w:t>14-25884</w:t>
            </w:r>
          </w:fldSimple>
        </w:p>
      </w:tc>
    </w:tr>
  </w:tbl>
  <w:p w:rsidR="000D359B" w:rsidRPr="00623B85" w:rsidRDefault="000D359B" w:rsidP="00623B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D359B">
      <w:tblPrEx>
        <w:tblCellMar>
          <w:top w:w="0" w:type="dxa"/>
          <w:bottom w:w="0" w:type="dxa"/>
        </w:tblCellMar>
      </w:tblPrEx>
      <w:tc>
        <w:tcPr>
          <w:tcW w:w="5033" w:type="dxa"/>
          <w:shd w:val="clear" w:color="auto" w:fill="auto"/>
        </w:tcPr>
        <w:p w:rsidR="000D359B" w:rsidRPr="00623B85" w:rsidRDefault="000D359B" w:rsidP="00623B85">
          <w:pPr>
            <w:pStyle w:val="Footer"/>
            <w:jc w:val="right"/>
            <w:rPr>
              <w:b w:val="0"/>
              <w:w w:val="103"/>
            </w:rPr>
          </w:pPr>
          <w:fldSimple w:instr=" DOCVARIABLE &quot;FooterJN&quot; \* MERGEFORMAT ">
            <w:r w:rsidR="00647B5D">
              <w:rPr>
                <w:b w:val="0"/>
                <w:w w:val="103"/>
              </w:rPr>
              <w:t>14-25884</w:t>
            </w:r>
          </w:fldSimple>
        </w:p>
      </w:tc>
      <w:tc>
        <w:tcPr>
          <w:tcW w:w="5033" w:type="dxa"/>
          <w:shd w:val="clear" w:color="auto" w:fill="auto"/>
        </w:tcPr>
        <w:p w:rsidR="000D359B" w:rsidRPr="00623B85" w:rsidRDefault="000D359B" w:rsidP="00623B85">
          <w:pPr>
            <w:pStyle w:val="Footer"/>
            <w:rPr>
              <w:w w:val="103"/>
            </w:rPr>
          </w:pPr>
          <w:r>
            <w:rPr>
              <w:w w:val="103"/>
            </w:rPr>
            <w:fldChar w:fldCharType="begin"/>
          </w:r>
          <w:r>
            <w:rPr>
              <w:w w:val="103"/>
            </w:rPr>
            <w:instrText xml:space="preserve"> PAGE  \* Arabic  \* MERGEFORMAT </w:instrText>
          </w:r>
          <w:r>
            <w:rPr>
              <w:w w:val="103"/>
            </w:rPr>
            <w:fldChar w:fldCharType="separate"/>
          </w:r>
          <w:r w:rsidR="00FE331B">
            <w:rPr>
              <w:w w:val="103"/>
            </w:rPr>
            <w:t>5</w:t>
          </w:r>
          <w:r>
            <w:rPr>
              <w:w w:val="103"/>
            </w:rPr>
            <w:fldChar w:fldCharType="end"/>
          </w:r>
          <w:r>
            <w:rPr>
              <w:w w:val="103"/>
            </w:rPr>
            <w:t>/</w:t>
          </w:r>
          <w:fldSimple w:instr=" NUMPAGES  \* Arabic  \* MERGEFORMAT ">
            <w:r w:rsidR="00FE331B">
              <w:rPr>
                <w:w w:val="103"/>
              </w:rPr>
              <w:t>6</w:t>
            </w:r>
          </w:fldSimple>
        </w:p>
      </w:tc>
    </w:tr>
  </w:tbl>
  <w:p w:rsidR="000D359B" w:rsidRPr="00623B85" w:rsidRDefault="000D359B" w:rsidP="00623B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0D359B">
      <w:tblPrEx>
        <w:tblCellMar>
          <w:top w:w="0" w:type="dxa"/>
          <w:bottom w:w="0" w:type="dxa"/>
        </w:tblCellMar>
      </w:tblPrEx>
      <w:trPr>
        <w:jc w:val="right"/>
      </w:trPr>
      <w:tc>
        <w:tcPr>
          <w:tcW w:w="3744" w:type="dxa"/>
        </w:tcPr>
        <w:p w:rsidR="000D359B" w:rsidRDefault="000D359B" w:rsidP="00623B85">
          <w:pPr>
            <w:pStyle w:val="Footer"/>
            <w:spacing w:line="240" w:lineRule="atLeast"/>
            <w:rPr>
              <w:rFonts w:cs="Times New Roman"/>
              <w:b w:val="0"/>
              <w:w w:val="103"/>
              <w:sz w:val="20"/>
            </w:rPr>
          </w:pPr>
          <w:r w:rsidRPr="00623B8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0D359B" w:rsidRPr="00634682" w:rsidRDefault="00FE331B" w:rsidP="00FE331B">
          <w:pPr>
            <w:pStyle w:val="ReleaseDate"/>
            <w:jc w:val="right"/>
            <w:rPr>
              <w:b w:val="0"/>
              <w:bCs/>
            </w:rPr>
          </w:pPr>
          <w:r>
            <w:rPr>
              <w:b w:val="0"/>
              <w:bCs/>
            </w:rPr>
            <w:t>0404</w:t>
          </w:r>
          <w:r w:rsidR="000D359B" w:rsidRPr="00634682">
            <w:rPr>
              <w:b w:val="0"/>
              <w:bCs/>
            </w:rPr>
            <w:t xml:space="preserve">14    </w:t>
          </w:r>
          <w:r>
            <w:rPr>
              <w:b w:val="0"/>
              <w:bCs/>
            </w:rPr>
            <w:t>28</w:t>
          </w:r>
          <w:r w:rsidR="000D359B" w:rsidRPr="00634682">
            <w:rPr>
              <w:b w:val="0"/>
              <w:bCs/>
            </w:rPr>
            <w:t>0314    14-25884</w:t>
          </w:r>
          <w:r w:rsidR="00066291">
            <w:rPr>
              <w:rFonts w:hint="cs"/>
              <w:b w:val="0"/>
              <w:bCs/>
              <w:rtl/>
            </w:rPr>
            <w:t>ْ</w:t>
          </w:r>
          <w:r w:rsidR="00066291">
            <w:rPr>
              <w:b w:val="0"/>
              <w:bCs/>
            </w:rPr>
            <w:t>X</w:t>
          </w:r>
          <w:r w:rsidR="000D359B" w:rsidRPr="00634682">
            <w:rPr>
              <w:b w:val="0"/>
              <w:bCs/>
            </w:rPr>
            <w:t xml:space="preserve"> (A)</w:t>
          </w:r>
        </w:p>
        <w:p w:rsidR="000D359B" w:rsidRPr="00623B85" w:rsidRDefault="000D359B" w:rsidP="00623B85">
          <w:pPr>
            <w:pStyle w:val="Footer"/>
            <w:spacing w:before="80"/>
            <w:jc w:val="right"/>
            <w:rPr>
              <w:rFonts w:ascii="Barcode 3 of 9 by request" w:hAnsi="Barcode 3 of 9 by request"/>
              <w:sz w:val="24"/>
            </w:rPr>
          </w:pPr>
          <w:fldSimple w:instr=" DOCVARIABLE &quot;Barcode&quot; \* MERGEFORMAT ">
            <w:r w:rsidR="00647B5D">
              <w:rPr>
                <w:rFonts w:ascii="Barcode 3 of 9 by request" w:hAnsi="Barcode 3 of 9 by request"/>
                <w:b w:val="0"/>
                <w:sz w:val="24"/>
              </w:rPr>
              <w:t>*1425884*</w:t>
            </w:r>
          </w:fldSimple>
        </w:p>
      </w:tc>
    </w:tr>
  </w:tbl>
  <w:p w:rsidR="000D359B" w:rsidRPr="00623B85" w:rsidRDefault="000D359B" w:rsidP="00623B85">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98C" w:rsidRPr="000D359B" w:rsidRDefault="00C9098C" w:rsidP="000D359B">
      <w:pPr>
        <w:pStyle w:val="Footer"/>
        <w:bidi/>
        <w:spacing w:after="80"/>
        <w:ind w:left="792"/>
        <w:rPr>
          <w:sz w:val="16"/>
        </w:rPr>
      </w:pPr>
      <w:r w:rsidRPr="000D359B">
        <w:rPr>
          <w:sz w:val="16"/>
          <w:rtl/>
        </w:rPr>
        <w:t>__________</w:t>
      </w:r>
    </w:p>
  </w:footnote>
  <w:footnote w:type="continuationSeparator" w:id="0">
    <w:p w:rsidR="00C9098C" w:rsidRPr="000D359B" w:rsidRDefault="00C9098C" w:rsidP="000D359B">
      <w:pPr>
        <w:pStyle w:val="Footer"/>
        <w:bidi/>
        <w:spacing w:after="80"/>
        <w:ind w:left="792"/>
        <w:rPr>
          <w:sz w:val="16"/>
        </w:rPr>
      </w:pPr>
      <w:r w:rsidRPr="000D359B">
        <w:rPr>
          <w:sz w:val="16"/>
          <w:rtl/>
        </w:rPr>
        <w:t>__________</w:t>
      </w:r>
    </w:p>
  </w:footnote>
  <w:footnote w:id="1">
    <w:p w:rsidR="000D359B" w:rsidRPr="000D359B" w:rsidRDefault="000D359B" w:rsidP="000D359B">
      <w:pPr>
        <w:pStyle w:val="FootnoteText"/>
        <w:tabs>
          <w:tab w:val="clear" w:pos="418"/>
          <w:tab w:val="clear" w:pos="662"/>
          <w:tab w:val="clear" w:pos="1987"/>
          <w:tab w:val="clear" w:pos="2650"/>
          <w:tab w:val="right" w:pos="1195"/>
          <w:tab w:val="left" w:pos="1656"/>
          <w:tab w:val="left" w:pos="2088"/>
        </w:tabs>
        <w:spacing w:after="80"/>
        <w:ind w:left="1267" w:right="1267" w:hanging="547"/>
        <w:rPr>
          <w:rFonts w:hint="cs"/>
          <w:w w:val="103"/>
          <w:rtl/>
        </w:rPr>
      </w:pPr>
      <w:r>
        <w:rPr>
          <w:rtl/>
        </w:rPr>
        <w:tab/>
      </w:r>
      <w:r w:rsidRPr="000D359B">
        <w:rPr>
          <w:w w:val="103"/>
          <w:rtl/>
        </w:rPr>
        <w:t>(</w:t>
      </w:r>
      <w:r w:rsidRPr="000D359B">
        <w:rPr>
          <w:rStyle w:val="FootnoteReference"/>
          <w:spacing w:val="0"/>
          <w:w w:val="103"/>
          <w:vertAlign w:val="baseline"/>
          <w:rtl/>
        </w:rPr>
        <w:footnoteRef/>
      </w:r>
      <w:r w:rsidRPr="000D359B">
        <w:rPr>
          <w:w w:val="103"/>
          <w:rtl/>
        </w:rPr>
        <w:t>)</w:t>
      </w:r>
      <w:r w:rsidRPr="000D359B">
        <w:rPr>
          <w:w w:val="103"/>
          <w:rtl/>
        </w:rPr>
        <w:tab/>
      </w:r>
      <w:r>
        <w:rPr>
          <w:rFonts w:hint="cs"/>
          <w:rtl/>
        </w:rPr>
        <w:t>تشير أرقام الفقرات إلى التقرير الجامع للتقريرين الدوريين السابع والثامن للدولة الطرف، ما لم يشر إلى خلاف</w:t>
      </w:r>
      <w:r>
        <w:rPr>
          <w:rFonts w:hint="eastAsia"/>
          <w:rtl/>
        </w:rPr>
        <w:t> </w:t>
      </w:r>
      <w:r>
        <w:rPr>
          <w:rFonts w:hint="cs"/>
          <w:rtl/>
        </w:rPr>
        <w:t>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D359B">
      <w:tblPrEx>
        <w:tblCellMar>
          <w:top w:w="0" w:type="dxa"/>
          <w:bottom w:w="0" w:type="dxa"/>
        </w:tblCellMar>
      </w:tblPrEx>
      <w:trPr>
        <w:trHeight w:hRule="exact" w:val="864"/>
        <w:jc w:val="center"/>
      </w:trPr>
      <w:tc>
        <w:tcPr>
          <w:tcW w:w="4925" w:type="dxa"/>
          <w:shd w:val="clear" w:color="auto" w:fill="auto"/>
          <w:vAlign w:val="bottom"/>
        </w:tcPr>
        <w:p w:rsidR="000D359B" w:rsidRDefault="000D359B" w:rsidP="00623B85">
          <w:pPr>
            <w:pStyle w:val="Header"/>
            <w:bidi/>
            <w:jc w:val="right"/>
          </w:pPr>
        </w:p>
      </w:tc>
      <w:tc>
        <w:tcPr>
          <w:tcW w:w="4925" w:type="dxa"/>
          <w:shd w:val="clear" w:color="auto" w:fill="auto"/>
          <w:vAlign w:val="bottom"/>
        </w:tcPr>
        <w:p w:rsidR="000D359B" w:rsidRPr="00623B85" w:rsidRDefault="000D359B" w:rsidP="00623B85">
          <w:pPr>
            <w:pStyle w:val="Header"/>
            <w:spacing w:after="80"/>
            <w:jc w:val="right"/>
            <w:rPr>
              <w:w w:val="103"/>
            </w:rPr>
          </w:pPr>
          <w:fldSimple w:instr=" DOCVARIABLE sss1  \* MERGEFORMAT ">
            <w:r w:rsidR="00647B5D">
              <w:rPr>
                <w:w w:val="103"/>
              </w:rPr>
              <w:t>CEDAW/C/POL/Q/7-8</w:t>
            </w:r>
          </w:fldSimple>
        </w:p>
      </w:tc>
    </w:tr>
  </w:tbl>
  <w:p w:rsidR="000D359B" w:rsidRPr="00623B85" w:rsidRDefault="000D359B" w:rsidP="00623B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D359B">
      <w:tblPrEx>
        <w:tblCellMar>
          <w:top w:w="0" w:type="dxa"/>
          <w:bottom w:w="0" w:type="dxa"/>
        </w:tblCellMar>
      </w:tblPrEx>
      <w:trPr>
        <w:trHeight w:hRule="exact" w:val="864"/>
        <w:jc w:val="center"/>
      </w:trPr>
      <w:tc>
        <w:tcPr>
          <w:tcW w:w="4925" w:type="dxa"/>
          <w:shd w:val="clear" w:color="auto" w:fill="auto"/>
          <w:vAlign w:val="bottom"/>
        </w:tcPr>
        <w:p w:rsidR="000D359B" w:rsidRPr="00623B85" w:rsidRDefault="000D359B" w:rsidP="00623B85">
          <w:pPr>
            <w:pStyle w:val="Header"/>
            <w:spacing w:after="80"/>
            <w:rPr>
              <w:rFonts w:hint="cs"/>
              <w:w w:val="103"/>
              <w:rtl/>
            </w:rPr>
          </w:pPr>
          <w:fldSimple w:instr=" DOCVARIABLE sss1  \* MERGEFORMAT ">
            <w:r w:rsidR="00647B5D">
              <w:rPr>
                <w:w w:val="103"/>
              </w:rPr>
              <w:t>CEDAW/C/POL/Q/7-8</w:t>
            </w:r>
          </w:fldSimple>
        </w:p>
      </w:tc>
      <w:tc>
        <w:tcPr>
          <w:tcW w:w="4925" w:type="dxa"/>
          <w:shd w:val="clear" w:color="auto" w:fill="auto"/>
          <w:vAlign w:val="bottom"/>
        </w:tcPr>
        <w:p w:rsidR="000D359B" w:rsidRDefault="000D359B" w:rsidP="00623B85">
          <w:pPr>
            <w:pStyle w:val="Header"/>
          </w:pPr>
        </w:p>
      </w:tc>
    </w:tr>
  </w:tbl>
  <w:p w:rsidR="000D359B" w:rsidRPr="00623B85" w:rsidRDefault="000D359B" w:rsidP="00623B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D35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D359B" w:rsidRDefault="000D359B" w:rsidP="00623B85">
          <w:pPr>
            <w:pStyle w:val="Header"/>
            <w:spacing w:after="120"/>
          </w:pPr>
        </w:p>
      </w:tc>
      <w:tc>
        <w:tcPr>
          <w:tcW w:w="1786" w:type="dxa"/>
          <w:tcBorders>
            <w:bottom w:val="single" w:sz="4" w:space="0" w:color="auto"/>
          </w:tcBorders>
          <w:shd w:val="clear" w:color="auto" w:fill="auto"/>
          <w:vAlign w:val="bottom"/>
        </w:tcPr>
        <w:p w:rsidR="000D359B" w:rsidRPr="00623B85" w:rsidRDefault="000D359B" w:rsidP="00623B8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D359B" w:rsidRDefault="000D359B" w:rsidP="00623B85">
          <w:pPr>
            <w:pStyle w:val="Header"/>
            <w:spacing w:after="120"/>
          </w:pPr>
        </w:p>
      </w:tc>
      <w:tc>
        <w:tcPr>
          <w:tcW w:w="6523" w:type="dxa"/>
          <w:gridSpan w:val="3"/>
          <w:tcBorders>
            <w:bottom w:val="single" w:sz="4" w:space="0" w:color="auto"/>
          </w:tcBorders>
          <w:shd w:val="clear" w:color="auto" w:fill="auto"/>
          <w:vAlign w:val="bottom"/>
        </w:tcPr>
        <w:p w:rsidR="000D359B" w:rsidRPr="00623B85" w:rsidRDefault="000D359B" w:rsidP="00623B85">
          <w:pPr>
            <w:spacing w:line="380" w:lineRule="exact"/>
            <w:jc w:val="right"/>
          </w:pPr>
          <w:r>
            <w:rPr>
              <w:sz w:val="40"/>
            </w:rPr>
            <w:t>CEDAW</w:t>
          </w:r>
          <w:r>
            <w:t>/C/POL/Q/7-8</w:t>
          </w:r>
        </w:p>
      </w:tc>
    </w:tr>
    <w:tr w:rsidR="000D359B" w:rsidRPr="00623B8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D359B" w:rsidRDefault="000D359B" w:rsidP="00623B8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359B" w:rsidRPr="00623B85" w:rsidRDefault="000D359B" w:rsidP="00623B85">
          <w:pPr>
            <w:pStyle w:val="Header"/>
            <w:spacing w:before="109"/>
            <w:jc w:val="right"/>
          </w:pPr>
        </w:p>
      </w:tc>
      <w:tc>
        <w:tcPr>
          <w:tcW w:w="5227" w:type="dxa"/>
          <w:gridSpan w:val="3"/>
          <w:tcBorders>
            <w:top w:val="single" w:sz="4" w:space="0" w:color="auto"/>
            <w:bottom w:val="single" w:sz="12" w:space="0" w:color="auto"/>
          </w:tcBorders>
          <w:shd w:val="clear" w:color="auto" w:fill="auto"/>
        </w:tcPr>
        <w:p w:rsidR="000D359B" w:rsidRPr="00623B85" w:rsidRDefault="000D359B" w:rsidP="00623B8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D359B" w:rsidRPr="00623B85" w:rsidRDefault="000D359B" w:rsidP="00623B85">
          <w:pPr>
            <w:pStyle w:val="Header"/>
            <w:spacing w:before="109"/>
          </w:pPr>
        </w:p>
      </w:tc>
      <w:tc>
        <w:tcPr>
          <w:tcW w:w="3100" w:type="dxa"/>
          <w:gridSpan w:val="2"/>
          <w:tcBorders>
            <w:top w:val="single" w:sz="4" w:space="0" w:color="auto"/>
            <w:bottom w:val="single" w:sz="12" w:space="0" w:color="auto"/>
          </w:tcBorders>
          <w:shd w:val="clear" w:color="auto" w:fill="auto"/>
        </w:tcPr>
        <w:p w:rsidR="000D359B" w:rsidRDefault="000D359B" w:rsidP="00623B85">
          <w:pPr>
            <w:pStyle w:val="Distribution"/>
            <w:bidi w:val="0"/>
            <w:spacing w:before="240"/>
          </w:pPr>
          <w:r>
            <w:t>Distr.: General</w:t>
          </w:r>
        </w:p>
        <w:p w:rsidR="000D359B" w:rsidRDefault="000D359B" w:rsidP="00623B85">
          <w:pPr>
            <w:pStyle w:val="Publication"/>
            <w:bidi w:val="0"/>
          </w:pPr>
          <w:r>
            <w:t>10 March 2014</w:t>
          </w:r>
        </w:p>
        <w:p w:rsidR="000D359B" w:rsidRDefault="000D359B" w:rsidP="00623B85">
          <w:pPr>
            <w:bidi w:val="0"/>
            <w:spacing w:line="240" w:lineRule="exact"/>
            <w:jc w:val="left"/>
          </w:pPr>
          <w:r>
            <w:t>Arabic</w:t>
          </w:r>
        </w:p>
        <w:p w:rsidR="000D359B" w:rsidRDefault="000D359B" w:rsidP="00623B85">
          <w:pPr>
            <w:pStyle w:val="Original"/>
            <w:bidi w:val="0"/>
          </w:pPr>
          <w:r>
            <w:t>Original: English</w:t>
          </w:r>
        </w:p>
        <w:p w:rsidR="000D359B" w:rsidRPr="00623B85" w:rsidRDefault="000D359B" w:rsidP="00623B85">
          <w:pPr>
            <w:bidi w:val="0"/>
            <w:spacing w:line="240" w:lineRule="exact"/>
            <w:jc w:val="left"/>
          </w:pPr>
        </w:p>
      </w:tc>
    </w:tr>
  </w:tbl>
  <w:p w:rsidR="000D359B" w:rsidRPr="00623B85" w:rsidRDefault="000D359B" w:rsidP="00623B8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4*"/>
    <w:docVar w:name="CreationDt" w:val="3/27/2014 1:41: PM"/>
    <w:docVar w:name="DocCategory" w:val="Doc"/>
    <w:docVar w:name="DocType" w:val="Final"/>
    <w:docVar w:name="FooterJN" w:val="14-25884"/>
    <w:docVar w:name="jobn" w:val="14-25884 (A)"/>
    <w:docVar w:name="jobnDT" w:val="14-25884 (A)   270314"/>
    <w:docVar w:name="jobnDTDT" w:val="14-25884 (A)   270314   270314"/>
    <w:docVar w:name="JobNo" w:val="1425884A"/>
    <w:docVar w:name="OandT" w:val=" "/>
    <w:docVar w:name="sss1" w:val="CEDAW/C/POL/Q/7-8"/>
    <w:docVar w:name="sss2" w:val="-"/>
    <w:docVar w:name="Symbol1" w:val="CEDAW/C/POL/Q/7-8"/>
    <w:docVar w:name="Symbol2" w:val="-"/>
  </w:docVars>
  <w:rsids>
    <w:rsidRoot w:val="00735E3E"/>
    <w:rsid w:val="000111F1"/>
    <w:rsid w:val="00015718"/>
    <w:rsid w:val="000170D3"/>
    <w:rsid w:val="00017137"/>
    <w:rsid w:val="0002013D"/>
    <w:rsid w:val="000311C9"/>
    <w:rsid w:val="00042425"/>
    <w:rsid w:val="00047F6A"/>
    <w:rsid w:val="00066291"/>
    <w:rsid w:val="0006648F"/>
    <w:rsid w:val="00075278"/>
    <w:rsid w:val="00087310"/>
    <w:rsid w:val="00093DAC"/>
    <w:rsid w:val="0009732C"/>
    <w:rsid w:val="000A6C5E"/>
    <w:rsid w:val="000C4EED"/>
    <w:rsid w:val="000D2CEC"/>
    <w:rsid w:val="000D359B"/>
    <w:rsid w:val="00101EE8"/>
    <w:rsid w:val="00113349"/>
    <w:rsid w:val="0012522B"/>
    <w:rsid w:val="001519A9"/>
    <w:rsid w:val="001568A8"/>
    <w:rsid w:val="00165F18"/>
    <w:rsid w:val="001737F8"/>
    <w:rsid w:val="001775EA"/>
    <w:rsid w:val="0018030C"/>
    <w:rsid w:val="00187870"/>
    <w:rsid w:val="00196CD9"/>
    <w:rsid w:val="001B4F5D"/>
    <w:rsid w:val="001B71CC"/>
    <w:rsid w:val="001C5668"/>
    <w:rsid w:val="001D511F"/>
    <w:rsid w:val="001E5A5A"/>
    <w:rsid w:val="001E5A7A"/>
    <w:rsid w:val="001F6786"/>
    <w:rsid w:val="00223FFE"/>
    <w:rsid w:val="00236A29"/>
    <w:rsid w:val="002416C5"/>
    <w:rsid w:val="00247831"/>
    <w:rsid w:val="0025002E"/>
    <w:rsid w:val="00252408"/>
    <w:rsid w:val="00252D19"/>
    <w:rsid w:val="00266F59"/>
    <w:rsid w:val="00272B6C"/>
    <w:rsid w:val="0027623A"/>
    <w:rsid w:val="00280857"/>
    <w:rsid w:val="00290F2F"/>
    <w:rsid w:val="002937DA"/>
    <w:rsid w:val="002A09C6"/>
    <w:rsid w:val="002B14AE"/>
    <w:rsid w:val="002C19CF"/>
    <w:rsid w:val="002C2AF2"/>
    <w:rsid w:val="002C4E1B"/>
    <w:rsid w:val="002D58BC"/>
    <w:rsid w:val="002E009F"/>
    <w:rsid w:val="002E1490"/>
    <w:rsid w:val="002F0573"/>
    <w:rsid w:val="00312162"/>
    <w:rsid w:val="00324DD4"/>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23B85"/>
    <w:rsid w:val="00634682"/>
    <w:rsid w:val="006431CB"/>
    <w:rsid w:val="00644650"/>
    <w:rsid w:val="00647B5D"/>
    <w:rsid w:val="006564CE"/>
    <w:rsid w:val="00663F64"/>
    <w:rsid w:val="00686FF2"/>
    <w:rsid w:val="00692B46"/>
    <w:rsid w:val="00696B7A"/>
    <w:rsid w:val="006A1E4E"/>
    <w:rsid w:val="006C38EE"/>
    <w:rsid w:val="006E7E51"/>
    <w:rsid w:val="00700F06"/>
    <w:rsid w:val="0071531E"/>
    <w:rsid w:val="0071645B"/>
    <w:rsid w:val="00716E9D"/>
    <w:rsid w:val="00730955"/>
    <w:rsid w:val="00735E3E"/>
    <w:rsid w:val="007450BF"/>
    <w:rsid w:val="00747B9E"/>
    <w:rsid w:val="007524BE"/>
    <w:rsid w:val="007525FA"/>
    <w:rsid w:val="00770CF8"/>
    <w:rsid w:val="00774FF0"/>
    <w:rsid w:val="007753D9"/>
    <w:rsid w:val="007863FA"/>
    <w:rsid w:val="0079046D"/>
    <w:rsid w:val="0079753A"/>
    <w:rsid w:val="007A296C"/>
    <w:rsid w:val="007A4244"/>
    <w:rsid w:val="007A6C4E"/>
    <w:rsid w:val="007A6DD9"/>
    <w:rsid w:val="007B03DD"/>
    <w:rsid w:val="007C7758"/>
    <w:rsid w:val="007D60E0"/>
    <w:rsid w:val="007D6B8D"/>
    <w:rsid w:val="007E32B9"/>
    <w:rsid w:val="0081284F"/>
    <w:rsid w:val="00814843"/>
    <w:rsid w:val="008170DE"/>
    <w:rsid w:val="0082043D"/>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43642"/>
    <w:rsid w:val="00964FA8"/>
    <w:rsid w:val="00970BAD"/>
    <w:rsid w:val="009768D1"/>
    <w:rsid w:val="00981E99"/>
    <w:rsid w:val="009829B7"/>
    <w:rsid w:val="009916B6"/>
    <w:rsid w:val="009927C0"/>
    <w:rsid w:val="009961E6"/>
    <w:rsid w:val="009B6C65"/>
    <w:rsid w:val="009B752D"/>
    <w:rsid w:val="009C0017"/>
    <w:rsid w:val="009C15F4"/>
    <w:rsid w:val="009D17CF"/>
    <w:rsid w:val="009D62A3"/>
    <w:rsid w:val="009E2A1F"/>
    <w:rsid w:val="009E5241"/>
    <w:rsid w:val="009E57C0"/>
    <w:rsid w:val="009F231F"/>
    <w:rsid w:val="009F5698"/>
    <w:rsid w:val="00A37C4B"/>
    <w:rsid w:val="00A47282"/>
    <w:rsid w:val="00A56F63"/>
    <w:rsid w:val="00A66F66"/>
    <w:rsid w:val="00A71AE5"/>
    <w:rsid w:val="00A77F16"/>
    <w:rsid w:val="00A90909"/>
    <w:rsid w:val="00AA1E16"/>
    <w:rsid w:val="00AB7DD8"/>
    <w:rsid w:val="00AC002C"/>
    <w:rsid w:val="00AC2EE0"/>
    <w:rsid w:val="00AC6CDD"/>
    <w:rsid w:val="00AD38D0"/>
    <w:rsid w:val="00AE108C"/>
    <w:rsid w:val="00AE2142"/>
    <w:rsid w:val="00AE3F6F"/>
    <w:rsid w:val="00AE5AE2"/>
    <w:rsid w:val="00AF1A53"/>
    <w:rsid w:val="00AF7AC7"/>
    <w:rsid w:val="00B034A3"/>
    <w:rsid w:val="00B05ADC"/>
    <w:rsid w:val="00B272BE"/>
    <w:rsid w:val="00B463A1"/>
    <w:rsid w:val="00B5784C"/>
    <w:rsid w:val="00B9542C"/>
    <w:rsid w:val="00B95560"/>
    <w:rsid w:val="00BA7FAB"/>
    <w:rsid w:val="00BC2F4C"/>
    <w:rsid w:val="00BC4A05"/>
    <w:rsid w:val="00BC567D"/>
    <w:rsid w:val="00BF0B15"/>
    <w:rsid w:val="00C12CBB"/>
    <w:rsid w:val="00C25A2D"/>
    <w:rsid w:val="00C260F8"/>
    <w:rsid w:val="00C43FBE"/>
    <w:rsid w:val="00C449C6"/>
    <w:rsid w:val="00C500EC"/>
    <w:rsid w:val="00C564B0"/>
    <w:rsid w:val="00C6283F"/>
    <w:rsid w:val="00C71487"/>
    <w:rsid w:val="00C814A5"/>
    <w:rsid w:val="00C84B2B"/>
    <w:rsid w:val="00C855F6"/>
    <w:rsid w:val="00C9098C"/>
    <w:rsid w:val="00C959B1"/>
    <w:rsid w:val="00C96573"/>
    <w:rsid w:val="00CA4791"/>
    <w:rsid w:val="00CC3005"/>
    <w:rsid w:val="00CD0BB8"/>
    <w:rsid w:val="00CD3849"/>
    <w:rsid w:val="00CF7384"/>
    <w:rsid w:val="00D20605"/>
    <w:rsid w:val="00D2343D"/>
    <w:rsid w:val="00D26F37"/>
    <w:rsid w:val="00D30EAE"/>
    <w:rsid w:val="00D318F1"/>
    <w:rsid w:val="00D40B0E"/>
    <w:rsid w:val="00D42644"/>
    <w:rsid w:val="00D44FE0"/>
    <w:rsid w:val="00D47636"/>
    <w:rsid w:val="00D54DD2"/>
    <w:rsid w:val="00D66413"/>
    <w:rsid w:val="00D83949"/>
    <w:rsid w:val="00DA4FD4"/>
    <w:rsid w:val="00DA66B7"/>
    <w:rsid w:val="00DB0865"/>
    <w:rsid w:val="00DB26B5"/>
    <w:rsid w:val="00DB7206"/>
    <w:rsid w:val="00DC5C1E"/>
    <w:rsid w:val="00DD5761"/>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95455"/>
    <w:rsid w:val="00EA0D5B"/>
    <w:rsid w:val="00EA3948"/>
    <w:rsid w:val="00EA489C"/>
    <w:rsid w:val="00EA7B59"/>
    <w:rsid w:val="00EB0CA7"/>
    <w:rsid w:val="00EB4992"/>
    <w:rsid w:val="00EE560B"/>
    <w:rsid w:val="00EF2675"/>
    <w:rsid w:val="00EF2E52"/>
    <w:rsid w:val="00EF5E87"/>
    <w:rsid w:val="00F031FB"/>
    <w:rsid w:val="00F11392"/>
    <w:rsid w:val="00F16A9B"/>
    <w:rsid w:val="00F32E4A"/>
    <w:rsid w:val="00F36D8C"/>
    <w:rsid w:val="00F402FB"/>
    <w:rsid w:val="00F53AB7"/>
    <w:rsid w:val="00F74930"/>
    <w:rsid w:val="00F93545"/>
    <w:rsid w:val="00F96FBA"/>
    <w:rsid w:val="00FB14D9"/>
    <w:rsid w:val="00FB4E06"/>
    <w:rsid w:val="00FC3483"/>
    <w:rsid w:val="00FC4D68"/>
    <w:rsid w:val="00FD2ADA"/>
    <w:rsid w:val="00FE33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4DD4"/>
    <w:pPr>
      <w:tabs>
        <w:tab w:val="left" w:pos="662"/>
        <w:tab w:val="left" w:pos="1267"/>
        <w:tab w:val="left" w:pos="1987"/>
        <w:tab w:val="left" w:pos="2650"/>
      </w:tabs>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82043D"/>
    <w:pPr>
      <w:tabs>
        <w:tab w:val="clear" w:pos="662"/>
        <w:tab w:val="clear" w:pos="1987"/>
        <w:tab w:val="clear" w:pos="2650"/>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Distribution">
    <w:name w:val="Distribution"/>
    <w:basedOn w:val="Normal"/>
    <w:next w:val="Normal"/>
    <w:autoRedefine/>
    <w:rsid w:val="00252408"/>
    <w:pPr>
      <w:spacing w:line="240" w:lineRule="exact"/>
    </w:pPr>
  </w:style>
  <w:style w:type="paragraph" w:customStyle="1" w:styleId="Publication">
    <w:name w:val="Publication"/>
    <w:basedOn w:val="Normal"/>
    <w:next w:val="Normal"/>
    <w:autoRedefine/>
    <w:rsid w:val="00324DD4"/>
    <w:pPr>
      <w:spacing w:line="240" w:lineRule="exact"/>
    </w:pPr>
  </w:style>
  <w:style w:type="paragraph" w:customStyle="1" w:styleId="Original">
    <w:name w:val="Original"/>
    <w:basedOn w:val="Normal"/>
    <w:next w:val="Normal"/>
    <w:autoRedefine/>
    <w:rsid w:val="00324DD4"/>
    <w:pPr>
      <w:spacing w:line="240" w:lineRule="exact"/>
    </w:pPr>
  </w:style>
  <w:style w:type="paragraph" w:customStyle="1" w:styleId="ReleaseDate">
    <w:name w:val="Release Date"/>
    <w:next w:val="Footer"/>
    <w:autoRedefine/>
    <w:rsid w:val="00324DD4"/>
    <w:pPr>
      <w:tabs>
        <w:tab w:val="center" w:pos="4320"/>
        <w:tab w:val="right" w:pos="8640"/>
      </w:tabs>
      <w:spacing w:line="210" w:lineRule="exact"/>
    </w:pPr>
    <w:rPr>
      <w:b/>
      <w:w w:val="103"/>
      <w:kern w:val="14"/>
      <w:szCs w:val="30"/>
      <w:lang w:eastAsia="zh-CN"/>
    </w:rPr>
  </w:style>
  <w:style w:type="paragraph" w:customStyle="1" w:styleId="Session">
    <w:name w:val="Session"/>
    <w:basedOn w:val="H23"/>
    <w:autoRedefine/>
    <w:rsid w:val="00324DD4"/>
    <w:pPr>
      <w:ind w:left="662" w:hanging="662"/>
    </w:pPr>
  </w:style>
  <w:style w:type="paragraph" w:customStyle="1" w:styleId="Committee">
    <w:name w:val="Committee"/>
    <w:basedOn w:val="H1"/>
    <w:autoRedefine/>
    <w:rsid w:val="00D26F37"/>
    <w:pPr>
      <w:ind w:right="1267"/>
    </w:pPr>
  </w:style>
  <w:style w:type="paragraph" w:customStyle="1" w:styleId="AgendaTitle">
    <w:name w:val="AgendaTitle"/>
    <w:basedOn w:val="Normal"/>
    <w:next w:val="Normal"/>
    <w:autoRedefine/>
    <w:rsid w:val="00D26F37"/>
    <w:pPr>
      <w:tabs>
        <w:tab w:val="left" w:pos="1325"/>
        <w:tab w:val="left" w:pos="3312"/>
      </w:tabs>
      <w:ind w:left="1267" w:hanging="1267"/>
    </w:pPr>
  </w:style>
  <w:style w:type="paragraph" w:customStyle="1" w:styleId="Sponsors">
    <w:name w:val="Sponsors"/>
    <w:basedOn w:val="H23"/>
    <w:autoRedefine/>
    <w:rsid w:val="00D26F37"/>
    <w:pPr>
      <w:tabs>
        <w:tab w:val="clear" w:pos="662"/>
        <w:tab w:val="clear" w:pos="1987"/>
        <w:tab w:val="clear" w:pos="2650"/>
        <w:tab w:val="right" w:pos="1022"/>
        <w:tab w:val="left" w:pos="1930"/>
        <w:tab w:val="left" w:pos="2592"/>
        <w:tab w:val="left" w:pos="3254"/>
      </w:tabs>
      <w:spacing w:after="120"/>
      <w:ind w:left="1267" w:right="1267" w:hanging="1267"/>
    </w:pPr>
  </w:style>
  <w:style w:type="paragraph" w:customStyle="1" w:styleId="Title1">
    <w:name w:val="Title 1"/>
    <w:basedOn w:val="HCh"/>
    <w:autoRedefine/>
    <w:rsid w:val="00D26F37"/>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autoRedefine/>
    <w:rsid w:val="00EF2675"/>
    <w:pPr>
      <w:tabs>
        <w:tab w:val="clear" w:pos="662"/>
        <w:tab w:val="clear" w:pos="1987"/>
        <w:tab w:val="clear" w:pos="2650"/>
        <w:tab w:val="right" w:pos="1022"/>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styleId="CommentText">
    <w:name w:val="annotation text"/>
    <w:basedOn w:val="Normal"/>
    <w:semiHidden/>
    <w:rsid w:val="00623B85"/>
    <w:rPr>
      <w:szCs w:val="20"/>
    </w:rPr>
  </w:style>
  <w:style w:type="paragraph" w:styleId="CommentSubject">
    <w:name w:val="annotation subject"/>
    <w:basedOn w:val="CommentText"/>
    <w:next w:val="CommentText"/>
    <w:semiHidden/>
    <w:rsid w:val="00623B85"/>
    <w:rPr>
      <w:b/>
      <w:bCs/>
    </w:rPr>
  </w:style>
  <w:style w:type="character" w:styleId="Hyperlink">
    <w:name w:val="Hyperlink"/>
    <w:rsid w:val="00AE2142"/>
    <w:rPr>
      <w:color w:val="0000FF"/>
      <w:u w:val="none"/>
    </w:rPr>
  </w:style>
  <w:style w:type="character" w:styleId="FollowedHyperlink">
    <w:name w:val="FollowedHyperlink"/>
    <w:rsid w:val="00AE2142"/>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POL/CO/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POL/CO/6" TargetMode="External"/><Relationship Id="rId2" Type="http://schemas.openxmlformats.org/officeDocument/2006/relationships/settings" Target="settings.xml"/><Relationship Id="rId16" Type="http://schemas.openxmlformats.org/officeDocument/2006/relationships/hyperlink" Target="http://undocs.org/ar/CEDAW/C/POL/CO/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POL/CO/6" TargetMode="External"/><Relationship Id="rId10" Type="http://schemas.openxmlformats.org/officeDocument/2006/relationships/header" Target="header3.xml"/><Relationship Id="rId19" Type="http://schemas.openxmlformats.org/officeDocument/2006/relationships/hyperlink" Target="http://undocs.org/ar/CEDAW/C/POL/CO/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POL/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1629</Words>
  <Characters>9289</Characters>
  <Application>Microsoft Office Outlook</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Hewlett-Packard</Company>
  <LinksUpToDate>false</LinksUpToDate>
  <CharactersWithSpaces>10897</CharactersWithSpaces>
  <SharedDoc>false</SharedDoc>
  <HLinks>
    <vt:vector size="36" baseType="variant">
      <vt:variant>
        <vt:i4>1769494</vt:i4>
      </vt:variant>
      <vt:variant>
        <vt:i4>15</vt:i4>
      </vt:variant>
      <vt:variant>
        <vt:i4>0</vt:i4>
      </vt:variant>
      <vt:variant>
        <vt:i4>5</vt:i4>
      </vt:variant>
      <vt:variant>
        <vt:lpwstr>http://undocs.org/ar/CEDAW/C/POL/CO/6</vt:lpwstr>
      </vt:variant>
      <vt:variant>
        <vt:lpwstr/>
      </vt:variant>
      <vt:variant>
        <vt:i4>1769494</vt:i4>
      </vt:variant>
      <vt:variant>
        <vt:i4>12</vt:i4>
      </vt:variant>
      <vt:variant>
        <vt:i4>0</vt:i4>
      </vt:variant>
      <vt:variant>
        <vt:i4>5</vt:i4>
      </vt:variant>
      <vt:variant>
        <vt:lpwstr>http://undocs.org/ar/CEDAW/C/POL/CO/6</vt:lpwstr>
      </vt:variant>
      <vt:variant>
        <vt:lpwstr/>
      </vt:variant>
      <vt:variant>
        <vt:i4>1769494</vt:i4>
      </vt:variant>
      <vt:variant>
        <vt:i4>9</vt:i4>
      </vt:variant>
      <vt:variant>
        <vt:i4>0</vt:i4>
      </vt:variant>
      <vt:variant>
        <vt:i4>5</vt:i4>
      </vt:variant>
      <vt:variant>
        <vt:lpwstr>http://undocs.org/ar/CEDAW/C/POL/CO/6</vt:lpwstr>
      </vt:variant>
      <vt:variant>
        <vt:lpwstr/>
      </vt:variant>
      <vt:variant>
        <vt:i4>1769494</vt:i4>
      </vt:variant>
      <vt:variant>
        <vt:i4>6</vt:i4>
      </vt:variant>
      <vt:variant>
        <vt:i4>0</vt:i4>
      </vt:variant>
      <vt:variant>
        <vt:i4>5</vt:i4>
      </vt:variant>
      <vt:variant>
        <vt:lpwstr>http://undocs.org/ar/CEDAW/C/POL/CO/6</vt:lpwstr>
      </vt:variant>
      <vt:variant>
        <vt:lpwstr/>
      </vt:variant>
      <vt:variant>
        <vt:i4>1769494</vt:i4>
      </vt:variant>
      <vt:variant>
        <vt:i4>3</vt:i4>
      </vt:variant>
      <vt:variant>
        <vt:i4>0</vt:i4>
      </vt:variant>
      <vt:variant>
        <vt:i4>5</vt:i4>
      </vt:variant>
      <vt:variant>
        <vt:lpwstr>http://undocs.org/ar/CEDAW/C/POL/CO/6</vt:lpwstr>
      </vt:variant>
      <vt:variant>
        <vt:lpwstr/>
      </vt:variant>
      <vt:variant>
        <vt:i4>6291577</vt:i4>
      </vt:variant>
      <vt:variant>
        <vt:i4>0</vt:i4>
      </vt:variant>
      <vt:variant>
        <vt:i4>0</vt:i4>
      </vt:variant>
      <vt:variant>
        <vt:i4>5</vt:i4>
      </vt:variant>
      <vt:variant>
        <vt:lpwstr>http://undocs.org/ar/CEDAW/C/POL/7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alymohamed</dc:creator>
  <cp:keywords/>
  <cp:lastModifiedBy>Front Desk 1</cp:lastModifiedBy>
  <cp:revision>7</cp:revision>
  <cp:lastPrinted>2014-04-04T12:07:00Z</cp:lastPrinted>
  <dcterms:created xsi:type="dcterms:W3CDTF">2014-04-04T12:01:00Z</dcterms:created>
  <dcterms:modified xsi:type="dcterms:W3CDTF">2014-04-04T12:24:00Z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1425884</vt:lpwstr>
  </property>
  <property fmtid="{D5CDD505-2E9C-101B-9397-08002B2CF9AE}" pid="3" name="Symbol1">
    <vt:lpwstr>CEDAW/C/POL/Q/7-8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270314</vt:lpwstr>
  </property>
  <property fmtid="{D5CDD505-2E9C-101B-9397-08002B2CF9AE}" pid="10" name="Comment">
    <vt:lpwstr>خارجي للإصدار</vt:lpwstr>
  </property>
  <property fmtid="{D5CDD505-2E9C-101B-9397-08002B2CF9AE}" pid="11" name="DraftPages">
    <vt:lpwstr> </vt:lpwstr>
  </property>
  <property fmtid="{D5CDD505-2E9C-101B-9397-08002B2CF9AE}" pid="12" name="Operator">
    <vt:lpwstr>محمد حسين</vt:lpwstr>
  </property>
</Properties>
</file>