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C45AD">
      <w:r>
        <w:t>1998</w:t>
      </w:r>
      <w:r>
        <w:rPr>
          <w:rFonts w:hint="eastAsia"/>
        </w:rPr>
        <w:t>年实质性会议</w:t>
      </w:r>
    </w:p>
    <w:p w:rsidR="00000000" w:rsidRDefault="000C45AD"/>
    <w:p w:rsidR="00000000" w:rsidRDefault="000C45AD"/>
    <w:p w:rsidR="00000000" w:rsidRDefault="000C45AD">
      <w:pPr>
        <w:pStyle w:val="Heading2"/>
      </w:pPr>
      <w:r>
        <w:rPr>
          <w:rFonts w:hint="eastAsia"/>
        </w:rPr>
        <w:t>《经济、社会和文化权利国际盟约》的执行情况</w:t>
      </w:r>
    </w:p>
    <w:p w:rsidR="00000000" w:rsidRDefault="000C45AD">
      <w:pPr>
        <w:pStyle w:val="Heading3"/>
      </w:pPr>
      <w:r>
        <w:rPr>
          <w:rFonts w:hint="eastAsia"/>
        </w:rPr>
        <w:t>缔约国根据《盟约》第</w:t>
      </w:r>
      <w:r>
        <w:t>16</w:t>
      </w:r>
      <w:r>
        <w:rPr>
          <w:rFonts w:hint="eastAsia"/>
        </w:rPr>
        <w:t>条和</w:t>
      </w:r>
      <w:r>
        <w:br/>
      </w:r>
      <w:r>
        <w:rPr>
          <w:rFonts w:hint="eastAsia"/>
        </w:rPr>
        <w:t>第</w:t>
      </w:r>
      <w:r>
        <w:t>17</w:t>
      </w:r>
      <w:r>
        <w:rPr>
          <w:rFonts w:hint="eastAsia"/>
        </w:rPr>
        <w:t>条提交的初步报告</w:t>
      </w:r>
    </w:p>
    <w:p w:rsidR="00000000" w:rsidRDefault="000C45AD">
      <w:pPr>
        <w:pStyle w:val="Heading3"/>
      </w:pPr>
      <w:r>
        <w:rPr>
          <w:rFonts w:hint="eastAsia"/>
        </w:rPr>
        <w:t>增</w:t>
      </w:r>
      <w:r>
        <w:t xml:space="preserve">  </w:t>
      </w:r>
      <w:r>
        <w:rPr>
          <w:rFonts w:hint="eastAsia"/>
        </w:rPr>
        <w:t>编</w:t>
      </w:r>
    </w:p>
    <w:p w:rsidR="00000000" w:rsidRDefault="000C45AD">
      <w:pPr>
        <w:pStyle w:val="Heading2"/>
      </w:pPr>
      <w:r>
        <w:rPr>
          <w:rFonts w:hint="eastAsia"/>
        </w:rPr>
        <w:t>洪都拉斯</w:t>
      </w:r>
    </w:p>
    <w:p w:rsidR="00000000" w:rsidRDefault="000C45AD">
      <w:pPr>
        <w:spacing w:after="320"/>
        <w:ind w:left="6216"/>
        <w:textAlignment w:val="center"/>
      </w:pPr>
      <w:r>
        <w:rPr>
          <w:rFonts w:hint="eastAsia"/>
        </w:rPr>
        <w:t>［</w:t>
      </w:r>
      <w:r>
        <w:t>1998</w:t>
      </w:r>
      <w:r>
        <w:rPr>
          <w:rFonts w:hint="eastAsia"/>
        </w:rPr>
        <w:t>年</w:t>
      </w:r>
      <w:r>
        <w:t>4</w:t>
      </w:r>
      <w:r>
        <w:rPr>
          <w:rFonts w:hint="eastAsia"/>
        </w:rPr>
        <w:t>月</w:t>
      </w:r>
      <w:r>
        <w:t>2</w:t>
      </w:r>
      <w:r>
        <w:rPr>
          <w:rFonts w:hint="eastAsia"/>
        </w:rPr>
        <w:t>日］</w:t>
      </w:r>
    </w:p>
    <w:p w:rsidR="00000000" w:rsidRDefault="000C45AD">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0C45AD">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0C45AD">
      <w:pPr>
        <w:pStyle w:val="a3"/>
      </w:pPr>
      <w:r>
        <w:rPr>
          <w:rFonts w:hint="eastAsia"/>
        </w:rPr>
        <w:t>实质性条款</w:t>
      </w:r>
      <w:r>
        <w:t xml:space="preserve">  ......................</w:t>
      </w:r>
      <w:r>
        <w:t>........</w:t>
      </w:r>
      <w:r>
        <w:tab/>
      </w:r>
      <w:r>
        <w:tab/>
        <w:t>1</w:t>
      </w:r>
      <w:r>
        <w:tab/>
        <w:t>-</w:t>
      </w:r>
      <w:r>
        <w:tab/>
        <w:t>406</w:t>
      </w:r>
      <w:r>
        <w:tab/>
        <w:t>3</w:t>
      </w:r>
    </w:p>
    <w:p w:rsidR="00000000" w:rsidRDefault="000C45AD">
      <w:pPr>
        <w:pStyle w:val="a3"/>
      </w:pPr>
      <w:r>
        <w:tab/>
      </w:r>
      <w:r>
        <w:rPr>
          <w:rFonts w:hint="eastAsia"/>
        </w:rPr>
        <w:t>第</w:t>
      </w:r>
      <w:r>
        <w:t xml:space="preserve"> 1 </w:t>
      </w:r>
      <w:r>
        <w:rPr>
          <w:rFonts w:hint="eastAsia"/>
        </w:rPr>
        <w:t>条</w:t>
      </w:r>
      <w:r>
        <w:t xml:space="preserve">  ............................................</w:t>
      </w:r>
      <w:r>
        <w:tab/>
      </w:r>
      <w:r>
        <w:tab/>
        <w:t>1</w:t>
      </w:r>
      <w:r>
        <w:tab/>
        <w:t>-</w:t>
      </w:r>
      <w:r>
        <w:tab/>
        <w:t>4</w:t>
      </w:r>
      <w:r>
        <w:tab/>
        <w:t>3</w:t>
      </w:r>
    </w:p>
    <w:p w:rsidR="00000000" w:rsidRDefault="000C45AD">
      <w:pPr>
        <w:pStyle w:val="a3"/>
      </w:pPr>
      <w:r>
        <w:tab/>
      </w:r>
      <w:r>
        <w:rPr>
          <w:rFonts w:hint="eastAsia"/>
        </w:rPr>
        <w:t>第</w:t>
      </w:r>
      <w:r>
        <w:t xml:space="preserve"> 2 </w:t>
      </w:r>
      <w:r>
        <w:rPr>
          <w:rFonts w:hint="eastAsia"/>
        </w:rPr>
        <w:t>条</w:t>
      </w:r>
      <w:r>
        <w:t xml:space="preserve">  ..................................................</w:t>
      </w:r>
      <w:r>
        <w:tab/>
      </w:r>
      <w:r>
        <w:tab/>
        <w:t>5</w:t>
      </w:r>
      <w:r>
        <w:tab/>
        <w:t>-</w:t>
      </w:r>
      <w:r>
        <w:tab/>
        <w:t>6</w:t>
      </w:r>
      <w:r>
        <w:tab/>
        <w:t>3</w:t>
      </w:r>
    </w:p>
    <w:p w:rsidR="00000000" w:rsidRDefault="000C45AD">
      <w:pPr>
        <w:pStyle w:val="a3"/>
      </w:pPr>
      <w:r>
        <w:tab/>
      </w:r>
      <w:r>
        <w:rPr>
          <w:rFonts w:hint="eastAsia"/>
        </w:rPr>
        <w:t>第</w:t>
      </w:r>
      <w:r>
        <w:t xml:space="preserve"> 3 </w:t>
      </w:r>
      <w:r>
        <w:rPr>
          <w:rFonts w:hint="eastAsia"/>
        </w:rPr>
        <w:t>条</w:t>
      </w:r>
      <w:r>
        <w:t xml:space="preserve">  .................................</w:t>
      </w:r>
      <w:r>
        <w:tab/>
      </w:r>
      <w:r>
        <w:tab/>
        <w:t>7</w:t>
      </w:r>
      <w:r>
        <w:tab/>
        <w:t>-</w:t>
      </w:r>
      <w:r>
        <w:tab/>
        <w:t>34</w:t>
      </w:r>
      <w:r>
        <w:tab/>
        <w:t>4</w:t>
      </w:r>
    </w:p>
    <w:p w:rsidR="00000000" w:rsidRDefault="000C45AD">
      <w:pPr>
        <w:pStyle w:val="a3"/>
      </w:pPr>
    </w:p>
    <w:p w:rsidR="00000000" w:rsidRDefault="000C45AD">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r>
        <w:rPr>
          <w:rFonts w:eastAsia="长城楷体"/>
          <w:spacing w:val="10"/>
          <w:kern w:val="24"/>
          <w:sz w:val="26"/>
        </w:rPr>
        <w:t>(</w:t>
      </w:r>
      <w:r>
        <w:rPr>
          <w:rFonts w:eastAsia="长城楷体" w:hint="eastAsia"/>
          <w:spacing w:val="10"/>
          <w:kern w:val="24"/>
          <w:sz w:val="26"/>
          <w:u w:val="single"/>
        </w:rPr>
        <w:t>续</w:t>
      </w:r>
      <w:r>
        <w:rPr>
          <w:rFonts w:eastAsia="长城楷体"/>
          <w:spacing w:val="10"/>
          <w:kern w:val="24"/>
          <w:sz w:val="26"/>
        </w:rPr>
        <w:t>)</w:t>
      </w:r>
    </w:p>
    <w:p w:rsidR="00000000" w:rsidRDefault="000C45AD">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0C45AD">
      <w:pPr>
        <w:pStyle w:val="a3"/>
      </w:pPr>
      <w:r>
        <w:tab/>
      </w:r>
      <w:r>
        <w:rPr>
          <w:rFonts w:hint="eastAsia"/>
        </w:rPr>
        <w:t>第</w:t>
      </w:r>
      <w:r>
        <w:t xml:space="preserve"> 4 </w:t>
      </w:r>
      <w:r>
        <w:rPr>
          <w:rFonts w:hint="eastAsia"/>
        </w:rPr>
        <w:t>条和第</w:t>
      </w:r>
      <w:r>
        <w:t xml:space="preserve"> 5 </w:t>
      </w:r>
      <w:r>
        <w:rPr>
          <w:rFonts w:hint="eastAsia"/>
        </w:rPr>
        <w:t>条</w:t>
      </w:r>
      <w:r>
        <w:t xml:space="preserve">  ....................</w:t>
      </w:r>
      <w:r>
        <w:t>......</w:t>
      </w:r>
      <w:r>
        <w:tab/>
      </w:r>
      <w:r>
        <w:tab/>
        <w:t>35</w:t>
      </w:r>
      <w:r>
        <w:tab/>
        <w:t>-</w:t>
      </w:r>
      <w:r>
        <w:tab/>
        <w:t>36</w:t>
      </w:r>
      <w:r>
        <w:tab/>
        <w:t>8</w:t>
      </w:r>
    </w:p>
    <w:p w:rsidR="00000000" w:rsidRDefault="000C45AD">
      <w:pPr>
        <w:pStyle w:val="a3"/>
      </w:pPr>
      <w:r>
        <w:tab/>
      </w:r>
      <w:r>
        <w:rPr>
          <w:rFonts w:hint="eastAsia"/>
        </w:rPr>
        <w:t>第</w:t>
      </w:r>
      <w:r>
        <w:t xml:space="preserve"> 6 </w:t>
      </w:r>
      <w:r>
        <w:rPr>
          <w:rFonts w:hint="eastAsia"/>
        </w:rPr>
        <w:t>条</w:t>
      </w:r>
      <w:r>
        <w:t xml:space="preserve">  ........................</w:t>
      </w:r>
      <w:r>
        <w:tab/>
      </w:r>
      <w:r>
        <w:tab/>
        <w:t>37</w:t>
      </w:r>
      <w:r>
        <w:tab/>
        <w:t>-</w:t>
      </w:r>
      <w:r>
        <w:tab/>
        <w:t>55</w:t>
      </w:r>
      <w:r>
        <w:tab/>
        <w:t>8</w:t>
      </w:r>
    </w:p>
    <w:p w:rsidR="00000000" w:rsidRDefault="000C45AD">
      <w:pPr>
        <w:pStyle w:val="a3"/>
      </w:pPr>
      <w:r>
        <w:tab/>
      </w:r>
      <w:r>
        <w:rPr>
          <w:rFonts w:hint="eastAsia"/>
        </w:rPr>
        <w:t>第</w:t>
      </w:r>
      <w:r>
        <w:t xml:space="preserve"> 7 </w:t>
      </w:r>
      <w:r>
        <w:rPr>
          <w:rFonts w:hint="eastAsia"/>
        </w:rPr>
        <w:t>条</w:t>
      </w:r>
      <w:r>
        <w:t xml:space="preserve">  ....................................</w:t>
      </w:r>
      <w:r>
        <w:tab/>
      </w:r>
      <w:r>
        <w:tab/>
        <w:t>56</w:t>
      </w:r>
      <w:r>
        <w:tab/>
        <w:t>-</w:t>
      </w:r>
      <w:r>
        <w:tab/>
        <w:t>91</w:t>
      </w:r>
      <w:r>
        <w:tab/>
        <w:t>13</w:t>
      </w:r>
    </w:p>
    <w:p w:rsidR="00000000" w:rsidRDefault="000C45AD">
      <w:pPr>
        <w:pStyle w:val="a3"/>
      </w:pPr>
      <w:r>
        <w:tab/>
      </w:r>
      <w:r>
        <w:rPr>
          <w:rFonts w:hint="eastAsia"/>
        </w:rPr>
        <w:t>第</w:t>
      </w:r>
      <w:r>
        <w:t xml:space="preserve"> 8 </w:t>
      </w:r>
      <w:r>
        <w:rPr>
          <w:rFonts w:hint="eastAsia"/>
        </w:rPr>
        <w:t>条</w:t>
      </w:r>
      <w:r>
        <w:t xml:space="preserve">  .....................................................</w:t>
      </w:r>
      <w:r>
        <w:tab/>
      </w:r>
      <w:r>
        <w:tab/>
        <w:t>92</w:t>
      </w:r>
      <w:r>
        <w:tab/>
        <w:t>-</w:t>
      </w:r>
      <w:r>
        <w:tab/>
        <w:t>104</w:t>
      </w:r>
      <w:r>
        <w:tab/>
        <w:t>17</w:t>
      </w:r>
    </w:p>
    <w:p w:rsidR="00000000" w:rsidRDefault="000C45AD">
      <w:pPr>
        <w:pStyle w:val="a3"/>
      </w:pPr>
      <w:r>
        <w:tab/>
      </w:r>
      <w:r>
        <w:rPr>
          <w:rFonts w:hint="eastAsia"/>
        </w:rPr>
        <w:t>第</w:t>
      </w:r>
      <w:r>
        <w:t xml:space="preserve"> 9 </w:t>
      </w:r>
      <w:r>
        <w:rPr>
          <w:rFonts w:hint="eastAsia"/>
        </w:rPr>
        <w:t>条</w:t>
      </w:r>
      <w:r>
        <w:t xml:space="preserve">  ............................................</w:t>
      </w:r>
      <w:r>
        <w:tab/>
      </w:r>
      <w:r>
        <w:tab/>
        <w:t>105</w:t>
      </w:r>
      <w:r>
        <w:tab/>
        <w:t>-</w:t>
      </w:r>
      <w:r>
        <w:tab/>
        <w:t>13</w:t>
      </w:r>
      <w:r>
        <w:t>7</w:t>
      </w:r>
      <w:r>
        <w:tab/>
        <w:t>19</w:t>
      </w:r>
    </w:p>
    <w:p w:rsidR="00000000" w:rsidRDefault="000C45AD">
      <w:pPr>
        <w:pStyle w:val="a3"/>
      </w:pPr>
      <w:r>
        <w:tab/>
      </w:r>
      <w:r>
        <w:rPr>
          <w:rFonts w:hint="eastAsia"/>
        </w:rPr>
        <w:t>第</w:t>
      </w:r>
      <w:r>
        <w:t xml:space="preserve"> 11 </w:t>
      </w:r>
      <w:r>
        <w:rPr>
          <w:rFonts w:hint="eastAsia"/>
        </w:rPr>
        <w:t>条</w:t>
      </w:r>
      <w:r>
        <w:t xml:space="preserve">  ................................................</w:t>
      </w:r>
      <w:r>
        <w:tab/>
      </w:r>
      <w:r>
        <w:tab/>
        <w:t>138</w:t>
      </w:r>
      <w:r>
        <w:tab/>
        <w:t>-</w:t>
      </w:r>
      <w:r>
        <w:tab/>
        <w:t>199</w:t>
      </w:r>
      <w:r>
        <w:tab/>
        <w:t>24</w:t>
      </w:r>
    </w:p>
    <w:p w:rsidR="00000000" w:rsidRDefault="000C45AD">
      <w:pPr>
        <w:pStyle w:val="a3"/>
      </w:pPr>
      <w:r>
        <w:tab/>
      </w:r>
      <w:r>
        <w:rPr>
          <w:rFonts w:hint="eastAsia"/>
        </w:rPr>
        <w:t>第</w:t>
      </w:r>
      <w:r>
        <w:t xml:space="preserve"> 12 </w:t>
      </w:r>
      <w:r>
        <w:rPr>
          <w:rFonts w:hint="eastAsia"/>
        </w:rPr>
        <w:t>条</w:t>
      </w:r>
      <w:r>
        <w:t xml:space="preserve">  .....................................</w:t>
      </w:r>
      <w:r>
        <w:tab/>
      </w:r>
      <w:r>
        <w:tab/>
        <w:t>200</w:t>
      </w:r>
      <w:r>
        <w:tab/>
        <w:t>-</w:t>
      </w:r>
      <w:r>
        <w:tab/>
        <w:t>279</w:t>
      </w:r>
      <w:r>
        <w:tab/>
        <w:t>33</w:t>
      </w:r>
    </w:p>
    <w:p w:rsidR="00000000" w:rsidRDefault="000C45AD">
      <w:pPr>
        <w:pStyle w:val="a3"/>
      </w:pPr>
      <w:r>
        <w:tab/>
      </w:r>
      <w:r>
        <w:rPr>
          <w:rFonts w:hint="eastAsia"/>
        </w:rPr>
        <w:t>第</w:t>
      </w:r>
      <w:r>
        <w:t xml:space="preserve"> 13 </w:t>
      </w:r>
      <w:r>
        <w:rPr>
          <w:rFonts w:hint="eastAsia"/>
        </w:rPr>
        <w:t>和第</w:t>
      </w:r>
      <w:r>
        <w:t xml:space="preserve"> 14 </w:t>
      </w:r>
      <w:r>
        <w:rPr>
          <w:rFonts w:hint="eastAsia"/>
        </w:rPr>
        <w:t>条</w:t>
      </w:r>
      <w:r>
        <w:t xml:space="preserve">  .............................</w:t>
      </w:r>
      <w:r>
        <w:tab/>
      </w:r>
      <w:r>
        <w:tab/>
        <w:t>280</w:t>
      </w:r>
      <w:r>
        <w:tab/>
        <w:t>-</w:t>
      </w:r>
      <w:r>
        <w:tab/>
        <w:t>370</w:t>
      </w:r>
      <w:r>
        <w:tab/>
        <w:t>47</w:t>
      </w:r>
    </w:p>
    <w:p w:rsidR="00000000" w:rsidRDefault="000C45AD">
      <w:pPr>
        <w:pStyle w:val="a3"/>
      </w:pPr>
      <w:r>
        <w:tab/>
      </w:r>
      <w:r>
        <w:rPr>
          <w:rFonts w:hint="eastAsia"/>
        </w:rPr>
        <w:t>第</w:t>
      </w:r>
      <w:r>
        <w:t xml:space="preserve"> 15 </w:t>
      </w:r>
      <w:r>
        <w:rPr>
          <w:rFonts w:hint="eastAsia"/>
        </w:rPr>
        <w:t>条</w:t>
      </w:r>
      <w:r>
        <w:t xml:space="preserve">  ..................................................</w:t>
      </w:r>
      <w:r>
        <w:t>...........</w:t>
      </w:r>
      <w:r>
        <w:tab/>
      </w:r>
      <w:r>
        <w:tab/>
        <w:t>371</w:t>
      </w:r>
      <w:r>
        <w:tab/>
        <w:t>-</w:t>
      </w:r>
      <w:r>
        <w:tab/>
        <w:t>406</w:t>
      </w:r>
      <w:r>
        <w:tab/>
        <w:t>62</w:t>
      </w:r>
    </w:p>
    <w:p w:rsidR="00000000" w:rsidRDefault="000C45AD">
      <w:pPr>
        <w:pStyle w:val="a3"/>
      </w:pPr>
    </w:p>
    <w:p w:rsidR="00000000" w:rsidRDefault="000C45AD">
      <w:pPr>
        <w:pStyle w:val="a2"/>
      </w:pPr>
      <w:r>
        <w:rPr>
          <w:rFonts w:hint="eastAsia"/>
        </w:rPr>
        <w:t>注</w:t>
      </w:r>
      <w:r>
        <w:t xml:space="preserve">  .......................................</w:t>
      </w:r>
      <w:r>
        <w:tab/>
      </w:r>
      <w:r>
        <w:tab/>
        <w:t>67</w:t>
      </w:r>
    </w:p>
    <w:p w:rsidR="00000000" w:rsidRDefault="000C45AD"/>
    <w:p w:rsidR="00000000" w:rsidRDefault="000C45AD">
      <w:pPr>
        <w:pStyle w:val="Heading2"/>
      </w:pPr>
      <w:r>
        <w:br w:type="page"/>
      </w:r>
      <w:r>
        <w:rPr>
          <w:rFonts w:hint="eastAsia"/>
        </w:rPr>
        <w:t>实质性条款</w:t>
      </w:r>
    </w:p>
    <w:p w:rsidR="00000000" w:rsidRDefault="000C45AD">
      <w:pPr>
        <w:pStyle w:val="Heading3"/>
      </w:pPr>
      <w:r>
        <w:rPr>
          <w:rFonts w:hint="eastAsia"/>
        </w:rPr>
        <w:t>第</w:t>
      </w:r>
      <w:r>
        <w:t xml:space="preserve"> 1 </w:t>
      </w:r>
      <w:r>
        <w:rPr>
          <w:rFonts w:hint="eastAsia"/>
        </w:rPr>
        <w:t>条</w:t>
      </w:r>
    </w:p>
    <w:p w:rsidR="00000000" w:rsidRDefault="000C45AD">
      <w:pPr>
        <w:pStyle w:val="Heading3"/>
      </w:pPr>
      <w:r>
        <w:rPr>
          <w:rFonts w:hint="eastAsia"/>
        </w:rPr>
        <w:t>自决原则</w:t>
      </w:r>
    </w:p>
    <w:p w:rsidR="00000000" w:rsidRDefault="000C45AD">
      <w:r>
        <w:tab/>
        <w:t xml:space="preserve">1.  </w:t>
      </w:r>
      <w:r>
        <w:rPr>
          <w:rFonts w:hint="eastAsia"/>
        </w:rPr>
        <w:t>洪都拉斯认为，自决权是一项基本人权，《经济、社会、文化权利国际盟约》和其他国际文书确认了这一点。</w:t>
      </w:r>
    </w:p>
    <w:p w:rsidR="00000000" w:rsidRDefault="000C45AD">
      <w:r>
        <w:tab/>
        <w:t xml:space="preserve">2.  </w:t>
      </w:r>
      <w:r>
        <w:rPr>
          <w:rFonts w:hint="eastAsia"/>
        </w:rPr>
        <w:t>洪都拉斯人民在十九世纪初行使了自决权，他们设法摆脱西班牙统治，获得独立，建立了自己的国家。基于这一历史背景，洪都拉斯过去支持而且现在仍支持结束殖民主义或外国统治状态的所有国际措施。</w:t>
      </w:r>
    </w:p>
    <w:p w:rsidR="00000000" w:rsidRDefault="000C45AD">
      <w:r>
        <w:tab/>
        <w:t xml:space="preserve">3.  </w:t>
      </w:r>
      <w:r>
        <w:rPr>
          <w:rFonts w:hint="eastAsia"/>
        </w:rPr>
        <w:t>此外，联合国出现</w:t>
      </w:r>
      <w:r>
        <w:rPr>
          <w:rFonts w:hint="eastAsia"/>
        </w:rPr>
        <w:t>的新学说趋于使自主权具有比原先更广的含意，按照这一趋势，洪都拉斯赞同这一论点，即这项权利无论从外部来看还是内部来看都未行使完毕，而是必须不断得到行使。因此，洪都拉斯一直在执行一些措施，以便通过设法实现人民的全面发展来加强自决权的行使。</w:t>
      </w:r>
    </w:p>
    <w:p w:rsidR="00000000" w:rsidRDefault="000C45AD">
      <w:pPr>
        <w:spacing w:after="320"/>
        <w:textAlignment w:val="center"/>
      </w:pPr>
      <w:r>
        <w:tab/>
        <w:t xml:space="preserve">4.  </w:t>
      </w:r>
      <w:r>
        <w:rPr>
          <w:rFonts w:hint="eastAsia"/>
        </w:rPr>
        <w:t>这项政策反映在旨在加强民主机构的措施中，目的是确保该机构涵盖因几个世纪以来受到忽视而目前正遭受歧视的团体，处于这一状况的主要是居住在远离洪都拉斯城市的地区的最早来自非洲的土著居民。</w:t>
      </w:r>
    </w:p>
    <w:p w:rsidR="00000000" w:rsidRDefault="000C45AD">
      <w:pPr>
        <w:pStyle w:val="Heading3"/>
      </w:pPr>
      <w:r>
        <w:rPr>
          <w:rFonts w:hint="eastAsia"/>
        </w:rPr>
        <w:t>第</w:t>
      </w:r>
      <w:r>
        <w:t xml:space="preserve"> 2 </w:t>
      </w:r>
      <w:r>
        <w:rPr>
          <w:rFonts w:hint="eastAsia"/>
        </w:rPr>
        <w:t>条</w:t>
      </w:r>
    </w:p>
    <w:p w:rsidR="00000000" w:rsidRDefault="000C45AD">
      <w:pPr>
        <w:pStyle w:val="Heading3"/>
      </w:pPr>
      <w:r>
        <w:rPr>
          <w:rFonts w:hint="eastAsia"/>
        </w:rPr>
        <w:t>不歧视原则</w:t>
      </w:r>
    </w:p>
    <w:p w:rsidR="00000000" w:rsidRDefault="000C45AD">
      <w:r>
        <w:tab/>
        <w:t xml:space="preserve">5.  </w:t>
      </w:r>
      <w:r>
        <w:rPr>
          <w:rFonts w:hint="eastAsia"/>
        </w:rPr>
        <w:t>洪都拉斯发现自己处于《人权报告手册》第</w:t>
      </w:r>
      <w:r>
        <w:t>43</w:t>
      </w:r>
      <w:r>
        <w:rPr>
          <w:rFonts w:hint="eastAsia"/>
        </w:rPr>
        <w:t>页和第</w:t>
      </w:r>
      <w:r>
        <w:t>4</w:t>
      </w:r>
      <w:r>
        <w:t>4</w:t>
      </w:r>
      <w:r>
        <w:rPr>
          <w:rFonts w:hint="eastAsia"/>
        </w:rPr>
        <w:t>页所述的情况中，该手册指出：“委员会认识到，在许多情况下，极有必要制订立法，有时立法甚至是必不可少的……”，但从法律上看，问题在于如何确保此种立法的有效性。</w:t>
      </w:r>
    </w:p>
    <w:p w:rsidR="00000000" w:rsidRDefault="000C45AD">
      <w:pPr>
        <w:spacing w:after="320"/>
        <w:textAlignment w:val="center"/>
      </w:pPr>
      <w:r>
        <w:tab/>
        <w:t xml:space="preserve">6.  </w:t>
      </w:r>
      <w:r>
        <w:rPr>
          <w:rFonts w:hint="eastAsia"/>
        </w:rPr>
        <w:t>洪都拉斯采取充分措施逐步发展人民的经济权。然而，在洪都拉斯，令人担忧的是，这些权利的有效性正在减弱，此种减弱是以这些权利的“倒退”为标志的。事实上，在洪都拉斯，连续进行的“经济的结构调整”对这些权利的行使产生了重大、显著的损害，由于基本消费品价格的上涨，这些调整对购买力尤其是贫困阶层的购买力产生了严重影响。另外，财政的管理不善正在对最易受伤</w:t>
      </w:r>
      <w:r>
        <w:rPr>
          <w:rFonts w:hint="eastAsia"/>
        </w:rPr>
        <w:t>害群体产生不利影响，洪都拉斯正在通过使其政府机构现代化来设法纠正这一问题。</w:t>
      </w:r>
    </w:p>
    <w:p w:rsidR="00000000" w:rsidRDefault="000C45AD">
      <w:pPr>
        <w:pStyle w:val="Heading3"/>
      </w:pPr>
      <w:r>
        <w:rPr>
          <w:rFonts w:hint="eastAsia"/>
        </w:rPr>
        <w:t>第</w:t>
      </w:r>
      <w:r>
        <w:t xml:space="preserve"> 3 </w:t>
      </w:r>
      <w:r>
        <w:rPr>
          <w:rFonts w:hint="eastAsia"/>
        </w:rPr>
        <w:t>条</w:t>
      </w:r>
    </w:p>
    <w:p w:rsidR="00000000" w:rsidRDefault="000C45AD">
      <w:pPr>
        <w:pStyle w:val="Heading3"/>
      </w:pPr>
      <w:r>
        <w:rPr>
          <w:rFonts w:hint="eastAsia"/>
        </w:rPr>
        <w:t>男女平等</w:t>
      </w:r>
    </w:p>
    <w:p w:rsidR="00000000" w:rsidRDefault="000C45AD">
      <w:r>
        <w:tab/>
        <w:t xml:space="preserve">7.  </w:t>
      </w:r>
      <w:r>
        <w:rPr>
          <w:rFonts w:hint="eastAsia"/>
        </w:rPr>
        <w:t>《宪法》规定，男女在法律面前平等，而且享受和履行同样的权利和义务。因此，洪都拉斯作出极大努力来防止性别歧视，并已批准关于防止、惩治和消除对妇女暴力的国际协定以及《消除对妇女一切形式歧视国际公约》，从而承诺采取措施，制定保护妇女的法律，并废除一切伤害妇女的法律。</w:t>
      </w:r>
    </w:p>
    <w:p w:rsidR="00000000" w:rsidRDefault="000C45AD">
      <w:r>
        <w:tab/>
        <w:t xml:space="preserve">8.  </w:t>
      </w:r>
      <w:r>
        <w:rPr>
          <w:rFonts w:hint="eastAsia"/>
        </w:rPr>
        <w:t>洪都拉斯多数立法都没有考虑到维护妇女权益问题，这些立法忽视妇女的存在。出现这一状况的原因是，在洪都拉斯，妇女参与立法颁布工作的程度很</w:t>
      </w:r>
      <w:r>
        <w:rPr>
          <w:rFonts w:hint="eastAsia"/>
        </w:rPr>
        <w:t>低，因而，所颁布的立法依据的几乎主要是男子单方面的投入，这些投入来自男子对整个社会的看法。</w:t>
      </w:r>
    </w:p>
    <w:p w:rsidR="00000000" w:rsidRDefault="000C45AD">
      <w:r>
        <w:tab/>
        <w:t xml:space="preserve">9.  </w:t>
      </w:r>
      <w:r>
        <w:rPr>
          <w:rFonts w:hint="eastAsia"/>
        </w:rPr>
        <w:t>目前存在三种歧视：</w:t>
      </w:r>
      <w:r>
        <w:t xml:space="preserve">(1) </w:t>
      </w:r>
      <w:r>
        <w:rPr>
          <w:rFonts w:hint="eastAsia"/>
        </w:rPr>
        <w:t>一些法律在事实上带有歧视性；</w:t>
      </w:r>
      <w:r>
        <w:t xml:space="preserve">(2) </w:t>
      </w:r>
      <w:r>
        <w:rPr>
          <w:rFonts w:hint="eastAsia"/>
        </w:rPr>
        <w:t>违反法律规定的歧视；</w:t>
      </w:r>
      <w:r>
        <w:t xml:space="preserve">(3) </w:t>
      </w:r>
      <w:r>
        <w:rPr>
          <w:rFonts w:hint="eastAsia"/>
        </w:rPr>
        <w:t>由于法律在妇女问题上有一些空白而出现的歧视。</w:t>
      </w:r>
    </w:p>
    <w:p w:rsidR="00000000" w:rsidRDefault="000C45AD">
      <w:r>
        <w:tab/>
        <w:t xml:space="preserve">10.  </w:t>
      </w:r>
      <w:r>
        <w:rPr>
          <w:rFonts w:hint="eastAsia"/>
        </w:rPr>
        <w:t>第一种歧视是指专门歧视妇女的法律。第二种歧视常常发生在私营部门，例如，在该部门，保护产妇被视为一项与雇主无关的社会和经济任务，妇女从事很繁重的工作，但却得不到恰当报酬，因而违反了同工同酬原则；鉴于这一情况，政府出台了一系列关于保护妇女的次级法律，这些法律的适用将</w:t>
      </w:r>
      <w:r>
        <w:rPr>
          <w:rFonts w:hint="eastAsia"/>
        </w:rPr>
        <w:t>取决于妇女工作的部门</w:t>
      </w:r>
      <w:r>
        <w:t>(</w:t>
      </w:r>
      <w:r>
        <w:rPr>
          <w:rFonts w:hint="eastAsia"/>
        </w:rPr>
        <w:t>《劳工法》、《公务员法》</w:t>
      </w:r>
      <w:r>
        <w:t>)</w:t>
      </w:r>
      <w:r>
        <w:rPr>
          <w:rFonts w:hint="eastAsia"/>
        </w:rPr>
        <w:t>。</w:t>
      </w:r>
    </w:p>
    <w:p w:rsidR="00000000" w:rsidRDefault="000C45AD">
      <w:r>
        <w:tab/>
        <w:t xml:space="preserve">11.  </w:t>
      </w:r>
      <w:r>
        <w:rPr>
          <w:rFonts w:hint="eastAsia"/>
        </w:rPr>
        <w:t>第三种歧视反映了这一情况：政府未颁布立法，以落实同等就业机会原则；此外，最低工资条例未涉及家庭雇工，也未在休息、工资、工时及社会保障方面为家庭雇工作具体规定。</w:t>
      </w:r>
    </w:p>
    <w:p w:rsidR="00000000" w:rsidRDefault="000C45AD">
      <w:r>
        <w:tab/>
        <w:t xml:space="preserve">12.  </w:t>
      </w:r>
      <w:r>
        <w:rPr>
          <w:rFonts w:hint="eastAsia"/>
        </w:rPr>
        <w:t>鉴于上述情况，立法机构采取了一些措施，以确保妇女享有同等权利。这方面取得的一些较小的进展反映在各种法律条文中</w:t>
      </w:r>
      <w:r>
        <w:t>(</w:t>
      </w:r>
      <w:r>
        <w:rPr>
          <w:rFonts w:hint="eastAsia"/>
        </w:rPr>
        <w:t>《家庭法》、《刑法》、《农业部门现代化法》、《社会保障法》等</w:t>
      </w:r>
      <w:r>
        <w:t>)</w:t>
      </w:r>
      <w:r>
        <w:rPr>
          <w:rFonts w:hint="eastAsia"/>
        </w:rPr>
        <w:t>。</w:t>
      </w:r>
    </w:p>
    <w:p w:rsidR="00000000" w:rsidRDefault="000C45AD">
      <w:r>
        <w:tab/>
        <w:t xml:space="preserve">13.  </w:t>
      </w:r>
      <w:r>
        <w:rPr>
          <w:rFonts w:hint="eastAsia"/>
        </w:rPr>
        <w:t>例如，</w:t>
      </w:r>
      <w:r>
        <w:t>1991</w:t>
      </w:r>
      <w:r>
        <w:rPr>
          <w:rFonts w:hint="eastAsia"/>
        </w:rPr>
        <w:t>年《农业部门现代化法》规定妇女可成为所有人</w:t>
      </w:r>
      <w:r>
        <w:t>(</w:t>
      </w:r>
      <w:r>
        <w:rPr>
          <w:rFonts w:hint="eastAsia"/>
        </w:rPr>
        <w:t>第</w:t>
      </w:r>
      <w:r>
        <w:t>79</w:t>
      </w:r>
      <w:r>
        <w:rPr>
          <w:rFonts w:hint="eastAsia"/>
        </w:rPr>
        <w:t>条</w:t>
      </w:r>
      <w:r>
        <w:t>)</w:t>
      </w:r>
      <w:r>
        <w:rPr>
          <w:rFonts w:hint="eastAsia"/>
        </w:rPr>
        <w:t>，并取消先前的土地改</w:t>
      </w:r>
      <w:r>
        <w:rPr>
          <w:rFonts w:hint="eastAsia"/>
        </w:rPr>
        <w:t>革法中歧视妇女的规定：例如，只有丧偶并且儿子未满</w:t>
      </w:r>
      <w:r>
        <w:t>16</w:t>
      </w:r>
      <w:r>
        <w:rPr>
          <w:rFonts w:hint="eastAsia"/>
        </w:rPr>
        <w:t>岁的妇女才有资格拥有土地。今天，妇女可在和男子同等基础上依法取得土地并进行耕作，以便通过合作或协作安排创造更高的收入。妇女还可以缔结买卖和所有权合同，包括与事实婚姻的男方缔结此类合同，还可以管理自己的财产以及夫妇双方的财产。妇女可以单个企业家或合伙人的身份登记注册，并可从事各种商业活动。</w:t>
      </w:r>
    </w:p>
    <w:p w:rsidR="00000000" w:rsidRDefault="000C45AD">
      <w:r>
        <w:tab/>
        <w:t xml:space="preserve">14.  </w:t>
      </w:r>
      <w:r>
        <w:rPr>
          <w:rFonts w:hint="eastAsia"/>
        </w:rPr>
        <w:t>现行《家庭法》规定，已婚妇女或事实婚姻的女方在个人权利和财产权方面享有与男子同等地位，而且应在相同的平等基础上行使其权利，履行其义务。</w:t>
      </w:r>
    </w:p>
    <w:p w:rsidR="00000000" w:rsidRDefault="000C45AD">
      <w:r>
        <w:tab/>
        <w:t xml:space="preserve">15.  </w:t>
      </w:r>
      <w:r>
        <w:rPr>
          <w:rFonts w:hint="eastAsia"/>
        </w:rPr>
        <w:t>《共和国宪</w:t>
      </w:r>
      <w:r>
        <w:rPr>
          <w:rFonts w:hint="eastAsia"/>
        </w:rPr>
        <w:t>法》关于妇女权利的条款</w:t>
      </w:r>
      <w:r>
        <w:t>(</w:t>
      </w:r>
      <w:r>
        <w:rPr>
          <w:rFonts w:hint="eastAsia"/>
        </w:rPr>
        <w:t>第</w:t>
      </w:r>
      <w:r>
        <w:t>111-115</w:t>
      </w:r>
      <w:r>
        <w:rPr>
          <w:rFonts w:hint="eastAsia"/>
        </w:rPr>
        <w:t>条</w:t>
      </w:r>
      <w:r>
        <w:t>)</w:t>
      </w:r>
      <w:r>
        <w:rPr>
          <w:rFonts w:hint="eastAsia"/>
        </w:rPr>
        <w:t>得到了修改，国家检察院已得到设立，并已在开展工作；检察院设有一个称为妇女特别办公室的机构</w:t>
      </w:r>
      <w:r>
        <w:t>(1994</w:t>
      </w:r>
      <w:r>
        <w:rPr>
          <w:rFonts w:hint="eastAsia"/>
        </w:rPr>
        <w:t>年设立</w:t>
      </w:r>
      <w:r>
        <w:t>)</w:t>
      </w:r>
      <w:r>
        <w:rPr>
          <w:rFonts w:hint="eastAsia"/>
        </w:rPr>
        <w:t>，该机构的任务是充当任何暴力行为的女受害者的代表，并维护和保护这些受害者的权益，因为暴力行为是目前困扰洪都拉斯妇女的又一种祸害。国家人权委员会也已设立，委员会依据其《组织法》的规定，设法确保男女在生活的各个领域享有同等权利和机会：</w:t>
      </w:r>
      <w:r>
        <w:t>1996</w:t>
      </w:r>
      <w:r>
        <w:rPr>
          <w:rFonts w:hint="eastAsia"/>
        </w:rPr>
        <w:t>年，检察院共从全国各地收到</w:t>
      </w:r>
      <w:r>
        <w:t>3,685</w:t>
      </w:r>
      <w:r>
        <w:rPr>
          <w:rFonts w:hint="eastAsia"/>
        </w:rPr>
        <w:t>个侵害妇女的违法行为的报告。</w:t>
      </w:r>
    </w:p>
    <w:p w:rsidR="00000000" w:rsidRDefault="000C45AD">
      <w:r>
        <w:tab/>
        <w:t>16.  1993</w:t>
      </w:r>
      <w:r>
        <w:rPr>
          <w:rFonts w:hint="eastAsia"/>
        </w:rPr>
        <w:t>年，设立了家庭事务委员会，该机构归卫生</w:t>
      </w:r>
      <w:r>
        <w:rPr>
          <w:rFonts w:hint="eastAsia"/>
        </w:rPr>
        <w:t>部领导，主要任务是监督和确保人权的行使，以便防止暴力，并为家庭中身心暴力或性暴力受害者提供援助、保护和支持。</w:t>
      </w:r>
    </w:p>
    <w:p w:rsidR="00000000" w:rsidRDefault="000C45AD">
      <w:r>
        <w:tab/>
        <w:t>17.  1998</w:t>
      </w:r>
      <w:r>
        <w:rPr>
          <w:rFonts w:hint="eastAsia"/>
        </w:rPr>
        <w:t>年</w:t>
      </w:r>
      <w:r>
        <w:t>3</w:t>
      </w:r>
      <w:r>
        <w:rPr>
          <w:rFonts w:hint="eastAsia"/>
        </w:rPr>
        <w:t>月</w:t>
      </w:r>
      <w:r>
        <w:t>1</w:t>
      </w:r>
      <w:r>
        <w:rPr>
          <w:rFonts w:hint="eastAsia"/>
        </w:rPr>
        <w:t>日，《刑法》最新修正案生效：新的法律条文将家庭暴力视为一项单独、特别的犯罪，规定将对伤害妇女的人进行更严厉的惩治；性骚扰行为也将受到惩治。另外，还发布一项法令，规定凡是在广告中使用有辱人格的妇女形象的，将受到惩治。</w:t>
      </w:r>
      <w:r>
        <w:t>1991</w:t>
      </w:r>
      <w:r>
        <w:rPr>
          <w:rFonts w:hint="eastAsia"/>
        </w:rPr>
        <w:t>年，国民议会设立了妇女问题立法委员会，规定委员会的任务是提出改善妇女状况的立法建议，并研究已颁布的立法对维护妇女权益产生的影响。</w:t>
      </w:r>
    </w:p>
    <w:p w:rsidR="00000000" w:rsidRDefault="000C45AD">
      <w:r>
        <w:tab/>
        <w:t xml:space="preserve">18.  </w:t>
      </w:r>
      <w:r>
        <w:rPr>
          <w:rFonts w:hint="eastAsia"/>
        </w:rPr>
        <w:t>此外，</w:t>
      </w:r>
      <w:r>
        <w:t>19</w:t>
      </w:r>
      <w:r>
        <w:t>94</w:t>
      </w:r>
      <w:r>
        <w:rPr>
          <w:rFonts w:hint="eastAsia"/>
        </w:rPr>
        <w:t>年，设立了妇女问题办公室，政府通过该机构协调与妇女问题相关的活动、行动计划和政策。所有这些都表明了一种真实的关切，即确保妇女在与男子平等的基础上拥有公平的条件和机会，将妇女纳入全国发展计划，以此创建一个在男女平等基础上确保权利的行使的社会模式。在目前为止，该机构已在洪都拉斯西部和中部地区执行了一些创收生产项目，参加这些项目的是一些属于一家之主的妇女。该机构还就各种专题开展培训活动，并为其他一些有利于妇女的活动的开展提供资源。</w:t>
      </w:r>
    </w:p>
    <w:p w:rsidR="00000000" w:rsidRDefault="000C45AD">
      <w:r>
        <w:tab/>
        <w:t xml:space="preserve">19.  </w:t>
      </w:r>
      <w:r>
        <w:rPr>
          <w:rFonts w:hint="eastAsia"/>
        </w:rPr>
        <w:t>国民议会目前正在审议一项预防和惩治家庭暴力的法案</w:t>
      </w:r>
      <w:r>
        <w:t>(</w:t>
      </w:r>
      <w:r>
        <w:rPr>
          <w:rFonts w:hint="eastAsia"/>
        </w:rPr>
        <w:t>《预防、消除和惩</w:t>
      </w:r>
      <w:r>
        <w:rPr>
          <w:rFonts w:hint="eastAsia"/>
        </w:rPr>
        <w:t>治对妇女的家庭暴力》</w:t>
      </w:r>
      <w:r>
        <w:t>)</w:t>
      </w:r>
      <w:r>
        <w:rPr>
          <w:rFonts w:hint="eastAsia"/>
        </w:rPr>
        <w:t>，因为正如已经指出的，这是影响妇女身心健康和性健康的又一个问题。近年来，妇女正在加紧参与国家的各种经济活动，妇女在校学习的年数趋于增加。有</w:t>
      </w:r>
      <w:r>
        <w:t>20</w:t>
      </w:r>
      <w:r>
        <w:rPr>
          <w:rFonts w:hint="eastAsia"/>
        </w:rPr>
        <w:t>个妇女组织组成了一个“反暴力组织”，目前设有一个妇女权利中心，一些非政府组织正在这一领域开展工作。</w:t>
      </w:r>
    </w:p>
    <w:p w:rsidR="00000000" w:rsidRDefault="000C45AD">
      <w:pPr>
        <w:spacing w:after="320"/>
        <w:textAlignment w:val="center"/>
      </w:pPr>
      <w:r>
        <w:tab/>
        <w:t xml:space="preserve">20.  </w:t>
      </w:r>
      <w:r>
        <w:rPr>
          <w:rFonts w:hint="eastAsia"/>
        </w:rPr>
        <w:t>《刑法》修正案规定，工作场所的性骚扰行为将受到惩治</w:t>
      </w:r>
      <w:r>
        <w:t>(</w:t>
      </w:r>
      <w:r>
        <w:rPr>
          <w:rFonts w:hint="eastAsia"/>
        </w:rPr>
        <w:t>第</w:t>
      </w:r>
      <w:r>
        <w:t>147</w:t>
      </w:r>
      <w:r>
        <w:rPr>
          <w:rFonts w:hint="eastAsia"/>
        </w:rPr>
        <w:t>条</w:t>
      </w:r>
      <w:r>
        <w:t xml:space="preserve"> A</w:t>
      </w:r>
      <w:r>
        <w:rPr>
          <w:rFonts w:hint="eastAsia"/>
        </w:rPr>
        <w:t>款</w:t>
      </w:r>
      <w:r>
        <w:t>)</w:t>
      </w:r>
      <w:r>
        <w:rPr>
          <w:rFonts w:hint="eastAsia"/>
        </w:rPr>
        <w:t>。这是一种进步，目前对在广告中使用有失尊严、有辱人格的妇女形象的行为实行的制裁也是一种进步。</w:t>
      </w:r>
    </w:p>
    <w:p w:rsidR="00000000" w:rsidRDefault="000C45AD">
      <w:pPr>
        <w:pStyle w:val="Heading4"/>
      </w:pPr>
      <w:r>
        <w:rPr>
          <w:rFonts w:hint="eastAsia"/>
        </w:rPr>
        <w:t>妇女参与国家政治生活的情况</w:t>
      </w:r>
    </w:p>
    <w:p w:rsidR="00000000" w:rsidRDefault="000C45AD">
      <w:r>
        <w:tab/>
        <w:t>21.  1955</w:t>
      </w:r>
      <w:r>
        <w:rPr>
          <w:rFonts w:hint="eastAsia"/>
        </w:rPr>
        <w:t>年，洪都拉斯妇女获得投票</w:t>
      </w:r>
      <w:r>
        <w:rPr>
          <w:rFonts w:hint="eastAsia"/>
        </w:rPr>
        <w:t>权和作为候选人参加选举的权利。这使得妇女可以加入政党，也为妇女担任公职创造了条件。现在有一名妇女是共和国总统候选人，妇女第一次担任候补总统，另有一名妇女第二次担任候补总统候选人，在总统不在国内时，这两名妇女有可能担任代总统。现在还有两名女省长，然而由于洪都拉斯有</w:t>
      </w:r>
      <w:r>
        <w:t>18</w:t>
      </w:r>
      <w:r>
        <w:rPr>
          <w:rFonts w:hint="eastAsia"/>
        </w:rPr>
        <w:t>个省，这一数字很小。</w:t>
      </w:r>
    </w:p>
    <w:p w:rsidR="00000000" w:rsidRDefault="000C45AD">
      <w:r>
        <w:tab/>
        <w:t xml:space="preserve">22.  </w:t>
      </w:r>
      <w:r>
        <w:rPr>
          <w:rFonts w:hint="eastAsia"/>
        </w:rPr>
        <w:t>行政部门由</w:t>
      </w:r>
      <w:r>
        <w:t>13</w:t>
      </w:r>
      <w:r>
        <w:rPr>
          <w:rFonts w:hint="eastAsia"/>
        </w:rPr>
        <w:t>个部组成，但只有教育部长是妇女，而且在</w:t>
      </w:r>
      <w:r>
        <w:t>17</w:t>
      </w:r>
      <w:r>
        <w:rPr>
          <w:rFonts w:hint="eastAsia"/>
        </w:rPr>
        <w:t>名副部长中只有</w:t>
      </w:r>
      <w:r>
        <w:t>5</w:t>
      </w:r>
      <w:r>
        <w:rPr>
          <w:rFonts w:hint="eastAsia"/>
        </w:rPr>
        <w:t>名是妇女</w:t>
      </w:r>
      <w:r>
        <w:t>(</w:t>
      </w:r>
      <w:r>
        <w:rPr>
          <w:rFonts w:hint="eastAsia"/>
        </w:rPr>
        <w:t>她们分别担任卫生、规划、财政、自然资源、政府和司法部副部长</w:t>
      </w:r>
      <w:r>
        <w:t>)</w:t>
      </w:r>
      <w:r>
        <w:rPr>
          <w:rFonts w:hint="eastAsia"/>
        </w:rPr>
        <w:t>。妇女无人担任一个部的秘书长，但担任司局长妇女增多：占</w:t>
      </w:r>
      <w:r>
        <w:t>42%</w:t>
      </w:r>
      <w:r>
        <w:rPr>
          <w:rFonts w:hint="eastAsia"/>
          <w:spacing w:val="20"/>
        </w:rPr>
        <w:t>，比</w:t>
      </w:r>
      <w:r>
        <w:t>198</w:t>
      </w:r>
      <w:r>
        <w:t>9</w:t>
      </w:r>
      <w:r>
        <w:rPr>
          <w:rFonts w:hint="eastAsia"/>
        </w:rPr>
        <w:t>年的数字增加了一倍。</w:t>
      </w:r>
      <w:r>
        <w:t>26</w:t>
      </w:r>
      <w:r>
        <w:rPr>
          <w:rFonts w:hint="eastAsia"/>
        </w:rPr>
        <w:t>个地方机构中有</w:t>
      </w:r>
      <w:r>
        <w:t>3</w:t>
      </w:r>
      <w:r>
        <w:rPr>
          <w:rFonts w:hint="eastAsia"/>
        </w:rPr>
        <w:t>个机构的负责人为妇女。在</w:t>
      </w:r>
      <w:r>
        <w:t>293</w:t>
      </w:r>
      <w:r>
        <w:rPr>
          <w:rFonts w:hint="eastAsia"/>
        </w:rPr>
        <w:t>个市中，女市长占</w:t>
      </w:r>
      <w:r>
        <w:t>13%</w:t>
      </w:r>
      <w:r>
        <w:rPr>
          <w:rFonts w:hint="eastAsia"/>
        </w:rPr>
        <w:t>，这一数字比</w:t>
      </w:r>
      <w:r>
        <w:t>1985</w:t>
      </w:r>
      <w:r>
        <w:rPr>
          <w:rFonts w:hint="eastAsia"/>
        </w:rPr>
        <w:t>年的选举结果有增加。</w:t>
      </w:r>
    </w:p>
    <w:p w:rsidR="00000000" w:rsidRDefault="000C45AD">
      <w:r>
        <w:tab/>
        <w:t xml:space="preserve">23.  </w:t>
      </w:r>
      <w:r>
        <w:rPr>
          <w:rFonts w:hint="eastAsia"/>
        </w:rPr>
        <w:t>在立法机关的</w:t>
      </w:r>
      <w:r>
        <w:t>228</w:t>
      </w:r>
      <w:r>
        <w:rPr>
          <w:rFonts w:hint="eastAsia"/>
        </w:rPr>
        <w:t>个席位中，有</w:t>
      </w:r>
      <w:r>
        <w:t>9</w:t>
      </w:r>
      <w:r>
        <w:rPr>
          <w:rFonts w:hint="eastAsia"/>
        </w:rPr>
        <w:t>名妇女当选为正式议员，</w:t>
      </w:r>
      <w:r>
        <w:t>11</w:t>
      </w:r>
      <w:r>
        <w:rPr>
          <w:rFonts w:hint="eastAsia"/>
        </w:rPr>
        <w:t>名妇女当选为候补议员；在最高法院的</w:t>
      </w:r>
      <w:r>
        <w:t>27</w:t>
      </w:r>
      <w:r>
        <w:rPr>
          <w:rFonts w:hint="eastAsia"/>
        </w:rPr>
        <w:t>位法官中，妇女仅占</w:t>
      </w:r>
      <w:r>
        <w:t>3</w:t>
      </w:r>
      <w:r>
        <w:rPr>
          <w:rFonts w:hint="eastAsia"/>
        </w:rPr>
        <w:t>人，在</w:t>
      </w:r>
      <w:r>
        <w:t>289</w:t>
      </w:r>
      <w:r>
        <w:rPr>
          <w:rFonts w:hint="eastAsia"/>
        </w:rPr>
        <w:t>名其他法官中，妇女仅占</w:t>
      </w:r>
      <w:r>
        <w:t>19%</w:t>
      </w:r>
      <w:r>
        <w:rPr>
          <w:rFonts w:hint="eastAsia"/>
        </w:rPr>
        <w:t>。在这一部门工作的妇女占</w:t>
      </w:r>
      <w:r>
        <w:t>43%</w:t>
      </w:r>
      <w:r>
        <w:rPr>
          <w:rFonts w:hint="eastAsia"/>
        </w:rPr>
        <w:t>，但其中多数从事辅助工作。这一点反映了在公营部门任职的多数妇女的状况。</w:t>
      </w:r>
    </w:p>
    <w:p w:rsidR="00000000" w:rsidRDefault="000C45AD">
      <w:r>
        <w:tab/>
        <w:t xml:space="preserve">24.  </w:t>
      </w:r>
      <w:r>
        <w:rPr>
          <w:rFonts w:hint="eastAsia"/>
        </w:rPr>
        <w:t>在政府任命的</w:t>
      </w:r>
      <w:r>
        <w:t>30</w:t>
      </w:r>
      <w:r>
        <w:rPr>
          <w:rFonts w:hint="eastAsia"/>
        </w:rPr>
        <w:t>名大使中，只有</w:t>
      </w:r>
      <w:r>
        <w:t>3</w:t>
      </w:r>
      <w:r>
        <w:rPr>
          <w:rFonts w:hint="eastAsia"/>
        </w:rPr>
        <w:t>名女大使。洪都拉斯在中美洲议会有</w:t>
      </w:r>
      <w:r>
        <w:t>20</w:t>
      </w:r>
      <w:r>
        <w:rPr>
          <w:rFonts w:hint="eastAsia"/>
        </w:rPr>
        <w:t>名议员，但其中只有</w:t>
      </w:r>
      <w:r>
        <w:t>6</w:t>
      </w:r>
      <w:r>
        <w:rPr>
          <w:rFonts w:hint="eastAsia"/>
        </w:rPr>
        <w:t>人是妇</w:t>
      </w:r>
      <w:r>
        <w:rPr>
          <w:rFonts w:hint="eastAsia"/>
        </w:rPr>
        <w:t>女</w:t>
      </w:r>
      <w:r>
        <w:rPr>
          <w:rFonts w:hint="eastAsia"/>
          <w:spacing w:val="-40"/>
        </w:rPr>
        <w:t>——</w:t>
      </w:r>
      <w:r>
        <w:t xml:space="preserve"> 1</w:t>
      </w:r>
      <w:r>
        <w:rPr>
          <w:rFonts w:hint="eastAsia"/>
        </w:rPr>
        <w:t>人为正式议员，</w:t>
      </w:r>
      <w:r>
        <w:t>5</w:t>
      </w:r>
      <w:r>
        <w:rPr>
          <w:rFonts w:hint="eastAsia"/>
        </w:rPr>
        <w:t>人为候补议员。</w:t>
      </w:r>
    </w:p>
    <w:p w:rsidR="00000000" w:rsidRDefault="000C45AD">
      <w:r>
        <w:tab/>
        <w:t xml:space="preserve">25.  </w:t>
      </w:r>
      <w:r>
        <w:rPr>
          <w:rFonts w:hint="eastAsia"/>
        </w:rPr>
        <w:t>所有这些都表明，在参与政治生活方面，男女平等状况不能令人满意，妇女与其说是作为成员参与决策机构，不如说是参与了竞选活动，无论是在立法机关，还是在行政和司法机关，妇女担任最高职位的比例仍然有限。</w:t>
      </w:r>
    </w:p>
    <w:p w:rsidR="00000000" w:rsidRDefault="000C45AD">
      <w:r>
        <w:tab/>
        <w:t xml:space="preserve">26.  </w:t>
      </w:r>
      <w:r>
        <w:rPr>
          <w:rFonts w:hint="eastAsia"/>
        </w:rPr>
        <w:t>在新设立的检察院中，一些妇女担任了要职：现有的</w:t>
      </w:r>
      <w:r>
        <w:t>9</w:t>
      </w:r>
      <w:r>
        <w:rPr>
          <w:rFonts w:hint="eastAsia"/>
        </w:rPr>
        <w:t>个特别部门中有</w:t>
      </w:r>
      <w:r>
        <w:t>5</w:t>
      </w:r>
      <w:r>
        <w:rPr>
          <w:rFonts w:hint="eastAsia"/>
        </w:rPr>
        <w:t>个部门的负责人为妇女，这些部门的工作人员</w:t>
      </w:r>
      <w:r>
        <w:t>60%</w:t>
      </w:r>
      <w:r>
        <w:rPr>
          <w:rFonts w:hint="eastAsia"/>
        </w:rPr>
        <w:t>以上是妇女。</w:t>
      </w:r>
    </w:p>
    <w:p w:rsidR="00000000" w:rsidRDefault="000C45AD">
      <w:r>
        <w:tab/>
        <w:t xml:space="preserve">27.  </w:t>
      </w:r>
      <w:r>
        <w:rPr>
          <w:rFonts w:hint="eastAsia"/>
        </w:rPr>
        <w:t>由于对学校教科书作了修改，教育方面取得了相当大的进展，主要工作是开展研究、确定并消除对妇女的成见和歧视，以帮助人们改</w:t>
      </w:r>
      <w:r>
        <w:rPr>
          <w:rFonts w:hint="eastAsia"/>
        </w:rPr>
        <w:t>变观念。这是教育部开展研究所取得的成果。</w:t>
      </w:r>
    </w:p>
    <w:p w:rsidR="00000000" w:rsidRDefault="000C45AD">
      <w:r>
        <w:tab/>
        <w:t xml:space="preserve">28.  </w:t>
      </w:r>
      <w:r>
        <w:rPr>
          <w:rFonts w:hint="eastAsia"/>
        </w:rPr>
        <w:t>妇女就业机会如何，要看她们的是住在城市还是住在农村。妇女占城市经济活跃人口的</w:t>
      </w:r>
      <w:r>
        <w:t>40%</w:t>
      </w:r>
      <w:r>
        <w:rPr>
          <w:rFonts w:hint="eastAsia"/>
        </w:rPr>
        <w:t>，但仅占农村经济活跃人口的</w:t>
      </w:r>
      <w:r>
        <w:t>22%</w:t>
      </w:r>
      <w:r>
        <w:rPr>
          <w:rFonts w:hint="eastAsia"/>
        </w:rPr>
        <w:t>。妇女在服务、商业和工业部门从事工作。</w:t>
      </w:r>
    </w:p>
    <w:p w:rsidR="00000000" w:rsidRDefault="000C45AD">
      <w:r>
        <w:tab/>
        <w:t xml:space="preserve">29.  </w:t>
      </w:r>
      <w:r>
        <w:rPr>
          <w:rFonts w:hint="eastAsia"/>
        </w:rPr>
        <w:t>在城市，就业妇女有一半在服务部门从事工作，该部门涵盖家庭雇工、非正式工人、以及专业人员和技术人员等。</w:t>
      </w:r>
    </w:p>
    <w:p w:rsidR="00000000" w:rsidRDefault="000C45AD">
      <w:r>
        <w:tab/>
        <w:t xml:space="preserve">30.  </w:t>
      </w:r>
      <w:r>
        <w:rPr>
          <w:rFonts w:hint="eastAsia"/>
        </w:rPr>
        <w:t>在城市，约有四分之一的妇女是家庭雇工，这项工作不需要任何条件，而且在多数情况下使妇女无法得到自我完善和提升。</w:t>
      </w:r>
    </w:p>
    <w:p w:rsidR="00000000" w:rsidRDefault="000C45AD">
      <w:r>
        <w:tab/>
        <w:t xml:space="preserve">31.  </w:t>
      </w:r>
      <w:r>
        <w:rPr>
          <w:rFonts w:hint="eastAsia"/>
        </w:rPr>
        <w:t>《宪法》第</w:t>
      </w:r>
      <w:r>
        <w:t>127</w:t>
      </w:r>
      <w:r>
        <w:rPr>
          <w:rFonts w:hint="eastAsia"/>
        </w:rPr>
        <w:t>条规定，“人人都有权工作，有权自由选择或</w:t>
      </w:r>
      <w:r>
        <w:rPr>
          <w:rFonts w:hint="eastAsia"/>
        </w:rPr>
        <w:t>放弃他的职业……”。第</w:t>
      </w:r>
      <w:r>
        <w:t>128</w:t>
      </w:r>
      <w:r>
        <w:rPr>
          <w:rFonts w:hint="eastAsia"/>
        </w:rPr>
        <w:t>条规定，“男女应当同工同酬”，但条件是所从事的工作、工时、效率、以及服务期限等也相同。但实际情况是，劳工法未能得到严格实施，从事同等工作的男女的工资差别相当大就说明了这一点。如上所述，最低工资规定未涉及家庭雇工，而且，目前尚未在休息、工资或工时等方面制定特殊规则：法律目前事实上有空白。</w:t>
      </w:r>
    </w:p>
    <w:p w:rsidR="00000000" w:rsidRDefault="000C45AD">
      <w:r>
        <w:tab/>
        <w:t xml:space="preserve">32.  </w:t>
      </w:r>
      <w:r>
        <w:rPr>
          <w:rFonts w:hint="eastAsia"/>
        </w:rPr>
        <w:t>政府的政策是提倡让更多的女工到</w:t>
      </w:r>
      <w:r>
        <w:rPr>
          <w:u w:val="single"/>
        </w:rPr>
        <w:t>maquiladoras</w:t>
      </w:r>
      <w:r>
        <w:t xml:space="preserve"> (</w:t>
      </w:r>
      <w:r>
        <w:rPr>
          <w:rFonts w:hint="eastAsia"/>
        </w:rPr>
        <w:t>装配和成品工厂</w:t>
      </w:r>
      <w:r>
        <w:t>)</w:t>
      </w:r>
      <w:r>
        <w:rPr>
          <w:rFonts w:hint="eastAsia"/>
        </w:rPr>
        <w:t>工作，以便减轻贫困，创造就业机会并赚取外汇。但必须指出的是，妇女的劳工权利不断遭到侵犯，因为妇女的工时很长，但</w:t>
      </w:r>
      <w:r>
        <w:rPr>
          <w:rFonts w:hint="eastAsia"/>
        </w:rPr>
        <w:t>却得不到适当报酬，而且未能享有法律规定的劳工条件，因而女工遭受严重剥削。另外还在工作场所遭受暴力侵害、虐待、控制生育措施的限制以及性骚扰。</w:t>
      </w:r>
    </w:p>
    <w:p w:rsidR="00000000" w:rsidRDefault="000C45AD">
      <w:r>
        <w:tab/>
        <w:t xml:space="preserve">33.  </w:t>
      </w:r>
      <w:r>
        <w:rPr>
          <w:rFonts w:hint="eastAsia"/>
        </w:rPr>
        <w:t>鉴于上述情况，劳工部采取了行动，对未能尊重《宪法》和法律规定的男女职工权利的雇主进行处罚，以消除这种侵犯权利现象。劳工部将向此类企业增派人员，以确保对现行劳工立法的遵守。</w:t>
      </w:r>
    </w:p>
    <w:p w:rsidR="00000000" w:rsidRDefault="000C45AD">
      <w:pPr>
        <w:tabs>
          <w:tab w:val="clear" w:pos="510"/>
          <w:tab w:val="clear" w:pos="1021"/>
          <w:tab w:val="clear" w:pos="1531"/>
          <w:tab w:val="clear" w:pos="2041"/>
        </w:tabs>
        <w:spacing w:after="320"/>
        <w:textAlignment w:val="center"/>
      </w:pPr>
      <w:r>
        <w:tab/>
        <w:t xml:space="preserve">34.  </w:t>
      </w:r>
      <w:r>
        <w:rPr>
          <w:rFonts w:hint="eastAsia"/>
        </w:rPr>
        <w:t>为配合为处于贫困和赤贫状态的妇女执行的援助方案，现正在职业培训和创造就业机会方面采取措施。除这些措施外，政府正在执行两个主要旨在减轻贫困的方案：一个是“家庭津贴方案”</w:t>
      </w:r>
      <w:r>
        <w:t>(PRAF</w:t>
      </w:r>
      <w:r>
        <w:t>)</w:t>
      </w:r>
      <w:r>
        <w:rPr>
          <w:rFonts w:hint="eastAsia"/>
        </w:rPr>
        <w:t>，该方案为单身母亲和女性一家之主提供证件，并正在考虑为老年人提供就业证件和其他证件；另一个是“洪都拉斯社会投资基金</w:t>
      </w:r>
      <w:r>
        <w:t>(FHIS)</w:t>
      </w:r>
      <w:r>
        <w:rPr>
          <w:rFonts w:hint="eastAsia"/>
        </w:rPr>
        <w:t>，该方案负责开展与洪都拉斯最贫困社区中的健康、教育及营养等方面有关的活动。</w:t>
      </w:r>
    </w:p>
    <w:p w:rsidR="00000000" w:rsidRDefault="000C45AD">
      <w:pPr>
        <w:pStyle w:val="Heading3"/>
      </w:pPr>
      <w:r>
        <w:rPr>
          <w:rFonts w:hint="eastAsia"/>
        </w:rPr>
        <w:t>第</w:t>
      </w:r>
      <w:r>
        <w:t>4</w:t>
      </w:r>
      <w:r>
        <w:rPr>
          <w:rFonts w:hint="eastAsia"/>
        </w:rPr>
        <w:t>条和第</w:t>
      </w:r>
      <w:r>
        <w:t>5</w:t>
      </w:r>
      <w:r>
        <w:rPr>
          <w:rFonts w:hint="eastAsia"/>
        </w:rPr>
        <w:t>条</w:t>
      </w:r>
    </w:p>
    <w:p w:rsidR="00000000" w:rsidRDefault="000C45AD">
      <w:pPr>
        <w:pStyle w:val="Heading3"/>
      </w:pPr>
      <w:r>
        <w:rPr>
          <w:rFonts w:hint="eastAsia"/>
        </w:rPr>
        <w:t>对《盟约》确认的权利的限制</w:t>
      </w:r>
    </w:p>
    <w:p w:rsidR="00000000" w:rsidRDefault="000C45AD">
      <w:pPr>
        <w:tabs>
          <w:tab w:val="clear" w:pos="510"/>
          <w:tab w:val="clear" w:pos="1021"/>
          <w:tab w:val="clear" w:pos="1531"/>
          <w:tab w:val="clear" w:pos="2041"/>
        </w:tabs>
      </w:pPr>
      <w:r>
        <w:tab/>
        <w:t xml:space="preserve">35.  </w:t>
      </w:r>
      <w:r>
        <w:rPr>
          <w:rFonts w:hint="eastAsia"/>
        </w:rPr>
        <w:t>依照《经济、社会、文化权利国际盟约》第</w:t>
      </w:r>
      <w:r>
        <w:t>4</w:t>
      </w:r>
      <w:r>
        <w:rPr>
          <w:rFonts w:hint="eastAsia"/>
        </w:rPr>
        <w:t>条和第</w:t>
      </w:r>
      <w:r>
        <w:t>5</w:t>
      </w:r>
      <w:r>
        <w:rPr>
          <w:rFonts w:hint="eastAsia"/>
        </w:rPr>
        <w:t>条的规定，洪都拉斯可对《盟约》承认的权利加以限制，但此类限制须由法律确定，必须与这些权利的性质相一致，而且只是为了促进社会的总的福利。洪都拉斯的立法是与《盟约》的条款和范围相一致的，这些立法依《宪法》第</w:t>
      </w:r>
      <w:r>
        <w:t>1</w:t>
      </w:r>
      <w:r>
        <w:t>6</w:t>
      </w:r>
      <w:r>
        <w:rPr>
          <w:rFonts w:hint="eastAsia"/>
        </w:rPr>
        <w:t>条的规定，构成洪都拉斯实在法的组成部分。</w:t>
      </w:r>
    </w:p>
    <w:p w:rsidR="00000000" w:rsidRDefault="000C45AD">
      <w:pPr>
        <w:tabs>
          <w:tab w:val="clear" w:pos="510"/>
          <w:tab w:val="clear" w:pos="1021"/>
          <w:tab w:val="clear" w:pos="1531"/>
          <w:tab w:val="clear" w:pos="2041"/>
        </w:tabs>
        <w:spacing w:after="320"/>
        <w:textAlignment w:val="center"/>
      </w:pPr>
      <w:r>
        <w:tab/>
        <w:t xml:space="preserve">36.  </w:t>
      </w:r>
      <w:r>
        <w:rPr>
          <w:rFonts w:hint="eastAsia"/>
        </w:rPr>
        <w:t>但实际情况表明，政府采取了一些经济结构调整措施，这些措施多少侵犯或削弱了《盟约》承认的一些权利：其结果是已经处于不利地位的群体变得更加贫困。不仅洪都拉斯出现了这一状况，拉丁美洲其他国家也出现了这一状况。</w:t>
      </w:r>
    </w:p>
    <w:p w:rsidR="00000000" w:rsidRDefault="000C45AD">
      <w:pPr>
        <w:pStyle w:val="Heading3"/>
      </w:pPr>
      <w:r>
        <w:rPr>
          <w:rFonts w:hint="eastAsia"/>
        </w:rPr>
        <w:t>第</w:t>
      </w:r>
      <w:r>
        <w:t xml:space="preserve"> 6 </w:t>
      </w:r>
      <w:r>
        <w:rPr>
          <w:rFonts w:hint="eastAsia"/>
        </w:rPr>
        <w:t>条</w:t>
      </w:r>
    </w:p>
    <w:p w:rsidR="00000000" w:rsidRDefault="000C45AD">
      <w:pPr>
        <w:pStyle w:val="Heading3"/>
      </w:pPr>
      <w:r>
        <w:rPr>
          <w:rFonts w:hint="eastAsia"/>
        </w:rPr>
        <w:t>工</w:t>
      </w:r>
      <w:r>
        <w:t xml:space="preserve">  </w:t>
      </w:r>
      <w:r>
        <w:rPr>
          <w:rFonts w:hint="eastAsia"/>
        </w:rPr>
        <w:t>作</w:t>
      </w:r>
      <w:r>
        <w:t xml:space="preserve">  </w:t>
      </w:r>
      <w:r>
        <w:rPr>
          <w:rFonts w:hint="eastAsia"/>
        </w:rPr>
        <w:t>权</w:t>
      </w:r>
    </w:p>
    <w:p w:rsidR="00000000" w:rsidRDefault="000C45AD">
      <w:pPr>
        <w:tabs>
          <w:tab w:val="clear" w:pos="510"/>
          <w:tab w:val="clear" w:pos="1021"/>
          <w:tab w:val="clear" w:pos="1531"/>
          <w:tab w:val="clear" w:pos="2041"/>
        </w:tabs>
      </w:pPr>
      <w:r>
        <w:tab/>
        <w:t xml:space="preserve">37.  </w:t>
      </w:r>
      <w:r>
        <w:rPr>
          <w:rFonts w:hint="eastAsia"/>
        </w:rPr>
        <w:t>《宪法》第</w:t>
      </w:r>
      <w:r>
        <w:t>127-141</w:t>
      </w:r>
      <w:r>
        <w:rPr>
          <w:rFonts w:hint="eastAsia"/>
        </w:rPr>
        <w:t>条确认工作权。洪都拉斯是下列劳工事务国际法律文书的签署国：</w:t>
      </w:r>
    </w:p>
    <w:p w:rsidR="00000000" w:rsidRDefault="000C45AD" w:rsidP="000C45AD">
      <w:pPr>
        <w:pStyle w:val="a6"/>
        <w:numPr>
          <w:ilvl w:val="0"/>
          <w:numId w:val="1"/>
        </w:numPr>
      </w:pPr>
      <w:r>
        <w:rPr>
          <w:rFonts w:hint="eastAsia"/>
        </w:rPr>
        <w:t>劳工组织</w:t>
      </w:r>
      <w:r>
        <w:t>1964</w:t>
      </w:r>
      <w:r>
        <w:rPr>
          <w:rFonts w:hint="eastAsia"/>
        </w:rPr>
        <w:t>年《就业政策公约》</w:t>
      </w:r>
      <w:r>
        <w:t>(</w:t>
      </w:r>
      <w:r>
        <w:rPr>
          <w:rFonts w:hint="eastAsia"/>
        </w:rPr>
        <w:t>第</w:t>
      </w:r>
      <w:r>
        <w:t>122</w:t>
      </w:r>
      <w:r>
        <w:rPr>
          <w:rFonts w:hint="eastAsia"/>
        </w:rPr>
        <w:t>号</w:t>
      </w:r>
      <w:r>
        <w:t>)</w:t>
      </w:r>
      <w:r>
        <w:rPr>
          <w:rFonts w:hint="eastAsia"/>
        </w:rPr>
        <w:t>；</w:t>
      </w:r>
    </w:p>
    <w:p w:rsidR="00000000" w:rsidRDefault="000C45AD" w:rsidP="000C45AD">
      <w:pPr>
        <w:pStyle w:val="a6"/>
        <w:numPr>
          <w:ilvl w:val="0"/>
          <w:numId w:val="1"/>
        </w:numPr>
        <w:spacing w:after="320"/>
        <w:textAlignment w:val="center"/>
      </w:pPr>
      <w:r>
        <w:rPr>
          <w:rFonts w:hint="eastAsia"/>
        </w:rPr>
        <w:t>劳工组织</w:t>
      </w:r>
      <w:r>
        <w:t>1958</w:t>
      </w:r>
      <w:r>
        <w:rPr>
          <w:rFonts w:hint="eastAsia"/>
        </w:rPr>
        <w:t>年《</w:t>
      </w:r>
      <w:r>
        <w:t>(</w:t>
      </w:r>
      <w:r>
        <w:rPr>
          <w:rFonts w:hint="eastAsia"/>
        </w:rPr>
        <w:t>就业和职业</w:t>
      </w:r>
      <w:r>
        <w:t>)</w:t>
      </w:r>
      <w:r>
        <w:rPr>
          <w:rFonts w:hint="eastAsia"/>
        </w:rPr>
        <w:t>歧视公约》</w:t>
      </w:r>
      <w:r>
        <w:t>(</w:t>
      </w:r>
      <w:r>
        <w:rPr>
          <w:rFonts w:hint="eastAsia"/>
        </w:rPr>
        <w:t>第</w:t>
      </w:r>
      <w:r>
        <w:t>111</w:t>
      </w:r>
      <w:r>
        <w:rPr>
          <w:rFonts w:hint="eastAsia"/>
        </w:rPr>
        <w:t>号</w:t>
      </w:r>
      <w:r>
        <w:t>)</w:t>
      </w:r>
      <w:r>
        <w:rPr>
          <w:rFonts w:hint="eastAsia"/>
        </w:rPr>
        <w:t>。</w:t>
      </w:r>
    </w:p>
    <w:p w:rsidR="00000000" w:rsidRDefault="000C45AD">
      <w:pPr>
        <w:pStyle w:val="Heading4"/>
      </w:pPr>
      <w:r>
        <w:rPr>
          <w:rFonts w:hint="eastAsia"/>
        </w:rPr>
        <w:t>就业水平、就业</w:t>
      </w:r>
      <w:r>
        <w:rPr>
          <w:rFonts w:hint="eastAsia"/>
        </w:rPr>
        <w:t>不足程度和失业程度</w:t>
      </w:r>
    </w:p>
    <w:p w:rsidR="00000000" w:rsidRDefault="000C45AD">
      <w:r>
        <w:tab/>
        <w:t>38.  1995</w:t>
      </w:r>
      <w:r>
        <w:rPr>
          <w:rFonts w:hint="eastAsia"/>
        </w:rPr>
        <w:t>年统计资料显示，</w:t>
      </w:r>
      <w:r>
        <w:t>36%</w:t>
      </w:r>
      <w:r>
        <w:rPr>
          <w:rFonts w:hint="eastAsia"/>
        </w:rPr>
        <w:t>的农村经济活跃人口和</w:t>
      </w:r>
      <w:r>
        <w:t>24%</w:t>
      </w:r>
      <w:r>
        <w:rPr>
          <w:rFonts w:hint="eastAsia"/>
        </w:rPr>
        <w:t>的城市经济活跃人口遇到某些就业问题。此外，农村就业不足率为</w:t>
      </w:r>
      <w:r>
        <w:t>34%</w:t>
      </w:r>
      <w:r>
        <w:rPr>
          <w:rFonts w:hint="eastAsia"/>
        </w:rPr>
        <w:t>，城市为</w:t>
      </w:r>
      <w:r>
        <w:t>17%</w:t>
      </w:r>
      <w:r>
        <w:rPr>
          <w:rFonts w:hint="eastAsia"/>
        </w:rPr>
        <w:t>；失业率农村为</w:t>
      </w:r>
      <w:r>
        <w:t>2%</w:t>
      </w:r>
      <w:r>
        <w:rPr>
          <w:rFonts w:hint="eastAsia"/>
        </w:rPr>
        <w:t>，城市为</w:t>
      </w:r>
      <w:r>
        <w:t>7%</w:t>
      </w:r>
      <w:r>
        <w:rPr>
          <w:rFonts w:hint="eastAsia"/>
        </w:rPr>
        <w:t>。就业不足比例较高意味着许多工人转向非正式部门。</w:t>
      </w:r>
    </w:p>
    <w:p w:rsidR="00000000" w:rsidRDefault="000C45AD">
      <w:r>
        <w:tab/>
        <w:t>39.  1995</w:t>
      </w:r>
      <w:r>
        <w:rPr>
          <w:rFonts w:hint="eastAsia"/>
        </w:rPr>
        <w:t>年</w:t>
      </w:r>
      <w:r>
        <w:t>10</w:t>
      </w:r>
      <w:r>
        <w:rPr>
          <w:rFonts w:hint="eastAsia"/>
        </w:rPr>
        <w:t>月，洪都拉斯的公开失业率不到</w:t>
      </w:r>
      <w:r>
        <w:t>4.2%</w:t>
      </w:r>
      <w:r>
        <w:rPr>
          <w:rFonts w:hint="eastAsia"/>
        </w:rPr>
        <w:t>。现在的问题仍是显性就业不足，就是说很大一部分经济活跃人口的工时很长，但收入却远低于最低工资。这种状况在农村更为令人担忧。现无关于各类经济活跃人口因性别、年龄或宗教而处于某种不利地位的数字。</w:t>
      </w:r>
    </w:p>
    <w:p w:rsidR="00000000" w:rsidRDefault="000C45AD">
      <w:r>
        <w:tab/>
        <w:t xml:space="preserve">40.  </w:t>
      </w:r>
      <w:r>
        <w:rPr>
          <w:rFonts w:hint="eastAsia"/>
        </w:rPr>
        <w:t>洪都拉斯的劳动力市场几乎无法吸纳所有失业劳动力，因而某些人口群体，尤其是</w:t>
      </w:r>
      <w:r>
        <w:t>35</w:t>
      </w:r>
      <w:r>
        <w:rPr>
          <w:rFonts w:hint="eastAsia"/>
        </w:rPr>
        <w:t>岁以上者和残疾人寻找工作就更为困难。</w:t>
      </w:r>
    </w:p>
    <w:p w:rsidR="00000000" w:rsidRDefault="000C45AD">
      <w:r>
        <w:tab/>
        <w:t>41.  35</w:t>
      </w:r>
      <w:r>
        <w:rPr>
          <w:rFonts w:hint="eastAsia"/>
        </w:rPr>
        <w:t>岁以上的人属于处境最为不利的群体，因为他们已在</w:t>
      </w:r>
      <w:r>
        <w:t>18</w:t>
      </w:r>
      <w:r>
        <w:rPr>
          <w:rFonts w:hint="eastAsia"/>
        </w:rPr>
        <w:t>至</w:t>
      </w:r>
      <w:r>
        <w:t>35</w:t>
      </w:r>
      <w:r>
        <w:rPr>
          <w:rFonts w:hint="eastAsia"/>
        </w:rPr>
        <w:t>岁这一最佳年龄段之外，在择业时几乎没有余地。残疾人也得不到通常待遇，原因是企业不为其提供适当工作。</w:t>
      </w:r>
    </w:p>
    <w:p w:rsidR="00000000" w:rsidRDefault="000C45AD">
      <w:r>
        <w:tab/>
        <w:t xml:space="preserve">42.  </w:t>
      </w:r>
      <w:r>
        <w:rPr>
          <w:rFonts w:hint="eastAsia"/>
        </w:rPr>
        <w:t>不过，自</w:t>
      </w:r>
      <w:r>
        <w:t>1994</w:t>
      </w:r>
      <w:r>
        <w:rPr>
          <w:rFonts w:hint="eastAsia"/>
        </w:rPr>
        <w:t>年以来，在企业中开展了宣传教育活动，目的是减少对这两个群体的不公正待遇，并逐步消除歧视。</w:t>
      </w:r>
    </w:p>
    <w:p w:rsidR="00000000" w:rsidRDefault="000C45AD">
      <w:r>
        <w:tab/>
        <w:t xml:space="preserve">43.  </w:t>
      </w:r>
      <w:r>
        <w:rPr>
          <w:rFonts w:hint="eastAsia"/>
        </w:rPr>
        <w:t>经常派人访问企业，以便为残疾人找到工作，其中一些人现已得到安置。还设立了一个周转性借贷基金，提供</w:t>
      </w:r>
      <w:r>
        <w:rPr>
          <w:rFonts w:hint="eastAsia"/>
        </w:rPr>
        <w:t>贷款，使残疾人能够从事某些创收活动，从而为其提供又一种就业机会。</w:t>
      </w:r>
    </w:p>
    <w:p w:rsidR="00000000" w:rsidRDefault="000C45AD">
      <w:r>
        <w:tab/>
        <w:t xml:space="preserve">44.  </w:t>
      </w:r>
      <w:r>
        <w:rPr>
          <w:rFonts w:hint="eastAsia"/>
        </w:rPr>
        <w:t>洪都拉斯实行下列就业政策：</w:t>
      </w:r>
    </w:p>
    <w:p w:rsidR="00000000" w:rsidRDefault="000C45AD" w:rsidP="000C45AD">
      <w:pPr>
        <w:pStyle w:val="a6"/>
        <w:numPr>
          <w:ilvl w:val="0"/>
          <w:numId w:val="1"/>
        </w:numPr>
      </w:pPr>
      <w:r>
        <w:rPr>
          <w:rFonts w:hint="eastAsia"/>
        </w:rPr>
        <w:t>对外国投资进行奖励，促进外国投资，以增加就业来源；</w:t>
      </w:r>
    </w:p>
    <w:p w:rsidR="00000000" w:rsidRDefault="000C45AD" w:rsidP="000C45AD">
      <w:pPr>
        <w:pStyle w:val="a6"/>
        <w:numPr>
          <w:ilvl w:val="0"/>
          <w:numId w:val="1"/>
        </w:numPr>
      </w:pPr>
      <w:r>
        <w:rPr>
          <w:rFonts w:hint="eastAsia"/>
        </w:rPr>
        <w:t>使企业意识到，企业劳动力必须至少</w:t>
      </w:r>
      <w:r>
        <w:t>90%</w:t>
      </w:r>
      <w:r>
        <w:rPr>
          <w:rFonts w:hint="eastAsia"/>
        </w:rPr>
        <w:t>为洪都拉斯国民，而且洪都拉斯国民必须至少占工资总额的</w:t>
      </w:r>
      <w:r>
        <w:t>85%(</w:t>
      </w:r>
      <w:r>
        <w:rPr>
          <w:rFonts w:hint="eastAsia"/>
        </w:rPr>
        <w:t>《劳工法》第</w:t>
      </w:r>
      <w:r>
        <w:t>11</w:t>
      </w:r>
      <w:r>
        <w:rPr>
          <w:rFonts w:hint="eastAsia"/>
        </w:rPr>
        <w:t>条</w:t>
      </w:r>
      <w:r>
        <w:t>)</w:t>
      </w:r>
      <w:r>
        <w:rPr>
          <w:rFonts w:hint="eastAsia"/>
        </w:rPr>
        <w:t>；</w:t>
      </w:r>
    </w:p>
    <w:p w:rsidR="00000000" w:rsidRDefault="000C45AD" w:rsidP="000C45AD">
      <w:pPr>
        <w:pStyle w:val="a6"/>
        <w:numPr>
          <w:ilvl w:val="0"/>
          <w:numId w:val="1"/>
        </w:numPr>
      </w:pPr>
      <w:r>
        <w:rPr>
          <w:rFonts w:hint="eastAsia"/>
        </w:rPr>
        <w:t>鼓励有选择地吸收技术，并在项目一级尽可能对各种备选方案进行分析研究，以通过增加就业机会的提供，最大限度地改善就业状况；</w:t>
      </w:r>
    </w:p>
    <w:p w:rsidR="00000000" w:rsidRDefault="000C45AD" w:rsidP="000C45AD">
      <w:pPr>
        <w:pStyle w:val="a6"/>
        <w:numPr>
          <w:ilvl w:val="0"/>
          <w:numId w:val="1"/>
        </w:numPr>
      </w:pPr>
      <w:r>
        <w:rPr>
          <w:rFonts w:hint="eastAsia"/>
        </w:rPr>
        <w:t>为劳动密集型企业提供税收鼓励；</w:t>
      </w:r>
    </w:p>
    <w:p w:rsidR="00000000" w:rsidRDefault="000C45AD" w:rsidP="000C45AD">
      <w:pPr>
        <w:pStyle w:val="a6"/>
        <w:numPr>
          <w:ilvl w:val="0"/>
          <w:numId w:val="1"/>
        </w:numPr>
      </w:pPr>
      <w:r>
        <w:rPr>
          <w:rFonts w:hint="eastAsia"/>
        </w:rPr>
        <w:t>提高经济活跃人口的素质，便利其寻找工作；培养独立经营者的企业家精神；</w:t>
      </w:r>
    </w:p>
    <w:p w:rsidR="00000000" w:rsidRDefault="000C45AD" w:rsidP="000C45AD">
      <w:pPr>
        <w:pStyle w:val="a6"/>
        <w:numPr>
          <w:ilvl w:val="0"/>
          <w:numId w:val="1"/>
        </w:numPr>
      </w:pPr>
      <w:r>
        <w:rPr>
          <w:rFonts w:hint="eastAsia"/>
        </w:rPr>
        <w:t>在经济潜力</w:t>
      </w:r>
      <w:r>
        <w:rPr>
          <w:rFonts w:hint="eastAsia"/>
        </w:rPr>
        <w:t>大的地区执行一些项目并建立工业加工区，这些地区新的市区和替代性生产区将吸收流动人口；</w:t>
      </w:r>
    </w:p>
    <w:p w:rsidR="00000000" w:rsidRDefault="000C45AD" w:rsidP="000C45AD">
      <w:pPr>
        <w:pStyle w:val="a6"/>
        <w:numPr>
          <w:ilvl w:val="0"/>
          <w:numId w:val="1"/>
        </w:numPr>
      </w:pPr>
      <w:r>
        <w:rPr>
          <w:rFonts w:hint="eastAsia"/>
        </w:rPr>
        <w:t>促进和资助支持生产性自营职业及小企业和微型企业、农村和城市合作社以及成员来自土著和贫困居民群体的状况和生产协会的建立和发展的方案和项目；</w:t>
      </w:r>
    </w:p>
    <w:p w:rsidR="00000000" w:rsidRDefault="000C45AD" w:rsidP="000C45AD">
      <w:pPr>
        <w:pStyle w:val="a6"/>
        <w:numPr>
          <w:ilvl w:val="0"/>
          <w:numId w:val="1"/>
        </w:numPr>
      </w:pPr>
      <w:r>
        <w:rPr>
          <w:rFonts w:hint="eastAsia"/>
        </w:rPr>
        <w:t>促进和资助为受紧急情况影响或难以进入就业市场的居民群体创造临时和季节性就业机会的方案和项目；</w:t>
      </w:r>
    </w:p>
    <w:p w:rsidR="00000000" w:rsidRDefault="000C45AD" w:rsidP="000C45AD">
      <w:pPr>
        <w:pStyle w:val="a6"/>
        <w:numPr>
          <w:ilvl w:val="0"/>
          <w:numId w:val="1"/>
        </w:numPr>
        <w:spacing w:after="320"/>
        <w:textAlignment w:val="center"/>
      </w:pPr>
      <w:r>
        <w:rPr>
          <w:rFonts w:hint="eastAsia"/>
        </w:rPr>
        <w:t>促进和资助满足基本需求的方案，条件是这类方案是为了向国内最贫困的居民群体提供支持。</w:t>
      </w:r>
    </w:p>
    <w:p w:rsidR="00000000" w:rsidRDefault="000C45AD">
      <w:pPr>
        <w:pStyle w:val="Heading4"/>
      </w:pPr>
      <w:r>
        <w:rPr>
          <w:rFonts w:hint="eastAsia"/>
        </w:rPr>
        <w:t>提高生产率和改善培训状况的措施</w:t>
      </w:r>
    </w:p>
    <w:p w:rsidR="00000000" w:rsidRDefault="000C45AD">
      <w:r>
        <w:tab/>
        <w:t xml:space="preserve">45.  </w:t>
      </w:r>
      <w:r>
        <w:rPr>
          <w:rFonts w:hint="eastAsia"/>
        </w:rPr>
        <w:t>洪都拉斯有一个负责提高未具备必要条件的劳动力的生产水平和生产率的培</w:t>
      </w:r>
      <w:r>
        <w:rPr>
          <w:rFonts w:hint="eastAsia"/>
        </w:rPr>
        <w:t>训中心，该中心就是全国职业培训所。这一培训所的目的，是为洪都拉斯男子和妇女提供培训，使其过上充实、有益的生活；并通过开展与国家教育体系相结合，重视该体系和职业培训服务使用者的关切的趋同活动，改变工作条件和社会环境。</w:t>
      </w:r>
    </w:p>
    <w:p w:rsidR="00000000" w:rsidRDefault="000C45AD">
      <w:r>
        <w:tab/>
        <w:t xml:space="preserve">46.  </w:t>
      </w:r>
      <w:r>
        <w:rPr>
          <w:rFonts w:hint="eastAsia"/>
        </w:rPr>
        <w:t>职业培训根据企业和受训者的特点和需要进行，分为农业、工业、商业和服务三个部门。</w:t>
      </w:r>
    </w:p>
    <w:p w:rsidR="00000000" w:rsidRDefault="000C45AD">
      <w:r>
        <w:tab/>
        <w:t xml:space="preserve">47.  </w:t>
      </w:r>
      <w:r>
        <w:rPr>
          <w:rFonts w:hint="eastAsia"/>
        </w:rPr>
        <w:t>培训采用不同的模式或方式：</w:t>
      </w:r>
    </w:p>
    <w:p w:rsidR="00000000" w:rsidRDefault="000C45AD" w:rsidP="000C45AD">
      <w:pPr>
        <w:pStyle w:val="a6"/>
        <w:numPr>
          <w:ilvl w:val="0"/>
          <w:numId w:val="1"/>
        </w:numPr>
      </w:pPr>
      <w:r>
        <w:rPr>
          <w:rFonts w:hint="eastAsia"/>
        </w:rPr>
        <w:t>离职参加非全时培训，时间二年零六个月，即</w:t>
      </w:r>
      <w:r>
        <w:t>700</w:t>
      </w:r>
      <w:r>
        <w:rPr>
          <w:rFonts w:hint="eastAsia"/>
        </w:rPr>
        <w:t>至</w:t>
      </w:r>
      <w:r>
        <w:t>2,000</w:t>
      </w:r>
      <w:r>
        <w:rPr>
          <w:rFonts w:hint="eastAsia"/>
        </w:rPr>
        <w:t>小时；</w:t>
      </w:r>
    </w:p>
    <w:p w:rsidR="00000000" w:rsidRDefault="000C45AD" w:rsidP="000C45AD">
      <w:pPr>
        <w:pStyle w:val="a6"/>
        <w:numPr>
          <w:ilvl w:val="0"/>
          <w:numId w:val="1"/>
        </w:numPr>
      </w:pPr>
      <w:r>
        <w:rPr>
          <w:rFonts w:hint="eastAsia"/>
        </w:rPr>
        <w:t>综合、全面培训；</w:t>
      </w:r>
    </w:p>
    <w:p w:rsidR="00000000" w:rsidRDefault="000C45AD" w:rsidP="000C45AD">
      <w:pPr>
        <w:pStyle w:val="a6"/>
        <w:numPr>
          <w:ilvl w:val="0"/>
          <w:numId w:val="1"/>
        </w:numPr>
      </w:pPr>
      <w:r>
        <w:rPr>
          <w:rFonts w:hint="eastAsia"/>
        </w:rPr>
        <w:t>对有职业成人和失业成人进行</w:t>
      </w:r>
      <w:r>
        <w:t>20</w:t>
      </w:r>
      <w:r>
        <w:rPr>
          <w:rFonts w:hint="eastAsia"/>
        </w:rPr>
        <w:t>至</w:t>
      </w:r>
      <w:r>
        <w:t>100</w:t>
      </w:r>
      <w:r>
        <w:rPr>
          <w:rFonts w:hint="eastAsia"/>
        </w:rPr>
        <w:t>小时的进一步培训，以更新其知识；</w:t>
      </w:r>
    </w:p>
    <w:p w:rsidR="00000000" w:rsidRDefault="000C45AD" w:rsidP="000C45AD">
      <w:pPr>
        <w:pStyle w:val="a6"/>
        <w:numPr>
          <w:ilvl w:val="0"/>
          <w:numId w:val="1"/>
        </w:numPr>
      </w:pPr>
      <w:r>
        <w:rPr>
          <w:rFonts w:hint="eastAsia"/>
        </w:rPr>
        <w:t>为青少年</w:t>
      </w:r>
      <w:r>
        <w:rPr>
          <w:rFonts w:hint="eastAsia"/>
        </w:rPr>
        <w:t>和成人提供</w:t>
      </w:r>
      <w:r>
        <w:t>100</w:t>
      </w:r>
      <w:r>
        <w:rPr>
          <w:rFonts w:hint="eastAsia"/>
        </w:rPr>
        <w:t>至</w:t>
      </w:r>
      <w:r>
        <w:t>600</w:t>
      </w:r>
      <w:r>
        <w:rPr>
          <w:rFonts w:hint="eastAsia"/>
        </w:rPr>
        <w:t>小时的培训，并向其传授有限知识，以提高工作成绩；</w:t>
      </w:r>
    </w:p>
    <w:p w:rsidR="00000000" w:rsidRDefault="000C45AD" w:rsidP="000C45AD">
      <w:pPr>
        <w:pStyle w:val="a6"/>
        <w:numPr>
          <w:ilvl w:val="0"/>
          <w:numId w:val="1"/>
        </w:numPr>
      </w:pPr>
      <w:r>
        <w:rPr>
          <w:rFonts w:hint="eastAsia"/>
        </w:rPr>
        <w:t>提供</w:t>
      </w:r>
      <w:r>
        <w:t>350</w:t>
      </w:r>
      <w:r>
        <w:rPr>
          <w:rFonts w:hint="eastAsia"/>
        </w:rPr>
        <w:t>小时的职业前培训，传授某些普通的理论和实际知识；</w:t>
      </w:r>
    </w:p>
    <w:p w:rsidR="00000000" w:rsidRDefault="000C45AD" w:rsidP="000C45AD">
      <w:pPr>
        <w:pStyle w:val="a6"/>
        <w:numPr>
          <w:ilvl w:val="0"/>
          <w:numId w:val="1"/>
        </w:numPr>
      </w:pPr>
      <w:r>
        <w:rPr>
          <w:rFonts w:hint="eastAsia"/>
        </w:rPr>
        <w:t>为青少年和成人提供</w:t>
      </w:r>
      <w:r>
        <w:t>CEFEDH</w:t>
      </w:r>
      <w:r>
        <w:rPr>
          <w:rFonts w:hint="eastAsia"/>
        </w:rPr>
        <w:t>培训，使其能够进行并得益于自身发展，培训期为两年，培训方式为在中心学习一周，到工作场所实习两周；</w:t>
      </w:r>
    </w:p>
    <w:p w:rsidR="00000000" w:rsidRDefault="000C45AD" w:rsidP="000C45AD">
      <w:pPr>
        <w:pStyle w:val="a6"/>
        <w:numPr>
          <w:ilvl w:val="0"/>
          <w:numId w:val="1"/>
        </w:numPr>
      </w:pPr>
      <w:r>
        <w:rPr>
          <w:rFonts w:hint="eastAsia"/>
        </w:rPr>
        <w:t>为中级男工和女工以及中高级管理人员提供信息技术课程，课时</w:t>
      </w:r>
      <w:r>
        <w:t>2</w:t>
      </w:r>
      <w:r>
        <w:rPr>
          <w:rFonts w:hint="eastAsia"/>
        </w:rPr>
        <w:t>至</w:t>
      </w:r>
      <w:r>
        <w:t>14</w:t>
      </w:r>
      <w:r>
        <w:rPr>
          <w:rFonts w:hint="eastAsia"/>
        </w:rPr>
        <w:t>小时；</w:t>
      </w:r>
    </w:p>
    <w:p w:rsidR="00000000" w:rsidRDefault="000C45AD" w:rsidP="000C45AD">
      <w:pPr>
        <w:pStyle w:val="a6"/>
        <w:numPr>
          <w:ilvl w:val="0"/>
          <w:numId w:val="1"/>
        </w:numPr>
      </w:pPr>
      <w:r>
        <w:t>CIER</w:t>
      </w:r>
      <w:r>
        <w:rPr>
          <w:rFonts w:hint="eastAsia"/>
        </w:rPr>
        <w:t>：更新农村企业的技术；</w:t>
      </w:r>
    </w:p>
    <w:p w:rsidR="00000000" w:rsidRDefault="000C45AD" w:rsidP="000C45AD">
      <w:pPr>
        <w:pStyle w:val="a6"/>
        <w:numPr>
          <w:ilvl w:val="0"/>
          <w:numId w:val="1"/>
        </w:numPr>
      </w:pPr>
      <w:r>
        <w:rPr>
          <w:rFonts w:hint="eastAsia"/>
        </w:rPr>
        <w:t>为脱产学习者提供进一步培训，以巩固技术知识，培训时间</w:t>
      </w:r>
      <w:r>
        <w:t>500</w:t>
      </w:r>
      <w:r>
        <w:rPr>
          <w:rFonts w:hint="eastAsia"/>
        </w:rPr>
        <w:t>至</w:t>
      </w:r>
      <w:r>
        <w:t>1,000</w:t>
      </w:r>
      <w:r>
        <w:rPr>
          <w:rFonts w:hint="eastAsia"/>
        </w:rPr>
        <w:t>小时；</w:t>
      </w:r>
    </w:p>
    <w:p w:rsidR="00000000" w:rsidRDefault="000C45AD" w:rsidP="000C45AD">
      <w:pPr>
        <w:pStyle w:val="a6"/>
        <w:numPr>
          <w:ilvl w:val="0"/>
          <w:numId w:val="1"/>
        </w:numPr>
      </w:pPr>
      <w:r>
        <w:rPr>
          <w:rFonts w:hint="eastAsia"/>
        </w:rPr>
        <w:t>提供</w:t>
      </w:r>
      <w:r>
        <w:t>8</w:t>
      </w:r>
      <w:r>
        <w:rPr>
          <w:rFonts w:hint="eastAsia"/>
        </w:rPr>
        <w:t>至</w:t>
      </w:r>
      <w:r>
        <w:t>50</w:t>
      </w:r>
      <w:r>
        <w:rPr>
          <w:rFonts w:hint="eastAsia"/>
        </w:rPr>
        <w:t>小时的技术帮助，以解决技术问题；</w:t>
      </w:r>
    </w:p>
    <w:p w:rsidR="00000000" w:rsidRDefault="000C45AD" w:rsidP="000C45AD">
      <w:pPr>
        <w:pStyle w:val="a6"/>
        <w:numPr>
          <w:ilvl w:val="0"/>
          <w:numId w:val="1"/>
        </w:numPr>
      </w:pPr>
      <w:r>
        <w:t>2</w:t>
      </w:r>
      <w:r>
        <w:rPr>
          <w:rFonts w:hint="eastAsia"/>
        </w:rPr>
        <w:t>至</w:t>
      </w:r>
      <w:r>
        <w:t>24</w:t>
      </w:r>
      <w:r>
        <w:rPr>
          <w:rFonts w:hint="eastAsia"/>
        </w:rPr>
        <w:t>小时的咨询服务</w:t>
      </w:r>
      <w:r>
        <w:rPr>
          <w:rFonts w:hint="eastAsia"/>
        </w:rPr>
        <w:t>：一种可使顾问和工商业者据以相互交流的渐进过程；</w:t>
      </w:r>
    </w:p>
    <w:p w:rsidR="00000000" w:rsidRDefault="000C45AD" w:rsidP="000C45AD">
      <w:pPr>
        <w:pStyle w:val="a6"/>
        <w:numPr>
          <w:ilvl w:val="0"/>
          <w:numId w:val="1"/>
        </w:numPr>
      </w:pPr>
      <w:r>
        <w:rPr>
          <w:rFonts w:hint="eastAsia"/>
        </w:rPr>
        <w:t>对能够考虑自身状况的男女工人进行工作教育；</w:t>
      </w:r>
    </w:p>
    <w:p w:rsidR="00000000" w:rsidRDefault="000C45AD" w:rsidP="000C45AD">
      <w:pPr>
        <w:pStyle w:val="a6"/>
        <w:numPr>
          <w:ilvl w:val="0"/>
          <w:numId w:val="1"/>
        </w:numPr>
      </w:pPr>
      <w:r>
        <w:rPr>
          <w:rFonts w:hint="eastAsia"/>
        </w:rPr>
        <w:t>中心内的培训活动：技术应用方面的综合与全面培训；在中心学习两年，再实际培训六个月，共为</w:t>
      </w:r>
      <w:r>
        <w:t>1,500</w:t>
      </w:r>
      <w:r>
        <w:rPr>
          <w:rFonts w:hint="eastAsia"/>
        </w:rPr>
        <w:t>至</w:t>
      </w:r>
      <w:r>
        <w:t>3,600</w:t>
      </w:r>
      <w:r>
        <w:rPr>
          <w:rFonts w:hint="eastAsia"/>
        </w:rPr>
        <w:t>小时。</w:t>
      </w:r>
    </w:p>
    <w:p w:rsidR="00000000" w:rsidRDefault="000C45AD">
      <w:r>
        <w:tab/>
        <w:t xml:space="preserve">48.  </w:t>
      </w:r>
      <w:r>
        <w:rPr>
          <w:rFonts w:hint="eastAsia"/>
        </w:rPr>
        <w:t>为完善培训体系，建立了地区培训中心。</w:t>
      </w:r>
      <w:r>
        <w:t>1996</w:t>
      </w:r>
      <w:r>
        <w:rPr>
          <w:rFonts w:hint="eastAsia"/>
        </w:rPr>
        <w:t>年，开设了以下课程：</w:t>
      </w:r>
    </w:p>
    <w:tbl>
      <w:tblPr>
        <w:tblW w:w="0" w:type="auto"/>
        <w:tblInd w:w="-26" w:type="dxa"/>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rPr>
          <w:tblHeader/>
        </w:trPr>
        <w:tc>
          <w:tcPr>
            <w:tcW w:w="4705" w:type="dxa"/>
          </w:tcPr>
          <w:p w:rsidR="00000000" w:rsidRDefault="000C45AD">
            <w:pPr>
              <w:spacing w:before="120" w:after="80" w:line="288" w:lineRule="auto"/>
              <w:ind w:firstLine="2400"/>
              <w:rPr>
                <w:sz w:val="21"/>
              </w:rPr>
            </w:pPr>
            <w:r>
              <w:rPr>
                <w:rFonts w:hint="eastAsia"/>
                <w:sz w:val="21"/>
                <w:u w:val="single"/>
              </w:rPr>
              <w:t>部</w:t>
            </w:r>
            <w:r>
              <w:rPr>
                <w:sz w:val="21"/>
                <w:u w:val="single"/>
              </w:rPr>
              <w:t xml:space="preserve">  </w:t>
            </w:r>
            <w:r>
              <w:rPr>
                <w:rFonts w:hint="eastAsia"/>
                <w:sz w:val="21"/>
                <w:u w:val="single"/>
              </w:rPr>
              <w:t>门</w:t>
            </w:r>
          </w:p>
        </w:tc>
        <w:tc>
          <w:tcPr>
            <w:tcW w:w="4705" w:type="dxa"/>
          </w:tcPr>
          <w:p w:rsidR="00000000" w:rsidRDefault="000C45AD">
            <w:pPr>
              <w:spacing w:before="120" w:after="80" w:line="288" w:lineRule="auto"/>
              <w:ind w:right="1794"/>
              <w:jc w:val="right"/>
              <w:rPr>
                <w:sz w:val="21"/>
              </w:rPr>
            </w:pPr>
            <w:r>
              <w:rPr>
                <w:rFonts w:hint="eastAsia"/>
                <w:sz w:val="21"/>
                <w:u w:val="single"/>
              </w:rPr>
              <w:t>课程数目</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农</w:t>
            </w:r>
            <w:r>
              <w:rPr>
                <w:sz w:val="21"/>
              </w:rPr>
              <w:t xml:space="preserve">  </w:t>
            </w:r>
            <w:r>
              <w:rPr>
                <w:rFonts w:hint="eastAsia"/>
                <w:sz w:val="21"/>
              </w:rPr>
              <w:t>业</w:t>
            </w:r>
          </w:p>
        </w:tc>
        <w:tc>
          <w:tcPr>
            <w:tcW w:w="4705" w:type="dxa"/>
          </w:tcPr>
          <w:p w:rsidR="00000000" w:rsidRDefault="000C45AD">
            <w:pPr>
              <w:spacing w:line="288" w:lineRule="auto"/>
              <w:ind w:right="2154"/>
              <w:jc w:val="right"/>
              <w:rPr>
                <w:sz w:val="21"/>
              </w:rPr>
            </w:pPr>
            <w:r>
              <w:rPr>
                <w:sz w:val="21"/>
              </w:rPr>
              <w:t>663</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林</w:t>
            </w:r>
            <w:r>
              <w:rPr>
                <w:sz w:val="21"/>
              </w:rPr>
              <w:t xml:space="preserve">  </w:t>
            </w:r>
            <w:r>
              <w:rPr>
                <w:rFonts w:hint="eastAsia"/>
                <w:sz w:val="21"/>
              </w:rPr>
              <w:t>业</w:t>
            </w:r>
          </w:p>
        </w:tc>
        <w:tc>
          <w:tcPr>
            <w:tcW w:w="4705" w:type="dxa"/>
          </w:tcPr>
          <w:p w:rsidR="00000000" w:rsidRDefault="000C45AD">
            <w:pPr>
              <w:spacing w:line="288" w:lineRule="auto"/>
              <w:ind w:right="2154"/>
              <w:jc w:val="right"/>
              <w:rPr>
                <w:sz w:val="21"/>
              </w:rPr>
            </w:pPr>
            <w:r>
              <w:rPr>
                <w:sz w:val="21"/>
              </w:rPr>
              <w:t>1</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畜牧业</w:t>
            </w:r>
          </w:p>
        </w:tc>
        <w:tc>
          <w:tcPr>
            <w:tcW w:w="4705" w:type="dxa"/>
          </w:tcPr>
          <w:p w:rsidR="00000000" w:rsidRDefault="000C45AD">
            <w:pPr>
              <w:spacing w:line="288" w:lineRule="auto"/>
              <w:ind w:right="2154"/>
              <w:jc w:val="right"/>
              <w:rPr>
                <w:sz w:val="21"/>
              </w:rPr>
            </w:pPr>
            <w:r>
              <w:rPr>
                <w:sz w:val="21"/>
              </w:rPr>
              <w:t>241</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渔</w:t>
            </w:r>
            <w:r>
              <w:rPr>
                <w:sz w:val="21"/>
              </w:rPr>
              <w:t xml:space="preserve">  </w:t>
            </w:r>
            <w:r>
              <w:rPr>
                <w:rFonts w:hint="eastAsia"/>
                <w:sz w:val="21"/>
              </w:rPr>
              <w:t>业</w:t>
            </w:r>
          </w:p>
        </w:tc>
        <w:tc>
          <w:tcPr>
            <w:tcW w:w="4705" w:type="dxa"/>
          </w:tcPr>
          <w:p w:rsidR="00000000" w:rsidRDefault="000C45AD">
            <w:pPr>
              <w:spacing w:line="288" w:lineRule="auto"/>
              <w:ind w:right="2154"/>
              <w:jc w:val="right"/>
              <w:rPr>
                <w:sz w:val="21"/>
              </w:rPr>
            </w:pPr>
            <w:r>
              <w:rPr>
                <w:sz w:val="21"/>
              </w:rPr>
              <w:t>46</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农场管理</w:t>
            </w:r>
          </w:p>
        </w:tc>
        <w:tc>
          <w:tcPr>
            <w:tcW w:w="4705" w:type="dxa"/>
          </w:tcPr>
          <w:p w:rsidR="00000000" w:rsidRDefault="000C45AD">
            <w:pPr>
              <w:spacing w:line="288" w:lineRule="auto"/>
              <w:ind w:right="2154"/>
              <w:jc w:val="right"/>
              <w:rPr>
                <w:sz w:val="21"/>
              </w:rPr>
            </w:pPr>
            <w:r>
              <w:rPr>
                <w:sz w:val="21"/>
              </w:rPr>
              <w:t>-</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商业和服务业</w:t>
            </w:r>
          </w:p>
        </w:tc>
        <w:tc>
          <w:tcPr>
            <w:tcW w:w="4705" w:type="dxa"/>
          </w:tcPr>
          <w:p w:rsidR="00000000" w:rsidRDefault="000C45AD">
            <w:pPr>
              <w:spacing w:line="288" w:lineRule="auto"/>
              <w:ind w:right="2154"/>
              <w:jc w:val="right"/>
              <w:rPr>
                <w:sz w:val="21"/>
              </w:rPr>
            </w:pPr>
            <w:r>
              <w:rPr>
                <w:sz w:val="21"/>
              </w:rPr>
              <w:t>98</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人事管理</w:t>
            </w:r>
          </w:p>
        </w:tc>
        <w:tc>
          <w:tcPr>
            <w:tcW w:w="4705" w:type="dxa"/>
          </w:tcPr>
          <w:p w:rsidR="00000000" w:rsidRDefault="000C45AD">
            <w:pPr>
              <w:spacing w:line="288" w:lineRule="auto"/>
              <w:ind w:right="2154"/>
              <w:jc w:val="right"/>
              <w:rPr>
                <w:sz w:val="21"/>
              </w:rPr>
            </w:pPr>
            <w:r>
              <w:rPr>
                <w:sz w:val="21"/>
              </w:rPr>
              <w:t>978</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餐饮及服务业</w:t>
            </w:r>
          </w:p>
        </w:tc>
        <w:tc>
          <w:tcPr>
            <w:tcW w:w="4705" w:type="dxa"/>
          </w:tcPr>
          <w:p w:rsidR="00000000" w:rsidRDefault="000C45AD">
            <w:pPr>
              <w:spacing w:line="288" w:lineRule="auto"/>
              <w:ind w:right="2154"/>
              <w:jc w:val="right"/>
              <w:rPr>
                <w:sz w:val="21"/>
              </w:rPr>
            </w:pPr>
            <w:r>
              <w:rPr>
                <w:sz w:val="21"/>
              </w:rPr>
              <w:t>33</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旅馆和旅游业</w:t>
            </w:r>
          </w:p>
        </w:tc>
        <w:tc>
          <w:tcPr>
            <w:tcW w:w="4705" w:type="dxa"/>
          </w:tcPr>
          <w:p w:rsidR="00000000" w:rsidRDefault="000C45AD">
            <w:pPr>
              <w:spacing w:line="288" w:lineRule="auto"/>
              <w:ind w:right="2154"/>
              <w:jc w:val="right"/>
              <w:rPr>
                <w:sz w:val="21"/>
              </w:rPr>
            </w:pPr>
            <w:r>
              <w:rPr>
                <w:sz w:val="21"/>
              </w:rPr>
              <w:t>86</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数据处理</w:t>
            </w:r>
          </w:p>
        </w:tc>
        <w:tc>
          <w:tcPr>
            <w:tcW w:w="4705" w:type="dxa"/>
          </w:tcPr>
          <w:p w:rsidR="00000000" w:rsidRDefault="000C45AD">
            <w:pPr>
              <w:spacing w:line="288" w:lineRule="auto"/>
              <w:ind w:right="2154"/>
              <w:jc w:val="right"/>
              <w:rPr>
                <w:sz w:val="21"/>
              </w:rPr>
            </w:pPr>
            <w:r>
              <w:rPr>
                <w:sz w:val="21"/>
              </w:rPr>
              <w:t>5</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工</w:t>
            </w:r>
            <w:r>
              <w:rPr>
                <w:sz w:val="21"/>
              </w:rPr>
              <w:t xml:space="preserve">  </w:t>
            </w:r>
            <w:r>
              <w:rPr>
                <w:rFonts w:hint="eastAsia"/>
                <w:sz w:val="21"/>
              </w:rPr>
              <w:t>业</w:t>
            </w:r>
          </w:p>
        </w:tc>
        <w:tc>
          <w:tcPr>
            <w:tcW w:w="4705" w:type="dxa"/>
          </w:tcPr>
          <w:p w:rsidR="00000000" w:rsidRDefault="000C45AD">
            <w:pPr>
              <w:spacing w:line="288" w:lineRule="auto"/>
              <w:ind w:right="2154"/>
              <w:jc w:val="right"/>
              <w:rPr>
                <w:sz w:val="21"/>
              </w:rPr>
            </w:pPr>
            <w:r>
              <w:rPr>
                <w:sz w:val="21"/>
              </w:rPr>
              <w:t>-</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砌</w:t>
            </w:r>
            <w:r>
              <w:rPr>
                <w:sz w:val="21"/>
              </w:rPr>
              <w:t xml:space="preserve">  </w:t>
            </w:r>
            <w:r>
              <w:rPr>
                <w:rFonts w:hint="eastAsia"/>
                <w:sz w:val="21"/>
              </w:rPr>
              <w:t>硅</w:t>
            </w:r>
          </w:p>
        </w:tc>
        <w:tc>
          <w:tcPr>
            <w:tcW w:w="4705" w:type="dxa"/>
          </w:tcPr>
          <w:p w:rsidR="00000000" w:rsidRDefault="000C45AD">
            <w:pPr>
              <w:spacing w:line="288" w:lineRule="auto"/>
              <w:ind w:right="2154"/>
              <w:jc w:val="right"/>
              <w:rPr>
                <w:sz w:val="21"/>
              </w:rPr>
            </w:pPr>
            <w:r>
              <w:rPr>
                <w:sz w:val="21"/>
              </w:rPr>
              <w:t>39</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平面造型艺术</w:t>
            </w:r>
          </w:p>
        </w:tc>
        <w:tc>
          <w:tcPr>
            <w:tcW w:w="4705" w:type="dxa"/>
          </w:tcPr>
          <w:p w:rsidR="00000000" w:rsidRDefault="000C45AD">
            <w:pPr>
              <w:spacing w:line="288" w:lineRule="auto"/>
              <w:ind w:right="2154"/>
              <w:jc w:val="right"/>
              <w:rPr>
                <w:sz w:val="21"/>
              </w:rPr>
            </w:pPr>
            <w:r>
              <w:rPr>
                <w:sz w:val="21"/>
              </w:rPr>
              <w:t>11</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手工艺品</w:t>
            </w:r>
          </w:p>
        </w:tc>
        <w:tc>
          <w:tcPr>
            <w:tcW w:w="4705" w:type="dxa"/>
          </w:tcPr>
          <w:p w:rsidR="00000000" w:rsidRDefault="000C45AD">
            <w:pPr>
              <w:spacing w:line="288" w:lineRule="auto"/>
              <w:ind w:right="2154"/>
              <w:jc w:val="right"/>
              <w:rPr>
                <w:sz w:val="21"/>
              </w:rPr>
            </w:pPr>
            <w:r>
              <w:rPr>
                <w:sz w:val="21"/>
              </w:rPr>
              <w:t>6</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食</w:t>
            </w:r>
            <w:r>
              <w:rPr>
                <w:sz w:val="21"/>
              </w:rPr>
              <w:t xml:space="preserve">  </w:t>
            </w:r>
            <w:r>
              <w:rPr>
                <w:rFonts w:hint="eastAsia"/>
                <w:sz w:val="21"/>
              </w:rPr>
              <w:t>品</w:t>
            </w:r>
          </w:p>
        </w:tc>
        <w:tc>
          <w:tcPr>
            <w:tcW w:w="4705" w:type="dxa"/>
          </w:tcPr>
          <w:p w:rsidR="00000000" w:rsidRDefault="000C45AD">
            <w:pPr>
              <w:spacing w:line="288" w:lineRule="auto"/>
              <w:ind w:right="2154"/>
              <w:jc w:val="right"/>
              <w:rPr>
                <w:sz w:val="21"/>
              </w:rPr>
            </w:pPr>
            <w:r>
              <w:rPr>
                <w:sz w:val="21"/>
              </w:rPr>
              <w:t>44</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木工和家具制造</w:t>
            </w:r>
          </w:p>
        </w:tc>
        <w:tc>
          <w:tcPr>
            <w:tcW w:w="4705" w:type="dxa"/>
          </w:tcPr>
          <w:p w:rsidR="00000000" w:rsidRDefault="000C45AD">
            <w:pPr>
              <w:spacing w:line="288" w:lineRule="auto"/>
              <w:ind w:right="2154"/>
              <w:jc w:val="right"/>
              <w:rPr>
                <w:sz w:val="21"/>
              </w:rPr>
            </w:pPr>
            <w:r>
              <w:rPr>
                <w:sz w:val="21"/>
              </w:rPr>
              <w:t>35</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鞣皮制革</w:t>
            </w:r>
          </w:p>
        </w:tc>
        <w:tc>
          <w:tcPr>
            <w:tcW w:w="4705" w:type="dxa"/>
          </w:tcPr>
          <w:p w:rsidR="00000000" w:rsidRDefault="000C45AD">
            <w:pPr>
              <w:spacing w:line="288" w:lineRule="auto"/>
              <w:ind w:right="2154"/>
              <w:jc w:val="right"/>
              <w:rPr>
                <w:sz w:val="21"/>
              </w:rPr>
            </w:pPr>
            <w:r>
              <w:rPr>
                <w:sz w:val="21"/>
              </w:rPr>
              <w:t>3</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电</w:t>
            </w:r>
            <w:r>
              <w:rPr>
                <w:sz w:val="21"/>
              </w:rPr>
              <w:t xml:space="preserve">  </w:t>
            </w:r>
            <w:r>
              <w:rPr>
                <w:rFonts w:hint="eastAsia"/>
                <w:sz w:val="21"/>
              </w:rPr>
              <w:t>气</w:t>
            </w:r>
          </w:p>
        </w:tc>
        <w:tc>
          <w:tcPr>
            <w:tcW w:w="4705" w:type="dxa"/>
          </w:tcPr>
          <w:p w:rsidR="00000000" w:rsidRDefault="000C45AD">
            <w:pPr>
              <w:spacing w:line="288" w:lineRule="auto"/>
              <w:ind w:right="2154"/>
              <w:jc w:val="right"/>
              <w:rPr>
                <w:sz w:val="21"/>
              </w:rPr>
            </w:pPr>
            <w:r>
              <w:rPr>
                <w:sz w:val="21"/>
              </w:rPr>
              <w:t>30</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管道安装</w:t>
            </w:r>
          </w:p>
        </w:tc>
        <w:tc>
          <w:tcPr>
            <w:tcW w:w="4705" w:type="dxa"/>
          </w:tcPr>
          <w:p w:rsidR="00000000" w:rsidRDefault="000C45AD">
            <w:pPr>
              <w:spacing w:line="288" w:lineRule="auto"/>
              <w:ind w:right="2154"/>
              <w:jc w:val="right"/>
              <w:rPr>
                <w:sz w:val="21"/>
              </w:rPr>
            </w:pPr>
            <w:r>
              <w:rPr>
                <w:sz w:val="21"/>
              </w:rPr>
              <w:t>7</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食品生产和包装</w:t>
            </w:r>
          </w:p>
        </w:tc>
        <w:tc>
          <w:tcPr>
            <w:tcW w:w="4705" w:type="dxa"/>
          </w:tcPr>
          <w:p w:rsidR="00000000" w:rsidRDefault="000C45AD">
            <w:pPr>
              <w:spacing w:line="288" w:lineRule="auto"/>
              <w:ind w:right="2154"/>
              <w:jc w:val="right"/>
              <w:rPr>
                <w:sz w:val="21"/>
              </w:rPr>
            </w:pPr>
            <w:r>
              <w:rPr>
                <w:sz w:val="21"/>
              </w:rPr>
              <w:t>22</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金属加工制造</w:t>
            </w:r>
          </w:p>
        </w:tc>
        <w:tc>
          <w:tcPr>
            <w:tcW w:w="4705" w:type="dxa"/>
          </w:tcPr>
          <w:p w:rsidR="00000000" w:rsidRDefault="000C45AD">
            <w:pPr>
              <w:spacing w:line="288" w:lineRule="auto"/>
              <w:ind w:right="2154"/>
              <w:jc w:val="right"/>
              <w:rPr>
                <w:sz w:val="21"/>
              </w:rPr>
            </w:pPr>
            <w:r>
              <w:rPr>
                <w:sz w:val="21"/>
              </w:rPr>
              <w:t>89</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机动车修理</w:t>
            </w:r>
          </w:p>
        </w:tc>
        <w:tc>
          <w:tcPr>
            <w:tcW w:w="4705" w:type="dxa"/>
          </w:tcPr>
          <w:p w:rsidR="00000000" w:rsidRDefault="000C45AD">
            <w:pPr>
              <w:spacing w:line="288" w:lineRule="auto"/>
              <w:ind w:right="2154"/>
              <w:jc w:val="right"/>
              <w:rPr>
                <w:sz w:val="21"/>
              </w:rPr>
            </w:pPr>
            <w:r>
              <w:rPr>
                <w:sz w:val="21"/>
              </w:rPr>
              <w:t>85</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焙烤和甜食制作</w:t>
            </w:r>
          </w:p>
        </w:tc>
        <w:tc>
          <w:tcPr>
            <w:tcW w:w="4705" w:type="dxa"/>
          </w:tcPr>
          <w:p w:rsidR="00000000" w:rsidRDefault="000C45AD">
            <w:pPr>
              <w:spacing w:line="288" w:lineRule="auto"/>
              <w:ind w:right="2154"/>
              <w:jc w:val="right"/>
              <w:rPr>
                <w:sz w:val="21"/>
              </w:rPr>
            </w:pPr>
            <w:r>
              <w:rPr>
                <w:sz w:val="21"/>
              </w:rPr>
              <w:t>47</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制</w:t>
            </w:r>
            <w:r>
              <w:rPr>
                <w:sz w:val="21"/>
              </w:rPr>
              <w:t xml:space="preserve">  </w:t>
            </w:r>
            <w:r>
              <w:rPr>
                <w:rFonts w:hint="eastAsia"/>
                <w:sz w:val="21"/>
              </w:rPr>
              <w:t>冷</w:t>
            </w:r>
          </w:p>
        </w:tc>
        <w:tc>
          <w:tcPr>
            <w:tcW w:w="4705" w:type="dxa"/>
          </w:tcPr>
          <w:p w:rsidR="00000000" w:rsidRDefault="000C45AD">
            <w:pPr>
              <w:spacing w:line="288" w:lineRule="auto"/>
              <w:ind w:right="2154"/>
              <w:jc w:val="right"/>
              <w:rPr>
                <w:sz w:val="21"/>
              </w:rPr>
            </w:pPr>
            <w:r>
              <w:rPr>
                <w:sz w:val="21"/>
              </w:rPr>
              <w:t>14</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缝</w:t>
            </w:r>
            <w:r>
              <w:rPr>
                <w:sz w:val="21"/>
              </w:rPr>
              <w:t xml:space="preserve">  </w:t>
            </w:r>
            <w:r>
              <w:rPr>
                <w:rFonts w:hint="eastAsia"/>
                <w:sz w:val="21"/>
              </w:rPr>
              <w:t>纫</w:t>
            </w:r>
          </w:p>
        </w:tc>
        <w:tc>
          <w:tcPr>
            <w:tcW w:w="4705" w:type="dxa"/>
          </w:tcPr>
          <w:p w:rsidR="00000000" w:rsidRDefault="000C45AD">
            <w:pPr>
              <w:spacing w:line="288" w:lineRule="auto"/>
              <w:ind w:right="2154"/>
              <w:jc w:val="right"/>
              <w:rPr>
                <w:sz w:val="21"/>
              </w:rPr>
            </w:pPr>
            <w:r>
              <w:rPr>
                <w:sz w:val="21"/>
              </w:rPr>
              <w:t>112</w:t>
            </w:r>
          </w:p>
        </w:tc>
      </w:tr>
      <w:tr w:rsidR="00000000">
        <w:tblPrEx>
          <w:tblCellMar>
            <w:top w:w="0" w:type="dxa"/>
            <w:bottom w:w="0" w:type="dxa"/>
          </w:tblCellMar>
        </w:tblPrEx>
        <w:tc>
          <w:tcPr>
            <w:tcW w:w="4705" w:type="dxa"/>
          </w:tcPr>
          <w:p w:rsidR="00000000" w:rsidRDefault="000C45AD">
            <w:pPr>
              <w:spacing w:line="288" w:lineRule="auto"/>
              <w:ind w:firstLine="2040"/>
              <w:rPr>
                <w:sz w:val="21"/>
              </w:rPr>
            </w:pPr>
            <w:r>
              <w:rPr>
                <w:rFonts w:hint="eastAsia"/>
                <w:sz w:val="21"/>
              </w:rPr>
              <w:t>鞋</w:t>
            </w:r>
            <w:r>
              <w:rPr>
                <w:sz w:val="21"/>
              </w:rPr>
              <w:t xml:space="preserve">  </w:t>
            </w:r>
            <w:r>
              <w:rPr>
                <w:rFonts w:hint="eastAsia"/>
                <w:sz w:val="21"/>
              </w:rPr>
              <w:t>类</w:t>
            </w:r>
          </w:p>
        </w:tc>
        <w:tc>
          <w:tcPr>
            <w:tcW w:w="4705" w:type="dxa"/>
          </w:tcPr>
          <w:p w:rsidR="00000000" w:rsidRDefault="000C45AD">
            <w:pPr>
              <w:spacing w:line="288" w:lineRule="auto"/>
              <w:ind w:right="2154"/>
              <w:jc w:val="right"/>
              <w:rPr>
                <w:sz w:val="21"/>
              </w:rPr>
            </w:pPr>
            <w:r>
              <w:rPr>
                <w:sz w:val="21"/>
              </w:rPr>
              <w:t>8</w:t>
            </w:r>
          </w:p>
        </w:tc>
      </w:tr>
    </w:tbl>
    <w:p w:rsidR="00000000" w:rsidRDefault="000C45AD">
      <w:pPr>
        <w:spacing w:before="320" w:after="320"/>
        <w:textAlignment w:val="center"/>
      </w:pPr>
      <w:r>
        <w:tab/>
        <w:t xml:space="preserve">49.  </w:t>
      </w:r>
      <w:r>
        <w:rPr>
          <w:rFonts w:hint="eastAsia"/>
        </w:rPr>
        <w:t>有必要指出的是，目前，正规中等教育系统正设法提供多种机会，使青少年能够选择其他技术性职业，从而使其更可能在工作市场找到工作。为此，现正拟订一项方案，以改善中等教育状况，纠正该系统存在的问题。</w:t>
      </w:r>
    </w:p>
    <w:p w:rsidR="00000000" w:rsidRDefault="000C45AD">
      <w:pPr>
        <w:pStyle w:val="Heading4"/>
      </w:pPr>
      <w:r>
        <w:rPr>
          <w:rFonts w:hint="eastAsia"/>
        </w:rPr>
        <w:t>充分就业的障</w:t>
      </w:r>
      <w:r>
        <w:rPr>
          <w:rFonts w:hint="eastAsia"/>
        </w:rPr>
        <w:t>碍分析</w:t>
      </w:r>
    </w:p>
    <w:p w:rsidR="00000000" w:rsidRDefault="000C45AD">
      <w:r>
        <w:tab/>
        <w:t xml:space="preserve">50.  </w:t>
      </w:r>
      <w:r>
        <w:rPr>
          <w:rFonts w:hint="eastAsia"/>
        </w:rPr>
        <w:t>目前经济状况严峻，工作市场受到限制，因而洪都拉斯在确保充分就业方面遇到困难。不过，现正努力克服这些困难，例如，通过了</w:t>
      </w:r>
      <w:r>
        <w:rPr>
          <w:u w:val="single"/>
        </w:rPr>
        <w:t>maquiladora</w:t>
      </w:r>
      <w:r>
        <w:rPr>
          <w:rFonts w:hint="eastAsia"/>
        </w:rPr>
        <w:t>奖励措施立法，据以创造就业机会，还在执行称为“洪都拉斯社会投资基金”的政府方案，该方案通过基础设施工程在社区一级创造就业机会。</w:t>
      </w:r>
    </w:p>
    <w:p w:rsidR="00000000" w:rsidRDefault="000C45AD">
      <w:r>
        <w:tab/>
        <w:t xml:space="preserve">51.  </w:t>
      </w:r>
      <w:r>
        <w:rPr>
          <w:rFonts w:hint="eastAsia"/>
        </w:rPr>
        <w:t>目前没有任何基于种族、肤色、性别、宗教、信仰、政治或国籍的排斥、区分或偏向在阻碍着机会均等。《宪法》第三编第一章第</w:t>
      </w:r>
      <w:r>
        <w:t>60</w:t>
      </w:r>
      <w:r>
        <w:rPr>
          <w:rFonts w:hint="eastAsia"/>
        </w:rPr>
        <w:t>条</w:t>
      </w:r>
      <w:r>
        <w:t>(</w:t>
      </w:r>
      <w:r>
        <w:rPr>
          <w:rFonts w:hint="eastAsia"/>
        </w:rPr>
        <w:t>涉及声明、权利和保障</w:t>
      </w:r>
      <w:r>
        <w:t>)</w:t>
      </w:r>
      <w:r>
        <w:rPr>
          <w:rFonts w:hint="eastAsia"/>
        </w:rPr>
        <w:t>规定：“人人生来自由，在权利上都是平等的。洪都拉斯无特权阶层。所有洪都</w:t>
      </w:r>
      <w:r>
        <w:rPr>
          <w:rFonts w:hint="eastAsia"/>
        </w:rPr>
        <w:t>拉斯人在法律面前一律平等。</w:t>
      </w:r>
    </w:p>
    <w:p w:rsidR="00000000" w:rsidRDefault="000C45AD">
      <w:r>
        <w:tab/>
        <w:t xml:space="preserve">52.  </w:t>
      </w:r>
      <w:r>
        <w:rPr>
          <w:rFonts w:hint="eastAsia"/>
        </w:rPr>
        <w:t>“任何基于性别、种族或阶层的歧视以及对人的尊严的任何其他侵犯都将受到惩治。法律应当列明有关犯罪，并明确规定违反上述律令者将受的惩罚。”</w:t>
      </w:r>
    </w:p>
    <w:p w:rsidR="00000000" w:rsidRDefault="000C45AD">
      <w:r>
        <w:tab/>
        <w:t xml:space="preserve">53.  </w:t>
      </w:r>
      <w:r>
        <w:rPr>
          <w:rFonts w:hint="eastAsia"/>
        </w:rPr>
        <w:t>妇女正在越来越多地参加生产活动，女工具有多种才能，这些才能被工业部门以及商业和服务部门加以利用。</w:t>
      </w:r>
      <w:r>
        <w:t>1987</w:t>
      </w:r>
      <w:r>
        <w:rPr>
          <w:rFonts w:hint="eastAsia"/>
        </w:rPr>
        <w:t>年至今开设了</w:t>
      </w:r>
      <w:r>
        <w:t>2,715</w:t>
      </w:r>
      <w:r>
        <w:rPr>
          <w:rFonts w:hint="eastAsia"/>
        </w:rPr>
        <w:t>次课，听课的男子多于女子，人数分别为</w:t>
      </w:r>
      <w:r>
        <w:t>21,061</w:t>
      </w:r>
      <w:r>
        <w:rPr>
          <w:rFonts w:hint="eastAsia"/>
        </w:rPr>
        <w:t>人和</w:t>
      </w:r>
      <w:r>
        <w:t>13,879</w:t>
      </w:r>
      <w:r>
        <w:rPr>
          <w:rFonts w:hint="eastAsia"/>
        </w:rPr>
        <w:t>人。</w:t>
      </w:r>
    </w:p>
    <w:p w:rsidR="00000000" w:rsidRDefault="000C45AD">
      <w:r>
        <w:tab/>
        <w:t xml:space="preserve">54.  </w:t>
      </w:r>
      <w:r>
        <w:rPr>
          <w:rFonts w:hint="eastAsia"/>
        </w:rPr>
        <w:t>洪都拉斯目前没有任何基于种族、肤色、性别、宗教、政治见解或国籍的排斥、区分或偏向在阻碍着机会均等。外国国民要得到相同</w:t>
      </w:r>
      <w:r>
        <w:rPr>
          <w:rFonts w:hint="eastAsia"/>
        </w:rPr>
        <w:t>的保护，就必须先成为洪都拉斯的合法居民。</w:t>
      </w:r>
    </w:p>
    <w:p w:rsidR="00000000" w:rsidRDefault="000C45AD">
      <w:pPr>
        <w:spacing w:after="320"/>
        <w:textAlignment w:val="center"/>
      </w:pPr>
      <w:r>
        <w:tab/>
        <w:t xml:space="preserve">55.  </w:t>
      </w:r>
      <w:r>
        <w:rPr>
          <w:rFonts w:hint="eastAsia"/>
        </w:rPr>
        <w:t>有些劳动部门承认从事一种以上的工作的权利，如教师和医生，以及一些按小时提供服务的自由职业享有此种权利。</w:t>
      </w:r>
    </w:p>
    <w:p w:rsidR="00000000" w:rsidRDefault="000C45AD">
      <w:pPr>
        <w:pStyle w:val="Heading3"/>
      </w:pPr>
      <w:r>
        <w:br w:type="page"/>
      </w:r>
      <w:r>
        <w:rPr>
          <w:rFonts w:hint="eastAsia"/>
        </w:rPr>
        <w:t>第</w:t>
      </w:r>
      <w:r>
        <w:t xml:space="preserve"> 7 </w:t>
      </w:r>
      <w:r>
        <w:rPr>
          <w:rFonts w:hint="eastAsia"/>
        </w:rPr>
        <w:t>条</w:t>
      </w:r>
    </w:p>
    <w:p w:rsidR="00000000" w:rsidRDefault="000C45AD">
      <w:pPr>
        <w:pStyle w:val="Heading3"/>
      </w:pPr>
      <w:r>
        <w:rPr>
          <w:rFonts w:hint="eastAsia"/>
        </w:rPr>
        <w:t>人人有权享受公正和良好的工作条件</w:t>
      </w:r>
    </w:p>
    <w:p w:rsidR="00000000" w:rsidRDefault="000C45AD">
      <w:r>
        <w:tab/>
        <w:t xml:space="preserve">56.  </w:t>
      </w:r>
      <w:r>
        <w:rPr>
          <w:rFonts w:hint="eastAsia"/>
        </w:rPr>
        <w:t>洪都拉斯是下列劳工问题国际法律文书的签署国：</w:t>
      </w:r>
    </w:p>
    <w:p w:rsidR="00000000" w:rsidRDefault="000C45AD" w:rsidP="000C45AD">
      <w:pPr>
        <w:pStyle w:val="a6"/>
        <w:numPr>
          <w:ilvl w:val="0"/>
          <w:numId w:val="1"/>
        </w:numPr>
      </w:pPr>
      <w:r>
        <w:t>1951</w:t>
      </w:r>
      <w:r>
        <w:rPr>
          <w:rFonts w:hint="eastAsia"/>
        </w:rPr>
        <w:t>年《同酬公约》</w:t>
      </w:r>
      <w:r>
        <w:t>(</w:t>
      </w:r>
      <w:r>
        <w:rPr>
          <w:rFonts w:hint="eastAsia"/>
        </w:rPr>
        <w:t>第</w:t>
      </w:r>
      <w:r>
        <w:t>100</w:t>
      </w:r>
      <w:r>
        <w:rPr>
          <w:rFonts w:hint="eastAsia"/>
        </w:rPr>
        <w:t>号</w:t>
      </w:r>
      <w:r>
        <w:t>)</w:t>
      </w:r>
      <w:r>
        <w:rPr>
          <w:rFonts w:hint="eastAsia"/>
        </w:rPr>
        <w:t>；</w:t>
      </w:r>
    </w:p>
    <w:p w:rsidR="00000000" w:rsidRDefault="000C45AD" w:rsidP="000C45AD">
      <w:pPr>
        <w:pStyle w:val="a6"/>
        <w:numPr>
          <w:ilvl w:val="0"/>
          <w:numId w:val="1"/>
        </w:numPr>
      </w:pPr>
      <w:r>
        <w:t>1921</w:t>
      </w:r>
      <w:r>
        <w:rPr>
          <w:rFonts w:hint="eastAsia"/>
        </w:rPr>
        <w:t>年《</w:t>
      </w:r>
      <w:r>
        <w:t>(</w:t>
      </w:r>
      <w:r>
        <w:rPr>
          <w:rFonts w:hint="eastAsia"/>
        </w:rPr>
        <w:t>工业每周休息公约》</w:t>
      </w:r>
      <w:r>
        <w:t>(</w:t>
      </w:r>
      <w:r>
        <w:rPr>
          <w:rFonts w:hint="eastAsia"/>
        </w:rPr>
        <w:t>第</w:t>
      </w:r>
      <w:r>
        <w:t>14</w:t>
      </w:r>
      <w:r>
        <w:rPr>
          <w:rFonts w:hint="eastAsia"/>
        </w:rPr>
        <w:t>号</w:t>
      </w:r>
      <w:r>
        <w:t>)</w:t>
      </w:r>
      <w:r>
        <w:rPr>
          <w:rFonts w:hint="eastAsia"/>
        </w:rPr>
        <w:t>；</w:t>
      </w:r>
    </w:p>
    <w:p w:rsidR="00000000" w:rsidRDefault="000C45AD" w:rsidP="000C45AD">
      <w:pPr>
        <w:pStyle w:val="a6"/>
        <w:numPr>
          <w:ilvl w:val="0"/>
          <w:numId w:val="1"/>
        </w:numPr>
      </w:pPr>
      <w:r>
        <w:t>1957</w:t>
      </w:r>
      <w:r>
        <w:rPr>
          <w:rFonts w:hint="eastAsia"/>
        </w:rPr>
        <w:t>年《</w:t>
      </w:r>
      <w:r>
        <w:t>(</w:t>
      </w:r>
      <w:r>
        <w:rPr>
          <w:rFonts w:hint="eastAsia"/>
        </w:rPr>
        <w:t>商业和办事处所</w:t>
      </w:r>
      <w:r>
        <w:t>)</w:t>
      </w:r>
      <w:r>
        <w:rPr>
          <w:rFonts w:hint="eastAsia"/>
        </w:rPr>
        <w:t>每周休息公约》</w:t>
      </w:r>
      <w:r>
        <w:t>(</w:t>
      </w:r>
      <w:r>
        <w:rPr>
          <w:rFonts w:hint="eastAsia"/>
        </w:rPr>
        <w:t>第</w:t>
      </w:r>
      <w:r>
        <w:t>106</w:t>
      </w:r>
      <w:r>
        <w:rPr>
          <w:rFonts w:hint="eastAsia"/>
        </w:rPr>
        <w:t>号</w:t>
      </w:r>
      <w:r>
        <w:t>)</w:t>
      </w:r>
      <w:r>
        <w:rPr>
          <w:rFonts w:hint="eastAsia"/>
        </w:rPr>
        <w:t>；</w:t>
      </w:r>
    </w:p>
    <w:p w:rsidR="00000000" w:rsidRDefault="000C45AD" w:rsidP="000C45AD">
      <w:pPr>
        <w:pStyle w:val="a6"/>
        <w:numPr>
          <w:ilvl w:val="0"/>
          <w:numId w:val="1"/>
        </w:numPr>
        <w:spacing w:after="320"/>
        <w:textAlignment w:val="center"/>
      </w:pPr>
      <w:r>
        <w:t>1947</w:t>
      </w:r>
      <w:r>
        <w:rPr>
          <w:rFonts w:hint="eastAsia"/>
        </w:rPr>
        <w:t>年《劳动监察公约》</w:t>
      </w:r>
      <w:r>
        <w:t>(</w:t>
      </w:r>
      <w:r>
        <w:rPr>
          <w:rFonts w:hint="eastAsia"/>
        </w:rPr>
        <w:t>第</w:t>
      </w:r>
      <w:r>
        <w:t>81</w:t>
      </w:r>
      <w:r>
        <w:rPr>
          <w:rFonts w:hint="eastAsia"/>
        </w:rPr>
        <w:t>号</w:t>
      </w:r>
      <w:r>
        <w:t>)</w:t>
      </w:r>
      <w:r>
        <w:rPr>
          <w:rFonts w:hint="eastAsia"/>
        </w:rPr>
        <w:t>。</w:t>
      </w:r>
    </w:p>
    <w:p w:rsidR="00000000" w:rsidRDefault="000C45AD">
      <w:pPr>
        <w:pStyle w:val="Heading4"/>
      </w:pPr>
      <w:r>
        <w:rPr>
          <w:rFonts w:hint="eastAsia"/>
        </w:rPr>
        <w:t>确定工资所采用的方法</w:t>
      </w:r>
    </w:p>
    <w:p w:rsidR="00000000" w:rsidRDefault="000C45AD">
      <w:pPr>
        <w:tabs>
          <w:tab w:val="clear" w:pos="510"/>
          <w:tab w:val="clear" w:pos="1021"/>
          <w:tab w:val="clear" w:pos="1531"/>
          <w:tab w:val="clear" w:pos="2041"/>
        </w:tabs>
      </w:pPr>
      <w:r>
        <w:tab/>
        <w:t>57.  1971</w:t>
      </w:r>
      <w:r>
        <w:rPr>
          <w:rFonts w:hint="eastAsia"/>
        </w:rPr>
        <w:t>年</w:t>
      </w:r>
      <w:r>
        <w:t>1</w:t>
      </w:r>
      <w:r>
        <w:rPr>
          <w:rFonts w:hint="eastAsia"/>
        </w:rPr>
        <w:t>月</w:t>
      </w:r>
      <w:r>
        <w:t>20</w:t>
      </w:r>
      <w:r>
        <w:rPr>
          <w:rFonts w:hint="eastAsia"/>
        </w:rPr>
        <w:t>日第</w:t>
      </w:r>
      <w:r>
        <w:t>103</w:t>
      </w:r>
      <w:r>
        <w:rPr>
          <w:rFonts w:hint="eastAsia"/>
        </w:rPr>
        <w:t>号法令批准的《最低工资法》第</w:t>
      </w:r>
      <w:r>
        <w:t>15</w:t>
      </w:r>
      <w:r>
        <w:rPr>
          <w:rFonts w:hint="eastAsia"/>
        </w:rPr>
        <w:t>条规定，为了确定或调整任何经济活动中的最低工资，应任命一个最低工资委员会，该委员会由三名工人代表和三名公众代表组成，并设有候补代表。</w:t>
      </w:r>
    </w:p>
    <w:p w:rsidR="00000000" w:rsidRDefault="000C45AD">
      <w:pPr>
        <w:tabs>
          <w:tab w:val="clear" w:pos="510"/>
          <w:tab w:val="clear" w:pos="1021"/>
          <w:tab w:val="clear" w:pos="1531"/>
          <w:tab w:val="clear" w:pos="2041"/>
        </w:tabs>
      </w:pPr>
      <w:r>
        <w:tab/>
        <w:t xml:space="preserve">58.  </w:t>
      </w:r>
      <w:r>
        <w:rPr>
          <w:rFonts w:hint="eastAsia"/>
        </w:rPr>
        <w:t>此外，共和国合宪总统</w:t>
      </w:r>
      <w:r>
        <w:t>1988</w:t>
      </w:r>
      <w:r>
        <w:rPr>
          <w:rFonts w:hint="eastAsia"/>
        </w:rPr>
        <w:t>年</w:t>
      </w:r>
      <w:r>
        <w:t>10</w:t>
      </w:r>
      <w:r>
        <w:rPr>
          <w:rFonts w:hint="eastAsia"/>
        </w:rPr>
        <w:t>月</w:t>
      </w:r>
      <w:r>
        <w:t>6</w:t>
      </w:r>
      <w:r>
        <w:rPr>
          <w:rFonts w:hint="eastAsia"/>
        </w:rPr>
        <w:t>日批准的最低工资委员会条例，对关于确定最低工资的某些程序作了修改。</w:t>
      </w:r>
    </w:p>
    <w:p w:rsidR="00000000" w:rsidRDefault="000C45AD">
      <w:pPr>
        <w:tabs>
          <w:tab w:val="clear" w:pos="510"/>
          <w:tab w:val="clear" w:pos="1021"/>
          <w:tab w:val="clear" w:pos="1531"/>
          <w:tab w:val="clear" w:pos="2041"/>
        </w:tabs>
      </w:pPr>
      <w:r>
        <w:tab/>
        <w:t xml:space="preserve">59.  </w:t>
      </w:r>
      <w:r>
        <w:rPr>
          <w:rFonts w:hint="eastAsia"/>
        </w:rPr>
        <w:t>洪都拉斯的最低工资制度由</w:t>
      </w:r>
      <w:r>
        <w:t>1971</w:t>
      </w:r>
      <w:r>
        <w:rPr>
          <w:rFonts w:hint="eastAsia"/>
        </w:rPr>
        <w:t>年</w:t>
      </w:r>
      <w:r>
        <w:t>1</w:t>
      </w:r>
      <w:r>
        <w:rPr>
          <w:rFonts w:hint="eastAsia"/>
        </w:rPr>
        <w:t>月</w:t>
      </w:r>
      <w:r>
        <w:t>20</w:t>
      </w:r>
      <w:r>
        <w:rPr>
          <w:rFonts w:hint="eastAsia"/>
        </w:rPr>
        <w:t>日的《最低工资法》第</w:t>
      </w:r>
      <w:r>
        <w:t>35</w:t>
      </w:r>
      <w:r>
        <w:rPr>
          <w:rFonts w:hint="eastAsia"/>
        </w:rPr>
        <w:t>条加以管理，该条规定，最低工资至少从上一次确定或审查之日起每三年审查一次。</w:t>
      </w:r>
    </w:p>
    <w:p w:rsidR="00000000" w:rsidRDefault="000C45AD">
      <w:pPr>
        <w:tabs>
          <w:tab w:val="clear" w:pos="510"/>
          <w:tab w:val="clear" w:pos="1021"/>
          <w:tab w:val="clear" w:pos="1531"/>
          <w:tab w:val="clear" w:pos="2041"/>
        </w:tabs>
      </w:pPr>
      <w:r>
        <w:tab/>
        <w:t xml:space="preserve">60.  </w:t>
      </w:r>
      <w:r>
        <w:rPr>
          <w:rFonts w:hint="eastAsia"/>
        </w:rPr>
        <w:t>不过，</w:t>
      </w:r>
      <w:r>
        <w:t>1997</w:t>
      </w:r>
      <w:r>
        <w:rPr>
          <w:rFonts w:hint="eastAsia"/>
        </w:rPr>
        <w:t>年初，国民议会对第</w:t>
      </w:r>
      <w:r>
        <w:t>35</w:t>
      </w:r>
      <w:r>
        <w:rPr>
          <w:rFonts w:hint="eastAsia"/>
        </w:rPr>
        <w:t>条作了修改，规定每年</w:t>
      </w:r>
      <w:r>
        <w:rPr>
          <w:rFonts w:hint="eastAsia"/>
        </w:rPr>
        <w:t>确定或调整一次工资，而且，如六月份的通货膨胀指数显示的累积变动超过</w:t>
      </w:r>
      <w:r>
        <w:t>12%</w:t>
      </w:r>
      <w:r>
        <w:rPr>
          <w:rFonts w:hint="eastAsia"/>
        </w:rPr>
        <w:t>，最低工资将自动重新得到确定或审查。</w:t>
      </w:r>
    </w:p>
    <w:p w:rsidR="00000000" w:rsidRDefault="000C45AD">
      <w:pPr>
        <w:tabs>
          <w:tab w:val="clear" w:pos="510"/>
          <w:tab w:val="clear" w:pos="1021"/>
          <w:tab w:val="clear" w:pos="1531"/>
          <w:tab w:val="clear" w:pos="2041"/>
        </w:tabs>
      </w:pPr>
      <w:r>
        <w:tab/>
        <w:t xml:space="preserve">61.  </w:t>
      </w:r>
      <w:r>
        <w:rPr>
          <w:rFonts w:hint="eastAsia"/>
        </w:rPr>
        <w:t>最低工资适用于所有经济活动，这一规则的唯一例外是担任依据《宪法》、法律、行政命令或市政协议设立的职务的政府雇员，以及经理、管理者和专业人员等。</w:t>
      </w:r>
    </w:p>
    <w:p w:rsidR="00000000" w:rsidRDefault="000C45AD">
      <w:pPr>
        <w:tabs>
          <w:tab w:val="clear" w:pos="510"/>
          <w:tab w:val="clear" w:pos="1021"/>
          <w:tab w:val="clear" w:pos="1531"/>
          <w:tab w:val="clear" w:pos="2041"/>
        </w:tabs>
      </w:pPr>
      <w:r>
        <w:tab/>
        <w:t xml:space="preserve">62.  </w:t>
      </w:r>
      <w:r>
        <w:rPr>
          <w:rFonts w:hint="eastAsia"/>
        </w:rPr>
        <w:t>私人住宅的家庭雇工适用特别工资表。条例不适用于其收入能力因年老或由工资管理总局妥为核实的身体损害或伤病而受影响的工人。依照有关条例规定，为这类工人发放特别许可证，规定必须向其支付的可适用的最低工资的百分比，以及这些工资可支付的期限。</w:t>
      </w:r>
    </w:p>
    <w:p w:rsidR="00000000" w:rsidRDefault="000C45AD">
      <w:pPr>
        <w:tabs>
          <w:tab w:val="clear" w:pos="510"/>
          <w:tab w:val="clear" w:pos="1021"/>
          <w:tab w:val="clear" w:pos="1531"/>
          <w:tab w:val="clear" w:pos="2041"/>
        </w:tabs>
        <w:spacing w:after="240"/>
        <w:textAlignment w:val="center"/>
      </w:pPr>
      <w:r>
        <w:tab/>
        <w:t>63.  1995</w:t>
      </w:r>
      <w:r>
        <w:rPr>
          <w:rFonts w:hint="eastAsia"/>
        </w:rPr>
        <w:t>年家庭调查得出了以下按职业类别和性别列出的全国就业人口数字：</w:t>
      </w:r>
    </w:p>
    <w:tbl>
      <w:tblPr>
        <w:tblW w:w="0" w:type="auto"/>
        <w:tblInd w:w="-26" w:type="dxa"/>
        <w:tblLayout w:type="fixed"/>
        <w:tblCellMar>
          <w:left w:w="28" w:type="dxa"/>
          <w:right w:w="28" w:type="dxa"/>
        </w:tblCellMar>
        <w:tblLook w:val="0000" w:firstRow="0" w:lastRow="0" w:firstColumn="0" w:lastColumn="0" w:noHBand="0" w:noVBand="0"/>
      </w:tblPr>
      <w:tblGrid>
        <w:gridCol w:w="3628"/>
        <w:gridCol w:w="1927"/>
        <w:gridCol w:w="1927"/>
        <w:gridCol w:w="1927"/>
      </w:tblGrid>
      <w:tr w:rsidR="00000000">
        <w:tblPrEx>
          <w:tblCellMar>
            <w:top w:w="0" w:type="dxa"/>
            <w:bottom w:w="0" w:type="dxa"/>
          </w:tblCellMar>
        </w:tblPrEx>
        <w:tc>
          <w:tcPr>
            <w:tcW w:w="3628" w:type="dxa"/>
          </w:tcPr>
          <w:p w:rsidR="00000000" w:rsidRDefault="000C45AD">
            <w:pPr>
              <w:tabs>
                <w:tab w:val="clear" w:pos="510"/>
                <w:tab w:val="clear" w:pos="1021"/>
                <w:tab w:val="clear" w:pos="1531"/>
                <w:tab w:val="clear" w:pos="2041"/>
              </w:tabs>
              <w:spacing w:before="60" w:after="160" w:line="288" w:lineRule="auto"/>
              <w:jc w:val="left"/>
              <w:textAlignment w:val="center"/>
              <w:rPr>
                <w:sz w:val="21"/>
                <w:u w:val="single"/>
              </w:rPr>
            </w:pPr>
            <w:r>
              <w:rPr>
                <w:sz w:val="21"/>
              </w:rPr>
              <w:br w:type="page"/>
              <w:t xml:space="preserve">    </w:t>
            </w:r>
            <w:r>
              <w:rPr>
                <w:rFonts w:hint="eastAsia"/>
                <w:sz w:val="21"/>
                <w:u w:val="single"/>
              </w:rPr>
              <w:t>职业类别</w:t>
            </w:r>
          </w:p>
        </w:tc>
        <w:tc>
          <w:tcPr>
            <w:tcW w:w="1927" w:type="dxa"/>
          </w:tcPr>
          <w:p w:rsidR="00000000" w:rsidRDefault="000C45AD">
            <w:pPr>
              <w:tabs>
                <w:tab w:val="clear" w:pos="510"/>
                <w:tab w:val="clear" w:pos="1021"/>
                <w:tab w:val="clear" w:pos="1531"/>
                <w:tab w:val="clear" w:pos="2041"/>
              </w:tabs>
              <w:spacing w:before="60" w:line="288" w:lineRule="auto"/>
              <w:jc w:val="center"/>
              <w:rPr>
                <w:sz w:val="21"/>
                <w:u w:val="single"/>
              </w:rPr>
            </w:pPr>
            <w:r>
              <w:rPr>
                <w:rFonts w:hint="eastAsia"/>
                <w:sz w:val="21"/>
                <w:u w:val="single"/>
              </w:rPr>
              <w:t>男女总数</w:t>
            </w:r>
          </w:p>
        </w:tc>
        <w:tc>
          <w:tcPr>
            <w:tcW w:w="1927" w:type="dxa"/>
          </w:tcPr>
          <w:p w:rsidR="00000000" w:rsidRDefault="000C45AD">
            <w:pPr>
              <w:tabs>
                <w:tab w:val="clear" w:pos="510"/>
                <w:tab w:val="clear" w:pos="1021"/>
                <w:tab w:val="clear" w:pos="1531"/>
                <w:tab w:val="clear" w:pos="2041"/>
              </w:tabs>
              <w:spacing w:before="60" w:line="288" w:lineRule="auto"/>
              <w:jc w:val="center"/>
              <w:rPr>
                <w:sz w:val="21"/>
                <w:u w:val="single"/>
              </w:rPr>
            </w:pPr>
            <w:r>
              <w:rPr>
                <w:rFonts w:hint="eastAsia"/>
                <w:sz w:val="21"/>
                <w:u w:val="single"/>
              </w:rPr>
              <w:t>男</w:t>
            </w:r>
            <w:r>
              <w:rPr>
                <w:sz w:val="21"/>
                <w:u w:val="single"/>
              </w:rPr>
              <w:t xml:space="preserve">  </w:t>
            </w:r>
            <w:r>
              <w:rPr>
                <w:rFonts w:hint="eastAsia"/>
                <w:sz w:val="21"/>
                <w:u w:val="single"/>
              </w:rPr>
              <w:t>子</w:t>
            </w:r>
          </w:p>
        </w:tc>
        <w:tc>
          <w:tcPr>
            <w:tcW w:w="1927" w:type="dxa"/>
          </w:tcPr>
          <w:p w:rsidR="00000000" w:rsidRDefault="000C45AD">
            <w:pPr>
              <w:tabs>
                <w:tab w:val="clear" w:pos="510"/>
                <w:tab w:val="clear" w:pos="1021"/>
                <w:tab w:val="clear" w:pos="1531"/>
                <w:tab w:val="clear" w:pos="2041"/>
              </w:tabs>
              <w:spacing w:before="60" w:line="288" w:lineRule="auto"/>
              <w:jc w:val="center"/>
              <w:rPr>
                <w:sz w:val="21"/>
                <w:u w:val="single"/>
              </w:rPr>
            </w:pPr>
            <w:r>
              <w:rPr>
                <w:rFonts w:hint="eastAsia"/>
                <w:sz w:val="21"/>
                <w:u w:val="single"/>
              </w:rPr>
              <w:t>女</w:t>
            </w:r>
            <w:r>
              <w:rPr>
                <w:sz w:val="21"/>
                <w:u w:val="single"/>
              </w:rPr>
              <w:t xml:space="preserve">  </w:t>
            </w:r>
            <w:r>
              <w:rPr>
                <w:rFonts w:hint="eastAsia"/>
                <w:sz w:val="21"/>
                <w:u w:val="single"/>
              </w:rPr>
              <w:t>子</w:t>
            </w:r>
          </w:p>
        </w:tc>
      </w:tr>
      <w:tr w:rsidR="00000000">
        <w:tblPrEx>
          <w:tblCellMar>
            <w:top w:w="0" w:type="dxa"/>
            <w:bottom w:w="0" w:type="dxa"/>
          </w:tblCellMar>
        </w:tblPrEx>
        <w:tc>
          <w:tcPr>
            <w:tcW w:w="3628" w:type="dxa"/>
          </w:tcPr>
          <w:p w:rsidR="00000000" w:rsidRDefault="000C45AD">
            <w:pPr>
              <w:tabs>
                <w:tab w:val="clear" w:pos="510"/>
                <w:tab w:val="clear" w:pos="1021"/>
                <w:tab w:val="clear" w:pos="1531"/>
                <w:tab w:val="clear" w:pos="2041"/>
              </w:tabs>
              <w:spacing w:before="60" w:line="288" w:lineRule="auto"/>
              <w:rPr>
                <w:sz w:val="21"/>
              </w:rPr>
            </w:pPr>
            <w:r>
              <w:rPr>
                <w:rFonts w:hint="eastAsia"/>
                <w:sz w:val="21"/>
              </w:rPr>
              <w:t>白领和蓝领政府雇员</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139,515</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73,212</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66,303</w:t>
            </w:r>
          </w:p>
        </w:tc>
      </w:tr>
      <w:tr w:rsidR="00000000">
        <w:tblPrEx>
          <w:tblCellMar>
            <w:top w:w="0" w:type="dxa"/>
            <w:bottom w:w="0" w:type="dxa"/>
          </w:tblCellMar>
        </w:tblPrEx>
        <w:tc>
          <w:tcPr>
            <w:tcW w:w="3628" w:type="dxa"/>
          </w:tcPr>
          <w:p w:rsidR="00000000" w:rsidRDefault="000C45AD">
            <w:pPr>
              <w:tabs>
                <w:tab w:val="clear" w:pos="510"/>
                <w:tab w:val="clear" w:pos="1021"/>
                <w:tab w:val="clear" w:pos="1531"/>
                <w:tab w:val="clear" w:pos="2041"/>
              </w:tabs>
              <w:spacing w:before="60" w:line="288" w:lineRule="auto"/>
              <w:rPr>
                <w:sz w:val="21"/>
              </w:rPr>
            </w:pPr>
            <w:r>
              <w:rPr>
                <w:rFonts w:hint="eastAsia"/>
                <w:sz w:val="21"/>
              </w:rPr>
              <w:t>白领和蓝领私营部门雇员</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669,088</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519,358</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149,730</w:t>
            </w:r>
          </w:p>
        </w:tc>
      </w:tr>
      <w:tr w:rsidR="00000000">
        <w:tblPrEx>
          <w:tblCellMar>
            <w:top w:w="0" w:type="dxa"/>
            <w:bottom w:w="0" w:type="dxa"/>
          </w:tblCellMar>
        </w:tblPrEx>
        <w:tc>
          <w:tcPr>
            <w:tcW w:w="3628" w:type="dxa"/>
          </w:tcPr>
          <w:p w:rsidR="00000000" w:rsidRDefault="000C45AD">
            <w:pPr>
              <w:tabs>
                <w:tab w:val="clear" w:pos="510"/>
                <w:tab w:val="clear" w:pos="1021"/>
                <w:tab w:val="clear" w:pos="1531"/>
                <w:tab w:val="clear" w:pos="2041"/>
              </w:tabs>
              <w:spacing w:before="60" w:line="288" w:lineRule="auto"/>
              <w:rPr>
                <w:sz w:val="21"/>
              </w:rPr>
            </w:pPr>
            <w:r>
              <w:rPr>
                <w:rFonts w:hint="eastAsia"/>
                <w:sz w:val="21"/>
              </w:rPr>
              <w:t>家庭雇工</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51,581</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5,191</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56,390</w:t>
            </w:r>
          </w:p>
        </w:tc>
      </w:tr>
      <w:tr w:rsidR="00000000">
        <w:tblPrEx>
          <w:tblCellMar>
            <w:top w:w="0" w:type="dxa"/>
            <w:bottom w:w="0" w:type="dxa"/>
          </w:tblCellMar>
        </w:tblPrEx>
        <w:tc>
          <w:tcPr>
            <w:tcW w:w="3628" w:type="dxa"/>
          </w:tcPr>
          <w:p w:rsidR="00000000" w:rsidRDefault="000C45AD">
            <w:pPr>
              <w:tabs>
                <w:tab w:val="clear" w:pos="510"/>
                <w:tab w:val="clear" w:pos="1021"/>
                <w:tab w:val="clear" w:pos="1531"/>
                <w:tab w:val="clear" w:pos="2041"/>
              </w:tabs>
              <w:spacing w:before="60" w:line="288" w:lineRule="auto"/>
              <w:rPr>
                <w:sz w:val="21"/>
              </w:rPr>
            </w:pPr>
            <w:r>
              <w:rPr>
                <w:rFonts w:hint="eastAsia"/>
                <w:sz w:val="21"/>
              </w:rPr>
              <w:t>合作社成员</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8,272</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7,239</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1,035</w:t>
            </w:r>
          </w:p>
        </w:tc>
      </w:tr>
      <w:tr w:rsidR="00000000">
        <w:tblPrEx>
          <w:tblCellMar>
            <w:top w:w="0" w:type="dxa"/>
            <w:bottom w:w="0" w:type="dxa"/>
          </w:tblCellMar>
        </w:tblPrEx>
        <w:tc>
          <w:tcPr>
            <w:tcW w:w="3628" w:type="dxa"/>
          </w:tcPr>
          <w:p w:rsidR="00000000" w:rsidRDefault="000C45AD">
            <w:pPr>
              <w:tabs>
                <w:tab w:val="clear" w:pos="510"/>
                <w:tab w:val="clear" w:pos="1021"/>
                <w:tab w:val="clear" w:pos="1531"/>
                <w:tab w:val="clear" w:pos="2041"/>
              </w:tabs>
              <w:spacing w:before="60" w:line="288" w:lineRule="auto"/>
              <w:rPr>
                <w:sz w:val="21"/>
              </w:rPr>
            </w:pPr>
            <w:r>
              <w:rPr>
                <w:rFonts w:hint="eastAsia"/>
                <w:sz w:val="21"/>
              </w:rPr>
              <w:t>无报酬家庭雇工</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214,953</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169,695</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45,258</w:t>
            </w:r>
          </w:p>
        </w:tc>
      </w:tr>
      <w:tr w:rsidR="00000000">
        <w:tblPrEx>
          <w:tblCellMar>
            <w:top w:w="0" w:type="dxa"/>
            <w:bottom w:w="0" w:type="dxa"/>
          </w:tblCellMar>
        </w:tblPrEx>
        <w:tc>
          <w:tcPr>
            <w:tcW w:w="3628" w:type="dxa"/>
          </w:tcPr>
          <w:p w:rsidR="00000000" w:rsidRDefault="000C45AD">
            <w:pPr>
              <w:tabs>
                <w:tab w:val="clear" w:pos="510"/>
                <w:tab w:val="clear" w:pos="1021"/>
                <w:tab w:val="clear" w:pos="1531"/>
                <w:tab w:val="clear" w:pos="2041"/>
              </w:tabs>
              <w:spacing w:before="60" w:line="288" w:lineRule="auto"/>
              <w:rPr>
                <w:sz w:val="21"/>
              </w:rPr>
            </w:pPr>
            <w:r>
              <w:rPr>
                <w:rFonts w:hint="eastAsia"/>
                <w:sz w:val="21"/>
              </w:rPr>
              <w:t>雇主或任职合伙人</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76,319</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64,155</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12,164</w:t>
            </w:r>
          </w:p>
        </w:tc>
      </w:tr>
      <w:tr w:rsidR="00000000">
        <w:tblPrEx>
          <w:tblCellMar>
            <w:top w:w="0" w:type="dxa"/>
            <w:bottom w:w="0" w:type="dxa"/>
          </w:tblCellMar>
        </w:tblPrEx>
        <w:tc>
          <w:tcPr>
            <w:tcW w:w="3628" w:type="dxa"/>
          </w:tcPr>
          <w:p w:rsidR="00000000" w:rsidRDefault="000C45AD">
            <w:pPr>
              <w:tabs>
                <w:tab w:val="clear" w:pos="510"/>
                <w:tab w:val="clear" w:pos="1021"/>
                <w:tab w:val="clear" w:pos="1531"/>
                <w:tab w:val="clear" w:pos="2041"/>
              </w:tabs>
              <w:spacing w:before="60" w:line="288" w:lineRule="auto"/>
              <w:rPr>
                <w:sz w:val="21"/>
              </w:rPr>
            </w:pPr>
            <w:r>
              <w:rPr>
                <w:rFonts w:hint="eastAsia"/>
                <w:sz w:val="21"/>
              </w:rPr>
              <w:t>独立工人</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633,778</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424,956</w:t>
            </w:r>
          </w:p>
        </w:tc>
        <w:tc>
          <w:tcPr>
            <w:tcW w:w="1927" w:type="dxa"/>
          </w:tcPr>
          <w:p w:rsidR="00000000" w:rsidRDefault="000C45AD">
            <w:pPr>
              <w:tabs>
                <w:tab w:val="clear" w:pos="510"/>
                <w:tab w:val="clear" w:pos="1021"/>
                <w:tab w:val="clear" w:pos="1531"/>
                <w:tab w:val="clear" w:pos="2041"/>
              </w:tabs>
              <w:spacing w:before="60" w:line="288" w:lineRule="auto"/>
              <w:ind w:right="510"/>
              <w:jc w:val="right"/>
              <w:rPr>
                <w:sz w:val="21"/>
              </w:rPr>
            </w:pPr>
            <w:r>
              <w:rPr>
                <w:sz w:val="21"/>
              </w:rPr>
              <w:t>208,822</w:t>
            </w:r>
          </w:p>
        </w:tc>
      </w:tr>
      <w:tr w:rsidR="00000000">
        <w:tblPrEx>
          <w:tblCellMar>
            <w:top w:w="0" w:type="dxa"/>
            <w:bottom w:w="0" w:type="dxa"/>
          </w:tblCellMar>
        </w:tblPrEx>
        <w:tc>
          <w:tcPr>
            <w:tcW w:w="3628" w:type="dxa"/>
          </w:tcPr>
          <w:p w:rsidR="00000000" w:rsidRDefault="000C45AD">
            <w:pPr>
              <w:tabs>
                <w:tab w:val="clear" w:pos="510"/>
                <w:tab w:val="clear" w:pos="1021"/>
                <w:tab w:val="clear" w:pos="1531"/>
                <w:tab w:val="clear" w:pos="2041"/>
              </w:tabs>
              <w:spacing w:before="60" w:line="288" w:lineRule="auto"/>
              <w:rPr>
                <w:sz w:val="21"/>
              </w:rPr>
            </w:pPr>
            <w:r>
              <w:rPr>
                <w:rFonts w:ascii="SimHei" w:eastAsia="SimHei" w:hint="eastAsia"/>
                <w:sz w:val="21"/>
              </w:rPr>
              <w:t>合</w:t>
            </w:r>
            <w:r>
              <w:rPr>
                <w:rFonts w:ascii="SimHei" w:eastAsia="SimHei"/>
                <w:sz w:val="21"/>
              </w:rPr>
              <w:t xml:space="preserve">  </w:t>
            </w:r>
            <w:r>
              <w:rPr>
                <w:rFonts w:ascii="SimHei" w:eastAsia="SimHei" w:hint="eastAsia"/>
                <w:sz w:val="21"/>
              </w:rPr>
              <w:t>计</w:t>
            </w:r>
          </w:p>
        </w:tc>
        <w:tc>
          <w:tcPr>
            <w:tcW w:w="1927" w:type="dxa"/>
          </w:tcPr>
          <w:p w:rsidR="00000000" w:rsidRDefault="000C45AD">
            <w:pPr>
              <w:tabs>
                <w:tab w:val="clear" w:pos="510"/>
                <w:tab w:val="clear" w:pos="1021"/>
                <w:tab w:val="clear" w:pos="1531"/>
                <w:tab w:val="clear" w:pos="2041"/>
              </w:tabs>
              <w:spacing w:before="60" w:line="288" w:lineRule="auto"/>
              <w:ind w:right="510"/>
              <w:jc w:val="right"/>
              <w:rPr>
                <w:b/>
                <w:sz w:val="21"/>
              </w:rPr>
            </w:pPr>
            <w:r>
              <w:rPr>
                <w:b/>
                <w:sz w:val="21"/>
              </w:rPr>
              <w:t>1,803,508</w:t>
            </w:r>
          </w:p>
        </w:tc>
        <w:tc>
          <w:tcPr>
            <w:tcW w:w="1927" w:type="dxa"/>
          </w:tcPr>
          <w:p w:rsidR="00000000" w:rsidRDefault="000C45AD">
            <w:pPr>
              <w:tabs>
                <w:tab w:val="clear" w:pos="510"/>
                <w:tab w:val="clear" w:pos="1021"/>
                <w:tab w:val="clear" w:pos="1531"/>
                <w:tab w:val="clear" w:pos="2041"/>
              </w:tabs>
              <w:spacing w:before="60" w:line="288" w:lineRule="auto"/>
              <w:ind w:right="510"/>
              <w:jc w:val="right"/>
              <w:rPr>
                <w:b/>
                <w:sz w:val="21"/>
              </w:rPr>
            </w:pPr>
            <w:r>
              <w:rPr>
                <w:b/>
                <w:sz w:val="21"/>
              </w:rPr>
              <w:t>1,263,806</w:t>
            </w:r>
          </w:p>
        </w:tc>
        <w:tc>
          <w:tcPr>
            <w:tcW w:w="1927" w:type="dxa"/>
          </w:tcPr>
          <w:p w:rsidR="00000000" w:rsidRDefault="000C45AD">
            <w:pPr>
              <w:tabs>
                <w:tab w:val="clear" w:pos="510"/>
                <w:tab w:val="clear" w:pos="1021"/>
                <w:tab w:val="clear" w:pos="1531"/>
                <w:tab w:val="clear" w:pos="2041"/>
              </w:tabs>
              <w:spacing w:before="60" w:line="288" w:lineRule="auto"/>
              <w:ind w:right="510"/>
              <w:jc w:val="right"/>
              <w:rPr>
                <w:b/>
                <w:sz w:val="21"/>
              </w:rPr>
            </w:pPr>
            <w:r>
              <w:rPr>
                <w:b/>
                <w:sz w:val="21"/>
              </w:rPr>
              <w:t>539,700</w:t>
            </w:r>
          </w:p>
        </w:tc>
      </w:tr>
    </w:tbl>
    <w:p w:rsidR="00000000" w:rsidRDefault="000C45AD"/>
    <w:p w:rsidR="00000000" w:rsidRDefault="000C45AD">
      <w:pPr>
        <w:pStyle w:val="Heading4"/>
      </w:pPr>
      <w:r>
        <w:rPr>
          <w:rFonts w:hint="eastAsia"/>
          <w:u w:val="none"/>
        </w:rPr>
        <w:t>《</w:t>
      </w:r>
      <w:r>
        <w:rPr>
          <w:rFonts w:hint="eastAsia"/>
        </w:rPr>
        <w:t>最低工资法</w:t>
      </w:r>
      <w:r>
        <w:rPr>
          <w:rFonts w:hint="eastAsia"/>
          <w:u w:val="none"/>
        </w:rPr>
        <w:t>》</w:t>
      </w:r>
    </w:p>
    <w:p w:rsidR="00000000" w:rsidRDefault="000C45AD">
      <w:pPr>
        <w:tabs>
          <w:tab w:val="clear" w:pos="510"/>
          <w:tab w:val="clear" w:pos="1021"/>
          <w:tab w:val="clear" w:pos="1531"/>
          <w:tab w:val="clear" w:pos="2041"/>
        </w:tabs>
      </w:pPr>
      <w:r>
        <w:tab/>
        <w:t xml:space="preserve">64.  </w:t>
      </w:r>
      <w:r>
        <w:rPr>
          <w:rFonts w:hint="eastAsia"/>
        </w:rPr>
        <w:t>《最低工资法》第</w:t>
      </w:r>
      <w:r>
        <w:t>2</w:t>
      </w:r>
      <w:r>
        <w:rPr>
          <w:rFonts w:hint="eastAsia"/>
        </w:rPr>
        <w:t>条规定了最低工资的法律地位，并规定不得削减最低工资。该条指出，本法令是不可撤销的，因此，支付任何人的薪金或工资都不得低于依本法令确定的薪金或工资，而且，不得依据单独或共同协议或依据任何其他协议削减此种薪金和工资。</w:t>
      </w:r>
    </w:p>
    <w:p w:rsidR="00000000" w:rsidRDefault="000C45AD">
      <w:pPr>
        <w:tabs>
          <w:tab w:val="clear" w:pos="510"/>
          <w:tab w:val="clear" w:pos="1021"/>
          <w:tab w:val="clear" w:pos="1531"/>
          <w:tab w:val="clear" w:pos="2041"/>
        </w:tabs>
      </w:pPr>
      <w:r>
        <w:tab/>
        <w:t xml:space="preserve">65.  </w:t>
      </w:r>
      <w:r>
        <w:rPr>
          <w:rFonts w:hint="eastAsia"/>
        </w:rPr>
        <w:t>最低工资根据工人及其家庭的需要确定，为此使用的参照系数是所需基本食品费用和消费物价指数。其他考虑在内的因素有：国家经济状</w:t>
      </w:r>
      <w:r>
        <w:rPr>
          <w:rFonts w:hint="eastAsia"/>
        </w:rPr>
        <w:t>况，企业的财务状况，就业情况和趋势，生产率，工资结构变动以及其他经济因素等。</w:t>
      </w:r>
    </w:p>
    <w:p w:rsidR="00000000" w:rsidRDefault="000C45AD">
      <w:pPr>
        <w:tabs>
          <w:tab w:val="clear" w:pos="510"/>
          <w:tab w:val="clear" w:pos="1021"/>
          <w:tab w:val="clear" w:pos="1531"/>
          <w:tab w:val="clear" w:pos="2041"/>
        </w:tabs>
      </w:pPr>
      <w:r>
        <w:tab/>
        <w:t xml:space="preserve">66.  </w:t>
      </w:r>
      <w:r>
        <w:rPr>
          <w:rFonts w:hint="eastAsia"/>
        </w:rPr>
        <w:t>一般来说，委员会在确定或调整最低工资时，都设法充分补偿基本食品需求费用，并考虑到谈判日期的累计通货膨胀指数。</w:t>
      </w:r>
    </w:p>
    <w:p w:rsidR="00000000" w:rsidRDefault="000C45AD">
      <w:pPr>
        <w:tabs>
          <w:tab w:val="clear" w:pos="510"/>
          <w:tab w:val="clear" w:pos="1021"/>
          <w:tab w:val="clear" w:pos="1531"/>
          <w:tab w:val="clear" w:pos="2041"/>
        </w:tabs>
      </w:pPr>
      <w:r>
        <w:tab/>
        <w:t xml:space="preserve">67.  </w:t>
      </w:r>
      <w:r>
        <w:rPr>
          <w:rFonts w:hint="eastAsia"/>
        </w:rPr>
        <w:t>在三方最低工资委员会得到设立以及新的最低工资确定之后，由工资管理总局和劳工监察总局负责监管并确保最低工资的支付。工资调整数追溯补发两年，自调整的理由开始有效之日起计算。</w:t>
      </w:r>
    </w:p>
    <w:p w:rsidR="00000000" w:rsidRDefault="000C45AD">
      <w:pPr>
        <w:tabs>
          <w:tab w:val="clear" w:pos="510"/>
          <w:tab w:val="clear" w:pos="1021"/>
          <w:tab w:val="clear" w:pos="1531"/>
          <w:tab w:val="clear" w:pos="2041"/>
        </w:tabs>
      </w:pPr>
      <w:r>
        <w:tab/>
        <w:t xml:space="preserve">68.  </w:t>
      </w:r>
      <w:r>
        <w:rPr>
          <w:rFonts w:hint="eastAsia"/>
        </w:rPr>
        <w:t>劳工部通过工资管理总局和劳工监察总局开展例行监督工作，地点主要是</w:t>
      </w:r>
      <w:r>
        <w:t xml:space="preserve">Tegucigalpa </w:t>
      </w:r>
      <w:r>
        <w:rPr>
          <w:rFonts w:hint="eastAsia"/>
        </w:rPr>
        <w:t>市和</w:t>
      </w:r>
      <w:r>
        <w:t>San Pedro Sul</w:t>
      </w:r>
      <w:r>
        <w:t>a</w:t>
      </w:r>
      <w:r>
        <w:rPr>
          <w:rFonts w:hint="eastAsia"/>
        </w:rPr>
        <w:t>市，目的是确定最低工资条例的遵守程度。</w:t>
      </w:r>
      <w:r>
        <w:t>1996</w:t>
      </w:r>
      <w:r>
        <w:rPr>
          <w:rFonts w:hint="eastAsia"/>
        </w:rPr>
        <w:t>年，条例违反率约为</w:t>
      </w:r>
      <w:r>
        <w:t>4%</w:t>
      </w:r>
      <w:r>
        <w:rPr>
          <w:rFonts w:hint="eastAsia"/>
        </w:rPr>
        <w:t>。</w:t>
      </w:r>
    </w:p>
    <w:p w:rsidR="00000000" w:rsidRDefault="000C45AD">
      <w:pPr>
        <w:tabs>
          <w:tab w:val="clear" w:pos="510"/>
          <w:tab w:val="clear" w:pos="1021"/>
          <w:tab w:val="clear" w:pos="1531"/>
          <w:tab w:val="clear" w:pos="2041"/>
        </w:tabs>
      </w:pPr>
      <w:r>
        <w:tab/>
        <w:t xml:space="preserve">69.  </w:t>
      </w:r>
      <w:r>
        <w:rPr>
          <w:rFonts w:hint="eastAsia"/>
        </w:rPr>
        <w:t>各项研究表明，洪都拉斯妇女的工资低于男子。为消除这种不平等现象，近年来妇女接受了持续培训，并采取坚决行动组成专门的组织，以保护其权利。</w:t>
      </w:r>
    </w:p>
    <w:p w:rsidR="00000000" w:rsidRDefault="000C45AD">
      <w:pPr>
        <w:tabs>
          <w:tab w:val="clear" w:pos="510"/>
          <w:tab w:val="clear" w:pos="1021"/>
          <w:tab w:val="clear" w:pos="1531"/>
          <w:tab w:val="clear" w:pos="2041"/>
        </w:tabs>
      </w:pPr>
      <w:r>
        <w:tab/>
        <w:t xml:space="preserve">70.  </w:t>
      </w:r>
      <w:r>
        <w:rPr>
          <w:rFonts w:hint="eastAsia"/>
        </w:rPr>
        <w:t>根据所从事的工作对职业作较为客观的评估的手段之一，是国家职业培训所和负责培训洪都拉斯公营部门和私营部门雇员的其他机构提供的深入技术培训。</w:t>
      </w:r>
    </w:p>
    <w:p w:rsidR="00000000" w:rsidRDefault="000C45AD">
      <w:pPr>
        <w:tabs>
          <w:tab w:val="clear" w:pos="510"/>
          <w:tab w:val="clear" w:pos="1021"/>
          <w:tab w:val="clear" w:pos="1531"/>
          <w:tab w:val="clear" w:pos="2041"/>
        </w:tabs>
      </w:pPr>
      <w:r>
        <w:tab/>
        <w:t>71.  1995</w:t>
      </w:r>
      <w:r>
        <w:rPr>
          <w:rFonts w:hint="eastAsia"/>
        </w:rPr>
        <w:t>年家庭调查显示，公营部门工人的收入低于私营部门工人。</w:t>
      </w:r>
    </w:p>
    <w:p w:rsidR="00000000" w:rsidRDefault="000C45AD">
      <w:pPr>
        <w:tabs>
          <w:tab w:val="clear" w:pos="510"/>
          <w:tab w:val="clear" w:pos="1021"/>
          <w:tab w:val="clear" w:pos="1531"/>
          <w:tab w:val="clear" w:pos="2041"/>
        </w:tabs>
      </w:pPr>
      <w:r>
        <w:tab/>
        <w:t>72.  1982</w:t>
      </w:r>
      <w:r>
        <w:rPr>
          <w:rFonts w:hint="eastAsia"/>
        </w:rPr>
        <w:t>年</w:t>
      </w:r>
      <w:r>
        <w:t>1</w:t>
      </w:r>
      <w:r>
        <w:rPr>
          <w:rFonts w:hint="eastAsia"/>
        </w:rPr>
        <w:t>月</w:t>
      </w:r>
      <w:r>
        <w:t>11</w:t>
      </w:r>
      <w:r>
        <w:rPr>
          <w:rFonts w:hint="eastAsia"/>
        </w:rPr>
        <w:t>日第</w:t>
      </w:r>
      <w:r>
        <w:t>131</w:t>
      </w:r>
      <w:r>
        <w:rPr>
          <w:rFonts w:hint="eastAsia"/>
        </w:rPr>
        <w:t>号法令指出，依照《宪法》第</w:t>
      </w:r>
      <w:r>
        <w:rPr>
          <w:rFonts w:hint="eastAsia"/>
        </w:rPr>
        <w:t>五章第</w:t>
      </w:r>
      <w:r>
        <w:t>128</w:t>
      </w:r>
      <w:r>
        <w:rPr>
          <w:rFonts w:hint="eastAsia"/>
        </w:rPr>
        <w:t>条第</w:t>
      </w:r>
      <w:r>
        <w:t>6</w:t>
      </w:r>
      <w:r>
        <w:rPr>
          <w:rFonts w:hint="eastAsia"/>
        </w:rPr>
        <w:t>款，雇主有义务执行旨在防止职业性危害的卫生和健康条例，并确保这些条例得到遵守。</w:t>
      </w:r>
    </w:p>
    <w:p w:rsidR="00000000" w:rsidRDefault="000C45AD">
      <w:pPr>
        <w:tabs>
          <w:tab w:val="clear" w:pos="510"/>
          <w:tab w:val="clear" w:pos="1021"/>
          <w:tab w:val="clear" w:pos="1531"/>
          <w:tab w:val="clear" w:pos="2041"/>
        </w:tabs>
      </w:pPr>
      <w:r>
        <w:tab/>
        <w:t>73.  1959</w:t>
      </w:r>
      <w:r>
        <w:rPr>
          <w:rFonts w:hint="eastAsia"/>
        </w:rPr>
        <w:t>年</w:t>
      </w:r>
      <w:r>
        <w:t>5</w:t>
      </w:r>
      <w:r>
        <w:rPr>
          <w:rFonts w:hint="eastAsia"/>
        </w:rPr>
        <w:t>月</w:t>
      </w:r>
      <w:r>
        <w:t>19</w:t>
      </w:r>
      <w:r>
        <w:rPr>
          <w:rFonts w:hint="eastAsia"/>
        </w:rPr>
        <w:t>日第</w:t>
      </w:r>
      <w:r>
        <w:t>189</w:t>
      </w:r>
      <w:r>
        <w:rPr>
          <w:rFonts w:hint="eastAsia"/>
        </w:rPr>
        <w:t>号法令在《劳动法》这一标目下，对保护工作场所的工人，保障其卫生和安全及防止职业性危害等作了规定。</w:t>
      </w:r>
    </w:p>
    <w:p w:rsidR="00000000" w:rsidRDefault="000C45AD">
      <w:pPr>
        <w:tabs>
          <w:tab w:val="clear" w:pos="510"/>
          <w:tab w:val="clear" w:pos="1021"/>
          <w:tab w:val="clear" w:pos="1531"/>
          <w:tab w:val="clear" w:pos="2041"/>
        </w:tabs>
      </w:pPr>
      <w:r>
        <w:tab/>
        <w:t>74.  1952</w:t>
      </w:r>
      <w:r>
        <w:rPr>
          <w:rFonts w:hint="eastAsia"/>
        </w:rPr>
        <w:t>年</w:t>
      </w:r>
      <w:r>
        <w:t>9</w:t>
      </w:r>
      <w:r>
        <w:rPr>
          <w:rFonts w:hint="eastAsia"/>
        </w:rPr>
        <w:t>月</w:t>
      </w:r>
      <w:r>
        <w:t>4</w:t>
      </w:r>
      <w:r>
        <w:rPr>
          <w:rFonts w:hint="eastAsia"/>
        </w:rPr>
        <w:t>日第</w:t>
      </w:r>
      <w:r>
        <w:t>1348</w:t>
      </w:r>
      <w:r>
        <w:rPr>
          <w:rFonts w:hint="eastAsia"/>
        </w:rPr>
        <w:t>号协议</w:t>
      </w:r>
      <w:r>
        <w:t>(</w:t>
      </w:r>
      <w:r>
        <w:rPr>
          <w:rFonts w:hint="eastAsia"/>
        </w:rPr>
        <w:t>《关于防止职业性意外事故的措施的协议和条例》</w:t>
      </w:r>
      <w:r>
        <w:t>)</w:t>
      </w:r>
      <w:r>
        <w:rPr>
          <w:rFonts w:hint="eastAsia"/>
        </w:rPr>
        <w:t>规定，雇主有义务遵守关于防止意外事故的立法，并有义务采取预防措施减少任何工作所固有的危险。</w:t>
      </w:r>
    </w:p>
    <w:p w:rsidR="00000000" w:rsidRDefault="000C45AD">
      <w:pPr>
        <w:tabs>
          <w:tab w:val="clear" w:pos="510"/>
          <w:tab w:val="clear" w:pos="1021"/>
          <w:tab w:val="clear" w:pos="1531"/>
          <w:tab w:val="clear" w:pos="2041"/>
        </w:tabs>
      </w:pPr>
      <w:r>
        <w:tab/>
        <w:t>75.  1982</w:t>
      </w:r>
      <w:r>
        <w:rPr>
          <w:rFonts w:hint="eastAsia"/>
        </w:rPr>
        <w:t>年</w:t>
      </w:r>
      <w:r>
        <w:t>12</w:t>
      </w:r>
      <w:r>
        <w:rPr>
          <w:rFonts w:hint="eastAsia"/>
        </w:rPr>
        <w:t>月</w:t>
      </w:r>
      <w:r>
        <w:t>31</w:t>
      </w:r>
      <w:r>
        <w:rPr>
          <w:rFonts w:hint="eastAsia"/>
        </w:rPr>
        <w:t>日第</w:t>
      </w:r>
      <w:r>
        <w:t>39</w:t>
      </w:r>
      <w:r>
        <w:rPr>
          <w:rFonts w:hint="eastAsia"/>
        </w:rPr>
        <w:t>号法令规定了卫生和安全监察员在监督和实施关于工作场</w:t>
      </w:r>
      <w:r>
        <w:rPr>
          <w:rFonts w:hint="eastAsia"/>
        </w:rPr>
        <w:t>所安全与卫生的法律、条例、协议、仲裁裁决及其他规则方面的权力与职责。</w:t>
      </w:r>
    </w:p>
    <w:p w:rsidR="00000000" w:rsidRDefault="000C45AD">
      <w:pPr>
        <w:tabs>
          <w:tab w:val="clear" w:pos="510"/>
          <w:tab w:val="clear" w:pos="1021"/>
          <w:tab w:val="clear" w:pos="1531"/>
          <w:tab w:val="clear" w:pos="2041"/>
        </w:tabs>
      </w:pPr>
      <w:r>
        <w:tab/>
        <w:t>76.  1983</w:t>
      </w:r>
      <w:r>
        <w:rPr>
          <w:rFonts w:hint="eastAsia"/>
        </w:rPr>
        <w:t>年</w:t>
      </w:r>
      <w:r>
        <w:t>11</w:t>
      </w:r>
      <w:r>
        <w:rPr>
          <w:rFonts w:hint="eastAsia"/>
        </w:rPr>
        <w:t>月</w:t>
      </w:r>
      <w:r>
        <w:t>29</w:t>
      </w:r>
      <w:r>
        <w:rPr>
          <w:rFonts w:hint="eastAsia"/>
        </w:rPr>
        <w:t>日第</w:t>
      </w:r>
      <w:r>
        <w:t>367</w:t>
      </w:r>
      <w:r>
        <w:rPr>
          <w:rFonts w:hint="eastAsia"/>
        </w:rPr>
        <w:t>号协议核准</w:t>
      </w:r>
      <w:r>
        <w:t>1982</w:t>
      </w:r>
      <w:r>
        <w:rPr>
          <w:rFonts w:hint="eastAsia"/>
        </w:rPr>
        <w:t>年</w:t>
      </w:r>
      <w:r>
        <w:t>5</w:t>
      </w:r>
      <w:r>
        <w:rPr>
          <w:rFonts w:hint="eastAsia"/>
        </w:rPr>
        <w:t>月</w:t>
      </w:r>
      <w:r>
        <w:t>10</w:t>
      </w:r>
      <w:r>
        <w:rPr>
          <w:rFonts w:hint="eastAsia"/>
        </w:rPr>
        <w:t>日第</w:t>
      </w:r>
      <w:r>
        <w:t>39</w:t>
      </w:r>
      <w:r>
        <w:rPr>
          <w:rFonts w:hint="eastAsia"/>
        </w:rPr>
        <w:t>号法令的授权条例，这些条例明确规定了职业安全与卫生监察员的权力和职能。</w:t>
      </w:r>
    </w:p>
    <w:p w:rsidR="00000000" w:rsidRDefault="000C45AD">
      <w:pPr>
        <w:tabs>
          <w:tab w:val="clear" w:pos="510"/>
          <w:tab w:val="clear" w:pos="1021"/>
          <w:tab w:val="clear" w:pos="1531"/>
          <w:tab w:val="clear" w:pos="2041"/>
        </w:tabs>
      </w:pPr>
      <w:r>
        <w:tab/>
        <w:t xml:space="preserve">77.  </w:t>
      </w:r>
      <w:r>
        <w:rPr>
          <w:rFonts w:hint="eastAsia"/>
        </w:rPr>
        <w:t>《劳工法》第</w:t>
      </w:r>
      <w:r>
        <w:t>397</w:t>
      </w:r>
      <w:r>
        <w:rPr>
          <w:rFonts w:hint="eastAsia"/>
        </w:rPr>
        <w:t>条规定，雇用</w:t>
      </w:r>
      <w:r>
        <w:t>10</w:t>
      </w:r>
      <w:r>
        <w:rPr>
          <w:rFonts w:hint="eastAsia"/>
        </w:rPr>
        <w:t>名或</w:t>
      </w:r>
      <w:r>
        <w:t>10</w:t>
      </w:r>
      <w:r>
        <w:rPr>
          <w:rFonts w:hint="eastAsia"/>
        </w:rPr>
        <w:t>名以上长期工人的雇主，必须制定专门的卫生和安全条例，并将条例提交社会保障部审批，此类条例必须包括关于工作场所安全和卫生以及危害预防的所有法律条款。</w:t>
      </w:r>
    </w:p>
    <w:p w:rsidR="00000000" w:rsidRDefault="000C45AD">
      <w:pPr>
        <w:tabs>
          <w:tab w:val="clear" w:pos="510"/>
          <w:tab w:val="clear" w:pos="1021"/>
          <w:tab w:val="clear" w:pos="1531"/>
          <w:tab w:val="clear" w:pos="2041"/>
        </w:tabs>
      </w:pPr>
      <w:r>
        <w:tab/>
        <w:t xml:space="preserve">78.  </w:t>
      </w:r>
      <w:r>
        <w:rPr>
          <w:rFonts w:hint="eastAsia"/>
        </w:rPr>
        <w:t>监察员通过与其他政府机构协调，直接负责监督和实施关于工作场所安全与卫生的法律、</w:t>
      </w:r>
      <w:r>
        <w:rPr>
          <w:rFonts w:hint="eastAsia"/>
        </w:rPr>
        <w:t>条例、协议、仲裁裁决以及任何其他规则。</w:t>
      </w:r>
    </w:p>
    <w:p w:rsidR="00000000" w:rsidRDefault="000C45AD">
      <w:pPr>
        <w:tabs>
          <w:tab w:val="clear" w:pos="510"/>
          <w:tab w:val="clear" w:pos="1021"/>
          <w:tab w:val="clear" w:pos="1531"/>
          <w:tab w:val="clear" w:pos="2041"/>
        </w:tabs>
      </w:pPr>
      <w:r>
        <w:tab/>
        <w:t xml:space="preserve">79.  </w:t>
      </w:r>
      <w:r>
        <w:rPr>
          <w:rFonts w:hint="eastAsia"/>
        </w:rPr>
        <w:t>如发现工人的健康或安全遭受严重或直接威胁，安全和卫生监察员建议社会保障部全部或部门停止生产工序，直至此种威胁被消除。监察员将在检查企业时发现的任何危险、不安全或有害健康的情形或做法记录在专门的检查报告中。</w:t>
      </w:r>
    </w:p>
    <w:p w:rsidR="00000000" w:rsidRDefault="000C45AD">
      <w:pPr>
        <w:tabs>
          <w:tab w:val="clear" w:pos="510"/>
          <w:tab w:val="clear" w:pos="1021"/>
          <w:tab w:val="clear" w:pos="1531"/>
          <w:tab w:val="clear" w:pos="2041"/>
        </w:tabs>
      </w:pPr>
      <w:r>
        <w:tab/>
        <w:t xml:space="preserve">80.  </w:t>
      </w:r>
      <w:r>
        <w:rPr>
          <w:rFonts w:hint="eastAsia"/>
        </w:rPr>
        <w:t>上述程序普遍适用，家庭雇工和雇用不到</w:t>
      </w:r>
      <w:r>
        <w:t>10</w:t>
      </w:r>
      <w:r>
        <w:rPr>
          <w:rFonts w:hint="eastAsia"/>
        </w:rPr>
        <w:t>名工人的企业除外。</w:t>
      </w:r>
    </w:p>
    <w:p w:rsidR="00000000" w:rsidRDefault="000C45AD">
      <w:pPr>
        <w:tabs>
          <w:tab w:val="clear" w:pos="510"/>
          <w:tab w:val="clear" w:pos="1021"/>
          <w:tab w:val="clear" w:pos="1531"/>
          <w:tab w:val="clear" w:pos="2041"/>
        </w:tabs>
        <w:spacing w:after="320"/>
        <w:textAlignment w:val="center"/>
      </w:pPr>
      <w:r>
        <w:tab/>
        <w:t xml:space="preserve">81.  </w:t>
      </w:r>
      <w:r>
        <w:rPr>
          <w:rFonts w:hint="eastAsia"/>
        </w:rPr>
        <w:t>洪都拉斯</w:t>
      </w:r>
      <w:r>
        <w:t>1988-1996</w:t>
      </w:r>
      <w:r>
        <w:rPr>
          <w:rFonts w:hint="eastAsia"/>
        </w:rPr>
        <w:t>年发生的职业性意外事故数目见下表。</w:t>
      </w:r>
    </w:p>
    <w:tbl>
      <w:tblPr>
        <w:tblW w:w="0" w:type="auto"/>
        <w:tblInd w:w="-26" w:type="dxa"/>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c>
          <w:tcPr>
            <w:tcW w:w="9410" w:type="dxa"/>
            <w:gridSpan w:val="2"/>
          </w:tcPr>
          <w:p w:rsidR="00000000" w:rsidRDefault="000C45AD">
            <w:pPr>
              <w:tabs>
                <w:tab w:val="clear" w:pos="510"/>
                <w:tab w:val="clear" w:pos="1021"/>
                <w:tab w:val="clear" w:pos="1531"/>
                <w:tab w:val="clear" w:pos="2041"/>
              </w:tabs>
              <w:spacing w:after="160"/>
              <w:jc w:val="center"/>
              <w:textAlignment w:val="center"/>
            </w:pPr>
            <w:r>
              <w:rPr>
                <w:u w:val="single"/>
              </w:rPr>
              <w:t>1988-1996</w:t>
            </w:r>
            <w:r>
              <w:rPr>
                <w:rFonts w:hint="eastAsia"/>
                <w:u w:val="single"/>
              </w:rPr>
              <w:t>年职业性意外事故</w:t>
            </w:r>
          </w:p>
        </w:tc>
      </w:tr>
      <w:tr w:rsidR="00000000">
        <w:tblPrEx>
          <w:tblCellMar>
            <w:top w:w="0" w:type="dxa"/>
            <w:bottom w:w="0" w:type="dxa"/>
          </w:tblCellMar>
        </w:tblPrEx>
        <w:tc>
          <w:tcPr>
            <w:tcW w:w="4705" w:type="dxa"/>
          </w:tcPr>
          <w:p w:rsidR="00000000" w:rsidRDefault="000C45AD">
            <w:pPr>
              <w:tabs>
                <w:tab w:val="clear" w:pos="510"/>
                <w:tab w:val="clear" w:pos="1021"/>
                <w:tab w:val="clear" w:pos="1531"/>
                <w:tab w:val="clear" w:pos="2041"/>
              </w:tabs>
              <w:jc w:val="center"/>
              <w:rPr>
                <w:sz w:val="21"/>
                <w:u w:val="single"/>
              </w:rPr>
            </w:pPr>
            <w:r>
              <w:rPr>
                <w:rFonts w:hint="eastAsia"/>
                <w:sz w:val="21"/>
                <w:u w:val="single"/>
              </w:rPr>
              <w:t>年</w:t>
            </w:r>
            <w:r>
              <w:rPr>
                <w:sz w:val="21"/>
                <w:u w:val="single"/>
              </w:rPr>
              <w:t xml:space="preserve">  </w:t>
            </w:r>
            <w:r>
              <w:rPr>
                <w:rFonts w:hint="eastAsia"/>
                <w:sz w:val="21"/>
                <w:u w:val="single"/>
              </w:rPr>
              <w:t>份</w:t>
            </w:r>
          </w:p>
        </w:tc>
        <w:tc>
          <w:tcPr>
            <w:tcW w:w="4705" w:type="dxa"/>
          </w:tcPr>
          <w:p w:rsidR="00000000" w:rsidRDefault="000C45AD">
            <w:pPr>
              <w:tabs>
                <w:tab w:val="clear" w:pos="510"/>
                <w:tab w:val="clear" w:pos="1021"/>
                <w:tab w:val="clear" w:pos="1531"/>
                <w:tab w:val="clear" w:pos="2041"/>
              </w:tabs>
              <w:jc w:val="center"/>
              <w:rPr>
                <w:sz w:val="21"/>
                <w:u w:val="single"/>
              </w:rPr>
            </w:pPr>
            <w:r>
              <w:rPr>
                <w:rFonts w:hint="eastAsia"/>
                <w:sz w:val="21"/>
                <w:u w:val="single"/>
              </w:rPr>
              <w:t>事故数目</w:t>
            </w:r>
          </w:p>
        </w:tc>
      </w:tr>
      <w:tr w:rsidR="00000000">
        <w:tblPrEx>
          <w:tblCellMar>
            <w:top w:w="0" w:type="dxa"/>
            <w:bottom w:w="0" w:type="dxa"/>
          </w:tblCellMar>
        </w:tblPrEx>
        <w:tc>
          <w:tcPr>
            <w:tcW w:w="4705" w:type="dxa"/>
          </w:tcPr>
          <w:p w:rsidR="00000000" w:rsidRDefault="000C45AD">
            <w:pPr>
              <w:tabs>
                <w:tab w:val="clear" w:pos="510"/>
                <w:tab w:val="clear" w:pos="1021"/>
                <w:tab w:val="clear" w:pos="1531"/>
                <w:tab w:val="clear" w:pos="2041"/>
              </w:tabs>
              <w:spacing w:line="288" w:lineRule="auto"/>
              <w:jc w:val="center"/>
              <w:rPr>
                <w:sz w:val="21"/>
              </w:rPr>
            </w:pPr>
            <w:r>
              <w:rPr>
                <w:sz w:val="21"/>
              </w:rPr>
              <w:t>1988</w:t>
            </w:r>
          </w:p>
        </w:tc>
        <w:tc>
          <w:tcPr>
            <w:tcW w:w="4705" w:type="dxa"/>
          </w:tcPr>
          <w:p w:rsidR="00000000" w:rsidRDefault="000C45AD">
            <w:pPr>
              <w:tabs>
                <w:tab w:val="clear" w:pos="510"/>
                <w:tab w:val="clear" w:pos="1021"/>
                <w:tab w:val="clear" w:pos="1531"/>
                <w:tab w:val="clear" w:pos="2041"/>
              </w:tabs>
              <w:spacing w:line="288" w:lineRule="auto"/>
              <w:ind w:right="1985"/>
              <w:jc w:val="right"/>
              <w:rPr>
                <w:sz w:val="21"/>
              </w:rPr>
            </w:pPr>
            <w:r>
              <w:rPr>
                <w:sz w:val="21"/>
              </w:rPr>
              <w:t>5,109</w:t>
            </w:r>
          </w:p>
        </w:tc>
      </w:tr>
      <w:tr w:rsidR="00000000">
        <w:tblPrEx>
          <w:tblCellMar>
            <w:top w:w="0" w:type="dxa"/>
            <w:bottom w:w="0" w:type="dxa"/>
          </w:tblCellMar>
        </w:tblPrEx>
        <w:tc>
          <w:tcPr>
            <w:tcW w:w="4705" w:type="dxa"/>
          </w:tcPr>
          <w:p w:rsidR="00000000" w:rsidRDefault="000C45AD">
            <w:pPr>
              <w:tabs>
                <w:tab w:val="clear" w:pos="510"/>
                <w:tab w:val="clear" w:pos="1021"/>
                <w:tab w:val="clear" w:pos="1531"/>
                <w:tab w:val="clear" w:pos="2041"/>
              </w:tabs>
              <w:spacing w:line="288" w:lineRule="auto"/>
              <w:jc w:val="center"/>
              <w:rPr>
                <w:sz w:val="21"/>
              </w:rPr>
            </w:pPr>
            <w:r>
              <w:rPr>
                <w:sz w:val="21"/>
              </w:rPr>
              <w:t>1989</w:t>
            </w:r>
          </w:p>
        </w:tc>
        <w:tc>
          <w:tcPr>
            <w:tcW w:w="4705" w:type="dxa"/>
          </w:tcPr>
          <w:p w:rsidR="00000000" w:rsidRDefault="000C45AD">
            <w:pPr>
              <w:tabs>
                <w:tab w:val="clear" w:pos="510"/>
                <w:tab w:val="clear" w:pos="1021"/>
                <w:tab w:val="clear" w:pos="1531"/>
                <w:tab w:val="clear" w:pos="2041"/>
              </w:tabs>
              <w:spacing w:line="288" w:lineRule="auto"/>
              <w:ind w:right="1985"/>
              <w:jc w:val="right"/>
              <w:rPr>
                <w:sz w:val="21"/>
              </w:rPr>
            </w:pPr>
            <w:r>
              <w:rPr>
                <w:sz w:val="21"/>
              </w:rPr>
              <w:t>6,691</w:t>
            </w:r>
          </w:p>
        </w:tc>
      </w:tr>
      <w:tr w:rsidR="00000000">
        <w:tblPrEx>
          <w:tblCellMar>
            <w:top w:w="0" w:type="dxa"/>
            <w:bottom w:w="0" w:type="dxa"/>
          </w:tblCellMar>
        </w:tblPrEx>
        <w:tc>
          <w:tcPr>
            <w:tcW w:w="4705" w:type="dxa"/>
          </w:tcPr>
          <w:p w:rsidR="00000000" w:rsidRDefault="000C45AD">
            <w:pPr>
              <w:tabs>
                <w:tab w:val="clear" w:pos="510"/>
                <w:tab w:val="clear" w:pos="1021"/>
                <w:tab w:val="clear" w:pos="1531"/>
                <w:tab w:val="clear" w:pos="2041"/>
              </w:tabs>
              <w:spacing w:line="288" w:lineRule="auto"/>
              <w:jc w:val="center"/>
              <w:rPr>
                <w:sz w:val="21"/>
              </w:rPr>
            </w:pPr>
            <w:r>
              <w:rPr>
                <w:sz w:val="21"/>
              </w:rPr>
              <w:t>1990</w:t>
            </w:r>
          </w:p>
        </w:tc>
        <w:tc>
          <w:tcPr>
            <w:tcW w:w="4705" w:type="dxa"/>
          </w:tcPr>
          <w:p w:rsidR="00000000" w:rsidRDefault="000C45AD">
            <w:pPr>
              <w:tabs>
                <w:tab w:val="clear" w:pos="510"/>
                <w:tab w:val="clear" w:pos="1021"/>
                <w:tab w:val="clear" w:pos="1531"/>
                <w:tab w:val="clear" w:pos="2041"/>
              </w:tabs>
              <w:spacing w:line="288" w:lineRule="auto"/>
              <w:ind w:right="1985"/>
              <w:jc w:val="right"/>
              <w:rPr>
                <w:sz w:val="21"/>
              </w:rPr>
            </w:pPr>
            <w:r>
              <w:rPr>
                <w:sz w:val="21"/>
              </w:rPr>
              <w:t>6,787</w:t>
            </w:r>
          </w:p>
        </w:tc>
      </w:tr>
      <w:tr w:rsidR="00000000">
        <w:tblPrEx>
          <w:tblCellMar>
            <w:top w:w="0" w:type="dxa"/>
            <w:bottom w:w="0" w:type="dxa"/>
          </w:tblCellMar>
        </w:tblPrEx>
        <w:tc>
          <w:tcPr>
            <w:tcW w:w="4705" w:type="dxa"/>
          </w:tcPr>
          <w:p w:rsidR="00000000" w:rsidRDefault="000C45AD">
            <w:pPr>
              <w:tabs>
                <w:tab w:val="clear" w:pos="510"/>
                <w:tab w:val="clear" w:pos="1021"/>
                <w:tab w:val="clear" w:pos="1531"/>
                <w:tab w:val="clear" w:pos="2041"/>
              </w:tabs>
              <w:spacing w:line="288" w:lineRule="auto"/>
              <w:jc w:val="center"/>
              <w:rPr>
                <w:sz w:val="21"/>
              </w:rPr>
            </w:pPr>
            <w:r>
              <w:rPr>
                <w:sz w:val="21"/>
              </w:rPr>
              <w:t>1991</w:t>
            </w:r>
          </w:p>
        </w:tc>
        <w:tc>
          <w:tcPr>
            <w:tcW w:w="4705" w:type="dxa"/>
          </w:tcPr>
          <w:p w:rsidR="00000000" w:rsidRDefault="000C45AD">
            <w:pPr>
              <w:tabs>
                <w:tab w:val="clear" w:pos="510"/>
                <w:tab w:val="clear" w:pos="1021"/>
                <w:tab w:val="clear" w:pos="1531"/>
                <w:tab w:val="clear" w:pos="2041"/>
              </w:tabs>
              <w:spacing w:line="288" w:lineRule="auto"/>
              <w:ind w:right="1985"/>
              <w:jc w:val="right"/>
              <w:rPr>
                <w:sz w:val="21"/>
              </w:rPr>
            </w:pPr>
            <w:r>
              <w:rPr>
                <w:sz w:val="21"/>
              </w:rPr>
              <w:t>6,749</w:t>
            </w:r>
          </w:p>
        </w:tc>
      </w:tr>
      <w:tr w:rsidR="00000000">
        <w:tblPrEx>
          <w:tblCellMar>
            <w:top w:w="0" w:type="dxa"/>
            <w:bottom w:w="0" w:type="dxa"/>
          </w:tblCellMar>
        </w:tblPrEx>
        <w:tc>
          <w:tcPr>
            <w:tcW w:w="4705" w:type="dxa"/>
          </w:tcPr>
          <w:p w:rsidR="00000000" w:rsidRDefault="000C45AD">
            <w:pPr>
              <w:tabs>
                <w:tab w:val="clear" w:pos="510"/>
                <w:tab w:val="clear" w:pos="1021"/>
                <w:tab w:val="clear" w:pos="1531"/>
                <w:tab w:val="clear" w:pos="2041"/>
              </w:tabs>
              <w:spacing w:line="288" w:lineRule="auto"/>
              <w:jc w:val="center"/>
              <w:rPr>
                <w:sz w:val="21"/>
              </w:rPr>
            </w:pPr>
            <w:r>
              <w:rPr>
                <w:sz w:val="21"/>
              </w:rPr>
              <w:t>1992</w:t>
            </w:r>
          </w:p>
        </w:tc>
        <w:tc>
          <w:tcPr>
            <w:tcW w:w="4705" w:type="dxa"/>
          </w:tcPr>
          <w:p w:rsidR="00000000" w:rsidRDefault="000C45AD">
            <w:pPr>
              <w:tabs>
                <w:tab w:val="clear" w:pos="510"/>
                <w:tab w:val="clear" w:pos="1021"/>
                <w:tab w:val="clear" w:pos="1531"/>
                <w:tab w:val="clear" w:pos="2041"/>
              </w:tabs>
              <w:spacing w:line="288" w:lineRule="auto"/>
              <w:ind w:right="1985"/>
              <w:jc w:val="right"/>
              <w:rPr>
                <w:sz w:val="21"/>
              </w:rPr>
            </w:pPr>
            <w:r>
              <w:rPr>
                <w:sz w:val="21"/>
              </w:rPr>
              <w:t>4,655</w:t>
            </w:r>
          </w:p>
        </w:tc>
      </w:tr>
      <w:tr w:rsidR="00000000">
        <w:tblPrEx>
          <w:tblCellMar>
            <w:top w:w="0" w:type="dxa"/>
            <w:bottom w:w="0" w:type="dxa"/>
          </w:tblCellMar>
        </w:tblPrEx>
        <w:tc>
          <w:tcPr>
            <w:tcW w:w="4705" w:type="dxa"/>
          </w:tcPr>
          <w:p w:rsidR="00000000" w:rsidRDefault="000C45AD">
            <w:pPr>
              <w:tabs>
                <w:tab w:val="clear" w:pos="510"/>
                <w:tab w:val="clear" w:pos="1021"/>
                <w:tab w:val="clear" w:pos="1531"/>
                <w:tab w:val="clear" w:pos="2041"/>
              </w:tabs>
              <w:spacing w:line="288" w:lineRule="auto"/>
              <w:jc w:val="center"/>
              <w:rPr>
                <w:sz w:val="21"/>
              </w:rPr>
            </w:pPr>
            <w:r>
              <w:rPr>
                <w:sz w:val="21"/>
              </w:rPr>
              <w:t>1993</w:t>
            </w:r>
          </w:p>
        </w:tc>
        <w:tc>
          <w:tcPr>
            <w:tcW w:w="4705" w:type="dxa"/>
          </w:tcPr>
          <w:p w:rsidR="00000000" w:rsidRDefault="000C45AD">
            <w:pPr>
              <w:tabs>
                <w:tab w:val="clear" w:pos="510"/>
                <w:tab w:val="clear" w:pos="1021"/>
                <w:tab w:val="clear" w:pos="1531"/>
                <w:tab w:val="clear" w:pos="2041"/>
              </w:tabs>
              <w:spacing w:line="288" w:lineRule="auto"/>
              <w:ind w:right="1985"/>
              <w:jc w:val="right"/>
              <w:rPr>
                <w:sz w:val="21"/>
              </w:rPr>
            </w:pPr>
            <w:r>
              <w:rPr>
                <w:sz w:val="21"/>
              </w:rPr>
              <w:t>2,334</w:t>
            </w:r>
          </w:p>
        </w:tc>
      </w:tr>
      <w:tr w:rsidR="00000000">
        <w:tblPrEx>
          <w:tblCellMar>
            <w:top w:w="0" w:type="dxa"/>
            <w:bottom w:w="0" w:type="dxa"/>
          </w:tblCellMar>
        </w:tblPrEx>
        <w:tc>
          <w:tcPr>
            <w:tcW w:w="4705" w:type="dxa"/>
          </w:tcPr>
          <w:p w:rsidR="00000000" w:rsidRDefault="000C45AD">
            <w:pPr>
              <w:tabs>
                <w:tab w:val="clear" w:pos="510"/>
                <w:tab w:val="clear" w:pos="1021"/>
                <w:tab w:val="clear" w:pos="1531"/>
                <w:tab w:val="clear" w:pos="2041"/>
              </w:tabs>
              <w:spacing w:line="288" w:lineRule="auto"/>
              <w:jc w:val="center"/>
              <w:rPr>
                <w:sz w:val="21"/>
              </w:rPr>
            </w:pPr>
            <w:r>
              <w:rPr>
                <w:sz w:val="21"/>
              </w:rPr>
              <w:t>1994</w:t>
            </w:r>
          </w:p>
        </w:tc>
        <w:tc>
          <w:tcPr>
            <w:tcW w:w="4705" w:type="dxa"/>
          </w:tcPr>
          <w:p w:rsidR="00000000" w:rsidRDefault="000C45AD">
            <w:pPr>
              <w:tabs>
                <w:tab w:val="clear" w:pos="510"/>
                <w:tab w:val="clear" w:pos="1021"/>
                <w:tab w:val="clear" w:pos="1531"/>
                <w:tab w:val="clear" w:pos="2041"/>
              </w:tabs>
              <w:spacing w:line="288" w:lineRule="auto"/>
              <w:ind w:right="1985"/>
              <w:jc w:val="right"/>
              <w:rPr>
                <w:sz w:val="21"/>
              </w:rPr>
            </w:pPr>
            <w:r>
              <w:rPr>
                <w:sz w:val="21"/>
              </w:rPr>
              <w:t>794</w:t>
            </w:r>
          </w:p>
        </w:tc>
      </w:tr>
      <w:tr w:rsidR="00000000">
        <w:tblPrEx>
          <w:tblCellMar>
            <w:top w:w="0" w:type="dxa"/>
            <w:bottom w:w="0" w:type="dxa"/>
          </w:tblCellMar>
        </w:tblPrEx>
        <w:tc>
          <w:tcPr>
            <w:tcW w:w="4705" w:type="dxa"/>
          </w:tcPr>
          <w:p w:rsidR="00000000" w:rsidRDefault="000C45AD">
            <w:pPr>
              <w:tabs>
                <w:tab w:val="clear" w:pos="510"/>
                <w:tab w:val="clear" w:pos="1021"/>
                <w:tab w:val="clear" w:pos="1531"/>
                <w:tab w:val="clear" w:pos="2041"/>
              </w:tabs>
              <w:spacing w:line="288" w:lineRule="auto"/>
              <w:jc w:val="center"/>
              <w:rPr>
                <w:sz w:val="21"/>
              </w:rPr>
            </w:pPr>
            <w:r>
              <w:rPr>
                <w:sz w:val="21"/>
              </w:rPr>
              <w:t>1995</w:t>
            </w:r>
          </w:p>
        </w:tc>
        <w:tc>
          <w:tcPr>
            <w:tcW w:w="4705" w:type="dxa"/>
          </w:tcPr>
          <w:p w:rsidR="00000000" w:rsidRDefault="000C45AD">
            <w:pPr>
              <w:tabs>
                <w:tab w:val="clear" w:pos="510"/>
                <w:tab w:val="clear" w:pos="1021"/>
                <w:tab w:val="clear" w:pos="1531"/>
                <w:tab w:val="clear" w:pos="2041"/>
              </w:tabs>
              <w:spacing w:line="288" w:lineRule="auto"/>
              <w:ind w:right="1985"/>
              <w:jc w:val="right"/>
              <w:rPr>
                <w:sz w:val="21"/>
              </w:rPr>
            </w:pPr>
            <w:r>
              <w:rPr>
                <w:sz w:val="21"/>
              </w:rPr>
              <w:t>1,874</w:t>
            </w:r>
          </w:p>
        </w:tc>
      </w:tr>
      <w:tr w:rsidR="00000000">
        <w:tblPrEx>
          <w:tblCellMar>
            <w:top w:w="0" w:type="dxa"/>
            <w:bottom w:w="0" w:type="dxa"/>
          </w:tblCellMar>
        </w:tblPrEx>
        <w:tc>
          <w:tcPr>
            <w:tcW w:w="4705" w:type="dxa"/>
          </w:tcPr>
          <w:p w:rsidR="00000000" w:rsidRDefault="000C45AD">
            <w:pPr>
              <w:tabs>
                <w:tab w:val="clear" w:pos="510"/>
                <w:tab w:val="clear" w:pos="1021"/>
                <w:tab w:val="clear" w:pos="1531"/>
                <w:tab w:val="clear" w:pos="2041"/>
              </w:tabs>
              <w:spacing w:after="160" w:line="288" w:lineRule="auto"/>
              <w:jc w:val="center"/>
              <w:textAlignment w:val="center"/>
              <w:rPr>
                <w:sz w:val="21"/>
              </w:rPr>
            </w:pPr>
            <w:r>
              <w:rPr>
                <w:sz w:val="21"/>
              </w:rPr>
              <w:t>1996</w:t>
            </w:r>
          </w:p>
        </w:tc>
        <w:tc>
          <w:tcPr>
            <w:tcW w:w="4705" w:type="dxa"/>
          </w:tcPr>
          <w:p w:rsidR="00000000" w:rsidRDefault="000C45AD">
            <w:pPr>
              <w:tabs>
                <w:tab w:val="clear" w:pos="510"/>
                <w:tab w:val="clear" w:pos="1021"/>
                <w:tab w:val="clear" w:pos="1531"/>
                <w:tab w:val="clear" w:pos="2041"/>
              </w:tabs>
              <w:spacing w:after="160" w:line="288" w:lineRule="auto"/>
              <w:ind w:right="1985"/>
              <w:jc w:val="right"/>
              <w:textAlignment w:val="center"/>
              <w:rPr>
                <w:sz w:val="21"/>
              </w:rPr>
            </w:pPr>
            <w:r>
              <w:rPr>
                <w:sz w:val="21"/>
              </w:rPr>
              <w:t>2,746</w:t>
            </w:r>
          </w:p>
        </w:tc>
      </w:tr>
    </w:tbl>
    <w:p w:rsidR="00000000" w:rsidRDefault="000C45AD">
      <w:pPr>
        <w:tabs>
          <w:tab w:val="clear" w:pos="510"/>
          <w:tab w:val="clear" w:pos="1021"/>
          <w:tab w:val="clear" w:pos="1531"/>
          <w:tab w:val="clear" w:pos="2041"/>
        </w:tabs>
        <w:spacing w:after="160"/>
        <w:textAlignment w:val="center"/>
      </w:pPr>
      <w:r>
        <w:tab/>
      </w:r>
      <w:r>
        <w:tab/>
      </w:r>
      <w:r>
        <w:rPr>
          <w:rFonts w:eastAsia="长城楷体" w:hint="eastAsia"/>
          <w:u w:val="single"/>
        </w:rPr>
        <w:t>资料来源</w:t>
      </w:r>
      <w:r>
        <w:rPr>
          <w:rFonts w:eastAsia="长城楷体" w:hint="eastAsia"/>
        </w:rPr>
        <w:t>：劳工和社会保障部医药卫生和职业安全司</w:t>
      </w:r>
      <w:r>
        <w:rPr>
          <w:rFonts w:hint="eastAsia"/>
        </w:rPr>
        <w:t>。</w:t>
      </w:r>
    </w:p>
    <w:p w:rsidR="00000000" w:rsidRDefault="000C45AD">
      <w:pPr>
        <w:tabs>
          <w:tab w:val="clear" w:pos="510"/>
          <w:tab w:val="clear" w:pos="1021"/>
          <w:tab w:val="clear" w:pos="1531"/>
          <w:tab w:val="clear" w:pos="2041"/>
        </w:tabs>
      </w:pPr>
      <w:r>
        <w:tab/>
      </w:r>
      <w:r>
        <w:tab/>
        <w:t>(</w:t>
      </w:r>
      <w:r>
        <w:rPr>
          <w:rFonts w:hint="eastAsia"/>
        </w:rPr>
        <w:t>注：香蕉公司</w:t>
      </w:r>
      <w:r>
        <w:t>1994</w:t>
      </w:r>
      <w:r>
        <w:rPr>
          <w:rFonts w:hint="eastAsia"/>
        </w:rPr>
        <w:t>年未提供资料。</w:t>
      </w:r>
      <w:r>
        <w:t>)</w:t>
      </w:r>
    </w:p>
    <w:p w:rsidR="00000000" w:rsidRDefault="000C45AD">
      <w:pPr>
        <w:tabs>
          <w:tab w:val="clear" w:pos="510"/>
          <w:tab w:val="clear" w:pos="1021"/>
          <w:tab w:val="clear" w:pos="1531"/>
          <w:tab w:val="clear" w:pos="2041"/>
        </w:tabs>
      </w:pPr>
    </w:p>
    <w:p w:rsidR="00000000" w:rsidRDefault="000C45AD">
      <w:pPr>
        <w:pStyle w:val="Heading4"/>
      </w:pPr>
      <w:r>
        <w:rPr>
          <w:rFonts w:hint="eastAsia"/>
        </w:rPr>
        <w:t>提升方面机会均等原则的实际落实情况</w:t>
      </w:r>
    </w:p>
    <w:p w:rsidR="00000000" w:rsidRDefault="000C45AD">
      <w:pPr>
        <w:tabs>
          <w:tab w:val="clear" w:pos="510"/>
          <w:tab w:val="clear" w:pos="1021"/>
          <w:tab w:val="clear" w:pos="1531"/>
          <w:tab w:val="clear" w:pos="2041"/>
        </w:tabs>
      </w:pPr>
      <w:r>
        <w:tab/>
        <w:t xml:space="preserve">82.  </w:t>
      </w:r>
      <w:r>
        <w:rPr>
          <w:rFonts w:hint="eastAsia"/>
        </w:rPr>
        <w:t>在洪都拉斯，提升的机会均等问题由雇主和工人缔结的集体协议或合同加以规定，就政府雇员而言，这一问题由《文官法》加以规定。</w:t>
      </w:r>
    </w:p>
    <w:p w:rsidR="00000000" w:rsidRDefault="000C45AD">
      <w:pPr>
        <w:tabs>
          <w:tab w:val="clear" w:pos="510"/>
          <w:tab w:val="clear" w:pos="1021"/>
          <w:tab w:val="clear" w:pos="1531"/>
          <w:tab w:val="clear" w:pos="2041"/>
        </w:tabs>
      </w:pPr>
      <w:r>
        <w:tab/>
        <w:t xml:space="preserve">83.  </w:t>
      </w:r>
      <w:r>
        <w:rPr>
          <w:rFonts w:hint="eastAsia"/>
        </w:rPr>
        <w:t>此外，《劳工法》关于雇主义务的第六章在第</w:t>
      </w:r>
      <w:r>
        <w:t>95</w:t>
      </w:r>
      <w:r>
        <w:rPr>
          <w:rFonts w:hint="eastAsia"/>
        </w:rPr>
        <w:t>条中规定建立提升和其他人</w:t>
      </w:r>
      <w:r>
        <w:rPr>
          <w:rFonts w:hint="eastAsia"/>
        </w:rPr>
        <w:t>事变动登记册，提升基本上依工人的能力和效率加以决定，在其他条件相同的情况下，依服务年限加以决定。能力和效率问题通过工人和雇主之间的讨论决定，如双方无法达成一致，则由劳工和社会保障部决定。</w:t>
      </w:r>
    </w:p>
    <w:p w:rsidR="00000000" w:rsidRDefault="000C45AD">
      <w:pPr>
        <w:tabs>
          <w:tab w:val="clear" w:pos="510"/>
          <w:tab w:val="clear" w:pos="1021"/>
          <w:tab w:val="clear" w:pos="1531"/>
          <w:tab w:val="clear" w:pos="2041"/>
        </w:tabs>
      </w:pPr>
      <w:r>
        <w:tab/>
        <w:t xml:space="preserve">84.  </w:t>
      </w:r>
      <w:r>
        <w:rPr>
          <w:rFonts w:hint="eastAsia"/>
        </w:rPr>
        <w:t>工会组织在集体合同中强调男女机会均等。</w:t>
      </w:r>
    </w:p>
    <w:p w:rsidR="00000000" w:rsidRDefault="000C45AD">
      <w:pPr>
        <w:tabs>
          <w:tab w:val="clear" w:pos="510"/>
          <w:tab w:val="clear" w:pos="1021"/>
          <w:tab w:val="clear" w:pos="1531"/>
          <w:tab w:val="clear" w:pos="2041"/>
        </w:tabs>
      </w:pPr>
      <w:r>
        <w:tab/>
        <w:t xml:space="preserve">85.  </w:t>
      </w:r>
      <w:r>
        <w:rPr>
          <w:rFonts w:hint="eastAsia"/>
        </w:rPr>
        <w:t>《宪法》第</w:t>
      </w:r>
      <w:r>
        <w:t>128</w:t>
      </w:r>
      <w:r>
        <w:rPr>
          <w:rFonts w:hint="eastAsia"/>
        </w:rPr>
        <w:t>条规定，每个工人都有权享受带薪假，现行《劳工法》第</w:t>
      </w:r>
      <w:r>
        <w:t>338</w:t>
      </w:r>
      <w:r>
        <w:rPr>
          <w:rFonts w:hint="eastAsia"/>
        </w:rPr>
        <w:t>条重申了此项权利。《劳工法》第</w:t>
      </w:r>
      <w:r>
        <w:t>130</w:t>
      </w:r>
      <w:r>
        <w:rPr>
          <w:rFonts w:hint="eastAsia"/>
        </w:rPr>
        <w:t>条还规定，妇女和未成年人在每个常规工作日中的休息时间必须达两小时。</w:t>
      </w:r>
    </w:p>
    <w:p w:rsidR="00000000" w:rsidRDefault="000C45AD">
      <w:pPr>
        <w:tabs>
          <w:tab w:val="clear" w:pos="510"/>
          <w:tab w:val="clear" w:pos="1021"/>
          <w:tab w:val="clear" w:pos="1531"/>
          <w:tab w:val="clear" w:pos="2041"/>
        </w:tabs>
      </w:pPr>
      <w:r>
        <w:tab/>
        <w:t xml:space="preserve">86.  </w:t>
      </w:r>
      <w:r>
        <w:rPr>
          <w:rFonts w:hint="eastAsia"/>
        </w:rPr>
        <w:t>《宪法》第</w:t>
      </w:r>
      <w:r>
        <w:t>128</w:t>
      </w:r>
      <w:r>
        <w:rPr>
          <w:rFonts w:hint="eastAsia"/>
        </w:rPr>
        <w:t>条和《劳工法》第</w:t>
      </w:r>
      <w:r>
        <w:t>346</w:t>
      </w:r>
      <w:r>
        <w:rPr>
          <w:rFonts w:hint="eastAsia"/>
        </w:rPr>
        <w:t>条规定了享受定期带薪假的权利。此外</w:t>
      </w:r>
      <w:r>
        <w:rPr>
          <w:rFonts w:hint="eastAsia"/>
        </w:rPr>
        <w:t>，《劳工法》经第</w:t>
      </w:r>
      <w:r>
        <w:t>116</w:t>
      </w:r>
      <w:r>
        <w:rPr>
          <w:rFonts w:hint="eastAsia"/>
        </w:rPr>
        <w:t>号和第</w:t>
      </w:r>
      <w:r>
        <w:t>275</w:t>
      </w:r>
      <w:r>
        <w:rPr>
          <w:rFonts w:hint="eastAsia"/>
        </w:rPr>
        <w:t>号法令修改的第</w:t>
      </w:r>
      <w:r>
        <w:t>339</w:t>
      </w:r>
      <w:r>
        <w:rPr>
          <w:rFonts w:hint="eastAsia"/>
        </w:rPr>
        <w:t>条规定，雇员休法定假日工资照发，在法定假日期间工作的，领取双倍工资</w:t>
      </w:r>
      <w:r>
        <w:t>(</w:t>
      </w:r>
      <w:r>
        <w:rPr>
          <w:rFonts w:hint="eastAsia"/>
        </w:rPr>
        <w:t>《劳工法》第</w:t>
      </w:r>
      <w:r>
        <w:t>340</w:t>
      </w:r>
      <w:r>
        <w:rPr>
          <w:rFonts w:hint="eastAsia"/>
        </w:rPr>
        <w:t>条</w:t>
      </w:r>
      <w:r>
        <w:t>)</w:t>
      </w:r>
      <w:r>
        <w:rPr>
          <w:rFonts w:hint="eastAsia"/>
        </w:rPr>
        <w:t>。</w:t>
      </w:r>
    </w:p>
    <w:p w:rsidR="00000000" w:rsidRDefault="000C45AD">
      <w:pPr>
        <w:tabs>
          <w:tab w:val="clear" w:pos="510"/>
          <w:tab w:val="clear" w:pos="1021"/>
          <w:tab w:val="clear" w:pos="1531"/>
          <w:tab w:val="clear" w:pos="2041"/>
        </w:tabs>
      </w:pPr>
      <w:r>
        <w:tab/>
        <w:t xml:space="preserve">87.  </w:t>
      </w:r>
      <w:r>
        <w:rPr>
          <w:rFonts w:hint="eastAsia"/>
        </w:rPr>
        <w:t>为确保上述规定得到遵守，有关人员定期对洪都拉斯中心区和各地区其他地点的工作场所进行访查。通过全面检查，发现所有前述违法现象，并提交检查报告，以期纠正所发现的违法现象。</w:t>
      </w:r>
    </w:p>
    <w:p w:rsidR="00000000" w:rsidRDefault="000C45AD">
      <w:pPr>
        <w:tabs>
          <w:tab w:val="clear" w:pos="510"/>
          <w:tab w:val="clear" w:pos="1021"/>
          <w:tab w:val="clear" w:pos="1531"/>
          <w:tab w:val="clear" w:pos="2041"/>
        </w:tabs>
      </w:pPr>
      <w:r>
        <w:tab/>
        <w:t xml:space="preserve">88.  </w:t>
      </w:r>
      <w:r>
        <w:rPr>
          <w:rFonts w:hint="eastAsia"/>
        </w:rPr>
        <w:t>仅在</w:t>
      </w:r>
      <w:r>
        <w:t>1998</w:t>
      </w:r>
      <w:r>
        <w:rPr>
          <w:rFonts w:hint="eastAsia"/>
        </w:rPr>
        <w:t>年</w:t>
      </w:r>
      <w:r>
        <w:t>3</w:t>
      </w:r>
      <w:r>
        <w:rPr>
          <w:rFonts w:hint="eastAsia"/>
        </w:rPr>
        <w:t>月，就对</w:t>
      </w:r>
      <w:r>
        <w:t>137</w:t>
      </w:r>
      <w:r>
        <w:rPr>
          <w:rFonts w:hint="eastAsia"/>
        </w:rPr>
        <w:t>家企业作了全面检查，询问了</w:t>
      </w:r>
      <w:r>
        <w:t>288</w:t>
      </w:r>
      <w:r>
        <w:rPr>
          <w:rFonts w:hint="eastAsia"/>
        </w:rPr>
        <w:t>名男工，</w:t>
      </w:r>
      <w:r>
        <w:t>410</w:t>
      </w:r>
      <w:r>
        <w:rPr>
          <w:rFonts w:hint="eastAsia"/>
        </w:rPr>
        <w:t>名女工以及</w:t>
      </w:r>
      <w:r>
        <w:t>2</w:t>
      </w:r>
      <w:r>
        <w:rPr>
          <w:rFonts w:hint="eastAsia"/>
        </w:rPr>
        <w:t>名未成年人，发现有</w:t>
      </w:r>
      <w:r>
        <w:t>18</w:t>
      </w:r>
      <w:r>
        <w:rPr>
          <w:rFonts w:hint="eastAsia"/>
        </w:rPr>
        <w:t>家企业违反法律规定。</w:t>
      </w:r>
    </w:p>
    <w:p w:rsidR="00000000" w:rsidRDefault="000C45AD">
      <w:pPr>
        <w:tabs>
          <w:tab w:val="clear" w:pos="510"/>
          <w:tab w:val="clear" w:pos="1021"/>
          <w:tab w:val="clear" w:pos="1531"/>
          <w:tab w:val="clear" w:pos="2041"/>
        </w:tabs>
        <w:rPr>
          <w:u w:val="single"/>
        </w:rPr>
      </w:pPr>
      <w:r>
        <w:tab/>
        <w:t xml:space="preserve">89.  </w:t>
      </w:r>
      <w:r>
        <w:rPr>
          <w:rFonts w:hint="eastAsia"/>
        </w:rPr>
        <w:t>在影响到上述权利的落实程度的</w:t>
      </w:r>
      <w:r>
        <w:rPr>
          <w:rFonts w:hint="eastAsia"/>
        </w:rPr>
        <w:t>因素和困难中，最突出的因素和困难是劳工监察员的人数，这类人员数目不足以满足全国需要。随着工业园区的发展，需招聘更多工人。</w:t>
      </w:r>
      <w:r>
        <w:t>1996</w:t>
      </w:r>
      <w:r>
        <w:rPr>
          <w:rFonts w:hint="eastAsia"/>
        </w:rPr>
        <w:t>年，有</w:t>
      </w:r>
      <w:r>
        <w:t>172</w:t>
      </w:r>
      <w:r>
        <w:rPr>
          <w:rFonts w:hint="eastAsia"/>
        </w:rPr>
        <w:t>个</w:t>
      </w:r>
      <w:r>
        <w:rPr>
          <w:u w:val="single"/>
        </w:rPr>
        <w:t>maquiladoras</w:t>
      </w:r>
      <w:r>
        <w:t xml:space="preserve"> </w:t>
      </w:r>
      <w:r>
        <w:rPr>
          <w:rFonts w:hint="eastAsia"/>
        </w:rPr>
        <w:t>登记注册，可为大约</w:t>
      </w:r>
      <w:r>
        <w:t>50</w:t>
      </w:r>
      <w:r>
        <w:rPr>
          <w:rFonts w:hint="eastAsia"/>
        </w:rPr>
        <w:t>万名工人提供就业机会。目前，中心机构有</w:t>
      </w:r>
      <w:r>
        <w:t>23</w:t>
      </w:r>
      <w:r>
        <w:rPr>
          <w:rFonts w:hint="eastAsia"/>
        </w:rPr>
        <w:t>名劳工监察员，</w:t>
      </w:r>
      <w:r>
        <w:t>San Pedro Sula</w:t>
      </w:r>
      <w:r>
        <w:rPr>
          <w:rFonts w:hint="eastAsia"/>
        </w:rPr>
        <w:t>的机构有</w:t>
      </w:r>
      <w:r>
        <w:t>15</w:t>
      </w:r>
      <w:r>
        <w:rPr>
          <w:rFonts w:hint="eastAsia"/>
        </w:rPr>
        <w:t>名工作人员，因此，无法切实有效地开展检查工作，而且，这还没有考虑到正在开办的新的</w:t>
      </w:r>
      <w:r>
        <w:rPr>
          <w:u w:val="single"/>
        </w:rPr>
        <w:t>maquiladoras</w:t>
      </w:r>
      <w:r>
        <w:rPr>
          <w:rFonts w:hint="eastAsia"/>
        </w:rPr>
        <w:t>。</w:t>
      </w:r>
    </w:p>
    <w:p w:rsidR="00000000" w:rsidRDefault="000C45AD">
      <w:pPr>
        <w:tabs>
          <w:tab w:val="clear" w:pos="510"/>
          <w:tab w:val="clear" w:pos="1021"/>
          <w:tab w:val="clear" w:pos="1531"/>
          <w:tab w:val="clear" w:pos="2041"/>
        </w:tabs>
      </w:pPr>
      <w:r>
        <w:tab/>
        <w:t xml:space="preserve">90.  </w:t>
      </w:r>
      <w:r>
        <w:rPr>
          <w:rFonts w:hint="eastAsia"/>
        </w:rPr>
        <w:t>第二个问题，是立即采取行动处理大量问题并尽快纠正这些问题所需的后勤支持缺乏。无法行使所涉权利的工人，是那些</w:t>
      </w:r>
      <w:r>
        <w:rPr>
          <w:rFonts w:hint="eastAsia"/>
        </w:rPr>
        <w:t>非正式工人和独立经营者。建筑行业向某个无任何营利动机者提供服务的工人也无法行使所涉权利。</w:t>
      </w:r>
    </w:p>
    <w:p w:rsidR="00000000" w:rsidRDefault="000C45AD">
      <w:pPr>
        <w:tabs>
          <w:tab w:val="clear" w:pos="510"/>
          <w:tab w:val="clear" w:pos="1021"/>
          <w:tab w:val="clear" w:pos="1531"/>
          <w:tab w:val="clear" w:pos="2041"/>
        </w:tabs>
        <w:spacing w:after="320"/>
        <w:textAlignment w:val="center"/>
      </w:pPr>
      <w:r>
        <w:tab/>
        <w:t xml:space="preserve">91.  </w:t>
      </w:r>
      <w:r>
        <w:rPr>
          <w:rFonts w:hint="eastAsia"/>
        </w:rPr>
        <w:t>现正对现行《劳工法》作重大修改，上述无法行使权利现象可能因此得到纠正。</w:t>
      </w:r>
    </w:p>
    <w:p w:rsidR="00000000" w:rsidRDefault="000C45AD">
      <w:pPr>
        <w:pStyle w:val="Heading3"/>
      </w:pPr>
      <w:r>
        <w:rPr>
          <w:rFonts w:hint="eastAsia"/>
        </w:rPr>
        <w:t>第</w:t>
      </w:r>
      <w:r>
        <w:t xml:space="preserve"> 8 </w:t>
      </w:r>
      <w:r>
        <w:rPr>
          <w:rFonts w:hint="eastAsia"/>
        </w:rPr>
        <w:t>条</w:t>
      </w:r>
    </w:p>
    <w:p w:rsidR="00000000" w:rsidRDefault="000C45AD">
      <w:pPr>
        <w:pStyle w:val="Heading3"/>
      </w:pPr>
      <w:r>
        <w:rPr>
          <w:rFonts w:hint="eastAsia"/>
        </w:rPr>
        <w:t>组成工会的权利</w:t>
      </w:r>
    </w:p>
    <w:p w:rsidR="00000000" w:rsidRDefault="000C45AD">
      <w:pPr>
        <w:tabs>
          <w:tab w:val="clear" w:pos="510"/>
          <w:tab w:val="clear" w:pos="1021"/>
          <w:tab w:val="clear" w:pos="1531"/>
          <w:tab w:val="clear" w:pos="2041"/>
        </w:tabs>
      </w:pPr>
      <w:r>
        <w:tab/>
        <w:t xml:space="preserve">92.  </w:t>
      </w:r>
      <w:r>
        <w:rPr>
          <w:rFonts w:hint="eastAsia"/>
        </w:rPr>
        <w:t>洪都拉斯是劳工组织</w:t>
      </w:r>
      <w:r>
        <w:t>1948</w:t>
      </w:r>
      <w:r>
        <w:rPr>
          <w:rFonts w:hint="eastAsia"/>
        </w:rPr>
        <w:t>年《结社自由和保护组织权利公约》</w:t>
      </w:r>
      <w:r>
        <w:t>(</w:t>
      </w:r>
      <w:r>
        <w:rPr>
          <w:rFonts w:hint="eastAsia"/>
        </w:rPr>
        <w:t>第</w:t>
      </w:r>
      <w:r>
        <w:t>87</w:t>
      </w:r>
      <w:r>
        <w:rPr>
          <w:rFonts w:hint="eastAsia"/>
        </w:rPr>
        <w:t>号</w:t>
      </w:r>
      <w:r>
        <w:t>)</w:t>
      </w:r>
      <w:r>
        <w:rPr>
          <w:rFonts w:hint="eastAsia"/>
        </w:rPr>
        <w:t>的签署国，洪都拉斯于</w:t>
      </w:r>
      <w:r>
        <w:t>1956</w:t>
      </w:r>
      <w:r>
        <w:rPr>
          <w:rFonts w:hint="eastAsia"/>
        </w:rPr>
        <w:t>年</w:t>
      </w:r>
      <w:r>
        <w:t>6</w:t>
      </w:r>
      <w:r>
        <w:rPr>
          <w:rFonts w:hint="eastAsia"/>
        </w:rPr>
        <w:t>月</w:t>
      </w:r>
      <w:r>
        <w:t>27</w:t>
      </w:r>
      <w:r>
        <w:rPr>
          <w:rFonts w:hint="eastAsia"/>
        </w:rPr>
        <w:t>日交存批准书。洪都拉斯不是</w:t>
      </w:r>
      <w:r>
        <w:t>1978</w:t>
      </w:r>
      <w:r>
        <w:rPr>
          <w:rFonts w:hint="eastAsia"/>
        </w:rPr>
        <w:t>年《</w:t>
      </w:r>
      <w:r>
        <w:t>(</w:t>
      </w:r>
      <w:r>
        <w:rPr>
          <w:rFonts w:hint="eastAsia"/>
        </w:rPr>
        <w:t>公共部门</w:t>
      </w:r>
      <w:r>
        <w:t>)</w:t>
      </w:r>
      <w:r>
        <w:rPr>
          <w:rFonts w:hint="eastAsia"/>
        </w:rPr>
        <w:t>劳资关系公约》</w:t>
      </w:r>
      <w:r>
        <w:t>(</w:t>
      </w:r>
      <w:r>
        <w:rPr>
          <w:rFonts w:hint="eastAsia"/>
        </w:rPr>
        <w:t>第</w:t>
      </w:r>
      <w:r>
        <w:t>151</w:t>
      </w:r>
      <w:r>
        <w:rPr>
          <w:rFonts w:hint="eastAsia"/>
        </w:rPr>
        <w:t>号</w:t>
      </w:r>
      <w:r>
        <w:t>)</w:t>
      </w:r>
      <w:r>
        <w:rPr>
          <w:rFonts w:hint="eastAsia"/>
        </w:rPr>
        <w:t>的缔约国。</w:t>
      </w:r>
    </w:p>
    <w:p w:rsidR="00000000" w:rsidRDefault="000C45AD">
      <w:pPr>
        <w:tabs>
          <w:tab w:val="clear" w:pos="510"/>
          <w:tab w:val="clear" w:pos="1021"/>
          <w:tab w:val="clear" w:pos="1531"/>
          <w:tab w:val="clear" w:pos="2041"/>
        </w:tabs>
      </w:pPr>
      <w:r>
        <w:tab/>
        <w:t xml:space="preserve">93.  </w:t>
      </w:r>
      <w:r>
        <w:rPr>
          <w:rFonts w:hint="eastAsia"/>
        </w:rPr>
        <w:t>在洪都拉斯，组成工会的权利不受任何限制，国民和外国人平等地享有这项权利。凡达到法定年龄</w:t>
      </w:r>
      <w:r>
        <w:t>(</w:t>
      </w:r>
      <w:r>
        <w:t>16</w:t>
      </w:r>
      <w:r>
        <w:rPr>
          <w:rFonts w:hint="eastAsia"/>
        </w:rPr>
        <w:t>岁</w:t>
      </w:r>
      <w:r>
        <w:t>)</w:t>
      </w:r>
      <w:r>
        <w:rPr>
          <w:rFonts w:hint="eastAsia"/>
        </w:rPr>
        <w:t>而且身体条件适合工作的工人均可加入工会。劳工部对组成工会的权利进行监督，并向想要组成工会的工人提供国家的特别保护</w:t>
      </w:r>
      <w:r>
        <w:rPr>
          <w:rFonts w:hint="eastAsia"/>
          <w:spacing w:val="-40"/>
        </w:rPr>
        <w:t>——</w:t>
      </w:r>
      <w:r>
        <w:t xml:space="preserve"> </w:t>
      </w:r>
      <w:r>
        <w:rPr>
          <w:rFonts w:hint="eastAsia"/>
        </w:rPr>
        <w:t>“工会宪章”。</w:t>
      </w:r>
    </w:p>
    <w:p w:rsidR="00000000" w:rsidRDefault="000C45AD">
      <w:pPr>
        <w:tabs>
          <w:tab w:val="clear" w:pos="510"/>
          <w:tab w:val="clear" w:pos="1021"/>
          <w:tab w:val="clear" w:pos="1531"/>
          <w:tab w:val="clear" w:pos="2041"/>
        </w:tabs>
      </w:pPr>
      <w:r>
        <w:tab/>
        <w:t xml:space="preserve">94.  </w:t>
      </w:r>
      <w:r>
        <w:rPr>
          <w:rFonts w:hint="eastAsia"/>
        </w:rPr>
        <w:t>洪都拉斯建立工会的重要和正式条件如下：</w:t>
      </w:r>
    </w:p>
    <w:p w:rsidR="00000000" w:rsidRDefault="000C45AD">
      <w:pPr>
        <w:tabs>
          <w:tab w:val="clear" w:pos="510"/>
          <w:tab w:val="clear" w:pos="1021"/>
          <w:tab w:val="clear" w:pos="1531"/>
          <w:tab w:val="clear" w:pos="2041"/>
        </w:tabs>
        <w:ind w:left="1036"/>
      </w:pPr>
      <w:r>
        <w:t>(a)</w:t>
      </w:r>
      <w:r>
        <w:tab/>
      </w:r>
      <w:r>
        <w:rPr>
          <w:rFonts w:hint="eastAsia"/>
        </w:rPr>
        <w:t>企业希望组成工会的工人不少于</w:t>
      </w:r>
      <w:r>
        <w:t>30</w:t>
      </w:r>
      <w:r>
        <w:rPr>
          <w:rFonts w:hint="eastAsia"/>
        </w:rPr>
        <w:t>人；</w:t>
      </w:r>
    </w:p>
    <w:p w:rsidR="00000000" w:rsidRDefault="000C45AD">
      <w:pPr>
        <w:tabs>
          <w:tab w:val="clear" w:pos="510"/>
          <w:tab w:val="clear" w:pos="1021"/>
          <w:tab w:val="clear" w:pos="1531"/>
          <w:tab w:val="clear" w:pos="2041"/>
        </w:tabs>
        <w:ind w:left="1036"/>
      </w:pPr>
      <w:r>
        <w:t>(b)</w:t>
      </w:r>
      <w:r>
        <w:tab/>
      </w:r>
      <w:r>
        <w:rPr>
          <w:rFonts w:hint="eastAsia"/>
        </w:rPr>
        <w:t>工会百分之九十的成员必须是洪都拉斯国民；</w:t>
      </w:r>
    </w:p>
    <w:p w:rsidR="00000000" w:rsidRDefault="000C45AD">
      <w:pPr>
        <w:tabs>
          <w:tab w:val="clear" w:pos="510"/>
          <w:tab w:val="clear" w:pos="1021"/>
          <w:tab w:val="clear" w:pos="1531"/>
          <w:tab w:val="clear" w:pos="2041"/>
        </w:tabs>
        <w:ind w:left="1036"/>
      </w:pPr>
      <w:r>
        <w:t>(c)</w:t>
      </w:r>
      <w:r>
        <w:tab/>
      </w:r>
      <w:r>
        <w:rPr>
          <w:rFonts w:hint="eastAsia"/>
        </w:rPr>
        <w:t>会员年龄须在</w:t>
      </w:r>
      <w:r>
        <w:t>16</w:t>
      </w:r>
      <w:r>
        <w:rPr>
          <w:rFonts w:hint="eastAsia"/>
        </w:rPr>
        <w:t>岁以上</w:t>
      </w:r>
      <w:r>
        <w:t>(</w:t>
      </w:r>
      <w:r>
        <w:rPr>
          <w:rFonts w:hint="eastAsia"/>
        </w:rPr>
        <w:t>《劳工法》第</w:t>
      </w:r>
      <w:r>
        <w:t>475</w:t>
      </w:r>
      <w:r>
        <w:rPr>
          <w:rFonts w:hint="eastAsia"/>
        </w:rPr>
        <w:t>条和第</w:t>
      </w:r>
      <w:r>
        <w:t>476</w:t>
      </w:r>
      <w:r>
        <w:rPr>
          <w:rFonts w:hint="eastAsia"/>
        </w:rPr>
        <w:t>条</w:t>
      </w:r>
      <w:r>
        <w:t>)</w:t>
      </w:r>
      <w:r>
        <w:rPr>
          <w:rFonts w:hint="eastAsia"/>
        </w:rPr>
        <w:t>。</w:t>
      </w:r>
    </w:p>
    <w:p w:rsidR="00000000" w:rsidRDefault="000C45AD">
      <w:pPr>
        <w:tabs>
          <w:tab w:val="clear" w:pos="510"/>
          <w:tab w:val="clear" w:pos="1021"/>
          <w:tab w:val="clear" w:pos="1531"/>
          <w:tab w:val="clear" w:pos="2041"/>
        </w:tabs>
      </w:pPr>
      <w:r>
        <w:tab/>
        <w:t xml:space="preserve">95.  </w:t>
      </w:r>
      <w:r>
        <w:rPr>
          <w:rFonts w:hint="eastAsia"/>
        </w:rPr>
        <w:t>《劳工法》第七编第</w:t>
      </w:r>
      <w:r>
        <w:t>460-549</w:t>
      </w:r>
      <w:r>
        <w:rPr>
          <w:rFonts w:hint="eastAsia"/>
        </w:rPr>
        <w:t>条为工会的组成规定了法律框架，但加入工会的条件以及会员的义务和权利等由工会规约自行规定。工会可自行为会员规定</w:t>
      </w:r>
      <w:r>
        <w:rPr>
          <w:rFonts w:hint="eastAsia"/>
        </w:rPr>
        <w:t>储蓄和贷款办法。</w:t>
      </w:r>
    </w:p>
    <w:p w:rsidR="00000000" w:rsidRDefault="000C45AD">
      <w:pPr>
        <w:tabs>
          <w:tab w:val="clear" w:pos="510"/>
          <w:tab w:val="clear" w:pos="1021"/>
          <w:tab w:val="clear" w:pos="1531"/>
          <w:tab w:val="clear" w:pos="2041"/>
        </w:tabs>
      </w:pPr>
      <w:r>
        <w:tab/>
        <w:t xml:space="preserve">96.  </w:t>
      </w:r>
      <w:r>
        <w:rPr>
          <w:rFonts w:hint="eastAsia"/>
        </w:rPr>
        <w:t>《劳工法》未对工人行使组成和加入工会的权利作任何限制，而且洪都拉斯已批准劳工组织</w:t>
      </w:r>
      <w:r>
        <w:t>1948</w:t>
      </w:r>
      <w:r>
        <w:rPr>
          <w:rFonts w:hint="eastAsia"/>
        </w:rPr>
        <w:t>年《结社自由和保护组织权利公约》</w:t>
      </w:r>
      <w:r>
        <w:t>(</w:t>
      </w:r>
      <w:r>
        <w:rPr>
          <w:rFonts w:hint="eastAsia"/>
        </w:rPr>
        <w:t>第</w:t>
      </w:r>
      <w:r>
        <w:t>87</w:t>
      </w:r>
      <w:r>
        <w:rPr>
          <w:rFonts w:hint="eastAsia"/>
        </w:rPr>
        <w:t>号</w:t>
      </w:r>
      <w:r>
        <w:t>)</w:t>
      </w:r>
      <w:r>
        <w:rPr>
          <w:rFonts w:hint="eastAsia"/>
        </w:rPr>
        <w:t>。</w:t>
      </w:r>
    </w:p>
    <w:p w:rsidR="00000000" w:rsidRDefault="000C45AD">
      <w:pPr>
        <w:tabs>
          <w:tab w:val="clear" w:pos="510"/>
          <w:tab w:val="clear" w:pos="1021"/>
          <w:tab w:val="clear" w:pos="1531"/>
          <w:tab w:val="clear" w:pos="2041"/>
        </w:tabs>
      </w:pPr>
      <w:r>
        <w:tab/>
        <w:t xml:space="preserve">97.  </w:t>
      </w:r>
      <w:r>
        <w:rPr>
          <w:rFonts w:hint="eastAsia"/>
        </w:rPr>
        <w:t>法律对与国际工会组织建立联系不作任何限制，国家不对此事进行监督，因此，人们有充分自由加入任何工会组织。这项组织权也不受任何法律上的限制或做法的影响。</w:t>
      </w:r>
    </w:p>
    <w:p w:rsidR="00000000" w:rsidRDefault="000C45AD">
      <w:pPr>
        <w:tabs>
          <w:tab w:val="clear" w:pos="510"/>
          <w:tab w:val="clear" w:pos="1021"/>
          <w:tab w:val="clear" w:pos="1531"/>
          <w:tab w:val="clear" w:pos="2041"/>
        </w:tabs>
      </w:pPr>
      <w:r>
        <w:tab/>
        <w:t xml:space="preserve">98.  </w:t>
      </w:r>
      <w:r>
        <w:rPr>
          <w:rFonts w:hint="eastAsia"/>
        </w:rPr>
        <w:t>此外，工会自由行使职能不受限制，工会在这方面有绝对自由</w:t>
      </w:r>
      <w:r>
        <w:t>(</w:t>
      </w:r>
      <w:r>
        <w:rPr>
          <w:rFonts w:hint="eastAsia"/>
        </w:rPr>
        <w:t>《劳工法》第</w:t>
      </w:r>
      <w:r>
        <w:t>460</w:t>
      </w:r>
      <w:r>
        <w:rPr>
          <w:rFonts w:hint="eastAsia"/>
        </w:rPr>
        <w:t>条</w:t>
      </w:r>
      <w:r>
        <w:t>)</w:t>
      </w:r>
      <w:r>
        <w:rPr>
          <w:rFonts w:hint="eastAsia"/>
        </w:rPr>
        <w:t>。</w:t>
      </w:r>
    </w:p>
    <w:p w:rsidR="00000000" w:rsidRDefault="000C45AD">
      <w:pPr>
        <w:tabs>
          <w:tab w:val="clear" w:pos="510"/>
          <w:tab w:val="clear" w:pos="1021"/>
          <w:tab w:val="clear" w:pos="1531"/>
          <w:tab w:val="clear" w:pos="2041"/>
        </w:tabs>
        <w:spacing w:after="240"/>
        <w:textAlignment w:val="center"/>
      </w:pPr>
      <w:r>
        <w:tab/>
        <w:t xml:space="preserve">99.  </w:t>
      </w:r>
      <w:r>
        <w:rPr>
          <w:rFonts w:hint="eastAsia"/>
        </w:rPr>
        <w:t>现正采取措施鼓励自由的集体谈判。在这方面，洪都拉斯中央工会机构帮助当地工会或企</w:t>
      </w:r>
      <w:r>
        <w:rPr>
          <w:rFonts w:hint="eastAsia"/>
        </w:rPr>
        <w:t>业工会向雇主提出正式要求，以集体谈判工作、经济和社会条件。此外，劳工部在集体谈判中发挥调解与和解作用，以确保各方能够缔结工人和雇主都感到满意的集体合同。</w:t>
      </w:r>
    </w:p>
    <w:p w:rsidR="00000000" w:rsidRDefault="000C45AD">
      <w:pPr>
        <w:pStyle w:val="Heading4"/>
      </w:pPr>
      <w:r>
        <w:rPr>
          <w:rFonts w:hint="eastAsia"/>
        </w:rPr>
        <w:t>举行罢工这项宪法权利或法定权利</w:t>
      </w:r>
    </w:p>
    <w:p w:rsidR="00000000" w:rsidRDefault="000C45AD">
      <w:pPr>
        <w:tabs>
          <w:tab w:val="clear" w:pos="510"/>
          <w:tab w:val="clear" w:pos="1021"/>
          <w:tab w:val="clear" w:pos="1531"/>
          <w:tab w:val="clear" w:pos="2041"/>
        </w:tabs>
      </w:pPr>
      <w:r>
        <w:tab/>
        <w:t xml:space="preserve">100.  </w:t>
      </w:r>
      <w:r>
        <w:rPr>
          <w:rFonts w:hint="eastAsia"/>
        </w:rPr>
        <w:t>《宪法》第</w:t>
      </w:r>
      <w:r>
        <w:t>128</w:t>
      </w:r>
      <w:r>
        <w:rPr>
          <w:rFonts w:hint="eastAsia"/>
        </w:rPr>
        <w:t>条第</w:t>
      </w:r>
      <w:r>
        <w:t>13</w:t>
      </w:r>
      <w:r>
        <w:rPr>
          <w:rFonts w:hint="eastAsia"/>
        </w:rPr>
        <w:t>款确认举行罢工的权利，《劳工法》第七编第</w:t>
      </w:r>
      <w:r>
        <w:t>550-590</w:t>
      </w:r>
      <w:r>
        <w:rPr>
          <w:rFonts w:hint="eastAsia"/>
        </w:rPr>
        <w:t>条对这项权利的行使方面的要求和条件作了规定。</w:t>
      </w:r>
    </w:p>
    <w:p w:rsidR="00000000" w:rsidRDefault="000C45AD">
      <w:pPr>
        <w:tabs>
          <w:tab w:val="clear" w:pos="510"/>
          <w:tab w:val="clear" w:pos="1021"/>
          <w:tab w:val="clear" w:pos="1531"/>
          <w:tab w:val="clear" w:pos="2041"/>
        </w:tabs>
      </w:pPr>
      <w:r>
        <w:tab/>
        <w:t xml:space="preserve">101.  </w:t>
      </w:r>
      <w:r>
        <w:rPr>
          <w:rFonts w:hint="eastAsia"/>
        </w:rPr>
        <w:t>中央政府公职人员和市级机关雇员无权举行罢工。但是，地方机构的政府雇员建有工会组织。</w:t>
      </w:r>
    </w:p>
    <w:p w:rsidR="00000000" w:rsidRDefault="000C45AD">
      <w:r>
        <w:tab/>
        <w:t xml:space="preserve">102.  </w:t>
      </w:r>
      <w:r>
        <w:rPr>
          <w:rFonts w:hint="eastAsia"/>
        </w:rPr>
        <w:t>必须指出的是，罢工期间，公职人员必须提供必要的人员，防止所涉服务的中止对国家</w:t>
      </w:r>
      <w:r>
        <w:rPr>
          <w:rFonts w:hint="eastAsia"/>
        </w:rPr>
        <w:t>的卫生、安全或经济造成严重损害</w:t>
      </w:r>
      <w:r>
        <w:t>(</w:t>
      </w:r>
      <w:r>
        <w:rPr>
          <w:rFonts w:hint="eastAsia"/>
        </w:rPr>
        <w:t>《劳工法》第</w:t>
      </w:r>
      <w:r>
        <w:t>555</w:t>
      </w:r>
      <w:r>
        <w:rPr>
          <w:rFonts w:hint="eastAsia"/>
        </w:rPr>
        <w:t>条</w:t>
      </w:r>
      <w:r>
        <w:t>)</w:t>
      </w:r>
      <w:r>
        <w:rPr>
          <w:rFonts w:hint="eastAsia"/>
        </w:rPr>
        <w:t>。私营企业的罢工工人也须提供必要数目的人员，以从事所有其中断会严重妨碍工作的恢复、车间的安全或保护或谈判的进行的工作</w:t>
      </w:r>
      <w:r>
        <w:t>(</w:t>
      </w:r>
      <w:r>
        <w:rPr>
          <w:rFonts w:hint="eastAsia"/>
        </w:rPr>
        <w:t>第</w:t>
      </w:r>
      <w:r>
        <w:t>568</w:t>
      </w:r>
      <w:r>
        <w:rPr>
          <w:rFonts w:hint="eastAsia"/>
        </w:rPr>
        <w:t>条</w:t>
      </w:r>
      <w:r>
        <w:t>)</w:t>
      </w:r>
      <w:r>
        <w:rPr>
          <w:rFonts w:hint="eastAsia"/>
        </w:rPr>
        <w:t>。</w:t>
      </w:r>
    </w:p>
    <w:p w:rsidR="00000000" w:rsidRDefault="000C45AD">
      <w:r>
        <w:tab/>
        <w:t xml:space="preserve">103.  </w:t>
      </w:r>
      <w:r>
        <w:rPr>
          <w:rFonts w:hint="eastAsia"/>
        </w:rPr>
        <w:t>罢工权的行使不受限制。法律上无任何限制，《劳工法》对这项权利及其行使的条件作了规定。</w:t>
      </w:r>
    </w:p>
    <w:p w:rsidR="00000000" w:rsidRDefault="000C45AD">
      <w:pPr>
        <w:spacing w:after="320"/>
        <w:textAlignment w:val="center"/>
      </w:pPr>
      <w:r>
        <w:tab/>
        <w:t xml:space="preserve">104.  </w:t>
      </w:r>
      <w:r>
        <w:rPr>
          <w:rFonts w:hint="eastAsia"/>
        </w:rPr>
        <w:t>洪都拉斯不限制工人组织举行罢工，但条件是《劳工法》第</w:t>
      </w:r>
      <w:r>
        <w:t>562</w:t>
      </w:r>
      <w:r>
        <w:rPr>
          <w:rFonts w:hint="eastAsia"/>
        </w:rPr>
        <w:t>条的规定得到遵守。武装部队不享有组成工会的权利，因为武装部队组织法禁止此种行为。</w:t>
      </w:r>
    </w:p>
    <w:p w:rsidR="00000000" w:rsidRDefault="000C45AD">
      <w:pPr>
        <w:pStyle w:val="Heading3"/>
      </w:pPr>
      <w:r>
        <w:rPr>
          <w:rFonts w:hint="eastAsia"/>
        </w:rPr>
        <w:t>第</w:t>
      </w:r>
      <w:r>
        <w:t xml:space="preserve"> 9 </w:t>
      </w:r>
      <w:r>
        <w:rPr>
          <w:rFonts w:hint="eastAsia"/>
        </w:rPr>
        <w:t>条</w:t>
      </w:r>
    </w:p>
    <w:p w:rsidR="00000000" w:rsidRDefault="000C45AD">
      <w:pPr>
        <w:pStyle w:val="Heading3"/>
      </w:pPr>
      <w:r>
        <w:rPr>
          <w:rFonts w:hint="eastAsia"/>
        </w:rPr>
        <w:t>享受社会保障的权利</w:t>
      </w:r>
    </w:p>
    <w:p w:rsidR="00000000" w:rsidRDefault="000C45AD">
      <w:r>
        <w:tab/>
        <w:t xml:space="preserve">105.  </w:t>
      </w:r>
      <w:r>
        <w:rPr>
          <w:rFonts w:hint="eastAsia"/>
        </w:rPr>
        <w:t>洪都拉斯社会保障制度提供</w:t>
      </w:r>
      <w:r>
        <w:rPr>
          <w:rFonts w:hint="eastAsia"/>
        </w:rPr>
        <w:t>保障措施，以应付残疾和事故等紧急情况，并负担生产和母乳喂养、因职业性危害而丧失能力、残废、老年和死亡等。现考虑在《社会保障法》中规定失业保险办法，但该办法的实施将在有关条例颁布之后开始进行。还制定了一项劳工法规草案，规定设立服务年限养恤金，所需经费来自雇主的捐款。</w:t>
      </w:r>
    </w:p>
    <w:p w:rsidR="00000000" w:rsidRDefault="000C45AD">
      <w:r>
        <w:tab/>
        <w:t xml:space="preserve">106.  </w:t>
      </w:r>
      <w:r>
        <w:rPr>
          <w:rFonts w:hint="eastAsia"/>
        </w:rPr>
        <w:t>地方、独立和半独立国家机关和市级机关的受扶养工人、公务员和雇员，为另一人执行指令，开展商业活动的佣金代理商，以及在学徒合同之下为雇主工作的人，由洪都拉斯社会保障协会负责管理的强制性社会保障方案提供保障。</w:t>
      </w:r>
    </w:p>
    <w:p w:rsidR="00000000" w:rsidRDefault="000C45AD">
      <w:r>
        <w:tab/>
        <w:t xml:space="preserve">107.  </w:t>
      </w:r>
      <w:r>
        <w:rPr>
          <w:rFonts w:hint="eastAsia"/>
        </w:rPr>
        <w:t>行政部门雇用的</w:t>
      </w:r>
      <w:r>
        <w:rPr>
          <w:rFonts w:hint="eastAsia"/>
        </w:rPr>
        <w:t>公务员，立法和司法机关雇员，以及多数地方国家机关的雇员，由国家公职人员退休和养老金协会管理的一项特别方案提供保障，私营和公营部门的中小学教师则由全国教师保险协会提供保障。</w:t>
      </w:r>
    </w:p>
    <w:p w:rsidR="00000000" w:rsidRDefault="000C45AD">
      <w:r>
        <w:tab/>
        <w:t xml:space="preserve">108.  </w:t>
      </w:r>
      <w:r>
        <w:rPr>
          <w:rFonts w:hint="eastAsia"/>
        </w:rPr>
        <w:t>上述两个方案替代洪都拉斯社会保障协会的方案。由国家公职人员退休和养老金协会和全国教师保险协会提供保障的人员享受退休金和残废恤金，还可申请个人贷款和抵押贷款。这类人员只是在疾病保险和产妇分娩保险方面向洪都拉斯社会保障协会缴纳保险金。</w:t>
      </w:r>
    </w:p>
    <w:p w:rsidR="00000000" w:rsidRDefault="000C45AD">
      <w:r>
        <w:tab/>
        <w:t xml:space="preserve">109.  </w:t>
      </w:r>
      <w:r>
        <w:rPr>
          <w:rFonts w:hint="eastAsia"/>
        </w:rPr>
        <w:t>此外，武装部队人员和新闻工作人员有自己的社会保障方案，这些方案替代洪都拉斯社会保</w:t>
      </w:r>
      <w:r>
        <w:rPr>
          <w:rFonts w:hint="eastAsia"/>
        </w:rPr>
        <w:t>障协会管理的方案。军人保险协会为会员提供残废抚恤金、遗属抚恤金及退休金，还提供丧葬费以及人寿保险和残废保险。新闻工作者社会保险协会提供退休金和残废抚恤金、人寿保险、丧葬费以及医疗</w:t>
      </w:r>
      <w:r>
        <w:t>/</w:t>
      </w:r>
      <w:r>
        <w:rPr>
          <w:rFonts w:hint="eastAsia"/>
        </w:rPr>
        <w:t>住院保险。</w:t>
      </w:r>
    </w:p>
    <w:p w:rsidR="00000000" w:rsidRDefault="000C45AD">
      <w:pPr>
        <w:spacing w:after="320"/>
        <w:textAlignment w:val="center"/>
      </w:pPr>
      <w:r>
        <w:tab/>
        <w:t xml:space="preserve">110.  </w:t>
      </w:r>
      <w:r>
        <w:rPr>
          <w:rFonts w:hint="eastAsia"/>
        </w:rPr>
        <w:t>中央银行和洪都拉斯国立自治大学的雇员参加由这两者自己管理的社会保险方案</w:t>
      </w:r>
      <w:r>
        <w:t>(</w:t>
      </w:r>
      <w:r>
        <w:rPr>
          <w:rFonts w:hint="eastAsia"/>
        </w:rPr>
        <w:t>加上洪都拉斯社会保障协会的方案</w:t>
      </w:r>
      <w:r>
        <w:t>)</w:t>
      </w:r>
      <w:r>
        <w:rPr>
          <w:rFonts w:hint="eastAsia"/>
        </w:rPr>
        <w:t>。中央银行的社会保险方案是洪都拉斯的第一个此种方案。该方案提供依服务年限而定的退休金、残废抚恤金、死亡抚恤金、丧葬费等，并为所提供的服务支付额外费用。该方案还提供住房贷款。国立自主大学社会保障协会提供依</w:t>
      </w:r>
      <w:r>
        <w:rPr>
          <w:rFonts w:hint="eastAsia"/>
        </w:rPr>
        <w:t>服务年限而定的退休金、残废抚恤金、会员死亡抚恤金、丧葬费及离职偿金。加入该方案的人员也可申请个人贷款和住房贷款。</w:t>
      </w:r>
    </w:p>
    <w:p w:rsidR="00000000" w:rsidRDefault="000C45AD">
      <w:pPr>
        <w:pStyle w:val="Heading4"/>
      </w:pPr>
      <w:r>
        <w:rPr>
          <w:rFonts w:hint="eastAsia"/>
        </w:rPr>
        <w:t>国家在社会保障方面的作用</w:t>
      </w:r>
    </w:p>
    <w:p w:rsidR="00000000" w:rsidRDefault="000C45AD">
      <w:r>
        <w:tab/>
        <w:t xml:space="preserve">111.  </w:t>
      </w:r>
      <w:r>
        <w:rPr>
          <w:rFonts w:hint="eastAsia"/>
        </w:rPr>
        <w:t>《宪法》规定，社会保障机构须由洪都拉斯社会保障协会供资并管理。但是，国家也需建立社会救济和保障机构，以作为由国家和参与者出资的统一的国家系统的一部分。因此，除洪都拉斯社会保障协会外，还设有其他社会保障机构，主要提供残废抚恤金、老年补助金、遗属抚恤金等，以替代并补充洪都拉斯社会保障协会提供的福利金。</w:t>
      </w:r>
    </w:p>
    <w:p w:rsidR="00000000" w:rsidRDefault="000C45AD">
      <w:r>
        <w:tab/>
        <w:t xml:space="preserve">112.  </w:t>
      </w:r>
      <w:r>
        <w:rPr>
          <w:rFonts w:hint="eastAsia"/>
        </w:rPr>
        <w:t>国家在社会保障系统中发挥调控、监督和管理作用</w:t>
      </w:r>
      <w:r>
        <w:rPr>
          <w:rFonts w:hint="eastAsia"/>
        </w:rPr>
        <w:t>。因此，国家既是该系统的经营者，也是其管理者，这一点降低了社会保障管理部门独立于政府主管机构的程度</w:t>
      </w:r>
      <w:r>
        <w:t>(</w:t>
      </w:r>
      <w:r>
        <w:rPr>
          <w:rFonts w:hint="eastAsia"/>
        </w:rPr>
        <w:t>国务部长为管理委员会成员</w:t>
      </w:r>
      <w:r>
        <w:t>)</w:t>
      </w:r>
      <w:r>
        <w:rPr>
          <w:rFonts w:hint="eastAsia"/>
        </w:rPr>
        <w:t>。此外，由于国家直接参与对管理机构的管理，因此它必须充当该系统的保障者，而国家在这方面的作用应主要是为工人规定为社会保障进行储蓄的义务。</w:t>
      </w:r>
    </w:p>
    <w:p w:rsidR="00000000" w:rsidRDefault="000C45AD">
      <w:r>
        <w:tab/>
        <w:t xml:space="preserve">113.  </w:t>
      </w:r>
      <w:r>
        <w:rPr>
          <w:rFonts w:hint="eastAsia"/>
        </w:rPr>
        <w:t>国家本身并作为雇主向社会保障系统提供资金。国家投入的资金不是专用来援助低收入成员的，相反，现行安排往往对高收入工人有利。此外，现正把国内资源提供给一个覆盖着不到三分之一人口的系统。</w:t>
      </w:r>
    </w:p>
    <w:p w:rsidR="00000000" w:rsidRDefault="000C45AD">
      <w:r>
        <w:tab/>
        <w:t xml:space="preserve">114.  </w:t>
      </w:r>
      <w:r>
        <w:rPr>
          <w:rFonts w:hint="eastAsia"/>
        </w:rPr>
        <w:t>用于具体由从会员数目上看为最大的三家机</w:t>
      </w:r>
      <w:r>
        <w:rPr>
          <w:rFonts w:hint="eastAsia"/>
        </w:rPr>
        <w:t>构</w:t>
      </w:r>
      <w:r>
        <w:t>(</w:t>
      </w:r>
      <w:r>
        <w:rPr>
          <w:rFonts w:hint="eastAsia"/>
        </w:rPr>
        <w:t>洪都拉斯社会保障协会、国家公职人员退休和养老金协会、全国教师保险协会</w:t>
      </w:r>
      <w:r>
        <w:t>)</w:t>
      </w:r>
      <w:r>
        <w:rPr>
          <w:rFonts w:hint="eastAsia"/>
        </w:rPr>
        <w:t>经营的各个社会保障方案的开支，约占国内总产值的</w:t>
      </w:r>
      <w:r>
        <w:t>0.05%</w:t>
      </w:r>
      <w:r>
        <w:rPr>
          <w:rFonts w:hint="eastAsia"/>
        </w:rPr>
        <w:t>。</w:t>
      </w:r>
    </w:p>
    <w:p w:rsidR="00000000" w:rsidRDefault="000C45AD">
      <w:r>
        <w:tab/>
        <w:t xml:space="preserve">115.  </w:t>
      </w:r>
      <w:r>
        <w:rPr>
          <w:rFonts w:hint="eastAsia"/>
        </w:rPr>
        <w:t>家庭雇工、独立经营者、临时工和季节性工人以及农业工人等，可不参加强制性社会保险。</w:t>
      </w:r>
    </w:p>
    <w:p w:rsidR="00000000" w:rsidRDefault="000C45AD">
      <w:r>
        <w:tab/>
        <w:t xml:space="preserve">116.  </w:t>
      </w:r>
      <w:r>
        <w:rPr>
          <w:rFonts w:hint="eastAsia"/>
        </w:rPr>
        <w:t>洪都拉斯社会保障系统的实施，在赋予男子和妇女的资格权利方面是公平的。国家公职人员退休和养老金协会和全国教师保险协会领取老年福利金的资格年龄极低。男女会员可分别在</w:t>
      </w:r>
      <w:r>
        <w:t>58</w:t>
      </w:r>
      <w:r>
        <w:rPr>
          <w:rFonts w:hint="eastAsia"/>
        </w:rPr>
        <w:t>岁和</w:t>
      </w:r>
      <w:r>
        <w:t>50</w:t>
      </w:r>
      <w:r>
        <w:rPr>
          <w:rFonts w:hint="eastAsia"/>
        </w:rPr>
        <w:t>岁领取养老金。</w:t>
      </w:r>
    </w:p>
    <w:p w:rsidR="00000000" w:rsidRDefault="000C45AD">
      <w:pPr>
        <w:spacing w:after="320"/>
        <w:textAlignment w:val="center"/>
      </w:pPr>
      <w:r>
        <w:tab/>
        <w:t xml:space="preserve">117.  </w:t>
      </w:r>
      <w:r>
        <w:rPr>
          <w:rFonts w:hint="eastAsia"/>
        </w:rPr>
        <w:t>洪都拉斯的社会保障方案是为公务员、教师、武装部队成员、新闻工作者等</w:t>
      </w:r>
      <w:r>
        <w:rPr>
          <w:rFonts w:hint="eastAsia"/>
        </w:rPr>
        <w:t>特定人口群体服务的，因此，各方案间的合作较少，并且主要与技术事项的管理有关。</w:t>
      </w:r>
    </w:p>
    <w:p w:rsidR="00000000" w:rsidRDefault="000C45AD">
      <w:pPr>
        <w:pStyle w:val="Heading4"/>
      </w:pPr>
      <w:r>
        <w:rPr>
          <w:rFonts w:hint="eastAsia"/>
        </w:rPr>
        <w:t>家庭的定义</w:t>
      </w:r>
    </w:p>
    <w:p w:rsidR="00000000" w:rsidRDefault="000C45AD">
      <w:r>
        <w:tab/>
        <w:t xml:space="preserve">118.  </w:t>
      </w:r>
      <w:r>
        <w:rPr>
          <w:rFonts w:hint="eastAsia"/>
        </w:rPr>
        <w:t>依据洪都拉斯的法律制度，家庭为了一切法律目的，是指由生身父母或养父母以及第四级血亲关系和第二级亲族关系内的亲属组成的群体，该群体的存在是为了使人类能够得到延续、繁衍和全面发展。</w:t>
      </w:r>
    </w:p>
    <w:p w:rsidR="00000000" w:rsidRDefault="000C45AD">
      <w:r>
        <w:tab/>
        <w:t xml:space="preserve">119.  </w:t>
      </w:r>
      <w:r>
        <w:rPr>
          <w:rFonts w:hint="eastAsia"/>
        </w:rPr>
        <w:t>《宪法》关于社会权利的第三章第</w:t>
      </w:r>
      <w:r>
        <w:t>111</w:t>
      </w:r>
      <w:r>
        <w:rPr>
          <w:rFonts w:hint="eastAsia"/>
        </w:rPr>
        <w:t>条规定，“家庭、婚姻、产妇和儿童受到国家保护”。父母有义务对受扶养的未成年子女进行监护，向其提供保护，并管理其财产。除法律规定的特殊情形外，并且除非完全为了对其加以保护，不得将儿童</w:t>
      </w:r>
      <w:r>
        <w:rPr>
          <w:rFonts w:hint="eastAsia"/>
        </w:rPr>
        <w:t>与其生身亲属分开。</w:t>
      </w:r>
    </w:p>
    <w:p w:rsidR="00000000" w:rsidRDefault="000C45AD">
      <w:r>
        <w:tab/>
        <w:t xml:space="preserve">120.  </w:t>
      </w:r>
      <w:r>
        <w:rPr>
          <w:rFonts w:hint="eastAsia"/>
        </w:rPr>
        <w:t>除《儿童和青少年法》已有规定外，总的家庭关系尤其是父母</w:t>
      </w:r>
      <w:r>
        <w:rPr>
          <w:rFonts w:hint="eastAsia"/>
          <w:spacing w:val="-40"/>
        </w:rPr>
        <w:t>——</w:t>
      </w:r>
      <w:r>
        <w:t xml:space="preserve"> </w:t>
      </w:r>
      <w:r>
        <w:rPr>
          <w:rFonts w:hint="eastAsia"/>
        </w:rPr>
        <w:t>子女关系由《家庭法》加以规定。《家庭法》第</w:t>
      </w:r>
      <w:r>
        <w:t>58</w:t>
      </w:r>
      <w:r>
        <w:rPr>
          <w:rFonts w:hint="eastAsia"/>
        </w:rPr>
        <w:t>条规定，“国家应当促进家庭稳定和家庭成员的福利，并向最为贫困的家庭提供援助，使这些家庭能够履行本法和其他有关法律之下的义务”。</w:t>
      </w:r>
    </w:p>
    <w:p w:rsidR="00000000" w:rsidRDefault="000C45AD">
      <w:r>
        <w:tab/>
        <w:t xml:space="preserve">121.  </w:t>
      </w:r>
      <w:r>
        <w:rPr>
          <w:rFonts w:hint="eastAsia"/>
        </w:rPr>
        <w:t>第</w:t>
      </w:r>
      <w:r>
        <w:t>59</w:t>
      </w:r>
      <w:r>
        <w:rPr>
          <w:rFonts w:hint="eastAsia"/>
        </w:rPr>
        <w:t>条规定：“父亲和母亲或儿童的法定代理人应当设法直接消除在子女或儿童的生活条件、扶养、保护和教育等方面可能出现的任何争执。如果此种争执无法消除，应依照《家庭法》的规定加以解决。”</w:t>
      </w:r>
    </w:p>
    <w:p w:rsidR="00000000" w:rsidRDefault="000C45AD">
      <w:r>
        <w:tab/>
        <w:t xml:space="preserve">122.  </w:t>
      </w:r>
      <w:r>
        <w:rPr>
          <w:rFonts w:hint="eastAsia"/>
        </w:rPr>
        <w:t>洪都拉斯现行立法规定了一个人开始</w:t>
      </w:r>
      <w:r>
        <w:rPr>
          <w:rFonts w:hint="eastAsia"/>
        </w:rPr>
        <w:t>享受和行使某些权利的几个年龄。例如，成人年龄为</w:t>
      </w:r>
      <w:r>
        <w:t>21</w:t>
      </w:r>
      <w:r>
        <w:rPr>
          <w:rFonts w:hint="eastAsia"/>
        </w:rPr>
        <w:t>岁，据认为，人到了这一年龄已能独立地充分享受和行使一切法定权利，并履行所有义务。</w:t>
      </w:r>
    </w:p>
    <w:p w:rsidR="00000000" w:rsidRDefault="000C45AD">
      <w:r>
        <w:tab/>
        <w:t xml:space="preserve">123.  </w:t>
      </w:r>
      <w:r>
        <w:rPr>
          <w:rFonts w:hint="eastAsia"/>
        </w:rPr>
        <w:t>《宪法》第三章第</w:t>
      </w:r>
      <w:r>
        <w:t>36</w:t>
      </w:r>
      <w:r>
        <w:rPr>
          <w:rFonts w:hint="eastAsia"/>
        </w:rPr>
        <w:t>条规定：“所有</w:t>
      </w:r>
      <w:r>
        <w:t>18</w:t>
      </w:r>
      <w:r>
        <w:rPr>
          <w:rFonts w:hint="eastAsia"/>
        </w:rPr>
        <w:t>岁以上的洪都拉斯人被视为公民”。这就出现了“准成年人”</w:t>
      </w:r>
      <w:r>
        <w:t>(18-21</w:t>
      </w:r>
      <w:r>
        <w:rPr>
          <w:rFonts w:hint="eastAsia"/>
        </w:rPr>
        <w:t>岁</w:t>
      </w:r>
      <w:r>
        <w:t>)</w:t>
      </w:r>
      <w:r>
        <w:rPr>
          <w:rFonts w:hint="eastAsia"/>
        </w:rPr>
        <w:t>这一类别。《宪法》第</w:t>
      </w:r>
      <w:r>
        <w:t>37</w:t>
      </w:r>
      <w:r>
        <w:rPr>
          <w:rFonts w:hint="eastAsia"/>
        </w:rPr>
        <w:t>条规定公民享有以下权利：有权投票并在选举中担任候选人；有资格担任公职；有权组成政党，入党或退党；公民还享有《宪法》和法律承认的其他权利。</w:t>
      </w:r>
      <w:r>
        <w:t>12</w:t>
      </w:r>
      <w:r>
        <w:rPr>
          <w:rFonts w:hint="eastAsia"/>
        </w:rPr>
        <w:t>至</w:t>
      </w:r>
      <w:r>
        <w:t>18</w:t>
      </w:r>
      <w:r>
        <w:rPr>
          <w:rFonts w:hint="eastAsia"/>
        </w:rPr>
        <w:t>岁的青少年如果犯罪，适用《未成年人管辖法》。</w:t>
      </w:r>
      <w:r>
        <w:t>12</w:t>
      </w:r>
      <w:r>
        <w:rPr>
          <w:rFonts w:hint="eastAsia"/>
        </w:rPr>
        <w:t>岁以下的儿童不得被起诉。</w:t>
      </w:r>
      <w:r>
        <w:t>14</w:t>
      </w:r>
      <w:r>
        <w:rPr>
          <w:rFonts w:hint="eastAsia"/>
        </w:rPr>
        <w:t>至</w:t>
      </w:r>
      <w:r>
        <w:t>16</w:t>
      </w:r>
      <w:r>
        <w:rPr>
          <w:rFonts w:hint="eastAsia"/>
        </w:rPr>
        <w:t>的儿童</w:t>
      </w:r>
      <w:r>
        <w:rPr>
          <w:rFonts w:hint="eastAsia"/>
        </w:rPr>
        <w:t>有缔结就业合同的能力。</w:t>
      </w:r>
    </w:p>
    <w:p w:rsidR="00000000" w:rsidRDefault="000C45AD">
      <w:r>
        <w:tab/>
        <w:t xml:space="preserve">124.  </w:t>
      </w:r>
      <w:r>
        <w:rPr>
          <w:rFonts w:hint="eastAsia"/>
        </w:rPr>
        <w:t>在农业方面，</w:t>
      </w:r>
      <w:r>
        <w:t>16</w:t>
      </w:r>
      <w:r>
        <w:rPr>
          <w:rFonts w:hint="eastAsia"/>
        </w:rPr>
        <w:t>岁以上者如得到一块土地或参加合伙企业的，即有能力管理这块土地，将其作抵押，并可依据国家土地管理局授予的资格得到贷款。</w:t>
      </w:r>
    </w:p>
    <w:p w:rsidR="00000000" w:rsidRDefault="000C45AD">
      <w:pPr>
        <w:spacing w:after="320"/>
        <w:textAlignment w:val="center"/>
      </w:pPr>
      <w:r>
        <w:tab/>
        <w:t xml:space="preserve">125.  </w:t>
      </w:r>
      <w:r>
        <w:rPr>
          <w:rFonts w:hint="eastAsia"/>
        </w:rPr>
        <w:t>《商业法》规定，未成年人脱离父母而独立生活的，或得到准许或批准</w:t>
      </w:r>
      <w:r>
        <w:t>(</w:t>
      </w:r>
      <w:r>
        <w:rPr>
          <w:rFonts w:hint="eastAsia"/>
        </w:rPr>
        <w:t>事实上的自立</w:t>
      </w:r>
      <w:r>
        <w:t>)</w:t>
      </w:r>
      <w:r>
        <w:rPr>
          <w:rFonts w:hint="eastAsia"/>
        </w:rPr>
        <w:t>的，可经营商业企业并取得商人的法律地位，未成年人不符合上述规定，或因年龄或其他原因而无法达到其他自然条件的，可依继承或因商业企业的赠与而经商。</w:t>
      </w:r>
    </w:p>
    <w:p w:rsidR="00000000" w:rsidRDefault="000C45AD">
      <w:pPr>
        <w:pStyle w:val="Heading4"/>
      </w:pPr>
      <w:r>
        <w:rPr>
          <w:rFonts w:hint="eastAsia"/>
        </w:rPr>
        <w:t>家庭补助和保护</w:t>
      </w:r>
    </w:p>
    <w:p w:rsidR="00000000" w:rsidRDefault="000C45AD">
      <w:r>
        <w:tab/>
        <w:t xml:space="preserve">126.  </w:t>
      </w:r>
      <w:r>
        <w:rPr>
          <w:rFonts w:hint="eastAsia"/>
        </w:rPr>
        <w:t>洪都拉斯现设有国家社会福利委员会</w:t>
      </w:r>
      <w:r>
        <w:t>(</w:t>
      </w:r>
      <w:r>
        <w:rPr>
          <w:rFonts w:hint="eastAsia"/>
        </w:rPr>
        <w:t>下称“社会福利委员会”</w:t>
      </w:r>
      <w:r>
        <w:t>)</w:t>
      </w:r>
      <w:r>
        <w:rPr>
          <w:rFonts w:hint="eastAsia"/>
        </w:rPr>
        <w:t>，该委员会由第一</w:t>
      </w:r>
      <w:r>
        <w:rPr>
          <w:rFonts w:hint="eastAsia"/>
        </w:rPr>
        <w:t>夫人担任负责人。社会福利委员会是儿童、青少年和家庭国家政策的管理机构。委员会属于半独立公法机构，具有法人地位，在财务上独立，并拥有自己的资产。</w:t>
      </w:r>
    </w:p>
    <w:p w:rsidR="00000000" w:rsidRDefault="000C45AD">
      <w:r>
        <w:tab/>
        <w:t xml:space="preserve">127.  </w:t>
      </w:r>
      <w:r>
        <w:rPr>
          <w:rFonts w:hint="eastAsia"/>
        </w:rPr>
        <w:t>委员会负责对与向儿童和家庭提供保护和社会补助有关的活动和方案进行管理，提供指导，并落实这些活动和方案；为此，委员会筹划设立并维持一些实现其目标所需的中心和机构。</w:t>
      </w:r>
    </w:p>
    <w:p w:rsidR="00000000" w:rsidRDefault="000C45AD">
      <w:r>
        <w:tab/>
        <w:t xml:space="preserve">128.  </w:t>
      </w:r>
      <w:r>
        <w:rPr>
          <w:rFonts w:hint="eastAsia"/>
        </w:rPr>
        <w:t>社会福利依据的是一些方案，这些方案目的是通过团体倡导活动，改善和巩固家庭关系；通过援助中心和团体指导活动，保护儿童，确保其福利；并通过提倡开展团体活动，发起进行街区行动。</w:t>
      </w:r>
    </w:p>
    <w:p w:rsidR="00000000" w:rsidRDefault="000C45AD">
      <w:pPr>
        <w:spacing w:after="320"/>
        <w:textAlignment w:val="center"/>
      </w:pPr>
      <w:r>
        <w:tab/>
        <w:t>12</w:t>
      </w:r>
      <w:r>
        <w:t xml:space="preserve">9.  </w:t>
      </w:r>
      <w:r>
        <w:rPr>
          <w:rFonts w:hint="eastAsia"/>
        </w:rPr>
        <w:t>在目前这一国家现代化时期内，计划将福利委员会变为洪都拉斯儿童和家庭协会，以便以尽可能低的管理费用提供技术上可行的服务，并对援助儿童、青少年及家庭的经费转拨和项目进行管理。</w:t>
      </w:r>
    </w:p>
    <w:p w:rsidR="00000000" w:rsidRDefault="000C45AD">
      <w:pPr>
        <w:pStyle w:val="Heading4"/>
      </w:pPr>
      <w:r>
        <w:rPr>
          <w:rFonts w:hint="eastAsia"/>
        </w:rPr>
        <w:t>保护儿童和青少年</w:t>
      </w:r>
    </w:p>
    <w:p w:rsidR="00000000" w:rsidRDefault="000C45AD">
      <w:r>
        <w:tab/>
        <w:t xml:space="preserve">130.  </w:t>
      </w:r>
      <w:r>
        <w:rPr>
          <w:rFonts w:hint="eastAsia"/>
        </w:rPr>
        <w:t>《儿童和青少年法》在这方面载有以下规定。第</w:t>
      </w:r>
      <w:r>
        <w:t>114</w:t>
      </w:r>
      <w:r>
        <w:rPr>
          <w:rFonts w:hint="eastAsia"/>
        </w:rPr>
        <w:t>条：“国家有义务为逐步废除童工制定政策，并制订、促进、执行旨在废除童工的方案。国家还应拟订方案，向子女有可能充当童工的家庭提供救济”。</w:t>
      </w:r>
    </w:p>
    <w:p w:rsidR="00000000" w:rsidRDefault="000C45AD">
      <w:r>
        <w:tab/>
        <w:t xml:space="preserve">131.  </w:t>
      </w:r>
      <w:r>
        <w:rPr>
          <w:rFonts w:hint="eastAsia"/>
        </w:rPr>
        <w:t>第</w:t>
      </w:r>
      <w:r>
        <w:t>115</w:t>
      </w:r>
      <w:r>
        <w:rPr>
          <w:rFonts w:hint="eastAsia"/>
        </w:rPr>
        <w:t>条规定，儿童从事的工作应当与儿童的年龄、体力及心理和品德发展相适应。劳工和社会保险部的劳工和社</w:t>
      </w:r>
      <w:r>
        <w:rPr>
          <w:rFonts w:hint="eastAsia"/>
        </w:rPr>
        <w:t>会保险机构需要防止儿童遭受经济剥削，并确保儿童不从事危险工作，也不从事阻碍其教育或影响其健康或身心发展的工作。</w:t>
      </w:r>
    </w:p>
    <w:p w:rsidR="00000000" w:rsidRDefault="000C45AD">
      <w:r>
        <w:tab/>
        <w:t xml:space="preserve">132.  </w:t>
      </w:r>
      <w:r>
        <w:rPr>
          <w:rFonts w:hint="eastAsia"/>
        </w:rPr>
        <w:t>进入劳动力队伍行列的儿童有权领取工资，享受社会福利以及法律或单项或集体合同提供给</w:t>
      </w:r>
      <w:r>
        <w:t>18</w:t>
      </w:r>
      <w:r>
        <w:rPr>
          <w:rFonts w:hint="eastAsia"/>
        </w:rPr>
        <w:t>岁以上的工人的其他福利，还有资格享受因其年龄和发育程度而依据《劳工法》和《儿童与青少年法》向其提供的特殊福利。</w:t>
      </w:r>
    </w:p>
    <w:p w:rsidR="00000000" w:rsidRDefault="000C45AD">
      <w:r>
        <w:tab/>
        <w:t xml:space="preserve">133.  </w:t>
      </w:r>
      <w:r>
        <w:rPr>
          <w:rFonts w:hint="eastAsia"/>
        </w:rPr>
        <w:t>童工的工资必须与工时相称。第</w:t>
      </w:r>
      <w:r>
        <w:t>116</w:t>
      </w:r>
      <w:r>
        <w:rPr>
          <w:rFonts w:hint="eastAsia"/>
        </w:rPr>
        <w:t>条还规定，怀孕或以母乳喂养婴儿的童工应受特殊保护。</w:t>
      </w:r>
    </w:p>
    <w:p w:rsidR="00000000" w:rsidRDefault="000C45AD">
      <w:r>
        <w:tab/>
        <w:t xml:space="preserve">134.  </w:t>
      </w:r>
      <w:r>
        <w:rPr>
          <w:rFonts w:hint="eastAsia"/>
        </w:rPr>
        <w:t>除支付报酬以外，儿童从事的工作还应当提供培训和指导</w:t>
      </w:r>
      <w:r>
        <w:t>(</w:t>
      </w:r>
      <w:r>
        <w:rPr>
          <w:rFonts w:hint="eastAsia"/>
        </w:rPr>
        <w:t>第</w:t>
      </w:r>
      <w:r>
        <w:t>117</w:t>
      </w:r>
      <w:r>
        <w:rPr>
          <w:rFonts w:hint="eastAsia"/>
        </w:rPr>
        <w:t>条</w:t>
      </w:r>
      <w:r>
        <w:t>)</w:t>
      </w:r>
      <w:r>
        <w:rPr>
          <w:rFonts w:hint="eastAsia"/>
        </w:rPr>
        <w:t>。儿童从事的</w:t>
      </w:r>
      <w:r>
        <w:rPr>
          <w:rFonts w:hint="eastAsia"/>
        </w:rPr>
        <w:t>工作不得使其发展受到任何阻碍。为此，劳工和社会保险部劳工和社会保险机构必须与公共教育系统保持密切协调关系</w:t>
      </w:r>
      <w:r>
        <w:t>(</w:t>
      </w:r>
      <w:r>
        <w:rPr>
          <w:rFonts w:hint="eastAsia"/>
        </w:rPr>
        <w:t>第</w:t>
      </w:r>
      <w:r>
        <w:t>118</w:t>
      </w:r>
      <w:r>
        <w:rPr>
          <w:rFonts w:hint="eastAsia"/>
        </w:rPr>
        <w:t>条</w:t>
      </w:r>
      <w:r>
        <w:t>)</w:t>
      </w:r>
      <w:r>
        <w:rPr>
          <w:rFonts w:hint="eastAsia"/>
        </w:rPr>
        <w:t>。</w:t>
      </w:r>
    </w:p>
    <w:p w:rsidR="00000000" w:rsidRDefault="000C45AD">
      <w:r>
        <w:tab/>
        <w:t xml:space="preserve">135.  </w:t>
      </w:r>
      <w:r>
        <w:rPr>
          <w:rFonts w:hint="eastAsia"/>
        </w:rPr>
        <w:t>第</w:t>
      </w:r>
      <w:r>
        <w:t>133</w:t>
      </w:r>
      <w:r>
        <w:rPr>
          <w:rFonts w:hint="eastAsia"/>
        </w:rPr>
        <w:t>条要求上述机构颁布关于以下各项的条例：</w:t>
      </w:r>
    </w:p>
    <w:p w:rsidR="00000000" w:rsidRDefault="000C45AD" w:rsidP="000C45AD">
      <w:pPr>
        <w:pStyle w:val="a0"/>
        <w:numPr>
          <w:ilvl w:val="0"/>
          <w:numId w:val="2"/>
        </w:numPr>
        <w:ind w:left="1531" w:hanging="510"/>
      </w:pPr>
      <w:r>
        <w:rPr>
          <w:rFonts w:hint="eastAsia"/>
        </w:rPr>
        <w:t>适用于学徒期间学徒或工人或雇主的违法行为的行政处罚办法；</w:t>
      </w:r>
    </w:p>
    <w:p w:rsidR="00000000" w:rsidRDefault="000C45AD" w:rsidP="000C45AD">
      <w:pPr>
        <w:pStyle w:val="a0"/>
        <w:numPr>
          <w:ilvl w:val="0"/>
          <w:numId w:val="2"/>
        </w:numPr>
        <w:ind w:left="1531" w:hanging="510"/>
      </w:pPr>
      <w:r>
        <w:rPr>
          <w:rFonts w:hint="eastAsia"/>
        </w:rPr>
        <w:t>必须向童工、童工的父母或法定代理人及其雇主提供的指导，涉及童工的权利和义务、工时、许可证和福利以及职业健康措施等；</w:t>
      </w:r>
    </w:p>
    <w:p w:rsidR="00000000" w:rsidRDefault="000C45AD" w:rsidP="000C45AD">
      <w:pPr>
        <w:pStyle w:val="a0"/>
        <w:numPr>
          <w:ilvl w:val="0"/>
          <w:numId w:val="2"/>
        </w:numPr>
        <w:ind w:left="1531" w:hanging="510"/>
      </w:pPr>
      <w:r>
        <w:rPr>
          <w:rFonts w:hint="eastAsia"/>
        </w:rPr>
        <w:t>对童工以及总的来说与儿童从事的工作有关的其他事项进行检查的程序。</w:t>
      </w:r>
    </w:p>
    <w:p w:rsidR="00000000" w:rsidRDefault="000C45AD">
      <w:r>
        <w:tab/>
        <w:t xml:space="preserve">136.  </w:t>
      </w:r>
      <w:r>
        <w:rPr>
          <w:rFonts w:hint="eastAsia"/>
        </w:rPr>
        <w:t>第</w:t>
      </w:r>
      <w:r>
        <w:t>134</w:t>
      </w:r>
      <w:r>
        <w:rPr>
          <w:rFonts w:hint="eastAsia"/>
        </w:rPr>
        <w:t>条规定，犯有以下行为的，将受到经济剥削指控，并被判处三至五年监禁：</w:t>
      </w:r>
    </w:p>
    <w:p w:rsidR="00000000" w:rsidRDefault="000C45AD" w:rsidP="000C45AD">
      <w:pPr>
        <w:pStyle w:val="a0"/>
        <w:numPr>
          <w:ilvl w:val="0"/>
          <w:numId w:val="3"/>
        </w:numPr>
        <w:ind w:left="1531" w:hanging="510"/>
      </w:pPr>
      <w:r>
        <w:rPr>
          <w:rFonts w:hint="eastAsia"/>
        </w:rPr>
        <w:t>逼迫儿童从事极长时间的工作或从事夜间工作；</w:t>
      </w:r>
    </w:p>
    <w:p w:rsidR="00000000" w:rsidRDefault="000C45AD" w:rsidP="000C45AD">
      <w:pPr>
        <w:pStyle w:val="a0"/>
        <w:numPr>
          <w:ilvl w:val="0"/>
          <w:numId w:val="3"/>
        </w:numPr>
        <w:ind w:left="1531" w:hanging="510"/>
      </w:pPr>
      <w:r>
        <w:rPr>
          <w:rFonts w:hint="eastAsia"/>
        </w:rPr>
        <w:t>逼迫儿童从事工作以领取工资；</w:t>
      </w:r>
    </w:p>
    <w:p w:rsidR="00000000" w:rsidRDefault="000C45AD" w:rsidP="000C45AD">
      <w:pPr>
        <w:pStyle w:val="a0"/>
        <w:numPr>
          <w:ilvl w:val="0"/>
          <w:numId w:val="3"/>
        </w:numPr>
        <w:ind w:left="1531" w:hanging="510"/>
      </w:pPr>
      <w:r>
        <w:rPr>
          <w:rFonts w:hint="eastAsia"/>
        </w:rPr>
        <w:t>怂恿、教唆或逼迫儿童从事卖淫、色情、淫秽及不道德等非法活动；</w:t>
      </w:r>
    </w:p>
    <w:p w:rsidR="00000000" w:rsidRDefault="000C45AD" w:rsidP="000C45AD">
      <w:pPr>
        <w:pStyle w:val="a0"/>
        <w:numPr>
          <w:ilvl w:val="0"/>
          <w:numId w:val="3"/>
        </w:numPr>
        <w:ind w:left="1531" w:hanging="510"/>
      </w:pPr>
      <w:r>
        <w:rPr>
          <w:rFonts w:hint="eastAsia"/>
        </w:rPr>
        <w:t>教唆或逼迫儿童从事其他非法活动；</w:t>
      </w:r>
    </w:p>
    <w:p w:rsidR="00000000" w:rsidRDefault="000C45AD" w:rsidP="000C45AD">
      <w:pPr>
        <w:pStyle w:val="a0"/>
        <w:numPr>
          <w:ilvl w:val="0"/>
          <w:numId w:val="3"/>
        </w:numPr>
        <w:ind w:left="1531" w:hanging="510"/>
      </w:pPr>
      <w:r>
        <w:rPr>
          <w:rFonts w:hint="eastAsia"/>
        </w:rPr>
        <w:t>为家务劳动目的侵犯《儿童和青少年法》规定的权利。在这一情形中，只有在有关人员在被要求停止雇用儿童后仍继续违反法规的情况下才对其进行处罚。</w:t>
      </w:r>
    </w:p>
    <w:p w:rsidR="00000000" w:rsidRDefault="000C45AD">
      <w:pPr>
        <w:spacing w:after="320"/>
        <w:textAlignment w:val="center"/>
      </w:pPr>
      <w:r>
        <w:tab/>
        <w:t xml:space="preserve">137.  </w:t>
      </w:r>
      <w:r>
        <w:rPr>
          <w:rFonts w:hint="eastAsia"/>
        </w:rPr>
        <w:t>《儿童和青少年法》第</w:t>
      </w:r>
      <w:r>
        <w:t>120</w:t>
      </w:r>
      <w:r>
        <w:rPr>
          <w:rFonts w:hint="eastAsia"/>
        </w:rPr>
        <w:t>条对各种职业中儿童从事领取报酬工作的年龄限制作了规定。该条规定：“工作许可证应单独发放，而且必须列明最长工时以及服务的提供将依据的条件。未满</w:t>
      </w:r>
      <w:r>
        <w:t>14</w:t>
      </w:r>
      <w:r>
        <w:rPr>
          <w:rFonts w:hint="eastAsia"/>
        </w:rPr>
        <w:t>岁的儿童禁止从事任</w:t>
      </w:r>
      <w:r>
        <w:rPr>
          <w:rFonts w:hint="eastAsia"/>
        </w:rPr>
        <w:t>何工作”。</w:t>
      </w:r>
    </w:p>
    <w:p w:rsidR="00000000" w:rsidRDefault="000C45AD">
      <w:pPr>
        <w:pStyle w:val="Heading3"/>
      </w:pPr>
      <w:r>
        <w:rPr>
          <w:rFonts w:hint="eastAsia"/>
        </w:rPr>
        <w:t>第</w:t>
      </w:r>
      <w:r>
        <w:t xml:space="preserve"> 11 </w:t>
      </w:r>
      <w:r>
        <w:rPr>
          <w:rFonts w:hint="eastAsia"/>
        </w:rPr>
        <w:t>条</w:t>
      </w:r>
    </w:p>
    <w:p w:rsidR="00000000" w:rsidRDefault="000C45AD">
      <w:pPr>
        <w:pStyle w:val="Heading3"/>
      </w:pPr>
      <w:r>
        <w:rPr>
          <w:rFonts w:hint="eastAsia"/>
        </w:rPr>
        <w:t>生</w:t>
      </w:r>
      <w:r>
        <w:t xml:space="preserve"> </w:t>
      </w:r>
      <w:r>
        <w:rPr>
          <w:rFonts w:hint="eastAsia"/>
        </w:rPr>
        <w:t>活</w:t>
      </w:r>
      <w:r>
        <w:t xml:space="preserve"> </w:t>
      </w:r>
      <w:r>
        <w:rPr>
          <w:rFonts w:hint="eastAsia"/>
        </w:rPr>
        <w:t>水</w:t>
      </w:r>
      <w:r>
        <w:t xml:space="preserve"> </w:t>
      </w:r>
      <w:r>
        <w:rPr>
          <w:rFonts w:hint="eastAsia"/>
        </w:rPr>
        <w:t>平</w:t>
      </w:r>
    </w:p>
    <w:p w:rsidR="00000000" w:rsidRDefault="000C45AD">
      <w:pPr>
        <w:pStyle w:val="NormalIndent"/>
      </w:pPr>
      <w:r>
        <w:t xml:space="preserve">138.  </w:t>
      </w:r>
      <w:r>
        <w:rPr>
          <w:rFonts w:hint="eastAsia"/>
        </w:rPr>
        <w:t>将根据目前的教育、卫生、就业和住房情况对洪都拉斯人民的生活水平进行分析。</w:t>
      </w:r>
    </w:p>
    <w:p w:rsidR="00000000" w:rsidRDefault="000C45AD">
      <w:pPr>
        <w:pStyle w:val="NormalIndent"/>
      </w:pPr>
      <w:r>
        <w:t xml:space="preserve">139.  </w:t>
      </w:r>
      <w:r>
        <w:rPr>
          <w:rFonts w:hint="eastAsia"/>
        </w:rPr>
        <w:t>综观全局，扫盲工作取得了巨大的进展</w:t>
      </w:r>
      <w:r>
        <w:rPr>
          <w:vertAlign w:val="superscript"/>
        </w:rPr>
        <w:t>1</w:t>
      </w:r>
      <w:r>
        <w:t xml:space="preserve"> </w:t>
      </w:r>
      <w:r>
        <w:rPr>
          <w:rFonts w:hint="eastAsia"/>
        </w:rPr>
        <w:t>，文盲率从</w:t>
      </w:r>
      <w:r>
        <w:t>1974</w:t>
      </w:r>
      <w:r>
        <w:rPr>
          <w:rFonts w:hint="eastAsia"/>
        </w:rPr>
        <w:t>年的</w:t>
      </w:r>
      <w:r>
        <w:t>42%</w:t>
      </w:r>
      <w:r>
        <w:rPr>
          <w:rFonts w:hint="eastAsia"/>
        </w:rPr>
        <w:t>下降到</w:t>
      </w:r>
      <w:r>
        <w:t>1988</w:t>
      </w:r>
      <w:r>
        <w:rPr>
          <w:rFonts w:hint="eastAsia"/>
        </w:rPr>
        <w:t>年的</w:t>
      </w:r>
      <w:r>
        <w:t>32%</w:t>
      </w:r>
      <w:r>
        <w:rPr>
          <w:rFonts w:hint="eastAsia"/>
        </w:rPr>
        <w:t>，</w:t>
      </w:r>
      <w:r>
        <w:t>1993</w:t>
      </w:r>
      <w:r>
        <w:rPr>
          <w:rFonts w:hint="eastAsia"/>
        </w:rPr>
        <w:t>年估计为</w:t>
      </w:r>
      <w:r>
        <w:t>29.4%</w:t>
      </w:r>
      <w:r>
        <w:rPr>
          <w:rFonts w:hint="eastAsia"/>
        </w:rPr>
        <w:t>，但这一进展还是不够的。</w:t>
      </w:r>
      <w:r>
        <w:t>1994</w:t>
      </w:r>
      <w:r>
        <w:rPr>
          <w:rFonts w:hint="eastAsia"/>
        </w:rPr>
        <w:t>年全体人口的就学平均年数为</w:t>
      </w:r>
      <w:r>
        <w:t>4.2</w:t>
      </w:r>
      <w:r>
        <w:rPr>
          <w:rFonts w:hint="eastAsia"/>
        </w:rPr>
        <w:t>年。据信，</w:t>
      </w:r>
      <w:r>
        <w:t>60%</w:t>
      </w:r>
      <w:r>
        <w:rPr>
          <w:rFonts w:hint="eastAsia"/>
        </w:rPr>
        <w:t>的经济活跃人口的就学时间还不足</w:t>
      </w:r>
      <w:r>
        <w:t>3</w:t>
      </w:r>
      <w:r>
        <w:rPr>
          <w:rFonts w:hint="eastAsia"/>
        </w:rPr>
        <w:t>年。</w:t>
      </w:r>
    </w:p>
    <w:p w:rsidR="00000000" w:rsidRDefault="000C45AD">
      <w:pPr>
        <w:pStyle w:val="NormalIndent"/>
      </w:pPr>
      <w:r>
        <w:t xml:space="preserve">140.  </w:t>
      </w:r>
      <w:r>
        <w:rPr>
          <w:rFonts w:hint="eastAsia"/>
        </w:rPr>
        <w:t>然而，提高教育覆盖面和质量的工作的有效性受到了各级教育层次中出现的高辍学率、高留级率和高旷课率的影响。教育的另一个问题是该部</w:t>
      </w:r>
      <w:r>
        <w:rPr>
          <w:rFonts w:hint="eastAsia"/>
        </w:rPr>
        <w:t>门的公共开支的分配缺乏平衡，因为这种开支集中地用于高等教育。在全体学生人数中占</w:t>
      </w:r>
      <w:r>
        <w:t>3%</w:t>
      </w:r>
      <w:r>
        <w:rPr>
          <w:rFonts w:hint="eastAsia"/>
        </w:rPr>
        <w:t>的高等教育</w:t>
      </w:r>
      <w:r>
        <w:t>(</w:t>
      </w:r>
      <w:r>
        <w:rPr>
          <w:rFonts w:hint="eastAsia"/>
        </w:rPr>
        <w:t>平均为</w:t>
      </w:r>
      <w:r>
        <w:t>41,500</w:t>
      </w:r>
      <w:r>
        <w:rPr>
          <w:rFonts w:hint="eastAsia"/>
        </w:rPr>
        <w:t>人</w:t>
      </w:r>
      <w:r>
        <w:t>)</w:t>
      </w:r>
      <w:r>
        <w:rPr>
          <w:rFonts w:hint="eastAsia"/>
        </w:rPr>
        <w:t>的预算主要来自于中产阶级和中上层阶级，占教育部预算总额的</w:t>
      </w:r>
      <w:r>
        <w:t>18%</w:t>
      </w:r>
      <w:r>
        <w:rPr>
          <w:rFonts w:hint="eastAsia"/>
        </w:rPr>
        <w:t>，而</w:t>
      </w:r>
      <w:r>
        <w:t>1995</w:t>
      </w:r>
      <w:r>
        <w:rPr>
          <w:rFonts w:hint="eastAsia"/>
        </w:rPr>
        <w:t>年占学生总人数</w:t>
      </w:r>
      <w:r>
        <w:t>85.2%</w:t>
      </w:r>
      <w:r>
        <w:rPr>
          <w:rFonts w:hint="eastAsia"/>
        </w:rPr>
        <w:t>的初级教育</w:t>
      </w:r>
      <w:r>
        <w:t>(</w:t>
      </w:r>
      <w:r>
        <w:rPr>
          <w:rFonts w:hint="eastAsia"/>
        </w:rPr>
        <w:t>总数为</w:t>
      </w:r>
      <w:r>
        <w:t>1,034,948</w:t>
      </w:r>
      <w:r>
        <w:rPr>
          <w:rFonts w:hint="eastAsia"/>
        </w:rPr>
        <w:t>名学生</w:t>
      </w:r>
      <w:r>
        <w:t>)</w:t>
      </w:r>
      <w:r>
        <w:rPr>
          <w:rFonts w:hint="eastAsia"/>
        </w:rPr>
        <w:t>只获得预算总额的</w:t>
      </w:r>
      <w:r>
        <w:t>48%</w:t>
      </w:r>
      <w:r>
        <w:rPr>
          <w:rFonts w:hint="eastAsia"/>
        </w:rPr>
        <w:t>。</w:t>
      </w:r>
    </w:p>
    <w:p w:rsidR="00000000" w:rsidRDefault="000C45AD">
      <w:pPr>
        <w:pStyle w:val="NormalIndent"/>
      </w:pPr>
      <w:r>
        <w:t xml:space="preserve">141.  </w:t>
      </w:r>
      <w:r>
        <w:rPr>
          <w:rFonts w:hint="eastAsia"/>
        </w:rPr>
        <w:t>学生的健康水平</w:t>
      </w:r>
      <w:r>
        <w:rPr>
          <w:vertAlign w:val="superscript"/>
        </w:rPr>
        <w:t>2</w:t>
      </w:r>
      <w:r>
        <w:t xml:space="preserve">  </w:t>
      </w:r>
      <w:r>
        <w:rPr>
          <w:rFonts w:hint="eastAsia"/>
        </w:rPr>
        <w:t>在过去</w:t>
      </w:r>
      <w:r>
        <w:t>4</w:t>
      </w:r>
      <w:r>
        <w:rPr>
          <w:rFonts w:hint="eastAsia"/>
        </w:rPr>
        <w:t>年中不断改善，但在就医、医疗服务覆盖面和医疗质量方面仍存在着持续的问题。主要由腹泻和呼吸道感染引起的严重疾病的发病率很高。对民众的身体健康造成严重影响的其他严重问题是营养不良症和疟疾。</w:t>
      </w:r>
    </w:p>
    <w:p w:rsidR="00000000" w:rsidRDefault="000C45AD">
      <w:pPr>
        <w:pStyle w:val="NormalIndent"/>
      </w:pPr>
      <w:r>
        <w:t>1</w:t>
      </w:r>
      <w:r>
        <w:t xml:space="preserve">42.  </w:t>
      </w:r>
      <w:r>
        <w:rPr>
          <w:rFonts w:hint="eastAsia"/>
        </w:rPr>
        <w:t>产妇死亡率在每十万活产中为</w:t>
      </w:r>
      <w:r>
        <w:t xml:space="preserve">221, </w:t>
      </w:r>
      <w:r>
        <w:rPr>
          <w:rFonts w:hint="eastAsia"/>
        </w:rPr>
        <w:t>婴儿死亡率根据</w:t>
      </w:r>
      <w:r>
        <w:t>1994</w:t>
      </w:r>
      <w:r>
        <w:rPr>
          <w:rFonts w:hint="eastAsia"/>
        </w:rPr>
        <w:t>年的</w:t>
      </w:r>
      <w:r>
        <w:t>ENESF</w:t>
      </w:r>
      <w:r>
        <w:rPr>
          <w:rFonts w:hint="eastAsia"/>
        </w:rPr>
        <w:t>在拉丁美洲是最高的，平均</w:t>
      </w:r>
      <w:r>
        <w:t>1000</w:t>
      </w:r>
      <w:r>
        <w:rPr>
          <w:rFonts w:hint="eastAsia"/>
        </w:rPr>
        <w:t>个活产儿中就有</w:t>
      </w:r>
      <w:r>
        <w:t>42</w:t>
      </w:r>
      <w:r>
        <w:rPr>
          <w:rFonts w:hint="eastAsia"/>
        </w:rPr>
        <w:t>个死婴。</w:t>
      </w:r>
      <w:r>
        <w:t>70%</w:t>
      </w:r>
      <w:r>
        <w:rPr>
          <w:rFonts w:hint="eastAsia"/>
        </w:rPr>
        <w:t>的死亡是由急性呼吸道感染、腹泻和肺结核病造成的，剩余的</w:t>
      </w:r>
      <w:r>
        <w:t>30%</w:t>
      </w:r>
      <w:r>
        <w:rPr>
          <w:rFonts w:hint="eastAsia"/>
        </w:rPr>
        <w:t>则死于其他原因。因母亲死亡而造成的胎儿死亡率为</w:t>
      </w:r>
      <w:r>
        <w:t>33%</w:t>
      </w:r>
      <w:r>
        <w:rPr>
          <w:rFonts w:hint="eastAsia"/>
        </w:rPr>
        <w:t>。每</w:t>
      </w:r>
      <w:r>
        <w:t>4</w:t>
      </w:r>
      <w:r>
        <w:rPr>
          <w:rFonts w:hint="eastAsia"/>
        </w:rPr>
        <w:t>小时就有一名不满周岁的儿童死亡，而这些死亡</w:t>
      </w:r>
      <w:r>
        <w:t>(</w:t>
      </w:r>
      <w:r>
        <w:rPr>
          <w:rFonts w:hint="eastAsia"/>
        </w:rPr>
        <w:t>新生死亡和产后死亡</w:t>
      </w:r>
      <w:r>
        <w:t>)</w:t>
      </w:r>
      <w:r>
        <w:rPr>
          <w:rFonts w:hint="eastAsia"/>
        </w:rPr>
        <w:t>是由可以避免的传染病、营养不良和环境因素</w:t>
      </w:r>
      <w:r>
        <w:t>(</w:t>
      </w:r>
      <w:r>
        <w:rPr>
          <w:rFonts w:hint="eastAsia"/>
        </w:rPr>
        <w:t>由水和其他渠道传染的疾病</w:t>
      </w:r>
      <w:r>
        <w:t>)</w:t>
      </w:r>
      <w:r>
        <w:rPr>
          <w:rFonts w:hint="eastAsia"/>
        </w:rPr>
        <w:t>造成的。还发现文盲母亲所生孩子的死亡率比平均死亡率高出</w:t>
      </w:r>
      <w:r>
        <w:t>3</w:t>
      </w:r>
      <w:r>
        <w:rPr>
          <w:rFonts w:hint="eastAsia"/>
        </w:rPr>
        <w:t>倍。疟疾的发病率不断扩大，受影响的人口指数已从</w:t>
      </w:r>
      <w:r>
        <w:t>1993</w:t>
      </w:r>
      <w:r>
        <w:rPr>
          <w:rFonts w:hint="eastAsia"/>
        </w:rPr>
        <w:t>年的</w:t>
      </w:r>
      <w:r>
        <w:t>1</w:t>
      </w:r>
      <w:r>
        <w:t>1</w:t>
      </w:r>
      <w:r>
        <w:rPr>
          <w:rFonts w:hint="eastAsia"/>
        </w:rPr>
        <w:t>‰上升到</w:t>
      </w:r>
      <w:r>
        <w:t>1995</w:t>
      </w:r>
      <w:r>
        <w:rPr>
          <w:rFonts w:hint="eastAsia"/>
        </w:rPr>
        <w:t>年的</w:t>
      </w:r>
      <w:r>
        <w:t>12</w:t>
      </w:r>
      <w:r>
        <w:rPr>
          <w:rFonts w:hint="eastAsia"/>
        </w:rPr>
        <w:t>‰。</w:t>
      </w:r>
    </w:p>
    <w:p w:rsidR="00000000" w:rsidRDefault="000C45AD">
      <w:pPr>
        <w:pStyle w:val="NormalIndent"/>
      </w:pPr>
      <w:r>
        <w:t xml:space="preserve">143.  </w:t>
      </w:r>
      <w:r>
        <w:rPr>
          <w:rFonts w:hint="eastAsia"/>
        </w:rPr>
        <w:t>环境卫生问题</w:t>
      </w:r>
      <w:r>
        <w:rPr>
          <w:vertAlign w:val="superscript"/>
        </w:rPr>
        <w:t>3</w:t>
      </w:r>
      <w:r>
        <w:t xml:space="preserve">  </w:t>
      </w:r>
      <w:r>
        <w:rPr>
          <w:rFonts w:hint="eastAsia"/>
        </w:rPr>
        <w:t>包括食品卫生管理不严，可供人使用的饮用水短缺，家庭卫生设施及粪便和垃圾处理服务很差。下列指数反映了这一情况：</w:t>
      </w:r>
      <w:r>
        <w:t>35%</w:t>
      </w:r>
      <w:r>
        <w:rPr>
          <w:rFonts w:hint="eastAsia"/>
        </w:rPr>
        <w:t>的家庭不具备管道饮用水的供应，</w:t>
      </w:r>
      <w:r>
        <w:t>40%</w:t>
      </w:r>
      <w:r>
        <w:rPr>
          <w:rFonts w:hint="eastAsia"/>
        </w:rPr>
        <w:t>的家庭没有良好的粪便处置方法。破坏森林和自然水资源以及使用将健康考虑置于次要位置的某些地区的发展方法导致了其他不同程度的问题的出现。</w:t>
      </w:r>
    </w:p>
    <w:p w:rsidR="00000000" w:rsidRDefault="000C45AD">
      <w:pPr>
        <w:pStyle w:val="NormalIndent"/>
      </w:pPr>
      <w:r>
        <w:t xml:space="preserve">144.  </w:t>
      </w:r>
      <w:r>
        <w:rPr>
          <w:rFonts w:hint="eastAsia"/>
        </w:rPr>
        <w:t>营养不足给国家造成了长期的社会经济代价，其主要原因是损害了青少年的健康、身体发育、智力发展和学习能力。</w:t>
      </w:r>
    </w:p>
    <w:p w:rsidR="00000000" w:rsidRDefault="000C45AD">
      <w:pPr>
        <w:pStyle w:val="NormalIndent"/>
      </w:pPr>
      <w:r>
        <w:t xml:space="preserve">145.  </w:t>
      </w:r>
      <w:r>
        <w:rPr>
          <w:rFonts w:hint="eastAsia"/>
        </w:rPr>
        <w:t>公共卫生部的医疗设施和</w:t>
      </w:r>
      <w:r>
        <w:t>IHSS</w:t>
      </w:r>
      <w:r>
        <w:rPr>
          <w:rFonts w:hint="eastAsia"/>
        </w:rPr>
        <w:t>中的体重</w:t>
      </w:r>
      <w:r>
        <w:rPr>
          <w:rFonts w:hint="eastAsia"/>
        </w:rPr>
        <w:t>偏低儿童的比率从</w:t>
      </w:r>
      <w:r>
        <w:t>80</w:t>
      </w:r>
      <w:r>
        <w:rPr>
          <w:rFonts w:hint="eastAsia"/>
        </w:rPr>
        <w:t>年代的</w:t>
      </w:r>
      <w:r>
        <w:t>7%</w:t>
      </w:r>
      <w:r>
        <w:rPr>
          <w:rFonts w:hint="eastAsia"/>
        </w:rPr>
        <w:t>至</w:t>
      </w:r>
      <w:r>
        <w:t>8.7%</w:t>
      </w:r>
      <w:r>
        <w:rPr>
          <w:rFonts w:hint="eastAsia"/>
        </w:rPr>
        <w:t>上升到</w:t>
      </w:r>
      <w:r>
        <w:t>1993</w:t>
      </w:r>
      <w:r>
        <w:rPr>
          <w:rFonts w:hint="eastAsia"/>
        </w:rPr>
        <w:t>年的</w:t>
      </w:r>
      <w:r>
        <w:t>11%</w:t>
      </w:r>
      <w:r>
        <w:rPr>
          <w:rFonts w:hint="eastAsia"/>
        </w:rPr>
        <w:t>。</w:t>
      </w:r>
    </w:p>
    <w:p w:rsidR="00000000" w:rsidRDefault="000C45AD">
      <w:pPr>
        <w:pStyle w:val="NormalIndent"/>
      </w:pPr>
      <w:r>
        <w:t xml:space="preserve">146.  </w:t>
      </w:r>
      <w:r>
        <w:rPr>
          <w:rFonts w:hint="eastAsia"/>
        </w:rPr>
        <w:t>患有营养不良症的未满</w:t>
      </w:r>
      <w:r>
        <w:t>5</w:t>
      </w:r>
      <w:r>
        <w:rPr>
          <w:rFonts w:hint="eastAsia"/>
        </w:rPr>
        <w:t>岁的儿童从</w:t>
      </w:r>
      <w:r>
        <w:t>1987</w:t>
      </w:r>
      <w:r>
        <w:rPr>
          <w:rFonts w:hint="eastAsia"/>
        </w:rPr>
        <w:t>年的</w:t>
      </w:r>
      <w:r>
        <w:t>48.6%</w:t>
      </w:r>
      <w:r>
        <w:rPr>
          <w:rFonts w:hint="eastAsia"/>
        </w:rPr>
        <w:t>上升到</w:t>
      </w:r>
      <w:r>
        <w:t>1991</w:t>
      </w:r>
      <w:r>
        <w:rPr>
          <w:rFonts w:hint="eastAsia"/>
        </w:rPr>
        <w:t>年的</w:t>
      </w:r>
      <w:r>
        <w:t>52.5%</w:t>
      </w:r>
      <w:r>
        <w:rPr>
          <w:rFonts w:hint="eastAsia"/>
        </w:rPr>
        <w:t>。根据卫生部的统计数字，</w:t>
      </w:r>
      <w:r>
        <w:t>1990</w:t>
      </w:r>
      <w:r>
        <w:rPr>
          <w:rFonts w:hint="eastAsia"/>
        </w:rPr>
        <w:t>年婴儿死亡率的</w:t>
      </w:r>
      <w:r>
        <w:t>2.1%</w:t>
      </w:r>
      <w:r>
        <w:rPr>
          <w:rFonts w:hint="eastAsia"/>
        </w:rPr>
        <w:t>与营养不良有关，而</w:t>
      </w:r>
      <w:r>
        <w:t>1980</w:t>
      </w:r>
      <w:r>
        <w:rPr>
          <w:rFonts w:hint="eastAsia"/>
        </w:rPr>
        <w:t>年则为</w:t>
      </w:r>
      <w:r>
        <w:t>0.9%</w:t>
      </w:r>
      <w:r>
        <w:rPr>
          <w:rFonts w:hint="eastAsia"/>
        </w:rPr>
        <w:t>。这是该国人口大部分遭受贫困打击所造成的一个后果。</w:t>
      </w:r>
    </w:p>
    <w:p w:rsidR="00000000" w:rsidRDefault="000C45AD">
      <w:pPr>
        <w:pStyle w:val="NormalIndent"/>
      </w:pPr>
      <w:r>
        <w:t xml:space="preserve">147.  </w:t>
      </w:r>
      <w:r>
        <w:rPr>
          <w:rFonts w:hint="eastAsia"/>
        </w:rPr>
        <w:t>在就读小学一年级的</w:t>
      </w:r>
      <w:r>
        <w:t>6</w:t>
      </w:r>
      <w:r>
        <w:rPr>
          <w:rFonts w:hint="eastAsia"/>
        </w:rPr>
        <w:t>岁至</w:t>
      </w:r>
      <w:r>
        <w:t>9</w:t>
      </w:r>
      <w:r>
        <w:rPr>
          <w:rFonts w:hint="eastAsia"/>
        </w:rPr>
        <w:t>岁的儿童中，根据体重</w:t>
      </w:r>
      <w:r>
        <w:t>/</w:t>
      </w:r>
      <w:r>
        <w:rPr>
          <w:rFonts w:hint="eastAsia"/>
        </w:rPr>
        <w:t>年龄指数测出的长期营养不良症从</w:t>
      </w:r>
      <w:r>
        <w:t>1994</w:t>
      </w:r>
      <w:r>
        <w:rPr>
          <w:rFonts w:hint="eastAsia"/>
        </w:rPr>
        <w:t>年</w:t>
      </w:r>
      <w:r>
        <w:t>38.1%</w:t>
      </w:r>
      <w:r>
        <w:rPr>
          <w:rFonts w:hint="eastAsia"/>
        </w:rPr>
        <w:t>上升到</w:t>
      </w:r>
      <w:r>
        <w:t>1996</w:t>
      </w:r>
      <w:r>
        <w:rPr>
          <w:rFonts w:hint="eastAsia"/>
        </w:rPr>
        <w:t>年</w:t>
      </w:r>
      <w:r>
        <w:t>37.9%</w:t>
      </w:r>
      <w:r>
        <w:rPr>
          <w:vertAlign w:val="superscript"/>
        </w:rPr>
        <w:t>4</w:t>
      </w:r>
      <w:r>
        <w:t xml:space="preserve"> </w:t>
      </w:r>
      <w:r>
        <w:rPr>
          <w:rFonts w:hint="eastAsia"/>
        </w:rPr>
        <w:t>。在埃尔帕拉伊索省、科马亚瓜省、奥科特佩克省、科潘省、乔卢特卡省</w:t>
      </w:r>
      <w:r>
        <w:rPr>
          <w:rFonts w:hint="eastAsia"/>
        </w:rPr>
        <w:t>、圣巴巴拉省、拉巴斯省、伦皮拉省和因蒂布卡省，这一问题最为严重。由于目前农村在教育、卫生服务、饮用水供应和粪便处置等方面的情况，城乡地区的差距极大。附件中的一份图表显示了在</w:t>
      </w:r>
      <w:r>
        <w:t>1986</w:t>
      </w:r>
      <w:r>
        <w:rPr>
          <w:rFonts w:hint="eastAsia"/>
        </w:rPr>
        <w:t>年至</w:t>
      </w:r>
      <w:r>
        <w:t>1995</w:t>
      </w:r>
      <w:r>
        <w:rPr>
          <w:rFonts w:hint="eastAsia"/>
        </w:rPr>
        <w:t>年期间进行的各种学校普查的结果。</w:t>
      </w:r>
    </w:p>
    <w:p w:rsidR="00000000" w:rsidRDefault="000C45AD">
      <w:pPr>
        <w:pStyle w:val="NormalIndent"/>
      </w:pPr>
      <w:r>
        <w:t xml:space="preserve">148.  </w:t>
      </w:r>
      <w:r>
        <w:rPr>
          <w:rFonts w:hint="eastAsia"/>
        </w:rPr>
        <w:t>另一个营养问题是维生素</w:t>
      </w:r>
      <w:r>
        <w:t>A</w:t>
      </w:r>
      <w:r>
        <w:rPr>
          <w:rFonts w:hint="eastAsia"/>
        </w:rPr>
        <w:t>缺乏症，</w:t>
      </w:r>
      <w:r>
        <w:t xml:space="preserve">  </w:t>
      </w:r>
      <w:r>
        <w:rPr>
          <w:rFonts w:hint="eastAsia"/>
        </w:rPr>
        <w:t>因为据估计，目前</w:t>
      </w:r>
      <w:r>
        <w:t>90%</w:t>
      </w:r>
      <w:r>
        <w:rPr>
          <w:rFonts w:hint="eastAsia"/>
        </w:rPr>
        <w:t>的洪都拉斯家庭的维他命</w:t>
      </w:r>
      <w:r>
        <w:t>A</w:t>
      </w:r>
      <w:r>
        <w:rPr>
          <w:rFonts w:hint="eastAsia"/>
        </w:rPr>
        <w:t>的摄取量不足，</w:t>
      </w:r>
      <w:r>
        <w:t>20%</w:t>
      </w:r>
      <w:r>
        <w:rPr>
          <w:rFonts w:hint="eastAsia"/>
        </w:rPr>
        <w:t>的未满</w:t>
      </w:r>
      <w:r>
        <w:t>5</w:t>
      </w:r>
      <w:r>
        <w:rPr>
          <w:rFonts w:hint="eastAsia"/>
        </w:rPr>
        <w:t>周岁的儿童显示出这一缺乏症的症状</w:t>
      </w:r>
      <w:r>
        <w:rPr>
          <w:vertAlign w:val="superscript"/>
        </w:rPr>
        <w:t>3</w:t>
      </w:r>
      <w:r>
        <w:rPr>
          <w:rFonts w:hint="eastAsia"/>
        </w:rPr>
        <w:t>。</w:t>
      </w:r>
    </w:p>
    <w:p w:rsidR="00000000" w:rsidRDefault="000C45AD">
      <w:pPr>
        <w:pStyle w:val="NormalIndent"/>
      </w:pPr>
      <w:r>
        <w:t xml:space="preserve">149.  </w:t>
      </w:r>
      <w:r>
        <w:rPr>
          <w:rFonts w:hint="eastAsia"/>
        </w:rPr>
        <w:t>每个家庭获得食物、消费品和服务的程度大体上是由价格和收入水平决定的。在过去</w:t>
      </w:r>
      <w:r>
        <w:t>5</w:t>
      </w:r>
      <w:r>
        <w:rPr>
          <w:rFonts w:hint="eastAsia"/>
        </w:rPr>
        <w:t>年中，消费品价格指数上涨了</w:t>
      </w:r>
      <w:r>
        <w:t>96.6%</w:t>
      </w:r>
      <w:r>
        <w:rPr>
          <w:rFonts w:hint="eastAsia"/>
        </w:rPr>
        <w:t>，</w:t>
      </w:r>
      <w:r>
        <w:rPr>
          <w:rFonts w:hint="eastAsia"/>
        </w:rPr>
        <w:t>涨幅最大的是食品。这对百姓手中装基本食品的菜篮子的费用产生了影响，</w:t>
      </w:r>
      <w:r>
        <w:t>1990</w:t>
      </w:r>
      <w:r>
        <w:rPr>
          <w:rFonts w:hint="eastAsia"/>
        </w:rPr>
        <w:t>年的一篮子基本食品为</w:t>
      </w:r>
      <w:r>
        <w:t>16.43</w:t>
      </w:r>
      <w:r>
        <w:rPr>
          <w:rFonts w:hint="eastAsia"/>
        </w:rPr>
        <w:t>伦皮拉，</w:t>
      </w:r>
      <w:r>
        <w:t>1995</w:t>
      </w:r>
      <w:r>
        <w:rPr>
          <w:rFonts w:hint="eastAsia"/>
        </w:rPr>
        <w:t>年则为</w:t>
      </w:r>
      <w:r>
        <w:t>55.435</w:t>
      </w:r>
      <w:r>
        <w:rPr>
          <w:rFonts w:hint="eastAsia"/>
        </w:rPr>
        <w:t>伦皮拉</w:t>
      </w:r>
      <w:r>
        <w:rPr>
          <w:vertAlign w:val="superscript"/>
        </w:rPr>
        <w:t>5</w:t>
      </w:r>
      <w:r>
        <w:rPr>
          <w:rFonts w:hint="eastAsia"/>
        </w:rPr>
        <w:t>。</w:t>
      </w:r>
    </w:p>
    <w:p w:rsidR="00000000" w:rsidRDefault="000C45AD">
      <w:pPr>
        <w:pStyle w:val="NormalIndent"/>
      </w:pPr>
      <w:r>
        <w:t xml:space="preserve">150.  </w:t>
      </w:r>
      <w:r>
        <w:rPr>
          <w:rFonts w:hint="eastAsia"/>
        </w:rPr>
        <w:t>食品消费水平的低下反映了获取食品的困难。</w:t>
      </w:r>
      <w:r>
        <w:t>1987</w:t>
      </w:r>
      <w:r>
        <w:rPr>
          <w:rFonts w:hint="eastAsia"/>
        </w:rPr>
        <w:t>年，</w:t>
      </w:r>
      <w:r>
        <w:t>63%</w:t>
      </w:r>
      <w:r>
        <w:rPr>
          <w:rFonts w:hint="eastAsia"/>
        </w:rPr>
        <w:t>以上的家庭的热量需求未能得到满足，换句话说，它们营养不足。</w:t>
      </w:r>
      <w:r>
        <w:t>1994</w:t>
      </w:r>
      <w:r>
        <w:rPr>
          <w:rFonts w:hint="eastAsia"/>
        </w:rPr>
        <w:t>年，这一数字为</w:t>
      </w:r>
      <w:r>
        <w:t>77%</w:t>
      </w:r>
      <w:r>
        <w:rPr>
          <w:rFonts w:hint="eastAsia"/>
        </w:rPr>
        <w:t>，其中大多数家庭是农村家庭、低收入家庭和生活在洪都拉斯西部地区的家庭</w:t>
      </w:r>
      <w:r>
        <w:t>(</w:t>
      </w:r>
      <w:r>
        <w:rPr>
          <w:rFonts w:hint="eastAsia"/>
        </w:rPr>
        <w:t>奥科特佩克省、拉巴斯省、伦皮拉省、因蒂布卡省</w:t>
      </w:r>
      <w:r>
        <w:t>)</w:t>
      </w:r>
      <w:r>
        <w:rPr>
          <w:vertAlign w:val="superscript"/>
        </w:rPr>
        <w:t>5</w:t>
      </w:r>
      <w:r>
        <w:rPr>
          <w:rFonts w:hint="eastAsia"/>
        </w:rPr>
        <w:t>。</w:t>
      </w:r>
    </w:p>
    <w:p w:rsidR="00000000" w:rsidRDefault="000C45AD">
      <w:pPr>
        <w:pStyle w:val="NormalIndent"/>
        <w:spacing w:after="320"/>
        <w:textAlignment w:val="center"/>
      </w:pPr>
      <w:r>
        <w:t xml:space="preserve">151.  </w:t>
      </w:r>
      <w:r>
        <w:rPr>
          <w:rFonts w:hint="eastAsia"/>
        </w:rPr>
        <w:t>洪都拉斯的经济活跃人口</w:t>
      </w:r>
      <w:r>
        <w:rPr>
          <w:vertAlign w:val="superscript"/>
        </w:rPr>
        <w:t>6</w:t>
      </w:r>
      <w:r>
        <w:t xml:space="preserve">  </w:t>
      </w:r>
      <w:r>
        <w:rPr>
          <w:rFonts w:hint="eastAsia"/>
        </w:rPr>
        <w:t>占人口总数的</w:t>
      </w:r>
      <w:r>
        <w:t>35%</w:t>
      </w:r>
      <w:r>
        <w:rPr>
          <w:rFonts w:hint="eastAsia"/>
        </w:rPr>
        <w:t>。</w:t>
      </w:r>
      <w:r>
        <w:t>1995</w:t>
      </w:r>
      <w:r>
        <w:rPr>
          <w:rFonts w:hint="eastAsia"/>
        </w:rPr>
        <w:t>年的总就业人数大</w:t>
      </w:r>
      <w:r>
        <w:rPr>
          <w:rFonts w:hint="eastAsia"/>
        </w:rPr>
        <w:t>约为</w:t>
      </w:r>
      <w:r>
        <w:t>180</w:t>
      </w:r>
      <w:r>
        <w:rPr>
          <w:rFonts w:hint="eastAsia"/>
        </w:rPr>
        <w:t>万人，其中</w:t>
      </w:r>
      <w:r>
        <w:t>55%</w:t>
      </w:r>
      <w:r>
        <w:rPr>
          <w:rFonts w:hint="eastAsia"/>
        </w:rPr>
        <w:t>生活在农村地区。必须指出，农业、林业、渔业和狩猎部门占就业总人数的</w:t>
      </w:r>
      <w:r>
        <w:t>38%</w:t>
      </w:r>
      <w:r>
        <w:rPr>
          <w:rFonts w:hint="eastAsia"/>
        </w:rPr>
        <w:t>，工业</w:t>
      </w:r>
      <w:r>
        <w:t>(</w:t>
      </w:r>
      <w:r>
        <w:rPr>
          <w:rFonts w:hint="eastAsia"/>
        </w:rPr>
        <w:t>其中包括采矿业</w:t>
      </w:r>
      <w:r>
        <w:t>)</w:t>
      </w:r>
      <w:r>
        <w:rPr>
          <w:rFonts w:hint="eastAsia"/>
        </w:rPr>
        <w:t>占</w:t>
      </w:r>
      <w:r>
        <w:t>18%</w:t>
      </w:r>
      <w:r>
        <w:rPr>
          <w:rFonts w:hint="eastAsia"/>
        </w:rPr>
        <w:t>，而服务行业、商业、运输和建筑业占了剩余的</w:t>
      </w:r>
      <w:r>
        <w:t>44%</w:t>
      </w:r>
      <w:r>
        <w:rPr>
          <w:rFonts w:hint="eastAsia"/>
        </w:rPr>
        <w:t>。在后一部门中工作的经济活跃人口的百分比正在增加，而在初级和第二产业部门中的就业人数正在减少</w:t>
      </w:r>
      <w:r>
        <w:rPr>
          <w:vertAlign w:val="superscript"/>
        </w:rPr>
        <w:t>7</w:t>
      </w:r>
      <w:r>
        <w:rPr>
          <w:rFonts w:hint="eastAsia"/>
        </w:rPr>
        <w:t>。</w:t>
      </w:r>
    </w:p>
    <w:p w:rsidR="00000000" w:rsidRDefault="000C45AD">
      <w:pPr>
        <w:pStyle w:val="Heading4"/>
      </w:pPr>
      <w:r>
        <w:rPr>
          <w:rFonts w:hint="eastAsia"/>
        </w:rPr>
        <w:t>贫困的范围</w:t>
      </w:r>
    </w:p>
    <w:p w:rsidR="00000000" w:rsidRDefault="000C45AD">
      <w:pPr>
        <w:pStyle w:val="NormalIndent"/>
      </w:pPr>
      <w:r>
        <w:t xml:space="preserve">152.  </w:t>
      </w:r>
      <w:r>
        <w:rPr>
          <w:rFonts w:hint="eastAsia"/>
        </w:rPr>
        <w:t>为了确定具体地理区域的贫困程度，洪都拉斯利用</w:t>
      </w:r>
      <w:r>
        <w:t>1988</w:t>
      </w:r>
      <w:r>
        <w:rPr>
          <w:rFonts w:hint="eastAsia"/>
        </w:rPr>
        <w:t>年全国人口和住房普查所获的数据对未得到满足的基本需求进行了分析。这一指示数由</w:t>
      </w:r>
      <w:r>
        <w:t>6</w:t>
      </w:r>
      <w:r>
        <w:rPr>
          <w:rFonts w:hint="eastAsia"/>
        </w:rPr>
        <w:t>个变数组成：住房的类型、居住人数、饮用水的质量和供应、粪便处理系统、获取初级教育的</w:t>
      </w:r>
      <w:r>
        <w:rPr>
          <w:rFonts w:hint="eastAsia"/>
        </w:rPr>
        <w:t>便利程度和维持生计能力。</w:t>
      </w:r>
    </w:p>
    <w:p w:rsidR="00000000" w:rsidRDefault="000C45AD">
      <w:pPr>
        <w:pStyle w:val="NormalIndent"/>
      </w:pPr>
      <w:r>
        <w:t xml:space="preserve">153.  </w:t>
      </w:r>
      <w:r>
        <w:rPr>
          <w:rFonts w:hint="eastAsia"/>
        </w:rPr>
        <w:t>这些变数将城市地区分为五类。第一类包含了</w:t>
      </w:r>
      <w:r>
        <w:t>57</w:t>
      </w:r>
      <w:r>
        <w:rPr>
          <w:rFonts w:hint="eastAsia"/>
        </w:rPr>
        <w:t>个城市地区，其未满足的基本需求程度最高，在</w:t>
      </w:r>
      <w:r>
        <w:t>84%</w:t>
      </w:r>
      <w:r>
        <w:rPr>
          <w:rFonts w:hint="eastAsia"/>
        </w:rPr>
        <w:t>和</w:t>
      </w:r>
      <w:r>
        <w:t>62%</w:t>
      </w:r>
      <w:r>
        <w:rPr>
          <w:rFonts w:hint="eastAsia"/>
        </w:rPr>
        <w:t>之间。第二类包含</w:t>
      </w:r>
      <w:r>
        <w:t>32</w:t>
      </w:r>
      <w:r>
        <w:rPr>
          <w:rFonts w:hint="eastAsia"/>
        </w:rPr>
        <w:t>个城市地区，基本需求未满足程度在</w:t>
      </w:r>
      <w:r>
        <w:t>60%</w:t>
      </w:r>
      <w:r>
        <w:rPr>
          <w:rFonts w:hint="eastAsia"/>
        </w:rPr>
        <w:t>至</w:t>
      </w:r>
      <w:r>
        <w:t>51%</w:t>
      </w:r>
      <w:r>
        <w:rPr>
          <w:rFonts w:hint="eastAsia"/>
        </w:rPr>
        <w:t>之间，第三类包含</w:t>
      </w:r>
      <w:r>
        <w:t>64</w:t>
      </w:r>
      <w:r>
        <w:rPr>
          <w:rFonts w:hint="eastAsia"/>
        </w:rPr>
        <w:t>个城市地区，基本需求未满足程度在</w:t>
      </w:r>
      <w:r>
        <w:t>50%</w:t>
      </w:r>
      <w:r>
        <w:rPr>
          <w:rFonts w:hint="eastAsia"/>
        </w:rPr>
        <w:t>至</w:t>
      </w:r>
      <w:r>
        <w:t>41%</w:t>
      </w:r>
      <w:r>
        <w:rPr>
          <w:rFonts w:hint="eastAsia"/>
        </w:rPr>
        <w:t>之间，第四类包含</w:t>
      </w:r>
      <w:r>
        <w:t>56</w:t>
      </w:r>
      <w:r>
        <w:rPr>
          <w:rFonts w:hint="eastAsia"/>
        </w:rPr>
        <w:t>个城市地区，基本需求未满足程度在</w:t>
      </w:r>
      <w:r>
        <w:t>40%</w:t>
      </w:r>
      <w:r>
        <w:rPr>
          <w:rFonts w:hint="eastAsia"/>
        </w:rPr>
        <w:t>和</w:t>
      </w:r>
      <w:r>
        <w:t>32%</w:t>
      </w:r>
      <w:r>
        <w:rPr>
          <w:rFonts w:hint="eastAsia"/>
        </w:rPr>
        <w:t>之间，第五类包含</w:t>
      </w:r>
      <w:r>
        <w:t>85</w:t>
      </w:r>
      <w:r>
        <w:rPr>
          <w:rFonts w:hint="eastAsia"/>
        </w:rPr>
        <w:t>个城市地区，基本需求未满足程度在</w:t>
      </w:r>
      <w:r>
        <w:t>31%</w:t>
      </w:r>
      <w:r>
        <w:rPr>
          <w:rFonts w:hint="eastAsia"/>
        </w:rPr>
        <w:t>和</w:t>
      </w:r>
      <w:r>
        <w:t>2%</w:t>
      </w:r>
      <w:r>
        <w:rPr>
          <w:rFonts w:hint="eastAsia"/>
        </w:rPr>
        <w:t>之间。</w:t>
      </w:r>
    </w:p>
    <w:p w:rsidR="00000000" w:rsidRDefault="000C45AD">
      <w:pPr>
        <w:pStyle w:val="NormalIndent"/>
        <w:spacing w:after="320"/>
        <w:textAlignment w:val="center"/>
      </w:pPr>
      <w:r>
        <w:t xml:space="preserve">154.  </w:t>
      </w:r>
      <w:r>
        <w:rPr>
          <w:rFonts w:hint="eastAsia"/>
        </w:rPr>
        <w:t>迄今所发现的基本需求未满足程度最高的</w:t>
      </w:r>
      <w:r>
        <w:t>5</w:t>
      </w:r>
      <w:r>
        <w:rPr>
          <w:rFonts w:hint="eastAsia"/>
        </w:rPr>
        <w:t>个省份是因蒂布卡省、伦皮拉省、山谷省、拉巴斯省和奥兰乔</w:t>
      </w:r>
      <w:r>
        <w:rPr>
          <w:rFonts w:hint="eastAsia"/>
        </w:rPr>
        <w:t>省，而海湾群岛省、科尔特斯省和弗朗西斯科—莫拉桑省的条件则较好。</w:t>
      </w:r>
    </w:p>
    <w:p w:rsidR="00000000" w:rsidRDefault="000C45AD">
      <w:pPr>
        <w:pStyle w:val="Heading4"/>
      </w:pPr>
      <w:r>
        <w:rPr>
          <w:rFonts w:hint="eastAsia"/>
        </w:rPr>
        <w:t>享有充足食物的权利</w:t>
      </w:r>
    </w:p>
    <w:p w:rsidR="00000000" w:rsidRDefault="000C45AD">
      <w:pPr>
        <w:pStyle w:val="NormalIndent"/>
      </w:pPr>
      <w:r>
        <w:t xml:space="preserve">155.  </w:t>
      </w:r>
      <w:r>
        <w:rPr>
          <w:rFonts w:hint="eastAsia"/>
        </w:rPr>
        <w:t>洪都拉斯人对社会不安定问题的看法是基于下述认识，即主要原因是用于国内消费的自产或进口的食品的全国供应不够充分而且极不可靠。这一情况是由一系列影响国内粮食生产和生产率的复杂的因素以及与贸易有关的其他因素所造成的。换句话说，这是一个人们消费的食品的全国供应问题。</w:t>
      </w:r>
    </w:p>
    <w:p w:rsidR="00000000" w:rsidRDefault="000C45AD">
      <w:pPr>
        <w:pStyle w:val="NormalIndent"/>
      </w:pPr>
      <w:r>
        <w:t xml:space="preserve">156.  </w:t>
      </w:r>
      <w:r>
        <w:rPr>
          <w:rFonts w:hint="eastAsia"/>
        </w:rPr>
        <w:t>食品供应充足与否的主要确定因素是人均热量</w:t>
      </w:r>
      <w:r>
        <w:t>(</w:t>
      </w:r>
      <w:r>
        <w:rPr>
          <w:rFonts w:hint="eastAsia"/>
        </w:rPr>
        <w:t>卡路里</w:t>
      </w:r>
      <w:r>
        <w:t>)</w:t>
      </w:r>
      <w:r>
        <w:rPr>
          <w:rFonts w:hint="eastAsia"/>
        </w:rPr>
        <w:t>供应与人口平均热量需求的关系。在</w:t>
      </w:r>
      <w:r>
        <w:t>1980</w:t>
      </w:r>
      <w:r>
        <w:rPr>
          <w:rFonts w:hint="eastAsia"/>
        </w:rPr>
        <w:t>年至</w:t>
      </w:r>
      <w:r>
        <w:t>1992</w:t>
      </w:r>
      <w:r>
        <w:rPr>
          <w:rFonts w:hint="eastAsia"/>
        </w:rPr>
        <w:t>年期间，人均卡路里的摄取量略有上升，由蔬</w:t>
      </w:r>
      <w:r>
        <w:rPr>
          <w:rFonts w:hint="eastAsia"/>
        </w:rPr>
        <w:t>菜提供的热量比例保持在大约</w:t>
      </w:r>
      <w:r>
        <w:t>88%</w:t>
      </w:r>
      <w:r>
        <w:rPr>
          <w:rFonts w:hint="eastAsia"/>
        </w:rPr>
        <w:t>。这些数据只是平均数，鉴于供应的不平衡问题，某些人口群体的这些数据可能低得多。</w:t>
      </w:r>
    </w:p>
    <w:p w:rsidR="00000000" w:rsidRDefault="000C45AD">
      <w:pPr>
        <w:pStyle w:val="NormalIndent"/>
      </w:pPr>
      <w:r>
        <w:t xml:space="preserve">157.  </w:t>
      </w:r>
      <w:r>
        <w:rPr>
          <w:rFonts w:hint="eastAsia"/>
        </w:rPr>
        <w:t>在家庭中，食物供应取决于现有的粮食体系</w:t>
      </w:r>
      <w:r>
        <w:rPr>
          <w:rFonts w:hint="eastAsia"/>
          <w:spacing w:val="-40"/>
        </w:rPr>
        <w:t>——</w:t>
      </w:r>
      <w:r>
        <w:t xml:space="preserve"> </w:t>
      </w:r>
      <w:r>
        <w:rPr>
          <w:rFonts w:hint="eastAsia"/>
        </w:rPr>
        <w:t>国家市场或部分自产自用。这一因素影响了饮食的质量，在城市地区，食品种类通常较为广泛，不会象农村地区那样受耕作期的季节性变化的影响。储存和保存方法也影响了家庭和全国的粮食供应。</w:t>
      </w:r>
    </w:p>
    <w:p w:rsidR="00000000" w:rsidRDefault="000C45AD">
      <w:pPr>
        <w:pStyle w:val="NormalIndent"/>
      </w:pPr>
      <w:r>
        <w:t xml:space="preserve">158.  </w:t>
      </w:r>
      <w:r>
        <w:rPr>
          <w:rFonts w:hint="eastAsia"/>
        </w:rPr>
        <w:t>但是在获取所需的食品方面，即民众在获取食品方面的购买力极差，这是一个主要的问题，这一问题比供应问题和粮食及营养不安全问题更为严重。购买力主要根据收入水平和食</w:t>
      </w:r>
      <w:r>
        <w:rPr>
          <w:rFonts w:hint="eastAsia"/>
        </w:rPr>
        <w:t>品以及其他基本商品和服务的价格加以确定。而购买力又是由是否具有工作和挣取足够收入以满足基本需求的可能性所确定的。</w:t>
      </w:r>
    </w:p>
    <w:p w:rsidR="00000000" w:rsidRDefault="000C45AD">
      <w:pPr>
        <w:pStyle w:val="NormalIndent"/>
      </w:pPr>
      <w:r>
        <w:t xml:space="preserve">159.  </w:t>
      </w:r>
      <w:r>
        <w:rPr>
          <w:rFonts w:hint="eastAsia"/>
        </w:rPr>
        <w:t>对消费物价指数的分析显示，近几年</w:t>
      </w:r>
      <w:r>
        <w:t>(1993</w:t>
      </w:r>
      <w:r>
        <w:rPr>
          <w:rFonts w:hint="eastAsia"/>
        </w:rPr>
        <w:t>年至</w:t>
      </w:r>
      <w:r>
        <w:t>1994</w:t>
      </w:r>
      <w:r>
        <w:rPr>
          <w:rFonts w:hint="eastAsia"/>
        </w:rPr>
        <w:t>年和</w:t>
      </w:r>
      <w:r>
        <w:t>1994</w:t>
      </w:r>
      <w:r>
        <w:rPr>
          <w:rFonts w:hint="eastAsia"/>
        </w:rPr>
        <w:t>年至</w:t>
      </w:r>
      <w:r>
        <w:t>1995</w:t>
      </w:r>
      <w:r>
        <w:rPr>
          <w:rFonts w:hint="eastAsia"/>
        </w:rPr>
        <w:t>年</w:t>
      </w:r>
      <w:r>
        <w:t>)</w:t>
      </w:r>
      <w:r>
        <w:rPr>
          <w:rFonts w:hint="eastAsia"/>
        </w:rPr>
        <w:t>的涨幅分别是</w:t>
      </w:r>
      <w:r>
        <w:t>28.9%</w:t>
      </w:r>
      <w:r>
        <w:rPr>
          <w:rFonts w:hint="eastAsia"/>
        </w:rPr>
        <w:t>和</w:t>
      </w:r>
      <w:r>
        <w:t>26.8%</w:t>
      </w:r>
      <w:r>
        <w:rPr>
          <w:rFonts w:hint="eastAsia"/>
        </w:rPr>
        <w:t>。食品的涨幅</w:t>
      </w:r>
      <w:r>
        <w:t>1993</w:t>
      </w:r>
      <w:r>
        <w:rPr>
          <w:rFonts w:hint="eastAsia"/>
        </w:rPr>
        <w:t>年至</w:t>
      </w:r>
      <w:r>
        <w:t>1994</w:t>
      </w:r>
      <w:r>
        <w:rPr>
          <w:rFonts w:hint="eastAsia"/>
        </w:rPr>
        <w:t>年较大</w:t>
      </w:r>
      <w:r>
        <w:t>(35.7%)</w:t>
      </w:r>
      <w:r>
        <w:rPr>
          <w:rFonts w:hint="eastAsia"/>
        </w:rPr>
        <w:t>，而</w:t>
      </w:r>
      <w:r>
        <w:t>1994</w:t>
      </w:r>
      <w:r>
        <w:rPr>
          <w:rFonts w:hint="eastAsia"/>
        </w:rPr>
        <w:t>年至</w:t>
      </w:r>
      <w:r>
        <w:t>1995</w:t>
      </w:r>
      <w:r>
        <w:rPr>
          <w:rFonts w:hint="eastAsia"/>
        </w:rPr>
        <w:t>年的涨幅则较小</w:t>
      </w:r>
      <w:r>
        <w:t>(22.1%)</w:t>
      </w:r>
      <w:r>
        <w:rPr>
          <w:rFonts w:hint="eastAsia"/>
        </w:rPr>
        <w:t>。正如已经指出的那样，价格指数中所包含的食品部分对民众的菜篮子的成本产生了影响，</w:t>
      </w:r>
      <w:r>
        <w:t>1990</w:t>
      </w:r>
      <w:r>
        <w:rPr>
          <w:rFonts w:hint="eastAsia"/>
        </w:rPr>
        <w:t>年至</w:t>
      </w:r>
      <w:r>
        <w:t>1992</w:t>
      </w:r>
      <w:r>
        <w:rPr>
          <w:rFonts w:hint="eastAsia"/>
        </w:rPr>
        <w:t>年中，一个</w:t>
      </w:r>
      <w:r>
        <w:t>5</w:t>
      </w:r>
      <w:r>
        <w:rPr>
          <w:rFonts w:hint="eastAsia"/>
        </w:rPr>
        <w:t>口之家的菜篮子的费用为</w:t>
      </w:r>
      <w:r>
        <w:t>10.4</w:t>
      </w:r>
      <w:r>
        <w:rPr>
          <w:rFonts w:hint="eastAsia"/>
        </w:rPr>
        <w:t>伦皮拉，而</w:t>
      </w:r>
      <w:r>
        <w:t>1994</w:t>
      </w:r>
      <w:r>
        <w:rPr>
          <w:rFonts w:hint="eastAsia"/>
        </w:rPr>
        <w:t>年至</w:t>
      </w:r>
      <w:r>
        <w:t>1</w:t>
      </w:r>
      <w:r>
        <w:t>996</w:t>
      </w:r>
      <w:r>
        <w:rPr>
          <w:rFonts w:hint="eastAsia"/>
        </w:rPr>
        <w:t>年则涨至</w:t>
      </w:r>
      <w:r>
        <w:t>34.6</w:t>
      </w:r>
      <w:r>
        <w:rPr>
          <w:rFonts w:hint="eastAsia"/>
        </w:rPr>
        <w:t>伦皮拉。</w:t>
      </w:r>
    </w:p>
    <w:p w:rsidR="00000000" w:rsidRDefault="000C45AD">
      <w:pPr>
        <w:pStyle w:val="NormalIndent"/>
      </w:pPr>
      <w:r>
        <w:t xml:space="preserve">160.  </w:t>
      </w:r>
      <w:r>
        <w:rPr>
          <w:rFonts w:hint="eastAsia"/>
        </w:rPr>
        <w:t>民众的知识和信息水准是作出生产购买和消费具体食品的决定的一个重要因素。它与教育程度和民众获取信息的程度很有关系。此外，受教育程度也影响了就业机会和对这种服务的需求。</w:t>
      </w:r>
    </w:p>
    <w:p w:rsidR="00000000" w:rsidRDefault="000C45AD">
      <w:pPr>
        <w:pStyle w:val="NormalIndent"/>
        <w:spacing w:after="320"/>
        <w:textAlignment w:val="center"/>
      </w:pPr>
      <w:r>
        <w:t xml:space="preserve">161.  </w:t>
      </w:r>
      <w:r>
        <w:rPr>
          <w:rFonts w:hint="eastAsia"/>
        </w:rPr>
        <w:t>最后，落后的卫生条件引发了很高的传染病发病率，它转而又增加了对营养的需求，并影响了对摄取的营养物质的生理加工。健康和卫生标准仍然很低，这影响了人们的粮食和营养安全，因为正如指出的那样，它影响了人体对食物的生理加工并影响了摄取食物的质量。</w:t>
      </w:r>
    </w:p>
    <w:p w:rsidR="00000000" w:rsidRDefault="000C45AD">
      <w:pPr>
        <w:pStyle w:val="Heading4"/>
      </w:pPr>
      <w:r>
        <w:rPr>
          <w:rFonts w:hint="eastAsia"/>
        </w:rPr>
        <w:t>粮食和营养统计数据</w:t>
      </w:r>
    </w:p>
    <w:p w:rsidR="00000000" w:rsidRDefault="000C45AD">
      <w:pPr>
        <w:pStyle w:val="NormalIndent"/>
      </w:pPr>
      <w:r>
        <w:t xml:space="preserve">162.  </w:t>
      </w:r>
      <w:r>
        <w:rPr>
          <w:rFonts w:hint="eastAsia"/>
        </w:rPr>
        <w:t>在这一领域中所做的第</w:t>
      </w:r>
      <w:r>
        <w:rPr>
          <w:rFonts w:hint="eastAsia"/>
        </w:rPr>
        <w:t>一批研究之一是由中美洲和巴拿马营养研究所于</w:t>
      </w:r>
      <w:r>
        <w:t>1966</w:t>
      </w:r>
      <w:r>
        <w:rPr>
          <w:rFonts w:hint="eastAsia"/>
        </w:rPr>
        <w:t>年在整个地区进行的营养调查。它为每个国家编写了一份调查结果报告。</w:t>
      </w:r>
    </w:p>
    <w:p w:rsidR="00000000" w:rsidRDefault="000C45AD">
      <w:pPr>
        <w:pStyle w:val="NormalIndent"/>
      </w:pPr>
      <w:r>
        <w:t xml:space="preserve">163.  </w:t>
      </w:r>
      <w:r>
        <w:rPr>
          <w:rFonts w:hint="eastAsia"/>
        </w:rPr>
        <w:t>规划、协调和预算部对粮食和营养问题开展了另一项调查：它与教育和家庭补贴方案一起自</w:t>
      </w:r>
      <w:r>
        <w:t>1980</w:t>
      </w:r>
      <w:r>
        <w:rPr>
          <w:rFonts w:hint="eastAsia"/>
        </w:rPr>
        <w:t>年以来每年对一年级学生的身高开展年度调查，作为针对处于不利地位的人口群体的指标之一。下文中的表格登载了调查结果。</w:t>
      </w:r>
    </w:p>
    <w:p w:rsidR="00000000" w:rsidRDefault="000C45AD">
      <w:pPr>
        <w:pStyle w:val="NormalIndent"/>
      </w:pPr>
      <w:r>
        <w:t xml:space="preserve">164.  </w:t>
      </w:r>
      <w:r>
        <w:rPr>
          <w:rFonts w:hint="eastAsia"/>
        </w:rPr>
        <w:t>规划、协调和预算部还与中美洲和巴拿马营养研究所对</w:t>
      </w:r>
      <w:r>
        <w:t>1978</w:t>
      </w:r>
      <w:r>
        <w:rPr>
          <w:rFonts w:hint="eastAsia"/>
        </w:rPr>
        <w:t>年至</w:t>
      </w:r>
      <w:r>
        <w:t>1979</w:t>
      </w:r>
      <w:r>
        <w:rPr>
          <w:rFonts w:hint="eastAsia"/>
        </w:rPr>
        <w:t>年的粮食消费情况开展调查。卫生部于</w:t>
      </w:r>
      <w:r>
        <w:t>1987</w:t>
      </w:r>
      <w:r>
        <w:rPr>
          <w:rFonts w:hint="eastAsia"/>
        </w:rPr>
        <w:t>年进行了一项类似的调查，并于</w:t>
      </w:r>
      <w:r>
        <w:t>1994</w:t>
      </w:r>
      <w:r>
        <w:rPr>
          <w:rFonts w:hint="eastAsia"/>
        </w:rPr>
        <w:t>年与国际开发机构一起又作</w:t>
      </w:r>
      <w:r>
        <w:rPr>
          <w:rFonts w:hint="eastAsia"/>
        </w:rPr>
        <w:t>了一次类似调查。</w:t>
      </w:r>
    </w:p>
    <w:p w:rsidR="00000000" w:rsidRDefault="000C45AD">
      <w:pPr>
        <w:pStyle w:val="NormalIndent"/>
      </w:pPr>
      <w:r>
        <w:t xml:space="preserve">165.  </w:t>
      </w:r>
      <w:r>
        <w:rPr>
          <w:rFonts w:hint="eastAsia"/>
        </w:rPr>
        <w:t>国际开发机构还在教育部开展的流行病调查中对</w:t>
      </w:r>
      <w:r>
        <w:t>1990</w:t>
      </w:r>
      <w:r>
        <w:rPr>
          <w:rFonts w:hint="eastAsia"/>
        </w:rPr>
        <w:t>年至</w:t>
      </w:r>
      <w:r>
        <w:t>1992</w:t>
      </w:r>
      <w:r>
        <w:rPr>
          <w:rFonts w:hint="eastAsia"/>
        </w:rPr>
        <w:t>年期间的儿童发育情况进行了评估。国际开发机构和</w:t>
      </w:r>
      <w:r>
        <w:t>Ojo</w:t>
      </w:r>
      <w:r>
        <w:rPr>
          <w:rFonts w:hint="eastAsia"/>
        </w:rPr>
        <w:t>基金会于</w:t>
      </w:r>
      <w:r>
        <w:t>1996</w:t>
      </w:r>
      <w:r>
        <w:rPr>
          <w:rFonts w:hint="eastAsia"/>
        </w:rPr>
        <w:t>年开展了一项微营养元素调查。</w:t>
      </w:r>
    </w:p>
    <w:p w:rsidR="00000000" w:rsidRDefault="000C45AD">
      <w:pPr>
        <w:pStyle w:val="NormalIndent"/>
        <w:spacing w:after="320"/>
        <w:textAlignment w:val="center"/>
      </w:pPr>
      <w:r>
        <w:t xml:space="preserve">166.  </w:t>
      </w:r>
      <w:r>
        <w:rPr>
          <w:rFonts w:hint="eastAsia"/>
        </w:rPr>
        <w:t>极为重要的是应当指出，非政府组织和国际机构正在洪都拉斯的具体地区开展各项活动。它们对其自己区域的信息系统进行管理。</w:t>
      </w:r>
    </w:p>
    <w:p w:rsidR="00000000" w:rsidRDefault="000C45AD">
      <w:pPr>
        <w:pStyle w:val="Heading3"/>
      </w:pPr>
      <w:r>
        <w:rPr>
          <w:rFonts w:hint="eastAsia"/>
        </w:rPr>
        <w:t>洪都拉斯：</w:t>
      </w:r>
      <w:r>
        <w:t>6</w:t>
      </w:r>
      <w:r>
        <w:rPr>
          <w:rFonts w:hint="eastAsia"/>
        </w:rPr>
        <w:t>至</w:t>
      </w:r>
      <w:r>
        <w:t>9</w:t>
      </w:r>
      <w:r>
        <w:rPr>
          <w:rFonts w:hint="eastAsia"/>
        </w:rPr>
        <w:t>周岁儿童发育迟缓情况百分比</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3268"/>
        <w:gridCol w:w="1228"/>
        <w:gridCol w:w="1228"/>
        <w:gridCol w:w="1228"/>
        <w:gridCol w:w="1228"/>
        <w:gridCol w:w="1228"/>
      </w:tblGrid>
      <w:tr w:rsidR="00000000">
        <w:tblPrEx>
          <w:tblCellMar>
            <w:top w:w="0" w:type="dxa"/>
            <w:bottom w:w="0" w:type="dxa"/>
          </w:tblCellMar>
        </w:tblPrEx>
        <w:trPr>
          <w:tblHeader/>
        </w:trPr>
        <w:tc>
          <w:tcPr>
            <w:tcW w:w="3268" w:type="dxa"/>
            <w:tcBorders>
              <w:bottom w:val="nil"/>
              <w:right w:val="nil"/>
            </w:tcBorders>
          </w:tcPr>
          <w:p w:rsidR="00000000" w:rsidRDefault="000C45AD">
            <w:pPr>
              <w:spacing w:before="60" w:after="20" w:line="240" w:lineRule="auto"/>
              <w:ind w:left="113"/>
              <w:jc w:val="center"/>
              <w:rPr>
                <w:sz w:val="21"/>
              </w:rPr>
            </w:pPr>
            <w:r>
              <w:rPr>
                <w:rFonts w:hint="eastAsia"/>
                <w:sz w:val="21"/>
              </w:rPr>
              <w:t>省</w:t>
            </w:r>
            <w:r>
              <w:rPr>
                <w:sz w:val="21"/>
              </w:rPr>
              <w:t xml:space="preserve">  </w:t>
            </w:r>
            <w:r>
              <w:rPr>
                <w:rFonts w:hint="eastAsia"/>
                <w:sz w:val="21"/>
              </w:rPr>
              <w:t>份</w:t>
            </w:r>
          </w:p>
        </w:tc>
        <w:tc>
          <w:tcPr>
            <w:tcW w:w="1228" w:type="dxa"/>
            <w:tcBorders>
              <w:top w:val="single" w:sz="6" w:space="0" w:color="auto"/>
              <w:left w:val="single" w:sz="6" w:space="0" w:color="auto"/>
              <w:bottom w:val="nil"/>
              <w:right w:val="single" w:sz="6" w:space="0" w:color="auto"/>
            </w:tcBorders>
          </w:tcPr>
          <w:p w:rsidR="00000000" w:rsidRDefault="000C45AD">
            <w:pPr>
              <w:spacing w:before="60" w:after="20" w:line="240" w:lineRule="auto"/>
              <w:jc w:val="center"/>
              <w:rPr>
                <w:sz w:val="21"/>
              </w:rPr>
            </w:pPr>
            <w:r>
              <w:rPr>
                <w:sz w:val="21"/>
              </w:rPr>
              <w:t>1986</w:t>
            </w:r>
            <w:r>
              <w:rPr>
                <w:rFonts w:hint="eastAsia"/>
                <w:sz w:val="21"/>
              </w:rPr>
              <w:t>年</w:t>
            </w:r>
          </w:p>
        </w:tc>
        <w:tc>
          <w:tcPr>
            <w:tcW w:w="1228" w:type="dxa"/>
            <w:tcBorders>
              <w:left w:val="nil"/>
              <w:bottom w:val="nil"/>
              <w:right w:val="nil"/>
            </w:tcBorders>
          </w:tcPr>
          <w:p w:rsidR="00000000" w:rsidRDefault="000C45AD">
            <w:pPr>
              <w:spacing w:before="60" w:after="20" w:line="240" w:lineRule="auto"/>
              <w:jc w:val="center"/>
              <w:rPr>
                <w:sz w:val="21"/>
              </w:rPr>
            </w:pPr>
            <w:r>
              <w:rPr>
                <w:sz w:val="21"/>
              </w:rPr>
              <w:t>1991</w:t>
            </w:r>
            <w:r>
              <w:rPr>
                <w:rFonts w:hint="eastAsia"/>
                <w:sz w:val="21"/>
              </w:rPr>
              <w:t>年</w:t>
            </w:r>
          </w:p>
        </w:tc>
        <w:tc>
          <w:tcPr>
            <w:tcW w:w="1228" w:type="dxa"/>
            <w:tcBorders>
              <w:top w:val="single" w:sz="6" w:space="0" w:color="auto"/>
              <w:left w:val="single" w:sz="6" w:space="0" w:color="auto"/>
              <w:bottom w:val="nil"/>
              <w:right w:val="single" w:sz="6" w:space="0" w:color="auto"/>
            </w:tcBorders>
          </w:tcPr>
          <w:p w:rsidR="00000000" w:rsidRDefault="000C45AD">
            <w:pPr>
              <w:spacing w:before="60" w:after="20" w:line="240" w:lineRule="auto"/>
              <w:jc w:val="center"/>
              <w:rPr>
                <w:sz w:val="21"/>
              </w:rPr>
            </w:pPr>
            <w:r>
              <w:rPr>
                <w:sz w:val="21"/>
              </w:rPr>
              <w:t>1993</w:t>
            </w:r>
            <w:r>
              <w:rPr>
                <w:rFonts w:hint="eastAsia"/>
                <w:sz w:val="21"/>
              </w:rPr>
              <w:t>年</w:t>
            </w:r>
          </w:p>
        </w:tc>
        <w:tc>
          <w:tcPr>
            <w:tcW w:w="1228" w:type="dxa"/>
            <w:tcBorders>
              <w:top w:val="single" w:sz="6" w:space="0" w:color="auto"/>
              <w:left w:val="nil"/>
              <w:bottom w:val="nil"/>
              <w:right w:val="single" w:sz="6" w:space="0" w:color="auto"/>
            </w:tcBorders>
          </w:tcPr>
          <w:p w:rsidR="00000000" w:rsidRDefault="000C45AD">
            <w:pPr>
              <w:spacing w:before="60" w:after="20" w:line="240" w:lineRule="auto"/>
              <w:jc w:val="center"/>
              <w:rPr>
                <w:sz w:val="21"/>
              </w:rPr>
            </w:pPr>
            <w:r>
              <w:rPr>
                <w:sz w:val="21"/>
              </w:rPr>
              <w:t>1994</w:t>
            </w:r>
            <w:r>
              <w:rPr>
                <w:rFonts w:hint="eastAsia"/>
                <w:sz w:val="21"/>
              </w:rPr>
              <w:t>年</w:t>
            </w:r>
          </w:p>
        </w:tc>
        <w:tc>
          <w:tcPr>
            <w:tcW w:w="1228" w:type="dxa"/>
            <w:tcBorders>
              <w:left w:val="nil"/>
              <w:bottom w:val="nil"/>
            </w:tcBorders>
          </w:tcPr>
          <w:p w:rsidR="00000000" w:rsidRDefault="000C45AD">
            <w:pPr>
              <w:spacing w:before="60" w:after="20" w:line="240" w:lineRule="auto"/>
              <w:jc w:val="center"/>
              <w:rPr>
                <w:sz w:val="21"/>
              </w:rPr>
            </w:pPr>
            <w:r>
              <w:rPr>
                <w:sz w:val="21"/>
              </w:rPr>
              <w:t>1995</w:t>
            </w:r>
            <w:r>
              <w:rPr>
                <w:rFonts w:hint="eastAsia"/>
                <w:sz w:val="21"/>
              </w:rPr>
              <w:t>年</w:t>
            </w:r>
          </w:p>
        </w:tc>
      </w:tr>
      <w:tr w:rsidR="00000000">
        <w:tblPrEx>
          <w:tblCellMar>
            <w:top w:w="0" w:type="dxa"/>
            <w:bottom w:w="0" w:type="dxa"/>
          </w:tblCellMar>
        </w:tblPrEx>
        <w:tc>
          <w:tcPr>
            <w:tcW w:w="3268" w:type="dxa"/>
            <w:tcBorders>
              <w:top w:val="single" w:sz="6" w:space="0" w:color="auto"/>
              <w:bottom w:val="single" w:sz="6" w:space="0" w:color="auto"/>
              <w:right w:val="nil"/>
            </w:tcBorders>
          </w:tcPr>
          <w:p w:rsidR="00000000" w:rsidRDefault="000C45AD">
            <w:pPr>
              <w:spacing w:before="60" w:after="20" w:line="288" w:lineRule="auto"/>
              <w:ind w:left="680"/>
              <w:jc w:val="left"/>
              <w:rPr>
                <w:sz w:val="21"/>
              </w:rPr>
            </w:pPr>
            <w:r>
              <w:rPr>
                <w:rFonts w:ascii="SimHei" w:eastAsia="SimHei" w:hint="eastAsia"/>
                <w:sz w:val="21"/>
              </w:rPr>
              <w:t>全</w:t>
            </w:r>
            <w:r>
              <w:rPr>
                <w:rFonts w:ascii="SimHei" w:eastAsia="SimHei"/>
                <w:sz w:val="21"/>
              </w:rPr>
              <w:t xml:space="preserve"> </w:t>
            </w:r>
            <w:r>
              <w:rPr>
                <w:rFonts w:ascii="SimHei" w:eastAsia="SimHei" w:hint="eastAsia"/>
                <w:sz w:val="21"/>
              </w:rPr>
              <w:t>国</w:t>
            </w:r>
            <w:r>
              <w:rPr>
                <w:rFonts w:ascii="SimHei" w:eastAsia="SimHei"/>
                <w:sz w:val="21"/>
              </w:rPr>
              <w:t xml:space="preserve"> </w:t>
            </w:r>
            <w:r>
              <w:rPr>
                <w:rFonts w:ascii="SimHei" w:eastAsia="SimHei" w:hint="eastAsia"/>
                <w:sz w:val="21"/>
              </w:rPr>
              <w:t>总</w:t>
            </w:r>
            <w:r>
              <w:rPr>
                <w:rFonts w:ascii="SimHei" w:eastAsia="SimHei"/>
                <w:sz w:val="21"/>
              </w:rPr>
              <w:t xml:space="preserve"> </w:t>
            </w:r>
            <w:r>
              <w:rPr>
                <w:rFonts w:ascii="SimHei" w:eastAsia="SimHei" w:hint="eastAsia"/>
                <w:sz w:val="21"/>
              </w:rPr>
              <w:t>计</w:t>
            </w:r>
          </w:p>
        </w:tc>
        <w:tc>
          <w:tcPr>
            <w:tcW w:w="1228" w:type="dxa"/>
            <w:tcBorders>
              <w:top w:val="single" w:sz="6" w:space="0" w:color="auto"/>
              <w:left w:val="single" w:sz="6" w:space="0" w:color="auto"/>
              <w:bottom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60" w:after="20" w:line="288" w:lineRule="auto"/>
              <w:rPr>
                <w:b/>
                <w:sz w:val="21"/>
              </w:rPr>
            </w:pPr>
            <w:r>
              <w:rPr>
                <w:b/>
                <w:sz w:val="21"/>
              </w:rPr>
              <w:t>39.8</w:t>
            </w:r>
          </w:p>
        </w:tc>
        <w:tc>
          <w:tcPr>
            <w:tcW w:w="1228" w:type="dxa"/>
            <w:tcBorders>
              <w:top w:val="single" w:sz="6" w:space="0" w:color="auto"/>
              <w:left w:val="nil"/>
              <w:bottom w:val="single" w:sz="6" w:space="0" w:color="auto"/>
              <w:right w:val="nil"/>
            </w:tcBorders>
          </w:tcPr>
          <w:p w:rsidR="00000000" w:rsidRDefault="000C45AD">
            <w:pPr>
              <w:tabs>
                <w:tab w:val="clear" w:pos="510"/>
                <w:tab w:val="clear" w:pos="1021"/>
                <w:tab w:val="clear" w:pos="1531"/>
                <w:tab w:val="clear" w:pos="2041"/>
                <w:tab w:val="decimal" w:pos="572"/>
              </w:tabs>
              <w:spacing w:before="60" w:after="20" w:line="288" w:lineRule="auto"/>
              <w:rPr>
                <w:b/>
                <w:sz w:val="21"/>
              </w:rPr>
            </w:pPr>
            <w:r>
              <w:rPr>
                <w:b/>
                <w:sz w:val="21"/>
              </w:rPr>
              <w:t>34.9</w:t>
            </w:r>
          </w:p>
        </w:tc>
        <w:tc>
          <w:tcPr>
            <w:tcW w:w="1228" w:type="dxa"/>
            <w:tcBorders>
              <w:top w:val="single" w:sz="6" w:space="0" w:color="auto"/>
              <w:left w:val="single" w:sz="6" w:space="0" w:color="auto"/>
              <w:bottom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60" w:after="20" w:line="288" w:lineRule="auto"/>
              <w:rPr>
                <w:b/>
                <w:sz w:val="21"/>
              </w:rPr>
            </w:pPr>
            <w:r>
              <w:rPr>
                <w:b/>
                <w:sz w:val="21"/>
              </w:rPr>
              <w:t>35.5</w:t>
            </w:r>
          </w:p>
        </w:tc>
        <w:tc>
          <w:tcPr>
            <w:tcW w:w="1228" w:type="dxa"/>
            <w:tcBorders>
              <w:top w:val="single" w:sz="6" w:space="0" w:color="auto"/>
              <w:left w:val="nil"/>
              <w:bottom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60" w:after="20" w:line="288" w:lineRule="auto"/>
              <w:rPr>
                <w:b/>
                <w:sz w:val="21"/>
              </w:rPr>
            </w:pPr>
            <w:r>
              <w:rPr>
                <w:b/>
                <w:sz w:val="21"/>
              </w:rPr>
              <w:t>38.1</w:t>
            </w:r>
          </w:p>
        </w:tc>
        <w:tc>
          <w:tcPr>
            <w:tcW w:w="1228" w:type="dxa"/>
            <w:tcBorders>
              <w:top w:val="single" w:sz="6" w:space="0" w:color="auto"/>
              <w:left w:val="nil"/>
              <w:bottom w:val="single" w:sz="6" w:space="0" w:color="auto"/>
            </w:tcBorders>
          </w:tcPr>
          <w:p w:rsidR="00000000" w:rsidRDefault="000C45AD">
            <w:pPr>
              <w:tabs>
                <w:tab w:val="clear" w:pos="510"/>
                <w:tab w:val="clear" w:pos="1021"/>
                <w:tab w:val="clear" w:pos="1531"/>
                <w:tab w:val="clear" w:pos="2041"/>
                <w:tab w:val="decimal" w:pos="572"/>
              </w:tabs>
              <w:spacing w:before="60" w:after="20" w:line="288" w:lineRule="auto"/>
              <w:rPr>
                <w:b/>
                <w:sz w:val="21"/>
              </w:rPr>
            </w:pPr>
            <w:r>
              <w:rPr>
                <w:b/>
                <w:sz w:val="21"/>
              </w:rPr>
              <w:t>38.6</w:t>
            </w:r>
          </w:p>
        </w:tc>
      </w:tr>
      <w:tr w:rsidR="00000000">
        <w:tblPrEx>
          <w:tblCellMar>
            <w:top w:w="0" w:type="dxa"/>
            <w:bottom w:w="0" w:type="dxa"/>
          </w:tblCellMar>
        </w:tblPrEx>
        <w:tc>
          <w:tcPr>
            <w:tcW w:w="3268" w:type="dxa"/>
            <w:tcBorders>
              <w:top w:val="nil"/>
              <w:right w:val="nil"/>
            </w:tcBorders>
          </w:tcPr>
          <w:p w:rsidR="00000000" w:rsidRDefault="000C45AD">
            <w:pPr>
              <w:spacing w:before="60" w:after="20" w:line="288" w:lineRule="auto"/>
              <w:ind w:left="113"/>
              <w:rPr>
                <w:sz w:val="21"/>
              </w:rPr>
            </w:pPr>
            <w:r>
              <w:rPr>
                <w:rFonts w:hint="eastAsia"/>
                <w:sz w:val="21"/>
              </w:rPr>
              <w:t>阿特兰蒂达</w:t>
            </w:r>
            <w:r>
              <w:rPr>
                <w:rFonts w:hint="eastAsia"/>
                <w:sz w:val="21"/>
              </w:rPr>
              <w:t>省</w:t>
            </w:r>
          </w:p>
        </w:tc>
        <w:tc>
          <w:tcPr>
            <w:tcW w:w="1228" w:type="dxa"/>
            <w:tcBorders>
              <w:top w:val="nil"/>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60" w:after="20" w:line="288" w:lineRule="auto"/>
              <w:rPr>
                <w:sz w:val="21"/>
              </w:rPr>
            </w:pPr>
            <w:r>
              <w:rPr>
                <w:sz w:val="21"/>
              </w:rPr>
              <w:t>35.4</w:t>
            </w:r>
          </w:p>
        </w:tc>
        <w:tc>
          <w:tcPr>
            <w:tcW w:w="1228" w:type="dxa"/>
            <w:tcBorders>
              <w:top w:val="nil"/>
              <w:left w:val="nil"/>
              <w:right w:val="nil"/>
            </w:tcBorders>
          </w:tcPr>
          <w:p w:rsidR="00000000" w:rsidRDefault="000C45AD">
            <w:pPr>
              <w:tabs>
                <w:tab w:val="clear" w:pos="510"/>
                <w:tab w:val="clear" w:pos="1021"/>
                <w:tab w:val="clear" w:pos="1531"/>
                <w:tab w:val="clear" w:pos="2041"/>
                <w:tab w:val="decimal" w:pos="572"/>
              </w:tabs>
              <w:spacing w:before="60" w:after="20" w:line="288" w:lineRule="auto"/>
              <w:rPr>
                <w:sz w:val="21"/>
              </w:rPr>
            </w:pPr>
            <w:r>
              <w:rPr>
                <w:sz w:val="21"/>
              </w:rPr>
              <w:t>28.4</w:t>
            </w:r>
          </w:p>
        </w:tc>
        <w:tc>
          <w:tcPr>
            <w:tcW w:w="1228" w:type="dxa"/>
            <w:tcBorders>
              <w:top w:val="nil"/>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60" w:after="20" w:line="288" w:lineRule="auto"/>
              <w:rPr>
                <w:sz w:val="21"/>
              </w:rPr>
            </w:pPr>
            <w:r>
              <w:rPr>
                <w:sz w:val="21"/>
              </w:rPr>
              <w:t>30.1</w:t>
            </w:r>
          </w:p>
        </w:tc>
        <w:tc>
          <w:tcPr>
            <w:tcW w:w="1228" w:type="dxa"/>
            <w:tcBorders>
              <w:top w:val="nil"/>
              <w:left w:val="nil"/>
              <w:right w:val="single" w:sz="6" w:space="0" w:color="auto"/>
            </w:tcBorders>
          </w:tcPr>
          <w:p w:rsidR="00000000" w:rsidRDefault="000C45AD">
            <w:pPr>
              <w:tabs>
                <w:tab w:val="clear" w:pos="510"/>
                <w:tab w:val="clear" w:pos="1021"/>
                <w:tab w:val="clear" w:pos="1531"/>
                <w:tab w:val="clear" w:pos="2041"/>
                <w:tab w:val="decimal" w:pos="572"/>
              </w:tabs>
              <w:spacing w:before="60" w:after="20" w:line="288" w:lineRule="auto"/>
              <w:rPr>
                <w:sz w:val="21"/>
              </w:rPr>
            </w:pPr>
            <w:r>
              <w:rPr>
                <w:sz w:val="21"/>
              </w:rPr>
              <w:t>30.4</w:t>
            </w:r>
          </w:p>
        </w:tc>
        <w:tc>
          <w:tcPr>
            <w:tcW w:w="1228" w:type="dxa"/>
            <w:tcBorders>
              <w:top w:val="nil"/>
              <w:left w:val="nil"/>
            </w:tcBorders>
          </w:tcPr>
          <w:p w:rsidR="00000000" w:rsidRDefault="000C45AD">
            <w:pPr>
              <w:tabs>
                <w:tab w:val="clear" w:pos="510"/>
                <w:tab w:val="clear" w:pos="1021"/>
                <w:tab w:val="clear" w:pos="1531"/>
                <w:tab w:val="clear" w:pos="2041"/>
                <w:tab w:val="decimal" w:pos="572"/>
              </w:tabs>
              <w:spacing w:before="60" w:after="20" w:line="288" w:lineRule="auto"/>
              <w:rPr>
                <w:sz w:val="21"/>
              </w:rPr>
            </w:pPr>
            <w:r>
              <w:rPr>
                <w:sz w:val="21"/>
              </w:rPr>
              <w:t>32.1</w:t>
            </w:r>
          </w:p>
        </w:tc>
      </w:tr>
      <w:tr w:rsidR="00000000">
        <w:tblPrEx>
          <w:tblCellMar>
            <w:top w:w="0" w:type="dxa"/>
            <w:bottom w:w="0" w:type="dxa"/>
          </w:tblCellMar>
        </w:tblPrEx>
        <w:tc>
          <w:tcPr>
            <w:tcW w:w="3268" w:type="dxa"/>
            <w:tcBorders>
              <w:right w:val="nil"/>
            </w:tcBorders>
          </w:tcPr>
          <w:p w:rsidR="00000000" w:rsidRDefault="000C45AD">
            <w:pPr>
              <w:spacing w:before="40" w:after="20" w:line="288" w:lineRule="auto"/>
              <w:ind w:left="113"/>
              <w:rPr>
                <w:sz w:val="21"/>
              </w:rPr>
            </w:pPr>
            <w:r>
              <w:rPr>
                <w:rFonts w:hint="eastAsia"/>
                <w:sz w:val="21"/>
              </w:rPr>
              <w:t>科隆省</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39.6</w:t>
            </w:r>
          </w:p>
        </w:tc>
        <w:tc>
          <w:tcPr>
            <w:tcW w:w="1228" w:type="dxa"/>
            <w:tcBorders>
              <w:left w:val="nil"/>
              <w:righ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32.2</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31.2</w:t>
            </w:r>
          </w:p>
        </w:tc>
        <w:tc>
          <w:tcPr>
            <w:tcW w:w="1228" w:type="dxa"/>
            <w:tcBorders>
              <w:left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30.0</w:t>
            </w:r>
          </w:p>
        </w:tc>
        <w:tc>
          <w:tcPr>
            <w:tcW w:w="1228" w:type="dxa"/>
            <w:tcBorders>
              <w:lef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33.8</w:t>
            </w:r>
          </w:p>
        </w:tc>
      </w:tr>
      <w:tr w:rsidR="00000000">
        <w:tblPrEx>
          <w:tblCellMar>
            <w:top w:w="0" w:type="dxa"/>
            <w:bottom w:w="0" w:type="dxa"/>
          </w:tblCellMar>
        </w:tblPrEx>
        <w:tc>
          <w:tcPr>
            <w:tcW w:w="3268" w:type="dxa"/>
            <w:tcBorders>
              <w:right w:val="nil"/>
            </w:tcBorders>
          </w:tcPr>
          <w:p w:rsidR="00000000" w:rsidRDefault="000C45AD">
            <w:pPr>
              <w:spacing w:before="40" w:after="20" w:line="288" w:lineRule="auto"/>
              <w:ind w:left="113"/>
              <w:rPr>
                <w:sz w:val="21"/>
              </w:rPr>
            </w:pPr>
            <w:r>
              <w:rPr>
                <w:rFonts w:hint="eastAsia"/>
                <w:sz w:val="21"/>
              </w:rPr>
              <w:t>科马亚瓜省</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45.6</w:t>
            </w:r>
          </w:p>
        </w:tc>
        <w:tc>
          <w:tcPr>
            <w:tcW w:w="1228" w:type="dxa"/>
            <w:tcBorders>
              <w:left w:val="nil"/>
              <w:righ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39.1</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38.5</w:t>
            </w:r>
          </w:p>
        </w:tc>
        <w:tc>
          <w:tcPr>
            <w:tcW w:w="1228" w:type="dxa"/>
            <w:tcBorders>
              <w:left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41.5</w:t>
            </w:r>
          </w:p>
        </w:tc>
        <w:tc>
          <w:tcPr>
            <w:tcW w:w="1228" w:type="dxa"/>
            <w:tcBorders>
              <w:lef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43.4</w:t>
            </w:r>
          </w:p>
        </w:tc>
      </w:tr>
      <w:tr w:rsidR="00000000">
        <w:tblPrEx>
          <w:tblCellMar>
            <w:top w:w="0" w:type="dxa"/>
            <w:bottom w:w="0" w:type="dxa"/>
          </w:tblCellMar>
        </w:tblPrEx>
        <w:tc>
          <w:tcPr>
            <w:tcW w:w="3268" w:type="dxa"/>
            <w:tcBorders>
              <w:right w:val="nil"/>
            </w:tcBorders>
          </w:tcPr>
          <w:p w:rsidR="00000000" w:rsidRDefault="000C45AD">
            <w:pPr>
              <w:spacing w:before="40" w:after="20" w:line="288" w:lineRule="auto"/>
              <w:ind w:left="113"/>
              <w:rPr>
                <w:sz w:val="21"/>
              </w:rPr>
            </w:pPr>
            <w:r>
              <w:rPr>
                <w:rFonts w:hint="eastAsia"/>
                <w:sz w:val="21"/>
              </w:rPr>
              <w:t>科潘省</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55.2</w:t>
            </w:r>
          </w:p>
        </w:tc>
        <w:tc>
          <w:tcPr>
            <w:tcW w:w="1228" w:type="dxa"/>
            <w:tcBorders>
              <w:left w:val="nil"/>
              <w:righ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49.7</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42.6</w:t>
            </w:r>
          </w:p>
        </w:tc>
        <w:tc>
          <w:tcPr>
            <w:tcW w:w="1228" w:type="dxa"/>
            <w:tcBorders>
              <w:left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56.8</w:t>
            </w:r>
          </w:p>
        </w:tc>
        <w:tc>
          <w:tcPr>
            <w:tcW w:w="1228" w:type="dxa"/>
            <w:tcBorders>
              <w:lef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56.1</w:t>
            </w:r>
          </w:p>
        </w:tc>
      </w:tr>
      <w:tr w:rsidR="00000000">
        <w:tblPrEx>
          <w:tblCellMar>
            <w:top w:w="0" w:type="dxa"/>
            <w:bottom w:w="0" w:type="dxa"/>
          </w:tblCellMar>
        </w:tblPrEx>
        <w:tc>
          <w:tcPr>
            <w:tcW w:w="3268" w:type="dxa"/>
            <w:tcBorders>
              <w:right w:val="nil"/>
            </w:tcBorders>
          </w:tcPr>
          <w:p w:rsidR="00000000" w:rsidRDefault="000C45AD">
            <w:pPr>
              <w:spacing w:before="40" w:after="20" w:line="288" w:lineRule="auto"/>
              <w:ind w:left="113"/>
              <w:rPr>
                <w:sz w:val="21"/>
              </w:rPr>
            </w:pPr>
            <w:r>
              <w:rPr>
                <w:rFonts w:hint="eastAsia"/>
                <w:sz w:val="21"/>
              </w:rPr>
              <w:t>科尔特斯省</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32.7</w:t>
            </w:r>
          </w:p>
        </w:tc>
        <w:tc>
          <w:tcPr>
            <w:tcW w:w="1228" w:type="dxa"/>
            <w:tcBorders>
              <w:left w:val="nil"/>
              <w:righ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25.9</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30.3</w:t>
            </w:r>
          </w:p>
        </w:tc>
        <w:tc>
          <w:tcPr>
            <w:tcW w:w="1228" w:type="dxa"/>
            <w:tcBorders>
              <w:left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31.1</w:t>
            </w:r>
          </w:p>
        </w:tc>
        <w:tc>
          <w:tcPr>
            <w:tcW w:w="1228" w:type="dxa"/>
            <w:tcBorders>
              <w:lef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31.5</w:t>
            </w:r>
          </w:p>
        </w:tc>
      </w:tr>
      <w:tr w:rsidR="00000000">
        <w:tblPrEx>
          <w:tblCellMar>
            <w:top w:w="0" w:type="dxa"/>
            <w:bottom w:w="0" w:type="dxa"/>
          </w:tblCellMar>
        </w:tblPrEx>
        <w:tc>
          <w:tcPr>
            <w:tcW w:w="3268" w:type="dxa"/>
            <w:tcBorders>
              <w:right w:val="nil"/>
            </w:tcBorders>
          </w:tcPr>
          <w:p w:rsidR="00000000" w:rsidRDefault="000C45AD">
            <w:pPr>
              <w:spacing w:before="40" w:after="20" w:line="288" w:lineRule="auto"/>
              <w:ind w:left="113"/>
              <w:rPr>
                <w:sz w:val="21"/>
              </w:rPr>
            </w:pPr>
            <w:r>
              <w:rPr>
                <w:rFonts w:hint="eastAsia"/>
                <w:sz w:val="21"/>
              </w:rPr>
              <w:t>乔卢特卡省</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35.4</w:t>
            </w:r>
          </w:p>
        </w:tc>
        <w:tc>
          <w:tcPr>
            <w:tcW w:w="1228" w:type="dxa"/>
            <w:tcBorders>
              <w:left w:val="nil"/>
              <w:righ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28.2</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29.2</w:t>
            </w:r>
          </w:p>
        </w:tc>
        <w:tc>
          <w:tcPr>
            <w:tcW w:w="1228" w:type="dxa"/>
            <w:tcBorders>
              <w:left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36.2</w:t>
            </w:r>
          </w:p>
        </w:tc>
        <w:tc>
          <w:tcPr>
            <w:tcW w:w="1228" w:type="dxa"/>
            <w:tcBorders>
              <w:lef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38.3</w:t>
            </w:r>
          </w:p>
        </w:tc>
      </w:tr>
      <w:tr w:rsidR="00000000">
        <w:tblPrEx>
          <w:tblCellMar>
            <w:top w:w="0" w:type="dxa"/>
            <w:bottom w:w="0" w:type="dxa"/>
          </w:tblCellMar>
        </w:tblPrEx>
        <w:tc>
          <w:tcPr>
            <w:tcW w:w="3268" w:type="dxa"/>
            <w:tcBorders>
              <w:right w:val="nil"/>
            </w:tcBorders>
          </w:tcPr>
          <w:p w:rsidR="00000000" w:rsidRDefault="000C45AD">
            <w:pPr>
              <w:spacing w:before="40" w:after="20" w:line="288" w:lineRule="auto"/>
              <w:ind w:left="113"/>
              <w:rPr>
                <w:sz w:val="21"/>
              </w:rPr>
            </w:pPr>
            <w:r>
              <w:rPr>
                <w:rFonts w:hint="eastAsia"/>
                <w:sz w:val="21"/>
              </w:rPr>
              <w:t>埃尔帕拉伊索省</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40.0</w:t>
            </w:r>
          </w:p>
        </w:tc>
        <w:tc>
          <w:tcPr>
            <w:tcW w:w="1228" w:type="dxa"/>
            <w:tcBorders>
              <w:left w:val="nil"/>
              <w:righ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32.5</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37.3</w:t>
            </w:r>
          </w:p>
        </w:tc>
        <w:tc>
          <w:tcPr>
            <w:tcW w:w="1228" w:type="dxa"/>
            <w:tcBorders>
              <w:left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49.5</w:t>
            </w:r>
          </w:p>
        </w:tc>
        <w:tc>
          <w:tcPr>
            <w:tcW w:w="1228" w:type="dxa"/>
            <w:tcBorders>
              <w:lef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47.4</w:t>
            </w:r>
          </w:p>
        </w:tc>
      </w:tr>
      <w:tr w:rsidR="00000000">
        <w:tblPrEx>
          <w:tblCellMar>
            <w:top w:w="0" w:type="dxa"/>
            <w:bottom w:w="0" w:type="dxa"/>
          </w:tblCellMar>
        </w:tblPrEx>
        <w:tc>
          <w:tcPr>
            <w:tcW w:w="3268" w:type="dxa"/>
            <w:tcBorders>
              <w:right w:val="nil"/>
            </w:tcBorders>
          </w:tcPr>
          <w:p w:rsidR="00000000" w:rsidRDefault="000C45AD">
            <w:pPr>
              <w:spacing w:before="40" w:after="20" w:line="288" w:lineRule="auto"/>
              <w:ind w:left="113"/>
              <w:rPr>
                <w:sz w:val="21"/>
              </w:rPr>
            </w:pPr>
            <w:r>
              <w:rPr>
                <w:rFonts w:hint="eastAsia"/>
                <w:sz w:val="21"/>
              </w:rPr>
              <w:t>弗朗西斯科</w:t>
            </w:r>
            <w:r>
              <w:rPr>
                <w:sz w:val="21"/>
              </w:rPr>
              <w:t>-</w:t>
            </w:r>
            <w:r>
              <w:rPr>
                <w:rFonts w:hint="eastAsia"/>
                <w:sz w:val="21"/>
              </w:rPr>
              <w:t>莫拉桑省</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29.4</w:t>
            </w:r>
          </w:p>
        </w:tc>
        <w:tc>
          <w:tcPr>
            <w:tcW w:w="1228" w:type="dxa"/>
            <w:tcBorders>
              <w:left w:val="nil"/>
              <w:righ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24.8</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29.2</w:t>
            </w:r>
          </w:p>
        </w:tc>
        <w:tc>
          <w:tcPr>
            <w:tcW w:w="1228" w:type="dxa"/>
            <w:tcBorders>
              <w:left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27.5</w:t>
            </w:r>
          </w:p>
        </w:tc>
        <w:tc>
          <w:tcPr>
            <w:tcW w:w="1228" w:type="dxa"/>
            <w:tcBorders>
              <w:lef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28.8</w:t>
            </w:r>
          </w:p>
        </w:tc>
      </w:tr>
      <w:tr w:rsidR="00000000">
        <w:tblPrEx>
          <w:tblCellMar>
            <w:top w:w="0" w:type="dxa"/>
            <w:bottom w:w="0" w:type="dxa"/>
          </w:tblCellMar>
        </w:tblPrEx>
        <w:tc>
          <w:tcPr>
            <w:tcW w:w="3268" w:type="dxa"/>
            <w:tcBorders>
              <w:right w:val="nil"/>
            </w:tcBorders>
          </w:tcPr>
          <w:p w:rsidR="00000000" w:rsidRDefault="000C45AD">
            <w:pPr>
              <w:spacing w:before="40" w:after="20" w:line="288" w:lineRule="auto"/>
              <w:ind w:left="113"/>
              <w:rPr>
                <w:sz w:val="21"/>
              </w:rPr>
            </w:pPr>
            <w:r>
              <w:rPr>
                <w:rFonts w:hint="eastAsia"/>
                <w:sz w:val="21"/>
              </w:rPr>
              <w:t>格</w:t>
            </w:r>
            <w:r>
              <w:rPr>
                <w:rFonts w:hint="eastAsia"/>
                <w:sz w:val="21"/>
              </w:rPr>
              <w:t>拉西亚斯</w:t>
            </w:r>
            <w:r>
              <w:rPr>
                <w:sz w:val="21"/>
              </w:rPr>
              <w:t>-</w:t>
            </w:r>
            <w:r>
              <w:rPr>
                <w:rFonts w:hint="eastAsia"/>
                <w:sz w:val="21"/>
              </w:rPr>
              <w:t>阿迪奥斯省</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27.8</w:t>
            </w:r>
          </w:p>
        </w:tc>
        <w:tc>
          <w:tcPr>
            <w:tcW w:w="1228" w:type="dxa"/>
            <w:tcBorders>
              <w:left w:val="nil"/>
              <w:righ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22.3</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21.4</w:t>
            </w:r>
          </w:p>
        </w:tc>
        <w:tc>
          <w:tcPr>
            <w:tcW w:w="1228" w:type="dxa"/>
            <w:tcBorders>
              <w:left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21.0</w:t>
            </w:r>
          </w:p>
        </w:tc>
        <w:tc>
          <w:tcPr>
            <w:tcW w:w="1228" w:type="dxa"/>
            <w:tcBorders>
              <w:lef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20.4</w:t>
            </w:r>
          </w:p>
        </w:tc>
      </w:tr>
      <w:tr w:rsidR="00000000">
        <w:tblPrEx>
          <w:tblCellMar>
            <w:top w:w="0" w:type="dxa"/>
            <w:bottom w:w="0" w:type="dxa"/>
          </w:tblCellMar>
        </w:tblPrEx>
        <w:tc>
          <w:tcPr>
            <w:tcW w:w="3268" w:type="dxa"/>
            <w:tcBorders>
              <w:bottom w:val="nil"/>
              <w:right w:val="nil"/>
            </w:tcBorders>
          </w:tcPr>
          <w:p w:rsidR="00000000" w:rsidRDefault="000C45AD">
            <w:pPr>
              <w:spacing w:before="40" w:after="20" w:line="288" w:lineRule="auto"/>
              <w:ind w:left="113"/>
              <w:rPr>
                <w:sz w:val="21"/>
              </w:rPr>
            </w:pPr>
            <w:r>
              <w:rPr>
                <w:rFonts w:hint="eastAsia"/>
                <w:sz w:val="21"/>
              </w:rPr>
              <w:t>因蒂布卡省</w:t>
            </w:r>
          </w:p>
        </w:tc>
        <w:tc>
          <w:tcPr>
            <w:tcW w:w="1228" w:type="dxa"/>
            <w:tcBorders>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60.7</w:t>
            </w:r>
          </w:p>
        </w:tc>
        <w:tc>
          <w:tcPr>
            <w:tcW w:w="1228" w:type="dxa"/>
            <w:tcBorders>
              <w:left w:val="nil"/>
              <w:bottom w:val="nil"/>
              <w:righ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61.9</w:t>
            </w:r>
          </w:p>
        </w:tc>
        <w:tc>
          <w:tcPr>
            <w:tcW w:w="1228" w:type="dxa"/>
            <w:tcBorders>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67.9</w:t>
            </w:r>
          </w:p>
        </w:tc>
        <w:tc>
          <w:tcPr>
            <w:tcW w:w="1228" w:type="dxa"/>
            <w:tcBorders>
              <w:left w:val="nil"/>
              <w:bottom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62.9</w:t>
            </w:r>
          </w:p>
        </w:tc>
        <w:tc>
          <w:tcPr>
            <w:tcW w:w="1228" w:type="dxa"/>
            <w:tcBorders>
              <w:left w:val="nil"/>
              <w:bottom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64.4</w:t>
            </w:r>
          </w:p>
        </w:tc>
      </w:tr>
      <w:tr w:rsidR="00000000">
        <w:tblPrEx>
          <w:tblCellMar>
            <w:top w:w="0" w:type="dxa"/>
            <w:bottom w:w="0" w:type="dxa"/>
          </w:tblCellMar>
        </w:tblPrEx>
        <w:tc>
          <w:tcPr>
            <w:tcW w:w="3268" w:type="dxa"/>
            <w:tcBorders>
              <w:top w:val="nil"/>
              <w:bottom w:val="nil"/>
              <w:right w:val="nil"/>
            </w:tcBorders>
          </w:tcPr>
          <w:p w:rsidR="00000000" w:rsidRDefault="000C45AD">
            <w:pPr>
              <w:spacing w:before="40" w:after="20" w:line="288" w:lineRule="auto"/>
              <w:ind w:left="113"/>
              <w:rPr>
                <w:sz w:val="21"/>
              </w:rPr>
            </w:pPr>
            <w:r>
              <w:rPr>
                <w:rFonts w:hint="eastAsia"/>
                <w:sz w:val="21"/>
              </w:rPr>
              <w:t>海湾群岛省</w:t>
            </w:r>
          </w:p>
        </w:tc>
        <w:tc>
          <w:tcPr>
            <w:tcW w:w="1228"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10.8</w:t>
            </w:r>
          </w:p>
        </w:tc>
        <w:tc>
          <w:tcPr>
            <w:tcW w:w="1228" w:type="dxa"/>
            <w:tcBorders>
              <w:top w:val="nil"/>
              <w:left w:val="nil"/>
              <w:bottom w:val="nil"/>
              <w:righ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7.2</w:t>
            </w:r>
          </w:p>
        </w:tc>
        <w:tc>
          <w:tcPr>
            <w:tcW w:w="1228"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6.6</w:t>
            </w:r>
          </w:p>
        </w:tc>
        <w:tc>
          <w:tcPr>
            <w:tcW w:w="1228" w:type="dxa"/>
            <w:tcBorders>
              <w:top w:val="nil"/>
              <w:left w:val="nil"/>
              <w:bottom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8.9</w:t>
            </w:r>
          </w:p>
        </w:tc>
        <w:tc>
          <w:tcPr>
            <w:tcW w:w="1228" w:type="dxa"/>
            <w:tcBorders>
              <w:top w:val="nil"/>
              <w:left w:val="nil"/>
              <w:bottom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12.3</w:t>
            </w:r>
          </w:p>
        </w:tc>
      </w:tr>
      <w:tr w:rsidR="00000000">
        <w:tblPrEx>
          <w:tblCellMar>
            <w:top w:w="0" w:type="dxa"/>
            <w:bottom w:w="0" w:type="dxa"/>
          </w:tblCellMar>
        </w:tblPrEx>
        <w:tc>
          <w:tcPr>
            <w:tcW w:w="3268" w:type="dxa"/>
            <w:tcBorders>
              <w:top w:val="nil"/>
              <w:bottom w:val="nil"/>
              <w:right w:val="nil"/>
            </w:tcBorders>
          </w:tcPr>
          <w:p w:rsidR="00000000" w:rsidRDefault="000C45AD">
            <w:pPr>
              <w:spacing w:before="40" w:after="20" w:line="288" w:lineRule="auto"/>
              <w:ind w:left="113"/>
              <w:rPr>
                <w:sz w:val="21"/>
              </w:rPr>
            </w:pPr>
            <w:r>
              <w:rPr>
                <w:rFonts w:hint="eastAsia"/>
                <w:sz w:val="21"/>
              </w:rPr>
              <w:t>拉巴斯省</w:t>
            </w:r>
          </w:p>
        </w:tc>
        <w:tc>
          <w:tcPr>
            <w:tcW w:w="1228"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53.0</w:t>
            </w:r>
          </w:p>
        </w:tc>
        <w:tc>
          <w:tcPr>
            <w:tcW w:w="1228" w:type="dxa"/>
            <w:tcBorders>
              <w:top w:val="nil"/>
              <w:left w:val="nil"/>
              <w:bottom w:val="nil"/>
              <w:righ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51.7</w:t>
            </w:r>
          </w:p>
        </w:tc>
        <w:tc>
          <w:tcPr>
            <w:tcW w:w="1228"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51.7</w:t>
            </w:r>
          </w:p>
        </w:tc>
        <w:tc>
          <w:tcPr>
            <w:tcW w:w="1228" w:type="dxa"/>
            <w:tcBorders>
              <w:top w:val="nil"/>
              <w:left w:val="nil"/>
              <w:bottom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52.2</w:t>
            </w:r>
          </w:p>
        </w:tc>
        <w:tc>
          <w:tcPr>
            <w:tcW w:w="1228" w:type="dxa"/>
            <w:tcBorders>
              <w:top w:val="nil"/>
              <w:left w:val="nil"/>
              <w:bottom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53.5</w:t>
            </w:r>
          </w:p>
        </w:tc>
      </w:tr>
      <w:tr w:rsidR="00000000">
        <w:tblPrEx>
          <w:tblCellMar>
            <w:top w:w="0" w:type="dxa"/>
            <w:bottom w:w="0" w:type="dxa"/>
          </w:tblCellMar>
        </w:tblPrEx>
        <w:tc>
          <w:tcPr>
            <w:tcW w:w="3268" w:type="dxa"/>
            <w:tcBorders>
              <w:top w:val="nil"/>
              <w:right w:val="nil"/>
            </w:tcBorders>
          </w:tcPr>
          <w:p w:rsidR="00000000" w:rsidRDefault="000C45AD">
            <w:pPr>
              <w:spacing w:before="40" w:after="20" w:line="288" w:lineRule="auto"/>
              <w:ind w:left="113"/>
              <w:rPr>
                <w:sz w:val="21"/>
              </w:rPr>
            </w:pPr>
            <w:r>
              <w:rPr>
                <w:rFonts w:hint="eastAsia"/>
                <w:sz w:val="21"/>
              </w:rPr>
              <w:t>伦皮拉省</w:t>
            </w:r>
          </w:p>
        </w:tc>
        <w:tc>
          <w:tcPr>
            <w:tcW w:w="1228" w:type="dxa"/>
            <w:tcBorders>
              <w:top w:val="nil"/>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62.1</w:t>
            </w:r>
          </w:p>
        </w:tc>
        <w:tc>
          <w:tcPr>
            <w:tcW w:w="1228" w:type="dxa"/>
            <w:tcBorders>
              <w:top w:val="nil"/>
              <w:left w:val="nil"/>
              <w:righ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61.5</w:t>
            </w:r>
          </w:p>
        </w:tc>
        <w:tc>
          <w:tcPr>
            <w:tcW w:w="1228" w:type="dxa"/>
            <w:tcBorders>
              <w:top w:val="nil"/>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63.9</w:t>
            </w:r>
          </w:p>
        </w:tc>
        <w:tc>
          <w:tcPr>
            <w:tcW w:w="1228" w:type="dxa"/>
            <w:tcBorders>
              <w:top w:val="nil"/>
              <w:left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64.4</w:t>
            </w:r>
          </w:p>
        </w:tc>
        <w:tc>
          <w:tcPr>
            <w:tcW w:w="1228" w:type="dxa"/>
            <w:tcBorders>
              <w:top w:val="nil"/>
              <w:lef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60.4</w:t>
            </w:r>
          </w:p>
        </w:tc>
      </w:tr>
      <w:tr w:rsidR="00000000">
        <w:tblPrEx>
          <w:tblCellMar>
            <w:top w:w="0" w:type="dxa"/>
            <w:bottom w:w="0" w:type="dxa"/>
          </w:tblCellMar>
        </w:tblPrEx>
        <w:tc>
          <w:tcPr>
            <w:tcW w:w="3268" w:type="dxa"/>
            <w:tcBorders>
              <w:right w:val="nil"/>
            </w:tcBorders>
          </w:tcPr>
          <w:p w:rsidR="00000000" w:rsidRDefault="000C45AD">
            <w:pPr>
              <w:spacing w:before="40" w:after="20" w:line="288" w:lineRule="auto"/>
              <w:ind w:left="113"/>
              <w:rPr>
                <w:sz w:val="21"/>
              </w:rPr>
            </w:pPr>
            <w:r>
              <w:rPr>
                <w:rFonts w:hint="eastAsia"/>
                <w:sz w:val="21"/>
              </w:rPr>
              <w:t>奥科特佩克省</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48.5</w:t>
            </w:r>
          </w:p>
        </w:tc>
        <w:tc>
          <w:tcPr>
            <w:tcW w:w="1228" w:type="dxa"/>
            <w:tcBorders>
              <w:left w:val="nil"/>
              <w:righ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41.6</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42.4</w:t>
            </w:r>
          </w:p>
        </w:tc>
        <w:tc>
          <w:tcPr>
            <w:tcW w:w="1228" w:type="dxa"/>
            <w:tcBorders>
              <w:left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41.6</w:t>
            </w:r>
          </w:p>
        </w:tc>
        <w:tc>
          <w:tcPr>
            <w:tcW w:w="1228" w:type="dxa"/>
            <w:tcBorders>
              <w:lef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43.5</w:t>
            </w:r>
          </w:p>
        </w:tc>
      </w:tr>
      <w:tr w:rsidR="00000000">
        <w:tblPrEx>
          <w:tblCellMar>
            <w:top w:w="0" w:type="dxa"/>
            <w:bottom w:w="0" w:type="dxa"/>
          </w:tblCellMar>
        </w:tblPrEx>
        <w:tc>
          <w:tcPr>
            <w:tcW w:w="3268" w:type="dxa"/>
            <w:tcBorders>
              <w:right w:val="nil"/>
            </w:tcBorders>
          </w:tcPr>
          <w:p w:rsidR="00000000" w:rsidRDefault="000C45AD">
            <w:pPr>
              <w:spacing w:before="40" w:after="20" w:line="288" w:lineRule="auto"/>
              <w:ind w:left="113"/>
              <w:rPr>
                <w:sz w:val="21"/>
              </w:rPr>
            </w:pPr>
            <w:r>
              <w:rPr>
                <w:rFonts w:hint="eastAsia"/>
                <w:sz w:val="21"/>
              </w:rPr>
              <w:t>奥兰乔省</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36.7</w:t>
            </w:r>
          </w:p>
        </w:tc>
        <w:tc>
          <w:tcPr>
            <w:tcW w:w="1228" w:type="dxa"/>
            <w:tcBorders>
              <w:left w:val="nil"/>
              <w:righ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31.3</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30.5</w:t>
            </w:r>
          </w:p>
        </w:tc>
        <w:tc>
          <w:tcPr>
            <w:tcW w:w="1228" w:type="dxa"/>
            <w:tcBorders>
              <w:left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32.6</w:t>
            </w:r>
          </w:p>
        </w:tc>
        <w:tc>
          <w:tcPr>
            <w:tcW w:w="1228" w:type="dxa"/>
            <w:tcBorders>
              <w:lef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33.2</w:t>
            </w:r>
          </w:p>
        </w:tc>
      </w:tr>
      <w:tr w:rsidR="00000000">
        <w:tblPrEx>
          <w:tblCellMar>
            <w:top w:w="0" w:type="dxa"/>
            <w:bottom w:w="0" w:type="dxa"/>
          </w:tblCellMar>
        </w:tblPrEx>
        <w:tc>
          <w:tcPr>
            <w:tcW w:w="3268" w:type="dxa"/>
            <w:tcBorders>
              <w:right w:val="nil"/>
            </w:tcBorders>
          </w:tcPr>
          <w:p w:rsidR="00000000" w:rsidRDefault="000C45AD">
            <w:pPr>
              <w:spacing w:before="40" w:after="20" w:line="288" w:lineRule="auto"/>
              <w:ind w:left="113"/>
              <w:rPr>
                <w:sz w:val="21"/>
              </w:rPr>
            </w:pPr>
            <w:r>
              <w:rPr>
                <w:rFonts w:hint="eastAsia"/>
                <w:sz w:val="21"/>
              </w:rPr>
              <w:t>圣巴巴拉省</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56.7</w:t>
            </w:r>
          </w:p>
        </w:tc>
        <w:tc>
          <w:tcPr>
            <w:tcW w:w="1228" w:type="dxa"/>
            <w:tcBorders>
              <w:left w:val="nil"/>
              <w:righ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47.7</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45.2</w:t>
            </w:r>
          </w:p>
        </w:tc>
        <w:tc>
          <w:tcPr>
            <w:tcW w:w="1228" w:type="dxa"/>
            <w:tcBorders>
              <w:left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48.4</w:t>
            </w:r>
          </w:p>
        </w:tc>
        <w:tc>
          <w:tcPr>
            <w:tcW w:w="1228" w:type="dxa"/>
            <w:tcBorders>
              <w:lef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48.7</w:t>
            </w:r>
          </w:p>
        </w:tc>
      </w:tr>
      <w:tr w:rsidR="00000000">
        <w:tblPrEx>
          <w:tblCellMar>
            <w:top w:w="0" w:type="dxa"/>
            <w:bottom w:w="0" w:type="dxa"/>
          </w:tblCellMar>
        </w:tblPrEx>
        <w:tc>
          <w:tcPr>
            <w:tcW w:w="3268" w:type="dxa"/>
            <w:tcBorders>
              <w:right w:val="nil"/>
            </w:tcBorders>
          </w:tcPr>
          <w:p w:rsidR="00000000" w:rsidRDefault="000C45AD">
            <w:pPr>
              <w:spacing w:before="40" w:after="20" w:line="288" w:lineRule="auto"/>
              <w:ind w:left="113"/>
              <w:rPr>
                <w:sz w:val="21"/>
              </w:rPr>
            </w:pPr>
            <w:r>
              <w:rPr>
                <w:rFonts w:hint="eastAsia"/>
                <w:sz w:val="21"/>
              </w:rPr>
              <w:t>山谷省</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32.4</w:t>
            </w:r>
          </w:p>
        </w:tc>
        <w:tc>
          <w:tcPr>
            <w:tcW w:w="1228" w:type="dxa"/>
            <w:tcBorders>
              <w:left w:val="nil"/>
              <w:righ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28.6</w:t>
            </w:r>
          </w:p>
        </w:tc>
        <w:tc>
          <w:tcPr>
            <w:tcW w:w="1228"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23.1</w:t>
            </w:r>
          </w:p>
        </w:tc>
        <w:tc>
          <w:tcPr>
            <w:tcW w:w="1228" w:type="dxa"/>
            <w:tcBorders>
              <w:left w:val="nil"/>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31.9</w:t>
            </w:r>
          </w:p>
        </w:tc>
        <w:tc>
          <w:tcPr>
            <w:tcW w:w="1228" w:type="dxa"/>
            <w:tcBorders>
              <w:lef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30.2</w:t>
            </w:r>
          </w:p>
        </w:tc>
      </w:tr>
      <w:tr w:rsidR="00000000">
        <w:tblPrEx>
          <w:tblCellMar>
            <w:top w:w="0" w:type="dxa"/>
            <w:bottom w:w="0" w:type="dxa"/>
          </w:tblCellMar>
        </w:tblPrEx>
        <w:tc>
          <w:tcPr>
            <w:tcW w:w="3268" w:type="dxa"/>
            <w:tcBorders>
              <w:right w:val="nil"/>
            </w:tcBorders>
          </w:tcPr>
          <w:p w:rsidR="00000000" w:rsidRDefault="000C45AD">
            <w:pPr>
              <w:spacing w:before="40" w:after="20" w:line="288" w:lineRule="auto"/>
              <w:ind w:left="113"/>
              <w:rPr>
                <w:sz w:val="21"/>
              </w:rPr>
            </w:pPr>
            <w:r>
              <w:rPr>
                <w:rFonts w:hint="eastAsia"/>
                <w:sz w:val="21"/>
              </w:rPr>
              <w:t>罗约省</w:t>
            </w:r>
          </w:p>
        </w:tc>
        <w:tc>
          <w:tcPr>
            <w:tcW w:w="1228" w:type="dxa"/>
            <w:tcBorders>
              <w:left w:val="single" w:sz="6" w:space="0" w:color="auto"/>
              <w:bottom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39.3</w:t>
            </w:r>
          </w:p>
        </w:tc>
        <w:tc>
          <w:tcPr>
            <w:tcW w:w="1228" w:type="dxa"/>
            <w:tcBorders>
              <w:left w:val="nil"/>
              <w:righ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29.6</w:t>
            </w:r>
          </w:p>
        </w:tc>
        <w:tc>
          <w:tcPr>
            <w:tcW w:w="1228" w:type="dxa"/>
            <w:tcBorders>
              <w:left w:val="single" w:sz="6" w:space="0" w:color="auto"/>
              <w:bottom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32.6</w:t>
            </w:r>
          </w:p>
        </w:tc>
        <w:tc>
          <w:tcPr>
            <w:tcW w:w="1228" w:type="dxa"/>
            <w:tcBorders>
              <w:left w:val="nil"/>
              <w:bottom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35.3</w:t>
            </w:r>
          </w:p>
        </w:tc>
        <w:tc>
          <w:tcPr>
            <w:tcW w:w="1228" w:type="dxa"/>
            <w:tcBorders>
              <w:left w:val="nil"/>
            </w:tcBorders>
          </w:tcPr>
          <w:p w:rsidR="00000000" w:rsidRDefault="000C45AD">
            <w:pPr>
              <w:tabs>
                <w:tab w:val="clear" w:pos="510"/>
                <w:tab w:val="clear" w:pos="1021"/>
                <w:tab w:val="clear" w:pos="1531"/>
                <w:tab w:val="clear" w:pos="2041"/>
                <w:tab w:val="decimal" w:pos="572"/>
              </w:tabs>
              <w:spacing w:before="40" w:after="20" w:line="288" w:lineRule="auto"/>
              <w:rPr>
                <w:sz w:val="21"/>
              </w:rPr>
            </w:pPr>
            <w:r>
              <w:rPr>
                <w:sz w:val="21"/>
              </w:rPr>
              <w:t>35.5</w:t>
            </w:r>
          </w:p>
        </w:tc>
      </w:tr>
    </w:tbl>
    <w:p w:rsidR="00000000" w:rsidRDefault="000C45AD">
      <w:pPr>
        <w:spacing w:line="288" w:lineRule="auto"/>
      </w:pPr>
    </w:p>
    <w:p w:rsidR="00000000" w:rsidRDefault="000C45AD">
      <w:pPr>
        <w:spacing w:after="320"/>
        <w:ind w:left="518"/>
        <w:textAlignment w:val="center"/>
        <w:rPr>
          <w:rFonts w:eastAsia="长城楷体"/>
        </w:rPr>
      </w:pPr>
      <w:r>
        <w:rPr>
          <w:rFonts w:eastAsia="长城楷体" w:hint="eastAsia"/>
          <w:u w:val="single"/>
        </w:rPr>
        <w:t>来源</w:t>
      </w:r>
      <w:r>
        <w:rPr>
          <w:rFonts w:eastAsia="长城楷体" w:hint="eastAsia"/>
        </w:rPr>
        <w:t>：</w:t>
      </w:r>
      <w:r>
        <w:rPr>
          <w:rFonts w:eastAsia="长城楷体"/>
        </w:rPr>
        <w:t>1986</w:t>
      </w:r>
      <w:r>
        <w:rPr>
          <w:rFonts w:eastAsia="长城楷体" w:hint="eastAsia"/>
        </w:rPr>
        <w:t>年至</w:t>
      </w:r>
      <w:r>
        <w:rPr>
          <w:rFonts w:eastAsia="长城楷体"/>
        </w:rPr>
        <w:t>1995</w:t>
      </w:r>
      <w:r>
        <w:rPr>
          <w:rFonts w:eastAsia="长城楷体" w:hint="eastAsia"/>
        </w:rPr>
        <w:t>年一年级学生身高普查。</w:t>
      </w:r>
    </w:p>
    <w:p w:rsidR="00000000" w:rsidRDefault="000C45AD">
      <w:pPr>
        <w:pStyle w:val="Heading4"/>
      </w:pPr>
      <w:r>
        <w:rPr>
          <w:rFonts w:hint="eastAsia"/>
        </w:rPr>
        <w:t>粮食安全政策措施</w:t>
      </w:r>
    </w:p>
    <w:p w:rsidR="00000000" w:rsidRDefault="000C45AD">
      <w:pPr>
        <w:pStyle w:val="NormalIndent"/>
      </w:pPr>
      <w:r>
        <w:t xml:space="preserve">167.  </w:t>
      </w:r>
      <w:r>
        <w:rPr>
          <w:rFonts w:hint="eastAsia"/>
        </w:rPr>
        <w:t>粮食和营养战略旨在全国人口供应和提供粮食，并通过采取具体的纠正方案和措施向遭受长期营养不良的群体提供粮食援助。将通过地方发展和加强城市化进程处理粮食和营养的安全问题。同时应当时刻考虑到生态因素。</w:t>
      </w:r>
    </w:p>
    <w:p w:rsidR="00000000" w:rsidRDefault="000C45AD">
      <w:pPr>
        <w:pStyle w:val="NormalIndent"/>
      </w:pPr>
      <w:r>
        <w:t xml:space="preserve">168.  </w:t>
      </w:r>
      <w:r>
        <w:rPr>
          <w:rFonts w:hint="eastAsia"/>
        </w:rPr>
        <w:t>下面是提出的各项建议：</w:t>
      </w:r>
    </w:p>
    <w:p w:rsidR="00000000" w:rsidRDefault="000C45AD" w:rsidP="000C45AD">
      <w:pPr>
        <w:pStyle w:val="a6"/>
        <w:numPr>
          <w:ilvl w:val="0"/>
          <w:numId w:val="1"/>
        </w:numPr>
        <w:ind w:left="1531"/>
      </w:pPr>
      <w:r>
        <w:rPr>
          <w:rFonts w:hint="eastAsia"/>
        </w:rPr>
        <w:t>确保大幅度增加粮食供应，做到长期充分和持续的供应，向百姓提供为满足其生理需求所</w:t>
      </w:r>
      <w:r>
        <w:rPr>
          <w:rFonts w:hint="eastAsia"/>
        </w:rPr>
        <w:t>需要的粮食，并使每个人能够发展其身心能力；</w:t>
      </w:r>
    </w:p>
    <w:p w:rsidR="00000000" w:rsidRDefault="000C45AD" w:rsidP="000C45AD">
      <w:pPr>
        <w:pStyle w:val="a6"/>
        <w:numPr>
          <w:ilvl w:val="0"/>
          <w:numId w:val="1"/>
        </w:numPr>
        <w:ind w:left="1531"/>
      </w:pPr>
      <w:r>
        <w:rPr>
          <w:rFonts w:hint="eastAsia"/>
        </w:rPr>
        <w:t>优先重视在收入、地理环境和极例外情况中的最脆弱的群体，并加强它们的粮食和营养安全；</w:t>
      </w:r>
    </w:p>
    <w:p w:rsidR="00000000" w:rsidRDefault="000C45AD" w:rsidP="000C45AD">
      <w:pPr>
        <w:pStyle w:val="a6"/>
        <w:numPr>
          <w:ilvl w:val="0"/>
          <w:numId w:val="1"/>
        </w:numPr>
        <w:ind w:left="1531"/>
      </w:pPr>
      <w:r>
        <w:rPr>
          <w:rFonts w:hint="eastAsia"/>
        </w:rPr>
        <w:t>加强短期和中期的粮食生产和生产资助服务：贷款、技术援助及销售和生产基础设施；</w:t>
      </w:r>
    </w:p>
    <w:p w:rsidR="00000000" w:rsidRDefault="000C45AD" w:rsidP="000C45AD">
      <w:pPr>
        <w:pStyle w:val="a6"/>
        <w:numPr>
          <w:ilvl w:val="0"/>
          <w:numId w:val="1"/>
        </w:numPr>
        <w:ind w:left="1531"/>
      </w:pPr>
      <w:r>
        <w:rPr>
          <w:rFonts w:hint="eastAsia"/>
        </w:rPr>
        <w:t>扩大服务的覆盖面并改善服务质量：儿童、孕妇和哺乳母亲被确定为优先群体；</w:t>
      </w:r>
    </w:p>
    <w:p w:rsidR="00000000" w:rsidRDefault="000C45AD" w:rsidP="000C45AD">
      <w:pPr>
        <w:pStyle w:val="a6"/>
        <w:numPr>
          <w:ilvl w:val="0"/>
          <w:numId w:val="1"/>
        </w:numPr>
        <w:ind w:left="1531"/>
      </w:pPr>
      <w:r>
        <w:rPr>
          <w:rFonts w:hint="eastAsia"/>
        </w:rPr>
        <w:t>加强民众和文明社会的参与并劝说它们承担其确保在家庭中开展粮食和营养措施的责任；</w:t>
      </w:r>
    </w:p>
    <w:p w:rsidR="00000000" w:rsidRDefault="000C45AD" w:rsidP="000C45AD">
      <w:pPr>
        <w:pStyle w:val="a6"/>
        <w:numPr>
          <w:ilvl w:val="0"/>
          <w:numId w:val="1"/>
        </w:numPr>
        <w:ind w:left="1531"/>
      </w:pPr>
      <w:r>
        <w:rPr>
          <w:rFonts w:hint="eastAsia"/>
        </w:rPr>
        <w:t>管理国际社会和各友好国家政府为执行方案所提供的资金；</w:t>
      </w:r>
    </w:p>
    <w:p w:rsidR="00000000" w:rsidRDefault="000C45AD" w:rsidP="000C45AD">
      <w:pPr>
        <w:pStyle w:val="a6"/>
        <w:numPr>
          <w:ilvl w:val="0"/>
          <w:numId w:val="1"/>
        </w:numPr>
        <w:ind w:left="1531"/>
      </w:pPr>
      <w:r>
        <w:rPr>
          <w:rFonts w:hint="eastAsia"/>
        </w:rPr>
        <w:t>执行在洪都拉斯人的饮食中增加微营养元素</w:t>
      </w:r>
      <w:r>
        <w:t>(</w:t>
      </w:r>
      <w:r>
        <w:rPr>
          <w:rFonts w:hint="eastAsia"/>
        </w:rPr>
        <w:t>碘、维他命</w:t>
      </w:r>
      <w:r>
        <w:t>A</w:t>
      </w:r>
      <w:r>
        <w:rPr>
          <w:rFonts w:hint="eastAsia"/>
        </w:rPr>
        <w:t>和氟化物</w:t>
      </w:r>
      <w:r>
        <w:t>)</w:t>
      </w:r>
      <w:r>
        <w:rPr>
          <w:rFonts w:hint="eastAsia"/>
        </w:rPr>
        <w:t>的措施；并且</w:t>
      </w:r>
    </w:p>
    <w:p w:rsidR="00000000" w:rsidRDefault="000C45AD" w:rsidP="000C45AD">
      <w:pPr>
        <w:pStyle w:val="a6"/>
        <w:numPr>
          <w:ilvl w:val="0"/>
          <w:numId w:val="1"/>
        </w:numPr>
        <w:ind w:left="1531"/>
      </w:pPr>
      <w:r>
        <w:rPr>
          <w:rFonts w:hint="eastAsia"/>
        </w:rPr>
        <w:t>重新启动各生产中心，为扩</w:t>
      </w:r>
      <w:r>
        <w:rPr>
          <w:rFonts w:hint="eastAsia"/>
        </w:rPr>
        <w:t>大生产活动作出贡献，从而提高人民的就业和收入水平并从而改善民众的福利标准。</w:t>
      </w:r>
    </w:p>
    <w:p w:rsidR="00000000" w:rsidRDefault="000C45AD">
      <w:pPr>
        <w:pStyle w:val="NormalIndent"/>
      </w:pPr>
      <w:r>
        <w:t xml:space="preserve">169.  </w:t>
      </w:r>
      <w:r>
        <w:rPr>
          <w:rFonts w:hint="eastAsia"/>
        </w:rPr>
        <w:t>为了有效执行粮食安全政策，必须在下述领域中采取行动：</w:t>
      </w:r>
    </w:p>
    <w:p w:rsidR="00000000" w:rsidRDefault="000C45AD" w:rsidP="000C45AD">
      <w:pPr>
        <w:pStyle w:val="a6"/>
        <w:numPr>
          <w:ilvl w:val="0"/>
          <w:numId w:val="1"/>
        </w:numPr>
        <w:ind w:left="1531"/>
      </w:pPr>
      <w:r>
        <w:rPr>
          <w:rFonts w:hint="eastAsia"/>
        </w:rPr>
        <w:t>全国粮食供应；</w:t>
      </w:r>
    </w:p>
    <w:p w:rsidR="00000000" w:rsidRDefault="000C45AD" w:rsidP="000C45AD">
      <w:pPr>
        <w:pStyle w:val="a6"/>
        <w:numPr>
          <w:ilvl w:val="0"/>
          <w:numId w:val="1"/>
        </w:numPr>
        <w:ind w:left="1531"/>
      </w:pPr>
      <w:r>
        <w:rPr>
          <w:rFonts w:hint="eastAsia"/>
        </w:rPr>
        <w:t>家庭中的粮食和营养安全；</w:t>
      </w:r>
    </w:p>
    <w:p w:rsidR="00000000" w:rsidRDefault="000C45AD" w:rsidP="000C45AD">
      <w:pPr>
        <w:pStyle w:val="a6"/>
        <w:numPr>
          <w:ilvl w:val="0"/>
          <w:numId w:val="1"/>
        </w:numPr>
        <w:ind w:left="1531"/>
      </w:pPr>
      <w:r>
        <w:rPr>
          <w:rFonts w:hint="eastAsia"/>
        </w:rPr>
        <w:t>社会补助和援助；</w:t>
      </w:r>
    </w:p>
    <w:p w:rsidR="00000000" w:rsidRDefault="000C45AD" w:rsidP="000C45AD">
      <w:pPr>
        <w:pStyle w:val="a6"/>
        <w:numPr>
          <w:ilvl w:val="0"/>
          <w:numId w:val="1"/>
        </w:numPr>
        <w:ind w:left="1531"/>
      </w:pPr>
      <w:r>
        <w:rPr>
          <w:rFonts w:hint="eastAsia"/>
        </w:rPr>
        <w:t>提供各种社会服务；</w:t>
      </w:r>
    </w:p>
    <w:p w:rsidR="00000000" w:rsidRDefault="000C45AD" w:rsidP="000C45AD">
      <w:pPr>
        <w:pStyle w:val="a6"/>
        <w:numPr>
          <w:ilvl w:val="0"/>
          <w:numId w:val="1"/>
        </w:numPr>
        <w:ind w:left="1531"/>
      </w:pPr>
      <w:r>
        <w:rPr>
          <w:rFonts w:hint="eastAsia"/>
        </w:rPr>
        <w:t>推广健康的饮食和生活习惯；和</w:t>
      </w:r>
    </w:p>
    <w:p w:rsidR="00000000" w:rsidRDefault="000C45AD" w:rsidP="000C45AD">
      <w:pPr>
        <w:pStyle w:val="a6"/>
        <w:numPr>
          <w:ilvl w:val="0"/>
          <w:numId w:val="1"/>
        </w:numPr>
        <w:spacing w:after="320"/>
        <w:ind w:left="1531"/>
        <w:textAlignment w:val="center"/>
      </w:pPr>
      <w:r>
        <w:rPr>
          <w:rFonts w:hint="eastAsia"/>
        </w:rPr>
        <w:t>食品安全和卫生。</w:t>
      </w:r>
    </w:p>
    <w:p w:rsidR="00000000" w:rsidRDefault="000C45AD">
      <w:pPr>
        <w:pStyle w:val="Heading4"/>
      </w:pPr>
      <w:r>
        <w:rPr>
          <w:rFonts w:hint="eastAsia"/>
        </w:rPr>
        <w:t>对食品供应造成不利影响的政策变化</w:t>
      </w:r>
    </w:p>
    <w:p w:rsidR="00000000" w:rsidRDefault="000C45AD">
      <w:pPr>
        <w:pStyle w:val="NormalIndent"/>
      </w:pPr>
      <w:r>
        <w:t>170.  1991</w:t>
      </w:r>
      <w:r>
        <w:rPr>
          <w:rFonts w:hint="eastAsia"/>
        </w:rPr>
        <w:t>年，洪都拉斯政府开始执行一项旨在恢复该国经济状况的结构调整方案，其办法是提高国营部门的效率并缩小其规模，执行有利于私营企业的刺激政策。此外，开始努力消除阻碍外国投资的障碍和对国内消费的价格</w:t>
      </w:r>
      <w:r>
        <w:rPr>
          <w:rFonts w:hint="eastAsia"/>
        </w:rPr>
        <w:t>控制，将国营服务和国营企业私营化，并在洪都拉斯实施新的刺激政策，以鼓励更大的国内和外国投资。</w:t>
      </w:r>
    </w:p>
    <w:p w:rsidR="00000000" w:rsidRDefault="000C45AD">
      <w:pPr>
        <w:pStyle w:val="NormalIndent"/>
      </w:pPr>
      <w:r>
        <w:t xml:space="preserve">171.  </w:t>
      </w:r>
      <w:r>
        <w:rPr>
          <w:rFonts w:hint="eastAsia"/>
        </w:rPr>
        <w:t>这一方案实施了各项改革，减少了保护民族工业不受国际竞争的关税，开放了金融和农业交易。外汇汇率体系得到了改革，对基本投入的一些补贴已被撤消，允许利率浮动。最后的这一措施提高了住房的费用。</w:t>
      </w:r>
    </w:p>
    <w:p w:rsidR="00000000" w:rsidRDefault="000C45AD">
      <w:pPr>
        <w:pStyle w:val="NormalIndent"/>
      </w:pPr>
      <w:r>
        <w:t xml:space="preserve">172.  </w:t>
      </w:r>
      <w:r>
        <w:rPr>
          <w:rFonts w:hint="eastAsia"/>
        </w:rPr>
        <w:t>在实施这些政策的最初几年里，这些措施对民众、特别是民众中处于最不利地位的群体产生了极为不利的影响，由于各种物价，特别是基本食品的物价的普遍上涨，人们至今仍然能够感受到这种影响。通货膨胀是衡量消费者购买力的宏观</w:t>
      </w:r>
      <w:r>
        <w:rPr>
          <w:rFonts w:hint="eastAsia"/>
        </w:rPr>
        <w:t>经济指数之一：</w:t>
      </w:r>
      <w:r>
        <w:t>1995</w:t>
      </w:r>
      <w:r>
        <w:rPr>
          <w:rFonts w:hint="eastAsia"/>
        </w:rPr>
        <w:t>年通货膨胀率达到了</w:t>
      </w:r>
      <w:r>
        <w:t>29.5%</w:t>
      </w:r>
      <w:r>
        <w:rPr>
          <w:rFonts w:hint="eastAsia"/>
        </w:rPr>
        <w:t>。</w:t>
      </w:r>
    </w:p>
    <w:p w:rsidR="00000000" w:rsidRDefault="000C45AD">
      <w:pPr>
        <w:pStyle w:val="NormalIndent"/>
      </w:pPr>
      <w:r>
        <w:t xml:space="preserve">173.  </w:t>
      </w:r>
      <w:r>
        <w:rPr>
          <w:rFonts w:hint="eastAsia"/>
        </w:rPr>
        <w:t>为了减轻调整方案的影响，设立了洪都拉斯社会投资基金和家庭补助方案。洪都拉斯社会投资基金主管社会和经济基础设施的建设，而家庭补助方案则负责通过分发食品券提供营养援助。还向老年人提供食品券。还针对在校儿童实施了学校书包项目，对作为一家之长的妇女实施了职业券项目。</w:t>
      </w:r>
    </w:p>
    <w:p w:rsidR="00000000" w:rsidRDefault="000C45AD">
      <w:r>
        <w:tab/>
        <w:t xml:space="preserve">174.  </w:t>
      </w:r>
      <w:r>
        <w:rPr>
          <w:rFonts w:hint="eastAsia"/>
        </w:rPr>
        <w:t>洪都拉斯全体民众享有使其各项社会需求均得到满足的权利，这一权利已得到公认。但是，有限的财力、物力和人力意味着，必须优先重视经社会经济和文化标准确定的最贫穷的人口群体。</w:t>
      </w:r>
    </w:p>
    <w:p w:rsidR="00000000" w:rsidRDefault="000C45AD">
      <w:r>
        <w:tab/>
        <w:t>1</w:t>
      </w:r>
      <w:r>
        <w:t xml:space="preserve">75.  </w:t>
      </w:r>
      <w:r>
        <w:rPr>
          <w:rFonts w:hint="eastAsia"/>
        </w:rPr>
        <w:t>这些群体包括儿童、妇女、青少年和不同的种族群体。</w:t>
      </w:r>
    </w:p>
    <w:p w:rsidR="00000000" w:rsidRDefault="000C45AD">
      <w:r>
        <w:tab/>
        <w:t xml:space="preserve">176.  </w:t>
      </w:r>
      <w:r>
        <w:rPr>
          <w:rFonts w:hint="eastAsia"/>
        </w:rPr>
        <w:t>儿童：根据规划、协调和预算部的估计，</w:t>
      </w:r>
      <w:r>
        <w:t>1996</w:t>
      </w:r>
      <w:r>
        <w:rPr>
          <w:rFonts w:hint="eastAsia"/>
        </w:rPr>
        <w:t>年人口总数为</w:t>
      </w:r>
      <w:r>
        <w:t>5,600,000</w:t>
      </w:r>
      <w:r>
        <w:rPr>
          <w:rFonts w:hint="eastAsia"/>
        </w:rPr>
        <w:t>人，人口增长率为</w:t>
      </w:r>
      <w:r>
        <w:t>2.8%</w:t>
      </w:r>
      <w:r>
        <w:rPr>
          <w:rFonts w:hint="eastAsia"/>
        </w:rPr>
        <w:t>。据估计，到</w:t>
      </w:r>
      <w:r>
        <w:t>2000</w:t>
      </w:r>
      <w:r>
        <w:rPr>
          <w:rFonts w:hint="eastAsia"/>
        </w:rPr>
        <w:t>年时人口将增长至</w:t>
      </w:r>
      <w:r>
        <w:t>6,000,000</w:t>
      </w:r>
      <w:r>
        <w:rPr>
          <w:rFonts w:hint="eastAsia"/>
        </w:rPr>
        <w:t>。在这一总数中，</w:t>
      </w:r>
      <w:r>
        <w:t>46.8%</w:t>
      </w:r>
      <w:r>
        <w:rPr>
          <w:rFonts w:hint="eastAsia"/>
        </w:rPr>
        <w:t>的人不满</w:t>
      </w:r>
      <w:r>
        <w:t>15</w:t>
      </w:r>
      <w:r>
        <w:rPr>
          <w:rFonts w:hint="eastAsia"/>
        </w:rPr>
        <w:t>周岁，</w:t>
      </w:r>
      <w:r>
        <w:t>20%</w:t>
      </w:r>
      <w:r>
        <w:rPr>
          <w:rFonts w:hint="eastAsia"/>
        </w:rPr>
        <w:t>的不满</w:t>
      </w:r>
      <w:r>
        <w:t>5</w:t>
      </w:r>
      <w:r>
        <w:rPr>
          <w:rFonts w:hint="eastAsia"/>
        </w:rPr>
        <w:t>周岁，</w:t>
      </w:r>
      <w:r>
        <w:t>50.1%</w:t>
      </w:r>
      <w:r>
        <w:rPr>
          <w:rFonts w:hint="eastAsia"/>
        </w:rPr>
        <w:t>的人为女性。</w:t>
      </w:r>
    </w:p>
    <w:p w:rsidR="00000000" w:rsidRDefault="000C45AD">
      <w:r>
        <w:tab/>
        <w:t xml:space="preserve">177.  </w:t>
      </w:r>
      <w:r>
        <w:rPr>
          <w:rFonts w:hint="eastAsia"/>
        </w:rPr>
        <w:t>儿童是一个优先群体，是国家社会政策的一个基本目标，因为他们构成国家未来发展的基础。因此，必须对他们进行培训，使他们能够接受他们将要负责处理的各项挑战。</w:t>
      </w:r>
    </w:p>
    <w:p w:rsidR="00000000" w:rsidRDefault="000C45AD">
      <w:r>
        <w:tab/>
        <w:t xml:space="preserve">178.  </w:t>
      </w:r>
      <w:r>
        <w:rPr>
          <w:rFonts w:hint="eastAsia"/>
        </w:rPr>
        <w:t>培养健康的儿童，向</w:t>
      </w:r>
      <w:r>
        <w:rPr>
          <w:rFonts w:hint="eastAsia"/>
        </w:rPr>
        <w:t>他们提供获得更好的教育水平的机会，增进其知识和社会意识，使他们能够形成一种仔细周到的世界观和心理能力，从而可根据其自身状况作出各项决定，这是极为重要的。</w:t>
      </w:r>
    </w:p>
    <w:p w:rsidR="00000000" w:rsidRDefault="000C45AD">
      <w:r>
        <w:tab/>
        <w:t xml:space="preserve">179.  </w:t>
      </w:r>
      <w:r>
        <w:rPr>
          <w:rFonts w:hint="eastAsia"/>
        </w:rPr>
        <w:t>由于洪都拉斯人民的发展是国家政策的宗旨之一，因此对儿童开展的社会培训就必须十分全面。所以，必须将儿童和青少年作为一体化进程的一个部分。</w:t>
      </w:r>
    </w:p>
    <w:p w:rsidR="00000000" w:rsidRDefault="000C45AD">
      <w:r>
        <w:tab/>
        <w:t xml:space="preserve">180.  </w:t>
      </w:r>
      <w:r>
        <w:rPr>
          <w:rFonts w:hint="eastAsia"/>
        </w:rPr>
        <w:t>妇女：必须在经济、社会、政治、文化和环境战略中纳入一项基于男女平等的社会政策，以确保妇女与人口中的其他群体一样在平等的条件下参与并受益于国家发展方案。</w:t>
      </w:r>
    </w:p>
    <w:p w:rsidR="00000000" w:rsidRDefault="000C45AD">
      <w:r>
        <w:tab/>
        <w:t xml:space="preserve">181.  </w:t>
      </w:r>
      <w:r>
        <w:rPr>
          <w:rFonts w:hint="eastAsia"/>
        </w:rPr>
        <w:t>如果社会政策要做到持续、公平</w:t>
      </w:r>
      <w:r>
        <w:rPr>
          <w:rFonts w:hint="eastAsia"/>
        </w:rPr>
        <w:t>和有效</w:t>
      </w:r>
      <w:r>
        <w:rPr>
          <w:rFonts w:hint="eastAsia"/>
          <w:spacing w:val="-40"/>
        </w:rPr>
        <w:t>——</w:t>
      </w:r>
      <w:r>
        <w:t xml:space="preserve"> </w:t>
      </w:r>
      <w:r>
        <w:rPr>
          <w:rFonts w:hint="eastAsia"/>
        </w:rPr>
        <w:t>这是洪都拉斯政府作出的承诺</w:t>
      </w:r>
      <w:r>
        <w:rPr>
          <w:rFonts w:hint="eastAsia"/>
          <w:spacing w:val="-40"/>
        </w:rPr>
        <w:t>——</w:t>
      </w:r>
      <w:r>
        <w:t xml:space="preserve"> </w:t>
      </w:r>
      <w:r>
        <w:rPr>
          <w:rFonts w:hint="eastAsia"/>
        </w:rPr>
        <w:t>这些政策就必须处理妇女参与的问题，并应建立各种机构，确保在洪都拉斯社会中改善妇女的地位和处境。</w:t>
      </w:r>
    </w:p>
    <w:p w:rsidR="00000000" w:rsidRDefault="000C45AD">
      <w:r>
        <w:tab/>
        <w:t xml:space="preserve">182.  </w:t>
      </w:r>
      <w:r>
        <w:rPr>
          <w:rFonts w:hint="eastAsia"/>
        </w:rPr>
        <w:t>《世界人权宣言》、《</w:t>
      </w:r>
      <w:r>
        <w:t>1975</w:t>
      </w:r>
      <w:r>
        <w:rPr>
          <w:rFonts w:hint="eastAsia"/>
        </w:rPr>
        <w:t>年墨西哥宣言》、《</w:t>
      </w:r>
      <w:r>
        <w:t>1980</w:t>
      </w:r>
      <w:r>
        <w:rPr>
          <w:rFonts w:hint="eastAsia"/>
        </w:rPr>
        <w:t>年哥本哈根宣言》、《</w:t>
      </w:r>
      <w:r>
        <w:t>1985</w:t>
      </w:r>
      <w:r>
        <w:rPr>
          <w:rFonts w:hint="eastAsia"/>
        </w:rPr>
        <w:t>年内罗毕宣言》、《开罗人口和发展问题国际会议行动纲领》和</w:t>
      </w:r>
      <w:r>
        <w:t>1995</w:t>
      </w:r>
      <w:r>
        <w:rPr>
          <w:rFonts w:hint="eastAsia"/>
        </w:rPr>
        <w:t>年在北京召开的第四次世界妇女大会的结论和行动计划为这一措施的概念和方法奠定了基础。</w:t>
      </w:r>
    </w:p>
    <w:p w:rsidR="00000000" w:rsidRDefault="000C45AD">
      <w:r>
        <w:tab/>
        <w:t xml:space="preserve">183.  </w:t>
      </w:r>
      <w:r>
        <w:rPr>
          <w:rFonts w:hint="eastAsia"/>
        </w:rPr>
        <w:t>根本的前提是，在政府的政策中，特别是政府的社会政策中，妇女必须是一项一体化措施的主题，这一措施必须客观地考虑到，妇</w:t>
      </w:r>
      <w:r>
        <w:rPr>
          <w:rFonts w:hint="eastAsia"/>
        </w:rPr>
        <w:t>女和男子有着不同的具体需求，在社会中发挥着不同的作用，其结果是，出现了两种类型的需求：由于妇女履行其生育的职能而必须采取短期的措施来改善妇女的社会经济方面的生活条件；并且采取长期措施，或男女平等战略，其主要任务是在许多不同的层次上改善妇女的处境，以便促进妇女在日益提高的层次上进行参与，并使妇女在个人、家庭和公共领域中能够作出决策。</w:t>
      </w:r>
    </w:p>
    <w:p w:rsidR="00000000" w:rsidRDefault="000C45AD">
      <w:r>
        <w:tab/>
        <w:t xml:space="preserve">184.  </w:t>
      </w:r>
      <w:r>
        <w:rPr>
          <w:rFonts w:hint="eastAsia"/>
        </w:rPr>
        <w:t>而且，由于妇女在历史上一直遭受社会上的歧视，因此正在努力确立真正的机会平等，并确保人民不会因为其性别等原因而受到不同的待遇。在教育方面，人们应当注意妇女、特别是农村</w:t>
      </w:r>
      <w:r>
        <w:rPr>
          <w:rFonts w:hint="eastAsia"/>
        </w:rPr>
        <w:t>地区的妇女中存在的长期的文盲现象。由于学校课本中和教育进程中长期存在的陈旧的社会观念而使妇女遭受了广泛的歧视，而且由于在性教育问题方面存在着一系列的文化限制，从而阻碍了生育健康方面的真正的预防工作，也阻碍了在年轻人中促进平等和相互尊重的新关系。</w:t>
      </w:r>
    </w:p>
    <w:p w:rsidR="00000000" w:rsidRDefault="000C45AD">
      <w:r>
        <w:tab/>
        <w:t xml:space="preserve">185.  </w:t>
      </w:r>
      <w:r>
        <w:rPr>
          <w:rFonts w:hint="eastAsia"/>
          <w:u w:val="single"/>
        </w:rPr>
        <w:t>年轻人</w:t>
      </w:r>
      <w:r>
        <w:rPr>
          <w:rFonts w:hint="eastAsia"/>
        </w:rPr>
        <w:t>：年轻人通常缺乏使其能够综合发展的充分机会，其中大多数人由于得不到教育而处于不利地位，而社会不能向他们提供任何其他办法来创造性地利用他们的自由时间。他们在进入职业市场方面也很困难，极高的失业率、特别是低收入家庭中年轻人的高失业率就反映了这一情况。</w:t>
      </w:r>
    </w:p>
    <w:p w:rsidR="00000000" w:rsidRDefault="000C45AD">
      <w:r>
        <w:tab/>
        <w:t xml:space="preserve">186.  </w:t>
      </w:r>
      <w:r>
        <w:rPr>
          <w:rFonts w:hint="eastAsia"/>
        </w:rPr>
        <w:t>为了满足年轻人具体需求，洪都拉斯政府和社会将实施跨部门的措施，以便加强年轻人对社会方案的参与，并向他们提供教育、职业、文化和娱乐发展的机会。</w:t>
      </w:r>
    </w:p>
    <w:p w:rsidR="00000000" w:rsidRDefault="000C45AD">
      <w:r>
        <w:tab/>
        <w:t xml:space="preserve">187.  </w:t>
      </w:r>
      <w:r>
        <w:rPr>
          <w:rFonts w:hint="eastAsia"/>
        </w:rPr>
        <w:t>性教育方案和预防吸毒成瘾方案将着重改善总体健康状况和生育健康，预防传染性的性病和艾滋病，并建立健康的生活方式。</w:t>
      </w:r>
    </w:p>
    <w:p w:rsidR="00000000" w:rsidRDefault="000C45AD">
      <w:pPr>
        <w:spacing w:after="320"/>
        <w:textAlignment w:val="center"/>
      </w:pPr>
      <w:r>
        <w:tab/>
        <w:t xml:space="preserve">188.  </w:t>
      </w:r>
      <w:r>
        <w:rPr>
          <w:rFonts w:hint="eastAsia"/>
          <w:u w:val="single"/>
        </w:rPr>
        <w:t>少数民族</w:t>
      </w:r>
      <w:r>
        <w:rPr>
          <w:rFonts w:hint="eastAsia"/>
        </w:rPr>
        <w:t>：少数民族是另一个优先群体：他们分成</w:t>
      </w:r>
      <w:r>
        <w:t>8</w:t>
      </w:r>
      <w:r>
        <w:rPr>
          <w:rFonts w:hint="eastAsia"/>
        </w:rPr>
        <w:t>个文化群体</w:t>
      </w:r>
      <w:r>
        <w:t>(garífuma</w:t>
      </w:r>
      <w:r>
        <w:rPr>
          <w:rFonts w:hint="eastAsia"/>
        </w:rPr>
        <w:t>、</w:t>
      </w:r>
      <w:r>
        <w:t>tolupán</w:t>
      </w:r>
      <w:r>
        <w:rPr>
          <w:rFonts w:hint="eastAsia"/>
        </w:rPr>
        <w:t>或</w:t>
      </w:r>
      <w:r>
        <w:t>xicaque</w:t>
      </w:r>
      <w:r>
        <w:rPr>
          <w:rFonts w:hint="eastAsia"/>
        </w:rPr>
        <w:t>、</w:t>
      </w:r>
      <w:r>
        <w:t>misquitos</w:t>
      </w:r>
      <w:r>
        <w:rPr>
          <w:rFonts w:hint="eastAsia"/>
        </w:rPr>
        <w:t>、</w:t>
      </w:r>
      <w:r>
        <w:t>lencas</w:t>
      </w:r>
      <w:r>
        <w:rPr>
          <w:rFonts w:hint="eastAsia"/>
        </w:rPr>
        <w:t>、</w:t>
      </w:r>
      <w:r>
        <w:t>chortis</w:t>
      </w:r>
      <w:r>
        <w:rPr>
          <w:rFonts w:hint="eastAsia"/>
        </w:rPr>
        <w:t>、</w:t>
      </w:r>
      <w:r>
        <w:t>tawahkas</w:t>
      </w:r>
      <w:r>
        <w:rPr>
          <w:rFonts w:hint="eastAsia"/>
        </w:rPr>
        <w:t>、</w:t>
      </w:r>
      <w:r>
        <w:t>pech</w:t>
      </w:r>
      <w:r>
        <w:rPr>
          <w:rFonts w:hint="eastAsia"/>
        </w:rPr>
        <w:t>和岛屿黑人</w:t>
      </w:r>
      <w:r>
        <w:t>)</w:t>
      </w:r>
      <w:r>
        <w:rPr>
          <w:rFonts w:hint="eastAsia"/>
        </w:rPr>
        <w:t>，总数为</w:t>
      </w:r>
      <w:r>
        <w:t>463,7</w:t>
      </w:r>
      <w:r>
        <w:t>00</w:t>
      </w:r>
      <w:r>
        <w:rPr>
          <w:rFonts w:hint="eastAsia"/>
        </w:rPr>
        <w:t>人，占全国总人口的大约</w:t>
      </w:r>
      <w:r>
        <w:t>5%</w:t>
      </w:r>
      <w:r>
        <w:rPr>
          <w:rFonts w:hint="eastAsia"/>
        </w:rPr>
        <w:t>。这些人口群体通常生活在偏僻地区，几乎没有或根本得不到社会服务，其生产只够维持生计，不健康的生活条件</w:t>
      </w:r>
      <w:r>
        <w:t>(</w:t>
      </w:r>
      <w:r>
        <w:rPr>
          <w:rFonts w:hint="eastAsia"/>
        </w:rPr>
        <w:t>缺乏基本的卫生设施、营养不良、传染病的高发病率、恰加斯病、利什曼病和肺结核病</w:t>
      </w:r>
      <w:r>
        <w:t>)</w:t>
      </w:r>
      <w:r>
        <w:rPr>
          <w:rFonts w:hint="eastAsia"/>
        </w:rPr>
        <w:t>。政策旨在加强少数民族群体的权利。为此目的，政府将特别重视保护他们的文化特征和保持其环境和自然资源，政府还将推动采取各种措施，使这些群体能够充分参与经济和社会生活、决策以及其传统文化的保护工作。</w:t>
      </w:r>
    </w:p>
    <w:p w:rsidR="00000000" w:rsidRDefault="000C45AD">
      <w:pPr>
        <w:pStyle w:val="Heading4"/>
      </w:pPr>
      <w:r>
        <w:rPr>
          <w:rFonts w:hint="eastAsia"/>
        </w:rPr>
        <w:t>住房权利</w:t>
      </w:r>
    </w:p>
    <w:p w:rsidR="00000000" w:rsidRDefault="000C45AD">
      <w:r>
        <w:tab/>
        <w:t xml:space="preserve">190.  </w:t>
      </w:r>
      <w:r>
        <w:rPr>
          <w:rFonts w:hint="eastAsia"/>
        </w:rPr>
        <w:t>《宪法》第</w:t>
      </w:r>
      <w:r>
        <w:t>178</w:t>
      </w:r>
      <w:r>
        <w:rPr>
          <w:rFonts w:hint="eastAsia"/>
        </w:rPr>
        <w:t>条规定，洪都拉斯人享有获得体面的住房的权利，国家必须制订和实施社会</w:t>
      </w:r>
      <w:r>
        <w:rPr>
          <w:rFonts w:hint="eastAsia"/>
        </w:rPr>
        <w:t>住房方案。</w:t>
      </w:r>
    </w:p>
    <w:p w:rsidR="00000000" w:rsidRDefault="000C45AD">
      <w:r>
        <w:tab/>
        <w:t xml:space="preserve">191.  </w:t>
      </w:r>
      <w:r>
        <w:rPr>
          <w:rFonts w:hint="eastAsia"/>
        </w:rPr>
        <w:t>洪都拉斯各届政府确实实施了这一类方案，但是否能够取得住房是由家庭收入决定的，而且参与住房方案本身是十分困难的，因为这些方案主要是为公职人员保留的。</w:t>
      </w:r>
    </w:p>
    <w:p w:rsidR="00000000" w:rsidRDefault="000C45AD">
      <w:r>
        <w:tab/>
        <w:t xml:space="preserve">192.  </w:t>
      </w:r>
      <w:r>
        <w:rPr>
          <w:rFonts w:hint="eastAsia"/>
        </w:rPr>
        <w:t>在这种情况下，作为一家之长的妇女由于其收入水平一贯较低而几乎没有获得住房的可能性。只有男子才能在法律上代表家庭。</w:t>
      </w:r>
    </w:p>
    <w:p w:rsidR="00000000" w:rsidRDefault="000C45AD">
      <w:r>
        <w:tab/>
        <w:t>193.  1995</w:t>
      </w:r>
      <w:r>
        <w:rPr>
          <w:rFonts w:hint="eastAsia"/>
        </w:rPr>
        <w:t>年，洪都拉斯大约缺乏</w:t>
      </w:r>
      <w:r>
        <w:t>700,000</w:t>
      </w:r>
      <w:r>
        <w:rPr>
          <w:rFonts w:hint="eastAsia"/>
        </w:rPr>
        <w:t>套住房</w:t>
      </w:r>
      <w:r>
        <w:t xml:space="preserve"> </w:t>
      </w:r>
      <w:r>
        <w:rPr>
          <w:vertAlign w:val="superscript"/>
        </w:rPr>
        <w:t>5</w:t>
      </w:r>
      <w:r>
        <w:rPr>
          <w:rFonts w:hint="eastAsia"/>
        </w:rPr>
        <w:t>。在总计</w:t>
      </w:r>
      <w:r>
        <w:t>1,100,000</w:t>
      </w:r>
      <w:r>
        <w:rPr>
          <w:rFonts w:hint="eastAsia"/>
        </w:rPr>
        <w:t>套单元中，</w:t>
      </w:r>
      <w:r>
        <w:t>58%</w:t>
      </w:r>
      <w:r>
        <w:rPr>
          <w:rFonts w:hint="eastAsia"/>
        </w:rPr>
        <w:t>处在农村地区，</w:t>
      </w:r>
      <w:r>
        <w:t>42%</w:t>
      </w:r>
      <w:r>
        <w:rPr>
          <w:rFonts w:hint="eastAsia"/>
        </w:rPr>
        <w:t>处在城市地区。其中只有三分之一的住房从生活条件角度来说可被认为达到了可接受的标准：</w:t>
      </w:r>
      <w:r>
        <w:t>64%</w:t>
      </w:r>
      <w:r>
        <w:rPr>
          <w:rFonts w:hint="eastAsia"/>
        </w:rPr>
        <w:t>的单元存在着过分拥挤的问题，</w:t>
      </w:r>
      <w:r>
        <w:t>33%</w:t>
      </w:r>
      <w:r>
        <w:rPr>
          <w:rFonts w:hint="eastAsia"/>
        </w:rPr>
        <w:t>的单元没有饮用水，</w:t>
      </w:r>
      <w:r>
        <w:t>41%</w:t>
      </w:r>
      <w:r>
        <w:rPr>
          <w:rFonts w:hint="eastAsia"/>
        </w:rPr>
        <w:t>的单元缺乏卫生设施。</w:t>
      </w:r>
    </w:p>
    <w:p w:rsidR="00000000" w:rsidRDefault="000C45AD">
      <w:r>
        <w:tab/>
        <w:t xml:space="preserve">194.  </w:t>
      </w:r>
      <w:r>
        <w:rPr>
          <w:rFonts w:hint="eastAsia"/>
        </w:rPr>
        <w:t>目前的估计显示，在农村地区，只有</w:t>
      </w:r>
      <w:r>
        <w:t>16%</w:t>
      </w:r>
      <w:r>
        <w:rPr>
          <w:rFonts w:hint="eastAsia"/>
        </w:rPr>
        <w:t>的住房达到了可接受的标准，</w:t>
      </w:r>
      <w:r>
        <w:t>81%</w:t>
      </w:r>
      <w:r>
        <w:rPr>
          <w:rFonts w:hint="eastAsia"/>
        </w:rPr>
        <w:t>以上的住房没有直接的饮用水供应或粪便处理服务，</w:t>
      </w:r>
      <w:r>
        <w:t>60%</w:t>
      </w:r>
      <w:r>
        <w:rPr>
          <w:rFonts w:hint="eastAsia"/>
        </w:rPr>
        <w:t>的住房没有通电。</w:t>
      </w:r>
    </w:p>
    <w:p w:rsidR="00000000" w:rsidRDefault="000C45AD">
      <w:r>
        <w:tab/>
        <w:t xml:space="preserve">195.  </w:t>
      </w:r>
      <w:r>
        <w:rPr>
          <w:rFonts w:hint="eastAsia"/>
        </w:rPr>
        <w:t>此外，特别是在城市边缘地区和农村地区</w:t>
      </w:r>
      <w:r>
        <w:t>,</w:t>
      </w:r>
      <w:r>
        <w:rPr>
          <w:rFonts w:hint="eastAsia"/>
        </w:rPr>
        <w:t>基本的基础设施和社区服务存在着严重的缺陷，这些地区普遍缺乏学校、卫生所、社区中心、桥梁、道路、饮用水、下水道和垃圾处理系统。</w:t>
      </w:r>
    </w:p>
    <w:p w:rsidR="00000000" w:rsidRDefault="000C45AD">
      <w:r>
        <w:tab/>
        <w:t xml:space="preserve">196.  </w:t>
      </w:r>
      <w:r>
        <w:rPr>
          <w:rFonts w:hint="eastAsia"/>
        </w:rPr>
        <w:t>常年积累的未满足的需求意味着绝大多数洪都拉斯人民生活在非常贫困潦倒的境地中，大多</w:t>
      </w:r>
      <w:r>
        <w:rPr>
          <w:rFonts w:hint="eastAsia"/>
        </w:rPr>
        <w:t>数民众的居住条件拥挤不堪而且十分混杂。这意味着大多数家庭的住房条件极差。</w:t>
      </w:r>
    </w:p>
    <w:p w:rsidR="00000000" w:rsidRDefault="000C45AD">
      <w:r>
        <w:tab/>
        <w:t xml:space="preserve">197.  </w:t>
      </w:r>
      <w:r>
        <w:rPr>
          <w:rFonts w:hint="eastAsia"/>
        </w:rPr>
        <w:t>鉴于洪都拉斯社会、特别是中低收入群体中的普遍的贫困现象，因此极为重要的是要通过提供已峻工的住房来处理住房问题，因为昂贵的房价使购房远远超出了对象群体的财力所及范围。这一政策已经导致从供方角度制订了一系列住房项目，但由于它们未考虑到实际的需求，因此它们缺乏市场。</w:t>
      </w:r>
    </w:p>
    <w:p w:rsidR="00000000" w:rsidRDefault="000C45AD">
      <w:r>
        <w:tab/>
        <w:t xml:space="preserve">198.  </w:t>
      </w:r>
      <w:r>
        <w:rPr>
          <w:rFonts w:hint="eastAsia"/>
        </w:rPr>
        <w:t>必须强调指出的是，法律、体制和资金问题的矛盾造成了住房方面的各种困难，这种矛盾阻碍了在寻求解决问题的连贯一致的方法时对政府体制和公私营部门的作用作出</w:t>
      </w:r>
      <w:r>
        <w:rPr>
          <w:rFonts w:hint="eastAsia"/>
        </w:rPr>
        <w:t>明确的界定。</w:t>
      </w:r>
    </w:p>
    <w:p w:rsidR="00000000" w:rsidRDefault="000C45AD">
      <w:pPr>
        <w:spacing w:after="320"/>
        <w:textAlignment w:val="center"/>
      </w:pPr>
      <w:r>
        <w:tab/>
        <w:t xml:space="preserve">199.  </w:t>
      </w:r>
      <w:r>
        <w:rPr>
          <w:rFonts w:hint="eastAsia"/>
        </w:rPr>
        <w:t>据估计，每年提出的所有住房方案中</w:t>
      </w:r>
      <w:r>
        <w:t>80%</w:t>
      </w:r>
      <w:r>
        <w:rPr>
          <w:rFonts w:hint="eastAsia"/>
        </w:rPr>
        <w:t>是由城市和农村的非正规部门实施的。这一方法通过利用对象群体的文化态度而提供了解决问题的替代方法：恰当地利用当地的材料、接受社区服务、使用传统的建筑方法、家庭参与、对等互助等，洪都拉斯成功开展的各种试验充分运用了所有这种方法。</w:t>
      </w:r>
    </w:p>
    <w:p w:rsidR="00000000" w:rsidRDefault="000C45AD">
      <w:pPr>
        <w:pStyle w:val="Heading3"/>
        <w:spacing w:after="240"/>
        <w:textAlignment w:val="center"/>
      </w:pPr>
      <w:r>
        <w:rPr>
          <w:rFonts w:hint="eastAsia"/>
        </w:rPr>
        <w:t>第</w:t>
      </w:r>
      <w:r>
        <w:t xml:space="preserve"> 12 </w:t>
      </w:r>
      <w:r>
        <w:rPr>
          <w:rFonts w:hint="eastAsia"/>
        </w:rPr>
        <w:t>条</w:t>
      </w:r>
    </w:p>
    <w:p w:rsidR="00000000" w:rsidRDefault="000C45AD">
      <w:pPr>
        <w:pStyle w:val="Heading3"/>
        <w:spacing w:after="240"/>
        <w:textAlignment w:val="center"/>
      </w:pPr>
      <w:r>
        <w:rPr>
          <w:rFonts w:hint="eastAsia"/>
        </w:rPr>
        <w:t>身心健康标准</w:t>
      </w:r>
    </w:p>
    <w:p w:rsidR="00000000" w:rsidRDefault="000C45AD">
      <w:pPr>
        <w:spacing w:after="240"/>
        <w:textAlignment w:val="center"/>
      </w:pPr>
      <w:r>
        <w:tab/>
        <w:t xml:space="preserve">200.  </w:t>
      </w:r>
      <w:r>
        <w:rPr>
          <w:rFonts w:hint="eastAsia"/>
        </w:rPr>
        <w:t>从门诊需求、住院人数和死亡率的统计数字可以看到，在洪都拉斯，特别在儿童中间，最为常见的疾病是传染病。营养不良是另一个引起其他儿童疾病的常见问题；在怀孕、分娩和产娠期也有一些重大问</w:t>
      </w:r>
      <w:r>
        <w:rPr>
          <w:rFonts w:hint="eastAsia"/>
        </w:rPr>
        <w:t>题</w:t>
      </w:r>
      <w:r>
        <w:t xml:space="preserve">(53.8%) </w:t>
      </w:r>
      <w:r>
        <w:rPr>
          <w:vertAlign w:val="superscript"/>
        </w:rPr>
        <w:t>8</w:t>
      </w:r>
      <w:r>
        <w:t xml:space="preserve"> </w:t>
      </w:r>
      <w:r>
        <w:rPr>
          <w:rFonts w:hint="eastAsia"/>
        </w:rPr>
        <w:t>。</w:t>
      </w:r>
    </w:p>
    <w:p w:rsidR="00000000" w:rsidRDefault="000C45AD">
      <w:pPr>
        <w:pStyle w:val="Heading3"/>
        <w:spacing w:after="120"/>
        <w:textAlignment w:val="center"/>
        <w:rPr>
          <w:u w:val="none"/>
        </w:rPr>
      </w:pPr>
      <w:r>
        <w:rPr>
          <w:rFonts w:hint="eastAsia"/>
        </w:rPr>
        <w:t>按具体病因分列的发病率</w:t>
      </w:r>
      <w:r>
        <w:br/>
      </w:r>
      <w:r>
        <w:rPr>
          <w:u w:val="none"/>
        </w:rPr>
        <w:t>(</w:t>
      </w:r>
      <w:r>
        <w:rPr>
          <w:rFonts w:hint="eastAsia"/>
          <w:u w:val="none"/>
        </w:rPr>
        <w:t>按每</w:t>
      </w:r>
      <w:r>
        <w:rPr>
          <w:u w:val="none"/>
        </w:rPr>
        <w:t>10</w:t>
      </w:r>
      <w:r>
        <w:rPr>
          <w:rFonts w:hint="eastAsia"/>
          <w:u w:val="none"/>
        </w:rPr>
        <w:t>万居民计算</w:t>
      </w:r>
      <w:r>
        <w:rPr>
          <w:u w:val="none"/>
        </w:rPr>
        <w:t>)</w:t>
      </w:r>
    </w:p>
    <w:tbl>
      <w:tblPr>
        <w:tblW w:w="0" w:type="auto"/>
        <w:tblInd w:w="-26" w:type="dxa"/>
        <w:tblLayout w:type="fixed"/>
        <w:tblCellMar>
          <w:left w:w="28" w:type="dxa"/>
          <w:right w:w="28" w:type="dxa"/>
        </w:tblCellMar>
        <w:tblLook w:val="0000" w:firstRow="0" w:lastRow="0" w:firstColumn="0" w:lastColumn="0" w:noHBand="0" w:noVBand="0"/>
      </w:tblPr>
      <w:tblGrid>
        <w:gridCol w:w="2352"/>
        <w:gridCol w:w="2352"/>
        <w:gridCol w:w="2352"/>
        <w:gridCol w:w="2352"/>
      </w:tblGrid>
      <w:tr w:rsidR="00000000">
        <w:tblPrEx>
          <w:tblCellMar>
            <w:top w:w="0" w:type="dxa"/>
            <w:bottom w:w="0" w:type="dxa"/>
          </w:tblCellMar>
        </w:tblPrEx>
        <w:tc>
          <w:tcPr>
            <w:tcW w:w="2352" w:type="dxa"/>
            <w:tcBorders>
              <w:top w:val="single" w:sz="6" w:space="0" w:color="auto"/>
              <w:left w:val="single" w:sz="6" w:space="0" w:color="auto"/>
              <w:right w:val="single" w:sz="6" w:space="0" w:color="auto"/>
            </w:tcBorders>
          </w:tcPr>
          <w:p w:rsidR="00000000" w:rsidRDefault="000C45AD">
            <w:pPr>
              <w:spacing w:before="120" w:after="40" w:line="288" w:lineRule="auto"/>
              <w:jc w:val="center"/>
              <w:rPr>
                <w:sz w:val="21"/>
              </w:rPr>
            </w:pPr>
          </w:p>
        </w:tc>
        <w:tc>
          <w:tcPr>
            <w:tcW w:w="2352" w:type="dxa"/>
            <w:tcBorders>
              <w:top w:val="single" w:sz="6" w:space="0" w:color="auto"/>
              <w:left w:val="single" w:sz="6" w:space="0" w:color="auto"/>
              <w:right w:val="single" w:sz="6" w:space="0" w:color="auto"/>
            </w:tcBorders>
          </w:tcPr>
          <w:p w:rsidR="00000000" w:rsidRDefault="000C45AD">
            <w:pPr>
              <w:spacing w:before="120" w:after="40" w:line="288" w:lineRule="auto"/>
              <w:jc w:val="center"/>
              <w:rPr>
                <w:sz w:val="21"/>
              </w:rPr>
            </w:pPr>
            <w:r>
              <w:rPr>
                <w:sz w:val="21"/>
              </w:rPr>
              <w:t>1993</w:t>
            </w:r>
          </w:p>
        </w:tc>
        <w:tc>
          <w:tcPr>
            <w:tcW w:w="2352" w:type="dxa"/>
            <w:tcBorders>
              <w:top w:val="single" w:sz="6" w:space="0" w:color="auto"/>
              <w:left w:val="single" w:sz="6" w:space="0" w:color="auto"/>
              <w:right w:val="single" w:sz="6" w:space="0" w:color="auto"/>
            </w:tcBorders>
          </w:tcPr>
          <w:p w:rsidR="00000000" w:rsidRDefault="000C45AD">
            <w:pPr>
              <w:spacing w:before="120" w:after="40" w:line="288" w:lineRule="auto"/>
              <w:jc w:val="center"/>
              <w:rPr>
                <w:sz w:val="21"/>
              </w:rPr>
            </w:pPr>
            <w:r>
              <w:rPr>
                <w:sz w:val="21"/>
              </w:rPr>
              <w:t>1994</w:t>
            </w:r>
          </w:p>
        </w:tc>
        <w:tc>
          <w:tcPr>
            <w:tcW w:w="2352" w:type="dxa"/>
            <w:tcBorders>
              <w:top w:val="single" w:sz="6" w:space="0" w:color="auto"/>
              <w:left w:val="single" w:sz="6" w:space="0" w:color="auto"/>
              <w:right w:val="single" w:sz="6" w:space="0" w:color="auto"/>
            </w:tcBorders>
          </w:tcPr>
          <w:p w:rsidR="00000000" w:rsidRDefault="000C45AD">
            <w:pPr>
              <w:spacing w:before="120" w:after="40" w:line="288" w:lineRule="auto"/>
              <w:jc w:val="center"/>
              <w:rPr>
                <w:sz w:val="21"/>
              </w:rPr>
            </w:pPr>
            <w:r>
              <w:rPr>
                <w:sz w:val="21"/>
              </w:rPr>
              <w:t>1995</w:t>
            </w:r>
          </w:p>
        </w:tc>
      </w:tr>
      <w:tr w:rsidR="00000000">
        <w:tblPrEx>
          <w:tblCellMar>
            <w:top w:w="0" w:type="dxa"/>
            <w:bottom w:w="0" w:type="dxa"/>
          </w:tblCellMar>
        </w:tblPrEx>
        <w:tc>
          <w:tcPr>
            <w:tcW w:w="2352" w:type="dxa"/>
            <w:tcBorders>
              <w:top w:val="single" w:sz="6" w:space="0" w:color="auto"/>
              <w:left w:val="single" w:sz="6" w:space="0" w:color="auto"/>
            </w:tcBorders>
          </w:tcPr>
          <w:p w:rsidR="00000000" w:rsidRDefault="000C45AD">
            <w:pPr>
              <w:spacing w:before="120" w:line="288" w:lineRule="auto"/>
              <w:ind w:left="227"/>
              <w:rPr>
                <w:sz w:val="21"/>
              </w:rPr>
            </w:pPr>
            <w:r>
              <w:rPr>
                <w:rFonts w:hint="eastAsia"/>
                <w:sz w:val="21"/>
              </w:rPr>
              <w:t>急性呼吸道感染</w:t>
            </w:r>
          </w:p>
        </w:tc>
        <w:tc>
          <w:tcPr>
            <w:tcW w:w="2352" w:type="dxa"/>
            <w:tcBorders>
              <w:top w:val="single" w:sz="6" w:space="0" w:color="auto"/>
              <w:left w:val="single" w:sz="6" w:space="0" w:color="auto"/>
              <w:right w:val="single" w:sz="6" w:space="0" w:color="auto"/>
            </w:tcBorders>
          </w:tcPr>
          <w:p w:rsidR="00000000" w:rsidRDefault="000C45AD">
            <w:pPr>
              <w:tabs>
                <w:tab w:val="clear" w:pos="510"/>
                <w:tab w:val="clear" w:pos="1021"/>
                <w:tab w:val="clear" w:pos="1531"/>
                <w:tab w:val="clear" w:pos="2041"/>
                <w:tab w:val="decimal" w:pos="1368"/>
              </w:tabs>
              <w:spacing w:before="120" w:line="288" w:lineRule="auto"/>
              <w:rPr>
                <w:sz w:val="21"/>
              </w:rPr>
            </w:pPr>
            <w:r>
              <w:rPr>
                <w:sz w:val="21"/>
              </w:rPr>
              <w:t>15,411.2</w:t>
            </w:r>
          </w:p>
        </w:tc>
        <w:tc>
          <w:tcPr>
            <w:tcW w:w="2352" w:type="dxa"/>
            <w:tcBorders>
              <w:top w:val="single" w:sz="6" w:space="0" w:color="auto"/>
              <w:left w:val="nil"/>
              <w:right w:val="single" w:sz="6" w:space="0" w:color="auto"/>
            </w:tcBorders>
          </w:tcPr>
          <w:p w:rsidR="00000000" w:rsidRDefault="000C45AD">
            <w:pPr>
              <w:tabs>
                <w:tab w:val="clear" w:pos="510"/>
                <w:tab w:val="clear" w:pos="1021"/>
                <w:tab w:val="clear" w:pos="1531"/>
                <w:tab w:val="clear" w:pos="2041"/>
                <w:tab w:val="decimal" w:pos="1368"/>
              </w:tabs>
              <w:spacing w:before="120" w:line="288" w:lineRule="auto"/>
              <w:rPr>
                <w:sz w:val="21"/>
              </w:rPr>
            </w:pPr>
            <w:r>
              <w:rPr>
                <w:sz w:val="21"/>
              </w:rPr>
              <w:t>14,094.2</w:t>
            </w:r>
          </w:p>
        </w:tc>
        <w:tc>
          <w:tcPr>
            <w:tcW w:w="2352" w:type="dxa"/>
            <w:tcBorders>
              <w:top w:val="single" w:sz="6" w:space="0" w:color="auto"/>
              <w:left w:val="nil"/>
              <w:right w:val="single" w:sz="6" w:space="0" w:color="auto"/>
            </w:tcBorders>
          </w:tcPr>
          <w:p w:rsidR="00000000" w:rsidRDefault="000C45AD">
            <w:pPr>
              <w:tabs>
                <w:tab w:val="clear" w:pos="510"/>
                <w:tab w:val="clear" w:pos="1021"/>
                <w:tab w:val="clear" w:pos="1531"/>
                <w:tab w:val="clear" w:pos="2041"/>
                <w:tab w:val="decimal" w:pos="1368"/>
              </w:tabs>
              <w:spacing w:before="120" w:line="288" w:lineRule="auto"/>
              <w:rPr>
                <w:sz w:val="21"/>
              </w:rPr>
            </w:pPr>
            <w:r>
              <w:rPr>
                <w:sz w:val="21"/>
              </w:rPr>
              <w:t>15,202.8</w:t>
            </w:r>
          </w:p>
        </w:tc>
      </w:tr>
      <w:tr w:rsidR="00000000">
        <w:tblPrEx>
          <w:tblCellMar>
            <w:top w:w="0" w:type="dxa"/>
            <w:bottom w:w="0" w:type="dxa"/>
          </w:tblCellMar>
        </w:tblPrEx>
        <w:tc>
          <w:tcPr>
            <w:tcW w:w="2352" w:type="dxa"/>
            <w:tcBorders>
              <w:left w:val="single" w:sz="6" w:space="0" w:color="auto"/>
            </w:tcBorders>
          </w:tcPr>
          <w:p w:rsidR="00000000" w:rsidRDefault="000C45AD">
            <w:pPr>
              <w:spacing w:line="288" w:lineRule="auto"/>
              <w:ind w:left="227"/>
              <w:rPr>
                <w:sz w:val="21"/>
              </w:rPr>
            </w:pPr>
            <w:r>
              <w:rPr>
                <w:rFonts w:hint="eastAsia"/>
                <w:sz w:val="21"/>
              </w:rPr>
              <w:t>腹泻</w:t>
            </w:r>
          </w:p>
        </w:tc>
        <w:tc>
          <w:tcPr>
            <w:tcW w:w="2352"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4,453.2</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4,980.7</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5,050.8</w:t>
            </w:r>
          </w:p>
        </w:tc>
      </w:tr>
      <w:tr w:rsidR="00000000">
        <w:tblPrEx>
          <w:tblCellMar>
            <w:top w:w="0" w:type="dxa"/>
            <w:bottom w:w="0" w:type="dxa"/>
          </w:tblCellMar>
        </w:tblPrEx>
        <w:tc>
          <w:tcPr>
            <w:tcW w:w="2352" w:type="dxa"/>
            <w:tcBorders>
              <w:left w:val="single" w:sz="6" w:space="0" w:color="auto"/>
            </w:tcBorders>
          </w:tcPr>
          <w:p w:rsidR="00000000" w:rsidRDefault="000C45AD">
            <w:pPr>
              <w:spacing w:line="288" w:lineRule="auto"/>
              <w:ind w:left="227"/>
              <w:rPr>
                <w:sz w:val="21"/>
              </w:rPr>
            </w:pPr>
            <w:r>
              <w:rPr>
                <w:rFonts w:hint="eastAsia"/>
                <w:sz w:val="21"/>
              </w:rPr>
              <w:t>霍乱</w:t>
            </w:r>
          </w:p>
        </w:tc>
        <w:tc>
          <w:tcPr>
            <w:tcW w:w="2352"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77.6</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94.9</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86.5</w:t>
            </w:r>
          </w:p>
        </w:tc>
      </w:tr>
      <w:tr w:rsidR="00000000">
        <w:tblPrEx>
          <w:tblCellMar>
            <w:top w:w="0" w:type="dxa"/>
            <w:bottom w:w="0" w:type="dxa"/>
          </w:tblCellMar>
        </w:tblPrEx>
        <w:tc>
          <w:tcPr>
            <w:tcW w:w="2352" w:type="dxa"/>
            <w:tcBorders>
              <w:left w:val="single" w:sz="6" w:space="0" w:color="auto"/>
            </w:tcBorders>
          </w:tcPr>
          <w:p w:rsidR="00000000" w:rsidRDefault="000C45AD">
            <w:pPr>
              <w:spacing w:line="288" w:lineRule="auto"/>
              <w:ind w:left="227"/>
              <w:rPr>
                <w:sz w:val="21"/>
              </w:rPr>
            </w:pPr>
            <w:r>
              <w:rPr>
                <w:rFonts w:hint="eastAsia"/>
                <w:sz w:val="21"/>
              </w:rPr>
              <w:t>疟疾</w:t>
            </w:r>
          </w:p>
        </w:tc>
        <w:tc>
          <w:tcPr>
            <w:tcW w:w="2352"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1,004.7</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1,160.9</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1,360.9</w:t>
            </w:r>
          </w:p>
        </w:tc>
      </w:tr>
      <w:tr w:rsidR="00000000">
        <w:tblPrEx>
          <w:tblCellMar>
            <w:top w:w="0" w:type="dxa"/>
            <w:bottom w:w="0" w:type="dxa"/>
          </w:tblCellMar>
        </w:tblPrEx>
        <w:tc>
          <w:tcPr>
            <w:tcW w:w="2352" w:type="dxa"/>
            <w:tcBorders>
              <w:left w:val="single" w:sz="6" w:space="0" w:color="auto"/>
            </w:tcBorders>
          </w:tcPr>
          <w:p w:rsidR="00000000" w:rsidRDefault="000C45AD">
            <w:pPr>
              <w:spacing w:line="288" w:lineRule="auto"/>
              <w:ind w:left="227"/>
              <w:rPr>
                <w:sz w:val="21"/>
              </w:rPr>
            </w:pPr>
            <w:r>
              <w:rPr>
                <w:rFonts w:hint="eastAsia"/>
                <w:sz w:val="21"/>
              </w:rPr>
              <w:t>脊髓灰质炎</w:t>
            </w:r>
          </w:p>
        </w:tc>
        <w:tc>
          <w:tcPr>
            <w:tcW w:w="2352"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w:t>
            </w:r>
          </w:p>
        </w:tc>
      </w:tr>
      <w:tr w:rsidR="00000000">
        <w:tblPrEx>
          <w:tblCellMar>
            <w:top w:w="0" w:type="dxa"/>
            <w:bottom w:w="0" w:type="dxa"/>
          </w:tblCellMar>
        </w:tblPrEx>
        <w:tc>
          <w:tcPr>
            <w:tcW w:w="2352" w:type="dxa"/>
            <w:tcBorders>
              <w:left w:val="single" w:sz="6" w:space="0" w:color="auto"/>
            </w:tcBorders>
          </w:tcPr>
          <w:p w:rsidR="00000000" w:rsidRDefault="000C45AD">
            <w:pPr>
              <w:spacing w:line="288" w:lineRule="auto"/>
              <w:ind w:left="227"/>
              <w:rPr>
                <w:sz w:val="21"/>
              </w:rPr>
            </w:pPr>
            <w:r>
              <w:rPr>
                <w:rFonts w:hint="eastAsia"/>
                <w:sz w:val="21"/>
              </w:rPr>
              <w:t>麻疹</w:t>
            </w:r>
          </w:p>
        </w:tc>
        <w:tc>
          <w:tcPr>
            <w:tcW w:w="2352"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0.2</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0.1</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w:t>
            </w:r>
          </w:p>
        </w:tc>
      </w:tr>
      <w:tr w:rsidR="00000000">
        <w:tblPrEx>
          <w:tblCellMar>
            <w:top w:w="0" w:type="dxa"/>
            <w:bottom w:w="0" w:type="dxa"/>
          </w:tblCellMar>
        </w:tblPrEx>
        <w:tc>
          <w:tcPr>
            <w:tcW w:w="2352" w:type="dxa"/>
            <w:tcBorders>
              <w:left w:val="single" w:sz="6" w:space="0" w:color="auto"/>
            </w:tcBorders>
          </w:tcPr>
          <w:p w:rsidR="00000000" w:rsidRDefault="000C45AD">
            <w:pPr>
              <w:spacing w:line="288" w:lineRule="auto"/>
              <w:ind w:left="227"/>
              <w:rPr>
                <w:sz w:val="21"/>
              </w:rPr>
            </w:pPr>
            <w:r>
              <w:rPr>
                <w:rFonts w:hint="eastAsia"/>
                <w:sz w:val="21"/>
              </w:rPr>
              <w:t>新生儿破伤风</w:t>
            </w:r>
          </w:p>
        </w:tc>
        <w:tc>
          <w:tcPr>
            <w:tcW w:w="2352"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0.1</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0.2</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0.1</w:t>
            </w:r>
          </w:p>
        </w:tc>
      </w:tr>
      <w:tr w:rsidR="00000000">
        <w:tblPrEx>
          <w:tblCellMar>
            <w:top w:w="0" w:type="dxa"/>
            <w:bottom w:w="0" w:type="dxa"/>
          </w:tblCellMar>
        </w:tblPrEx>
        <w:tc>
          <w:tcPr>
            <w:tcW w:w="2352" w:type="dxa"/>
            <w:tcBorders>
              <w:left w:val="single" w:sz="6" w:space="0" w:color="auto"/>
            </w:tcBorders>
          </w:tcPr>
          <w:p w:rsidR="00000000" w:rsidRDefault="000C45AD">
            <w:pPr>
              <w:spacing w:line="288" w:lineRule="auto"/>
              <w:ind w:left="227"/>
              <w:rPr>
                <w:sz w:val="21"/>
              </w:rPr>
            </w:pPr>
            <w:r>
              <w:rPr>
                <w:rFonts w:hint="eastAsia"/>
                <w:sz w:val="21"/>
              </w:rPr>
              <w:t>结核病</w:t>
            </w:r>
          </w:p>
        </w:tc>
        <w:tc>
          <w:tcPr>
            <w:tcW w:w="2352"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68.5</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80.7</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91.2</w:t>
            </w:r>
          </w:p>
        </w:tc>
      </w:tr>
      <w:tr w:rsidR="00000000">
        <w:tblPrEx>
          <w:tblCellMar>
            <w:top w:w="0" w:type="dxa"/>
            <w:bottom w:w="0" w:type="dxa"/>
          </w:tblCellMar>
        </w:tblPrEx>
        <w:tc>
          <w:tcPr>
            <w:tcW w:w="2352" w:type="dxa"/>
            <w:tcBorders>
              <w:left w:val="single" w:sz="6" w:space="0" w:color="auto"/>
            </w:tcBorders>
          </w:tcPr>
          <w:p w:rsidR="00000000" w:rsidRDefault="000C45AD">
            <w:pPr>
              <w:spacing w:line="288" w:lineRule="auto"/>
              <w:ind w:left="227"/>
              <w:rPr>
                <w:sz w:val="21"/>
              </w:rPr>
            </w:pPr>
            <w:r>
              <w:rPr>
                <w:rFonts w:hint="eastAsia"/>
                <w:sz w:val="21"/>
              </w:rPr>
              <w:t>心血管病</w:t>
            </w:r>
          </w:p>
        </w:tc>
        <w:tc>
          <w:tcPr>
            <w:tcW w:w="2352"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99.0</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116.6</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26.3</w:t>
            </w:r>
          </w:p>
        </w:tc>
      </w:tr>
      <w:tr w:rsidR="00000000">
        <w:tblPrEx>
          <w:tblCellMar>
            <w:top w:w="0" w:type="dxa"/>
            <w:bottom w:w="0" w:type="dxa"/>
          </w:tblCellMar>
        </w:tblPrEx>
        <w:tc>
          <w:tcPr>
            <w:tcW w:w="2352" w:type="dxa"/>
            <w:tcBorders>
              <w:left w:val="single" w:sz="6" w:space="0" w:color="auto"/>
            </w:tcBorders>
          </w:tcPr>
          <w:p w:rsidR="00000000" w:rsidRDefault="000C45AD">
            <w:pPr>
              <w:spacing w:line="288" w:lineRule="auto"/>
              <w:ind w:left="227"/>
              <w:rPr>
                <w:sz w:val="21"/>
              </w:rPr>
            </w:pPr>
            <w:r>
              <w:rPr>
                <w:rFonts w:hint="eastAsia"/>
                <w:sz w:val="21"/>
              </w:rPr>
              <w:t>癌</w:t>
            </w:r>
            <w:r>
              <w:rPr>
                <w:sz w:val="21"/>
              </w:rPr>
              <w:t>(</w:t>
            </w:r>
            <w:r>
              <w:rPr>
                <w:rFonts w:hint="eastAsia"/>
                <w:sz w:val="21"/>
              </w:rPr>
              <w:t>各种</w:t>
            </w:r>
            <w:r>
              <w:rPr>
                <w:sz w:val="21"/>
              </w:rPr>
              <w:t>)</w:t>
            </w:r>
          </w:p>
        </w:tc>
        <w:tc>
          <w:tcPr>
            <w:tcW w:w="2352"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64.5</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80.7</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91.2</w:t>
            </w:r>
          </w:p>
        </w:tc>
      </w:tr>
      <w:tr w:rsidR="00000000">
        <w:tblPrEx>
          <w:tblCellMar>
            <w:top w:w="0" w:type="dxa"/>
            <w:bottom w:w="0" w:type="dxa"/>
          </w:tblCellMar>
        </w:tblPrEx>
        <w:tc>
          <w:tcPr>
            <w:tcW w:w="2352" w:type="dxa"/>
            <w:tcBorders>
              <w:left w:val="single" w:sz="6" w:space="0" w:color="auto"/>
            </w:tcBorders>
          </w:tcPr>
          <w:p w:rsidR="00000000" w:rsidRDefault="000C45AD">
            <w:pPr>
              <w:spacing w:line="288" w:lineRule="auto"/>
              <w:ind w:left="227"/>
              <w:rPr>
                <w:sz w:val="21"/>
              </w:rPr>
            </w:pPr>
            <w:r>
              <w:rPr>
                <w:rFonts w:hint="eastAsia"/>
                <w:sz w:val="21"/>
              </w:rPr>
              <w:t>登革热</w:t>
            </w:r>
          </w:p>
        </w:tc>
        <w:tc>
          <w:tcPr>
            <w:tcW w:w="2352"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51.9</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88.1</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504.5</w:t>
            </w:r>
          </w:p>
        </w:tc>
      </w:tr>
      <w:tr w:rsidR="00000000">
        <w:tblPrEx>
          <w:tblCellMar>
            <w:top w:w="0" w:type="dxa"/>
            <w:bottom w:w="0" w:type="dxa"/>
          </w:tblCellMar>
        </w:tblPrEx>
        <w:tc>
          <w:tcPr>
            <w:tcW w:w="2352" w:type="dxa"/>
            <w:tcBorders>
              <w:left w:val="single" w:sz="6" w:space="0" w:color="auto"/>
            </w:tcBorders>
          </w:tcPr>
          <w:p w:rsidR="00000000" w:rsidRDefault="000C45AD">
            <w:pPr>
              <w:spacing w:line="288" w:lineRule="auto"/>
              <w:ind w:left="227"/>
              <w:rPr>
                <w:sz w:val="21"/>
              </w:rPr>
            </w:pPr>
            <w:r>
              <w:rPr>
                <w:rFonts w:hint="eastAsia"/>
                <w:sz w:val="21"/>
              </w:rPr>
              <w:t>糖尿病</w:t>
            </w:r>
          </w:p>
        </w:tc>
        <w:tc>
          <w:tcPr>
            <w:tcW w:w="2352" w:type="dxa"/>
            <w:tcBorders>
              <w:left w:val="single" w:sz="6" w:space="0" w:color="auto"/>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21.1</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30.0</w:t>
            </w:r>
          </w:p>
        </w:tc>
        <w:tc>
          <w:tcPr>
            <w:tcW w:w="2352" w:type="dxa"/>
            <w:tcBorders>
              <w:left w:val="nil"/>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33.3</w:t>
            </w:r>
          </w:p>
        </w:tc>
      </w:tr>
      <w:tr w:rsidR="00000000">
        <w:tblPrEx>
          <w:tblCellMar>
            <w:top w:w="0" w:type="dxa"/>
            <w:bottom w:w="0" w:type="dxa"/>
          </w:tblCellMar>
        </w:tblPrEx>
        <w:tc>
          <w:tcPr>
            <w:tcW w:w="2352" w:type="dxa"/>
            <w:tcBorders>
              <w:left w:val="single" w:sz="6" w:space="0" w:color="auto"/>
              <w:bottom w:val="single" w:sz="6" w:space="0" w:color="auto"/>
            </w:tcBorders>
          </w:tcPr>
          <w:p w:rsidR="00000000" w:rsidRDefault="000C45AD">
            <w:pPr>
              <w:spacing w:line="288" w:lineRule="auto"/>
              <w:ind w:left="227"/>
              <w:rPr>
                <w:sz w:val="21"/>
              </w:rPr>
            </w:pPr>
            <w:r>
              <w:rPr>
                <w:rFonts w:hint="eastAsia"/>
                <w:sz w:val="21"/>
              </w:rPr>
              <w:t>精神错乱</w:t>
            </w:r>
          </w:p>
        </w:tc>
        <w:tc>
          <w:tcPr>
            <w:tcW w:w="2352" w:type="dxa"/>
            <w:tcBorders>
              <w:left w:val="single" w:sz="6" w:space="0" w:color="auto"/>
              <w:bottom w:val="single" w:sz="6" w:space="0" w:color="auto"/>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97.4</w:t>
            </w:r>
          </w:p>
        </w:tc>
        <w:tc>
          <w:tcPr>
            <w:tcW w:w="2352" w:type="dxa"/>
            <w:tcBorders>
              <w:left w:val="nil"/>
              <w:bottom w:val="single" w:sz="6" w:space="0" w:color="auto"/>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103.7</w:t>
            </w:r>
          </w:p>
        </w:tc>
        <w:tc>
          <w:tcPr>
            <w:tcW w:w="2352" w:type="dxa"/>
            <w:tcBorders>
              <w:left w:val="nil"/>
              <w:bottom w:val="single" w:sz="6" w:space="0" w:color="auto"/>
              <w:right w:val="single" w:sz="6" w:space="0" w:color="auto"/>
            </w:tcBorders>
          </w:tcPr>
          <w:p w:rsidR="00000000" w:rsidRDefault="000C45AD">
            <w:pPr>
              <w:tabs>
                <w:tab w:val="clear" w:pos="510"/>
                <w:tab w:val="clear" w:pos="1021"/>
                <w:tab w:val="clear" w:pos="1531"/>
                <w:tab w:val="clear" w:pos="2041"/>
                <w:tab w:val="decimal" w:pos="1368"/>
              </w:tabs>
              <w:spacing w:line="288" w:lineRule="auto"/>
              <w:rPr>
                <w:sz w:val="21"/>
              </w:rPr>
            </w:pPr>
            <w:r>
              <w:rPr>
                <w:sz w:val="21"/>
              </w:rPr>
              <w:t>102.8</w:t>
            </w:r>
          </w:p>
        </w:tc>
      </w:tr>
    </w:tbl>
    <w:p w:rsidR="00000000" w:rsidRDefault="000C45AD">
      <w:pPr>
        <w:pStyle w:val="FootnoteText"/>
        <w:spacing w:before="160" w:line="336" w:lineRule="auto"/>
        <w:textAlignment w:val="center"/>
      </w:pPr>
      <w:r>
        <w:rPr>
          <w:rFonts w:hint="eastAsia"/>
          <w:u w:val="single"/>
        </w:rPr>
        <w:t>来源</w:t>
      </w:r>
      <w:r>
        <w:rPr>
          <w:rFonts w:hint="eastAsia"/>
        </w:rPr>
        <w:t>：卫生部，统计部，</w:t>
      </w:r>
      <w:r>
        <w:t>1996</w:t>
      </w:r>
      <w:r>
        <w:rPr>
          <w:rFonts w:hint="eastAsia"/>
        </w:rPr>
        <w:t>。</w:t>
      </w:r>
    </w:p>
    <w:p w:rsidR="00000000" w:rsidRDefault="000C45AD">
      <w:pPr>
        <w:spacing w:before="320"/>
        <w:textAlignment w:val="center"/>
      </w:pPr>
      <w:r>
        <w:tab/>
        <w:t xml:space="preserve">201.  </w:t>
      </w:r>
      <w:r>
        <w:rPr>
          <w:rFonts w:hint="eastAsia"/>
        </w:rPr>
        <w:t>然而，即使在这样的情况下，再加上许多有关的风险因素，在</w:t>
      </w:r>
      <w:r>
        <w:t>1990</w:t>
      </w:r>
      <w:r>
        <w:rPr>
          <w:rFonts w:hint="eastAsia"/>
        </w:rPr>
        <w:t>年至</w:t>
      </w:r>
      <w:r>
        <w:t>1994</w:t>
      </w:r>
      <w:r>
        <w:rPr>
          <w:rFonts w:hint="eastAsia"/>
        </w:rPr>
        <w:t>年阶段婴儿死亡率明显下降，从每</w:t>
      </w:r>
      <w:r>
        <w:t>1</w:t>
      </w:r>
      <w:r>
        <w:rPr>
          <w:rFonts w:hint="eastAsia"/>
        </w:rPr>
        <w:t>千人</w:t>
      </w:r>
      <w:r>
        <w:t>50</w:t>
      </w:r>
      <w:r>
        <w:rPr>
          <w:rFonts w:hint="eastAsia"/>
        </w:rPr>
        <w:t>名下降至</w:t>
      </w:r>
      <w:r>
        <w:t>42</w:t>
      </w:r>
      <w:r>
        <w:rPr>
          <w:rFonts w:hint="eastAsia"/>
        </w:rPr>
        <w:t>名；因而使预期寿命有所延长，而这和经济社会因素一起正在引起一些其他卫生问题，如霍乱、艾滋病、心血管疾病和精神错乱、癌症、暴力、以及与酗酒、吸烟、滥用毒品等有关的问题。其结</w:t>
      </w:r>
      <w:r>
        <w:rPr>
          <w:rFonts w:hint="eastAsia"/>
        </w:rPr>
        <w:t>果是把欠发达状况下特有的疾病和慢性退行性疾病与工业发达国家特有的暴力现象混在一起，这需要更加复杂的战略和技术才能应付。</w:t>
      </w:r>
    </w:p>
    <w:p w:rsidR="00000000" w:rsidRDefault="000C45AD">
      <w:r>
        <w:tab/>
        <w:t xml:space="preserve">202.  </w:t>
      </w:r>
      <w:r>
        <w:rPr>
          <w:rFonts w:hint="eastAsia"/>
        </w:rPr>
        <w:t>根据世界卫生组织最近的报告，洪都拉斯在艾滋病发生率方面占世界第</w:t>
      </w:r>
      <w:r>
        <w:t>38</w:t>
      </w:r>
      <w:r>
        <w:rPr>
          <w:rFonts w:hint="eastAsia"/>
        </w:rPr>
        <w:t>位。洪都拉斯属高血清流行范畴：洪都拉斯仅占中美洲人口的</w:t>
      </w:r>
      <w:r>
        <w:t>17%</w:t>
      </w:r>
      <w:r>
        <w:rPr>
          <w:rFonts w:hint="eastAsia"/>
        </w:rPr>
        <w:t>，但占该地区发现的艾滋病案例</w:t>
      </w:r>
      <w:r>
        <w:t>57%</w:t>
      </w:r>
      <w:r>
        <w:rPr>
          <w:rFonts w:hint="eastAsia"/>
        </w:rPr>
        <w:t>。</w:t>
      </w:r>
      <w:r>
        <w:t>1985</w:t>
      </w:r>
      <w:r>
        <w:rPr>
          <w:rFonts w:hint="eastAsia"/>
        </w:rPr>
        <w:t>年首次在洪都拉斯发现艾滋病例，这个趋势持续上升。在</w:t>
      </w:r>
      <w:r>
        <w:t>1995</w:t>
      </w:r>
      <w:r>
        <w:rPr>
          <w:rFonts w:hint="eastAsia"/>
        </w:rPr>
        <w:t>年底，艾滋病患病率为每</w:t>
      </w:r>
      <w:r>
        <w:t>10</w:t>
      </w:r>
      <w:r>
        <w:rPr>
          <w:rFonts w:hint="eastAsia"/>
        </w:rPr>
        <w:t>万居民中</w:t>
      </w:r>
      <w:r>
        <w:t>14.8</w:t>
      </w:r>
      <w:r>
        <w:rPr>
          <w:rFonts w:hint="eastAsia"/>
        </w:rPr>
        <w:t>名。在</w:t>
      </w:r>
      <w:r>
        <w:t>1996</w:t>
      </w:r>
      <w:r>
        <w:rPr>
          <w:rFonts w:hint="eastAsia"/>
        </w:rPr>
        <w:t>年底，总共有</w:t>
      </w:r>
      <w:r>
        <w:t>8,306</w:t>
      </w:r>
      <w:r>
        <w:rPr>
          <w:rFonts w:hint="eastAsia"/>
        </w:rPr>
        <w:t>人受到艾滋病毒感染，艾滋病累积病例总共为</w:t>
      </w:r>
      <w:r>
        <w:t>5,810</w:t>
      </w:r>
      <w:r>
        <w:rPr>
          <w:rFonts w:hint="eastAsia"/>
        </w:rPr>
        <w:t>人次，死于艾滋病的人数</w:t>
      </w:r>
      <w:r>
        <w:rPr>
          <w:rFonts w:hint="eastAsia"/>
        </w:rPr>
        <w:t>为</w:t>
      </w:r>
      <w:r>
        <w:t>1,039</w:t>
      </w:r>
      <w:r>
        <w:rPr>
          <w:rFonts w:hint="eastAsia"/>
        </w:rPr>
        <w:t>名。</w:t>
      </w:r>
    </w:p>
    <w:p w:rsidR="00000000" w:rsidRDefault="000C45AD">
      <w:r>
        <w:tab/>
        <w:t xml:space="preserve">203.  </w:t>
      </w:r>
      <w:r>
        <w:rPr>
          <w:rFonts w:hint="eastAsia"/>
        </w:rPr>
        <w:t>由公共部门和私营次级部门提供卫生保健。公共次级部门由以下单位组成：卫生部</w:t>
      </w:r>
      <w:r>
        <w:t>(</w:t>
      </w:r>
      <w:r>
        <w:rPr>
          <w:rFonts w:hint="eastAsia"/>
        </w:rPr>
        <w:t>估计占</w:t>
      </w:r>
      <w:r>
        <w:t>60%</w:t>
      </w:r>
      <w:r>
        <w:rPr>
          <w:rFonts w:hint="eastAsia"/>
        </w:rPr>
        <w:t>，有约</w:t>
      </w:r>
      <w:r>
        <w:t>4,000</w:t>
      </w:r>
      <w:r>
        <w:rPr>
          <w:rFonts w:hint="eastAsia"/>
        </w:rPr>
        <w:t>个床位</w:t>
      </w:r>
      <w:r>
        <w:t>)</w:t>
      </w:r>
      <w:r>
        <w:rPr>
          <w:rFonts w:hint="eastAsia"/>
        </w:rPr>
        <w:t>。卫生部开展工作的方式是提供和管理卫生系统。洪都拉斯社会保险协会</w:t>
      </w:r>
      <w:r>
        <w:t>(</w:t>
      </w:r>
      <w:r>
        <w:rPr>
          <w:rFonts w:hint="eastAsia"/>
        </w:rPr>
        <w:t>占</w:t>
      </w:r>
      <w:r>
        <w:t>10-12%</w:t>
      </w:r>
      <w:r>
        <w:rPr>
          <w:rFonts w:hint="eastAsia"/>
        </w:rPr>
        <w:t>，约有</w:t>
      </w:r>
      <w:r>
        <w:t>1,000</w:t>
      </w:r>
      <w:r>
        <w:rPr>
          <w:rFonts w:hint="eastAsia"/>
        </w:rPr>
        <w:t>个床位</w:t>
      </w:r>
      <w:r>
        <w:t>)</w:t>
      </w:r>
      <w:r>
        <w:rPr>
          <w:rFonts w:hint="eastAsia"/>
        </w:rPr>
        <w:t>，以及全国独立供水排水服务局。卫生服务还由全国社会福利理事会和劳动部的医疗、卫生和职业安全司提供。</w:t>
      </w:r>
    </w:p>
    <w:p w:rsidR="00000000" w:rsidRDefault="000C45AD">
      <w:r>
        <w:tab/>
        <w:t xml:space="preserve">204.  </w:t>
      </w:r>
      <w:r>
        <w:rPr>
          <w:rFonts w:hint="eastAsia"/>
        </w:rPr>
        <w:t>私营次级部门大约有</w:t>
      </w:r>
      <w:r>
        <w:t>56</w:t>
      </w:r>
      <w:r>
        <w:rPr>
          <w:rFonts w:hint="eastAsia"/>
        </w:rPr>
        <w:t>家医院、</w:t>
      </w:r>
      <w:r>
        <w:t>1,400</w:t>
      </w:r>
      <w:r>
        <w:rPr>
          <w:rFonts w:hint="eastAsia"/>
        </w:rPr>
        <w:t>多个床位，其中一些由宗教团体提供资金和管理。覆盖面估计为人口的</w:t>
      </w:r>
      <w:r>
        <w:t>15%</w:t>
      </w:r>
      <w:r>
        <w:rPr>
          <w:rFonts w:hint="eastAsia"/>
        </w:rPr>
        <w:t>。</w:t>
      </w:r>
    </w:p>
    <w:p w:rsidR="00000000" w:rsidRDefault="000C45AD">
      <w:r>
        <w:tab/>
        <w:t xml:space="preserve">205.  </w:t>
      </w:r>
      <w:r>
        <w:rPr>
          <w:rFonts w:hint="eastAsia"/>
        </w:rPr>
        <w:t>还有大量私营发展组织以及洪</w:t>
      </w:r>
      <w:r>
        <w:rPr>
          <w:rFonts w:hint="eastAsia"/>
        </w:rPr>
        <w:t>都拉斯计划生育联合会和母乳哺养联盟等组织活跃在卫生领域。</w:t>
      </w:r>
    </w:p>
    <w:p w:rsidR="00000000" w:rsidRDefault="000C45AD">
      <w:r>
        <w:tab/>
        <w:t xml:space="preserve">206.  </w:t>
      </w:r>
      <w:r>
        <w:rPr>
          <w:rFonts w:hint="eastAsia"/>
        </w:rPr>
        <w:t>卫生部的服务网络提供不同层次的保健</w:t>
      </w:r>
      <w:r>
        <w:rPr>
          <w:rFonts w:hint="eastAsia"/>
          <w:spacing w:val="-40"/>
        </w:rPr>
        <w:t>——</w:t>
      </w:r>
      <w:r>
        <w:t xml:space="preserve"> </w:t>
      </w:r>
      <w:r>
        <w:rPr>
          <w:rFonts w:hint="eastAsia"/>
        </w:rPr>
        <w:t>社区、初级、二级和三级</w:t>
      </w:r>
      <w:r>
        <w:rPr>
          <w:rFonts w:hint="eastAsia"/>
          <w:spacing w:val="-40"/>
        </w:rPr>
        <w:t>——</w:t>
      </w:r>
      <w:r>
        <w:t xml:space="preserve"> </w:t>
      </w:r>
      <w:r>
        <w:rPr>
          <w:rFonts w:hint="eastAsia"/>
        </w:rPr>
        <w:t>分成</w:t>
      </w:r>
      <w:r>
        <w:t>9</w:t>
      </w:r>
      <w:r>
        <w:rPr>
          <w:rFonts w:hint="eastAsia"/>
        </w:rPr>
        <w:t>个保健区域，这</w:t>
      </w:r>
      <w:r>
        <w:t>9</w:t>
      </w:r>
      <w:r>
        <w:rPr>
          <w:rFonts w:hint="eastAsia"/>
        </w:rPr>
        <w:t>个保健区域又再分为</w:t>
      </w:r>
      <w:r>
        <w:t>41</w:t>
      </w:r>
      <w:r>
        <w:rPr>
          <w:rFonts w:hint="eastAsia"/>
        </w:rPr>
        <w:t>个小区。</w:t>
      </w:r>
    </w:p>
    <w:p w:rsidR="00000000" w:rsidRDefault="000C45AD">
      <w:pPr>
        <w:pStyle w:val="Heading4"/>
        <w:spacing w:before="320"/>
        <w:textAlignment w:val="center"/>
      </w:pPr>
      <w:r>
        <w:rPr>
          <w:rFonts w:hint="eastAsia"/>
        </w:rPr>
        <w:t>国家卫生政策</w:t>
      </w:r>
    </w:p>
    <w:p w:rsidR="00000000" w:rsidRDefault="000C45AD">
      <w:r>
        <w:tab/>
        <w:t xml:space="preserve">207.  </w:t>
      </w:r>
      <w:r>
        <w:rPr>
          <w:rFonts w:hint="eastAsia"/>
        </w:rPr>
        <w:t>宪法</w:t>
      </w:r>
      <w:r>
        <w:t>(1982</w:t>
      </w:r>
      <w:r>
        <w:rPr>
          <w:rFonts w:hint="eastAsia"/>
        </w:rPr>
        <w:t>年</w:t>
      </w:r>
      <w:r>
        <w:t>1</w:t>
      </w:r>
      <w:r>
        <w:rPr>
          <w:rFonts w:hint="eastAsia"/>
        </w:rPr>
        <w:t>月</w:t>
      </w:r>
      <w:r>
        <w:t>11</w:t>
      </w:r>
      <w:r>
        <w:rPr>
          <w:rFonts w:hint="eastAsia"/>
        </w:rPr>
        <w:t>日第</w:t>
      </w:r>
      <w:r>
        <w:t>131</w:t>
      </w:r>
      <w:r>
        <w:rPr>
          <w:rFonts w:hint="eastAsia"/>
        </w:rPr>
        <w:t>号法令</w:t>
      </w:r>
      <w:r>
        <w:t>)</w:t>
      </w:r>
      <w:r>
        <w:rPr>
          <w:rFonts w:hint="eastAsia"/>
        </w:rPr>
        <w:t>第七章第</w:t>
      </w:r>
      <w:r>
        <w:t>145-150</w:t>
      </w:r>
      <w:r>
        <w:rPr>
          <w:rFonts w:hint="eastAsia"/>
        </w:rPr>
        <w:t>条确认卫生保健的权利。普遍享有卫生服务、全面解决保健问题、以及社区知情参与是全国卫生政策最重要的方面之一。在这方面，目前认为市政当局是实施各项措施，促进全面发展和保护环境从而改善人民的健康和生活条件的最恰当的地理政治单位。</w:t>
      </w:r>
    </w:p>
    <w:p w:rsidR="00000000" w:rsidRDefault="000C45AD">
      <w:r>
        <w:tab/>
      </w:r>
      <w:r>
        <w:t xml:space="preserve">208.  </w:t>
      </w:r>
      <w:r>
        <w:rPr>
          <w:rFonts w:hint="eastAsia"/>
        </w:rPr>
        <w:t>以下是提议中的政策和战略：</w:t>
      </w:r>
    </w:p>
    <w:p w:rsidR="00000000" w:rsidRDefault="000C45AD" w:rsidP="000C45AD">
      <w:pPr>
        <w:pStyle w:val="a6"/>
        <w:numPr>
          <w:ilvl w:val="0"/>
          <w:numId w:val="1"/>
        </w:numPr>
      </w:pPr>
      <w:r>
        <w:rPr>
          <w:rFonts w:hint="eastAsia"/>
        </w:rPr>
        <w:t>确保获得最大的卫生服务。这一作法把重点放在家庭群体内最脆弱的成员上，集中保护儿童、青年和妇女；</w:t>
      </w:r>
    </w:p>
    <w:p w:rsidR="00000000" w:rsidRDefault="000C45AD" w:rsidP="000C45AD">
      <w:pPr>
        <w:pStyle w:val="a6"/>
        <w:numPr>
          <w:ilvl w:val="0"/>
          <w:numId w:val="1"/>
        </w:numPr>
      </w:pPr>
      <w:r>
        <w:rPr>
          <w:rFonts w:hint="eastAsia"/>
        </w:rPr>
        <w:t>确保卫生系统的最大效率。这意味着改善人民的卫生和居住条件</w:t>
      </w:r>
      <w:r>
        <w:t>(</w:t>
      </w:r>
      <w:r>
        <w:rPr>
          <w:rFonts w:hint="eastAsia"/>
        </w:rPr>
        <w:t>减少主要疾病</w:t>
      </w:r>
      <w:r>
        <w:t>)</w:t>
      </w:r>
      <w:r>
        <w:rPr>
          <w:rFonts w:hint="eastAsia"/>
        </w:rPr>
        <w:t>；</w:t>
      </w:r>
    </w:p>
    <w:p w:rsidR="00000000" w:rsidRDefault="000C45AD" w:rsidP="000C45AD">
      <w:pPr>
        <w:pStyle w:val="a6"/>
        <w:numPr>
          <w:ilvl w:val="0"/>
          <w:numId w:val="1"/>
        </w:numPr>
      </w:pPr>
      <w:r>
        <w:rPr>
          <w:rFonts w:hint="eastAsia"/>
        </w:rPr>
        <w:t>加强该系统的社会有效性。通过指定资源用途和合理化使用资源，并对腐败发起全面进攻来实现这一目标；</w:t>
      </w:r>
    </w:p>
    <w:p w:rsidR="00000000" w:rsidRDefault="000C45AD" w:rsidP="000C45AD">
      <w:pPr>
        <w:pStyle w:val="a6"/>
        <w:numPr>
          <w:ilvl w:val="0"/>
          <w:numId w:val="1"/>
        </w:numPr>
      </w:pPr>
      <w:r>
        <w:rPr>
          <w:rFonts w:hint="eastAsia"/>
        </w:rPr>
        <w:t>服务网络管理民主化。这将通过参与计划、社会监督和与国家进程相一致的权力下放</w:t>
      </w:r>
      <w:r>
        <w:t>/</w:t>
      </w:r>
      <w:r>
        <w:rPr>
          <w:rFonts w:hint="eastAsia"/>
        </w:rPr>
        <w:t>权力集中等方式来完成。</w:t>
      </w:r>
    </w:p>
    <w:p w:rsidR="00000000" w:rsidRDefault="000C45AD" w:rsidP="000C45AD">
      <w:pPr>
        <w:pStyle w:val="a6"/>
        <w:numPr>
          <w:ilvl w:val="0"/>
          <w:numId w:val="1"/>
        </w:numPr>
      </w:pPr>
      <w:r>
        <w:rPr>
          <w:rFonts w:hint="eastAsia"/>
        </w:rPr>
        <w:t>在各个机构之间加强国家协调。目的是在提供卫生保健服务时保持系统的一致性；和</w:t>
      </w:r>
    </w:p>
    <w:p w:rsidR="00000000" w:rsidRDefault="000C45AD" w:rsidP="000C45AD">
      <w:pPr>
        <w:pStyle w:val="a6"/>
        <w:numPr>
          <w:ilvl w:val="0"/>
          <w:numId w:val="1"/>
        </w:numPr>
      </w:pPr>
      <w:r>
        <w:rPr>
          <w:rFonts w:hint="eastAsia"/>
        </w:rPr>
        <w:t>加强卫生部的能力，以便促进这</w:t>
      </w:r>
      <w:r>
        <w:rPr>
          <w:rFonts w:hint="eastAsia"/>
        </w:rPr>
        <w:t>一系统的管理。</w:t>
      </w:r>
    </w:p>
    <w:p w:rsidR="00000000" w:rsidRDefault="000C45AD">
      <w:r>
        <w:tab/>
        <w:t xml:space="preserve">209.  </w:t>
      </w:r>
      <w:r>
        <w:rPr>
          <w:rFonts w:hint="eastAsia"/>
        </w:rPr>
        <w:t>在具体政策范围内，基本目的是在现代化和改革制度的背景之下确保最大限度地享受卫生保健服务。</w:t>
      </w:r>
    </w:p>
    <w:p w:rsidR="00000000" w:rsidRDefault="000C45AD">
      <w:r>
        <w:tab/>
        <w:t xml:space="preserve">210.  </w:t>
      </w:r>
      <w:r>
        <w:rPr>
          <w:rFonts w:hint="eastAsia"/>
        </w:rPr>
        <w:t>洪都拉斯把初级卫生保健作为国家卫生政策的一部分，以便实现人人享有健康的目标。在预防疾病和死亡方面，优先考虑边远的农村和城市地区以及最为脆弱的人群，如孕妇和哺乳妇女、所有育龄妇女、</w:t>
      </w:r>
      <w:r>
        <w:t>5</w:t>
      </w:r>
      <w:r>
        <w:rPr>
          <w:rFonts w:hint="eastAsia"/>
        </w:rPr>
        <w:t>岁以下儿童和工作人口。</w:t>
      </w:r>
    </w:p>
    <w:p w:rsidR="00000000" w:rsidRDefault="000C45AD">
      <w:r>
        <w:tab/>
        <w:t>211.  1996</w:t>
      </w:r>
      <w:r>
        <w:rPr>
          <w:rFonts w:hint="eastAsia"/>
        </w:rPr>
        <w:t>年，卫生部服务网络有</w:t>
      </w:r>
      <w:r>
        <w:t>978</w:t>
      </w:r>
      <w:r>
        <w:rPr>
          <w:rFonts w:hint="eastAsia"/>
        </w:rPr>
        <w:t>个机构用于实施这一政策和管理战略：</w:t>
      </w:r>
      <w:r>
        <w:t>28</w:t>
      </w:r>
      <w:r>
        <w:rPr>
          <w:rFonts w:hint="eastAsia"/>
        </w:rPr>
        <w:t>所医院、</w:t>
      </w:r>
      <w:r>
        <w:t>9</w:t>
      </w:r>
      <w:r>
        <w:rPr>
          <w:rFonts w:hint="eastAsia"/>
        </w:rPr>
        <w:t>个妇婴诊所，</w:t>
      </w:r>
      <w:r>
        <w:t>214</w:t>
      </w:r>
      <w:r>
        <w:rPr>
          <w:rFonts w:hint="eastAsia"/>
        </w:rPr>
        <w:t>个有一名医生的保健站，和</w:t>
      </w:r>
      <w:r>
        <w:t>727</w:t>
      </w:r>
      <w:r>
        <w:rPr>
          <w:rFonts w:hint="eastAsia"/>
        </w:rPr>
        <w:t>个农村保健站。</w:t>
      </w:r>
    </w:p>
    <w:p w:rsidR="00000000" w:rsidRDefault="000C45AD">
      <w:r>
        <w:tab/>
        <w:t xml:space="preserve">212.  </w:t>
      </w:r>
      <w:r>
        <w:t>28</w:t>
      </w:r>
      <w:r>
        <w:rPr>
          <w:rFonts w:hint="eastAsia"/>
        </w:rPr>
        <w:t>所医院中，</w:t>
      </w:r>
      <w:r>
        <w:t>6</w:t>
      </w:r>
      <w:r>
        <w:rPr>
          <w:rFonts w:hint="eastAsia"/>
        </w:rPr>
        <w:t>所是国家级医院，</w:t>
      </w:r>
      <w:r>
        <w:t>6</w:t>
      </w:r>
      <w:r>
        <w:rPr>
          <w:rFonts w:hint="eastAsia"/>
        </w:rPr>
        <w:t>所是地区医院，</w:t>
      </w:r>
      <w:r>
        <w:t>16</w:t>
      </w:r>
      <w:r>
        <w:rPr>
          <w:rFonts w:hint="eastAsia"/>
        </w:rPr>
        <w:t>所是地方医院。自</w:t>
      </w:r>
      <w:r>
        <w:t>1992</w:t>
      </w:r>
      <w:r>
        <w:rPr>
          <w:rFonts w:hint="eastAsia"/>
        </w:rPr>
        <w:t>年以来，保健机构的数量增加了</w:t>
      </w:r>
      <w:r>
        <w:t>20.5%(</w:t>
      </w:r>
      <w:r>
        <w:rPr>
          <w:rFonts w:hint="eastAsia"/>
        </w:rPr>
        <w:t>当时有</w:t>
      </w:r>
      <w:r>
        <w:t>778</w:t>
      </w:r>
      <w:r>
        <w:rPr>
          <w:rFonts w:hint="eastAsia"/>
        </w:rPr>
        <w:t>所</w:t>
      </w:r>
      <w:r>
        <w:t>)</w:t>
      </w:r>
      <w:r>
        <w:rPr>
          <w:rFonts w:hint="eastAsia"/>
        </w:rPr>
        <w:t>，新的医疗机构中大部分是农村保健站，这促使人口当中处于最不利地位的成员能够得到这项服务。</w:t>
      </w:r>
    </w:p>
    <w:p w:rsidR="00000000" w:rsidRDefault="000C45AD">
      <w:r>
        <w:tab/>
        <w:t xml:space="preserve">213.  </w:t>
      </w:r>
      <w:r>
        <w:rPr>
          <w:rFonts w:hint="eastAsia"/>
        </w:rPr>
        <w:t>重点放在加强初级保健网络，特别是母亲和儿童的初级保健网络，方法是开设母婴诊所、妇产医院、安全分娩社区照料中心，加强了一级保健，并且给予社区更大的决策权力。其中许多医疗机构是根据加强城市之间支持，结合地方政府和卫生部的资源和承诺的原则设立的。</w:t>
      </w:r>
    </w:p>
    <w:p w:rsidR="00000000" w:rsidRDefault="000C45AD">
      <w:r>
        <w:tab/>
        <w:t xml:space="preserve">214.  </w:t>
      </w:r>
      <w:r>
        <w:rPr>
          <w:rFonts w:hint="eastAsia"/>
        </w:rPr>
        <w:t>还设立了一些新的保健</w:t>
      </w:r>
      <w:r>
        <w:rPr>
          <w:rFonts w:hint="eastAsia"/>
        </w:rPr>
        <w:t>模式，以便扩大覆盖面。这些创举包括分发基本保健箱、流动外科手术室、流动试验室和牙科治疗车的巡回医疗。</w:t>
      </w:r>
    </w:p>
    <w:p w:rsidR="00000000" w:rsidRDefault="000C45AD">
      <w:r>
        <w:tab/>
        <w:t xml:space="preserve">215.  </w:t>
      </w:r>
      <w:r>
        <w:rPr>
          <w:rFonts w:hint="eastAsia"/>
        </w:rPr>
        <w:t>必须指出，洪都拉斯承认现在存在一些问题：缺乏人才，人才的专业组成不合理、人才的使用不足和人才分布不平衡等等，针对这些问题洪都拉斯已经采取了若干措施寻求跨机构和多科目的解决办法。</w:t>
      </w:r>
    </w:p>
    <w:p w:rsidR="00000000" w:rsidRDefault="000C45AD">
      <w:r>
        <w:tab/>
        <w:t xml:space="preserve">216.  </w:t>
      </w:r>
      <w:r>
        <w:rPr>
          <w:rFonts w:hint="eastAsia"/>
        </w:rPr>
        <w:t>还采取了和国际机构进行合作的措施，重新安排人力培训方案，把它作为下放地方卫生系统和该部门其他服务的一部分。</w:t>
      </w:r>
    </w:p>
    <w:p w:rsidR="00000000" w:rsidRDefault="000C45AD">
      <w:r>
        <w:tab/>
        <w:t xml:space="preserve">217.  </w:t>
      </w:r>
      <w:r>
        <w:rPr>
          <w:rFonts w:hint="eastAsia"/>
        </w:rPr>
        <w:t>此外，卫生部努力邀请社区参与辨别和解决它们的卫生保健问题：卫生部培训了助产士、保健</w:t>
      </w:r>
      <w:r>
        <w:rPr>
          <w:rFonts w:hint="eastAsia"/>
        </w:rPr>
        <w:t>工作人员、保健代表、志愿工作人员、药品分发员，最近又培训了合格的免疫人员来支持各种保健方案。但是，这一战略的发展由于监督能力软弱、支持网络缺乏、没有正式的奖励计划而受到影响。</w:t>
      </w:r>
    </w:p>
    <w:p w:rsidR="00000000" w:rsidRDefault="000C45AD">
      <w:r>
        <w:tab/>
        <w:t xml:space="preserve">218.  </w:t>
      </w:r>
      <w:r>
        <w:rPr>
          <w:rFonts w:hint="eastAsia"/>
        </w:rPr>
        <w:t>在这样的情况之下，</w:t>
      </w:r>
      <w:r>
        <w:t>1989</w:t>
      </w:r>
      <w:r>
        <w:rPr>
          <w:rFonts w:hint="eastAsia"/>
        </w:rPr>
        <w:t>年卫生部重新审查了《土著和部落居民公约》</w:t>
      </w:r>
      <w:r>
        <w:t>1957</w:t>
      </w:r>
      <w:r>
        <w:rPr>
          <w:rFonts w:hint="eastAsia"/>
        </w:rPr>
        <w:t>年</w:t>
      </w:r>
      <w:r>
        <w:t>(</w:t>
      </w:r>
      <w:r>
        <w:rPr>
          <w:rFonts w:hint="eastAsia"/>
        </w:rPr>
        <w:t>第</w:t>
      </w:r>
      <w:r>
        <w:t>169</w:t>
      </w:r>
      <w:r>
        <w:rPr>
          <w:rFonts w:hint="eastAsia"/>
        </w:rPr>
        <w:t>号</w:t>
      </w:r>
      <w:r>
        <w:t>)</w:t>
      </w:r>
      <w:r>
        <w:rPr>
          <w:rFonts w:hint="eastAsia"/>
        </w:rPr>
        <w:t>以期优先考虑族裔群组；</w:t>
      </w:r>
      <w:r>
        <w:t>1995</w:t>
      </w:r>
      <w:r>
        <w:rPr>
          <w:rFonts w:hint="eastAsia"/>
        </w:rPr>
        <w:t>年卫生部针对《公约》第</w:t>
      </w:r>
      <w:r>
        <w:t>5</w:t>
      </w:r>
      <w:r>
        <w:rPr>
          <w:rFonts w:hint="eastAsia"/>
        </w:rPr>
        <w:t>部分第</w:t>
      </w:r>
      <w:r>
        <w:t>24</w:t>
      </w:r>
      <w:r>
        <w:rPr>
          <w:rFonts w:hint="eastAsia"/>
        </w:rPr>
        <w:t>和</w:t>
      </w:r>
      <w:r>
        <w:t>25</w:t>
      </w:r>
      <w:r>
        <w:rPr>
          <w:rFonts w:hint="eastAsia"/>
        </w:rPr>
        <w:t>条条款创建了族裔群组保健股。</w:t>
      </w:r>
    </w:p>
    <w:p w:rsidR="00000000" w:rsidRDefault="000C45AD">
      <w:pPr>
        <w:spacing w:after="240"/>
        <w:textAlignment w:val="center"/>
      </w:pPr>
      <w:r>
        <w:tab/>
        <w:t xml:space="preserve">219.  </w:t>
      </w:r>
      <w:r>
        <w:rPr>
          <w:rFonts w:hint="eastAsia"/>
        </w:rPr>
        <w:t>社会开支占国内生产总值的比例，</w:t>
      </w:r>
      <w:r>
        <w:t>1990</w:t>
      </w:r>
      <w:r>
        <w:rPr>
          <w:rFonts w:hint="eastAsia"/>
        </w:rPr>
        <w:t>至</w:t>
      </w:r>
      <w:r>
        <w:t>1995</w:t>
      </w:r>
      <w:r>
        <w:rPr>
          <w:rFonts w:hint="eastAsia"/>
        </w:rPr>
        <w:t>年之间徘徊在</w:t>
      </w:r>
      <w:r>
        <w:t>7%</w:t>
      </w:r>
      <w:r>
        <w:rPr>
          <w:rFonts w:hint="eastAsia"/>
        </w:rPr>
        <w:t>和</w:t>
      </w:r>
      <w:r>
        <w:t>8%</w:t>
      </w:r>
      <w:r>
        <w:rPr>
          <w:rFonts w:hint="eastAsia"/>
        </w:rPr>
        <w:t>之间</w:t>
      </w:r>
      <w:r>
        <w:t>(</w:t>
      </w:r>
      <w:r>
        <w:rPr>
          <w:rFonts w:hint="eastAsia"/>
        </w:rPr>
        <w:t>见表格</w:t>
      </w:r>
      <w:r>
        <w:t>1)</w:t>
      </w:r>
      <w:r>
        <w:rPr>
          <w:rFonts w:hint="eastAsia"/>
        </w:rPr>
        <w:t>。</w:t>
      </w:r>
      <w:r>
        <w:t>1995</w:t>
      </w:r>
      <w:r>
        <w:rPr>
          <w:rFonts w:hint="eastAsia"/>
        </w:rPr>
        <w:t>年，社会开支占国内生产</w:t>
      </w:r>
      <w:r>
        <w:rPr>
          <w:rFonts w:hint="eastAsia"/>
        </w:rPr>
        <w:t>总值的</w:t>
      </w:r>
      <w:r>
        <w:t>7.7%</w:t>
      </w:r>
      <w:r>
        <w:rPr>
          <w:rFonts w:hint="eastAsia"/>
        </w:rPr>
        <w:t>，略低于</w:t>
      </w:r>
      <w:r>
        <w:t>1990</w:t>
      </w:r>
      <w:r>
        <w:rPr>
          <w:rFonts w:hint="eastAsia"/>
        </w:rPr>
        <w:t>年的</w:t>
      </w:r>
      <w:r>
        <w:t>7.9%</w:t>
      </w:r>
      <w:r>
        <w:rPr>
          <w:rFonts w:hint="eastAsia"/>
        </w:rPr>
        <w:t>。</w:t>
      </w:r>
      <w:r>
        <w:t>1995</w:t>
      </w:r>
      <w:r>
        <w:rPr>
          <w:rFonts w:hint="eastAsia"/>
        </w:rPr>
        <w:t>年卫生开支有所上升，占作为国内生产总值比例公共开支的</w:t>
      </w:r>
      <w:r>
        <w:t>3%</w:t>
      </w:r>
      <w:r>
        <w:rPr>
          <w:rFonts w:hint="eastAsia"/>
        </w:rPr>
        <w:t>；在前几年，这项开支在</w:t>
      </w:r>
      <w:r>
        <w:t>2.3%</w:t>
      </w:r>
      <w:r>
        <w:rPr>
          <w:rFonts w:hint="eastAsia"/>
        </w:rPr>
        <w:t>和</w:t>
      </w:r>
      <w:r>
        <w:t>2.7</w:t>
      </w:r>
      <w:r>
        <w:rPr>
          <w:rFonts w:hint="eastAsia"/>
        </w:rPr>
        <w:t>之间。</w:t>
      </w:r>
    </w:p>
    <w:p w:rsidR="00000000" w:rsidRDefault="000C45AD">
      <w:pPr>
        <w:pStyle w:val="Heading3"/>
        <w:spacing w:after="240"/>
        <w:textAlignment w:val="center"/>
        <w:rPr>
          <w:u w:val="none"/>
        </w:rPr>
      </w:pPr>
      <w:r>
        <w:rPr>
          <w:rFonts w:hint="eastAsia"/>
        </w:rPr>
        <w:t>社会和保健开支占国内生产总值的比例</w:t>
      </w:r>
      <w:r>
        <w:br/>
      </w:r>
      <w:r>
        <w:rPr>
          <w:rFonts w:hint="eastAsia"/>
        </w:rPr>
        <w:t>洪都拉斯，</w:t>
      </w:r>
      <w:r>
        <w:t>1990</w:t>
      </w:r>
      <w:r>
        <w:rPr>
          <w:rFonts w:hint="eastAsia"/>
        </w:rPr>
        <w:t>—</w:t>
      </w:r>
      <w:r>
        <w:t>1995</w:t>
      </w:r>
      <w:r>
        <w:rPr>
          <w:rFonts w:hint="eastAsia"/>
        </w:rPr>
        <w:t>年</w:t>
      </w:r>
      <w:r>
        <w:br/>
      </w:r>
      <w:r>
        <w:rPr>
          <w:u w:val="none"/>
        </w:rPr>
        <w:t>(</w:t>
      </w:r>
      <w:r>
        <w:rPr>
          <w:rFonts w:hint="eastAsia"/>
          <w:u w:val="none"/>
        </w:rPr>
        <w:t>以现值</w:t>
      </w:r>
      <w:r>
        <w:rPr>
          <w:u w:val="none"/>
        </w:rPr>
        <w:t>1</w:t>
      </w:r>
      <w:r>
        <w:rPr>
          <w:rFonts w:hint="eastAsia"/>
          <w:u w:val="none"/>
        </w:rPr>
        <w:t>百万伦皮拉为单位</w:t>
      </w:r>
      <w:r>
        <w:rPr>
          <w:u w:val="none"/>
        </w:rPr>
        <w:t>)</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308"/>
        <w:gridCol w:w="1183"/>
        <w:gridCol w:w="1183"/>
        <w:gridCol w:w="1183"/>
        <w:gridCol w:w="1183"/>
        <w:gridCol w:w="1183"/>
        <w:gridCol w:w="1183"/>
      </w:tblGrid>
      <w:tr w:rsidR="00000000">
        <w:tblPrEx>
          <w:tblCellMar>
            <w:top w:w="0" w:type="dxa"/>
            <w:bottom w:w="0" w:type="dxa"/>
          </w:tblCellMar>
        </w:tblPrEx>
        <w:tc>
          <w:tcPr>
            <w:tcW w:w="2308" w:type="dxa"/>
            <w:tcBorders>
              <w:top w:val="single" w:sz="6" w:space="0" w:color="auto"/>
              <w:bottom w:val="single" w:sz="6" w:space="0" w:color="auto"/>
              <w:right w:val="nil"/>
            </w:tcBorders>
          </w:tcPr>
          <w:p w:rsidR="00000000" w:rsidRDefault="000C45AD">
            <w:pPr>
              <w:spacing w:before="120" w:after="40" w:line="288" w:lineRule="auto"/>
              <w:jc w:val="center"/>
              <w:rPr>
                <w:sz w:val="21"/>
              </w:rPr>
            </w:pPr>
            <w:r>
              <w:rPr>
                <w:rFonts w:hint="eastAsia"/>
                <w:sz w:val="21"/>
              </w:rPr>
              <w:t>指示数字</w:t>
            </w:r>
          </w:p>
        </w:tc>
        <w:tc>
          <w:tcPr>
            <w:tcW w:w="1183" w:type="dxa"/>
            <w:tcBorders>
              <w:top w:val="single" w:sz="6" w:space="0" w:color="auto"/>
              <w:left w:val="single" w:sz="6" w:space="0" w:color="auto"/>
              <w:bottom w:val="single" w:sz="6" w:space="0" w:color="auto"/>
              <w:right w:val="single" w:sz="6" w:space="0" w:color="auto"/>
            </w:tcBorders>
          </w:tcPr>
          <w:p w:rsidR="00000000" w:rsidRDefault="000C45AD">
            <w:pPr>
              <w:spacing w:before="120" w:after="40" w:line="288" w:lineRule="auto"/>
              <w:jc w:val="center"/>
              <w:rPr>
                <w:sz w:val="21"/>
              </w:rPr>
            </w:pPr>
            <w:r>
              <w:rPr>
                <w:sz w:val="21"/>
              </w:rPr>
              <w:t>1990</w:t>
            </w:r>
          </w:p>
        </w:tc>
        <w:tc>
          <w:tcPr>
            <w:tcW w:w="1183" w:type="dxa"/>
            <w:tcBorders>
              <w:top w:val="single" w:sz="6" w:space="0" w:color="auto"/>
              <w:left w:val="nil"/>
              <w:bottom w:val="single" w:sz="6" w:space="0" w:color="auto"/>
              <w:right w:val="nil"/>
            </w:tcBorders>
          </w:tcPr>
          <w:p w:rsidR="00000000" w:rsidRDefault="000C45AD">
            <w:pPr>
              <w:spacing w:before="120" w:after="40" w:line="288" w:lineRule="auto"/>
              <w:jc w:val="center"/>
              <w:rPr>
                <w:sz w:val="21"/>
              </w:rPr>
            </w:pPr>
            <w:r>
              <w:rPr>
                <w:sz w:val="21"/>
              </w:rPr>
              <w:t>1991</w:t>
            </w:r>
          </w:p>
        </w:tc>
        <w:tc>
          <w:tcPr>
            <w:tcW w:w="1183" w:type="dxa"/>
            <w:tcBorders>
              <w:top w:val="single" w:sz="6" w:space="0" w:color="auto"/>
              <w:left w:val="single" w:sz="6" w:space="0" w:color="auto"/>
              <w:bottom w:val="single" w:sz="6" w:space="0" w:color="auto"/>
              <w:right w:val="single" w:sz="6" w:space="0" w:color="auto"/>
            </w:tcBorders>
          </w:tcPr>
          <w:p w:rsidR="00000000" w:rsidRDefault="000C45AD">
            <w:pPr>
              <w:spacing w:before="120" w:after="40" w:line="288" w:lineRule="auto"/>
              <w:jc w:val="center"/>
              <w:rPr>
                <w:sz w:val="21"/>
              </w:rPr>
            </w:pPr>
            <w:r>
              <w:rPr>
                <w:sz w:val="21"/>
              </w:rPr>
              <w:t>1992</w:t>
            </w:r>
          </w:p>
        </w:tc>
        <w:tc>
          <w:tcPr>
            <w:tcW w:w="1183" w:type="dxa"/>
            <w:tcBorders>
              <w:top w:val="single" w:sz="6" w:space="0" w:color="auto"/>
              <w:left w:val="nil"/>
              <w:bottom w:val="single" w:sz="6" w:space="0" w:color="auto"/>
              <w:right w:val="nil"/>
            </w:tcBorders>
          </w:tcPr>
          <w:p w:rsidR="00000000" w:rsidRDefault="000C45AD">
            <w:pPr>
              <w:spacing w:before="120" w:after="40" w:line="288" w:lineRule="auto"/>
              <w:jc w:val="center"/>
              <w:rPr>
                <w:sz w:val="21"/>
              </w:rPr>
            </w:pPr>
            <w:r>
              <w:rPr>
                <w:sz w:val="21"/>
              </w:rPr>
              <w:t>1993</w:t>
            </w:r>
          </w:p>
        </w:tc>
        <w:tc>
          <w:tcPr>
            <w:tcW w:w="1183" w:type="dxa"/>
            <w:tcBorders>
              <w:top w:val="single" w:sz="6" w:space="0" w:color="auto"/>
              <w:left w:val="single" w:sz="6" w:space="0" w:color="auto"/>
              <w:bottom w:val="single" w:sz="6" w:space="0" w:color="auto"/>
              <w:right w:val="single" w:sz="6" w:space="0" w:color="auto"/>
            </w:tcBorders>
          </w:tcPr>
          <w:p w:rsidR="00000000" w:rsidRDefault="000C45AD">
            <w:pPr>
              <w:spacing w:before="120" w:after="40" w:line="288" w:lineRule="auto"/>
              <w:jc w:val="center"/>
              <w:rPr>
                <w:sz w:val="21"/>
              </w:rPr>
            </w:pPr>
            <w:r>
              <w:rPr>
                <w:sz w:val="21"/>
              </w:rPr>
              <w:t>1994</w:t>
            </w:r>
          </w:p>
        </w:tc>
        <w:tc>
          <w:tcPr>
            <w:tcW w:w="1183" w:type="dxa"/>
            <w:tcBorders>
              <w:top w:val="single" w:sz="6" w:space="0" w:color="auto"/>
              <w:left w:val="nil"/>
              <w:bottom w:val="single" w:sz="6" w:space="0" w:color="auto"/>
            </w:tcBorders>
          </w:tcPr>
          <w:p w:rsidR="00000000" w:rsidRDefault="000C45AD">
            <w:pPr>
              <w:spacing w:before="120" w:after="40" w:line="288" w:lineRule="auto"/>
              <w:jc w:val="center"/>
              <w:rPr>
                <w:sz w:val="21"/>
              </w:rPr>
            </w:pPr>
            <w:r>
              <w:rPr>
                <w:sz w:val="21"/>
              </w:rPr>
              <w:t>1995</w:t>
            </w:r>
          </w:p>
        </w:tc>
      </w:tr>
      <w:tr w:rsidR="00000000">
        <w:tblPrEx>
          <w:tblCellMar>
            <w:top w:w="0" w:type="dxa"/>
            <w:bottom w:w="0" w:type="dxa"/>
          </w:tblCellMar>
        </w:tblPrEx>
        <w:tc>
          <w:tcPr>
            <w:tcW w:w="2308" w:type="dxa"/>
            <w:tcBorders>
              <w:top w:val="nil"/>
              <w:right w:val="nil"/>
            </w:tcBorders>
          </w:tcPr>
          <w:p w:rsidR="00000000" w:rsidRDefault="000C45AD">
            <w:pPr>
              <w:spacing w:before="120" w:line="288" w:lineRule="auto"/>
              <w:ind w:left="113"/>
              <w:rPr>
                <w:sz w:val="21"/>
              </w:rPr>
            </w:pPr>
            <w:r>
              <w:rPr>
                <w:rFonts w:hint="eastAsia"/>
                <w:sz w:val="21"/>
              </w:rPr>
              <w:t>社会</w:t>
            </w:r>
          </w:p>
        </w:tc>
        <w:tc>
          <w:tcPr>
            <w:tcW w:w="1183"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692"/>
              </w:tabs>
              <w:spacing w:before="120" w:line="288" w:lineRule="auto"/>
              <w:rPr>
                <w:sz w:val="21"/>
              </w:rPr>
            </w:pPr>
            <w:r>
              <w:rPr>
                <w:sz w:val="21"/>
              </w:rPr>
              <w:t>987.8</w:t>
            </w:r>
          </w:p>
        </w:tc>
        <w:tc>
          <w:tcPr>
            <w:tcW w:w="1183" w:type="dxa"/>
            <w:tcBorders>
              <w:top w:val="nil"/>
              <w:left w:val="nil"/>
              <w:right w:val="nil"/>
            </w:tcBorders>
          </w:tcPr>
          <w:p w:rsidR="00000000" w:rsidRDefault="000C45AD">
            <w:pPr>
              <w:tabs>
                <w:tab w:val="clear" w:pos="510"/>
                <w:tab w:val="clear" w:pos="1021"/>
                <w:tab w:val="clear" w:pos="1531"/>
                <w:tab w:val="clear" w:pos="2041"/>
                <w:tab w:val="decimal" w:pos="692"/>
              </w:tabs>
              <w:spacing w:before="120" w:line="288" w:lineRule="auto"/>
              <w:rPr>
                <w:sz w:val="21"/>
              </w:rPr>
            </w:pPr>
            <w:r>
              <w:rPr>
                <w:sz w:val="21"/>
              </w:rPr>
              <w:t>1,255.3</w:t>
            </w:r>
          </w:p>
        </w:tc>
        <w:tc>
          <w:tcPr>
            <w:tcW w:w="1183"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692"/>
              </w:tabs>
              <w:spacing w:before="120" w:line="288" w:lineRule="auto"/>
              <w:rPr>
                <w:sz w:val="21"/>
              </w:rPr>
            </w:pPr>
            <w:r>
              <w:rPr>
                <w:sz w:val="21"/>
              </w:rPr>
              <w:t>1,537.1</w:t>
            </w:r>
          </w:p>
        </w:tc>
        <w:tc>
          <w:tcPr>
            <w:tcW w:w="1183" w:type="dxa"/>
            <w:tcBorders>
              <w:top w:val="nil"/>
              <w:left w:val="nil"/>
              <w:right w:val="nil"/>
            </w:tcBorders>
          </w:tcPr>
          <w:p w:rsidR="00000000" w:rsidRDefault="000C45AD">
            <w:pPr>
              <w:tabs>
                <w:tab w:val="clear" w:pos="510"/>
                <w:tab w:val="clear" w:pos="1021"/>
                <w:tab w:val="clear" w:pos="1531"/>
                <w:tab w:val="clear" w:pos="2041"/>
                <w:tab w:val="decimal" w:pos="692"/>
              </w:tabs>
              <w:spacing w:before="120" w:line="288" w:lineRule="auto"/>
              <w:rPr>
                <w:sz w:val="21"/>
              </w:rPr>
            </w:pPr>
            <w:r>
              <w:rPr>
                <w:sz w:val="21"/>
              </w:rPr>
              <w:t>1,797.4</w:t>
            </w:r>
          </w:p>
        </w:tc>
        <w:tc>
          <w:tcPr>
            <w:tcW w:w="1183"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692"/>
              </w:tabs>
              <w:spacing w:before="120" w:line="288" w:lineRule="auto"/>
              <w:rPr>
                <w:sz w:val="21"/>
              </w:rPr>
            </w:pPr>
            <w:r>
              <w:rPr>
                <w:sz w:val="21"/>
              </w:rPr>
              <w:t>2,044.5</w:t>
            </w:r>
          </w:p>
        </w:tc>
        <w:tc>
          <w:tcPr>
            <w:tcW w:w="1183" w:type="dxa"/>
            <w:tcBorders>
              <w:top w:val="nil"/>
              <w:left w:val="nil"/>
            </w:tcBorders>
          </w:tcPr>
          <w:p w:rsidR="00000000" w:rsidRDefault="000C45AD">
            <w:pPr>
              <w:tabs>
                <w:tab w:val="clear" w:pos="510"/>
                <w:tab w:val="clear" w:pos="1021"/>
                <w:tab w:val="clear" w:pos="1531"/>
                <w:tab w:val="clear" w:pos="2041"/>
                <w:tab w:val="decimal" w:pos="692"/>
              </w:tabs>
              <w:spacing w:before="120" w:line="288" w:lineRule="auto"/>
              <w:rPr>
                <w:sz w:val="21"/>
              </w:rPr>
            </w:pPr>
            <w:r>
              <w:rPr>
                <w:sz w:val="21"/>
              </w:rPr>
              <w:t>2,893.4</w:t>
            </w:r>
          </w:p>
        </w:tc>
      </w:tr>
      <w:tr w:rsidR="00000000">
        <w:tblPrEx>
          <w:tblCellMar>
            <w:top w:w="0" w:type="dxa"/>
            <w:bottom w:w="0" w:type="dxa"/>
          </w:tblCellMar>
        </w:tblPrEx>
        <w:tc>
          <w:tcPr>
            <w:tcW w:w="2308" w:type="dxa"/>
            <w:tcBorders>
              <w:right w:val="nil"/>
            </w:tcBorders>
          </w:tcPr>
          <w:p w:rsidR="00000000" w:rsidRDefault="000C45AD">
            <w:pPr>
              <w:spacing w:line="288" w:lineRule="auto"/>
              <w:ind w:left="113"/>
              <w:rPr>
                <w:sz w:val="21"/>
              </w:rPr>
            </w:pPr>
            <w:r>
              <w:rPr>
                <w:rFonts w:hint="eastAsia"/>
                <w:sz w:val="21"/>
              </w:rPr>
              <w:t>社会：国内总产值</w:t>
            </w:r>
            <w:r>
              <w:rPr>
                <w:sz w:val="21"/>
              </w:rPr>
              <w:t>(%)</w:t>
            </w:r>
          </w:p>
        </w:tc>
        <w:tc>
          <w:tcPr>
            <w:tcW w:w="1183"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692"/>
              </w:tabs>
              <w:spacing w:line="288" w:lineRule="auto"/>
              <w:rPr>
                <w:sz w:val="21"/>
              </w:rPr>
            </w:pPr>
            <w:r>
              <w:rPr>
                <w:sz w:val="21"/>
              </w:rPr>
              <w:t>7.9</w:t>
            </w:r>
          </w:p>
        </w:tc>
        <w:tc>
          <w:tcPr>
            <w:tcW w:w="1183" w:type="dxa"/>
            <w:tcBorders>
              <w:left w:val="nil"/>
              <w:right w:val="nil"/>
            </w:tcBorders>
          </w:tcPr>
          <w:p w:rsidR="00000000" w:rsidRDefault="000C45AD">
            <w:pPr>
              <w:tabs>
                <w:tab w:val="clear" w:pos="510"/>
                <w:tab w:val="clear" w:pos="1021"/>
                <w:tab w:val="clear" w:pos="1531"/>
                <w:tab w:val="clear" w:pos="2041"/>
                <w:tab w:val="decimal" w:pos="692"/>
              </w:tabs>
              <w:spacing w:line="288" w:lineRule="auto"/>
              <w:rPr>
                <w:sz w:val="21"/>
              </w:rPr>
            </w:pPr>
            <w:r>
              <w:rPr>
                <w:sz w:val="21"/>
              </w:rPr>
              <w:t>7.7</w:t>
            </w:r>
          </w:p>
        </w:tc>
        <w:tc>
          <w:tcPr>
            <w:tcW w:w="1183"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692"/>
              </w:tabs>
              <w:spacing w:line="288" w:lineRule="auto"/>
              <w:rPr>
                <w:sz w:val="21"/>
              </w:rPr>
            </w:pPr>
            <w:r>
              <w:rPr>
                <w:sz w:val="21"/>
              </w:rPr>
              <w:t>8.2</w:t>
            </w:r>
          </w:p>
        </w:tc>
        <w:tc>
          <w:tcPr>
            <w:tcW w:w="1183" w:type="dxa"/>
            <w:tcBorders>
              <w:left w:val="nil"/>
              <w:right w:val="nil"/>
            </w:tcBorders>
          </w:tcPr>
          <w:p w:rsidR="00000000" w:rsidRDefault="000C45AD">
            <w:pPr>
              <w:tabs>
                <w:tab w:val="clear" w:pos="510"/>
                <w:tab w:val="clear" w:pos="1021"/>
                <w:tab w:val="clear" w:pos="1531"/>
                <w:tab w:val="clear" w:pos="2041"/>
                <w:tab w:val="decimal" w:pos="692"/>
              </w:tabs>
              <w:spacing w:line="288" w:lineRule="auto"/>
              <w:rPr>
                <w:sz w:val="21"/>
              </w:rPr>
            </w:pPr>
            <w:r>
              <w:rPr>
                <w:sz w:val="21"/>
              </w:rPr>
              <w:t>7.9</w:t>
            </w:r>
          </w:p>
        </w:tc>
        <w:tc>
          <w:tcPr>
            <w:tcW w:w="1183"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692"/>
              </w:tabs>
              <w:spacing w:line="288" w:lineRule="auto"/>
              <w:rPr>
                <w:sz w:val="21"/>
              </w:rPr>
            </w:pPr>
            <w:r>
              <w:rPr>
                <w:sz w:val="21"/>
              </w:rPr>
              <w:t>7.1</w:t>
            </w:r>
          </w:p>
        </w:tc>
        <w:tc>
          <w:tcPr>
            <w:tcW w:w="1183" w:type="dxa"/>
            <w:tcBorders>
              <w:left w:val="nil"/>
            </w:tcBorders>
          </w:tcPr>
          <w:p w:rsidR="00000000" w:rsidRDefault="000C45AD">
            <w:pPr>
              <w:tabs>
                <w:tab w:val="clear" w:pos="510"/>
                <w:tab w:val="clear" w:pos="1021"/>
                <w:tab w:val="clear" w:pos="1531"/>
                <w:tab w:val="clear" w:pos="2041"/>
                <w:tab w:val="decimal" w:pos="692"/>
              </w:tabs>
              <w:spacing w:line="288" w:lineRule="auto"/>
              <w:rPr>
                <w:sz w:val="21"/>
              </w:rPr>
            </w:pPr>
            <w:r>
              <w:rPr>
                <w:sz w:val="21"/>
              </w:rPr>
              <w:t>7.7</w:t>
            </w:r>
          </w:p>
        </w:tc>
      </w:tr>
      <w:tr w:rsidR="00000000">
        <w:tblPrEx>
          <w:tblCellMar>
            <w:top w:w="0" w:type="dxa"/>
            <w:bottom w:w="0" w:type="dxa"/>
          </w:tblCellMar>
        </w:tblPrEx>
        <w:tc>
          <w:tcPr>
            <w:tcW w:w="2308" w:type="dxa"/>
            <w:tcBorders>
              <w:right w:val="nil"/>
            </w:tcBorders>
          </w:tcPr>
          <w:p w:rsidR="00000000" w:rsidRDefault="000C45AD">
            <w:pPr>
              <w:spacing w:line="288" w:lineRule="auto"/>
              <w:ind w:left="113"/>
              <w:rPr>
                <w:sz w:val="21"/>
              </w:rPr>
            </w:pPr>
            <w:r>
              <w:rPr>
                <w:rFonts w:hint="eastAsia"/>
                <w:sz w:val="21"/>
              </w:rPr>
              <w:t>保健</w:t>
            </w:r>
          </w:p>
        </w:tc>
        <w:tc>
          <w:tcPr>
            <w:tcW w:w="1183"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692"/>
              </w:tabs>
              <w:spacing w:line="288" w:lineRule="auto"/>
              <w:rPr>
                <w:sz w:val="21"/>
              </w:rPr>
            </w:pPr>
            <w:r>
              <w:rPr>
                <w:sz w:val="21"/>
              </w:rPr>
              <w:t>336.</w:t>
            </w:r>
            <w:r>
              <w:rPr>
                <w:sz w:val="21"/>
              </w:rPr>
              <w:t>2</w:t>
            </w:r>
          </w:p>
        </w:tc>
        <w:tc>
          <w:tcPr>
            <w:tcW w:w="1183" w:type="dxa"/>
            <w:tcBorders>
              <w:left w:val="nil"/>
              <w:right w:val="nil"/>
            </w:tcBorders>
          </w:tcPr>
          <w:p w:rsidR="00000000" w:rsidRDefault="000C45AD">
            <w:pPr>
              <w:tabs>
                <w:tab w:val="clear" w:pos="510"/>
                <w:tab w:val="clear" w:pos="1021"/>
                <w:tab w:val="clear" w:pos="1531"/>
                <w:tab w:val="clear" w:pos="2041"/>
                <w:tab w:val="decimal" w:pos="692"/>
              </w:tabs>
              <w:spacing w:line="288" w:lineRule="auto"/>
              <w:rPr>
                <w:sz w:val="21"/>
              </w:rPr>
            </w:pPr>
            <w:r>
              <w:rPr>
                <w:sz w:val="21"/>
              </w:rPr>
              <w:t>379.6</w:t>
            </w:r>
          </w:p>
        </w:tc>
        <w:tc>
          <w:tcPr>
            <w:tcW w:w="1183"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692"/>
              </w:tabs>
              <w:spacing w:line="288" w:lineRule="auto"/>
              <w:rPr>
                <w:sz w:val="21"/>
              </w:rPr>
            </w:pPr>
            <w:r>
              <w:rPr>
                <w:sz w:val="21"/>
              </w:rPr>
              <w:t>454.5</w:t>
            </w:r>
          </w:p>
        </w:tc>
        <w:tc>
          <w:tcPr>
            <w:tcW w:w="1183" w:type="dxa"/>
            <w:tcBorders>
              <w:left w:val="nil"/>
              <w:right w:val="nil"/>
            </w:tcBorders>
          </w:tcPr>
          <w:p w:rsidR="00000000" w:rsidRDefault="000C45AD">
            <w:pPr>
              <w:tabs>
                <w:tab w:val="clear" w:pos="510"/>
                <w:tab w:val="clear" w:pos="1021"/>
                <w:tab w:val="clear" w:pos="1531"/>
                <w:tab w:val="clear" w:pos="2041"/>
                <w:tab w:val="decimal" w:pos="692"/>
              </w:tabs>
              <w:spacing w:line="288" w:lineRule="auto"/>
              <w:rPr>
                <w:sz w:val="21"/>
              </w:rPr>
            </w:pPr>
            <w:r>
              <w:rPr>
                <w:sz w:val="21"/>
              </w:rPr>
              <w:t>511.3</w:t>
            </w:r>
          </w:p>
        </w:tc>
        <w:tc>
          <w:tcPr>
            <w:tcW w:w="1183"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692"/>
              </w:tabs>
              <w:spacing w:line="288" w:lineRule="auto"/>
              <w:rPr>
                <w:sz w:val="21"/>
              </w:rPr>
            </w:pPr>
            <w:r>
              <w:rPr>
                <w:sz w:val="21"/>
              </w:rPr>
              <w:t>683.4</w:t>
            </w:r>
          </w:p>
        </w:tc>
        <w:tc>
          <w:tcPr>
            <w:tcW w:w="1183" w:type="dxa"/>
            <w:tcBorders>
              <w:left w:val="nil"/>
            </w:tcBorders>
          </w:tcPr>
          <w:p w:rsidR="00000000" w:rsidRDefault="000C45AD">
            <w:pPr>
              <w:tabs>
                <w:tab w:val="clear" w:pos="510"/>
                <w:tab w:val="clear" w:pos="1021"/>
                <w:tab w:val="clear" w:pos="1531"/>
                <w:tab w:val="clear" w:pos="2041"/>
                <w:tab w:val="decimal" w:pos="692"/>
              </w:tabs>
              <w:spacing w:line="288" w:lineRule="auto"/>
              <w:rPr>
                <w:sz w:val="21"/>
              </w:rPr>
            </w:pPr>
            <w:r>
              <w:rPr>
                <w:sz w:val="21"/>
              </w:rPr>
              <w:t>1,111.6</w:t>
            </w:r>
          </w:p>
        </w:tc>
      </w:tr>
      <w:tr w:rsidR="00000000">
        <w:tblPrEx>
          <w:tblCellMar>
            <w:top w:w="0" w:type="dxa"/>
            <w:bottom w:w="0" w:type="dxa"/>
          </w:tblCellMar>
        </w:tblPrEx>
        <w:tc>
          <w:tcPr>
            <w:tcW w:w="2308" w:type="dxa"/>
            <w:tcBorders>
              <w:right w:val="nil"/>
            </w:tcBorders>
          </w:tcPr>
          <w:p w:rsidR="00000000" w:rsidRDefault="000C45AD">
            <w:pPr>
              <w:spacing w:line="288" w:lineRule="auto"/>
              <w:ind w:left="113"/>
              <w:rPr>
                <w:sz w:val="21"/>
              </w:rPr>
            </w:pPr>
            <w:r>
              <w:rPr>
                <w:rFonts w:hint="eastAsia"/>
                <w:sz w:val="21"/>
              </w:rPr>
              <w:t>保健：社会</w:t>
            </w:r>
            <w:r>
              <w:rPr>
                <w:sz w:val="21"/>
              </w:rPr>
              <w:t>(%)</w:t>
            </w:r>
          </w:p>
        </w:tc>
        <w:tc>
          <w:tcPr>
            <w:tcW w:w="1183"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692"/>
              </w:tabs>
              <w:spacing w:line="288" w:lineRule="auto"/>
              <w:rPr>
                <w:sz w:val="21"/>
              </w:rPr>
            </w:pPr>
            <w:r>
              <w:rPr>
                <w:sz w:val="21"/>
              </w:rPr>
              <w:t>34.0</w:t>
            </w:r>
          </w:p>
        </w:tc>
        <w:tc>
          <w:tcPr>
            <w:tcW w:w="1183" w:type="dxa"/>
            <w:tcBorders>
              <w:left w:val="nil"/>
              <w:right w:val="nil"/>
            </w:tcBorders>
          </w:tcPr>
          <w:p w:rsidR="00000000" w:rsidRDefault="000C45AD">
            <w:pPr>
              <w:tabs>
                <w:tab w:val="clear" w:pos="510"/>
                <w:tab w:val="clear" w:pos="1021"/>
                <w:tab w:val="clear" w:pos="1531"/>
                <w:tab w:val="clear" w:pos="2041"/>
                <w:tab w:val="decimal" w:pos="692"/>
              </w:tabs>
              <w:spacing w:line="288" w:lineRule="auto"/>
              <w:rPr>
                <w:sz w:val="21"/>
              </w:rPr>
            </w:pPr>
            <w:r>
              <w:rPr>
                <w:sz w:val="21"/>
              </w:rPr>
              <w:t>30.2</w:t>
            </w:r>
          </w:p>
        </w:tc>
        <w:tc>
          <w:tcPr>
            <w:tcW w:w="1183"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692"/>
              </w:tabs>
              <w:spacing w:line="288" w:lineRule="auto"/>
              <w:rPr>
                <w:sz w:val="21"/>
              </w:rPr>
            </w:pPr>
            <w:r>
              <w:rPr>
                <w:sz w:val="21"/>
              </w:rPr>
              <w:t>29.6</w:t>
            </w:r>
          </w:p>
        </w:tc>
        <w:tc>
          <w:tcPr>
            <w:tcW w:w="1183" w:type="dxa"/>
            <w:tcBorders>
              <w:left w:val="nil"/>
              <w:right w:val="nil"/>
            </w:tcBorders>
          </w:tcPr>
          <w:p w:rsidR="00000000" w:rsidRDefault="000C45AD">
            <w:pPr>
              <w:tabs>
                <w:tab w:val="clear" w:pos="510"/>
                <w:tab w:val="clear" w:pos="1021"/>
                <w:tab w:val="clear" w:pos="1531"/>
                <w:tab w:val="clear" w:pos="2041"/>
                <w:tab w:val="decimal" w:pos="692"/>
              </w:tabs>
              <w:spacing w:line="288" w:lineRule="auto"/>
              <w:rPr>
                <w:sz w:val="21"/>
              </w:rPr>
            </w:pPr>
            <w:r>
              <w:rPr>
                <w:sz w:val="21"/>
              </w:rPr>
              <w:t>28.4</w:t>
            </w:r>
          </w:p>
        </w:tc>
        <w:tc>
          <w:tcPr>
            <w:tcW w:w="1183"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692"/>
              </w:tabs>
              <w:spacing w:line="288" w:lineRule="auto"/>
              <w:rPr>
                <w:sz w:val="21"/>
              </w:rPr>
            </w:pPr>
            <w:r>
              <w:rPr>
                <w:sz w:val="21"/>
              </w:rPr>
              <w:t>33.4</w:t>
            </w:r>
          </w:p>
        </w:tc>
        <w:tc>
          <w:tcPr>
            <w:tcW w:w="1183" w:type="dxa"/>
            <w:tcBorders>
              <w:left w:val="nil"/>
            </w:tcBorders>
          </w:tcPr>
          <w:p w:rsidR="00000000" w:rsidRDefault="000C45AD">
            <w:pPr>
              <w:tabs>
                <w:tab w:val="clear" w:pos="510"/>
                <w:tab w:val="clear" w:pos="1021"/>
                <w:tab w:val="clear" w:pos="1531"/>
                <w:tab w:val="clear" w:pos="2041"/>
                <w:tab w:val="decimal" w:pos="692"/>
              </w:tabs>
              <w:spacing w:line="288" w:lineRule="auto"/>
              <w:rPr>
                <w:sz w:val="21"/>
              </w:rPr>
            </w:pPr>
            <w:r>
              <w:rPr>
                <w:sz w:val="21"/>
              </w:rPr>
              <w:t>38.4</w:t>
            </w:r>
          </w:p>
        </w:tc>
      </w:tr>
      <w:tr w:rsidR="00000000">
        <w:tblPrEx>
          <w:tblCellMar>
            <w:top w:w="0" w:type="dxa"/>
            <w:bottom w:w="0" w:type="dxa"/>
          </w:tblCellMar>
        </w:tblPrEx>
        <w:tc>
          <w:tcPr>
            <w:tcW w:w="2308" w:type="dxa"/>
            <w:tcBorders>
              <w:right w:val="nil"/>
            </w:tcBorders>
          </w:tcPr>
          <w:p w:rsidR="00000000" w:rsidRDefault="000C45AD">
            <w:pPr>
              <w:spacing w:line="288" w:lineRule="auto"/>
              <w:ind w:left="113"/>
              <w:rPr>
                <w:sz w:val="21"/>
              </w:rPr>
            </w:pPr>
            <w:r>
              <w:rPr>
                <w:rFonts w:hint="eastAsia"/>
                <w:sz w:val="21"/>
              </w:rPr>
              <w:t>保健：国内总产值</w:t>
            </w:r>
            <w:r>
              <w:rPr>
                <w:sz w:val="21"/>
              </w:rPr>
              <w:t>(%)</w:t>
            </w:r>
          </w:p>
        </w:tc>
        <w:tc>
          <w:tcPr>
            <w:tcW w:w="1183" w:type="dxa"/>
            <w:tcBorders>
              <w:top w:val="nil"/>
              <w:left w:val="single" w:sz="6" w:space="0" w:color="auto"/>
              <w:bottom w:val="single" w:sz="6" w:space="0" w:color="auto"/>
              <w:right w:val="single" w:sz="6" w:space="0" w:color="auto"/>
            </w:tcBorders>
          </w:tcPr>
          <w:p w:rsidR="00000000" w:rsidRDefault="000C45AD">
            <w:pPr>
              <w:tabs>
                <w:tab w:val="clear" w:pos="510"/>
                <w:tab w:val="clear" w:pos="1021"/>
                <w:tab w:val="clear" w:pos="1531"/>
                <w:tab w:val="clear" w:pos="2041"/>
                <w:tab w:val="decimal" w:pos="692"/>
              </w:tabs>
              <w:spacing w:line="288" w:lineRule="auto"/>
              <w:rPr>
                <w:sz w:val="21"/>
              </w:rPr>
            </w:pPr>
            <w:r>
              <w:rPr>
                <w:sz w:val="21"/>
              </w:rPr>
              <w:t>2.7</w:t>
            </w:r>
          </w:p>
        </w:tc>
        <w:tc>
          <w:tcPr>
            <w:tcW w:w="1183" w:type="dxa"/>
            <w:tcBorders>
              <w:left w:val="nil"/>
              <w:right w:val="nil"/>
            </w:tcBorders>
          </w:tcPr>
          <w:p w:rsidR="00000000" w:rsidRDefault="000C45AD">
            <w:pPr>
              <w:tabs>
                <w:tab w:val="clear" w:pos="510"/>
                <w:tab w:val="clear" w:pos="1021"/>
                <w:tab w:val="clear" w:pos="1531"/>
                <w:tab w:val="clear" w:pos="2041"/>
                <w:tab w:val="decimal" w:pos="692"/>
              </w:tabs>
              <w:spacing w:line="288" w:lineRule="auto"/>
              <w:rPr>
                <w:sz w:val="21"/>
              </w:rPr>
            </w:pPr>
            <w:r>
              <w:rPr>
                <w:sz w:val="21"/>
              </w:rPr>
              <w:t>2.3</w:t>
            </w:r>
          </w:p>
        </w:tc>
        <w:tc>
          <w:tcPr>
            <w:tcW w:w="1183" w:type="dxa"/>
            <w:tcBorders>
              <w:top w:val="nil"/>
              <w:left w:val="single" w:sz="6" w:space="0" w:color="auto"/>
              <w:bottom w:val="single" w:sz="6" w:space="0" w:color="auto"/>
              <w:right w:val="single" w:sz="6" w:space="0" w:color="auto"/>
            </w:tcBorders>
          </w:tcPr>
          <w:p w:rsidR="00000000" w:rsidRDefault="000C45AD">
            <w:pPr>
              <w:tabs>
                <w:tab w:val="clear" w:pos="510"/>
                <w:tab w:val="clear" w:pos="1021"/>
                <w:tab w:val="clear" w:pos="1531"/>
                <w:tab w:val="clear" w:pos="2041"/>
                <w:tab w:val="decimal" w:pos="692"/>
              </w:tabs>
              <w:spacing w:line="288" w:lineRule="auto"/>
              <w:rPr>
                <w:sz w:val="21"/>
              </w:rPr>
            </w:pPr>
            <w:r>
              <w:rPr>
                <w:sz w:val="21"/>
              </w:rPr>
              <w:t>2.4</w:t>
            </w:r>
          </w:p>
        </w:tc>
        <w:tc>
          <w:tcPr>
            <w:tcW w:w="1183" w:type="dxa"/>
            <w:tcBorders>
              <w:left w:val="nil"/>
              <w:right w:val="nil"/>
            </w:tcBorders>
          </w:tcPr>
          <w:p w:rsidR="00000000" w:rsidRDefault="000C45AD">
            <w:pPr>
              <w:tabs>
                <w:tab w:val="clear" w:pos="510"/>
                <w:tab w:val="clear" w:pos="1021"/>
                <w:tab w:val="clear" w:pos="1531"/>
                <w:tab w:val="clear" w:pos="2041"/>
                <w:tab w:val="decimal" w:pos="692"/>
              </w:tabs>
              <w:spacing w:line="288" w:lineRule="auto"/>
              <w:rPr>
                <w:sz w:val="21"/>
              </w:rPr>
            </w:pPr>
            <w:r>
              <w:rPr>
                <w:sz w:val="21"/>
              </w:rPr>
              <w:t>2.3</w:t>
            </w:r>
          </w:p>
        </w:tc>
        <w:tc>
          <w:tcPr>
            <w:tcW w:w="1183" w:type="dxa"/>
            <w:tcBorders>
              <w:top w:val="nil"/>
              <w:left w:val="single" w:sz="6" w:space="0" w:color="auto"/>
              <w:bottom w:val="single" w:sz="6" w:space="0" w:color="auto"/>
              <w:right w:val="single" w:sz="6" w:space="0" w:color="auto"/>
            </w:tcBorders>
          </w:tcPr>
          <w:p w:rsidR="00000000" w:rsidRDefault="000C45AD">
            <w:pPr>
              <w:tabs>
                <w:tab w:val="clear" w:pos="510"/>
                <w:tab w:val="clear" w:pos="1021"/>
                <w:tab w:val="clear" w:pos="1531"/>
                <w:tab w:val="clear" w:pos="2041"/>
                <w:tab w:val="decimal" w:pos="692"/>
              </w:tabs>
              <w:spacing w:line="288" w:lineRule="auto"/>
              <w:rPr>
                <w:sz w:val="21"/>
              </w:rPr>
            </w:pPr>
            <w:r>
              <w:rPr>
                <w:sz w:val="21"/>
              </w:rPr>
              <w:t>2.4</w:t>
            </w:r>
          </w:p>
        </w:tc>
        <w:tc>
          <w:tcPr>
            <w:tcW w:w="1183" w:type="dxa"/>
            <w:tcBorders>
              <w:left w:val="nil"/>
            </w:tcBorders>
          </w:tcPr>
          <w:p w:rsidR="00000000" w:rsidRDefault="000C45AD">
            <w:pPr>
              <w:tabs>
                <w:tab w:val="clear" w:pos="510"/>
                <w:tab w:val="clear" w:pos="1021"/>
                <w:tab w:val="clear" w:pos="1531"/>
                <w:tab w:val="clear" w:pos="2041"/>
                <w:tab w:val="decimal" w:pos="692"/>
              </w:tabs>
              <w:spacing w:line="288" w:lineRule="auto"/>
              <w:rPr>
                <w:sz w:val="21"/>
              </w:rPr>
            </w:pPr>
            <w:r>
              <w:rPr>
                <w:sz w:val="21"/>
              </w:rPr>
              <w:t>3.0</w:t>
            </w:r>
          </w:p>
        </w:tc>
      </w:tr>
    </w:tbl>
    <w:p w:rsidR="00000000" w:rsidRDefault="000C45AD">
      <w:pPr>
        <w:pStyle w:val="FootnoteText"/>
        <w:spacing w:before="240" w:after="120"/>
        <w:ind w:left="1021" w:hanging="720"/>
        <w:textAlignment w:val="center"/>
      </w:pPr>
      <w:r>
        <w:rPr>
          <w:rFonts w:hint="eastAsia"/>
          <w:u w:val="single"/>
        </w:rPr>
        <w:t>来源</w:t>
      </w:r>
      <w:r>
        <w:rPr>
          <w:rFonts w:hint="eastAsia"/>
        </w:rPr>
        <w:t>：社会事务部，</w:t>
      </w:r>
      <w:r>
        <w:t>1996</w:t>
      </w:r>
      <w:r>
        <w:rPr>
          <w:rFonts w:hint="eastAsia"/>
        </w:rPr>
        <w:t>年</w:t>
      </w:r>
      <w:r>
        <w:t>7</w:t>
      </w:r>
      <w:r>
        <w:rPr>
          <w:rFonts w:hint="eastAsia"/>
        </w:rPr>
        <w:t>月：《社会政策：社会发展与消除贫困》，洪都拉斯共和国政府。</w:t>
      </w:r>
    </w:p>
    <w:p w:rsidR="00000000" w:rsidRDefault="000C45AD">
      <w:pPr>
        <w:spacing w:after="120"/>
        <w:textAlignment w:val="center"/>
      </w:pPr>
      <w:r>
        <w:tab/>
        <w:t>(</w:t>
      </w:r>
      <w:r>
        <w:rPr>
          <w:rFonts w:hint="eastAsia"/>
        </w:rPr>
        <w:t>注：教育和保健开支包括</w:t>
      </w:r>
      <w:r>
        <w:t>FHIS</w:t>
      </w:r>
      <w:r>
        <w:rPr>
          <w:rFonts w:hint="eastAsia"/>
        </w:rPr>
        <w:t>和</w:t>
      </w:r>
      <w:r>
        <w:t>PRAF</w:t>
      </w:r>
      <w:r>
        <w:rPr>
          <w:rFonts w:hint="eastAsia"/>
        </w:rPr>
        <w:t>基金</w:t>
      </w:r>
      <w:r>
        <w:t>)</w:t>
      </w:r>
    </w:p>
    <w:p w:rsidR="00000000" w:rsidRDefault="000C45AD">
      <w:r>
        <w:tab/>
        <w:t xml:space="preserve">220.  </w:t>
      </w:r>
      <w:r>
        <w:rPr>
          <w:rFonts w:hint="eastAsia"/>
        </w:rPr>
        <w:t>从国家预算拨给此项服务的财政资源的数额可以看到政府给予卫生保健特别优先考虑。但是，尽管自第二次“人人享有健康”评估以来，实现了比较稳</w:t>
      </w:r>
      <w:r>
        <w:rPr>
          <w:rFonts w:hint="eastAsia"/>
        </w:rPr>
        <w:t>定的增长，但覆盖面仍然不能满足以下各种情况所产生的各种需求：该国目前流行病转移阶段产生的需求，一般性疾病和其他卫生保健问题，特别是艾滋病和霍乱等发病率增长和其他慢性病引起的需求。</w:t>
      </w:r>
    </w:p>
    <w:p w:rsidR="00000000" w:rsidRDefault="000C45AD">
      <w:r>
        <w:tab/>
        <w:t xml:space="preserve">221.  </w:t>
      </w:r>
      <w:r>
        <w:rPr>
          <w:rFonts w:hint="eastAsia"/>
        </w:rPr>
        <w:t>拨给初级卫生保健的开支包括以下几种基金：环境卫生方案</w:t>
      </w:r>
      <w:r>
        <w:t>(</w:t>
      </w:r>
      <w:r>
        <w:rPr>
          <w:rFonts w:hint="eastAsia"/>
        </w:rPr>
        <w:t>包括自然资源部</w:t>
      </w:r>
      <w:r>
        <w:t>)</w:t>
      </w:r>
      <w:r>
        <w:rPr>
          <w:rFonts w:hint="eastAsia"/>
        </w:rPr>
        <w:t>、保健促进、传染病治疗、门诊咨询、投资资金、和设备购置。</w:t>
      </w:r>
    </w:p>
    <w:p w:rsidR="00000000" w:rsidRDefault="000C45AD">
      <w:r>
        <w:tab/>
        <w:t xml:space="preserve">222.  </w:t>
      </w:r>
      <w:r>
        <w:rPr>
          <w:rFonts w:hint="eastAsia"/>
        </w:rPr>
        <w:t>这一项之下的开支总额在</w:t>
      </w:r>
      <w:r>
        <w:t>1990</w:t>
      </w:r>
      <w:r>
        <w:rPr>
          <w:rFonts w:hint="eastAsia"/>
        </w:rPr>
        <w:t>—</w:t>
      </w:r>
      <w:r>
        <w:t>1996</w:t>
      </w:r>
      <w:r>
        <w:rPr>
          <w:rFonts w:hint="eastAsia"/>
        </w:rPr>
        <w:t>年之间徘徊在全国卫生预算的</w:t>
      </w:r>
      <w:r>
        <w:t>52.1%</w:t>
      </w:r>
      <w:r>
        <w:rPr>
          <w:rFonts w:hint="eastAsia"/>
        </w:rPr>
        <w:t>至</w:t>
      </w:r>
      <w:r>
        <w:t>67.2%</w:t>
      </w:r>
      <w:r>
        <w:rPr>
          <w:rFonts w:hint="eastAsia"/>
        </w:rPr>
        <w:t>之间。</w:t>
      </w:r>
    </w:p>
    <w:p w:rsidR="00000000" w:rsidRDefault="000C45AD">
      <w:pPr>
        <w:pStyle w:val="Heading3"/>
        <w:spacing w:before="320"/>
        <w:textAlignment w:val="center"/>
      </w:pPr>
      <w:r>
        <w:rPr>
          <w:rFonts w:hint="eastAsia"/>
        </w:rPr>
        <w:t>初级保健开支在卫生预算中所占比例</w:t>
      </w:r>
      <w:r>
        <w:br/>
        <w:t>1990</w:t>
      </w:r>
      <w:r>
        <w:rPr>
          <w:rFonts w:hint="eastAsia"/>
        </w:rPr>
        <w:t>—</w:t>
      </w:r>
      <w:r>
        <w:t>1996</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468"/>
        <w:gridCol w:w="1134"/>
        <w:gridCol w:w="1134"/>
        <w:gridCol w:w="1134"/>
        <w:gridCol w:w="1134"/>
        <w:gridCol w:w="1134"/>
        <w:gridCol w:w="1134"/>
        <w:gridCol w:w="1134"/>
      </w:tblGrid>
      <w:tr w:rsidR="00000000">
        <w:tblPrEx>
          <w:tblCellMar>
            <w:top w:w="0" w:type="dxa"/>
            <w:bottom w:w="0" w:type="dxa"/>
          </w:tblCellMar>
        </w:tblPrEx>
        <w:tc>
          <w:tcPr>
            <w:tcW w:w="1468" w:type="dxa"/>
            <w:tcBorders>
              <w:top w:val="single" w:sz="6" w:space="0" w:color="auto"/>
              <w:bottom w:val="single" w:sz="6" w:space="0" w:color="auto"/>
              <w:right w:val="nil"/>
            </w:tcBorders>
          </w:tcPr>
          <w:p w:rsidR="00000000" w:rsidRDefault="000C45AD">
            <w:pPr>
              <w:spacing w:before="120" w:after="40" w:line="288" w:lineRule="auto"/>
              <w:ind w:left="284"/>
              <w:jc w:val="left"/>
              <w:rPr>
                <w:sz w:val="21"/>
              </w:rPr>
            </w:pPr>
            <w:r>
              <w:rPr>
                <w:rFonts w:hint="eastAsia"/>
                <w:sz w:val="21"/>
              </w:rPr>
              <w:t>种类</w:t>
            </w:r>
          </w:p>
        </w:tc>
        <w:tc>
          <w:tcPr>
            <w:tcW w:w="1134" w:type="dxa"/>
            <w:tcBorders>
              <w:top w:val="single" w:sz="6" w:space="0" w:color="auto"/>
              <w:left w:val="single" w:sz="6" w:space="0" w:color="auto"/>
              <w:bottom w:val="single" w:sz="6" w:space="0" w:color="auto"/>
              <w:right w:val="single" w:sz="6" w:space="0" w:color="auto"/>
            </w:tcBorders>
          </w:tcPr>
          <w:p w:rsidR="00000000" w:rsidRDefault="000C45AD">
            <w:pPr>
              <w:spacing w:before="120" w:after="40" w:line="288" w:lineRule="auto"/>
              <w:jc w:val="center"/>
              <w:rPr>
                <w:sz w:val="21"/>
              </w:rPr>
            </w:pPr>
            <w:r>
              <w:rPr>
                <w:sz w:val="21"/>
              </w:rPr>
              <w:t>1990</w:t>
            </w:r>
          </w:p>
        </w:tc>
        <w:tc>
          <w:tcPr>
            <w:tcW w:w="1134" w:type="dxa"/>
            <w:tcBorders>
              <w:top w:val="single" w:sz="6" w:space="0" w:color="auto"/>
              <w:left w:val="nil"/>
              <w:bottom w:val="single" w:sz="6" w:space="0" w:color="auto"/>
              <w:right w:val="nil"/>
            </w:tcBorders>
          </w:tcPr>
          <w:p w:rsidR="00000000" w:rsidRDefault="000C45AD">
            <w:pPr>
              <w:spacing w:before="120" w:after="40" w:line="288" w:lineRule="auto"/>
              <w:jc w:val="center"/>
              <w:rPr>
                <w:sz w:val="21"/>
              </w:rPr>
            </w:pPr>
            <w:r>
              <w:rPr>
                <w:sz w:val="21"/>
              </w:rPr>
              <w:t>1991</w:t>
            </w:r>
          </w:p>
        </w:tc>
        <w:tc>
          <w:tcPr>
            <w:tcW w:w="1134" w:type="dxa"/>
            <w:tcBorders>
              <w:top w:val="single" w:sz="6" w:space="0" w:color="auto"/>
              <w:left w:val="single" w:sz="6" w:space="0" w:color="auto"/>
              <w:bottom w:val="single" w:sz="6" w:space="0" w:color="auto"/>
              <w:right w:val="single" w:sz="6" w:space="0" w:color="auto"/>
            </w:tcBorders>
          </w:tcPr>
          <w:p w:rsidR="00000000" w:rsidRDefault="000C45AD">
            <w:pPr>
              <w:spacing w:before="120" w:after="40" w:line="288" w:lineRule="auto"/>
              <w:jc w:val="center"/>
              <w:rPr>
                <w:sz w:val="21"/>
              </w:rPr>
            </w:pPr>
            <w:r>
              <w:rPr>
                <w:sz w:val="21"/>
              </w:rPr>
              <w:t>1992</w:t>
            </w:r>
          </w:p>
        </w:tc>
        <w:tc>
          <w:tcPr>
            <w:tcW w:w="1134" w:type="dxa"/>
            <w:tcBorders>
              <w:top w:val="single" w:sz="6" w:space="0" w:color="auto"/>
              <w:left w:val="nil"/>
              <w:bottom w:val="single" w:sz="6" w:space="0" w:color="auto"/>
              <w:right w:val="nil"/>
            </w:tcBorders>
          </w:tcPr>
          <w:p w:rsidR="00000000" w:rsidRDefault="000C45AD">
            <w:pPr>
              <w:spacing w:before="120" w:after="40" w:line="288" w:lineRule="auto"/>
              <w:jc w:val="center"/>
              <w:rPr>
                <w:sz w:val="21"/>
              </w:rPr>
            </w:pPr>
            <w:r>
              <w:rPr>
                <w:sz w:val="21"/>
              </w:rPr>
              <w:t>1993</w:t>
            </w:r>
          </w:p>
        </w:tc>
        <w:tc>
          <w:tcPr>
            <w:tcW w:w="1134" w:type="dxa"/>
            <w:tcBorders>
              <w:top w:val="single" w:sz="6" w:space="0" w:color="auto"/>
              <w:left w:val="single" w:sz="6" w:space="0" w:color="auto"/>
              <w:bottom w:val="single" w:sz="6" w:space="0" w:color="auto"/>
              <w:right w:val="single" w:sz="6" w:space="0" w:color="auto"/>
            </w:tcBorders>
          </w:tcPr>
          <w:p w:rsidR="00000000" w:rsidRDefault="000C45AD">
            <w:pPr>
              <w:spacing w:before="120" w:after="40" w:line="288" w:lineRule="auto"/>
              <w:jc w:val="center"/>
              <w:rPr>
                <w:sz w:val="21"/>
              </w:rPr>
            </w:pPr>
            <w:r>
              <w:rPr>
                <w:sz w:val="21"/>
              </w:rPr>
              <w:t>1994</w:t>
            </w:r>
          </w:p>
        </w:tc>
        <w:tc>
          <w:tcPr>
            <w:tcW w:w="1134" w:type="dxa"/>
            <w:tcBorders>
              <w:top w:val="single" w:sz="6" w:space="0" w:color="auto"/>
              <w:left w:val="nil"/>
              <w:bottom w:val="single" w:sz="6" w:space="0" w:color="auto"/>
              <w:right w:val="nil"/>
            </w:tcBorders>
          </w:tcPr>
          <w:p w:rsidR="00000000" w:rsidRDefault="000C45AD">
            <w:pPr>
              <w:spacing w:before="120" w:after="40" w:line="288" w:lineRule="auto"/>
              <w:jc w:val="center"/>
              <w:rPr>
                <w:sz w:val="21"/>
              </w:rPr>
            </w:pPr>
            <w:r>
              <w:rPr>
                <w:sz w:val="21"/>
              </w:rPr>
              <w:t>1995</w:t>
            </w:r>
          </w:p>
        </w:tc>
        <w:tc>
          <w:tcPr>
            <w:tcW w:w="1134" w:type="dxa"/>
            <w:tcBorders>
              <w:top w:val="single" w:sz="6" w:space="0" w:color="auto"/>
              <w:left w:val="single" w:sz="6" w:space="0" w:color="auto"/>
              <w:bottom w:val="single" w:sz="6" w:space="0" w:color="auto"/>
            </w:tcBorders>
          </w:tcPr>
          <w:p w:rsidR="00000000" w:rsidRDefault="000C45AD">
            <w:pPr>
              <w:spacing w:before="120" w:after="40" w:line="288" w:lineRule="auto"/>
              <w:jc w:val="center"/>
              <w:rPr>
                <w:sz w:val="21"/>
              </w:rPr>
            </w:pPr>
            <w:r>
              <w:rPr>
                <w:sz w:val="21"/>
              </w:rPr>
              <w:t>1996</w:t>
            </w:r>
          </w:p>
        </w:tc>
      </w:tr>
      <w:tr w:rsidR="00000000">
        <w:tblPrEx>
          <w:tblCellMar>
            <w:top w:w="0" w:type="dxa"/>
            <w:bottom w:w="0" w:type="dxa"/>
          </w:tblCellMar>
        </w:tblPrEx>
        <w:tc>
          <w:tcPr>
            <w:tcW w:w="1468" w:type="dxa"/>
            <w:tcBorders>
              <w:top w:val="nil"/>
              <w:right w:val="nil"/>
            </w:tcBorders>
          </w:tcPr>
          <w:p w:rsidR="00000000" w:rsidRDefault="000C45AD">
            <w:pPr>
              <w:spacing w:before="120" w:line="288" w:lineRule="auto"/>
              <w:ind w:left="113"/>
              <w:rPr>
                <w:sz w:val="21"/>
              </w:rPr>
            </w:pPr>
            <w:r>
              <w:rPr>
                <w:rFonts w:hint="eastAsia"/>
                <w:sz w:val="21"/>
              </w:rPr>
              <w:t>预算</w:t>
            </w:r>
          </w:p>
        </w:tc>
        <w:tc>
          <w:tcPr>
            <w:tcW w:w="1134"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572"/>
              </w:tabs>
              <w:spacing w:before="120" w:line="288" w:lineRule="auto"/>
              <w:rPr>
                <w:sz w:val="21"/>
              </w:rPr>
            </w:pPr>
            <w:r>
              <w:rPr>
                <w:sz w:val="21"/>
              </w:rPr>
              <w:t>451.1</w:t>
            </w:r>
          </w:p>
        </w:tc>
        <w:tc>
          <w:tcPr>
            <w:tcW w:w="1134" w:type="dxa"/>
            <w:tcBorders>
              <w:top w:val="nil"/>
              <w:left w:val="nil"/>
              <w:right w:val="nil"/>
            </w:tcBorders>
          </w:tcPr>
          <w:p w:rsidR="00000000" w:rsidRDefault="000C45AD">
            <w:pPr>
              <w:tabs>
                <w:tab w:val="clear" w:pos="510"/>
                <w:tab w:val="clear" w:pos="1021"/>
                <w:tab w:val="clear" w:pos="1531"/>
                <w:tab w:val="clear" w:pos="2041"/>
                <w:tab w:val="decimal" w:pos="572"/>
              </w:tabs>
              <w:spacing w:before="120" w:line="288" w:lineRule="auto"/>
              <w:rPr>
                <w:sz w:val="21"/>
              </w:rPr>
            </w:pPr>
            <w:r>
              <w:rPr>
                <w:sz w:val="21"/>
              </w:rPr>
              <w:t>418.0</w:t>
            </w:r>
          </w:p>
        </w:tc>
        <w:tc>
          <w:tcPr>
            <w:tcW w:w="1134"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572"/>
              </w:tabs>
              <w:spacing w:before="120" w:line="288" w:lineRule="auto"/>
              <w:rPr>
                <w:sz w:val="21"/>
              </w:rPr>
            </w:pPr>
            <w:r>
              <w:rPr>
                <w:sz w:val="21"/>
              </w:rPr>
              <w:t>491.6</w:t>
            </w:r>
          </w:p>
        </w:tc>
        <w:tc>
          <w:tcPr>
            <w:tcW w:w="1134" w:type="dxa"/>
            <w:tcBorders>
              <w:top w:val="nil"/>
              <w:left w:val="nil"/>
              <w:right w:val="nil"/>
            </w:tcBorders>
          </w:tcPr>
          <w:p w:rsidR="00000000" w:rsidRDefault="000C45AD">
            <w:pPr>
              <w:tabs>
                <w:tab w:val="clear" w:pos="510"/>
                <w:tab w:val="clear" w:pos="1021"/>
                <w:tab w:val="clear" w:pos="1531"/>
                <w:tab w:val="clear" w:pos="2041"/>
                <w:tab w:val="decimal" w:pos="572"/>
              </w:tabs>
              <w:spacing w:before="120" w:line="288" w:lineRule="auto"/>
              <w:rPr>
                <w:sz w:val="21"/>
              </w:rPr>
            </w:pPr>
            <w:r>
              <w:rPr>
                <w:sz w:val="21"/>
              </w:rPr>
              <w:t>612.5</w:t>
            </w:r>
          </w:p>
        </w:tc>
        <w:tc>
          <w:tcPr>
            <w:tcW w:w="1134"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572"/>
              </w:tabs>
              <w:spacing w:before="120" w:line="288" w:lineRule="auto"/>
              <w:rPr>
                <w:sz w:val="21"/>
              </w:rPr>
            </w:pPr>
            <w:r>
              <w:rPr>
                <w:sz w:val="21"/>
              </w:rPr>
              <w:t>645.0</w:t>
            </w:r>
          </w:p>
        </w:tc>
        <w:tc>
          <w:tcPr>
            <w:tcW w:w="1134" w:type="dxa"/>
            <w:tcBorders>
              <w:top w:val="nil"/>
              <w:left w:val="nil"/>
              <w:right w:val="nil"/>
            </w:tcBorders>
          </w:tcPr>
          <w:p w:rsidR="00000000" w:rsidRDefault="000C45AD">
            <w:pPr>
              <w:tabs>
                <w:tab w:val="clear" w:pos="510"/>
                <w:tab w:val="clear" w:pos="1021"/>
                <w:tab w:val="clear" w:pos="1531"/>
                <w:tab w:val="clear" w:pos="2041"/>
                <w:tab w:val="decimal" w:pos="572"/>
              </w:tabs>
              <w:spacing w:before="120" w:line="288" w:lineRule="auto"/>
              <w:rPr>
                <w:sz w:val="21"/>
              </w:rPr>
            </w:pPr>
            <w:r>
              <w:rPr>
                <w:sz w:val="21"/>
              </w:rPr>
              <w:t>1,017.5</w:t>
            </w:r>
          </w:p>
        </w:tc>
        <w:tc>
          <w:tcPr>
            <w:tcW w:w="1134" w:type="dxa"/>
            <w:tcBorders>
              <w:top w:val="nil"/>
              <w:left w:val="single" w:sz="6" w:space="0" w:color="auto"/>
              <w:bottom w:val="nil"/>
            </w:tcBorders>
          </w:tcPr>
          <w:p w:rsidR="00000000" w:rsidRDefault="000C45AD">
            <w:pPr>
              <w:tabs>
                <w:tab w:val="clear" w:pos="510"/>
                <w:tab w:val="clear" w:pos="1021"/>
                <w:tab w:val="clear" w:pos="1531"/>
                <w:tab w:val="clear" w:pos="2041"/>
                <w:tab w:val="decimal" w:pos="572"/>
              </w:tabs>
              <w:spacing w:before="120" w:line="288" w:lineRule="auto"/>
              <w:rPr>
                <w:sz w:val="21"/>
              </w:rPr>
            </w:pPr>
            <w:r>
              <w:rPr>
                <w:sz w:val="21"/>
              </w:rPr>
              <w:t>1,103.0</w:t>
            </w:r>
          </w:p>
        </w:tc>
      </w:tr>
      <w:tr w:rsidR="00000000">
        <w:tblPrEx>
          <w:tblCellMar>
            <w:top w:w="0" w:type="dxa"/>
            <w:bottom w:w="0" w:type="dxa"/>
          </w:tblCellMar>
        </w:tblPrEx>
        <w:tc>
          <w:tcPr>
            <w:tcW w:w="1468" w:type="dxa"/>
            <w:tcBorders>
              <w:right w:val="nil"/>
            </w:tcBorders>
          </w:tcPr>
          <w:p w:rsidR="00000000" w:rsidRDefault="000C45AD">
            <w:pPr>
              <w:spacing w:line="288" w:lineRule="auto"/>
              <w:ind w:left="113"/>
              <w:rPr>
                <w:sz w:val="21"/>
              </w:rPr>
            </w:pPr>
            <w:r>
              <w:rPr>
                <w:rFonts w:hint="eastAsia"/>
                <w:sz w:val="21"/>
              </w:rPr>
              <w:t>初级保健</w:t>
            </w:r>
          </w:p>
        </w:tc>
        <w:tc>
          <w:tcPr>
            <w:tcW w:w="1134"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572"/>
              </w:tabs>
              <w:spacing w:line="288" w:lineRule="auto"/>
              <w:rPr>
                <w:sz w:val="21"/>
              </w:rPr>
            </w:pPr>
            <w:r>
              <w:rPr>
                <w:sz w:val="21"/>
              </w:rPr>
              <w:t>244.1</w:t>
            </w:r>
          </w:p>
        </w:tc>
        <w:tc>
          <w:tcPr>
            <w:tcW w:w="1134" w:type="dxa"/>
            <w:tcBorders>
              <w:left w:val="nil"/>
              <w:right w:val="nil"/>
            </w:tcBorders>
          </w:tcPr>
          <w:p w:rsidR="00000000" w:rsidRDefault="000C45AD">
            <w:pPr>
              <w:tabs>
                <w:tab w:val="clear" w:pos="510"/>
                <w:tab w:val="clear" w:pos="1021"/>
                <w:tab w:val="clear" w:pos="1531"/>
                <w:tab w:val="clear" w:pos="2041"/>
                <w:tab w:val="decimal" w:pos="572"/>
              </w:tabs>
              <w:spacing w:line="288" w:lineRule="auto"/>
              <w:rPr>
                <w:sz w:val="21"/>
              </w:rPr>
            </w:pPr>
            <w:r>
              <w:rPr>
                <w:sz w:val="21"/>
              </w:rPr>
              <w:t>256.5</w:t>
            </w:r>
          </w:p>
        </w:tc>
        <w:tc>
          <w:tcPr>
            <w:tcW w:w="1134"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572"/>
              </w:tabs>
              <w:spacing w:line="288" w:lineRule="auto"/>
              <w:rPr>
                <w:sz w:val="21"/>
              </w:rPr>
            </w:pPr>
            <w:r>
              <w:rPr>
                <w:sz w:val="21"/>
              </w:rPr>
              <w:t>276.3</w:t>
            </w:r>
          </w:p>
        </w:tc>
        <w:tc>
          <w:tcPr>
            <w:tcW w:w="1134" w:type="dxa"/>
            <w:tcBorders>
              <w:left w:val="nil"/>
              <w:right w:val="nil"/>
            </w:tcBorders>
          </w:tcPr>
          <w:p w:rsidR="00000000" w:rsidRDefault="000C45AD">
            <w:pPr>
              <w:tabs>
                <w:tab w:val="clear" w:pos="510"/>
                <w:tab w:val="clear" w:pos="1021"/>
                <w:tab w:val="clear" w:pos="1531"/>
                <w:tab w:val="clear" w:pos="2041"/>
                <w:tab w:val="decimal" w:pos="572"/>
              </w:tabs>
              <w:spacing w:line="288" w:lineRule="auto"/>
              <w:rPr>
                <w:sz w:val="21"/>
              </w:rPr>
            </w:pPr>
            <w:r>
              <w:rPr>
                <w:sz w:val="21"/>
              </w:rPr>
              <w:t>361.5</w:t>
            </w:r>
          </w:p>
        </w:tc>
        <w:tc>
          <w:tcPr>
            <w:tcW w:w="1134" w:type="dxa"/>
            <w:tcBorders>
              <w:top w:val="nil"/>
              <w:left w:val="single" w:sz="6" w:space="0" w:color="auto"/>
              <w:bottom w:val="nil"/>
              <w:right w:val="single" w:sz="6" w:space="0" w:color="auto"/>
            </w:tcBorders>
          </w:tcPr>
          <w:p w:rsidR="00000000" w:rsidRDefault="000C45AD">
            <w:pPr>
              <w:tabs>
                <w:tab w:val="clear" w:pos="510"/>
                <w:tab w:val="clear" w:pos="1021"/>
                <w:tab w:val="clear" w:pos="1531"/>
                <w:tab w:val="clear" w:pos="2041"/>
                <w:tab w:val="decimal" w:pos="572"/>
              </w:tabs>
              <w:spacing w:line="288" w:lineRule="auto"/>
              <w:rPr>
                <w:sz w:val="21"/>
              </w:rPr>
            </w:pPr>
            <w:r>
              <w:rPr>
                <w:sz w:val="21"/>
              </w:rPr>
              <w:t>336.0</w:t>
            </w:r>
          </w:p>
        </w:tc>
        <w:tc>
          <w:tcPr>
            <w:tcW w:w="1134" w:type="dxa"/>
            <w:tcBorders>
              <w:left w:val="nil"/>
              <w:right w:val="nil"/>
            </w:tcBorders>
          </w:tcPr>
          <w:p w:rsidR="00000000" w:rsidRDefault="000C45AD">
            <w:pPr>
              <w:tabs>
                <w:tab w:val="clear" w:pos="510"/>
                <w:tab w:val="clear" w:pos="1021"/>
                <w:tab w:val="clear" w:pos="1531"/>
                <w:tab w:val="clear" w:pos="2041"/>
                <w:tab w:val="decimal" w:pos="572"/>
              </w:tabs>
              <w:spacing w:line="288" w:lineRule="auto"/>
              <w:rPr>
                <w:sz w:val="21"/>
              </w:rPr>
            </w:pPr>
            <w:r>
              <w:rPr>
                <w:sz w:val="21"/>
              </w:rPr>
              <w:t>721.6</w:t>
            </w:r>
          </w:p>
        </w:tc>
        <w:tc>
          <w:tcPr>
            <w:tcW w:w="1134" w:type="dxa"/>
            <w:tcBorders>
              <w:top w:val="nil"/>
              <w:left w:val="single" w:sz="6" w:space="0" w:color="auto"/>
              <w:bottom w:val="nil"/>
            </w:tcBorders>
          </w:tcPr>
          <w:p w:rsidR="00000000" w:rsidRDefault="000C45AD">
            <w:pPr>
              <w:tabs>
                <w:tab w:val="clear" w:pos="510"/>
                <w:tab w:val="clear" w:pos="1021"/>
                <w:tab w:val="clear" w:pos="1531"/>
                <w:tab w:val="clear" w:pos="2041"/>
                <w:tab w:val="decimal" w:pos="572"/>
              </w:tabs>
              <w:spacing w:line="288" w:lineRule="auto"/>
              <w:rPr>
                <w:sz w:val="21"/>
              </w:rPr>
            </w:pPr>
            <w:r>
              <w:rPr>
                <w:sz w:val="21"/>
              </w:rPr>
              <w:t>610.6</w:t>
            </w:r>
          </w:p>
        </w:tc>
      </w:tr>
      <w:tr w:rsidR="00000000">
        <w:tblPrEx>
          <w:tblCellMar>
            <w:top w:w="0" w:type="dxa"/>
            <w:bottom w:w="0" w:type="dxa"/>
          </w:tblCellMar>
        </w:tblPrEx>
        <w:tc>
          <w:tcPr>
            <w:tcW w:w="1468" w:type="dxa"/>
            <w:tcBorders>
              <w:right w:val="nil"/>
            </w:tcBorders>
          </w:tcPr>
          <w:p w:rsidR="00000000" w:rsidRDefault="000C45AD">
            <w:pPr>
              <w:spacing w:line="288" w:lineRule="auto"/>
              <w:ind w:left="113"/>
              <w:rPr>
                <w:sz w:val="21"/>
              </w:rPr>
            </w:pPr>
            <w:r>
              <w:rPr>
                <w:rFonts w:hint="eastAsia"/>
                <w:sz w:val="21"/>
              </w:rPr>
              <w:t>比率</w:t>
            </w:r>
            <w:r>
              <w:rPr>
                <w:sz w:val="21"/>
              </w:rPr>
              <w:t>(%)</w:t>
            </w:r>
          </w:p>
        </w:tc>
        <w:tc>
          <w:tcPr>
            <w:tcW w:w="1134" w:type="dxa"/>
            <w:tcBorders>
              <w:top w:val="nil"/>
              <w:left w:val="single" w:sz="6" w:space="0" w:color="auto"/>
              <w:bottom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line="288" w:lineRule="auto"/>
              <w:rPr>
                <w:sz w:val="21"/>
              </w:rPr>
            </w:pPr>
            <w:r>
              <w:rPr>
                <w:sz w:val="21"/>
              </w:rPr>
              <w:t>54.12</w:t>
            </w:r>
          </w:p>
        </w:tc>
        <w:tc>
          <w:tcPr>
            <w:tcW w:w="1134" w:type="dxa"/>
            <w:tcBorders>
              <w:left w:val="nil"/>
              <w:right w:val="nil"/>
            </w:tcBorders>
          </w:tcPr>
          <w:p w:rsidR="00000000" w:rsidRDefault="000C45AD">
            <w:pPr>
              <w:tabs>
                <w:tab w:val="clear" w:pos="510"/>
                <w:tab w:val="clear" w:pos="1021"/>
                <w:tab w:val="clear" w:pos="1531"/>
                <w:tab w:val="clear" w:pos="2041"/>
                <w:tab w:val="decimal" w:pos="572"/>
              </w:tabs>
              <w:spacing w:line="288" w:lineRule="auto"/>
              <w:rPr>
                <w:sz w:val="21"/>
              </w:rPr>
            </w:pPr>
            <w:r>
              <w:rPr>
                <w:sz w:val="21"/>
              </w:rPr>
              <w:t>61.36</w:t>
            </w:r>
          </w:p>
        </w:tc>
        <w:tc>
          <w:tcPr>
            <w:tcW w:w="1134" w:type="dxa"/>
            <w:tcBorders>
              <w:top w:val="nil"/>
              <w:left w:val="single" w:sz="6" w:space="0" w:color="auto"/>
              <w:bottom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line="288" w:lineRule="auto"/>
              <w:rPr>
                <w:sz w:val="21"/>
              </w:rPr>
            </w:pPr>
            <w:r>
              <w:rPr>
                <w:sz w:val="21"/>
              </w:rPr>
              <w:t>56.20</w:t>
            </w:r>
          </w:p>
        </w:tc>
        <w:tc>
          <w:tcPr>
            <w:tcW w:w="1134" w:type="dxa"/>
            <w:tcBorders>
              <w:left w:val="nil"/>
              <w:right w:val="nil"/>
            </w:tcBorders>
          </w:tcPr>
          <w:p w:rsidR="00000000" w:rsidRDefault="000C45AD">
            <w:pPr>
              <w:tabs>
                <w:tab w:val="clear" w:pos="510"/>
                <w:tab w:val="clear" w:pos="1021"/>
                <w:tab w:val="clear" w:pos="1531"/>
                <w:tab w:val="clear" w:pos="2041"/>
                <w:tab w:val="decimal" w:pos="572"/>
              </w:tabs>
              <w:spacing w:line="288" w:lineRule="auto"/>
              <w:rPr>
                <w:sz w:val="21"/>
              </w:rPr>
            </w:pPr>
            <w:r>
              <w:rPr>
                <w:sz w:val="21"/>
              </w:rPr>
              <w:t>59.02</w:t>
            </w:r>
          </w:p>
        </w:tc>
        <w:tc>
          <w:tcPr>
            <w:tcW w:w="1134" w:type="dxa"/>
            <w:tcBorders>
              <w:top w:val="nil"/>
              <w:left w:val="single" w:sz="6" w:space="0" w:color="auto"/>
              <w:bottom w:val="single" w:sz="6" w:space="0" w:color="auto"/>
              <w:right w:val="single" w:sz="6" w:space="0" w:color="auto"/>
            </w:tcBorders>
          </w:tcPr>
          <w:p w:rsidR="00000000" w:rsidRDefault="000C45AD">
            <w:pPr>
              <w:tabs>
                <w:tab w:val="clear" w:pos="510"/>
                <w:tab w:val="clear" w:pos="1021"/>
                <w:tab w:val="clear" w:pos="1531"/>
                <w:tab w:val="clear" w:pos="2041"/>
                <w:tab w:val="decimal" w:pos="572"/>
              </w:tabs>
              <w:spacing w:line="288" w:lineRule="auto"/>
              <w:rPr>
                <w:sz w:val="21"/>
              </w:rPr>
            </w:pPr>
            <w:r>
              <w:rPr>
                <w:sz w:val="21"/>
              </w:rPr>
              <w:t>52.10</w:t>
            </w:r>
          </w:p>
        </w:tc>
        <w:tc>
          <w:tcPr>
            <w:tcW w:w="1134" w:type="dxa"/>
            <w:tcBorders>
              <w:left w:val="nil"/>
              <w:right w:val="nil"/>
            </w:tcBorders>
          </w:tcPr>
          <w:p w:rsidR="00000000" w:rsidRDefault="000C45AD">
            <w:pPr>
              <w:tabs>
                <w:tab w:val="clear" w:pos="510"/>
                <w:tab w:val="clear" w:pos="1021"/>
                <w:tab w:val="clear" w:pos="1531"/>
                <w:tab w:val="clear" w:pos="2041"/>
                <w:tab w:val="decimal" w:pos="572"/>
              </w:tabs>
              <w:spacing w:line="288" w:lineRule="auto"/>
              <w:rPr>
                <w:sz w:val="21"/>
              </w:rPr>
            </w:pPr>
            <w:r>
              <w:rPr>
                <w:sz w:val="21"/>
              </w:rPr>
              <w:t>67.29</w:t>
            </w:r>
          </w:p>
        </w:tc>
        <w:tc>
          <w:tcPr>
            <w:tcW w:w="1134" w:type="dxa"/>
            <w:tcBorders>
              <w:top w:val="nil"/>
              <w:left w:val="single" w:sz="6" w:space="0" w:color="auto"/>
              <w:bottom w:val="single" w:sz="6" w:space="0" w:color="auto"/>
            </w:tcBorders>
          </w:tcPr>
          <w:p w:rsidR="00000000" w:rsidRDefault="000C45AD">
            <w:pPr>
              <w:tabs>
                <w:tab w:val="clear" w:pos="510"/>
                <w:tab w:val="clear" w:pos="1021"/>
                <w:tab w:val="clear" w:pos="1531"/>
                <w:tab w:val="clear" w:pos="2041"/>
                <w:tab w:val="decimal" w:pos="572"/>
              </w:tabs>
              <w:spacing w:line="288" w:lineRule="auto"/>
              <w:rPr>
                <w:sz w:val="21"/>
              </w:rPr>
            </w:pPr>
            <w:r>
              <w:rPr>
                <w:sz w:val="21"/>
              </w:rPr>
              <w:t>55.36</w:t>
            </w:r>
          </w:p>
        </w:tc>
      </w:tr>
    </w:tbl>
    <w:p w:rsidR="00000000" w:rsidRDefault="000C45AD"/>
    <w:p w:rsidR="00000000" w:rsidRDefault="000C45AD">
      <w:pPr>
        <w:pStyle w:val="Heading4"/>
      </w:pPr>
      <w:r>
        <w:rPr>
          <w:rFonts w:hint="eastAsia"/>
        </w:rPr>
        <w:t>主要卫生指标</w:t>
      </w:r>
    </w:p>
    <w:p w:rsidR="00000000" w:rsidRDefault="000C45AD">
      <w:pPr>
        <w:spacing w:after="320"/>
      </w:pPr>
      <w:r>
        <w:tab/>
        <w:t xml:space="preserve">223.  </w:t>
      </w:r>
      <w:r>
        <w:rPr>
          <w:rFonts w:hint="eastAsia"/>
        </w:rPr>
        <w:t>研究表明，该国的统计制度有严重的缺陷，包括在若干时期内有不同程度的登记不足。由于直接估算低估了死亡率，因此现有的死亡率是通过若干调查的非</w:t>
      </w:r>
      <w:r>
        <w:rPr>
          <w:rFonts w:hint="eastAsia"/>
        </w:rPr>
        <w:t>直接方法估算的。</w:t>
      </w:r>
    </w:p>
    <w:p w:rsidR="00000000" w:rsidRDefault="000C45AD">
      <w:pPr>
        <w:pStyle w:val="Heading3"/>
        <w:textAlignment w:val="center"/>
      </w:pPr>
      <w:r>
        <w:rPr>
          <w:rFonts w:hint="eastAsia"/>
        </w:rPr>
        <w:t>婴儿死亡率</w:t>
      </w:r>
    </w:p>
    <w:tbl>
      <w:tblPr>
        <w:tblW w:w="0" w:type="auto"/>
        <w:tblInd w:w="1082"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440"/>
        <w:gridCol w:w="1440"/>
        <w:gridCol w:w="1440"/>
        <w:gridCol w:w="1440"/>
        <w:gridCol w:w="2268"/>
      </w:tblGrid>
      <w:tr w:rsidR="00000000">
        <w:tblPrEx>
          <w:tblCellMar>
            <w:top w:w="0" w:type="dxa"/>
            <w:bottom w:w="0" w:type="dxa"/>
          </w:tblCellMar>
        </w:tblPrEx>
        <w:tc>
          <w:tcPr>
            <w:tcW w:w="1440" w:type="dxa"/>
            <w:tcBorders>
              <w:top w:val="single" w:sz="6" w:space="0" w:color="auto"/>
              <w:bottom w:val="single" w:sz="6" w:space="0" w:color="auto"/>
              <w:right w:val="nil"/>
            </w:tcBorders>
          </w:tcPr>
          <w:p w:rsidR="00000000" w:rsidRDefault="000C45AD">
            <w:pPr>
              <w:spacing w:before="120" w:after="40" w:line="288" w:lineRule="auto"/>
              <w:jc w:val="center"/>
              <w:rPr>
                <w:sz w:val="21"/>
              </w:rPr>
            </w:pPr>
            <w:r>
              <w:rPr>
                <w:rFonts w:hint="eastAsia"/>
                <w:sz w:val="21"/>
              </w:rPr>
              <w:t>年</w:t>
            </w:r>
          </w:p>
        </w:tc>
        <w:tc>
          <w:tcPr>
            <w:tcW w:w="1440" w:type="dxa"/>
            <w:tcBorders>
              <w:top w:val="single" w:sz="6" w:space="0" w:color="auto"/>
              <w:left w:val="single" w:sz="6" w:space="0" w:color="auto"/>
              <w:bottom w:val="single" w:sz="6" w:space="0" w:color="auto"/>
              <w:right w:val="single" w:sz="6" w:space="0" w:color="auto"/>
            </w:tcBorders>
          </w:tcPr>
          <w:p w:rsidR="00000000" w:rsidRDefault="000C45AD">
            <w:pPr>
              <w:spacing w:before="120" w:after="40" w:line="288" w:lineRule="auto"/>
              <w:jc w:val="center"/>
              <w:rPr>
                <w:sz w:val="21"/>
              </w:rPr>
            </w:pPr>
            <w:r>
              <w:rPr>
                <w:rFonts w:hint="eastAsia"/>
                <w:sz w:val="21"/>
              </w:rPr>
              <w:t>比</w:t>
            </w:r>
            <w:r>
              <w:rPr>
                <w:sz w:val="21"/>
              </w:rPr>
              <w:t xml:space="preserve"> </w:t>
            </w:r>
            <w:r>
              <w:rPr>
                <w:rFonts w:hint="eastAsia"/>
                <w:sz w:val="21"/>
              </w:rPr>
              <w:t>率</w:t>
            </w:r>
          </w:p>
        </w:tc>
        <w:tc>
          <w:tcPr>
            <w:tcW w:w="1440" w:type="dxa"/>
            <w:tcBorders>
              <w:top w:val="single" w:sz="6" w:space="0" w:color="auto"/>
              <w:left w:val="nil"/>
              <w:bottom w:val="single" w:sz="6" w:space="0" w:color="auto"/>
              <w:right w:val="nil"/>
            </w:tcBorders>
          </w:tcPr>
          <w:p w:rsidR="00000000" w:rsidRDefault="000C45AD">
            <w:pPr>
              <w:spacing w:before="120" w:after="40" w:line="288" w:lineRule="auto"/>
              <w:jc w:val="center"/>
              <w:rPr>
                <w:sz w:val="21"/>
              </w:rPr>
            </w:pPr>
            <w:r>
              <w:rPr>
                <w:rFonts w:hint="eastAsia"/>
                <w:sz w:val="21"/>
              </w:rPr>
              <w:t>城</w:t>
            </w:r>
            <w:r>
              <w:rPr>
                <w:sz w:val="21"/>
              </w:rPr>
              <w:t xml:space="preserve"> </w:t>
            </w:r>
            <w:r>
              <w:rPr>
                <w:rFonts w:hint="eastAsia"/>
                <w:sz w:val="21"/>
              </w:rPr>
              <w:t>市</w:t>
            </w:r>
          </w:p>
        </w:tc>
        <w:tc>
          <w:tcPr>
            <w:tcW w:w="1440" w:type="dxa"/>
            <w:tcBorders>
              <w:top w:val="single" w:sz="6" w:space="0" w:color="auto"/>
              <w:left w:val="single" w:sz="6" w:space="0" w:color="auto"/>
              <w:bottom w:val="single" w:sz="6" w:space="0" w:color="auto"/>
              <w:right w:val="single" w:sz="6" w:space="0" w:color="auto"/>
            </w:tcBorders>
          </w:tcPr>
          <w:p w:rsidR="00000000" w:rsidRDefault="000C45AD">
            <w:pPr>
              <w:spacing w:before="120" w:after="40" w:line="288" w:lineRule="auto"/>
              <w:jc w:val="center"/>
              <w:rPr>
                <w:sz w:val="21"/>
              </w:rPr>
            </w:pPr>
            <w:r>
              <w:rPr>
                <w:rFonts w:hint="eastAsia"/>
                <w:sz w:val="21"/>
              </w:rPr>
              <w:t>农</w:t>
            </w:r>
            <w:r>
              <w:rPr>
                <w:sz w:val="21"/>
              </w:rPr>
              <w:t xml:space="preserve"> </w:t>
            </w:r>
            <w:r>
              <w:rPr>
                <w:rFonts w:hint="eastAsia"/>
                <w:sz w:val="21"/>
              </w:rPr>
              <w:t>村</w:t>
            </w:r>
          </w:p>
        </w:tc>
        <w:tc>
          <w:tcPr>
            <w:tcW w:w="2268" w:type="dxa"/>
            <w:tcBorders>
              <w:top w:val="single" w:sz="6" w:space="0" w:color="auto"/>
              <w:left w:val="nil"/>
              <w:bottom w:val="single" w:sz="6" w:space="0" w:color="auto"/>
            </w:tcBorders>
          </w:tcPr>
          <w:p w:rsidR="00000000" w:rsidRDefault="000C45AD">
            <w:pPr>
              <w:spacing w:before="120" w:after="40" w:line="288" w:lineRule="auto"/>
              <w:jc w:val="center"/>
              <w:rPr>
                <w:sz w:val="21"/>
              </w:rPr>
            </w:pPr>
            <w:r>
              <w:rPr>
                <w:rFonts w:hint="eastAsia"/>
                <w:sz w:val="21"/>
              </w:rPr>
              <w:t>来</w:t>
            </w:r>
            <w:r>
              <w:rPr>
                <w:sz w:val="21"/>
              </w:rPr>
              <w:t xml:space="preserve">  </w:t>
            </w:r>
            <w:r>
              <w:rPr>
                <w:rFonts w:hint="eastAsia"/>
                <w:sz w:val="21"/>
              </w:rPr>
              <w:t>源</w:t>
            </w:r>
          </w:p>
        </w:tc>
      </w:tr>
      <w:tr w:rsidR="00000000">
        <w:tblPrEx>
          <w:tblCellMar>
            <w:top w:w="0" w:type="dxa"/>
            <w:bottom w:w="0" w:type="dxa"/>
          </w:tblCellMar>
        </w:tblPrEx>
        <w:tc>
          <w:tcPr>
            <w:tcW w:w="1440" w:type="dxa"/>
            <w:tcBorders>
              <w:top w:val="nil"/>
              <w:right w:val="nil"/>
            </w:tcBorders>
          </w:tcPr>
          <w:p w:rsidR="00000000" w:rsidRDefault="000C45AD">
            <w:pPr>
              <w:spacing w:before="120" w:line="288" w:lineRule="auto"/>
              <w:ind w:left="113"/>
              <w:rPr>
                <w:sz w:val="21"/>
              </w:rPr>
            </w:pPr>
            <w:r>
              <w:rPr>
                <w:sz w:val="21"/>
              </w:rPr>
              <w:t>1.9832e+11</w:t>
            </w:r>
          </w:p>
        </w:tc>
        <w:tc>
          <w:tcPr>
            <w:tcW w:w="1440" w:type="dxa"/>
            <w:tcBorders>
              <w:top w:val="nil"/>
              <w:left w:val="single" w:sz="6" w:space="0" w:color="auto"/>
              <w:right w:val="single" w:sz="6" w:space="0" w:color="auto"/>
            </w:tcBorders>
          </w:tcPr>
          <w:p w:rsidR="00000000" w:rsidRDefault="000C45AD">
            <w:pPr>
              <w:spacing w:before="120" w:line="288" w:lineRule="auto"/>
              <w:jc w:val="center"/>
              <w:rPr>
                <w:sz w:val="21"/>
              </w:rPr>
            </w:pPr>
            <w:r>
              <w:rPr>
                <w:sz w:val="21"/>
              </w:rPr>
              <w:t>78.6</w:t>
            </w:r>
          </w:p>
        </w:tc>
        <w:tc>
          <w:tcPr>
            <w:tcW w:w="1440" w:type="dxa"/>
            <w:tcBorders>
              <w:top w:val="nil"/>
              <w:left w:val="nil"/>
              <w:right w:val="nil"/>
            </w:tcBorders>
          </w:tcPr>
          <w:p w:rsidR="00000000" w:rsidRDefault="000C45AD">
            <w:pPr>
              <w:spacing w:before="120" w:line="288" w:lineRule="auto"/>
              <w:jc w:val="center"/>
              <w:rPr>
                <w:sz w:val="21"/>
              </w:rPr>
            </w:pPr>
            <w:r>
              <w:rPr>
                <w:sz w:val="21"/>
              </w:rPr>
              <w:t>36</w:t>
            </w:r>
          </w:p>
        </w:tc>
        <w:tc>
          <w:tcPr>
            <w:tcW w:w="1440" w:type="dxa"/>
            <w:tcBorders>
              <w:top w:val="nil"/>
              <w:left w:val="single" w:sz="6" w:space="0" w:color="auto"/>
              <w:right w:val="single" w:sz="6" w:space="0" w:color="auto"/>
            </w:tcBorders>
          </w:tcPr>
          <w:p w:rsidR="00000000" w:rsidRDefault="000C45AD">
            <w:pPr>
              <w:spacing w:before="120" w:line="288" w:lineRule="auto"/>
              <w:jc w:val="center"/>
              <w:rPr>
                <w:sz w:val="21"/>
              </w:rPr>
            </w:pPr>
            <w:r>
              <w:rPr>
                <w:sz w:val="21"/>
              </w:rPr>
              <w:t>59</w:t>
            </w:r>
          </w:p>
        </w:tc>
        <w:tc>
          <w:tcPr>
            <w:tcW w:w="2268" w:type="dxa"/>
            <w:tcBorders>
              <w:top w:val="nil"/>
              <w:left w:val="nil"/>
            </w:tcBorders>
          </w:tcPr>
          <w:p w:rsidR="00000000" w:rsidRDefault="000C45AD">
            <w:pPr>
              <w:spacing w:before="120" w:line="288" w:lineRule="auto"/>
              <w:ind w:left="113"/>
              <w:rPr>
                <w:sz w:val="21"/>
              </w:rPr>
            </w:pPr>
            <w:r>
              <w:rPr>
                <w:sz w:val="21"/>
              </w:rPr>
              <w:t>ESMI 84</w:t>
            </w:r>
          </w:p>
        </w:tc>
      </w:tr>
      <w:tr w:rsidR="00000000">
        <w:tblPrEx>
          <w:tblCellMar>
            <w:top w:w="0" w:type="dxa"/>
            <w:bottom w:w="0" w:type="dxa"/>
          </w:tblCellMar>
        </w:tblPrEx>
        <w:tc>
          <w:tcPr>
            <w:tcW w:w="1440" w:type="dxa"/>
            <w:tcBorders>
              <w:right w:val="nil"/>
            </w:tcBorders>
          </w:tcPr>
          <w:p w:rsidR="00000000" w:rsidRDefault="000C45AD">
            <w:pPr>
              <w:spacing w:line="288" w:lineRule="auto"/>
              <w:ind w:left="113"/>
              <w:rPr>
                <w:sz w:val="21"/>
              </w:rPr>
            </w:pPr>
          </w:p>
        </w:tc>
        <w:tc>
          <w:tcPr>
            <w:tcW w:w="1440" w:type="dxa"/>
            <w:tcBorders>
              <w:left w:val="single" w:sz="6" w:space="0" w:color="auto"/>
              <w:right w:val="single" w:sz="6" w:space="0" w:color="auto"/>
            </w:tcBorders>
          </w:tcPr>
          <w:p w:rsidR="00000000" w:rsidRDefault="000C45AD">
            <w:pPr>
              <w:spacing w:line="288" w:lineRule="auto"/>
              <w:jc w:val="center"/>
              <w:rPr>
                <w:sz w:val="21"/>
              </w:rPr>
            </w:pPr>
            <w:r>
              <w:rPr>
                <w:sz w:val="21"/>
              </w:rPr>
              <w:t>50.0</w:t>
            </w:r>
          </w:p>
        </w:tc>
        <w:tc>
          <w:tcPr>
            <w:tcW w:w="1440" w:type="dxa"/>
            <w:tcBorders>
              <w:left w:val="nil"/>
              <w:right w:val="nil"/>
            </w:tcBorders>
          </w:tcPr>
          <w:p w:rsidR="00000000" w:rsidRDefault="000C45AD">
            <w:pPr>
              <w:spacing w:line="288" w:lineRule="auto"/>
              <w:jc w:val="center"/>
              <w:rPr>
                <w:sz w:val="21"/>
              </w:rPr>
            </w:pPr>
          </w:p>
        </w:tc>
        <w:tc>
          <w:tcPr>
            <w:tcW w:w="1440" w:type="dxa"/>
            <w:tcBorders>
              <w:left w:val="single" w:sz="6" w:space="0" w:color="auto"/>
              <w:right w:val="single" w:sz="6" w:space="0" w:color="auto"/>
            </w:tcBorders>
          </w:tcPr>
          <w:p w:rsidR="00000000" w:rsidRDefault="000C45AD">
            <w:pPr>
              <w:spacing w:line="288" w:lineRule="auto"/>
              <w:jc w:val="center"/>
              <w:rPr>
                <w:sz w:val="21"/>
              </w:rPr>
            </w:pPr>
          </w:p>
        </w:tc>
        <w:tc>
          <w:tcPr>
            <w:tcW w:w="2268" w:type="dxa"/>
            <w:tcBorders>
              <w:left w:val="nil"/>
            </w:tcBorders>
          </w:tcPr>
          <w:p w:rsidR="00000000" w:rsidRDefault="000C45AD">
            <w:pPr>
              <w:spacing w:line="288" w:lineRule="auto"/>
              <w:ind w:left="113"/>
              <w:rPr>
                <w:sz w:val="21"/>
              </w:rPr>
            </w:pPr>
            <w:r>
              <w:rPr>
                <w:sz w:val="21"/>
              </w:rPr>
              <w:t>ENESF 1991/1992</w:t>
            </w:r>
          </w:p>
        </w:tc>
      </w:tr>
      <w:tr w:rsidR="00000000">
        <w:tblPrEx>
          <w:tblCellMar>
            <w:top w:w="0" w:type="dxa"/>
            <w:bottom w:w="0" w:type="dxa"/>
          </w:tblCellMar>
        </w:tblPrEx>
        <w:tc>
          <w:tcPr>
            <w:tcW w:w="1440" w:type="dxa"/>
            <w:tcBorders>
              <w:right w:val="nil"/>
            </w:tcBorders>
          </w:tcPr>
          <w:p w:rsidR="00000000" w:rsidRDefault="000C45AD">
            <w:pPr>
              <w:spacing w:line="288" w:lineRule="auto"/>
              <w:ind w:left="113"/>
              <w:rPr>
                <w:sz w:val="21"/>
              </w:rPr>
            </w:pPr>
          </w:p>
        </w:tc>
        <w:tc>
          <w:tcPr>
            <w:tcW w:w="1440" w:type="dxa"/>
            <w:tcBorders>
              <w:left w:val="single" w:sz="6" w:space="0" w:color="auto"/>
              <w:bottom w:val="single" w:sz="6" w:space="0" w:color="auto"/>
              <w:right w:val="single" w:sz="6" w:space="0" w:color="auto"/>
            </w:tcBorders>
          </w:tcPr>
          <w:p w:rsidR="00000000" w:rsidRDefault="000C45AD">
            <w:pPr>
              <w:spacing w:line="288" w:lineRule="auto"/>
              <w:jc w:val="center"/>
              <w:rPr>
                <w:sz w:val="21"/>
              </w:rPr>
            </w:pPr>
            <w:r>
              <w:rPr>
                <w:sz w:val="21"/>
              </w:rPr>
              <w:t>42.0</w:t>
            </w:r>
          </w:p>
        </w:tc>
        <w:tc>
          <w:tcPr>
            <w:tcW w:w="1440" w:type="dxa"/>
            <w:tcBorders>
              <w:left w:val="nil"/>
              <w:right w:val="nil"/>
            </w:tcBorders>
          </w:tcPr>
          <w:p w:rsidR="00000000" w:rsidRDefault="000C45AD">
            <w:pPr>
              <w:spacing w:line="288" w:lineRule="auto"/>
              <w:jc w:val="center"/>
              <w:rPr>
                <w:sz w:val="21"/>
              </w:rPr>
            </w:pPr>
          </w:p>
        </w:tc>
        <w:tc>
          <w:tcPr>
            <w:tcW w:w="1440" w:type="dxa"/>
            <w:tcBorders>
              <w:left w:val="single" w:sz="6" w:space="0" w:color="auto"/>
              <w:bottom w:val="single" w:sz="6" w:space="0" w:color="auto"/>
              <w:right w:val="single" w:sz="6" w:space="0" w:color="auto"/>
            </w:tcBorders>
          </w:tcPr>
          <w:p w:rsidR="00000000" w:rsidRDefault="000C45AD">
            <w:pPr>
              <w:spacing w:line="288" w:lineRule="auto"/>
              <w:jc w:val="center"/>
              <w:rPr>
                <w:sz w:val="21"/>
              </w:rPr>
            </w:pPr>
          </w:p>
        </w:tc>
        <w:tc>
          <w:tcPr>
            <w:tcW w:w="2268" w:type="dxa"/>
            <w:tcBorders>
              <w:left w:val="nil"/>
            </w:tcBorders>
          </w:tcPr>
          <w:p w:rsidR="00000000" w:rsidRDefault="000C45AD">
            <w:pPr>
              <w:spacing w:line="288" w:lineRule="auto"/>
              <w:ind w:left="113"/>
              <w:rPr>
                <w:sz w:val="21"/>
              </w:rPr>
            </w:pPr>
            <w:r>
              <w:rPr>
                <w:sz w:val="21"/>
              </w:rPr>
              <w:t>ENESF 1995/1996</w:t>
            </w:r>
          </w:p>
        </w:tc>
      </w:tr>
    </w:tbl>
    <w:p w:rsidR="00000000" w:rsidRDefault="000C45AD"/>
    <w:p w:rsidR="00000000" w:rsidRDefault="000C45AD">
      <w:r>
        <w:tab/>
        <w:t xml:space="preserve">224.  </w:t>
      </w:r>
      <w:r>
        <w:rPr>
          <w:rFonts w:hint="eastAsia"/>
        </w:rPr>
        <w:t>婴儿死亡率有很大下</w:t>
      </w:r>
      <w:r>
        <w:rPr>
          <w:rFonts w:hint="eastAsia"/>
          <w:spacing w:val="30"/>
        </w:rPr>
        <w:t>降，从</w:t>
      </w:r>
      <w:r>
        <w:rPr>
          <w:spacing w:val="30"/>
        </w:rPr>
        <w:t>1980</w:t>
      </w:r>
      <w:r>
        <w:rPr>
          <w:rFonts w:hint="eastAsia"/>
          <w:spacing w:val="30"/>
        </w:rPr>
        <w:t>年代约</w:t>
      </w:r>
      <w:r>
        <w:t>80</w:t>
      </w:r>
      <w:r>
        <w:rPr>
          <w:rFonts w:hint="eastAsia"/>
          <w:spacing w:val="30"/>
        </w:rPr>
        <w:t>‰降至</w:t>
      </w:r>
      <w:r>
        <w:rPr>
          <w:spacing w:val="30"/>
        </w:rPr>
        <w:t>1990</w:t>
      </w:r>
      <w:r>
        <w:rPr>
          <w:rFonts w:hint="eastAsia"/>
          <w:spacing w:val="30"/>
        </w:rPr>
        <w:t>年代初期的</w:t>
      </w:r>
      <w:r>
        <w:t>50</w:t>
      </w:r>
      <w:r>
        <w:rPr>
          <w:rFonts w:hint="eastAsia"/>
        </w:rPr>
        <w:t>‰，在</w:t>
      </w:r>
      <w:r>
        <w:t>1995</w:t>
      </w:r>
      <w:r>
        <w:rPr>
          <w:rFonts w:hint="eastAsia"/>
        </w:rPr>
        <w:t>年接近</w:t>
      </w:r>
      <w:r>
        <w:t>40</w:t>
      </w:r>
      <w:r>
        <w:rPr>
          <w:rFonts w:hint="eastAsia"/>
        </w:rPr>
        <w:t>‰。</w:t>
      </w:r>
    </w:p>
    <w:p w:rsidR="00000000" w:rsidRDefault="000C45AD">
      <w:r>
        <w:tab/>
        <w:t xml:space="preserve">225.  </w:t>
      </w:r>
      <w:r>
        <w:rPr>
          <w:rFonts w:hint="eastAsia"/>
        </w:rPr>
        <w:t>农村和城市地区之间存在明显的差距，主要是由于基本卫生条件、饮食、母亲受教育程度差、和有限的保健服务设施等。</w:t>
      </w:r>
    </w:p>
    <w:p w:rsidR="00000000" w:rsidRDefault="000C45AD">
      <w:r>
        <w:tab/>
        <w:t xml:space="preserve">226.  </w:t>
      </w:r>
      <w:r>
        <w:rPr>
          <w:rFonts w:hint="eastAsia"/>
        </w:rPr>
        <w:t>婴儿死亡率依地区和社会阶层的</w:t>
      </w:r>
      <w:r>
        <w:rPr>
          <w:rFonts w:hint="eastAsia"/>
        </w:rPr>
        <w:t>不同而异，未上过学的母亲的子女比受过</w:t>
      </w:r>
      <w:r>
        <w:t>6</w:t>
      </w:r>
      <w:r>
        <w:rPr>
          <w:rFonts w:hint="eastAsia"/>
        </w:rPr>
        <w:t>年以上教育的母亲的子女死亡率高</w:t>
      </w:r>
      <w:r>
        <w:t>2.5</w:t>
      </w:r>
      <w:r>
        <w:rPr>
          <w:rFonts w:hint="eastAsia"/>
        </w:rPr>
        <w:t>倍。同样，在有自来水供应和卫生设施地区的家庭的婴儿死亡率比供水和环境卫生较差的地方要低一半左右。</w:t>
      </w:r>
    </w:p>
    <w:p w:rsidR="00000000" w:rsidRDefault="000C45AD">
      <w:r>
        <w:tab/>
        <w:t>227.  1990</w:t>
      </w:r>
      <w:r>
        <w:rPr>
          <w:rFonts w:hint="eastAsia"/>
        </w:rPr>
        <w:t>年，城市婴儿死亡率是</w:t>
      </w:r>
      <w:r>
        <w:t>36</w:t>
      </w:r>
      <w:r>
        <w:rPr>
          <w:rFonts w:hint="eastAsia"/>
        </w:rPr>
        <w:t>‰，而在农村地区是</w:t>
      </w:r>
      <w:r>
        <w:t>59</w:t>
      </w:r>
      <w:r>
        <w:rPr>
          <w:rFonts w:hint="eastAsia"/>
        </w:rPr>
        <w:t>‰。在贫困水平高的省份所记载的比率高于</w:t>
      </w:r>
      <w:r>
        <w:t>60</w:t>
      </w:r>
      <w:r>
        <w:rPr>
          <w:rFonts w:hint="eastAsia"/>
        </w:rPr>
        <w:t>‰：科班省</w:t>
      </w:r>
      <w:r>
        <w:t>(75)</w:t>
      </w:r>
      <w:r>
        <w:rPr>
          <w:rFonts w:hint="eastAsia"/>
        </w:rPr>
        <w:t>，兰比拉省</w:t>
      </w:r>
      <w:r>
        <w:t>(75)</w:t>
      </w:r>
      <w:r>
        <w:rPr>
          <w:rFonts w:hint="eastAsia"/>
        </w:rPr>
        <w:t>，因梯布查省</w:t>
      </w:r>
      <w:r>
        <w:t>(68)</w:t>
      </w:r>
      <w:r>
        <w:rPr>
          <w:rFonts w:hint="eastAsia"/>
        </w:rPr>
        <w:t>，科伦省</w:t>
      </w:r>
      <w:r>
        <w:t>(68)</w:t>
      </w:r>
      <w:r>
        <w:rPr>
          <w:rFonts w:hint="eastAsia"/>
        </w:rPr>
        <w:t>，圣巴莱索省</w:t>
      </w:r>
      <w:r>
        <w:t>(68)</w:t>
      </w:r>
      <w:r>
        <w:rPr>
          <w:rFonts w:hint="eastAsia"/>
        </w:rPr>
        <w:t>，瓦勒省</w:t>
      </w:r>
      <w:r>
        <w:t>(62)</w:t>
      </w:r>
      <w:r>
        <w:rPr>
          <w:rFonts w:hint="eastAsia"/>
        </w:rPr>
        <w:t>、楚鲁特查省</w:t>
      </w:r>
      <w:r>
        <w:t>(62)</w:t>
      </w:r>
      <w:r>
        <w:rPr>
          <w:rFonts w:hint="eastAsia"/>
        </w:rPr>
        <w:t>。</w:t>
      </w:r>
    </w:p>
    <w:p w:rsidR="00000000" w:rsidRDefault="000C45AD">
      <w:r>
        <w:tab/>
        <w:t>228.  12</w:t>
      </w:r>
      <w:r>
        <w:rPr>
          <w:rFonts w:hint="eastAsia"/>
        </w:rPr>
        <w:t>个月以下婴儿死亡原因与下列问题有关：分娩、新生期死亡、营养不良</w:t>
      </w:r>
      <w:r>
        <w:t>(</w:t>
      </w:r>
      <w:r>
        <w:rPr>
          <w:rFonts w:hint="eastAsia"/>
        </w:rPr>
        <w:t>出生体重低</w:t>
      </w:r>
      <w:r>
        <w:t>)</w:t>
      </w:r>
      <w:r>
        <w:rPr>
          <w:rFonts w:hint="eastAsia"/>
        </w:rPr>
        <w:t>、腹</w:t>
      </w:r>
      <w:r>
        <w:rPr>
          <w:rFonts w:hint="eastAsia"/>
        </w:rPr>
        <w:t>泻、和急性呼吸道发炎。</w:t>
      </w:r>
    </w:p>
    <w:p w:rsidR="00000000" w:rsidRDefault="000C45AD">
      <w:pPr>
        <w:pStyle w:val="Heading4"/>
        <w:spacing w:before="320"/>
        <w:textAlignment w:val="center"/>
      </w:pPr>
      <w:r>
        <w:rPr>
          <w:rFonts w:hint="eastAsia"/>
        </w:rPr>
        <w:t>提供饮用水和粪便处理服务</w:t>
      </w:r>
    </w:p>
    <w:p w:rsidR="00000000" w:rsidRDefault="000C45AD">
      <w:r>
        <w:tab/>
        <w:t xml:space="preserve">229.  </w:t>
      </w:r>
      <w:r>
        <w:rPr>
          <w:rFonts w:hint="eastAsia"/>
        </w:rPr>
        <w:t>在</w:t>
      </w:r>
      <w:r>
        <w:t>1991</w:t>
      </w:r>
      <w:r>
        <w:rPr>
          <w:rFonts w:hint="eastAsia"/>
        </w:rPr>
        <w:t>—</w:t>
      </w:r>
      <w:r>
        <w:t>1996</w:t>
      </w:r>
      <w:r>
        <w:rPr>
          <w:rFonts w:hint="eastAsia"/>
        </w:rPr>
        <w:t>年阶段，全国供水和卫生服务覆盖面分别从</w:t>
      </w:r>
      <w:r>
        <w:t>68%</w:t>
      </w:r>
      <w:r>
        <w:rPr>
          <w:rFonts w:hint="eastAsia"/>
        </w:rPr>
        <w:t>提高至</w:t>
      </w:r>
      <w:r>
        <w:t>78%</w:t>
      </w:r>
      <w:r>
        <w:rPr>
          <w:rFonts w:hint="eastAsia"/>
        </w:rPr>
        <w:t>和从</w:t>
      </w:r>
      <w:r>
        <w:t>63%</w:t>
      </w:r>
      <w:r>
        <w:rPr>
          <w:rFonts w:hint="eastAsia"/>
        </w:rPr>
        <w:t>提高至</w:t>
      </w:r>
      <w:r>
        <w:t>74%</w:t>
      </w:r>
      <w:r>
        <w:rPr>
          <w:rFonts w:hint="eastAsia"/>
        </w:rPr>
        <w:t>。这一阶段，农村地区比城市地区的投资有较大的上升，这表明投资越来越多地用于最脆弱的人群。</w:t>
      </w:r>
    </w:p>
    <w:p w:rsidR="00000000" w:rsidRDefault="000C45AD">
      <w:r>
        <w:tab/>
        <w:t xml:space="preserve">230.  </w:t>
      </w:r>
      <w:r>
        <w:rPr>
          <w:rFonts w:hint="eastAsia"/>
        </w:rPr>
        <w:t>在</w:t>
      </w:r>
      <w:r>
        <w:t>1990</w:t>
      </w:r>
      <w:r>
        <w:rPr>
          <w:rFonts w:hint="eastAsia"/>
        </w:rPr>
        <w:t>—</w:t>
      </w:r>
      <w:r>
        <w:t>1995</w:t>
      </w:r>
      <w:r>
        <w:rPr>
          <w:rFonts w:hint="eastAsia"/>
        </w:rPr>
        <w:t>年阶段，</w:t>
      </w:r>
      <w:r>
        <w:t>5</w:t>
      </w:r>
      <w:r>
        <w:rPr>
          <w:rFonts w:hint="eastAsia"/>
        </w:rPr>
        <w:t>岁以下儿童腹泻发病率下降</w:t>
      </w:r>
      <w:r>
        <w:t>19%(</w:t>
      </w:r>
      <w:r>
        <w:rPr>
          <w:rFonts w:hint="eastAsia"/>
        </w:rPr>
        <w:t>从每</w:t>
      </w:r>
      <w:r>
        <w:t>10</w:t>
      </w:r>
      <w:r>
        <w:rPr>
          <w:rFonts w:hint="eastAsia"/>
        </w:rPr>
        <w:t>万人中</w:t>
      </w:r>
      <w:r>
        <w:t>28,348.6</w:t>
      </w:r>
      <w:r>
        <w:rPr>
          <w:rFonts w:hint="eastAsia"/>
        </w:rPr>
        <w:t>人降至</w:t>
      </w:r>
      <w:r>
        <w:t>22,944.8</w:t>
      </w:r>
      <w:r>
        <w:rPr>
          <w:rFonts w:hint="eastAsia"/>
        </w:rPr>
        <w:t>人</w:t>
      </w:r>
      <w:r>
        <w:t>)</w:t>
      </w:r>
      <w:r>
        <w:rPr>
          <w:rFonts w:hint="eastAsia"/>
        </w:rPr>
        <w:t>，就整个人口而言，发病率下降</w:t>
      </w:r>
      <w:r>
        <w:t>16%</w:t>
      </w:r>
      <w:r>
        <w:rPr>
          <w:rFonts w:hint="eastAsia"/>
        </w:rPr>
        <w:t>。</w:t>
      </w:r>
    </w:p>
    <w:p w:rsidR="00000000" w:rsidRDefault="000C45AD">
      <w:r>
        <w:tab/>
        <w:t xml:space="preserve">231.  </w:t>
      </w:r>
      <w:r>
        <w:rPr>
          <w:rFonts w:hint="eastAsia"/>
        </w:rPr>
        <w:t>尽管在农村地区有上升趋势并且有比较高的上升率，但就居住地区而言仍然存在着重大</w:t>
      </w:r>
      <w:r>
        <w:rPr>
          <w:rFonts w:hint="eastAsia"/>
        </w:rPr>
        <w:t>的不平等现象。这些不平等现象表现在覆盖数字方面，在城市地区饮用水和卫生的覆盖面为</w:t>
      </w:r>
      <w:r>
        <w:t>94%</w:t>
      </w:r>
      <w:r>
        <w:rPr>
          <w:rFonts w:hint="eastAsia"/>
        </w:rPr>
        <w:t>，而在农村地区分别为</w:t>
      </w:r>
      <w:r>
        <w:t>63%</w:t>
      </w:r>
      <w:r>
        <w:rPr>
          <w:rFonts w:hint="eastAsia"/>
        </w:rPr>
        <w:t>和</w:t>
      </w:r>
      <w:r>
        <w:t>57%</w:t>
      </w:r>
      <w:r>
        <w:rPr>
          <w:rFonts w:hint="eastAsia"/>
        </w:rPr>
        <w:t>。</w:t>
      </w:r>
    </w:p>
    <w:p w:rsidR="00000000" w:rsidRDefault="000C45AD">
      <w:r>
        <w:tab/>
        <w:t xml:space="preserve">232.  </w:t>
      </w:r>
      <w:r>
        <w:rPr>
          <w:rFonts w:hint="eastAsia"/>
        </w:rPr>
        <w:t>最近的供水服务覆盖数字</w:t>
      </w:r>
      <w:r>
        <w:t>(1996</w:t>
      </w:r>
      <w:r>
        <w:rPr>
          <w:rFonts w:hint="eastAsia"/>
        </w:rPr>
        <w:t>年</w:t>
      </w:r>
      <w:r>
        <w:t>)</w:t>
      </w:r>
      <w:r>
        <w:rPr>
          <w:rFonts w:hint="eastAsia"/>
        </w:rPr>
        <w:t>表明，在城市地区主要问题不再是安装供水设备问题，而是水的质量差和不能保障供应。水的处理方法比较有限，主要靠安装加氯消毒系统。</w:t>
      </w:r>
    </w:p>
    <w:p w:rsidR="00000000" w:rsidRDefault="000C45AD">
      <w:r>
        <w:tab/>
        <w:t xml:space="preserve">233.  </w:t>
      </w:r>
      <w:r>
        <w:rPr>
          <w:rFonts w:hint="eastAsia"/>
        </w:rPr>
        <w:t>此外，覆盖面估算没有把以下情况考虑在内，如供水系统的质量、可靠性、维修和折旧，因而可能造成估算不完全。此外，所研究的覆盖数字包括两个层次的服务</w:t>
      </w:r>
      <w:r>
        <w:t>(</w:t>
      </w:r>
      <w:r>
        <w:rPr>
          <w:rFonts w:hint="eastAsia"/>
        </w:rPr>
        <w:t>根据标准美洲卫生组织</w:t>
      </w:r>
      <w:r>
        <w:t>/</w:t>
      </w:r>
      <w:r>
        <w:rPr>
          <w:rFonts w:hint="eastAsia"/>
        </w:rPr>
        <w:t>世界卫生组织模式</w:t>
      </w:r>
      <w:r>
        <w:t>)</w:t>
      </w:r>
      <w:r>
        <w:rPr>
          <w:rFonts w:hint="eastAsia"/>
        </w:rPr>
        <w:t>：住房和物业内</w:t>
      </w:r>
      <w:r>
        <w:rPr>
          <w:rFonts w:hint="eastAsia"/>
        </w:rPr>
        <w:t>的管道供水和电动或手动抽水机提取的水；在饮用水供应方面，这两种来源不一定相同。</w:t>
      </w:r>
    </w:p>
    <w:p w:rsidR="00000000" w:rsidRDefault="000C45AD">
      <w:pPr>
        <w:pStyle w:val="Heading4"/>
        <w:spacing w:before="320"/>
        <w:textAlignment w:val="center"/>
      </w:pPr>
      <w:r>
        <w:rPr>
          <w:rFonts w:hint="eastAsia"/>
        </w:rPr>
        <w:t>儿童免疫</w:t>
      </w:r>
    </w:p>
    <w:p w:rsidR="00000000" w:rsidRDefault="000C45AD">
      <w:r>
        <w:tab/>
        <w:t xml:space="preserve">234.  </w:t>
      </w:r>
      <w:r>
        <w:rPr>
          <w:rFonts w:hint="eastAsia"/>
        </w:rPr>
        <w:t>从以下表格可以看到，在洪都拉斯扩大免疫方案是卫生部门首要考虑的问题之一，并且已经表明是成功的。</w:t>
      </w:r>
    </w:p>
    <w:p w:rsidR="00000000" w:rsidRDefault="000C45AD">
      <w:pPr>
        <w:pStyle w:val="Heading3"/>
        <w:spacing w:after="160"/>
        <w:textAlignment w:val="center"/>
      </w:pPr>
      <w:r>
        <w:br w:type="page"/>
      </w:r>
      <w:r>
        <w:rPr>
          <w:rFonts w:hint="eastAsia"/>
        </w:rPr>
        <w:t>洪都拉斯免疫指数，</w:t>
      </w:r>
      <w:r>
        <w:t>1996</w:t>
      </w:r>
      <w:r>
        <w:rPr>
          <w:rFonts w:hint="eastAsia"/>
        </w:rPr>
        <w:t>年</w:t>
      </w:r>
      <w:r>
        <w:t>(%)</w:t>
      </w:r>
    </w:p>
    <w:p w:rsidR="00000000" w:rsidRDefault="000C45AD">
      <w:pPr>
        <w:spacing w:line="288" w:lineRule="auto"/>
        <w:ind w:left="1036"/>
        <w:rPr>
          <w:sz w:val="21"/>
        </w:rPr>
      </w:pPr>
      <w:r>
        <w:rPr>
          <w:rFonts w:hint="eastAsia"/>
          <w:sz w:val="21"/>
        </w:rPr>
        <w:t>根据国家规定</w:t>
      </w:r>
      <w:r>
        <w:rPr>
          <w:sz w:val="21"/>
        </w:rPr>
        <w:t>1</w:t>
      </w:r>
      <w:r>
        <w:rPr>
          <w:rFonts w:hint="eastAsia"/>
          <w:sz w:val="21"/>
        </w:rPr>
        <w:t>岁以下儿童具有全面免疫记载的</w:t>
      </w:r>
      <w:r>
        <w:rPr>
          <w:sz w:val="21"/>
        </w:rPr>
        <w:tab/>
      </w:r>
      <w:r>
        <w:rPr>
          <w:sz w:val="21"/>
        </w:rPr>
        <w:tab/>
      </w:r>
      <w:r>
        <w:rPr>
          <w:sz w:val="21"/>
        </w:rPr>
        <w:tab/>
      </w:r>
      <w:r>
        <w:rPr>
          <w:sz w:val="21"/>
        </w:rPr>
        <w:tab/>
        <w:t>91</w:t>
      </w:r>
    </w:p>
    <w:p w:rsidR="00000000" w:rsidRDefault="000C45AD">
      <w:pPr>
        <w:spacing w:line="288" w:lineRule="auto"/>
        <w:ind w:left="1036"/>
        <w:rPr>
          <w:sz w:val="21"/>
        </w:rPr>
      </w:pPr>
      <w:r>
        <w:rPr>
          <w:sz w:val="21"/>
        </w:rPr>
        <w:t>1</w:t>
      </w:r>
      <w:r>
        <w:rPr>
          <w:rFonts w:hint="eastAsia"/>
          <w:sz w:val="21"/>
        </w:rPr>
        <w:t>岁以下接种第三次三合一疫苗的儿童</w:t>
      </w:r>
      <w:r>
        <w:rPr>
          <w:sz w:val="21"/>
        </w:rPr>
        <w:tab/>
      </w:r>
      <w:r>
        <w:rPr>
          <w:sz w:val="21"/>
        </w:rPr>
        <w:tab/>
      </w:r>
      <w:r>
        <w:rPr>
          <w:sz w:val="21"/>
        </w:rPr>
        <w:tab/>
      </w:r>
      <w:r>
        <w:rPr>
          <w:sz w:val="21"/>
        </w:rPr>
        <w:tab/>
      </w:r>
      <w:r>
        <w:rPr>
          <w:sz w:val="21"/>
        </w:rPr>
        <w:tab/>
      </w:r>
      <w:r>
        <w:rPr>
          <w:sz w:val="21"/>
        </w:rPr>
        <w:tab/>
        <w:t>93</w:t>
      </w:r>
    </w:p>
    <w:p w:rsidR="00000000" w:rsidRDefault="000C45AD">
      <w:pPr>
        <w:spacing w:line="288" w:lineRule="auto"/>
        <w:ind w:left="1036"/>
        <w:rPr>
          <w:sz w:val="21"/>
        </w:rPr>
      </w:pPr>
      <w:r>
        <w:rPr>
          <w:sz w:val="21"/>
        </w:rPr>
        <w:t>1</w:t>
      </w:r>
      <w:r>
        <w:rPr>
          <w:rFonts w:hint="eastAsia"/>
          <w:sz w:val="21"/>
        </w:rPr>
        <w:t>岁以下接种第三次抗小儿麻痹症疫苗的儿童</w:t>
      </w:r>
      <w:r>
        <w:rPr>
          <w:sz w:val="21"/>
        </w:rPr>
        <w:tab/>
      </w:r>
      <w:r>
        <w:rPr>
          <w:sz w:val="21"/>
        </w:rPr>
        <w:tab/>
      </w:r>
      <w:r>
        <w:rPr>
          <w:sz w:val="21"/>
        </w:rPr>
        <w:tab/>
      </w:r>
      <w:r>
        <w:rPr>
          <w:sz w:val="21"/>
        </w:rPr>
        <w:tab/>
      </w:r>
      <w:r>
        <w:rPr>
          <w:sz w:val="21"/>
        </w:rPr>
        <w:tab/>
        <w:t>94</w:t>
      </w:r>
    </w:p>
    <w:p w:rsidR="00000000" w:rsidRDefault="000C45AD">
      <w:pPr>
        <w:spacing w:line="288" w:lineRule="auto"/>
        <w:ind w:left="1036"/>
        <w:rPr>
          <w:sz w:val="21"/>
        </w:rPr>
      </w:pPr>
      <w:r>
        <w:rPr>
          <w:sz w:val="21"/>
        </w:rPr>
        <w:t>1</w:t>
      </w:r>
      <w:r>
        <w:rPr>
          <w:rFonts w:hint="eastAsia"/>
          <w:sz w:val="21"/>
        </w:rPr>
        <w:t>岁以下接种卡介苗的儿童</w:t>
      </w:r>
      <w:r>
        <w:rPr>
          <w:sz w:val="21"/>
        </w:rPr>
        <w:tab/>
      </w:r>
      <w:r>
        <w:rPr>
          <w:sz w:val="21"/>
        </w:rPr>
        <w:tab/>
      </w:r>
      <w:r>
        <w:rPr>
          <w:sz w:val="21"/>
        </w:rPr>
        <w:tab/>
      </w:r>
      <w:r>
        <w:rPr>
          <w:sz w:val="21"/>
        </w:rPr>
        <w:tab/>
      </w:r>
      <w:r>
        <w:rPr>
          <w:sz w:val="21"/>
        </w:rPr>
        <w:tab/>
      </w:r>
      <w:r>
        <w:rPr>
          <w:sz w:val="21"/>
        </w:rPr>
        <w:tab/>
      </w:r>
      <w:r>
        <w:rPr>
          <w:sz w:val="21"/>
        </w:rPr>
        <w:tab/>
      </w:r>
      <w:r>
        <w:rPr>
          <w:sz w:val="21"/>
        </w:rPr>
        <w:tab/>
        <w:t>99</w:t>
      </w:r>
    </w:p>
    <w:p w:rsidR="00000000" w:rsidRDefault="000C45AD">
      <w:pPr>
        <w:spacing w:line="288" w:lineRule="auto"/>
        <w:ind w:left="1036"/>
        <w:rPr>
          <w:sz w:val="21"/>
        </w:rPr>
      </w:pPr>
      <w:r>
        <w:rPr>
          <w:sz w:val="21"/>
        </w:rPr>
        <w:t>1</w:t>
      </w:r>
      <w:r>
        <w:rPr>
          <w:rFonts w:hint="eastAsia"/>
          <w:sz w:val="21"/>
        </w:rPr>
        <w:t>岁以下接种抗麻疹疫苗的儿童</w:t>
      </w:r>
      <w:r>
        <w:rPr>
          <w:sz w:val="21"/>
        </w:rPr>
        <w:tab/>
      </w:r>
      <w:r>
        <w:rPr>
          <w:sz w:val="21"/>
        </w:rPr>
        <w:tab/>
      </w:r>
      <w:r>
        <w:rPr>
          <w:sz w:val="21"/>
        </w:rPr>
        <w:tab/>
      </w:r>
      <w:r>
        <w:rPr>
          <w:sz w:val="21"/>
        </w:rPr>
        <w:tab/>
      </w:r>
      <w:r>
        <w:rPr>
          <w:sz w:val="21"/>
        </w:rPr>
        <w:tab/>
      </w:r>
      <w:r>
        <w:rPr>
          <w:sz w:val="21"/>
        </w:rPr>
        <w:tab/>
      </w:r>
      <w:r>
        <w:rPr>
          <w:sz w:val="21"/>
        </w:rPr>
        <w:tab/>
        <w:t>91</w:t>
      </w:r>
    </w:p>
    <w:p w:rsidR="00000000" w:rsidRDefault="000C45AD">
      <w:pPr>
        <w:spacing w:line="288" w:lineRule="auto"/>
        <w:ind w:left="1036"/>
        <w:rPr>
          <w:sz w:val="21"/>
        </w:rPr>
      </w:pPr>
      <w:r>
        <w:rPr>
          <w:rFonts w:hint="eastAsia"/>
          <w:sz w:val="21"/>
        </w:rPr>
        <w:t>接种抗</w:t>
      </w:r>
      <w:r>
        <w:rPr>
          <w:sz w:val="21"/>
        </w:rPr>
        <w:t>B</w:t>
      </w:r>
      <w:r>
        <w:rPr>
          <w:rFonts w:hint="eastAsia"/>
          <w:sz w:val="21"/>
        </w:rPr>
        <w:t>型肝炎免</w:t>
      </w:r>
      <w:r>
        <w:rPr>
          <w:rFonts w:hint="eastAsia"/>
          <w:sz w:val="21"/>
        </w:rPr>
        <w:t>疫的人口</w:t>
      </w:r>
      <w:r>
        <w:rPr>
          <w:sz w:val="21"/>
        </w:rPr>
        <w:t>(</w:t>
      </w:r>
      <w:r>
        <w:rPr>
          <w:rFonts w:hint="eastAsia"/>
          <w:sz w:val="21"/>
        </w:rPr>
        <w:t>高风险</w:t>
      </w:r>
      <w:r>
        <w:rPr>
          <w:sz w:val="21"/>
        </w:rPr>
        <w:t>)</w:t>
      </w:r>
      <w:r>
        <w:rPr>
          <w:sz w:val="21"/>
        </w:rPr>
        <w:tab/>
      </w:r>
      <w:r>
        <w:rPr>
          <w:sz w:val="21"/>
        </w:rPr>
        <w:tab/>
      </w:r>
      <w:r>
        <w:rPr>
          <w:sz w:val="21"/>
        </w:rPr>
        <w:tab/>
      </w:r>
      <w:r>
        <w:rPr>
          <w:sz w:val="21"/>
        </w:rPr>
        <w:tab/>
      </w:r>
      <w:r>
        <w:rPr>
          <w:sz w:val="21"/>
        </w:rPr>
        <w:tab/>
      </w:r>
      <w:r>
        <w:rPr>
          <w:sz w:val="21"/>
        </w:rPr>
        <w:tab/>
        <w:t>66</w:t>
      </w:r>
    </w:p>
    <w:p w:rsidR="00000000" w:rsidRDefault="000C45AD">
      <w:pPr>
        <w:spacing w:after="160" w:line="288" w:lineRule="auto"/>
        <w:ind w:left="1036"/>
        <w:textAlignment w:val="center"/>
        <w:rPr>
          <w:sz w:val="21"/>
        </w:rPr>
      </w:pPr>
      <w:r>
        <w:rPr>
          <w:rFonts w:hint="eastAsia"/>
          <w:sz w:val="21"/>
        </w:rPr>
        <w:t>接种第二期破伤风免疫的育龄妇女</w:t>
      </w:r>
      <w:r>
        <w:rPr>
          <w:sz w:val="21"/>
        </w:rPr>
        <w:tab/>
      </w:r>
      <w:r>
        <w:rPr>
          <w:sz w:val="21"/>
        </w:rPr>
        <w:tab/>
      </w:r>
      <w:r>
        <w:rPr>
          <w:sz w:val="21"/>
        </w:rPr>
        <w:tab/>
      </w:r>
      <w:r>
        <w:rPr>
          <w:sz w:val="21"/>
        </w:rPr>
        <w:tab/>
      </w:r>
      <w:r>
        <w:rPr>
          <w:sz w:val="21"/>
        </w:rPr>
        <w:tab/>
      </w:r>
      <w:r>
        <w:rPr>
          <w:sz w:val="21"/>
        </w:rPr>
        <w:tab/>
      </w:r>
      <w:r>
        <w:rPr>
          <w:sz w:val="21"/>
        </w:rPr>
        <w:tab/>
        <w:t>97</w:t>
      </w:r>
    </w:p>
    <w:p w:rsidR="00000000" w:rsidRDefault="000C45AD">
      <w:pPr>
        <w:pStyle w:val="FootnoteText"/>
        <w:spacing w:after="240"/>
        <w:textAlignment w:val="center"/>
        <w:rPr>
          <w:sz w:val="21"/>
        </w:rPr>
      </w:pPr>
      <w:r>
        <w:rPr>
          <w:rFonts w:hint="eastAsia"/>
          <w:sz w:val="21"/>
          <w:u w:val="single"/>
        </w:rPr>
        <w:t>来源</w:t>
      </w:r>
      <w:r>
        <w:rPr>
          <w:rFonts w:hint="eastAsia"/>
          <w:sz w:val="21"/>
        </w:rPr>
        <w:t>：</w:t>
      </w:r>
      <w:r>
        <w:rPr>
          <w:sz w:val="21"/>
        </w:rPr>
        <w:t>1996</w:t>
      </w:r>
      <w:r>
        <w:rPr>
          <w:rFonts w:hint="eastAsia"/>
          <w:sz w:val="21"/>
        </w:rPr>
        <w:t>年洪都拉斯卫生部扩大免疫方案。</w:t>
      </w:r>
    </w:p>
    <w:p w:rsidR="00000000" w:rsidRDefault="000C45AD">
      <w:r>
        <w:tab/>
        <w:t xml:space="preserve">235.  </w:t>
      </w:r>
      <w:r>
        <w:rPr>
          <w:rFonts w:hint="eastAsia"/>
        </w:rPr>
        <w:t>全国覆盖情况不均衡，但已经查明了风险地区和城市</w:t>
      </w:r>
      <w:r>
        <w:t>(</w:t>
      </w:r>
      <w:r>
        <w:rPr>
          <w:rFonts w:hint="eastAsia"/>
        </w:rPr>
        <w:t>覆盖率在</w:t>
      </w:r>
      <w:r>
        <w:t>80%</w:t>
      </w:r>
      <w:r>
        <w:rPr>
          <w:rFonts w:hint="eastAsia"/>
        </w:rPr>
        <w:t>以下</w:t>
      </w:r>
      <w:r>
        <w:t>)</w:t>
      </w:r>
      <w:r>
        <w:rPr>
          <w:rFonts w:hint="eastAsia"/>
        </w:rPr>
        <w:t>，将通过加强和持久的免疫计划，并对地理上处于方便之处的市镇采取特殊的行动，有针对性地开展免疫工作。</w:t>
      </w:r>
    </w:p>
    <w:p w:rsidR="00000000" w:rsidRDefault="000C45AD">
      <w:r>
        <w:tab/>
        <w:t xml:space="preserve">236.  </w:t>
      </w:r>
      <w:r>
        <w:rPr>
          <w:rFonts w:hint="eastAsia"/>
        </w:rPr>
        <w:t>平均免疫覆盖率提高和免疫预防疾病的发病率下降，说明在不分地区、社会经济人群及性别帮助婴儿人口方面作出了种种努力。</w:t>
      </w:r>
    </w:p>
    <w:p w:rsidR="00000000" w:rsidRDefault="000C45AD">
      <w:r>
        <w:tab/>
        <w:t xml:space="preserve">237.  </w:t>
      </w:r>
      <w:r>
        <w:rPr>
          <w:rFonts w:hint="eastAsia"/>
        </w:rPr>
        <w:t>人民参加全国免疫日及其他措施，对实现这些目标有着决定性的</w:t>
      </w:r>
      <w:r>
        <w:rPr>
          <w:rFonts w:hint="eastAsia"/>
        </w:rPr>
        <w:t>作用；广大社区、非政府组织、私营企业、市长办公厅、市发展理事会、扶轮国际、武装部队、保健和自然资源部、大众媒介等，以及外部合作提供的支持也是如此；所有这些体现在以下若干重要的成就之中：</w:t>
      </w:r>
    </w:p>
    <w:p w:rsidR="00000000" w:rsidRDefault="000C45AD" w:rsidP="000C45AD">
      <w:pPr>
        <w:pStyle w:val="a6"/>
        <w:numPr>
          <w:ilvl w:val="0"/>
          <w:numId w:val="1"/>
        </w:numPr>
        <w:spacing w:line="312" w:lineRule="auto"/>
        <w:ind w:left="1548"/>
      </w:pPr>
      <w:r>
        <w:rPr>
          <w:rFonts w:hint="eastAsia"/>
        </w:rPr>
        <w:t>消灭了小儿麻痹症：没有发生新的病例；</w:t>
      </w:r>
    </w:p>
    <w:p w:rsidR="00000000" w:rsidRDefault="000C45AD" w:rsidP="000C45AD">
      <w:pPr>
        <w:pStyle w:val="a6"/>
        <w:numPr>
          <w:ilvl w:val="0"/>
          <w:numId w:val="1"/>
        </w:numPr>
        <w:spacing w:line="312" w:lineRule="auto"/>
        <w:ind w:left="1548"/>
      </w:pPr>
      <w:r>
        <w:rPr>
          <w:rFonts w:hint="eastAsia"/>
        </w:rPr>
        <w:t>控制了麻疹：</w:t>
      </w:r>
      <w:r>
        <w:t>1995</w:t>
      </w:r>
      <w:r>
        <w:rPr>
          <w:rFonts w:hint="eastAsia"/>
        </w:rPr>
        <w:t>年和</w:t>
      </w:r>
      <w:r>
        <w:t>1996</w:t>
      </w:r>
      <w:r>
        <w:rPr>
          <w:rFonts w:hint="eastAsia"/>
        </w:rPr>
        <w:t>年都没有新的病例；</w:t>
      </w:r>
    </w:p>
    <w:p w:rsidR="00000000" w:rsidRDefault="000C45AD" w:rsidP="000C45AD">
      <w:pPr>
        <w:pStyle w:val="a6"/>
        <w:numPr>
          <w:ilvl w:val="0"/>
          <w:numId w:val="1"/>
        </w:numPr>
        <w:spacing w:line="312" w:lineRule="auto"/>
        <w:ind w:left="1548"/>
      </w:pPr>
      <w:r>
        <w:rPr>
          <w:rFonts w:hint="eastAsia"/>
        </w:rPr>
        <w:t>控制了白喉：</w:t>
      </w:r>
      <w:r>
        <w:t>15</w:t>
      </w:r>
      <w:r>
        <w:rPr>
          <w:rFonts w:hint="eastAsia"/>
        </w:rPr>
        <w:t>年没有发生病例；</w:t>
      </w:r>
    </w:p>
    <w:p w:rsidR="00000000" w:rsidRDefault="000C45AD" w:rsidP="000C45AD">
      <w:pPr>
        <w:pStyle w:val="a6"/>
        <w:numPr>
          <w:ilvl w:val="0"/>
          <w:numId w:val="1"/>
        </w:numPr>
        <w:spacing w:line="312" w:lineRule="auto"/>
        <w:ind w:left="1548"/>
      </w:pPr>
      <w:r>
        <w:rPr>
          <w:rFonts w:hint="eastAsia"/>
        </w:rPr>
        <w:t>控制了</w:t>
      </w:r>
      <w:r>
        <w:t>15</w:t>
      </w:r>
      <w:r>
        <w:rPr>
          <w:rFonts w:hint="eastAsia"/>
        </w:rPr>
        <w:t>岁以下的结核性脑膜炎；和</w:t>
      </w:r>
    </w:p>
    <w:p w:rsidR="00000000" w:rsidRDefault="000C45AD" w:rsidP="000C45AD">
      <w:pPr>
        <w:pStyle w:val="a6"/>
        <w:numPr>
          <w:ilvl w:val="0"/>
          <w:numId w:val="1"/>
        </w:numPr>
        <w:spacing w:after="160" w:line="312" w:lineRule="auto"/>
        <w:ind w:left="1548"/>
        <w:textAlignment w:val="center"/>
      </w:pPr>
      <w:r>
        <w:rPr>
          <w:rFonts w:hint="eastAsia"/>
        </w:rPr>
        <w:t>控制了新生儿破伤风：在</w:t>
      </w:r>
      <w:r>
        <w:t>1996</w:t>
      </w:r>
      <w:r>
        <w:rPr>
          <w:rFonts w:hint="eastAsia"/>
        </w:rPr>
        <w:t>年几乎没有病例。</w:t>
      </w:r>
    </w:p>
    <w:p w:rsidR="00000000" w:rsidRDefault="000C45AD">
      <w:pPr>
        <w:pStyle w:val="Heading4"/>
        <w:spacing w:after="160"/>
        <w:textAlignment w:val="center"/>
      </w:pPr>
      <w:r>
        <w:rPr>
          <w:rFonts w:hint="eastAsia"/>
        </w:rPr>
        <w:t>预期寿命</w:t>
      </w:r>
    </w:p>
    <w:p w:rsidR="00000000" w:rsidRDefault="000C45AD">
      <w:r>
        <w:tab/>
        <w:t xml:space="preserve">238.  </w:t>
      </w:r>
      <w:r>
        <w:rPr>
          <w:rFonts w:hint="eastAsia"/>
        </w:rPr>
        <w:t>洪都拉斯没有可靠和最新的正式死亡登记制度，用来确定预期寿命；因而采用根据人口普查和人口调查的标</w:t>
      </w:r>
      <w:r>
        <w:rPr>
          <w:rFonts w:hint="eastAsia"/>
        </w:rPr>
        <w:t>准死亡表格估算和间接计算预期寿命。</w:t>
      </w:r>
    </w:p>
    <w:p w:rsidR="00000000" w:rsidRDefault="000C45AD">
      <w:r>
        <w:tab/>
        <w:t xml:space="preserve">239.  </w:t>
      </w:r>
      <w:r>
        <w:rPr>
          <w:rFonts w:hint="eastAsia"/>
        </w:rPr>
        <w:t>至</w:t>
      </w:r>
      <w:r>
        <w:t>1998</w:t>
      </w:r>
      <w:r>
        <w:rPr>
          <w:rFonts w:hint="eastAsia"/>
        </w:rPr>
        <w:t>年，洪都拉斯根据最近一次人口普查</w:t>
      </w:r>
      <w:r>
        <w:t>(1988</w:t>
      </w:r>
      <w:r>
        <w:rPr>
          <w:rFonts w:hint="eastAsia"/>
        </w:rPr>
        <w:t>年</w:t>
      </w:r>
      <w:r>
        <w:t>)</w:t>
      </w:r>
      <w:r>
        <w:rPr>
          <w:rFonts w:hint="eastAsia"/>
        </w:rPr>
        <w:t>的预测，但出生时可得到的预期寿命的数据没有按照年龄组详细划分。这个数据基本上被认为是可靠的，代表了整个人口的情况。</w:t>
      </w:r>
    </w:p>
    <w:p w:rsidR="00000000" w:rsidRDefault="000C45AD">
      <w:pPr>
        <w:pStyle w:val="Heading3"/>
        <w:spacing w:before="320"/>
        <w:textAlignment w:val="center"/>
      </w:pPr>
      <w:r>
        <w:t>1995</w:t>
      </w:r>
      <w:r>
        <w:rPr>
          <w:rFonts w:hint="eastAsia"/>
        </w:rPr>
        <w:t>年洪都拉斯按性别划分的预期寿命</w:t>
      </w:r>
      <w:r>
        <w:t>(</w:t>
      </w:r>
      <w:r>
        <w:rPr>
          <w:rFonts w:hint="eastAsia"/>
        </w:rPr>
        <w:t>年龄</w:t>
      </w:r>
      <w:r>
        <w:t>)</w:t>
      </w:r>
    </w:p>
    <w:tbl>
      <w:tblPr>
        <w:tblW w:w="0" w:type="auto"/>
        <w:tblInd w:w="10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151"/>
        <w:gridCol w:w="3049"/>
      </w:tblGrid>
      <w:tr w:rsidR="00000000">
        <w:tblPrEx>
          <w:tblCellMar>
            <w:top w:w="0" w:type="dxa"/>
            <w:bottom w:w="0" w:type="dxa"/>
          </w:tblCellMar>
        </w:tblPrEx>
        <w:tc>
          <w:tcPr>
            <w:tcW w:w="4151" w:type="dxa"/>
          </w:tcPr>
          <w:p w:rsidR="00000000" w:rsidRDefault="000C45AD">
            <w:pPr>
              <w:spacing w:before="120" w:after="40" w:line="288" w:lineRule="auto"/>
              <w:jc w:val="center"/>
              <w:rPr>
                <w:sz w:val="21"/>
              </w:rPr>
            </w:pPr>
            <w:r>
              <w:rPr>
                <w:rFonts w:hint="eastAsia"/>
                <w:sz w:val="21"/>
              </w:rPr>
              <w:t>性</w:t>
            </w:r>
            <w:r>
              <w:rPr>
                <w:sz w:val="21"/>
              </w:rPr>
              <w:t xml:space="preserve">  </w:t>
            </w:r>
            <w:r>
              <w:rPr>
                <w:rFonts w:hint="eastAsia"/>
                <w:sz w:val="21"/>
              </w:rPr>
              <w:t>别</w:t>
            </w:r>
          </w:p>
        </w:tc>
        <w:tc>
          <w:tcPr>
            <w:tcW w:w="3049" w:type="dxa"/>
          </w:tcPr>
          <w:p w:rsidR="00000000" w:rsidRDefault="000C45AD">
            <w:pPr>
              <w:spacing w:before="120" w:after="40" w:line="288" w:lineRule="auto"/>
              <w:jc w:val="center"/>
              <w:rPr>
                <w:sz w:val="21"/>
              </w:rPr>
            </w:pPr>
            <w:r>
              <w:rPr>
                <w:rFonts w:hint="eastAsia"/>
                <w:sz w:val="21"/>
              </w:rPr>
              <w:t>预期寿命</w:t>
            </w:r>
          </w:p>
        </w:tc>
      </w:tr>
      <w:tr w:rsidR="00000000">
        <w:tblPrEx>
          <w:tblCellMar>
            <w:top w:w="0" w:type="dxa"/>
            <w:bottom w:w="0" w:type="dxa"/>
          </w:tblCellMar>
        </w:tblPrEx>
        <w:tc>
          <w:tcPr>
            <w:tcW w:w="4151" w:type="dxa"/>
          </w:tcPr>
          <w:p w:rsidR="00000000" w:rsidRDefault="000C45AD">
            <w:pPr>
              <w:spacing w:before="60" w:line="288" w:lineRule="auto"/>
              <w:ind w:left="284"/>
              <w:rPr>
                <w:sz w:val="21"/>
              </w:rPr>
            </w:pPr>
            <w:r>
              <w:rPr>
                <w:rFonts w:hint="eastAsia"/>
                <w:sz w:val="21"/>
              </w:rPr>
              <w:t>男</w:t>
            </w:r>
            <w:r>
              <w:rPr>
                <w:sz w:val="21"/>
              </w:rPr>
              <w:t xml:space="preserve">  </w:t>
            </w:r>
            <w:r>
              <w:rPr>
                <w:rFonts w:hint="eastAsia"/>
                <w:sz w:val="21"/>
              </w:rPr>
              <w:t>子</w:t>
            </w:r>
          </w:p>
        </w:tc>
        <w:tc>
          <w:tcPr>
            <w:tcW w:w="3049" w:type="dxa"/>
          </w:tcPr>
          <w:p w:rsidR="00000000" w:rsidRDefault="000C45AD">
            <w:pPr>
              <w:spacing w:before="60" w:line="288" w:lineRule="auto"/>
              <w:jc w:val="center"/>
              <w:rPr>
                <w:sz w:val="21"/>
              </w:rPr>
            </w:pPr>
            <w:r>
              <w:rPr>
                <w:sz w:val="21"/>
              </w:rPr>
              <w:t>65.64</w:t>
            </w:r>
          </w:p>
        </w:tc>
      </w:tr>
      <w:tr w:rsidR="00000000">
        <w:tblPrEx>
          <w:tblCellMar>
            <w:top w:w="0" w:type="dxa"/>
            <w:bottom w:w="0" w:type="dxa"/>
          </w:tblCellMar>
        </w:tblPrEx>
        <w:tc>
          <w:tcPr>
            <w:tcW w:w="4151" w:type="dxa"/>
          </w:tcPr>
          <w:p w:rsidR="00000000" w:rsidRDefault="000C45AD">
            <w:pPr>
              <w:spacing w:before="60" w:line="288" w:lineRule="auto"/>
              <w:ind w:left="284"/>
              <w:rPr>
                <w:sz w:val="21"/>
              </w:rPr>
            </w:pPr>
            <w:r>
              <w:rPr>
                <w:rFonts w:hint="eastAsia"/>
                <w:sz w:val="21"/>
              </w:rPr>
              <w:t>妇</w:t>
            </w:r>
            <w:r>
              <w:rPr>
                <w:sz w:val="21"/>
              </w:rPr>
              <w:t xml:space="preserve">  </w:t>
            </w:r>
            <w:r>
              <w:rPr>
                <w:rFonts w:hint="eastAsia"/>
                <w:sz w:val="21"/>
              </w:rPr>
              <w:t>女</w:t>
            </w:r>
          </w:p>
        </w:tc>
        <w:tc>
          <w:tcPr>
            <w:tcW w:w="3049" w:type="dxa"/>
          </w:tcPr>
          <w:p w:rsidR="00000000" w:rsidRDefault="000C45AD">
            <w:pPr>
              <w:spacing w:before="60" w:line="288" w:lineRule="auto"/>
              <w:jc w:val="center"/>
              <w:rPr>
                <w:sz w:val="21"/>
              </w:rPr>
            </w:pPr>
            <w:r>
              <w:rPr>
                <w:sz w:val="21"/>
              </w:rPr>
              <w:t>70.55</w:t>
            </w:r>
          </w:p>
        </w:tc>
      </w:tr>
      <w:tr w:rsidR="00000000">
        <w:tblPrEx>
          <w:tblCellMar>
            <w:top w:w="0" w:type="dxa"/>
            <w:bottom w:w="0" w:type="dxa"/>
          </w:tblCellMar>
        </w:tblPrEx>
        <w:tc>
          <w:tcPr>
            <w:tcW w:w="4151" w:type="dxa"/>
          </w:tcPr>
          <w:p w:rsidR="00000000" w:rsidRDefault="000C45AD">
            <w:pPr>
              <w:spacing w:before="60" w:line="288" w:lineRule="auto"/>
              <w:ind w:left="284"/>
              <w:rPr>
                <w:sz w:val="21"/>
              </w:rPr>
            </w:pPr>
            <w:r>
              <w:rPr>
                <w:rFonts w:hint="eastAsia"/>
                <w:sz w:val="21"/>
              </w:rPr>
              <w:t>全人口</w:t>
            </w:r>
          </w:p>
        </w:tc>
        <w:tc>
          <w:tcPr>
            <w:tcW w:w="3049" w:type="dxa"/>
          </w:tcPr>
          <w:p w:rsidR="00000000" w:rsidRDefault="000C45AD">
            <w:pPr>
              <w:spacing w:before="60" w:line="288" w:lineRule="auto"/>
              <w:jc w:val="center"/>
              <w:rPr>
                <w:sz w:val="21"/>
              </w:rPr>
            </w:pPr>
            <w:r>
              <w:rPr>
                <w:sz w:val="21"/>
              </w:rPr>
              <w:t>68.04</w:t>
            </w:r>
          </w:p>
        </w:tc>
      </w:tr>
    </w:tbl>
    <w:p w:rsidR="00000000" w:rsidRDefault="000C45AD">
      <w:pPr>
        <w:pStyle w:val="FootnoteText"/>
        <w:spacing w:before="240" w:after="160" w:line="336" w:lineRule="auto"/>
        <w:ind w:left="1020" w:hanging="748"/>
        <w:textAlignment w:val="center"/>
      </w:pPr>
      <w:r>
        <w:rPr>
          <w:rFonts w:hint="eastAsia"/>
          <w:u w:val="single"/>
        </w:rPr>
        <w:t>来源</w:t>
      </w:r>
      <w:r>
        <w:rPr>
          <w:rFonts w:hint="eastAsia"/>
        </w:rPr>
        <w:t>：</w:t>
      </w:r>
      <w:r>
        <w:t>SECPLAN</w:t>
      </w:r>
      <w:r>
        <w:rPr>
          <w:rFonts w:hint="eastAsia"/>
        </w:rPr>
        <w:t>，</w:t>
      </w:r>
      <w:r>
        <w:t>1992</w:t>
      </w:r>
      <w:r>
        <w:rPr>
          <w:rFonts w:hint="eastAsia"/>
        </w:rPr>
        <w:t>年洪都拉斯按性别和年龄划分的人口预测</w:t>
      </w:r>
      <w:r>
        <w:t>(1988</w:t>
      </w:r>
      <w:r>
        <w:rPr>
          <w:rFonts w:hint="eastAsia"/>
        </w:rPr>
        <w:t>－</w:t>
      </w:r>
      <w:r>
        <w:t>2050)</w:t>
      </w:r>
      <w:r>
        <w:rPr>
          <w:rFonts w:hint="eastAsia"/>
        </w:rPr>
        <w:t>。</w:t>
      </w:r>
    </w:p>
    <w:p w:rsidR="00000000" w:rsidRDefault="000C45AD">
      <w:pPr>
        <w:pStyle w:val="NormalIndent"/>
      </w:pPr>
      <w:r>
        <w:t xml:space="preserve">240.  </w:t>
      </w:r>
      <w:r>
        <w:rPr>
          <w:rFonts w:hint="eastAsia"/>
        </w:rPr>
        <w:t>第二次评估</w:t>
      </w:r>
      <w:r>
        <w:t>(1985</w:t>
      </w:r>
      <w:r>
        <w:rPr>
          <w:rFonts w:hint="eastAsia"/>
        </w:rPr>
        <w:t>至</w:t>
      </w:r>
      <w:r>
        <w:t>1990</w:t>
      </w:r>
      <w:r>
        <w:rPr>
          <w:rFonts w:hint="eastAsia"/>
        </w:rPr>
        <w:t>年</w:t>
      </w:r>
      <w:r>
        <w:t>)</w:t>
      </w:r>
      <w:r>
        <w:rPr>
          <w:rFonts w:hint="eastAsia"/>
        </w:rPr>
        <w:t>估算的整个人</w:t>
      </w:r>
      <w:r>
        <w:rPr>
          <w:rFonts w:hint="eastAsia"/>
        </w:rPr>
        <w:t>口的预期寿命是</w:t>
      </w:r>
      <w:r>
        <w:t>64</w:t>
      </w:r>
      <w:r>
        <w:rPr>
          <w:rFonts w:hint="eastAsia"/>
        </w:rPr>
        <w:t>岁，而第三次评估表明预期寿命增加了</w:t>
      </w:r>
      <w:r>
        <w:t>4</w:t>
      </w:r>
      <w:r>
        <w:rPr>
          <w:rFonts w:hint="eastAsia"/>
        </w:rPr>
        <w:t>年，说明人口有一定的老龄化，这又引起另一种需求</w:t>
      </w:r>
      <w:r>
        <w:rPr>
          <w:rFonts w:hint="eastAsia"/>
          <w:spacing w:val="-40"/>
        </w:rPr>
        <w:t>——</w:t>
      </w:r>
      <w:r>
        <w:t xml:space="preserve"> </w:t>
      </w:r>
      <w:r>
        <w:rPr>
          <w:rFonts w:hint="eastAsia"/>
        </w:rPr>
        <w:t>解决老年问题</w:t>
      </w:r>
      <w:r>
        <w:rPr>
          <w:rFonts w:hint="eastAsia"/>
          <w:spacing w:val="-40"/>
        </w:rPr>
        <w:t>——</w:t>
      </w:r>
      <w:r>
        <w:t xml:space="preserve"> </w:t>
      </w:r>
      <w:r>
        <w:rPr>
          <w:rFonts w:hint="eastAsia"/>
        </w:rPr>
        <w:t>在青年人口问题尚没有完全解决的情况下，对卫生保健工作又增加了新的繁重负担。</w:t>
      </w:r>
    </w:p>
    <w:p w:rsidR="00000000" w:rsidRDefault="000C45AD">
      <w:pPr>
        <w:pStyle w:val="NormalIndent"/>
      </w:pPr>
      <w:r>
        <w:t xml:space="preserve">241.  </w:t>
      </w:r>
      <w:r>
        <w:rPr>
          <w:rFonts w:hint="eastAsia"/>
        </w:rPr>
        <w:t>通过更有效的社会参与，改进卫生保健服务的提供、大大提高妇女参与解决她们自己日常生活的问题以及其他因素来巩固民主制度，有助于在人民物质生活标准明显下降的情况下稳定地提高预期寿命。</w:t>
      </w:r>
    </w:p>
    <w:p w:rsidR="00000000" w:rsidRDefault="000C45AD">
      <w:pPr>
        <w:pStyle w:val="NormalIndent"/>
        <w:spacing w:after="320"/>
        <w:textAlignment w:val="center"/>
      </w:pPr>
      <w:r>
        <w:t xml:space="preserve">242.  </w:t>
      </w:r>
      <w:r>
        <w:rPr>
          <w:rFonts w:hint="eastAsia"/>
        </w:rPr>
        <w:t>该国经济结构陈旧，在全球经济过程中处于不利地位，因而生产力发展有限等都严重妨碍该国提高预期寿命的努力。但是，近</w:t>
      </w:r>
      <w:r>
        <w:rPr>
          <w:rFonts w:hint="eastAsia"/>
        </w:rPr>
        <w:t>几年来社会部门，特别在卫生保健部门的重大投资、在解决卫生保健问题中较为良好的社会反应，以及民主化和社会成熟性的提高，卫生保健服务提供的改进等也有利地影响了预期寿命。</w:t>
      </w:r>
    </w:p>
    <w:p w:rsidR="00000000" w:rsidRDefault="000C45AD">
      <w:pPr>
        <w:pStyle w:val="Heading4"/>
      </w:pPr>
      <w:r>
        <w:rPr>
          <w:rFonts w:hint="eastAsia"/>
        </w:rPr>
        <w:t>享有保健服务的人口</w:t>
      </w:r>
    </w:p>
    <w:p w:rsidR="00000000" w:rsidRDefault="000C45AD">
      <w:pPr>
        <w:pStyle w:val="NormalIndent"/>
      </w:pPr>
      <w:r>
        <w:t>243.  1991</w:t>
      </w:r>
      <w:r>
        <w:rPr>
          <w:rFonts w:hint="eastAsia"/>
        </w:rPr>
        <w:t>年至</w:t>
      </w:r>
      <w:r>
        <w:t>1992</w:t>
      </w:r>
      <w:r>
        <w:rPr>
          <w:rFonts w:hint="eastAsia"/>
        </w:rPr>
        <w:t>年</w:t>
      </w:r>
      <w:r>
        <w:t>ENESF</w:t>
      </w:r>
      <w:r>
        <w:rPr>
          <w:rFonts w:hint="eastAsia"/>
        </w:rPr>
        <w:t>调查结果表明，</w:t>
      </w:r>
      <w:r>
        <w:t>60%</w:t>
      </w:r>
      <w:r>
        <w:rPr>
          <w:rFonts w:hint="eastAsia"/>
        </w:rPr>
        <w:t>的家庭利用最普通的交通工具需不到一小时的时间到达最近的保健设施；</w:t>
      </w:r>
      <w:r>
        <w:t>28%</w:t>
      </w:r>
      <w:r>
        <w:rPr>
          <w:rFonts w:hint="eastAsia"/>
        </w:rPr>
        <w:t>需要</w:t>
      </w:r>
      <w:r>
        <w:t>1</w:t>
      </w:r>
      <w:r>
        <w:rPr>
          <w:rFonts w:hint="eastAsia"/>
        </w:rPr>
        <w:t>至</w:t>
      </w:r>
      <w:r>
        <w:t>3</w:t>
      </w:r>
      <w:r>
        <w:rPr>
          <w:rFonts w:hint="eastAsia"/>
        </w:rPr>
        <w:t>小时、</w:t>
      </w:r>
      <w:r>
        <w:t>8%</w:t>
      </w:r>
      <w:r>
        <w:rPr>
          <w:rFonts w:hint="eastAsia"/>
        </w:rPr>
        <w:t>需要</w:t>
      </w:r>
      <w:r>
        <w:t>3</w:t>
      </w:r>
      <w:r>
        <w:rPr>
          <w:rFonts w:hint="eastAsia"/>
        </w:rPr>
        <w:t>小时以上。根据</w:t>
      </w:r>
      <w:r>
        <w:t xml:space="preserve">EISE-93, </w:t>
      </w:r>
      <w:r>
        <w:rPr>
          <w:rFonts w:hint="eastAsia"/>
        </w:rPr>
        <w:t>需不到</w:t>
      </w:r>
      <w:r>
        <w:t>1</w:t>
      </w:r>
      <w:r>
        <w:rPr>
          <w:rFonts w:hint="eastAsia"/>
        </w:rPr>
        <w:t>小时的时间到达最近的保健设施的家庭比例增加至</w:t>
      </w:r>
      <w:r>
        <w:t>68.5%</w:t>
      </w:r>
      <w:r>
        <w:rPr>
          <w:rFonts w:hint="eastAsia"/>
        </w:rPr>
        <w:t>，其他两类的数字分别下降至</w:t>
      </w:r>
      <w:r>
        <w:t>27%</w:t>
      </w:r>
      <w:r>
        <w:rPr>
          <w:rFonts w:hint="eastAsia"/>
        </w:rPr>
        <w:t>和</w:t>
      </w:r>
      <w:r>
        <w:t>3.5%</w:t>
      </w:r>
      <w:r>
        <w:rPr>
          <w:rFonts w:hint="eastAsia"/>
        </w:rPr>
        <w:t>。</w:t>
      </w:r>
    </w:p>
    <w:p w:rsidR="00000000" w:rsidRDefault="000C45AD">
      <w:pPr>
        <w:pStyle w:val="NormalIndent"/>
        <w:spacing w:after="320"/>
        <w:textAlignment w:val="center"/>
      </w:pPr>
      <w:r>
        <w:t xml:space="preserve">244.  </w:t>
      </w:r>
      <w:r>
        <w:rPr>
          <w:rFonts w:hint="eastAsia"/>
        </w:rPr>
        <w:t>经分析的资料提</w:t>
      </w:r>
      <w:r>
        <w:rPr>
          <w:rFonts w:hint="eastAsia"/>
        </w:rPr>
        <w:t>供了有关人们获得卫生服务的一些情况。但卫生服务的享有受到其他一些与人力、财力、体力和物质资源提供和管理有关的其他因素的影响。</w:t>
      </w:r>
    </w:p>
    <w:p w:rsidR="00000000" w:rsidRDefault="000C45AD">
      <w:pPr>
        <w:pStyle w:val="Heading3"/>
      </w:pPr>
      <w:r>
        <w:rPr>
          <w:rFonts w:hint="eastAsia"/>
        </w:rPr>
        <w:t>按到达最近的卫生保健设施所需时间</w:t>
      </w:r>
      <w:r>
        <w:t>(</w:t>
      </w:r>
      <w:r>
        <w:rPr>
          <w:rFonts w:hint="eastAsia"/>
        </w:rPr>
        <w:t>小时</w:t>
      </w:r>
      <w:r>
        <w:t>)</w:t>
      </w:r>
      <w:r>
        <w:rPr>
          <w:rFonts w:hint="eastAsia"/>
        </w:rPr>
        <w:t>和</w:t>
      </w:r>
      <w:r>
        <w:br/>
      </w:r>
      <w:r>
        <w:rPr>
          <w:rFonts w:hint="eastAsia"/>
        </w:rPr>
        <w:t>居住地区分列的家庭比例</w:t>
      </w:r>
      <w:r>
        <w:t>1991</w:t>
      </w:r>
      <w:r>
        <w:rPr>
          <w:rFonts w:hint="eastAsia"/>
        </w:rPr>
        <w:t>和</w:t>
      </w:r>
      <w:r>
        <w:t>1993</w:t>
      </w:r>
      <w:r>
        <w:rPr>
          <w:rFonts w:hint="eastAsia"/>
        </w:rPr>
        <w:t>年</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08"/>
        <w:gridCol w:w="1183"/>
        <w:gridCol w:w="1183"/>
        <w:gridCol w:w="1183"/>
        <w:gridCol w:w="1183"/>
        <w:gridCol w:w="1183"/>
        <w:gridCol w:w="1183"/>
      </w:tblGrid>
      <w:tr w:rsidR="00000000">
        <w:tblPrEx>
          <w:tblCellMar>
            <w:top w:w="0" w:type="dxa"/>
            <w:bottom w:w="0" w:type="dxa"/>
          </w:tblCellMar>
        </w:tblPrEx>
        <w:tc>
          <w:tcPr>
            <w:tcW w:w="2308" w:type="dxa"/>
            <w:tcBorders>
              <w:bottom w:val="nil"/>
            </w:tcBorders>
          </w:tcPr>
          <w:p w:rsidR="00000000" w:rsidRDefault="000C45AD">
            <w:pPr>
              <w:spacing w:before="120" w:after="80" w:line="240" w:lineRule="auto"/>
              <w:jc w:val="center"/>
              <w:rPr>
                <w:sz w:val="21"/>
              </w:rPr>
            </w:pPr>
            <w:r>
              <w:rPr>
                <w:rFonts w:hint="eastAsia"/>
                <w:sz w:val="21"/>
              </w:rPr>
              <w:t>时间</w:t>
            </w:r>
            <w:r>
              <w:rPr>
                <w:sz w:val="21"/>
              </w:rPr>
              <w:t>(</w:t>
            </w:r>
            <w:r>
              <w:rPr>
                <w:rFonts w:hint="eastAsia"/>
                <w:sz w:val="21"/>
              </w:rPr>
              <w:t>小时</w:t>
            </w:r>
            <w:r>
              <w:rPr>
                <w:sz w:val="21"/>
              </w:rPr>
              <w:t>)</w:t>
            </w:r>
          </w:p>
        </w:tc>
        <w:tc>
          <w:tcPr>
            <w:tcW w:w="2366" w:type="dxa"/>
            <w:gridSpan w:val="2"/>
          </w:tcPr>
          <w:p w:rsidR="00000000" w:rsidRDefault="000C45AD">
            <w:pPr>
              <w:spacing w:before="120" w:after="80" w:line="240" w:lineRule="auto"/>
              <w:jc w:val="center"/>
              <w:rPr>
                <w:sz w:val="21"/>
              </w:rPr>
            </w:pPr>
            <w:r>
              <w:rPr>
                <w:rFonts w:hint="eastAsia"/>
                <w:sz w:val="21"/>
              </w:rPr>
              <w:t>总</w:t>
            </w:r>
            <w:r>
              <w:rPr>
                <w:sz w:val="21"/>
              </w:rPr>
              <w:t xml:space="preserve">  </w:t>
            </w:r>
            <w:r>
              <w:rPr>
                <w:rFonts w:hint="eastAsia"/>
                <w:sz w:val="21"/>
              </w:rPr>
              <w:t>数</w:t>
            </w:r>
          </w:p>
        </w:tc>
        <w:tc>
          <w:tcPr>
            <w:tcW w:w="2366" w:type="dxa"/>
            <w:gridSpan w:val="2"/>
          </w:tcPr>
          <w:p w:rsidR="00000000" w:rsidRDefault="000C45AD">
            <w:pPr>
              <w:spacing w:before="120" w:after="80" w:line="240" w:lineRule="auto"/>
              <w:jc w:val="center"/>
              <w:rPr>
                <w:sz w:val="21"/>
              </w:rPr>
            </w:pPr>
            <w:r>
              <w:rPr>
                <w:rFonts w:hint="eastAsia"/>
                <w:sz w:val="21"/>
              </w:rPr>
              <w:t>城</w:t>
            </w:r>
            <w:r>
              <w:rPr>
                <w:sz w:val="21"/>
              </w:rPr>
              <w:t xml:space="preserve">  </w:t>
            </w:r>
            <w:r>
              <w:rPr>
                <w:rFonts w:hint="eastAsia"/>
                <w:sz w:val="21"/>
              </w:rPr>
              <w:t>市</w:t>
            </w:r>
          </w:p>
        </w:tc>
        <w:tc>
          <w:tcPr>
            <w:tcW w:w="2366" w:type="dxa"/>
            <w:gridSpan w:val="2"/>
          </w:tcPr>
          <w:p w:rsidR="00000000" w:rsidRDefault="000C45AD">
            <w:pPr>
              <w:spacing w:before="120" w:after="80" w:line="240" w:lineRule="auto"/>
              <w:jc w:val="center"/>
              <w:rPr>
                <w:sz w:val="21"/>
              </w:rPr>
            </w:pPr>
            <w:r>
              <w:rPr>
                <w:rFonts w:hint="eastAsia"/>
                <w:sz w:val="21"/>
              </w:rPr>
              <w:t>农</w:t>
            </w:r>
            <w:r>
              <w:rPr>
                <w:sz w:val="21"/>
              </w:rPr>
              <w:t xml:space="preserve">  </w:t>
            </w:r>
            <w:r>
              <w:rPr>
                <w:rFonts w:hint="eastAsia"/>
                <w:sz w:val="21"/>
              </w:rPr>
              <w:t>村</w:t>
            </w:r>
          </w:p>
        </w:tc>
      </w:tr>
      <w:tr w:rsidR="00000000">
        <w:tblPrEx>
          <w:tblCellMar>
            <w:top w:w="0" w:type="dxa"/>
            <w:bottom w:w="0" w:type="dxa"/>
          </w:tblCellMar>
        </w:tblPrEx>
        <w:tc>
          <w:tcPr>
            <w:tcW w:w="2308" w:type="dxa"/>
            <w:tcBorders>
              <w:top w:val="nil"/>
              <w:bottom w:val="single" w:sz="6" w:space="0" w:color="auto"/>
            </w:tcBorders>
          </w:tcPr>
          <w:p w:rsidR="00000000" w:rsidRDefault="000C45AD">
            <w:pPr>
              <w:spacing w:before="120" w:after="80" w:line="240" w:lineRule="auto"/>
              <w:jc w:val="center"/>
              <w:rPr>
                <w:sz w:val="21"/>
              </w:rPr>
            </w:pPr>
          </w:p>
        </w:tc>
        <w:tc>
          <w:tcPr>
            <w:tcW w:w="1183" w:type="dxa"/>
            <w:tcBorders>
              <w:bottom w:val="nil"/>
            </w:tcBorders>
          </w:tcPr>
          <w:p w:rsidR="00000000" w:rsidRDefault="000C45AD">
            <w:pPr>
              <w:spacing w:before="120" w:after="80" w:line="240" w:lineRule="auto"/>
              <w:jc w:val="center"/>
              <w:rPr>
                <w:sz w:val="21"/>
              </w:rPr>
            </w:pPr>
            <w:r>
              <w:rPr>
                <w:sz w:val="21"/>
              </w:rPr>
              <w:t>1991</w:t>
            </w:r>
          </w:p>
        </w:tc>
        <w:tc>
          <w:tcPr>
            <w:tcW w:w="1183" w:type="dxa"/>
            <w:tcBorders>
              <w:bottom w:val="nil"/>
            </w:tcBorders>
          </w:tcPr>
          <w:p w:rsidR="00000000" w:rsidRDefault="000C45AD">
            <w:pPr>
              <w:spacing w:before="120" w:after="80" w:line="240" w:lineRule="auto"/>
              <w:jc w:val="center"/>
              <w:rPr>
                <w:sz w:val="21"/>
              </w:rPr>
            </w:pPr>
            <w:r>
              <w:rPr>
                <w:sz w:val="21"/>
              </w:rPr>
              <w:t>1993</w:t>
            </w:r>
          </w:p>
        </w:tc>
        <w:tc>
          <w:tcPr>
            <w:tcW w:w="1183" w:type="dxa"/>
            <w:tcBorders>
              <w:bottom w:val="nil"/>
            </w:tcBorders>
          </w:tcPr>
          <w:p w:rsidR="00000000" w:rsidRDefault="000C45AD">
            <w:pPr>
              <w:spacing w:before="120" w:after="80" w:line="240" w:lineRule="auto"/>
              <w:jc w:val="center"/>
              <w:rPr>
                <w:sz w:val="21"/>
              </w:rPr>
            </w:pPr>
            <w:r>
              <w:rPr>
                <w:sz w:val="21"/>
              </w:rPr>
              <w:t>1991</w:t>
            </w:r>
          </w:p>
        </w:tc>
        <w:tc>
          <w:tcPr>
            <w:tcW w:w="1183" w:type="dxa"/>
            <w:tcBorders>
              <w:bottom w:val="nil"/>
            </w:tcBorders>
          </w:tcPr>
          <w:p w:rsidR="00000000" w:rsidRDefault="000C45AD">
            <w:pPr>
              <w:spacing w:before="120" w:after="80" w:line="240" w:lineRule="auto"/>
              <w:jc w:val="center"/>
              <w:rPr>
                <w:sz w:val="21"/>
              </w:rPr>
            </w:pPr>
            <w:r>
              <w:rPr>
                <w:sz w:val="21"/>
              </w:rPr>
              <w:t>1993</w:t>
            </w:r>
          </w:p>
        </w:tc>
        <w:tc>
          <w:tcPr>
            <w:tcW w:w="1183" w:type="dxa"/>
            <w:tcBorders>
              <w:bottom w:val="nil"/>
            </w:tcBorders>
          </w:tcPr>
          <w:p w:rsidR="00000000" w:rsidRDefault="000C45AD">
            <w:pPr>
              <w:spacing w:before="120" w:after="80" w:line="240" w:lineRule="auto"/>
              <w:jc w:val="center"/>
              <w:rPr>
                <w:sz w:val="21"/>
              </w:rPr>
            </w:pPr>
            <w:r>
              <w:rPr>
                <w:sz w:val="21"/>
              </w:rPr>
              <w:t>1991</w:t>
            </w:r>
          </w:p>
        </w:tc>
        <w:tc>
          <w:tcPr>
            <w:tcW w:w="1183" w:type="dxa"/>
            <w:tcBorders>
              <w:bottom w:val="nil"/>
            </w:tcBorders>
          </w:tcPr>
          <w:p w:rsidR="00000000" w:rsidRDefault="000C45AD">
            <w:pPr>
              <w:spacing w:before="120" w:after="80" w:line="240" w:lineRule="auto"/>
              <w:jc w:val="center"/>
              <w:rPr>
                <w:sz w:val="21"/>
              </w:rPr>
            </w:pPr>
            <w:r>
              <w:rPr>
                <w:sz w:val="21"/>
              </w:rPr>
              <w:t>1993</w:t>
            </w:r>
          </w:p>
        </w:tc>
      </w:tr>
      <w:tr w:rsidR="00000000">
        <w:tblPrEx>
          <w:tblCellMar>
            <w:top w:w="0" w:type="dxa"/>
            <w:bottom w:w="0" w:type="dxa"/>
          </w:tblCellMar>
        </w:tblPrEx>
        <w:tc>
          <w:tcPr>
            <w:tcW w:w="2308" w:type="dxa"/>
            <w:tcBorders>
              <w:top w:val="nil"/>
              <w:bottom w:val="nil"/>
            </w:tcBorders>
          </w:tcPr>
          <w:p w:rsidR="00000000" w:rsidRDefault="000C45AD">
            <w:pPr>
              <w:spacing w:before="80" w:line="288" w:lineRule="auto"/>
              <w:ind w:left="113"/>
              <w:rPr>
                <w:sz w:val="21"/>
              </w:rPr>
            </w:pPr>
            <w:r>
              <w:rPr>
                <w:sz w:val="21"/>
              </w:rPr>
              <w:sym w:font="Symbol" w:char="F03C"/>
            </w:r>
            <w:r>
              <w:rPr>
                <w:sz w:val="21"/>
              </w:rPr>
              <w:t xml:space="preserve"> 1</w:t>
            </w:r>
          </w:p>
        </w:tc>
        <w:tc>
          <w:tcPr>
            <w:tcW w:w="1183" w:type="dxa"/>
            <w:tcBorders>
              <w:bottom w:val="nil"/>
            </w:tcBorders>
          </w:tcPr>
          <w:p w:rsidR="00000000" w:rsidRDefault="000C45AD">
            <w:pPr>
              <w:tabs>
                <w:tab w:val="clear" w:pos="510"/>
                <w:tab w:val="clear" w:pos="1021"/>
                <w:tab w:val="clear" w:pos="1531"/>
                <w:tab w:val="clear" w:pos="2041"/>
                <w:tab w:val="decimal" w:pos="692"/>
              </w:tabs>
              <w:spacing w:before="80" w:line="288" w:lineRule="auto"/>
              <w:ind w:right="567"/>
              <w:rPr>
                <w:sz w:val="21"/>
              </w:rPr>
            </w:pPr>
            <w:r>
              <w:rPr>
                <w:sz w:val="21"/>
              </w:rPr>
              <w:t>59.8</w:t>
            </w:r>
          </w:p>
        </w:tc>
        <w:tc>
          <w:tcPr>
            <w:tcW w:w="1183" w:type="dxa"/>
            <w:tcBorders>
              <w:bottom w:val="nil"/>
            </w:tcBorders>
          </w:tcPr>
          <w:p w:rsidR="00000000" w:rsidRDefault="000C45AD">
            <w:pPr>
              <w:tabs>
                <w:tab w:val="clear" w:pos="510"/>
                <w:tab w:val="clear" w:pos="1021"/>
                <w:tab w:val="clear" w:pos="1531"/>
                <w:tab w:val="clear" w:pos="2041"/>
                <w:tab w:val="decimal" w:pos="692"/>
              </w:tabs>
              <w:spacing w:before="80" w:line="288" w:lineRule="auto"/>
              <w:ind w:right="567"/>
              <w:rPr>
                <w:sz w:val="21"/>
              </w:rPr>
            </w:pPr>
            <w:r>
              <w:rPr>
                <w:sz w:val="21"/>
              </w:rPr>
              <w:t>68.5</w:t>
            </w:r>
          </w:p>
        </w:tc>
        <w:tc>
          <w:tcPr>
            <w:tcW w:w="1183" w:type="dxa"/>
            <w:tcBorders>
              <w:bottom w:val="nil"/>
            </w:tcBorders>
          </w:tcPr>
          <w:p w:rsidR="00000000" w:rsidRDefault="000C45AD">
            <w:pPr>
              <w:tabs>
                <w:tab w:val="clear" w:pos="510"/>
                <w:tab w:val="clear" w:pos="1021"/>
                <w:tab w:val="clear" w:pos="1531"/>
                <w:tab w:val="clear" w:pos="2041"/>
                <w:tab w:val="decimal" w:pos="692"/>
              </w:tabs>
              <w:spacing w:before="80" w:line="288" w:lineRule="auto"/>
              <w:ind w:right="567"/>
              <w:rPr>
                <w:sz w:val="21"/>
              </w:rPr>
            </w:pPr>
            <w:r>
              <w:rPr>
                <w:sz w:val="21"/>
              </w:rPr>
              <w:t>37.5</w:t>
            </w:r>
          </w:p>
        </w:tc>
        <w:tc>
          <w:tcPr>
            <w:tcW w:w="1183" w:type="dxa"/>
            <w:tcBorders>
              <w:bottom w:val="nil"/>
            </w:tcBorders>
          </w:tcPr>
          <w:p w:rsidR="00000000" w:rsidRDefault="000C45AD">
            <w:pPr>
              <w:tabs>
                <w:tab w:val="clear" w:pos="510"/>
                <w:tab w:val="clear" w:pos="1021"/>
                <w:tab w:val="clear" w:pos="1531"/>
                <w:tab w:val="clear" w:pos="2041"/>
                <w:tab w:val="decimal" w:pos="692"/>
              </w:tabs>
              <w:spacing w:before="80" w:line="288" w:lineRule="auto"/>
              <w:ind w:right="567"/>
              <w:rPr>
                <w:sz w:val="21"/>
              </w:rPr>
            </w:pPr>
            <w:r>
              <w:rPr>
                <w:sz w:val="21"/>
              </w:rPr>
              <w:t>36.8</w:t>
            </w:r>
          </w:p>
        </w:tc>
        <w:tc>
          <w:tcPr>
            <w:tcW w:w="1183" w:type="dxa"/>
            <w:tcBorders>
              <w:bottom w:val="nil"/>
            </w:tcBorders>
          </w:tcPr>
          <w:p w:rsidR="00000000" w:rsidRDefault="000C45AD">
            <w:pPr>
              <w:tabs>
                <w:tab w:val="clear" w:pos="510"/>
                <w:tab w:val="clear" w:pos="1021"/>
                <w:tab w:val="clear" w:pos="1531"/>
                <w:tab w:val="clear" w:pos="2041"/>
                <w:tab w:val="decimal" w:pos="692"/>
              </w:tabs>
              <w:spacing w:before="80" w:line="288" w:lineRule="auto"/>
              <w:ind w:right="567"/>
              <w:rPr>
                <w:sz w:val="21"/>
              </w:rPr>
            </w:pPr>
            <w:r>
              <w:rPr>
                <w:sz w:val="21"/>
              </w:rPr>
              <w:t>22.6</w:t>
            </w:r>
          </w:p>
        </w:tc>
        <w:tc>
          <w:tcPr>
            <w:tcW w:w="1183" w:type="dxa"/>
            <w:tcBorders>
              <w:bottom w:val="nil"/>
            </w:tcBorders>
          </w:tcPr>
          <w:p w:rsidR="00000000" w:rsidRDefault="000C45AD">
            <w:pPr>
              <w:tabs>
                <w:tab w:val="clear" w:pos="510"/>
                <w:tab w:val="clear" w:pos="1021"/>
                <w:tab w:val="clear" w:pos="1531"/>
                <w:tab w:val="clear" w:pos="2041"/>
                <w:tab w:val="decimal" w:pos="692"/>
              </w:tabs>
              <w:spacing w:before="80" w:line="288" w:lineRule="auto"/>
              <w:ind w:right="567"/>
              <w:rPr>
                <w:sz w:val="21"/>
              </w:rPr>
            </w:pPr>
            <w:r>
              <w:rPr>
                <w:sz w:val="21"/>
              </w:rPr>
              <w:t>31.6</w:t>
            </w:r>
          </w:p>
        </w:tc>
      </w:tr>
      <w:tr w:rsidR="00000000">
        <w:tblPrEx>
          <w:tblCellMar>
            <w:top w:w="0" w:type="dxa"/>
            <w:bottom w:w="0" w:type="dxa"/>
          </w:tblCellMar>
        </w:tblPrEx>
        <w:tc>
          <w:tcPr>
            <w:tcW w:w="2308" w:type="dxa"/>
            <w:tcBorders>
              <w:top w:val="nil"/>
              <w:bottom w:val="nil"/>
            </w:tcBorders>
          </w:tcPr>
          <w:p w:rsidR="00000000" w:rsidRDefault="000C45AD">
            <w:pPr>
              <w:spacing w:line="288" w:lineRule="auto"/>
              <w:ind w:left="113"/>
              <w:rPr>
                <w:sz w:val="21"/>
              </w:rPr>
            </w:pPr>
            <w:r>
              <w:rPr>
                <w:sz w:val="21"/>
              </w:rPr>
              <w:t>1</w:t>
            </w:r>
            <w:r>
              <w:rPr>
                <w:rFonts w:hint="eastAsia"/>
                <w:sz w:val="21"/>
              </w:rPr>
              <w:t>至</w:t>
            </w:r>
            <w:r>
              <w:rPr>
                <w:sz w:val="21"/>
              </w:rPr>
              <w:sym w:font="Symbol" w:char="F03C"/>
            </w:r>
            <w:r>
              <w:rPr>
                <w:sz w:val="21"/>
              </w:rPr>
              <w:t xml:space="preserve"> 2</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19.7</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21.9</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5.0</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5.7</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14.6</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16.0</w:t>
            </w:r>
          </w:p>
        </w:tc>
      </w:tr>
      <w:tr w:rsidR="00000000">
        <w:tblPrEx>
          <w:tblCellMar>
            <w:top w:w="0" w:type="dxa"/>
            <w:bottom w:w="0" w:type="dxa"/>
          </w:tblCellMar>
        </w:tblPrEx>
        <w:tc>
          <w:tcPr>
            <w:tcW w:w="2308" w:type="dxa"/>
            <w:tcBorders>
              <w:top w:val="nil"/>
              <w:bottom w:val="nil"/>
            </w:tcBorders>
          </w:tcPr>
          <w:p w:rsidR="00000000" w:rsidRDefault="000C45AD">
            <w:pPr>
              <w:spacing w:line="288" w:lineRule="auto"/>
              <w:ind w:left="113"/>
              <w:rPr>
                <w:sz w:val="21"/>
              </w:rPr>
            </w:pPr>
            <w:r>
              <w:rPr>
                <w:sz w:val="21"/>
              </w:rPr>
              <w:t>2</w:t>
            </w:r>
            <w:r>
              <w:rPr>
                <w:rFonts w:hint="eastAsia"/>
                <w:sz w:val="21"/>
              </w:rPr>
              <w:t>至</w:t>
            </w:r>
            <w:r>
              <w:rPr>
                <w:sz w:val="21"/>
              </w:rPr>
              <w:sym w:font="Symbol" w:char="F03C"/>
            </w:r>
            <w:r>
              <w:rPr>
                <w:sz w:val="21"/>
              </w:rPr>
              <w:t xml:space="preserve"> 3</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8.4</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6.1</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0.3</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0.1</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8.</w:t>
            </w:r>
            <w:r>
              <w:rPr>
                <w:sz w:val="21"/>
              </w:rPr>
              <w:t>1</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6.0</w:t>
            </w:r>
          </w:p>
        </w:tc>
      </w:tr>
      <w:tr w:rsidR="00000000">
        <w:tblPrEx>
          <w:tblCellMar>
            <w:top w:w="0" w:type="dxa"/>
            <w:bottom w:w="0" w:type="dxa"/>
          </w:tblCellMar>
        </w:tblPrEx>
        <w:tc>
          <w:tcPr>
            <w:tcW w:w="2308" w:type="dxa"/>
            <w:tcBorders>
              <w:top w:val="nil"/>
              <w:bottom w:val="nil"/>
            </w:tcBorders>
          </w:tcPr>
          <w:p w:rsidR="00000000" w:rsidRDefault="000C45AD">
            <w:pPr>
              <w:spacing w:line="288" w:lineRule="auto"/>
              <w:ind w:left="113"/>
              <w:rPr>
                <w:sz w:val="21"/>
              </w:rPr>
            </w:pPr>
            <w:r>
              <w:rPr>
                <w:sz w:val="21"/>
              </w:rPr>
              <w:t>3</w:t>
            </w:r>
            <w:r>
              <w:rPr>
                <w:rFonts w:hint="eastAsia"/>
                <w:sz w:val="21"/>
              </w:rPr>
              <w:t>小时以上</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8.3</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3.4</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0.3</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0.1</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8.0</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3.4</w:t>
            </w:r>
          </w:p>
        </w:tc>
      </w:tr>
      <w:tr w:rsidR="00000000">
        <w:tblPrEx>
          <w:tblCellMar>
            <w:top w:w="0" w:type="dxa"/>
            <w:bottom w:w="0" w:type="dxa"/>
          </w:tblCellMar>
        </w:tblPrEx>
        <w:tc>
          <w:tcPr>
            <w:tcW w:w="2308" w:type="dxa"/>
            <w:tcBorders>
              <w:top w:val="nil"/>
              <w:bottom w:val="nil"/>
            </w:tcBorders>
          </w:tcPr>
          <w:p w:rsidR="00000000" w:rsidRDefault="000C45AD">
            <w:pPr>
              <w:spacing w:line="288" w:lineRule="auto"/>
              <w:ind w:left="113"/>
              <w:rPr>
                <w:sz w:val="21"/>
              </w:rPr>
            </w:pPr>
            <w:r>
              <w:rPr>
                <w:rFonts w:hint="eastAsia"/>
                <w:sz w:val="21"/>
              </w:rPr>
              <w:t>不就医</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3.6</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1.4</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2.6</w:t>
            </w:r>
          </w:p>
        </w:tc>
        <w:tc>
          <w:tcPr>
            <w:tcW w:w="1183" w:type="dxa"/>
            <w:tcBorders>
              <w:top w:val="nil"/>
              <w:bottom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w:t>
            </w:r>
          </w:p>
        </w:tc>
      </w:tr>
      <w:tr w:rsidR="00000000">
        <w:tblPrEx>
          <w:tblCellMar>
            <w:top w:w="0" w:type="dxa"/>
            <w:bottom w:w="0" w:type="dxa"/>
          </w:tblCellMar>
        </w:tblPrEx>
        <w:tc>
          <w:tcPr>
            <w:tcW w:w="2308" w:type="dxa"/>
            <w:tcBorders>
              <w:top w:val="nil"/>
            </w:tcBorders>
          </w:tcPr>
          <w:p w:rsidR="00000000" w:rsidRDefault="000C45AD">
            <w:pPr>
              <w:spacing w:line="288" w:lineRule="auto"/>
              <w:ind w:left="113"/>
              <w:rPr>
                <w:sz w:val="21"/>
              </w:rPr>
            </w:pPr>
            <w:r>
              <w:rPr>
                <w:rFonts w:hint="eastAsia"/>
                <w:sz w:val="21"/>
              </w:rPr>
              <w:t>其</w:t>
            </w:r>
            <w:r>
              <w:rPr>
                <w:sz w:val="21"/>
              </w:rPr>
              <w:t xml:space="preserve"> </w:t>
            </w:r>
            <w:r>
              <w:rPr>
                <w:rFonts w:hint="eastAsia"/>
                <w:sz w:val="21"/>
              </w:rPr>
              <w:t>他</w:t>
            </w:r>
          </w:p>
        </w:tc>
        <w:tc>
          <w:tcPr>
            <w:tcW w:w="1183" w:type="dxa"/>
            <w:tcBorders>
              <w:top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0.2</w:t>
            </w:r>
          </w:p>
        </w:tc>
        <w:tc>
          <w:tcPr>
            <w:tcW w:w="1183" w:type="dxa"/>
            <w:tcBorders>
              <w:top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0.1</w:t>
            </w:r>
          </w:p>
        </w:tc>
        <w:tc>
          <w:tcPr>
            <w:tcW w:w="1183" w:type="dxa"/>
            <w:tcBorders>
              <w:top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0.1</w:t>
            </w:r>
          </w:p>
        </w:tc>
        <w:tc>
          <w:tcPr>
            <w:tcW w:w="1183" w:type="dxa"/>
            <w:tcBorders>
              <w:top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0.1</w:t>
            </w:r>
          </w:p>
        </w:tc>
        <w:tc>
          <w:tcPr>
            <w:tcW w:w="1183" w:type="dxa"/>
            <w:tcBorders>
              <w:top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0.1</w:t>
            </w:r>
          </w:p>
        </w:tc>
        <w:tc>
          <w:tcPr>
            <w:tcW w:w="1183" w:type="dxa"/>
            <w:tcBorders>
              <w:top w:val="nil"/>
            </w:tcBorders>
          </w:tcPr>
          <w:p w:rsidR="00000000" w:rsidRDefault="000C45AD">
            <w:pPr>
              <w:tabs>
                <w:tab w:val="clear" w:pos="510"/>
                <w:tab w:val="clear" w:pos="1021"/>
                <w:tab w:val="clear" w:pos="1531"/>
                <w:tab w:val="clear" w:pos="2041"/>
                <w:tab w:val="decimal" w:pos="692"/>
              </w:tabs>
              <w:spacing w:line="288" w:lineRule="auto"/>
              <w:ind w:right="567"/>
              <w:rPr>
                <w:sz w:val="21"/>
              </w:rPr>
            </w:pPr>
            <w:r>
              <w:rPr>
                <w:sz w:val="21"/>
              </w:rPr>
              <w:t>0.0</w:t>
            </w:r>
          </w:p>
        </w:tc>
      </w:tr>
      <w:tr w:rsidR="00000000">
        <w:tblPrEx>
          <w:tblCellMar>
            <w:top w:w="0" w:type="dxa"/>
            <w:bottom w:w="0" w:type="dxa"/>
          </w:tblCellMar>
        </w:tblPrEx>
        <w:tc>
          <w:tcPr>
            <w:tcW w:w="2308" w:type="dxa"/>
          </w:tcPr>
          <w:p w:rsidR="00000000" w:rsidRDefault="000C45AD">
            <w:pPr>
              <w:spacing w:before="80" w:after="80" w:line="288" w:lineRule="auto"/>
              <w:jc w:val="center"/>
              <w:rPr>
                <w:rFonts w:ascii="SimHei" w:eastAsia="SimHei"/>
                <w:sz w:val="21"/>
              </w:rPr>
            </w:pPr>
            <w:r>
              <w:rPr>
                <w:rFonts w:ascii="SimHei" w:eastAsia="SimHei" w:hint="eastAsia"/>
                <w:sz w:val="21"/>
              </w:rPr>
              <w:t>总</w:t>
            </w:r>
            <w:r>
              <w:rPr>
                <w:rFonts w:ascii="SimHei" w:eastAsia="SimHei"/>
                <w:sz w:val="21"/>
              </w:rPr>
              <w:t xml:space="preserve">  </w:t>
            </w:r>
            <w:r>
              <w:rPr>
                <w:rFonts w:ascii="SimHei" w:eastAsia="SimHei" w:hint="eastAsia"/>
                <w:sz w:val="21"/>
              </w:rPr>
              <w:t>额</w:t>
            </w:r>
          </w:p>
        </w:tc>
        <w:tc>
          <w:tcPr>
            <w:tcW w:w="1183" w:type="dxa"/>
          </w:tcPr>
          <w:p w:rsidR="00000000" w:rsidRDefault="000C45AD">
            <w:pPr>
              <w:tabs>
                <w:tab w:val="clear" w:pos="510"/>
                <w:tab w:val="clear" w:pos="1021"/>
                <w:tab w:val="clear" w:pos="1531"/>
                <w:tab w:val="clear" w:pos="2041"/>
                <w:tab w:val="decimal" w:pos="692"/>
              </w:tabs>
              <w:spacing w:before="80" w:after="80" w:line="288" w:lineRule="auto"/>
              <w:ind w:right="567"/>
              <w:rPr>
                <w:b/>
                <w:sz w:val="21"/>
              </w:rPr>
            </w:pPr>
            <w:r>
              <w:rPr>
                <w:b/>
                <w:sz w:val="21"/>
              </w:rPr>
              <w:t>100.0</w:t>
            </w:r>
          </w:p>
        </w:tc>
        <w:tc>
          <w:tcPr>
            <w:tcW w:w="1183" w:type="dxa"/>
          </w:tcPr>
          <w:p w:rsidR="00000000" w:rsidRDefault="000C45AD">
            <w:pPr>
              <w:tabs>
                <w:tab w:val="clear" w:pos="510"/>
                <w:tab w:val="clear" w:pos="1021"/>
                <w:tab w:val="clear" w:pos="1531"/>
                <w:tab w:val="clear" w:pos="2041"/>
                <w:tab w:val="decimal" w:pos="692"/>
              </w:tabs>
              <w:spacing w:before="80" w:after="80" w:line="288" w:lineRule="auto"/>
              <w:ind w:right="567"/>
              <w:rPr>
                <w:b/>
                <w:sz w:val="21"/>
              </w:rPr>
            </w:pPr>
            <w:r>
              <w:rPr>
                <w:b/>
                <w:sz w:val="21"/>
              </w:rPr>
              <w:t>100.0</w:t>
            </w:r>
          </w:p>
        </w:tc>
        <w:tc>
          <w:tcPr>
            <w:tcW w:w="1183" w:type="dxa"/>
          </w:tcPr>
          <w:p w:rsidR="00000000" w:rsidRDefault="000C45AD">
            <w:pPr>
              <w:tabs>
                <w:tab w:val="clear" w:pos="510"/>
                <w:tab w:val="clear" w:pos="1021"/>
                <w:tab w:val="clear" w:pos="1531"/>
                <w:tab w:val="clear" w:pos="2041"/>
                <w:tab w:val="decimal" w:pos="692"/>
              </w:tabs>
              <w:spacing w:before="80" w:after="80" w:line="288" w:lineRule="auto"/>
              <w:ind w:right="567"/>
              <w:rPr>
                <w:b/>
                <w:sz w:val="21"/>
              </w:rPr>
            </w:pPr>
            <w:r>
              <w:rPr>
                <w:b/>
                <w:sz w:val="21"/>
              </w:rPr>
              <w:t>44.6</w:t>
            </w:r>
          </w:p>
        </w:tc>
        <w:tc>
          <w:tcPr>
            <w:tcW w:w="1183" w:type="dxa"/>
          </w:tcPr>
          <w:p w:rsidR="00000000" w:rsidRDefault="000C45AD">
            <w:pPr>
              <w:tabs>
                <w:tab w:val="clear" w:pos="510"/>
                <w:tab w:val="clear" w:pos="1021"/>
                <w:tab w:val="clear" w:pos="1531"/>
                <w:tab w:val="clear" w:pos="2041"/>
                <w:tab w:val="decimal" w:pos="692"/>
              </w:tabs>
              <w:spacing w:before="80" w:after="80" w:line="288" w:lineRule="auto"/>
              <w:ind w:right="567"/>
              <w:rPr>
                <w:b/>
                <w:sz w:val="21"/>
              </w:rPr>
            </w:pPr>
            <w:r>
              <w:rPr>
                <w:b/>
                <w:sz w:val="21"/>
              </w:rPr>
              <w:t>42.8</w:t>
            </w:r>
          </w:p>
        </w:tc>
        <w:tc>
          <w:tcPr>
            <w:tcW w:w="1183" w:type="dxa"/>
          </w:tcPr>
          <w:p w:rsidR="00000000" w:rsidRDefault="000C45AD">
            <w:pPr>
              <w:tabs>
                <w:tab w:val="clear" w:pos="510"/>
                <w:tab w:val="clear" w:pos="1021"/>
                <w:tab w:val="clear" w:pos="1531"/>
                <w:tab w:val="clear" w:pos="2041"/>
                <w:tab w:val="decimal" w:pos="692"/>
              </w:tabs>
              <w:spacing w:before="80" w:after="80" w:line="288" w:lineRule="auto"/>
              <w:ind w:right="567"/>
              <w:rPr>
                <w:b/>
                <w:sz w:val="21"/>
              </w:rPr>
            </w:pPr>
            <w:r>
              <w:rPr>
                <w:b/>
                <w:sz w:val="21"/>
              </w:rPr>
              <w:t>56.0</w:t>
            </w:r>
          </w:p>
        </w:tc>
        <w:tc>
          <w:tcPr>
            <w:tcW w:w="1183" w:type="dxa"/>
          </w:tcPr>
          <w:p w:rsidR="00000000" w:rsidRDefault="000C45AD">
            <w:pPr>
              <w:tabs>
                <w:tab w:val="clear" w:pos="510"/>
                <w:tab w:val="clear" w:pos="1021"/>
                <w:tab w:val="clear" w:pos="1531"/>
                <w:tab w:val="clear" w:pos="2041"/>
                <w:tab w:val="decimal" w:pos="692"/>
              </w:tabs>
              <w:spacing w:before="80" w:after="80" w:line="288" w:lineRule="auto"/>
              <w:ind w:right="567"/>
              <w:rPr>
                <w:b/>
                <w:sz w:val="21"/>
              </w:rPr>
            </w:pPr>
            <w:r>
              <w:rPr>
                <w:b/>
                <w:sz w:val="21"/>
              </w:rPr>
              <w:t>57.1</w:t>
            </w:r>
          </w:p>
        </w:tc>
      </w:tr>
    </w:tbl>
    <w:p w:rsidR="00000000" w:rsidRDefault="000C45AD">
      <w:pPr>
        <w:pStyle w:val="NormalIndent"/>
        <w:spacing w:before="240" w:after="240"/>
        <w:textAlignment w:val="center"/>
      </w:pPr>
      <w:r>
        <w:rPr>
          <w:rFonts w:ascii="长城楷体" w:eastAsia="长城楷体" w:hint="eastAsia"/>
          <w:u w:val="single"/>
        </w:rPr>
        <w:t>来源</w:t>
      </w:r>
      <w:r>
        <w:rPr>
          <w:rFonts w:ascii="长城楷体" w:eastAsia="长城楷体" w:hint="eastAsia"/>
        </w:rPr>
        <w:t>：</w:t>
      </w:r>
      <w:r>
        <w:rPr>
          <w:rFonts w:ascii="长城楷体" w:eastAsia="长城楷体"/>
        </w:rPr>
        <w:t>1991-1992</w:t>
      </w:r>
      <w:r>
        <w:rPr>
          <w:rFonts w:ascii="长城楷体" w:eastAsia="长城楷体" w:hint="eastAsia"/>
        </w:rPr>
        <w:t>年</w:t>
      </w:r>
      <w:r>
        <w:rPr>
          <w:rFonts w:ascii="长城楷体" w:eastAsia="长城楷体"/>
        </w:rPr>
        <w:t>ENESF</w:t>
      </w:r>
      <w:r>
        <w:rPr>
          <w:rFonts w:ascii="长城楷体" w:eastAsia="长城楷体" w:hint="eastAsia"/>
        </w:rPr>
        <w:t>。</w:t>
      </w:r>
      <w:r>
        <w:rPr>
          <w:rFonts w:ascii="长城楷体" w:eastAsia="长城楷体"/>
        </w:rPr>
        <w:t>1993</w:t>
      </w:r>
      <w:r>
        <w:rPr>
          <w:rFonts w:ascii="长城楷体" w:eastAsia="长城楷体" w:hint="eastAsia"/>
        </w:rPr>
        <w:t>年社会—经济指数调查</w:t>
      </w:r>
      <w:r>
        <w:rPr>
          <w:rFonts w:hint="eastAsia"/>
        </w:rPr>
        <w:t>。</w:t>
      </w:r>
    </w:p>
    <w:p w:rsidR="00000000" w:rsidRDefault="000C45AD">
      <w:pPr>
        <w:pStyle w:val="NormalIndent"/>
      </w:pPr>
      <w:r>
        <w:t xml:space="preserve">245.  </w:t>
      </w:r>
      <w:r>
        <w:rPr>
          <w:rFonts w:hint="eastAsia"/>
        </w:rPr>
        <w:t>尽管国家决心在边远的农村和城市地区扩大基本卫生保健服务的覆盖面，但尚未能成功地改变公共卫生保健体系人力资源在地理分布上的不平衡状态。</w:t>
      </w:r>
    </w:p>
    <w:p w:rsidR="00000000" w:rsidRDefault="000C45AD">
      <w:pPr>
        <w:pStyle w:val="NormalIndent"/>
      </w:pPr>
      <w:r>
        <w:t xml:space="preserve">246.  </w:t>
      </w:r>
      <w:r>
        <w:rPr>
          <w:rFonts w:hint="eastAsia"/>
        </w:rPr>
        <w:t>这些资源的</w:t>
      </w:r>
      <w:r>
        <w:t>67%</w:t>
      </w:r>
      <w:r>
        <w:rPr>
          <w:rFonts w:hint="eastAsia"/>
        </w:rPr>
        <w:t>集中在两大主</w:t>
      </w:r>
      <w:r>
        <w:rPr>
          <w:rFonts w:hint="eastAsia"/>
        </w:rPr>
        <w:t>要城市的卫生保健地区，这两个地区恰好是相对而言最发达的地区</w:t>
      </w:r>
      <w:r>
        <w:rPr>
          <w:rFonts w:hint="eastAsia"/>
          <w:spacing w:val="-40"/>
        </w:rPr>
        <w:t>——</w:t>
      </w:r>
      <w:r>
        <w:t xml:space="preserve"> </w:t>
      </w:r>
      <w:r>
        <w:rPr>
          <w:rFonts w:hint="eastAsia"/>
        </w:rPr>
        <w:t>该国的两大城镇，特古而加尔巴和圣佩德多苏拉，座落在这个地区。</w:t>
      </w:r>
    </w:p>
    <w:p w:rsidR="00000000" w:rsidRDefault="000C45AD">
      <w:pPr>
        <w:pStyle w:val="NormalIndent"/>
      </w:pPr>
      <w:r>
        <w:t xml:space="preserve">247.  </w:t>
      </w:r>
      <w:r>
        <w:rPr>
          <w:rFonts w:hint="eastAsia"/>
        </w:rPr>
        <w:t>还应指出，尽管设立了一些门诊设施，以期廉价扩大基本卫生服务的覆盖面，但其中许多设施没有充分运作，大量的病人涌向医院，特别是国立医院，而这些病人本来可以在较低的级别得到治疗。设备比较先进的医院过分拥挤导致较低级别提供的医疗费用增加、质量恶化。</w:t>
      </w:r>
    </w:p>
    <w:p w:rsidR="00000000" w:rsidRDefault="000C45AD">
      <w:pPr>
        <w:pStyle w:val="NormalIndent"/>
      </w:pPr>
      <w:r>
        <w:t xml:space="preserve">248.  </w:t>
      </w:r>
      <w:r>
        <w:rPr>
          <w:rFonts w:hint="eastAsia"/>
        </w:rPr>
        <w:t>为了充分利用比较低级别的设施，需要在一些领域进行改革，其中包括改革供应程序、转诊制度、咨询时间、社会参与、替代人员的轮换</w:t>
      </w:r>
      <w:r>
        <w:rPr>
          <w:rFonts w:hint="eastAsia"/>
        </w:rPr>
        <w:t>、审查设备较先进医院的收费；这些措施可能有助于降低费用而不损害卫生保健的效益。</w:t>
      </w:r>
    </w:p>
    <w:p w:rsidR="00000000" w:rsidRDefault="000C45AD">
      <w:pPr>
        <w:pStyle w:val="NormalIndent"/>
        <w:spacing w:after="320"/>
        <w:textAlignment w:val="center"/>
      </w:pPr>
      <w:r>
        <w:t xml:space="preserve">249.  </w:t>
      </w:r>
      <w:r>
        <w:rPr>
          <w:rFonts w:hint="eastAsia"/>
        </w:rPr>
        <w:t>卫生部的第一级保健设施是农村保健站，配备的人员是护理人员和保健工作者；这些保健站备有大约</w:t>
      </w:r>
      <w:r>
        <w:t>50</w:t>
      </w:r>
      <w:r>
        <w:rPr>
          <w:rFonts w:hint="eastAsia"/>
        </w:rPr>
        <w:t>种基本药物，但在数量和供应方面，一年中有时会发生困难；这些困难在许多情况下是由于发送问题而不是由于卫生部中央仓库无货供应。但是，保健站一般备有重点计划所需的药物。</w:t>
      </w:r>
    </w:p>
    <w:p w:rsidR="00000000" w:rsidRDefault="000C45AD">
      <w:pPr>
        <w:pStyle w:val="Heading4"/>
      </w:pPr>
      <w:r>
        <w:rPr>
          <w:rFonts w:hint="eastAsia"/>
        </w:rPr>
        <w:t>生活条件和各地理区域获得保健服务的情况</w:t>
      </w:r>
    </w:p>
    <w:p w:rsidR="00000000" w:rsidRDefault="000C45AD">
      <w:pPr>
        <w:pStyle w:val="NormalIndent"/>
      </w:pPr>
      <w:r>
        <w:t xml:space="preserve">250.  </w:t>
      </w:r>
      <w:r>
        <w:rPr>
          <w:rFonts w:hint="eastAsia"/>
        </w:rPr>
        <w:t>婴儿死亡率表明各地区之间存在重大的差异：</w:t>
      </w:r>
      <w:r>
        <w:t>1990</w:t>
      </w:r>
      <w:r>
        <w:rPr>
          <w:rFonts w:hint="eastAsia"/>
        </w:rPr>
        <w:t>年，全国的婴儿的死亡率是每一千活产</w:t>
      </w:r>
      <w:r>
        <w:t>50(</w:t>
      </w:r>
      <w:r>
        <w:rPr>
          <w:rFonts w:hint="eastAsia"/>
        </w:rPr>
        <w:t>城市地区为</w:t>
      </w:r>
      <w:r>
        <w:t>43.6</w:t>
      </w:r>
      <w:r>
        <w:rPr>
          <w:rFonts w:hint="eastAsia"/>
        </w:rPr>
        <w:t>‰</w:t>
      </w:r>
      <w:r>
        <w:t>)</w:t>
      </w:r>
      <w:r>
        <w:rPr>
          <w:rFonts w:hint="eastAsia"/>
        </w:rPr>
        <w:t>，</w:t>
      </w:r>
      <w:r>
        <w:rPr>
          <w:rFonts w:hint="eastAsia"/>
        </w:rPr>
        <w:t>但农村地区，为</w:t>
      </w:r>
      <w:r>
        <w:t>59</w:t>
      </w:r>
      <w:r>
        <w:rPr>
          <w:rFonts w:hint="eastAsia"/>
        </w:rPr>
        <w:t>‰超过了全国平均数。但是，经过预防工作</w:t>
      </w:r>
      <w:r>
        <w:t>(</w:t>
      </w:r>
      <w:r>
        <w:rPr>
          <w:rFonts w:hint="eastAsia"/>
        </w:rPr>
        <w:t>例如免疫</w:t>
      </w:r>
      <w:r>
        <w:t>)</w:t>
      </w:r>
      <w:r>
        <w:rPr>
          <w:rFonts w:hint="eastAsia"/>
        </w:rPr>
        <w:t>这一差距已有缩小。</w:t>
      </w:r>
    </w:p>
    <w:p w:rsidR="00000000" w:rsidRDefault="000C45AD">
      <w:pPr>
        <w:pStyle w:val="NormalIndent"/>
      </w:pPr>
      <w:r>
        <w:t xml:space="preserve">251.  </w:t>
      </w:r>
      <w:r>
        <w:rPr>
          <w:rFonts w:hint="eastAsia"/>
        </w:rPr>
        <w:t>卫生法</w:t>
      </w:r>
      <w:r>
        <w:t>(1991</w:t>
      </w:r>
      <w:r>
        <w:rPr>
          <w:rFonts w:hint="eastAsia"/>
        </w:rPr>
        <w:t>年</w:t>
      </w:r>
      <w:r>
        <w:t>8</w:t>
      </w:r>
      <w:r>
        <w:rPr>
          <w:rFonts w:hint="eastAsia"/>
        </w:rPr>
        <w:t>月第</w:t>
      </w:r>
      <w:r>
        <w:t>65-91</w:t>
      </w:r>
      <w:r>
        <w:rPr>
          <w:rFonts w:hint="eastAsia"/>
        </w:rPr>
        <w:t>号法令</w:t>
      </w:r>
      <w:r>
        <w:t>)</w:t>
      </w:r>
      <w:r>
        <w:rPr>
          <w:rFonts w:hint="eastAsia"/>
        </w:rPr>
        <w:t>和行政程序法修正案</w:t>
      </w:r>
      <w:r>
        <w:t>(1965</w:t>
      </w:r>
      <w:r>
        <w:rPr>
          <w:rFonts w:hint="eastAsia"/>
        </w:rPr>
        <w:t>年</w:t>
      </w:r>
      <w:r>
        <w:t>10</w:t>
      </w:r>
      <w:r>
        <w:rPr>
          <w:rFonts w:hint="eastAsia"/>
        </w:rPr>
        <w:t>月</w:t>
      </w:r>
      <w:r>
        <w:t>30</w:t>
      </w:r>
      <w:r>
        <w:rPr>
          <w:rFonts w:hint="eastAsia"/>
        </w:rPr>
        <w:t>日第</w:t>
      </w:r>
      <w:r>
        <w:t>58</w:t>
      </w:r>
      <w:r>
        <w:rPr>
          <w:rFonts w:hint="eastAsia"/>
        </w:rPr>
        <w:t>号法令</w:t>
      </w:r>
      <w:r>
        <w:t>)</w:t>
      </w:r>
      <w:r>
        <w:rPr>
          <w:rFonts w:hint="eastAsia"/>
        </w:rPr>
        <w:t>对卫生部的监督作用规定了法律基础。</w:t>
      </w:r>
    </w:p>
    <w:p w:rsidR="00000000" w:rsidRDefault="000C45AD">
      <w:pPr>
        <w:pStyle w:val="NormalIndent"/>
      </w:pPr>
      <w:r>
        <w:t xml:space="preserve">252.  </w:t>
      </w:r>
      <w:r>
        <w:rPr>
          <w:rFonts w:hint="eastAsia"/>
        </w:rPr>
        <w:t>洪都拉斯历来极其重视人民的健康，国家政策强调改进卫生保健服务的提供。从来没有颁布过不利于广大民众健康的政策、法律和做法。</w:t>
      </w:r>
    </w:p>
    <w:p w:rsidR="00000000" w:rsidRDefault="000C45AD">
      <w:pPr>
        <w:pStyle w:val="NormalIndent"/>
      </w:pPr>
      <w:r>
        <w:t xml:space="preserve">253.  </w:t>
      </w:r>
      <w:r>
        <w:rPr>
          <w:rFonts w:hint="eastAsia"/>
        </w:rPr>
        <w:t>卫生部门目前正在制订全国卫生服务提供程序。这项工作得到了国家预算资金的资助，并且还得到了国际合作项目的资助</w:t>
      </w:r>
      <w:r>
        <w:t>(</w:t>
      </w:r>
      <w:r>
        <w:rPr>
          <w:rFonts w:hint="eastAsia"/>
        </w:rPr>
        <w:t>美洲社会发展协会、美国国</w:t>
      </w:r>
      <w:r>
        <w:rPr>
          <w:rFonts w:hint="eastAsia"/>
        </w:rPr>
        <w:t>际开发署、儿童基金会、美洲卫生组织、等等</w:t>
      </w:r>
      <w:r>
        <w:t>)</w:t>
      </w:r>
      <w:r>
        <w:rPr>
          <w:rFonts w:hint="eastAsia"/>
        </w:rPr>
        <w:t>。这项进程加强了机构工作人员和市政府和地方政府查明和解决卫生保健问题和生活条件方面的能力。从各个来源获得的技术和财政合作正在下放到各个地方，以便促进特别是最脆弱人群获得医疗服务。</w:t>
      </w:r>
    </w:p>
    <w:p w:rsidR="00000000" w:rsidRDefault="000C45AD">
      <w:pPr>
        <w:pStyle w:val="NormalIndent"/>
      </w:pPr>
      <w:r>
        <w:t xml:space="preserve">254.  </w:t>
      </w:r>
      <w:r>
        <w:rPr>
          <w:rFonts w:hint="eastAsia"/>
        </w:rPr>
        <w:t>目的是要推广一个重视卫生情况的文化环境，以便查明和确定措施以改进人民的卫生和生活条件，方法是把市政府作为实施这些措施的最合适的地理政治单位；而国家的现代化促进了提供医疗服务的进程，因为在国家现代化中权利下放战略和市政发展促成了某些最佳进展。</w:t>
      </w:r>
    </w:p>
    <w:p w:rsidR="00000000" w:rsidRDefault="000C45AD">
      <w:pPr>
        <w:pStyle w:val="NormalIndent"/>
      </w:pPr>
      <w:r>
        <w:t xml:space="preserve">255.  </w:t>
      </w:r>
      <w:r>
        <w:rPr>
          <w:rFonts w:hint="eastAsia"/>
        </w:rPr>
        <w:t>提议中的目标符合“人人享</w:t>
      </w:r>
      <w:r>
        <w:rPr>
          <w:rFonts w:hint="eastAsia"/>
        </w:rPr>
        <w:t>有健康”的目标；</w:t>
      </w:r>
    </w:p>
    <w:p w:rsidR="00000000" w:rsidRDefault="000C45AD" w:rsidP="000C45AD">
      <w:pPr>
        <w:pStyle w:val="a6"/>
        <w:numPr>
          <w:ilvl w:val="0"/>
          <w:numId w:val="1"/>
        </w:numPr>
        <w:ind w:left="1531"/>
      </w:pPr>
      <w:r>
        <w:rPr>
          <w:rFonts w:hint="eastAsia"/>
        </w:rPr>
        <w:t>降低婴儿死亡率，降低因发展层次不同引起的婴儿死亡率的差别；</w:t>
      </w:r>
    </w:p>
    <w:p w:rsidR="00000000" w:rsidRDefault="000C45AD" w:rsidP="000C45AD">
      <w:pPr>
        <w:pStyle w:val="a6"/>
        <w:numPr>
          <w:ilvl w:val="0"/>
          <w:numId w:val="1"/>
        </w:numPr>
        <w:ind w:left="1531"/>
      </w:pPr>
      <w:r>
        <w:rPr>
          <w:rFonts w:hint="eastAsia"/>
        </w:rPr>
        <w:t>降低产妇死亡率和因发展层次不同引起的产妇死亡率的差别；和</w:t>
      </w:r>
    </w:p>
    <w:p w:rsidR="00000000" w:rsidRDefault="000C45AD" w:rsidP="000C45AD">
      <w:pPr>
        <w:pStyle w:val="a6"/>
        <w:numPr>
          <w:ilvl w:val="0"/>
          <w:numId w:val="1"/>
        </w:numPr>
        <w:ind w:left="1531"/>
      </w:pPr>
      <w:r>
        <w:rPr>
          <w:rFonts w:hint="eastAsia"/>
        </w:rPr>
        <w:t>在</w:t>
      </w:r>
      <w:r>
        <w:t>1995</w:t>
      </w:r>
      <w:r>
        <w:rPr>
          <w:rFonts w:hint="eastAsia"/>
        </w:rPr>
        <w:t>和</w:t>
      </w:r>
      <w:r>
        <w:t>1996</w:t>
      </w:r>
      <w:r>
        <w:rPr>
          <w:rFonts w:hint="eastAsia"/>
        </w:rPr>
        <w:t>年间扩大</w:t>
      </w:r>
      <w:r>
        <w:t>15%</w:t>
      </w:r>
      <w:r>
        <w:rPr>
          <w:rFonts w:hint="eastAsia"/>
        </w:rPr>
        <w:t>的卫生服务覆盖面。</w:t>
      </w:r>
    </w:p>
    <w:p w:rsidR="00000000" w:rsidRDefault="000C45AD">
      <w:pPr>
        <w:pStyle w:val="NormalIndent"/>
      </w:pPr>
      <w:r>
        <w:t xml:space="preserve">256.  </w:t>
      </w:r>
      <w:r>
        <w:rPr>
          <w:rFonts w:hint="eastAsia"/>
        </w:rPr>
        <w:t>洪都拉斯目前设立了</w:t>
      </w:r>
      <w:r>
        <w:t>31</w:t>
      </w:r>
      <w:r>
        <w:rPr>
          <w:rFonts w:hint="eastAsia"/>
        </w:rPr>
        <w:t>个保健区，覆盖了</w:t>
      </w:r>
      <w:r>
        <w:t>297</w:t>
      </w:r>
      <w:r>
        <w:rPr>
          <w:rFonts w:hint="eastAsia"/>
        </w:rPr>
        <w:t>个城镇中的</w:t>
      </w:r>
      <w:r>
        <w:t>216</w:t>
      </w:r>
      <w:r>
        <w:rPr>
          <w:rFonts w:hint="eastAsia"/>
        </w:rPr>
        <w:t>个</w:t>
      </w:r>
      <w:r>
        <w:t>(</w:t>
      </w:r>
      <w:r>
        <w:rPr>
          <w:rFonts w:hint="eastAsia"/>
        </w:rPr>
        <w:t>占</w:t>
      </w:r>
      <w:r>
        <w:t>73%)</w:t>
      </w:r>
      <w:r>
        <w:rPr>
          <w:rFonts w:hint="eastAsia"/>
        </w:rPr>
        <w:t>，人口为</w:t>
      </w:r>
      <w:r>
        <w:t>4,590,411</w:t>
      </w:r>
      <w:r>
        <w:rPr>
          <w:rFonts w:hint="eastAsia"/>
        </w:rPr>
        <w:t>人</w:t>
      </w:r>
      <w:r>
        <w:t>(</w:t>
      </w:r>
      <w:r>
        <w:rPr>
          <w:rFonts w:hint="eastAsia"/>
        </w:rPr>
        <w:t>占总人口的</w:t>
      </w:r>
      <w:r>
        <w:t>78%)</w:t>
      </w:r>
      <w:r>
        <w:rPr>
          <w:rFonts w:hint="eastAsia"/>
        </w:rPr>
        <w:t>；已经实施了支持获得医疗服务进程的各种项目以便推广各项措施，改善人民的卫生和生活条件；到</w:t>
      </w:r>
      <w:r>
        <w:t>1997</w:t>
      </w:r>
      <w:r>
        <w:rPr>
          <w:rFonts w:hint="eastAsia"/>
        </w:rPr>
        <w:t>年</w:t>
      </w:r>
      <w:r>
        <w:t>6</w:t>
      </w:r>
      <w:r>
        <w:rPr>
          <w:rFonts w:hint="eastAsia"/>
        </w:rPr>
        <w:t>月将有</w:t>
      </w:r>
      <w:r>
        <w:t>41</w:t>
      </w:r>
      <w:r>
        <w:rPr>
          <w:rFonts w:hint="eastAsia"/>
        </w:rPr>
        <w:t>个卫生区开展工作，覆盖全国所有的</w:t>
      </w:r>
      <w:r>
        <w:t>297</w:t>
      </w:r>
      <w:r>
        <w:rPr>
          <w:rFonts w:hint="eastAsia"/>
        </w:rPr>
        <w:t>个城镇。</w:t>
      </w:r>
    </w:p>
    <w:p w:rsidR="00000000" w:rsidRDefault="000C45AD">
      <w:pPr>
        <w:pStyle w:val="NormalIndent"/>
      </w:pPr>
      <w:r>
        <w:t xml:space="preserve">257.  </w:t>
      </w:r>
      <w:r>
        <w:rPr>
          <w:rFonts w:hint="eastAsia"/>
        </w:rPr>
        <w:t>至今已制订了</w:t>
      </w:r>
      <w:r>
        <w:t>210</w:t>
      </w:r>
      <w:r>
        <w:rPr>
          <w:rFonts w:hint="eastAsia"/>
        </w:rPr>
        <w:t>个城市卫生计划，并且正在予以实施，作为获得卫生保健服务过程的一部分，提供改进社会参与的多部门反应和统一做法；还制订战略以便使服务网络和人力资源发展适应当地发展需要。</w:t>
      </w:r>
    </w:p>
    <w:p w:rsidR="00000000" w:rsidRDefault="000C45AD">
      <w:pPr>
        <w:pStyle w:val="NormalIndent"/>
      </w:pPr>
      <w:r>
        <w:t xml:space="preserve">258.  </w:t>
      </w:r>
      <w:r>
        <w:rPr>
          <w:rFonts w:hint="eastAsia"/>
        </w:rPr>
        <w:t>提供服务的办法是以市政法</w:t>
      </w:r>
      <w:r>
        <w:t>(1990</w:t>
      </w:r>
      <w:r>
        <w:rPr>
          <w:rFonts w:hint="eastAsia"/>
        </w:rPr>
        <w:t>年</w:t>
      </w:r>
      <w:r>
        <w:t>10</w:t>
      </w:r>
      <w:r>
        <w:rPr>
          <w:rFonts w:hint="eastAsia"/>
        </w:rPr>
        <w:t>月</w:t>
      </w:r>
      <w:r>
        <w:t>29</w:t>
      </w:r>
      <w:r>
        <w:rPr>
          <w:rFonts w:hint="eastAsia"/>
        </w:rPr>
        <w:t>日第</w:t>
      </w:r>
      <w:r>
        <w:t>134/90</w:t>
      </w:r>
      <w:r>
        <w:rPr>
          <w:rFonts w:hint="eastAsia"/>
        </w:rPr>
        <w:t>号法令</w:t>
      </w:r>
      <w:r>
        <w:t>)</w:t>
      </w:r>
      <w:r>
        <w:rPr>
          <w:rFonts w:hint="eastAsia"/>
        </w:rPr>
        <w:t>为基础的。</w:t>
      </w:r>
      <w:r>
        <w:t>1990</w:t>
      </w:r>
      <w:r>
        <w:rPr>
          <w:rFonts w:hint="eastAsia"/>
        </w:rPr>
        <w:t>年</w:t>
      </w:r>
      <w:r>
        <w:t>7</w:t>
      </w:r>
      <w:r>
        <w:rPr>
          <w:rFonts w:hint="eastAsia"/>
        </w:rPr>
        <w:t>月</w:t>
      </w:r>
      <w:r>
        <w:t>24</w:t>
      </w:r>
      <w:r>
        <w:rPr>
          <w:rFonts w:hint="eastAsia"/>
        </w:rPr>
        <w:t>日国民议会批准《儿童权利公约》为共和国的一项法律。这项公约反映了洪都拉斯当局和各市人民的政治意愿，决心为其儿童提供适当的发育条件，从而为该国的光明前途铺平道路。已经为儿童健康、母亲保健、营养、基本卫生等等制订了指标，并以《公约》指导各市</w:t>
      </w:r>
      <w:r>
        <w:rPr>
          <w:rFonts w:hint="eastAsia"/>
        </w:rPr>
        <w:t>市长履行其承诺。</w:t>
      </w:r>
    </w:p>
    <w:p w:rsidR="00000000" w:rsidRDefault="000C45AD">
      <w:pPr>
        <w:pStyle w:val="NormalIndent"/>
      </w:pPr>
      <w:r>
        <w:t xml:space="preserve">259.  </w:t>
      </w:r>
      <w:r>
        <w:rPr>
          <w:rFonts w:hint="eastAsia"/>
        </w:rPr>
        <w:t>这种做法得以使诸如母婴诊所等服务开始进行合作管理，和社区一起评估若干医院、创建或者加强城市发展理事会和社区发展和促进理事会，在尊重妇女和族裔群组文化状况的基础上鼓励妇女和族裔群组的参与。还查明了需要加以克服的一些问题，例如与信息系统的关系、服务网络的整合、与国际卫生服务系统协调、其他当地参与者的承诺等。</w:t>
      </w:r>
    </w:p>
    <w:p w:rsidR="00000000" w:rsidRDefault="000C45AD">
      <w:pPr>
        <w:pStyle w:val="NormalIndent"/>
      </w:pPr>
      <w:r>
        <w:t xml:space="preserve">260.  </w:t>
      </w:r>
      <w:r>
        <w:rPr>
          <w:rFonts w:hint="eastAsia"/>
        </w:rPr>
        <w:t>卫生部优先考虑母亲和儿童的保健计划；全国各项工作以下列各项为基础：儿童的全面照料和生育保健的全面照料，包括作为战略政策对儿童成长和发育进行观测、饮食习惯</w:t>
      </w:r>
      <w:r>
        <w:t>(</w:t>
      </w:r>
      <w:r>
        <w:rPr>
          <w:rFonts w:hint="eastAsia"/>
        </w:rPr>
        <w:t>母乳喂养和</w:t>
      </w:r>
      <w:r>
        <w:rPr>
          <w:rFonts w:hint="eastAsia"/>
        </w:rPr>
        <w:t>食品补充</w:t>
      </w:r>
      <w:r>
        <w:t>)</w:t>
      </w:r>
      <w:r>
        <w:rPr>
          <w:rFonts w:hint="eastAsia"/>
        </w:rPr>
        <w:t>、免疫、微量元素补充、常见疾病控制治疗急性呼吸道感染、疟疾等等</w:t>
      </w:r>
      <w:r>
        <w:t>)</w:t>
      </w:r>
      <w:r>
        <w:rPr>
          <w:rFonts w:hint="eastAsia"/>
        </w:rPr>
        <w:t>和以及在社区和卫生服务合作框架内口腔卫生和精神卫生等；所有这些工作的目的在于降低婴儿和母亲死亡率。</w:t>
      </w:r>
    </w:p>
    <w:p w:rsidR="00000000" w:rsidRDefault="000C45AD">
      <w:pPr>
        <w:pStyle w:val="NormalIndent"/>
      </w:pPr>
      <w:r>
        <w:t xml:space="preserve">261.  </w:t>
      </w:r>
      <w:r>
        <w:rPr>
          <w:rFonts w:hint="eastAsia"/>
        </w:rPr>
        <w:t>此外，政府有许多社会援助措施旨在使儿童与母亲直接或间接受益：例如，根据家庭津贴方案颁发母亲与儿童证书和洪都拉斯社会投资资金、全国社会福利理事会以及许多在该领域内工作的非政府组织所开展的活动。</w:t>
      </w:r>
    </w:p>
    <w:p w:rsidR="00000000" w:rsidRDefault="000C45AD">
      <w:pPr>
        <w:pStyle w:val="NormalIndent"/>
      </w:pPr>
      <w:r>
        <w:t xml:space="preserve">262.  </w:t>
      </w:r>
      <w:r>
        <w:rPr>
          <w:rFonts w:hint="eastAsia"/>
        </w:rPr>
        <w:t>改进环境和工业卫生的措施包括近期开展的一些公共主动行动，如通过各项会议</w:t>
      </w:r>
      <w:r>
        <w:t>(</w:t>
      </w:r>
      <w:r>
        <w:rPr>
          <w:rFonts w:hint="eastAsia"/>
        </w:rPr>
        <w:t>环境和卫生</w:t>
      </w:r>
      <w:r>
        <w:t>)</w:t>
      </w:r>
      <w:r>
        <w:rPr>
          <w:rFonts w:hint="eastAsia"/>
        </w:rPr>
        <w:t>和地区环境保健投资计划把卫生与环境联系</w:t>
      </w:r>
      <w:r>
        <w:rPr>
          <w:rFonts w:hint="eastAsia"/>
        </w:rPr>
        <w:t>起来，促进地区一体化。这项保护环境和提供监督保健照料的计划为</w:t>
      </w:r>
      <w:r>
        <w:t>1992</w:t>
      </w:r>
      <w:r>
        <w:rPr>
          <w:rFonts w:hint="eastAsia"/>
        </w:rPr>
        <w:t>年至</w:t>
      </w:r>
      <w:r>
        <w:t>2004</w:t>
      </w:r>
      <w:r>
        <w:rPr>
          <w:rFonts w:hint="eastAsia"/>
        </w:rPr>
        <w:t>年阶段在拉丁美洲和加勒比地区创造</w:t>
      </w:r>
      <w:r>
        <w:t>2.17</w:t>
      </w:r>
      <w:r>
        <w:rPr>
          <w:rFonts w:hint="eastAsia"/>
        </w:rPr>
        <w:t>亿美元的投资资金。</w:t>
      </w:r>
    </w:p>
    <w:p w:rsidR="00000000" w:rsidRDefault="000C45AD">
      <w:pPr>
        <w:pStyle w:val="NormalIndent"/>
      </w:pPr>
      <w:r>
        <w:t>263.  1986</w:t>
      </w:r>
      <w:r>
        <w:rPr>
          <w:rFonts w:hint="eastAsia"/>
        </w:rPr>
        <w:t>年在卫生部的领导下设立了污染物质研究和控制中心，由洪都拉斯政府和瑞士政府以及美洲卫生组织提供资金。目的是设立一个行政和研究机构来研究和控制污染物质；第三阶段</w:t>
      </w:r>
      <w:r>
        <w:t>(1992</w:t>
      </w:r>
      <w:r>
        <w:rPr>
          <w:rFonts w:hint="eastAsia"/>
        </w:rPr>
        <w:t>至</w:t>
      </w:r>
      <w:r>
        <w:t>1996</w:t>
      </w:r>
      <w:r>
        <w:rPr>
          <w:rFonts w:hint="eastAsia"/>
        </w:rPr>
        <w:t>年</w:t>
      </w:r>
      <w:r>
        <w:t>)</w:t>
      </w:r>
      <w:r>
        <w:rPr>
          <w:rFonts w:hint="eastAsia"/>
        </w:rPr>
        <w:t>已经制订加强和自我供资的方案。</w:t>
      </w:r>
    </w:p>
    <w:p w:rsidR="00000000" w:rsidRDefault="000C45AD">
      <w:pPr>
        <w:pStyle w:val="NormalIndent"/>
      </w:pPr>
      <w:r>
        <w:t xml:space="preserve">264.  </w:t>
      </w:r>
      <w:r>
        <w:rPr>
          <w:rFonts w:hint="eastAsia"/>
        </w:rPr>
        <w:t>在</w:t>
      </w:r>
      <w:r>
        <w:t>SERENAM</w:t>
      </w:r>
      <w:r>
        <w:rPr>
          <w:rFonts w:hint="eastAsia"/>
        </w:rPr>
        <w:t>、卫生部、自然资源部、</w:t>
      </w:r>
      <w:r>
        <w:t>COTIAS</w:t>
      </w:r>
      <w:r>
        <w:rPr>
          <w:rFonts w:hint="eastAsia"/>
        </w:rPr>
        <w:t>、</w:t>
      </w:r>
      <w:r>
        <w:t>CALAGUA</w:t>
      </w:r>
      <w:r>
        <w:rPr>
          <w:rFonts w:hint="eastAsia"/>
        </w:rPr>
        <w:t>合作小组、和</w:t>
      </w:r>
      <w:r>
        <w:t>SINFASH</w:t>
      </w:r>
      <w:r>
        <w:rPr>
          <w:rFonts w:hint="eastAsia"/>
        </w:rPr>
        <w:t>的推动下设立了微量营养素推广和管理委</w:t>
      </w:r>
      <w:r>
        <w:rPr>
          <w:rFonts w:hint="eastAsia"/>
        </w:rPr>
        <w:t>员会，和理事会一起管理多社区流域。</w:t>
      </w:r>
    </w:p>
    <w:p w:rsidR="00000000" w:rsidRDefault="000C45AD">
      <w:pPr>
        <w:pStyle w:val="NormalIndent"/>
      </w:pPr>
      <w:r>
        <w:t xml:space="preserve">265.  </w:t>
      </w:r>
      <w:r>
        <w:rPr>
          <w:rFonts w:hint="eastAsia"/>
        </w:rPr>
        <w:t>洪都拉斯是电子处理协调委员会、美洲卫生工程协会和</w:t>
      </w:r>
      <w:r>
        <w:t>PROAGUA</w:t>
      </w:r>
      <w:r>
        <w:rPr>
          <w:rFonts w:hint="eastAsia"/>
        </w:rPr>
        <w:t>等地区协会和委员会的成员。这些协会和委员会是为了改进各成员国卫生标准而设立的。</w:t>
      </w:r>
    </w:p>
    <w:p w:rsidR="00000000" w:rsidRDefault="000C45AD">
      <w:pPr>
        <w:pStyle w:val="NormalIndent"/>
      </w:pPr>
      <w:r>
        <w:t>266.  1993</w:t>
      </w:r>
      <w:r>
        <w:rPr>
          <w:rFonts w:hint="eastAsia"/>
        </w:rPr>
        <w:t>年建立了环境部执行《一般环境法》、制订政策、并在洪都拉斯协调和其他机构如自然资源部和国际合作机构的环境活动。自然资源部还执行评估发展项目对环境影响的法规。</w:t>
      </w:r>
    </w:p>
    <w:p w:rsidR="00000000" w:rsidRDefault="000C45AD">
      <w:pPr>
        <w:pStyle w:val="NormalIndent"/>
      </w:pPr>
      <w:r>
        <w:t xml:space="preserve">267.  </w:t>
      </w:r>
      <w:r>
        <w:rPr>
          <w:rFonts w:hint="eastAsia"/>
        </w:rPr>
        <w:t>由世界银行资助的洪都拉斯环境发展项目的目的是建立机构能力，支持市政工程。环境部还和自然资源部、市政供水处，卫生部和美洲卫生组织进行合作</w:t>
      </w:r>
      <w:r>
        <w:rPr>
          <w:rFonts w:hint="eastAsia"/>
        </w:rPr>
        <w:t>，制定有关饮用水和污水处理的规章制度。</w:t>
      </w:r>
    </w:p>
    <w:p w:rsidR="00000000" w:rsidRDefault="000C45AD">
      <w:pPr>
        <w:pStyle w:val="NormalIndent"/>
      </w:pPr>
      <w:r>
        <w:t xml:space="preserve">268.  </w:t>
      </w:r>
      <w:r>
        <w:rPr>
          <w:rFonts w:hint="eastAsia"/>
        </w:rPr>
        <w:t>环境部的职司现在已经转交给自然资源和环境部。该部目前正通过环境发展项目在</w:t>
      </w:r>
      <w:r>
        <w:t>20</w:t>
      </w:r>
      <w:r>
        <w:rPr>
          <w:rFonts w:hint="eastAsia"/>
        </w:rPr>
        <w:t>个城市为地方环境管理执行技术援助方案；其目的是通过设立在该领域内能够管理投资项目的市政环境股查明环境问题和改进环境保护。</w:t>
      </w:r>
    </w:p>
    <w:p w:rsidR="00000000" w:rsidRDefault="000C45AD">
      <w:pPr>
        <w:pStyle w:val="NormalIndent"/>
        <w:spacing w:after="320"/>
        <w:textAlignment w:val="center"/>
      </w:pPr>
      <w:r>
        <w:t xml:space="preserve">269.  </w:t>
      </w:r>
      <w:r>
        <w:rPr>
          <w:rFonts w:hint="eastAsia"/>
        </w:rPr>
        <w:t>此外，根据《卫生法》的条款，正在为控制汽车尾气和微粒排放的规章制度提出建议。从</w:t>
      </w:r>
      <w:r>
        <w:t>1996</w:t>
      </w:r>
      <w:r>
        <w:rPr>
          <w:rFonts w:hint="eastAsia"/>
        </w:rPr>
        <w:t>年起已经进口无铅汽油在洪都拉斯各处销售。这些措施已经编入《一般环境法》</w:t>
      </w:r>
      <w:r>
        <w:t>(1993</w:t>
      </w:r>
      <w:r>
        <w:rPr>
          <w:rFonts w:hint="eastAsia"/>
        </w:rPr>
        <w:t>年</w:t>
      </w:r>
      <w:r>
        <w:t>5</w:t>
      </w:r>
      <w:r>
        <w:rPr>
          <w:rFonts w:hint="eastAsia"/>
        </w:rPr>
        <w:t>月</w:t>
      </w:r>
      <w:r>
        <w:t>27</w:t>
      </w:r>
      <w:r>
        <w:rPr>
          <w:rFonts w:hint="eastAsia"/>
        </w:rPr>
        <w:t>日第</w:t>
      </w:r>
      <w:r>
        <w:t>104</w:t>
      </w:r>
      <w:r>
        <w:rPr>
          <w:rFonts w:hint="eastAsia"/>
        </w:rPr>
        <w:t>—</w:t>
      </w:r>
      <w:r>
        <w:t>93</w:t>
      </w:r>
      <w:r>
        <w:rPr>
          <w:rFonts w:hint="eastAsia"/>
        </w:rPr>
        <w:t>号法令</w:t>
      </w:r>
      <w:r>
        <w:t>)</w:t>
      </w:r>
      <w:r>
        <w:rPr>
          <w:rFonts w:hint="eastAsia"/>
        </w:rPr>
        <w:t>。</w:t>
      </w:r>
    </w:p>
    <w:p w:rsidR="00000000" w:rsidRDefault="000C45AD">
      <w:pPr>
        <w:pStyle w:val="Heading4"/>
        <w:textAlignment w:val="center"/>
      </w:pPr>
      <w:r>
        <w:rPr>
          <w:rFonts w:hint="eastAsia"/>
        </w:rPr>
        <w:t>为老年人提供保健照料的政府措施</w:t>
      </w:r>
    </w:p>
    <w:p w:rsidR="00000000" w:rsidRDefault="000C45AD">
      <w:pPr>
        <w:pStyle w:val="NormalIndent"/>
      </w:pPr>
      <w:r>
        <w:t xml:space="preserve">270.  </w:t>
      </w:r>
      <w:r>
        <w:rPr>
          <w:rFonts w:hint="eastAsia"/>
        </w:rPr>
        <w:t>《</w:t>
      </w:r>
      <w:r>
        <w:rPr>
          <w:rFonts w:hint="eastAsia"/>
        </w:rPr>
        <w:t>宪法》第</w:t>
      </w:r>
      <w:r>
        <w:t>117</w:t>
      </w:r>
      <w:r>
        <w:rPr>
          <w:rFonts w:hint="eastAsia"/>
        </w:rPr>
        <w:t>至</w:t>
      </w:r>
      <w:r>
        <w:t>142</w:t>
      </w:r>
      <w:r>
        <w:rPr>
          <w:rFonts w:hint="eastAsia"/>
        </w:rPr>
        <w:t>条涉及对老年人的特别保护。在洪都拉斯，全国公务员退休和退休金协会、全国教师保险协会和其他公营和私营机构为这一人群提供服务。</w:t>
      </w:r>
    </w:p>
    <w:p w:rsidR="00000000" w:rsidRDefault="000C45AD">
      <w:pPr>
        <w:pStyle w:val="NormalIndent"/>
      </w:pPr>
      <w:r>
        <w:t xml:space="preserve">271.  </w:t>
      </w:r>
      <w:r>
        <w:rPr>
          <w:rFonts w:hint="eastAsia"/>
        </w:rPr>
        <w:t>参加私营健康保险的老年人，只要出具证件，就医可以享受</w:t>
      </w:r>
      <w:r>
        <w:t>25%</w:t>
      </w:r>
      <w:r>
        <w:rPr>
          <w:rFonts w:hint="eastAsia"/>
        </w:rPr>
        <w:t>的减价、购买药品可以享受</w:t>
      </w:r>
      <w:r>
        <w:t>10%</w:t>
      </w:r>
      <w:r>
        <w:rPr>
          <w:rFonts w:hint="eastAsia"/>
        </w:rPr>
        <w:t>的减价；他们所需的其他服务项目也可享受减价。</w:t>
      </w:r>
    </w:p>
    <w:p w:rsidR="00000000" w:rsidRDefault="000C45AD">
      <w:pPr>
        <w:pStyle w:val="NormalIndent"/>
      </w:pPr>
      <w:r>
        <w:t xml:space="preserve">272.  </w:t>
      </w:r>
      <w:r>
        <w:rPr>
          <w:rFonts w:hint="eastAsia"/>
        </w:rPr>
        <w:t>在目前的全国保健服务供应程序中，社会参与战略确保能够大踏步实现保健服务民主化并对其管理实行社会控制。已经制订的城市保健计划要求社区、非</w:t>
      </w:r>
      <w:r>
        <w:rPr>
          <w:rFonts w:hint="eastAsia"/>
          <w:spacing w:val="7"/>
        </w:rPr>
        <w:t>政府组织和代表各区的不同部门广泛参与。根据生活条件方面人民保健情况的分析进</w:t>
      </w:r>
      <w:r>
        <w:rPr>
          <w:rFonts w:hint="eastAsia"/>
          <w:spacing w:val="7"/>
        </w:rPr>
        <w:t>行参与。由保健机构的人员以及社区内其他有关机构经常对这些市政计划进行监测。</w:t>
      </w:r>
    </w:p>
    <w:p w:rsidR="00000000" w:rsidRDefault="000C45AD">
      <w:pPr>
        <w:pStyle w:val="NormalIndent"/>
      </w:pPr>
      <w:r>
        <w:t xml:space="preserve">273.  </w:t>
      </w:r>
      <w:r>
        <w:rPr>
          <w:rFonts w:hint="eastAsia"/>
        </w:rPr>
        <w:t>保健教育处与其他技术标准制订单位和疾病预防和控制方案进行协调，通过大众媒介批准、规划和执行针对广大人民群众和风险人群的通讯措施。它还和教育部一起进行工作，在教育部管理的各级教育机构</w:t>
      </w:r>
      <w:r>
        <w:t>(</w:t>
      </w:r>
      <w:r>
        <w:rPr>
          <w:rFonts w:hint="eastAsia"/>
        </w:rPr>
        <w:t>根据教育部和卫生部之间缔结的一项卫生教育技术合作协定</w:t>
      </w:r>
      <w:r>
        <w:t>)</w:t>
      </w:r>
      <w:r>
        <w:rPr>
          <w:rFonts w:hint="eastAsia"/>
        </w:rPr>
        <w:t>提倡良好的卫生和解决具体的问题</w:t>
      </w:r>
      <w:r>
        <w:t>(</w:t>
      </w:r>
      <w:r>
        <w:rPr>
          <w:rFonts w:hint="eastAsia"/>
        </w:rPr>
        <w:t>性关系、性传播疾病、艾滋病等等</w:t>
      </w:r>
      <w:r>
        <w:t>)</w:t>
      </w:r>
      <w:r>
        <w:rPr>
          <w:rFonts w:hint="eastAsia"/>
        </w:rPr>
        <w:t>。</w:t>
      </w:r>
    </w:p>
    <w:p w:rsidR="00000000" w:rsidRDefault="000C45AD">
      <w:pPr>
        <w:pStyle w:val="NormalIndent"/>
      </w:pPr>
      <w:r>
        <w:t xml:space="preserve">274.  </w:t>
      </w:r>
      <w:r>
        <w:rPr>
          <w:rFonts w:hint="eastAsia"/>
        </w:rPr>
        <w:t>人力资源司参加制订和编订有关卫生学科的大学生和研究生课程和教学大纲。在提供保健服务进程中所实行的社会参与战略</w:t>
      </w:r>
      <w:r>
        <w:rPr>
          <w:rFonts w:hint="eastAsia"/>
        </w:rPr>
        <w:t>包括为卫生人员和全体社区提供有关城市或卫生领域或地区的保健问题的教育。</w:t>
      </w:r>
    </w:p>
    <w:p w:rsidR="00000000" w:rsidRDefault="000C45AD">
      <w:pPr>
        <w:pStyle w:val="NormalIndent"/>
        <w:spacing w:after="240"/>
        <w:textAlignment w:val="center"/>
      </w:pPr>
      <w:r>
        <w:t xml:space="preserve">275.  </w:t>
      </w:r>
      <w:r>
        <w:rPr>
          <w:rFonts w:hint="eastAsia"/>
        </w:rPr>
        <w:t>下表列明</w:t>
      </w:r>
      <w:r>
        <w:t>1989</w:t>
      </w:r>
      <w:r>
        <w:rPr>
          <w:rFonts w:hint="eastAsia"/>
        </w:rPr>
        <w:t>至</w:t>
      </w:r>
      <w:r>
        <w:t>1994</w:t>
      </w:r>
      <w:r>
        <w:rPr>
          <w:rFonts w:hint="eastAsia"/>
        </w:rPr>
        <w:t>年间国际合作对该部门的贡献。</w:t>
      </w:r>
    </w:p>
    <w:tbl>
      <w:tblPr>
        <w:tblW w:w="0" w:type="auto"/>
        <w:tblInd w:w="-26" w:type="dxa"/>
        <w:tblLayout w:type="fixed"/>
        <w:tblCellMar>
          <w:left w:w="28" w:type="dxa"/>
          <w:right w:w="28" w:type="dxa"/>
        </w:tblCellMar>
        <w:tblLook w:val="0000" w:firstRow="0" w:lastRow="0" w:firstColumn="0" w:lastColumn="0" w:noHBand="0" w:noVBand="0"/>
      </w:tblPr>
      <w:tblGrid>
        <w:gridCol w:w="1828"/>
        <w:gridCol w:w="1896"/>
        <w:gridCol w:w="1896"/>
        <w:gridCol w:w="1896"/>
        <w:gridCol w:w="1896"/>
      </w:tblGrid>
      <w:tr w:rsidR="00000000">
        <w:tblPrEx>
          <w:tblCellMar>
            <w:top w:w="0" w:type="dxa"/>
            <w:bottom w:w="0" w:type="dxa"/>
          </w:tblCellMar>
        </w:tblPrEx>
        <w:tc>
          <w:tcPr>
            <w:tcW w:w="1828" w:type="dxa"/>
            <w:tcBorders>
              <w:top w:val="single" w:sz="6" w:space="0" w:color="auto"/>
              <w:left w:val="single" w:sz="6" w:space="0" w:color="auto"/>
              <w:bottom w:val="single" w:sz="6" w:space="0" w:color="auto"/>
            </w:tcBorders>
          </w:tcPr>
          <w:p w:rsidR="00000000" w:rsidRDefault="000C45AD">
            <w:pPr>
              <w:pStyle w:val="NormalIndent"/>
              <w:spacing w:before="80" w:after="40" w:line="240" w:lineRule="auto"/>
              <w:ind w:firstLine="0"/>
              <w:jc w:val="center"/>
              <w:rPr>
                <w:sz w:val="21"/>
              </w:rPr>
            </w:pPr>
            <w:r>
              <w:rPr>
                <w:rFonts w:hint="eastAsia"/>
                <w:sz w:val="21"/>
              </w:rPr>
              <w:t>年</w:t>
            </w:r>
          </w:p>
        </w:tc>
        <w:tc>
          <w:tcPr>
            <w:tcW w:w="1896" w:type="dxa"/>
            <w:tcBorders>
              <w:top w:val="single" w:sz="6" w:space="0" w:color="auto"/>
              <w:left w:val="single" w:sz="6" w:space="0" w:color="auto"/>
              <w:bottom w:val="single" w:sz="6" w:space="0" w:color="auto"/>
              <w:right w:val="single" w:sz="6" w:space="0" w:color="auto"/>
            </w:tcBorders>
          </w:tcPr>
          <w:p w:rsidR="00000000" w:rsidRDefault="000C45AD">
            <w:pPr>
              <w:pStyle w:val="NormalIndent"/>
              <w:spacing w:before="80" w:after="40" w:line="240" w:lineRule="auto"/>
              <w:ind w:firstLine="0"/>
              <w:jc w:val="center"/>
              <w:rPr>
                <w:sz w:val="21"/>
              </w:rPr>
            </w:pPr>
            <w:r>
              <w:rPr>
                <w:rFonts w:hint="eastAsia"/>
                <w:sz w:val="21"/>
              </w:rPr>
              <w:t>多</w:t>
            </w:r>
            <w:r>
              <w:rPr>
                <w:sz w:val="21"/>
              </w:rPr>
              <w:t xml:space="preserve"> </w:t>
            </w:r>
            <w:r>
              <w:rPr>
                <w:rFonts w:hint="eastAsia"/>
                <w:sz w:val="21"/>
              </w:rPr>
              <w:t>边</w:t>
            </w:r>
          </w:p>
        </w:tc>
        <w:tc>
          <w:tcPr>
            <w:tcW w:w="1896" w:type="dxa"/>
            <w:tcBorders>
              <w:top w:val="single" w:sz="6" w:space="0" w:color="auto"/>
              <w:left w:val="nil"/>
              <w:bottom w:val="single" w:sz="6" w:space="0" w:color="auto"/>
            </w:tcBorders>
          </w:tcPr>
          <w:p w:rsidR="00000000" w:rsidRDefault="000C45AD">
            <w:pPr>
              <w:pStyle w:val="NormalIndent"/>
              <w:spacing w:before="80" w:after="40" w:line="240" w:lineRule="auto"/>
              <w:ind w:firstLine="0"/>
              <w:jc w:val="center"/>
              <w:rPr>
                <w:sz w:val="21"/>
              </w:rPr>
            </w:pPr>
            <w:r>
              <w:rPr>
                <w:rFonts w:hint="eastAsia"/>
                <w:sz w:val="21"/>
              </w:rPr>
              <w:t>双</w:t>
            </w:r>
            <w:r>
              <w:rPr>
                <w:sz w:val="21"/>
              </w:rPr>
              <w:t xml:space="preserve"> </w:t>
            </w:r>
            <w:r>
              <w:rPr>
                <w:rFonts w:hint="eastAsia"/>
                <w:sz w:val="21"/>
              </w:rPr>
              <w:t>边</w:t>
            </w:r>
          </w:p>
        </w:tc>
        <w:tc>
          <w:tcPr>
            <w:tcW w:w="1896" w:type="dxa"/>
            <w:tcBorders>
              <w:top w:val="single" w:sz="6" w:space="0" w:color="auto"/>
              <w:left w:val="single" w:sz="6" w:space="0" w:color="auto"/>
              <w:bottom w:val="single" w:sz="6" w:space="0" w:color="auto"/>
              <w:right w:val="single" w:sz="6" w:space="0" w:color="auto"/>
            </w:tcBorders>
          </w:tcPr>
          <w:p w:rsidR="00000000" w:rsidRDefault="000C45AD">
            <w:pPr>
              <w:pStyle w:val="NormalIndent"/>
              <w:spacing w:before="80" w:after="40" w:line="240" w:lineRule="auto"/>
              <w:ind w:firstLine="0"/>
              <w:jc w:val="center"/>
              <w:rPr>
                <w:sz w:val="21"/>
              </w:rPr>
            </w:pPr>
            <w:r>
              <w:rPr>
                <w:rFonts w:hint="eastAsia"/>
                <w:sz w:val="21"/>
              </w:rPr>
              <w:t>非政府组织</w:t>
            </w:r>
          </w:p>
        </w:tc>
        <w:tc>
          <w:tcPr>
            <w:tcW w:w="1896" w:type="dxa"/>
            <w:tcBorders>
              <w:top w:val="single" w:sz="6" w:space="0" w:color="auto"/>
              <w:left w:val="nil"/>
              <w:bottom w:val="single" w:sz="6" w:space="0" w:color="auto"/>
              <w:right w:val="single" w:sz="6" w:space="0" w:color="auto"/>
            </w:tcBorders>
          </w:tcPr>
          <w:p w:rsidR="00000000" w:rsidRDefault="000C45AD">
            <w:pPr>
              <w:pStyle w:val="NormalIndent"/>
              <w:spacing w:before="80" w:after="40" w:line="240" w:lineRule="auto"/>
              <w:ind w:firstLine="0"/>
              <w:jc w:val="center"/>
              <w:rPr>
                <w:sz w:val="21"/>
              </w:rPr>
            </w:pPr>
            <w:r>
              <w:rPr>
                <w:rFonts w:hint="eastAsia"/>
                <w:sz w:val="21"/>
              </w:rPr>
              <w:t>总</w:t>
            </w:r>
            <w:r>
              <w:rPr>
                <w:sz w:val="21"/>
              </w:rPr>
              <w:t xml:space="preserve"> </w:t>
            </w:r>
            <w:r>
              <w:rPr>
                <w:rFonts w:hint="eastAsia"/>
                <w:sz w:val="21"/>
              </w:rPr>
              <w:t>额</w:t>
            </w:r>
          </w:p>
        </w:tc>
      </w:tr>
      <w:tr w:rsidR="00000000">
        <w:tblPrEx>
          <w:tblCellMar>
            <w:top w:w="0" w:type="dxa"/>
            <w:bottom w:w="0" w:type="dxa"/>
          </w:tblCellMar>
        </w:tblPrEx>
        <w:tc>
          <w:tcPr>
            <w:tcW w:w="1828" w:type="dxa"/>
            <w:tcBorders>
              <w:left w:val="single" w:sz="6" w:space="0" w:color="auto"/>
            </w:tcBorders>
          </w:tcPr>
          <w:p w:rsidR="00000000" w:rsidRDefault="000C45AD">
            <w:pPr>
              <w:pStyle w:val="NormalIndent"/>
              <w:spacing w:before="80" w:after="40" w:line="240" w:lineRule="auto"/>
              <w:ind w:firstLine="0"/>
              <w:jc w:val="center"/>
              <w:rPr>
                <w:sz w:val="21"/>
              </w:rPr>
            </w:pPr>
            <w:r>
              <w:rPr>
                <w:sz w:val="21"/>
              </w:rPr>
              <w:t>1989</w:t>
            </w:r>
          </w:p>
        </w:tc>
        <w:tc>
          <w:tcPr>
            <w:tcW w:w="1896" w:type="dxa"/>
            <w:tcBorders>
              <w:left w:val="single" w:sz="6" w:space="0" w:color="auto"/>
              <w:right w:val="single" w:sz="6" w:space="0" w:color="auto"/>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18.5</w:t>
            </w:r>
          </w:p>
        </w:tc>
        <w:tc>
          <w:tcPr>
            <w:tcW w:w="1896" w:type="dxa"/>
            <w:tcBorders>
              <w:left w:val="nil"/>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57.7</w:t>
            </w:r>
          </w:p>
        </w:tc>
        <w:tc>
          <w:tcPr>
            <w:tcW w:w="1896" w:type="dxa"/>
            <w:tcBorders>
              <w:left w:val="single" w:sz="6" w:space="0" w:color="auto"/>
              <w:right w:val="single" w:sz="6" w:space="0" w:color="auto"/>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23.8</w:t>
            </w:r>
          </w:p>
        </w:tc>
        <w:tc>
          <w:tcPr>
            <w:tcW w:w="1896" w:type="dxa"/>
            <w:tcBorders>
              <w:left w:val="nil"/>
              <w:right w:val="single" w:sz="6" w:space="0" w:color="auto"/>
            </w:tcBorders>
          </w:tcPr>
          <w:p w:rsidR="00000000" w:rsidRDefault="000C45AD">
            <w:pPr>
              <w:pStyle w:val="NormalIndent"/>
              <w:spacing w:before="80" w:after="40" w:line="240" w:lineRule="auto"/>
              <w:ind w:firstLine="0"/>
              <w:jc w:val="center"/>
              <w:rPr>
                <w:sz w:val="21"/>
              </w:rPr>
            </w:pPr>
            <w:r>
              <w:rPr>
                <w:sz w:val="21"/>
              </w:rPr>
              <w:t>1.001001e + 20</w:t>
            </w:r>
          </w:p>
        </w:tc>
      </w:tr>
      <w:tr w:rsidR="00000000">
        <w:tblPrEx>
          <w:tblCellMar>
            <w:top w:w="0" w:type="dxa"/>
            <w:bottom w:w="0" w:type="dxa"/>
          </w:tblCellMar>
        </w:tblPrEx>
        <w:tc>
          <w:tcPr>
            <w:tcW w:w="1828" w:type="dxa"/>
            <w:tcBorders>
              <w:left w:val="single" w:sz="6" w:space="0" w:color="auto"/>
            </w:tcBorders>
          </w:tcPr>
          <w:p w:rsidR="00000000" w:rsidRDefault="000C45AD">
            <w:pPr>
              <w:pStyle w:val="NormalIndent"/>
              <w:spacing w:before="80" w:after="40" w:line="240" w:lineRule="auto"/>
              <w:ind w:firstLine="0"/>
              <w:jc w:val="center"/>
              <w:rPr>
                <w:sz w:val="21"/>
              </w:rPr>
            </w:pPr>
            <w:r>
              <w:rPr>
                <w:sz w:val="21"/>
              </w:rPr>
              <w:t>1990</w:t>
            </w:r>
          </w:p>
        </w:tc>
        <w:tc>
          <w:tcPr>
            <w:tcW w:w="1896" w:type="dxa"/>
            <w:tcBorders>
              <w:left w:val="single" w:sz="6" w:space="0" w:color="auto"/>
              <w:right w:val="single" w:sz="6" w:space="0" w:color="auto"/>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18.8</w:t>
            </w:r>
          </w:p>
        </w:tc>
        <w:tc>
          <w:tcPr>
            <w:tcW w:w="1896" w:type="dxa"/>
            <w:tcBorders>
              <w:left w:val="nil"/>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80.2</w:t>
            </w:r>
          </w:p>
        </w:tc>
        <w:tc>
          <w:tcPr>
            <w:tcW w:w="1896" w:type="dxa"/>
            <w:tcBorders>
              <w:left w:val="single" w:sz="6" w:space="0" w:color="auto"/>
              <w:right w:val="single" w:sz="6" w:space="0" w:color="auto"/>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1.0</w:t>
            </w:r>
          </w:p>
        </w:tc>
        <w:tc>
          <w:tcPr>
            <w:tcW w:w="1896" w:type="dxa"/>
            <w:tcBorders>
              <w:left w:val="nil"/>
              <w:right w:val="single" w:sz="6" w:space="0" w:color="auto"/>
            </w:tcBorders>
          </w:tcPr>
          <w:p w:rsidR="00000000" w:rsidRDefault="000C45AD">
            <w:pPr>
              <w:pStyle w:val="NormalIndent"/>
              <w:spacing w:before="80" w:after="40" w:line="240" w:lineRule="auto"/>
              <w:ind w:firstLine="0"/>
              <w:rPr>
                <w:sz w:val="21"/>
              </w:rPr>
            </w:pPr>
          </w:p>
        </w:tc>
      </w:tr>
      <w:tr w:rsidR="00000000">
        <w:tblPrEx>
          <w:tblCellMar>
            <w:top w:w="0" w:type="dxa"/>
            <w:bottom w:w="0" w:type="dxa"/>
          </w:tblCellMar>
        </w:tblPrEx>
        <w:tc>
          <w:tcPr>
            <w:tcW w:w="1828" w:type="dxa"/>
            <w:tcBorders>
              <w:left w:val="single" w:sz="6" w:space="0" w:color="auto"/>
            </w:tcBorders>
          </w:tcPr>
          <w:p w:rsidR="00000000" w:rsidRDefault="000C45AD">
            <w:pPr>
              <w:pStyle w:val="NormalIndent"/>
              <w:spacing w:before="80" w:after="40" w:line="240" w:lineRule="auto"/>
              <w:ind w:firstLine="0"/>
              <w:jc w:val="center"/>
              <w:rPr>
                <w:sz w:val="21"/>
              </w:rPr>
            </w:pPr>
            <w:r>
              <w:rPr>
                <w:sz w:val="21"/>
              </w:rPr>
              <w:t>1991</w:t>
            </w:r>
          </w:p>
        </w:tc>
        <w:tc>
          <w:tcPr>
            <w:tcW w:w="1896" w:type="dxa"/>
            <w:tcBorders>
              <w:left w:val="single" w:sz="6" w:space="0" w:color="auto"/>
              <w:right w:val="single" w:sz="6" w:space="0" w:color="auto"/>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26.9</w:t>
            </w:r>
          </w:p>
        </w:tc>
        <w:tc>
          <w:tcPr>
            <w:tcW w:w="1896" w:type="dxa"/>
            <w:tcBorders>
              <w:left w:val="nil"/>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62.8</w:t>
            </w:r>
          </w:p>
        </w:tc>
        <w:tc>
          <w:tcPr>
            <w:tcW w:w="1896" w:type="dxa"/>
            <w:tcBorders>
              <w:left w:val="single" w:sz="6" w:space="0" w:color="auto"/>
              <w:right w:val="single" w:sz="6" w:space="0" w:color="auto"/>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10.3</w:t>
            </w:r>
          </w:p>
        </w:tc>
        <w:tc>
          <w:tcPr>
            <w:tcW w:w="1896" w:type="dxa"/>
            <w:tcBorders>
              <w:left w:val="nil"/>
              <w:right w:val="single" w:sz="6" w:space="0" w:color="auto"/>
            </w:tcBorders>
          </w:tcPr>
          <w:p w:rsidR="00000000" w:rsidRDefault="000C45AD">
            <w:pPr>
              <w:pStyle w:val="NormalIndent"/>
              <w:spacing w:before="80" w:after="40" w:line="240" w:lineRule="auto"/>
              <w:ind w:firstLine="0"/>
              <w:rPr>
                <w:sz w:val="21"/>
              </w:rPr>
            </w:pPr>
          </w:p>
        </w:tc>
      </w:tr>
      <w:tr w:rsidR="00000000">
        <w:tblPrEx>
          <w:tblCellMar>
            <w:top w:w="0" w:type="dxa"/>
            <w:bottom w:w="0" w:type="dxa"/>
          </w:tblCellMar>
        </w:tblPrEx>
        <w:tc>
          <w:tcPr>
            <w:tcW w:w="1828" w:type="dxa"/>
            <w:tcBorders>
              <w:left w:val="single" w:sz="6" w:space="0" w:color="auto"/>
            </w:tcBorders>
          </w:tcPr>
          <w:p w:rsidR="00000000" w:rsidRDefault="000C45AD">
            <w:pPr>
              <w:pStyle w:val="NormalIndent"/>
              <w:spacing w:before="80" w:after="40" w:line="240" w:lineRule="auto"/>
              <w:ind w:firstLine="0"/>
              <w:jc w:val="center"/>
              <w:rPr>
                <w:sz w:val="21"/>
              </w:rPr>
            </w:pPr>
            <w:r>
              <w:rPr>
                <w:sz w:val="21"/>
              </w:rPr>
              <w:t>1992</w:t>
            </w:r>
          </w:p>
        </w:tc>
        <w:tc>
          <w:tcPr>
            <w:tcW w:w="1896" w:type="dxa"/>
            <w:tcBorders>
              <w:left w:val="single" w:sz="6" w:space="0" w:color="auto"/>
              <w:right w:val="single" w:sz="6" w:space="0" w:color="auto"/>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31.2</w:t>
            </w:r>
          </w:p>
        </w:tc>
        <w:tc>
          <w:tcPr>
            <w:tcW w:w="1896" w:type="dxa"/>
            <w:tcBorders>
              <w:left w:val="nil"/>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57.2</w:t>
            </w:r>
          </w:p>
        </w:tc>
        <w:tc>
          <w:tcPr>
            <w:tcW w:w="1896" w:type="dxa"/>
            <w:tcBorders>
              <w:left w:val="single" w:sz="6" w:space="0" w:color="auto"/>
              <w:right w:val="single" w:sz="6" w:space="0" w:color="auto"/>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11.5</w:t>
            </w:r>
          </w:p>
        </w:tc>
        <w:tc>
          <w:tcPr>
            <w:tcW w:w="1896" w:type="dxa"/>
            <w:tcBorders>
              <w:left w:val="nil"/>
              <w:right w:val="single" w:sz="6" w:space="0" w:color="auto"/>
            </w:tcBorders>
          </w:tcPr>
          <w:p w:rsidR="00000000" w:rsidRDefault="000C45AD">
            <w:pPr>
              <w:pStyle w:val="NormalIndent"/>
              <w:spacing w:before="80" w:after="40" w:line="240" w:lineRule="auto"/>
              <w:ind w:firstLine="0"/>
              <w:rPr>
                <w:sz w:val="21"/>
              </w:rPr>
            </w:pPr>
          </w:p>
        </w:tc>
      </w:tr>
      <w:tr w:rsidR="00000000">
        <w:tblPrEx>
          <w:tblCellMar>
            <w:top w:w="0" w:type="dxa"/>
            <w:bottom w:w="0" w:type="dxa"/>
          </w:tblCellMar>
        </w:tblPrEx>
        <w:tc>
          <w:tcPr>
            <w:tcW w:w="1828" w:type="dxa"/>
            <w:tcBorders>
              <w:left w:val="single" w:sz="6" w:space="0" w:color="auto"/>
            </w:tcBorders>
          </w:tcPr>
          <w:p w:rsidR="00000000" w:rsidRDefault="000C45AD">
            <w:pPr>
              <w:pStyle w:val="NormalIndent"/>
              <w:spacing w:before="80" w:after="40" w:line="240" w:lineRule="auto"/>
              <w:ind w:firstLine="0"/>
              <w:jc w:val="center"/>
              <w:rPr>
                <w:sz w:val="21"/>
              </w:rPr>
            </w:pPr>
            <w:r>
              <w:rPr>
                <w:sz w:val="21"/>
              </w:rPr>
              <w:t>1993</w:t>
            </w:r>
          </w:p>
        </w:tc>
        <w:tc>
          <w:tcPr>
            <w:tcW w:w="1896" w:type="dxa"/>
            <w:tcBorders>
              <w:left w:val="single" w:sz="6" w:space="0" w:color="auto"/>
              <w:right w:val="single" w:sz="6" w:space="0" w:color="auto"/>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12.6</w:t>
            </w:r>
          </w:p>
        </w:tc>
        <w:tc>
          <w:tcPr>
            <w:tcW w:w="1896" w:type="dxa"/>
            <w:tcBorders>
              <w:left w:val="nil"/>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69.4</w:t>
            </w:r>
          </w:p>
        </w:tc>
        <w:tc>
          <w:tcPr>
            <w:tcW w:w="1896" w:type="dxa"/>
            <w:tcBorders>
              <w:left w:val="single" w:sz="6" w:space="0" w:color="auto"/>
              <w:right w:val="single" w:sz="6" w:space="0" w:color="auto"/>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0.7</w:t>
            </w:r>
          </w:p>
        </w:tc>
        <w:tc>
          <w:tcPr>
            <w:tcW w:w="1896" w:type="dxa"/>
            <w:tcBorders>
              <w:left w:val="nil"/>
              <w:right w:val="single" w:sz="6" w:space="0" w:color="auto"/>
            </w:tcBorders>
          </w:tcPr>
          <w:p w:rsidR="00000000" w:rsidRDefault="000C45AD">
            <w:pPr>
              <w:pStyle w:val="NormalIndent"/>
              <w:spacing w:before="80" w:after="40" w:line="240" w:lineRule="auto"/>
              <w:ind w:firstLine="0"/>
              <w:rPr>
                <w:sz w:val="21"/>
              </w:rPr>
            </w:pPr>
          </w:p>
        </w:tc>
      </w:tr>
      <w:tr w:rsidR="00000000">
        <w:tblPrEx>
          <w:tblCellMar>
            <w:top w:w="0" w:type="dxa"/>
            <w:bottom w:w="0" w:type="dxa"/>
          </w:tblCellMar>
        </w:tblPrEx>
        <w:tc>
          <w:tcPr>
            <w:tcW w:w="1828" w:type="dxa"/>
            <w:tcBorders>
              <w:left w:val="single" w:sz="6" w:space="0" w:color="auto"/>
            </w:tcBorders>
          </w:tcPr>
          <w:p w:rsidR="00000000" w:rsidRDefault="000C45AD">
            <w:pPr>
              <w:pStyle w:val="NormalIndent"/>
              <w:spacing w:before="80" w:after="40" w:line="240" w:lineRule="auto"/>
              <w:ind w:firstLine="0"/>
              <w:jc w:val="center"/>
              <w:rPr>
                <w:sz w:val="21"/>
              </w:rPr>
            </w:pPr>
            <w:r>
              <w:rPr>
                <w:sz w:val="21"/>
              </w:rPr>
              <w:t>1994</w:t>
            </w:r>
          </w:p>
        </w:tc>
        <w:tc>
          <w:tcPr>
            <w:tcW w:w="1896" w:type="dxa"/>
            <w:tcBorders>
              <w:left w:val="single" w:sz="6" w:space="0" w:color="auto"/>
              <w:right w:val="single" w:sz="6" w:space="0" w:color="auto"/>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31.9</w:t>
            </w:r>
          </w:p>
        </w:tc>
        <w:tc>
          <w:tcPr>
            <w:tcW w:w="1896" w:type="dxa"/>
            <w:tcBorders>
              <w:left w:val="nil"/>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66.2</w:t>
            </w:r>
          </w:p>
        </w:tc>
        <w:tc>
          <w:tcPr>
            <w:tcW w:w="1896" w:type="dxa"/>
            <w:tcBorders>
              <w:left w:val="single" w:sz="6" w:space="0" w:color="auto"/>
              <w:right w:val="single" w:sz="6" w:space="0" w:color="auto"/>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1.9</w:t>
            </w:r>
          </w:p>
        </w:tc>
        <w:tc>
          <w:tcPr>
            <w:tcW w:w="1896" w:type="dxa"/>
            <w:tcBorders>
              <w:left w:val="nil"/>
              <w:right w:val="single" w:sz="6" w:space="0" w:color="auto"/>
            </w:tcBorders>
          </w:tcPr>
          <w:p w:rsidR="00000000" w:rsidRDefault="000C45AD">
            <w:pPr>
              <w:pStyle w:val="NormalIndent"/>
              <w:spacing w:before="80" w:after="40" w:line="240" w:lineRule="auto"/>
              <w:ind w:firstLine="0"/>
              <w:rPr>
                <w:sz w:val="21"/>
              </w:rPr>
            </w:pPr>
          </w:p>
        </w:tc>
      </w:tr>
      <w:tr w:rsidR="00000000">
        <w:tblPrEx>
          <w:tblCellMar>
            <w:top w:w="0" w:type="dxa"/>
            <w:bottom w:w="0" w:type="dxa"/>
          </w:tblCellMar>
        </w:tblPrEx>
        <w:tc>
          <w:tcPr>
            <w:tcW w:w="1828" w:type="dxa"/>
            <w:tcBorders>
              <w:left w:val="single" w:sz="6" w:space="0" w:color="auto"/>
              <w:bottom w:val="single" w:sz="6" w:space="0" w:color="auto"/>
            </w:tcBorders>
          </w:tcPr>
          <w:p w:rsidR="00000000" w:rsidRDefault="000C45AD">
            <w:pPr>
              <w:pStyle w:val="NormalIndent"/>
              <w:spacing w:before="80" w:after="40" w:line="240" w:lineRule="auto"/>
              <w:ind w:firstLine="0"/>
              <w:jc w:val="center"/>
              <w:rPr>
                <w:sz w:val="21"/>
              </w:rPr>
            </w:pPr>
            <w:r>
              <w:rPr>
                <w:rFonts w:hint="eastAsia"/>
                <w:sz w:val="21"/>
              </w:rPr>
              <w:t>总</w:t>
            </w:r>
            <w:r>
              <w:rPr>
                <w:sz w:val="21"/>
              </w:rPr>
              <w:t xml:space="preserve"> </w:t>
            </w:r>
            <w:r>
              <w:rPr>
                <w:rFonts w:hint="eastAsia"/>
                <w:sz w:val="21"/>
              </w:rPr>
              <w:t>计</w:t>
            </w:r>
          </w:p>
        </w:tc>
        <w:tc>
          <w:tcPr>
            <w:tcW w:w="1896" w:type="dxa"/>
            <w:tcBorders>
              <w:left w:val="single" w:sz="6" w:space="0" w:color="auto"/>
              <w:bottom w:val="single" w:sz="6" w:space="0" w:color="auto"/>
              <w:right w:val="single" w:sz="6" w:space="0" w:color="auto"/>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27.0</w:t>
            </w:r>
          </w:p>
        </w:tc>
        <w:tc>
          <w:tcPr>
            <w:tcW w:w="1896" w:type="dxa"/>
            <w:tcBorders>
              <w:left w:val="nil"/>
              <w:bottom w:val="single" w:sz="6" w:space="0" w:color="auto"/>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66.2</w:t>
            </w:r>
          </w:p>
        </w:tc>
        <w:tc>
          <w:tcPr>
            <w:tcW w:w="1896" w:type="dxa"/>
            <w:tcBorders>
              <w:left w:val="single" w:sz="6" w:space="0" w:color="auto"/>
              <w:bottom w:val="single" w:sz="6" w:space="0" w:color="auto"/>
              <w:right w:val="single" w:sz="6" w:space="0" w:color="auto"/>
            </w:tcBorders>
          </w:tcPr>
          <w:p w:rsidR="00000000" w:rsidRDefault="000C45AD">
            <w:pPr>
              <w:pStyle w:val="NormalIndent"/>
              <w:tabs>
                <w:tab w:val="clear" w:pos="510"/>
                <w:tab w:val="clear" w:pos="1021"/>
                <w:tab w:val="clear" w:pos="1531"/>
                <w:tab w:val="clear" w:pos="2041"/>
                <w:tab w:val="decimal" w:pos="932"/>
              </w:tabs>
              <w:spacing w:before="80" w:after="40" w:line="240" w:lineRule="auto"/>
              <w:ind w:firstLine="0"/>
              <w:rPr>
                <w:sz w:val="21"/>
              </w:rPr>
            </w:pPr>
            <w:r>
              <w:rPr>
                <w:sz w:val="21"/>
              </w:rPr>
              <w:t>6.8</w:t>
            </w:r>
          </w:p>
        </w:tc>
        <w:tc>
          <w:tcPr>
            <w:tcW w:w="1896" w:type="dxa"/>
            <w:tcBorders>
              <w:left w:val="nil"/>
              <w:bottom w:val="single" w:sz="6" w:space="0" w:color="auto"/>
              <w:right w:val="single" w:sz="6" w:space="0" w:color="auto"/>
            </w:tcBorders>
          </w:tcPr>
          <w:p w:rsidR="00000000" w:rsidRDefault="000C45AD">
            <w:pPr>
              <w:pStyle w:val="NormalIndent"/>
              <w:spacing w:before="80" w:after="40" w:line="240" w:lineRule="auto"/>
              <w:ind w:firstLine="0"/>
              <w:rPr>
                <w:sz w:val="21"/>
              </w:rPr>
            </w:pPr>
          </w:p>
        </w:tc>
      </w:tr>
    </w:tbl>
    <w:p w:rsidR="00000000" w:rsidRDefault="000C45AD">
      <w:pPr>
        <w:pStyle w:val="EndnoteText"/>
        <w:spacing w:before="240" w:after="160"/>
        <w:textAlignment w:val="center"/>
      </w:pPr>
      <w:r>
        <w:rPr>
          <w:rFonts w:hint="eastAsia"/>
          <w:u w:val="single"/>
        </w:rPr>
        <w:t>来源</w:t>
      </w:r>
      <w:r>
        <w:rPr>
          <w:rFonts w:hint="eastAsia"/>
        </w:rPr>
        <w:t>：卫生事务国际合作研究，美洲卫生组织</w:t>
      </w:r>
      <w:r>
        <w:t>/</w:t>
      </w:r>
      <w:r>
        <w:rPr>
          <w:rFonts w:hint="eastAsia"/>
        </w:rPr>
        <w:t>世界卫生组织，洪都拉斯，</w:t>
      </w:r>
      <w:r>
        <w:t>1996</w:t>
      </w:r>
      <w:r>
        <w:rPr>
          <w:rFonts w:hint="eastAsia"/>
        </w:rPr>
        <w:t>年。</w:t>
      </w:r>
    </w:p>
    <w:p w:rsidR="00000000" w:rsidRDefault="000C45AD">
      <w:pPr>
        <w:pStyle w:val="NormalIndent"/>
        <w:spacing w:line="312" w:lineRule="auto"/>
      </w:pPr>
      <w:r>
        <w:t xml:space="preserve">276.  </w:t>
      </w:r>
      <w:r>
        <w:rPr>
          <w:rFonts w:hint="eastAsia"/>
        </w:rPr>
        <w:t>洪都拉斯最大的双边捐助者</w:t>
      </w:r>
      <w:r>
        <w:t>(</w:t>
      </w:r>
      <w:r>
        <w:rPr>
          <w:rFonts w:hint="eastAsia"/>
        </w:rPr>
        <w:t>提供国际卫生合作占总额</w:t>
      </w:r>
      <w:r>
        <w:t>53%</w:t>
      </w:r>
      <w:r>
        <w:rPr>
          <w:rFonts w:hint="eastAsia"/>
        </w:rPr>
        <w:t>的双边捐助者</w:t>
      </w:r>
      <w:r>
        <w:t>)</w:t>
      </w:r>
      <w:r>
        <w:rPr>
          <w:rFonts w:hint="eastAsia"/>
        </w:rPr>
        <w:t>是美国</w:t>
      </w:r>
      <w:r>
        <w:t>(45.2%)</w:t>
      </w:r>
      <w:r>
        <w:rPr>
          <w:rFonts w:hint="eastAsia"/>
        </w:rPr>
        <w:t>；但是，自</w:t>
      </w:r>
      <w:r>
        <w:t>1990</w:t>
      </w:r>
      <w:r>
        <w:rPr>
          <w:rFonts w:hint="eastAsia"/>
        </w:rPr>
        <w:t>年以来美国的援助有所下降，而由美洲开发银行和世界银行这类财政机构取代。例如，</w:t>
      </w:r>
      <w:r>
        <w:t>1992</w:t>
      </w:r>
      <w:r>
        <w:rPr>
          <w:rFonts w:hint="eastAsia"/>
        </w:rPr>
        <w:t>年最大的双边捐助国</w:t>
      </w:r>
      <w:r>
        <w:t>(</w:t>
      </w:r>
      <w:r>
        <w:rPr>
          <w:rFonts w:hint="eastAsia"/>
        </w:rPr>
        <w:t>以百万美元计</w:t>
      </w:r>
      <w:r>
        <w:t>)</w:t>
      </w:r>
      <w:r>
        <w:rPr>
          <w:rFonts w:hint="eastAsia"/>
        </w:rPr>
        <w:t>是美国</w:t>
      </w:r>
      <w:r>
        <w:t>(38.4)</w:t>
      </w:r>
      <w:r>
        <w:rPr>
          <w:rFonts w:hint="eastAsia"/>
        </w:rPr>
        <w:t>、意大利</w:t>
      </w:r>
      <w:r>
        <w:t>(37.4)</w:t>
      </w:r>
      <w:r>
        <w:rPr>
          <w:rFonts w:hint="eastAsia"/>
        </w:rPr>
        <w:t>、日本</w:t>
      </w:r>
      <w:r>
        <w:t>(19.4)</w:t>
      </w:r>
      <w:r>
        <w:rPr>
          <w:rFonts w:hint="eastAsia"/>
        </w:rPr>
        <w:t>、加拿大</w:t>
      </w:r>
      <w:r>
        <w:t>(9)</w:t>
      </w:r>
      <w:r>
        <w:rPr>
          <w:rFonts w:hint="eastAsia"/>
        </w:rPr>
        <w:t>、荷兰</w:t>
      </w:r>
      <w:r>
        <w:t>(6)</w:t>
      </w:r>
      <w:r>
        <w:rPr>
          <w:rFonts w:hint="eastAsia"/>
        </w:rPr>
        <w:t>、德国</w:t>
      </w:r>
      <w:r>
        <w:t>(4)</w:t>
      </w:r>
      <w:r>
        <w:rPr>
          <w:rFonts w:hint="eastAsia"/>
        </w:rPr>
        <w:t>、瑞士</w:t>
      </w:r>
      <w:r>
        <w:t>(2.6)</w:t>
      </w:r>
      <w:r>
        <w:rPr>
          <w:rFonts w:hint="eastAsia"/>
        </w:rPr>
        <w:t>。在</w:t>
      </w:r>
      <w:r>
        <w:t>1992</w:t>
      </w:r>
      <w:r>
        <w:rPr>
          <w:rFonts w:hint="eastAsia"/>
        </w:rPr>
        <w:t>年，联合国系统，世界银行和美洲开发银行也提供了重大的捐助。</w:t>
      </w:r>
    </w:p>
    <w:p w:rsidR="00000000" w:rsidRDefault="000C45AD">
      <w:pPr>
        <w:pStyle w:val="NormalIndent"/>
        <w:spacing w:line="312" w:lineRule="auto"/>
      </w:pPr>
      <w:r>
        <w:t xml:space="preserve">277.  </w:t>
      </w:r>
      <w:r>
        <w:rPr>
          <w:rFonts w:hint="eastAsia"/>
        </w:rPr>
        <w:t>根据第</w:t>
      </w:r>
      <w:r>
        <w:t>0041</w:t>
      </w:r>
      <w:r>
        <w:rPr>
          <w:rFonts w:hint="eastAsia"/>
        </w:rPr>
        <w:t>号协定</w:t>
      </w:r>
      <w:r>
        <w:t>(1995</w:t>
      </w:r>
      <w:r>
        <w:rPr>
          <w:rFonts w:hint="eastAsia"/>
        </w:rPr>
        <w:t>年</w:t>
      </w:r>
      <w:r>
        <w:t>)</w:t>
      </w:r>
      <w:r>
        <w:rPr>
          <w:rFonts w:hint="eastAsia"/>
        </w:rPr>
        <w:t>建立了卫生事务机构间合作委员会以便为在洪都拉斯发展卫生服务协调国际合作；美洲卫生组织</w:t>
      </w:r>
      <w:r>
        <w:t>/</w:t>
      </w:r>
      <w:r>
        <w:rPr>
          <w:rFonts w:hint="eastAsia"/>
        </w:rPr>
        <w:t>世界卫生组织作为该委员会的秘书处开展工作。</w:t>
      </w:r>
    </w:p>
    <w:p w:rsidR="00000000" w:rsidRDefault="000C45AD">
      <w:pPr>
        <w:pStyle w:val="NormalIndent"/>
        <w:spacing w:line="312" w:lineRule="auto"/>
      </w:pPr>
      <w:r>
        <w:t xml:space="preserve">278.  </w:t>
      </w:r>
      <w:r>
        <w:rPr>
          <w:rFonts w:hint="eastAsia"/>
        </w:rPr>
        <w:t>但是，仍然存在着影响改进国际合作的障碍，如缺乏机构间协调，方案和项目的谈判和管理能力薄弱。</w:t>
      </w:r>
    </w:p>
    <w:p w:rsidR="00000000" w:rsidRDefault="000C45AD">
      <w:pPr>
        <w:tabs>
          <w:tab w:val="clear" w:pos="510"/>
          <w:tab w:val="clear" w:pos="1021"/>
          <w:tab w:val="clear" w:pos="1531"/>
          <w:tab w:val="clear" w:pos="2041"/>
        </w:tabs>
        <w:spacing w:after="240" w:line="312" w:lineRule="auto"/>
        <w:textAlignment w:val="center"/>
      </w:pPr>
      <w:r>
        <w:tab/>
        <w:t xml:space="preserve">279.  </w:t>
      </w:r>
      <w:r>
        <w:rPr>
          <w:rFonts w:hint="eastAsia"/>
        </w:rPr>
        <w:t>目前外部合作比较强调通过向地方、地区和区域保健服务设施下放资源的方式促进当地发展。</w:t>
      </w:r>
    </w:p>
    <w:p w:rsidR="00000000" w:rsidRDefault="000C45AD">
      <w:pPr>
        <w:pStyle w:val="Heading3"/>
        <w:spacing w:after="240" w:line="312" w:lineRule="auto"/>
        <w:textAlignment w:val="center"/>
      </w:pPr>
      <w:r>
        <w:rPr>
          <w:rFonts w:hint="eastAsia"/>
        </w:rPr>
        <w:t>第</w:t>
      </w:r>
      <w:r>
        <w:t>13</w:t>
      </w:r>
      <w:r>
        <w:rPr>
          <w:rFonts w:hint="eastAsia"/>
        </w:rPr>
        <w:t>条和第</w:t>
      </w:r>
      <w:r>
        <w:t>14</w:t>
      </w:r>
      <w:r>
        <w:rPr>
          <w:rFonts w:hint="eastAsia"/>
        </w:rPr>
        <w:t>条</w:t>
      </w:r>
    </w:p>
    <w:p w:rsidR="00000000" w:rsidRDefault="000C45AD">
      <w:pPr>
        <w:pStyle w:val="Heading3"/>
        <w:spacing w:after="240" w:line="312" w:lineRule="auto"/>
        <w:textAlignment w:val="center"/>
      </w:pPr>
      <w:r>
        <w:rPr>
          <w:rFonts w:hint="eastAsia"/>
        </w:rPr>
        <w:t>受教育的权利</w:t>
      </w:r>
    </w:p>
    <w:p w:rsidR="00000000" w:rsidRDefault="000C45AD">
      <w:pPr>
        <w:spacing w:line="312" w:lineRule="auto"/>
      </w:pPr>
      <w:r>
        <w:tab/>
        <w:t xml:space="preserve">280.  </w:t>
      </w:r>
      <w:r>
        <w:rPr>
          <w:rFonts w:hint="eastAsia"/>
        </w:rPr>
        <w:t>洪都拉斯学校覆盖率每年逐步提高。</w:t>
      </w:r>
      <w:r>
        <w:t>1996</w:t>
      </w:r>
      <w:r>
        <w:rPr>
          <w:rFonts w:hint="eastAsia"/>
        </w:rPr>
        <w:t>年学前教育覆盖率为</w:t>
      </w:r>
      <w:r>
        <w:t>33.4%</w:t>
      </w:r>
      <w:r>
        <w:rPr>
          <w:rFonts w:hint="eastAsia"/>
        </w:rPr>
        <w:t>，如果考虑留级因素，小学的净覆盖率为</w:t>
      </w:r>
      <w:r>
        <w:t>94.8%</w:t>
      </w:r>
      <w:r>
        <w:rPr>
          <w:rFonts w:hint="eastAsia"/>
        </w:rPr>
        <w:t>，如果不考虑留级因素，覆盖率为</w:t>
      </w:r>
      <w:r>
        <w:t>85%</w:t>
      </w:r>
      <w:r>
        <w:rPr>
          <w:rFonts w:hint="eastAsia"/>
        </w:rPr>
        <w:t>。</w:t>
      </w:r>
    </w:p>
    <w:p w:rsidR="00000000" w:rsidRDefault="000C45AD">
      <w:pPr>
        <w:spacing w:line="312" w:lineRule="auto"/>
      </w:pPr>
      <w:r>
        <w:tab/>
        <w:t xml:space="preserve">281.  </w:t>
      </w:r>
      <w:r>
        <w:rPr>
          <w:rFonts w:hint="eastAsia"/>
        </w:rPr>
        <w:t>中学教育尽管就读人数迅速提高，但覆盖率仍很低</w:t>
      </w:r>
      <w:r>
        <w:t>(</w:t>
      </w:r>
      <w:r>
        <w:rPr>
          <w:rFonts w:hint="eastAsia"/>
        </w:rPr>
        <w:t>占</w:t>
      </w:r>
      <w:r>
        <w:t>32%)</w:t>
      </w:r>
      <w:r>
        <w:rPr>
          <w:rFonts w:hint="eastAsia"/>
        </w:rPr>
        <w:t>而且还有未经培训的教师担任这一高等教育工作</w:t>
      </w:r>
      <w:r>
        <w:t>(</w:t>
      </w:r>
      <w:r>
        <w:rPr>
          <w:rFonts w:hint="eastAsia"/>
        </w:rPr>
        <w:t>占</w:t>
      </w:r>
      <w:r>
        <w:t>68%)</w:t>
      </w:r>
      <w:r>
        <w:rPr>
          <w:rFonts w:hint="eastAsia"/>
        </w:rPr>
        <w:t>。过去十年中高等教育学生人数有相当大的增长，如今尽管进行了高等教育改革，但理工科毕业人数却最少。</w:t>
      </w:r>
    </w:p>
    <w:p w:rsidR="00000000" w:rsidRDefault="000C45AD">
      <w:pPr>
        <w:spacing w:after="240" w:line="312" w:lineRule="auto"/>
        <w:textAlignment w:val="center"/>
      </w:pPr>
      <w:r>
        <w:tab/>
        <w:t>282.  16</w:t>
      </w:r>
      <w:r>
        <w:rPr>
          <w:rFonts w:hint="eastAsia"/>
        </w:rPr>
        <w:t>岁以上人的文盲率由</w:t>
      </w:r>
      <w:r>
        <w:t>1988</w:t>
      </w:r>
      <w:r>
        <w:rPr>
          <w:rFonts w:hint="eastAsia"/>
        </w:rPr>
        <w:t>年的</w:t>
      </w:r>
      <w:r>
        <w:t>32%</w:t>
      </w:r>
      <w:r>
        <w:rPr>
          <w:rFonts w:hint="eastAsia"/>
        </w:rPr>
        <w:t>下降到</w:t>
      </w:r>
      <w:r>
        <w:t>1996</w:t>
      </w:r>
      <w:r>
        <w:rPr>
          <w:rFonts w:hint="eastAsia"/>
        </w:rPr>
        <w:t>年</w:t>
      </w:r>
      <w:r>
        <w:t>28.5%</w:t>
      </w:r>
      <w:r>
        <w:rPr>
          <w:rFonts w:hint="eastAsia"/>
        </w:rPr>
        <w:t>，即在这段时间内大约下降了</w:t>
      </w:r>
      <w:r>
        <w:t>3.5%</w:t>
      </w:r>
      <w:r>
        <w:rPr>
          <w:rFonts w:hint="eastAsia"/>
        </w:rPr>
        <w:t>。在同一时期农村地区的文盲率由</w:t>
      </w:r>
      <w:r>
        <w:t>47%</w:t>
      </w:r>
      <w:r>
        <w:rPr>
          <w:rFonts w:hint="eastAsia"/>
        </w:rPr>
        <w:t>急剧下降到</w:t>
      </w:r>
      <w:r>
        <w:t>28%</w:t>
      </w:r>
      <w:r>
        <w:rPr>
          <w:rFonts w:hint="eastAsia"/>
        </w:rPr>
        <w:t>。在城市地区，则由</w:t>
      </w:r>
      <w:r>
        <w:t>19%</w:t>
      </w:r>
      <w:r>
        <w:rPr>
          <w:rFonts w:hint="eastAsia"/>
        </w:rPr>
        <w:t>下降到</w:t>
      </w:r>
      <w:r>
        <w:t>11%</w:t>
      </w:r>
      <w:r>
        <w:rPr>
          <w:rFonts w:hint="eastAsia"/>
        </w:rPr>
        <w:t>。</w:t>
      </w:r>
    </w:p>
    <w:p w:rsidR="00000000" w:rsidRDefault="000C45AD">
      <w:pPr>
        <w:pStyle w:val="Heading3"/>
        <w:spacing w:after="240" w:line="312" w:lineRule="auto"/>
        <w:textAlignment w:val="center"/>
      </w:pPr>
      <w:r>
        <w:t>16</w:t>
      </w:r>
      <w:r>
        <w:rPr>
          <w:rFonts w:hint="eastAsia"/>
        </w:rPr>
        <w:t>岁以上的人的文盲率，</w:t>
      </w:r>
      <w:r>
        <w:t>1988-</w:t>
      </w:r>
      <w:r>
        <w:t>1994</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188"/>
        <w:gridCol w:w="1203"/>
        <w:gridCol w:w="1203"/>
        <w:gridCol w:w="1203"/>
        <w:gridCol w:w="3"/>
        <w:gridCol w:w="1200"/>
        <w:gridCol w:w="1203"/>
        <w:gridCol w:w="1203"/>
        <w:gridCol w:w="6"/>
      </w:tblGrid>
      <w:tr w:rsidR="00000000">
        <w:tblPrEx>
          <w:tblCellMar>
            <w:top w:w="0" w:type="dxa"/>
            <w:bottom w:w="0" w:type="dxa"/>
          </w:tblCellMar>
        </w:tblPrEx>
        <w:tc>
          <w:tcPr>
            <w:tcW w:w="2188" w:type="dxa"/>
            <w:tcBorders>
              <w:top w:val="single" w:sz="6" w:space="0" w:color="auto"/>
              <w:bottom w:val="nil"/>
              <w:right w:val="single" w:sz="6" w:space="0" w:color="auto"/>
            </w:tcBorders>
          </w:tcPr>
          <w:p w:rsidR="00000000" w:rsidRDefault="000C45AD">
            <w:pPr>
              <w:spacing w:before="120" w:line="240" w:lineRule="auto"/>
              <w:ind w:left="113"/>
              <w:jc w:val="center"/>
              <w:rPr>
                <w:sz w:val="21"/>
              </w:rPr>
            </w:pPr>
            <w:r>
              <w:rPr>
                <w:rFonts w:hint="eastAsia"/>
                <w:sz w:val="21"/>
              </w:rPr>
              <w:t>地区</w:t>
            </w:r>
            <w:r>
              <w:rPr>
                <w:sz w:val="21"/>
              </w:rPr>
              <w:t>/</w:t>
            </w:r>
            <w:r>
              <w:rPr>
                <w:rFonts w:hint="eastAsia"/>
                <w:sz w:val="21"/>
              </w:rPr>
              <w:t>时期</w:t>
            </w:r>
          </w:p>
        </w:tc>
        <w:tc>
          <w:tcPr>
            <w:tcW w:w="3612" w:type="dxa"/>
            <w:gridSpan w:val="4"/>
            <w:tcBorders>
              <w:left w:val="nil"/>
              <w:right w:val="nil"/>
            </w:tcBorders>
          </w:tcPr>
          <w:p w:rsidR="00000000" w:rsidRDefault="000C45AD">
            <w:pPr>
              <w:spacing w:before="120" w:line="240" w:lineRule="auto"/>
              <w:jc w:val="center"/>
              <w:rPr>
                <w:sz w:val="21"/>
              </w:rPr>
            </w:pPr>
            <w:r>
              <w:rPr>
                <w:sz w:val="21"/>
              </w:rPr>
              <w:t>1988</w:t>
            </w:r>
          </w:p>
        </w:tc>
        <w:tc>
          <w:tcPr>
            <w:tcW w:w="3612" w:type="dxa"/>
            <w:gridSpan w:val="4"/>
            <w:tcBorders>
              <w:top w:val="single" w:sz="6" w:space="0" w:color="auto"/>
              <w:left w:val="single" w:sz="6" w:space="0" w:color="auto"/>
              <w:bottom w:val="nil"/>
            </w:tcBorders>
          </w:tcPr>
          <w:p w:rsidR="00000000" w:rsidRDefault="000C45AD">
            <w:pPr>
              <w:spacing w:before="120" w:line="240" w:lineRule="auto"/>
              <w:jc w:val="center"/>
              <w:rPr>
                <w:sz w:val="21"/>
              </w:rPr>
            </w:pPr>
            <w:r>
              <w:rPr>
                <w:sz w:val="21"/>
              </w:rPr>
              <w:t>1994</w:t>
            </w:r>
          </w:p>
        </w:tc>
      </w:tr>
      <w:tr w:rsidR="00000000">
        <w:tblPrEx>
          <w:tblCellMar>
            <w:top w:w="0" w:type="dxa"/>
            <w:bottom w:w="0" w:type="dxa"/>
          </w:tblCellMar>
        </w:tblPrEx>
        <w:trPr>
          <w:gridAfter w:val="1"/>
          <w:wAfter w:w="6" w:type="dxa"/>
        </w:trPr>
        <w:tc>
          <w:tcPr>
            <w:tcW w:w="2188" w:type="dxa"/>
            <w:tcBorders>
              <w:top w:val="nil"/>
              <w:bottom w:val="nil"/>
              <w:right w:val="single" w:sz="6" w:space="0" w:color="auto"/>
            </w:tcBorders>
          </w:tcPr>
          <w:p w:rsidR="00000000" w:rsidRDefault="000C45AD">
            <w:pPr>
              <w:spacing w:before="120" w:line="240" w:lineRule="auto"/>
              <w:ind w:left="113"/>
              <w:jc w:val="left"/>
              <w:rPr>
                <w:sz w:val="21"/>
              </w:rPr>
            </w:pPr>
          </w:p>
        </w:tc>
        <w:tc>
          <w:tcPr>
            <w:tcW w:w="1203" w:type="dxa"/>
            <w:tcBorders>
              <w:top w:val="single" w:sz="6" w:space="0" w:color="auto"/>
              <w:left w:val="nil"/>
              <w:bottom w:val="single" w:sz="6" w:space="0" w:color="auto"/>
              <w:right w:val="nil"/>
            </w:tcBorders>
          </w:tcPr>
          <w:p w:rsidR="00000000" w:rsidRDefault="000C45AD">
            <w:pPr>
              <w:spacing w:before="120" w:line="240" w:lineRule="auto"/>
              <w:jc w:val="center"/>
              <w:rPr>
                <w:sz w:val="21"/>
              </w:rPr>
            </w:pPr>
            <w:r>
              <w:rPr>
                <w:rFonts w:hint="eastAsia"/>
                <w:sz w:val="21"/>
              </w:rPr>
              <w:t>男性</w:t>
            </w:r>
          </w:p>
        </w:tc>
        <w:tc>
          <w:tcPr>
            <w:tcW w:w="1203" w:type="dxa"/>
            <w:tcBorders>
              <w:top w:val="single" w:sz="6" w:space="0" w:color="auto"/>
              <w:left w:val="single" w:sz="6" w:space="0" w:color="auto"/>
              <w:bottom w:val="single" w:sz="6" w:space="0" w:color="auto"/>
              <w:right w:val="single" w:sz="6" w:space="0" w:color="auto"/>
            </w:tcBorders>
          </w:tcPr>
          <w:p w:rsidR="00000000" w:rsidRDefault="000C45AD">
            <w:pPr>
              <w:spacing w:before="120" w:line="240" w:lineRule="auto"/>
              <w:jc w:val="center"/>
              <w:rPr>
                <w:sz w:val="21"/>
              </w:rPr>
            </w:pPr>
            <w:r>
              <w:rPr>
                <w:rFonts w:hint="eastAsia"/>
                <w:sz w:val="21"/>
              </w:rPr>
              <w:t>女性</w:t>
            </w:r>
          </w:p>
        </w:tc>
        <w:tc>
          <w:tcPr>
            <w:tcW w:w="1203" w:type="dxa"/>
            <w:tcBorders>
              <w:top w:val="single" w:sz="6" w:space="0" w:color="auto"/>
              <w:left w:val="nil"/>
              <w:bottom w:val="single" w:sz="6" w:space="0" w:color="auto"/>
              <w:right w:val="nil"/>
            </w:tcBorders>
          </w:tcPr>
          <w:p w:rsidR="00000000" w:rsidRDefault="000C45AD">
            <w:pPr>
              <w:spacing w:before="120" w:line="240" w:lineRule="auto"/>
              <w:jc w:val="center"/>
              <w:rPr>
                <w:sz w:val="21"/>
              </w:rPr>
            </w:pPr>
            <w:r>
              <w:rPr>
                <w:rFonts w:hint="eastAsia"/>
                <w:sz w:val="21"/>
              </w:rPr>
              <w:t>总计</w:t>
            </w:r>
          </w:p>
        </w:tc>
        <w:tc>
          <w:tcPr>
            <w:tcW w:w="1203" w:type="dxa"/>
            <w:gridSpan w:val="2"/>
            <w:tcBorders>
              <w:top w:val="single" w:sz="6" w:space="0" w:color="auto"/>
              <w:left w:val="single" w:sz="6" w:space="0" w:color="auto"/>
              <w:bottom w:val="single" w:sz="6" w:space="0" w:color="auto"/>
              <w:right w:val="single" w:sz="6" w:space="0" w:color="auto"/>
            </w:tcBorders>
          </w:tcPr>
          <w:p w:rsidR="00000000" w:rsidRDefault="000C45AD">
            <w:pPr>
              <w:spacing w:before="120" w:line="240" w:lineRule="auto"/>
              <w:jc w:val="center"/>
              <w:rPr>
                <w:sz w:val="21"/>
              </w:rPr>
            </w:pPr>
            <w:r>
              <w:rPr>
                <w:rFonts w:hint="eastAsia"/>
                <w:sz w:val="21"/>
              </w:rPr>
              <w:t>男性</w:t>
            </w:r>
          </w:p>
        </w:tc>
        <w:tc>
          <w:tcPr>
            <w:tcW w:w="1203" w:type="dxa"/>
            <w:tcBorders>
              <w:top w:val="single" w:sz="6" w:space="0" w:color="auto"/>
              <w:left w:val="nil"/>
              <w:bottom w:val="single" w:sz="6" w:space="0" w:color="auto"/>
              <w:right w:val="single" w:sz="6" w:space="0" w:color="auto"/>
            </w:tcBorders>
          </w:tcPr>
          <w:p w:rsidR="00000000" w:rsidRDefault="000C45AD">
            <w:pPr>
              <w:spacing w:before="120" w:line="240" w:lineRule="auto"/>
              <w:jc w:val="center"/>
              <w:rPr>
                <w:sz w:val="21"/>
              </w:rPr>
            </w:pPr>
            <w:r>
              <w:rPr>
                <w:rFonts w:hint="eastAsia"/>
                <w:sz w:val="21"/>
              </w:rPr>
              <w:t>女性</w:t>
            </w:r>
          </w:p>
        </w:tc>
        <w:tc>
          <w:tcPr>
            <w:tcW w:w="1203" w:type="dxa"/>
            <w:tcBorders>
              <w:top w:val="single" w:sz="6" w:space="0" w:color="auto"/>
              <w:left w:val="nil"/>
              <w:bottom w:val="single" w:sz="6" w:space="0" w:color="auto"/>
            </w:tcBorders>
          </w:tcPr>
          <w:p w:rsidR="00000000" w:rsidRDefault="000C45AD">
            <w:pPr>
              <w:spacing w:before="120" w:line="240" w:lineRule="auto"/>
              <w:jc w:val="center"/>
              <w:rPr>
                <w:sz w:val="21"/>
              </w:rPr>
            </w:pPr>
            <w:r>
              <w:rPr>
                <w:rFonts w:hint="eastAsia"/>
                <w:sz w:val="21"/>
              </w:rPr>
              <w:t>总计</w:t>
            </w:r>
          </w:p>
        </w:tc>
      </w:tr>
      <w:tr w:rsidR="00000000">
        <w:tblPrEx>
          <w:tblCellMar>
            <w:top w:w="0" w:type="dxa"/>
            <w:bottom w:w="0" w:type="dxa"/>
          </w:tblCellMar>
        </w:tblPrEx>
        <w:trPr>
          <w:gridAfter w:val="1"/>
          <w:wAfter w:w="6" w:type="dxa"/>
        </w:trPr>
        <w:tc>
          <w:tcPr>
            <w:tcW w:w="2188" w:type="dxa"/>
            <w:tcBorders>
              <w:top w:val="single" w:sz="6" w:space="0" w:color="auto"/>
              <w:bottom w:val="nil"/>
              <w:right w:val="single" w:sz="6" w:space="0" w:color="auto"/>
            </w:tcBorders>
          </w:tcPr>
          <w:p w:rsidR="00000000" w:rsidRDefault="000C45AD">
            <w:pPr>
              <w:spacing w:before="80" w:after="40" w:line="240" w:lineRule="auto"/>
              <w:ind w:left="113"/>
              <w:jc w:val="left"/>
              <w:rPr>
                <w:sz w:val="21"/>
              </w:rPr>
            </w:pPr>
            <w:r>
              <w:rPr>
                <w:rFonts w:hint="eastAsia"/>
                <w:sz w:val="21"/>
              </w:rPr>
              <w:t>城市</w:t>
            </w:r>
          </w:p>
        </w:tc>
        <w:tc>
          <w:tcPr>
            <w:tcW w:w="1203" w:type="dxa"/>
            <w:tcBorders>
              <w:top w:val="nil"/>
              <w:left w:val="nil"/>
              <w:right w:val="nil"/>
            </w:tcBorders>
          </w:tcPr>
          <w:p w:rsidR="00000000" w:rsidRDefault="000C45AD">
            <w:pPr>
              <w:spacing w:before="80" w:after="40" w:line="240" w:lineRule="auto"/>
              <w:jc w:val="center"/>
              <w:rPr>
                <w:sz w:val="21"/>
              </w:rPr>
            </w:pPr>
            <w:r>
              <w:rPr>
                <w:sz w:val="21"/>
              </w:rPr>
              <w:t>17.5</w:t>
            </w:r>
          </w:p>
        </w:tc>
        <w:tc>
          <w:tcPr>
            <w:tcW w:w="1203" w:type="dxa"/>
            <w:tcBorders>
              <w:top w:val="nil"/>
              <w:left w:val="single" w:sz="6" w:space="0" w:color="auto"/>
              <w:right w:val="single" w:sz="6" w:space="0" w:color="auto"/>
            </w:tcBorders>
          </w:tcPr>
          <w:p w:rsidR="00000000" w:rsidRDefault="000C45AD">
            <w:pPr>
              <w:spacing w:before="80" w:after="40" w:line="240" w:lineRule="auto"/>
              <w:jc w:val="center"/>
              <w:rPr>
                <w:sz w:val="21"/>
              </w:rPr>
            </w:pPr>
            <w:r>
              <w:rPr>
                <w:sz w:val="21"/>
              </w:rPr>
              <w:t>20.4</w:t>
            </w:r>
          </w:p>
        </w:tc>
        <w:tc>
          <w:tcPr>
            <w:tcW w:w="1203" w:type="dxa"/>
            <w:tcBorders>
              <w:top w:val="nil"/>
              <w:left w:val="nil"/>
              <w:right w:val="nil"/>
            </w:tcBorders>
          </w:tcPr>
          <w:p w:rsidR="00000000" w:rsidRDefault="000C45AD">
            <w:pPr>
              <w:spacing w:before="80" w:after="40" w:line="240" w:lineRule="auto"/>
              <w:jc w:val="center"/>
              <w:rPr>
                <w:sz w:val="21"/>
              </w:rPr>
            </w:pPr>
            <w:r>
              <w:rPr>
                <w:sz w:val="21"/>
              </w:rPr>
              <w:t>19.1</w:t>
            </w:r>
          </w:p>
        </w:tc>
        <w:tc>
          <w:tcPr>
            <w:tcW w:w="1203" w:type="dxa"/>
            <w:gridSpan w:val="2"/>
            <w:tcBorders>
              <w:top w:val="nil"/>
              <w:left w:val="single" w:sz="6" w:space="0" w:color="auto"/>
              <w:right w:val="single" w:sz="6" w:space="0" w:color="auto"/>
            </w:tcBorders>
          </w:tcPr>
          <w:p w:rsidR="00000000" w:rsidRDefault="000C45AD">
            <w:pPr>
              <w:spacing w:before="80" w:after="40" w:line="240" w:lineRule="auto"/>
              <w:jc w:val="center"/>
              <w:rPr>
                <w:sz w:val="21"/>
              </w:rPr>
            </w:pPr>
            <w:r>
              <w:rPr>
                <w:sz w:val="21"/>
              </w:rPr>
              <w:t>9.4</w:t>
            </w:r>
          </w:p>
        </w:tc>
        <w:tc>
          <w:tcPr>
            <w:tcW w:w="1203" w:type="dxa"/>
            <w:tcBorders>
              <w:top w:val="nil"/>
              <w:left w:val="nil"/>
              <w:right w:val="single" w:sz="6" w:space="0" w:color="auto"/>
            </w:tcBorders>
          </w:tcPr>
          <w:p w:rsidR="00000000" w:rsidRDefault="000C45AD">
            <w:pPr>
              <w:spacing w:before="80" w:after="40" w:line="240" w:lineRule="auto"/>
              <w:jc w:val="center"/>
              <w:rPr>
                <w:sz w:val="21"/>
              </w:rPr>
            </w:pPr>
            <w:r>
              <w:rPr>
                <w:sz w:val="21"/>
              </w:rPr>
              <w:t>12.0</w:t>
            </w:r>
          </w:p>
        </w:tc>
        <w:tc>
          <w:tcPr>
            <w:tcW w:w="1203" w:type="dxa"/>
            <w:tcBorders>
              <w:top w:val="nil"/>
              <w:left w:val="nil"/>
            </w:tcBorders>
          </w:tcPr>
          <w:p w:rsidR="00000000" w:rsidRDefault="000C45AD">
            <w:pPr>
              <w:spacing w:before="80" w:after="40" w:line="240" w:lineRule="auto"/>
              <w:jc w:val="center"/>
              <w:rPr>
                <w:sz w:val="21"/>
              </w:rPr>
            </w:pPr>
            <w:r>
              <w:rPr>
                <w:sz w:val="21"/>
              </w:rPr>
              <w:t>10.8</w:t>
            </w:r>
          </w:p>
        </w:tc>
      </w:tr>
      <w:tr w:rsidR="00000000">
        <w:tblPrEx>
          <w:tblCellMar>
            <w:top w:w="0" w:type="dxa"/>
            <w:bottom w:w="0" w:type="dxa"/>
          </w:tblCellMar>
        </w:tblPrEx>
        <w:trPr>
          <w:gridAfter w:val="1"/>
          <w:wAfter w:w="6" w:type="dxa"/>
        </w:trPr>
        <w:tc>
          <w:tcPr>
            <w:tcW w:w="2188" w:type="dxa"/>
            <w:tcBorders>
              <w:top w:val="nil"/>
              <w:bottom w:val="nil"/>
              <w:right w:val="single" w:sz="6" w:space="0" w:color="auto"/>
            </w:tcBorders>
          </w:tcPr>
          <w:p w:rsidR="00000000" w:rsidRDefault="000C45AD">
            <w:pPr>
              <w:spacing w:before="80" w:after="40" w:line="240" w:lineRule="auto"/>
              <w:ind w:left="113"/>
              <w:jc w:val="left"/>
              <w:rPr>
                <w:sz w:val="21"/>
              </w:rPr>
            </w:pPr>
            <w:r>
              <w:rPr>
                <w:rFonts w:hint="eastAsia"/>
                <w:sz w:val="21"/>
              </w:rPr>
              <w:t>农村</w:t>
            </w:r>
          </w:p>
        </w:tc>
        <w:tc>
          <w:tcPr>
            <w:tcW w:w="1203" w:type="dxa"/>
            <w:tcBorders>
              <w:left w:val="nil"/>
              <w:right w:val="nil"/>
            </w:tcBorders>
          </w:tcPr>
          <w:p w:rsidR="00000000" w:rsidRDefault="000C45AD">
            <w:pPr>
              <w:spacing w:before="80" w:after="40" w:line="240" w:lineRule="auto"/>
              <w:jc w:val="center"/>
              <w:rPr>
                <w:sz w:val="21"/>
              </w:rPr>
            </w:pPr>
            <w:r>
              <w:rPr>
                <w:sz w:val="21"/>
              </w:rPr>
              <w:t>45.9</w:t>
            </w:r>
          </w:p>
        </w:tc>
        <w:tc>
          <w:tcPr>
            <w:tcW w:w="1203" w:type="dxa"/>
            <w:tcBorders>
              <w:left w:val="single" w:sz="6" w:space="0" w:color="auto"/>
              <w:right w:val="single" w:sz="6" w:space="0" w:color="auto"/>
            </w:tcBorders>
          </w:tcPr>
          <w:p w:rsidR="00000000" w:rsidRDefault="000C45AD">
            <w:pPr>
              <w:spacing w:before="80" w:after="40" w:line="240" w:lineRule="auto"/>
              <w:jc w:val="center"/>
              <w:rPr>
                <w:sz w:val="21"/>
              </w:rPr>
            </w:pPr>
            <w:r>
              <w:rPr>
                <w:sz w:val="21"/>
              </w:rPr>
              <w:t>48.3</w:t>
            </w:r>
          </w:p>
        </w:tc>
        <w:tc>
          <w:tcPr>
            <w:tcW w:w="1203" w:type="dxa"/>
            <w:tcBorders>
              <w:left w:val="nil"/>
              <w:right w:val="nil"/>
            </w:tcBorders>
          </w:tcPr>
          <w:p w:rsidR="00000000" w:rsidRDefault="000C45AD">
            <w:pPr>
              <w:spacing w:before="80" w:after="40" w:line="240" w:lineRule="auto"/>
              <w:jc w:val="center"/>
              <w:rPr>
                <w:sz w:val="21"/>
              </w:rPr>
            </w:pPr>
            <w:r>
              <w:rPr>
                <w:sz w:val="21"/>
              </w:rPr>
              <w:t>47.1</w:t>
            </w:r>
          </w:p>
        </w:tc>
        <w:tc>
          <w:tcPr>
            <w:tcW w:w="1203" w:type="dxa"/>
            <w:gridSpan w:val="2"/>
            <w:tcBorders>
              <w:left w:val="single" w:sz="6" w:space="0" w:color="auto"/>
              <w:right w:val="single" w:sz="6" w:space="0" w:color="auto"/>
            </w:tcBorders>
          </w:tcPr>
          <w:p w:rsidR="00000000" w:rsidRDefault="000C45AD">
            <w:pPr>
              <w:spacing w:before="80" w:after="40" w:line="240" w:lineRule="auto"/>
              <w:jc w:val="center"/>
              <w:rPr>
                <w:sz w:val="21"/>
              </w:rPr>
            </w:pPr>
            <w:r>
              <w:rPr>
                <w:sz w:val="21"/>
              </w:rPr>
              <w:t>27.5</w:t>
            </w:r>
          </w:p>
        </w:tc>
        <w:tc>
          <w:tcPr>
            <w:tcW w:w="1203" w:type="dxa"/>
            <w:tcBorders>
              <w:left w:val="nil"/>
              <w:right w:val="single" w:sz="6" w:space="0" w:color="auto"/>
            </w:tcBorders>
          </w:tcPr>
          <w:p w:rsidR="00000000" w:rsidRDefault="000C45AD">
            <w:pPr>
              <w:spacing w:before="80" w:after="40" w:line="240" w:lineRule="auto"/>
              <w:jc w:val="center"/>
              <w:rPr>
                <w:sz w:val="21"/>
              </w:rPr>
            </w:pPr>
            <w:r>
              <w:rPr>
                <w:sz w:val="21"/>
              </w:rPr>
              <w:t>28.3</w:t>
            </w:r>
          </w:p>
        </w:tc>
        <w:tc>
          <w:tcPr>
            <w:tcW w:w="1203" w:type="dxa"/>
            <w:tcBorders>
              <w:left w:val="nil"/>
            </w:tcBorders>
          </w:tcPr>
          <w:p w:rsidR="00000000" w:rsidRDefault="000C45AD">
            <w:pPr>
              <w:spacing w:before="80" w:after="40" w:line="240" w:lineRule="auto"/>
              <w:jc w:val="center"/>
              <w:rPr>
                <w:sz w:val="21"/>
              </w:rPr>
            </w:pPr>
            <w:r>
              <w:rPr>
                <w:sz w:val="21"/>
              </w:rPr>
              <w:t>27.9</w:t>
            </w:r>
          </w:p>
        </w:tc>
      </w:tr>
      <w:tr w:rsidR="00000000">
        <w:tblPrEx>
          <w:tblCellMar>
            <w:top w:w="0" w:type="dxa"/>
            <w:bottom w:w="0" w:type="dxa"/>
          </w:tblCellMar>
        </w:tblPrEx>
        <w:trPr>
          <w:gridAfter w:val="1"/>
          <w:wAfter w:w="6" w:type="dxa"/>
        </w:trPr>
        <w:tc>
          <w:tcPr>
            <w:tcW w:w="2188" w:type="dxa"/>
            <w:tcBorders>
              <w:top w:val="nil"/>
              <w:bottom w:val="single" w:sz="6" w:space="0" w:color="auto"/>
              <w:right w:val="single" w:sz="6" w:space="0" w:color="auto"/>
            </w:tcBorders>
          </w:tcPr>
          <w:p w:rsidR="00000000" w:rsidRDefault="000C45AD">
            <w:pPr>
              <w:spacing w:before="80" w:after="40" w:line="240" w:lineRule="auto"/>
              <w:ind w:left="113"/>
              <w:jc w:val="left"/>
              <w:rPr>
                <w:sz w:val="21"/>
              </w:rPr>
            </w:pPr>
            <w:r>
              <w:rPr>
                <w:rFonts w:hint="eastAsia"/>
                <w:sz w:val="21"/>
              </w:rPr>
              <w:t>全国</w:t>
            </w:r>
          </w:p>
        </w:tc>
        <w:tc>
          <w:tcPr>
            <w:tcW w:w="1203" w:type="dxa"/>
            <w:tcBorders>
              <w:left w:val="nil"/>
              <w:right w:val="nil"/>
            </w:tcBorders>
          </w:tcPr>
          <w:p w:rsidR="00000000" w:rsidRDefault="000C45AD">
            <w:pPr>
              <w:spacing w:before="80" w:after="40" w:line="240" w:lineRule="auto"/>
              <w:jc w:val="center"/>
              <w:rPr>
                <w:sz w:val="21"/>
              </w:rPr>
            </w:pPr>
            <w:r>
              <w:rPr>
                <w:sz w:val="21"/>
              </w:rPr>
              <w:t>34.5</w:t>
            </w:r>
          </w:p>
        </w:tc>
        <w:tc>
          <w:tcPr>
            <w:tcW w:w="1203" w:type="dxa"/>
            <w:tcBorders>
              <w:left w:val="single" w:sz="6" w:space="0" w:color="auto"/>
              <w:bottom w:val="single" w:sz="6" w:space="0" w:color="auto"/>
              <w:right w:val="single" w:sz="6" w:space="0" w:color="auto"/>
            </w:tcBorders>
          </w:tcPr>
          <w:p w:rsidR="00000000" w:rsidRDefault="000C45AD">
            <w:pPr>
              <w:spacing w:before="80" w:after="40" w:line="240" w:lineRule="auto"/>
              <w:jc w:val="center"/>
              <w:rPr>
                <w:sz w:val="21"/>
              </w:rPr>
            </w:pPr>
            <w:r>
              <w:rPr>
                <w:sz w:val="21"/>
              </w:rPr>
              <w:t>34.3</w:t>
            </w:r>
          </w:p>
        </w:tc>
        <w:tc>
          <w:tcPr>
            <w:tcW w:w="1203" w:type="dxa"/>
            <w:tcBorders>
              <w:left w:val="nil"/>
              <w:right w:val="nil"/>
            </w:tcBorders>
          </w:tcPr>
          <w:p w:rsidR="00000000" w:rsidRDefault="000C45AD">
            <w:pPr>
              <w:spacing w:before="80" w:after="40" w:line="240" w:lineRule="auto"/>
              <w:jc w:val="center"/>
              <w:rPr>
                <w:sz w:val="21"/>
              </w:rPr>
            </w:pPr>
            <w:r>
              <w:rPr>
                <w:sz w:val="21"/>
              </w:rPr>
              <w:t>35.0</w:t>
            </w:r>
          </w:p>
        </w:tc>
        <w:tc>
          <w:tcPr>
            <w:tcW w:w="1203" w:type="dxa"/>
            <w:gridSpan w:val="2"/>
            <w:tcBorders>
              <w:left w:val="single" w:sz="6" w:space="0" w:color="auto"/>
              <w:bottom w:val="single" w:sz="6" w:space="0" w:color="auto"/>
              <w:right w:val="single" w:sz="6" w:space="0" w:color="auto"/>
            </w:tcBorders>
          </w:tcPr>
          <w:p w:rsidR="00000000" w:rsidRDefault="000C45AD">
            <w:pPr>
              <w:spacing w:before="80" w:after="40" w:line="240" w:lineRule="auto"/>
              <w:jc w:val="center"/>
              <w:rPr>
                <w:sz w:val="21"/>
              </w:rPr>
            </w:pPr>
            <w:r>
              <w:rPr>
                <w:sz w:val="21"/>
              </w:rPr>
              <w:t>19.6</w:t>
            </w:r>
          </w:p>
        </w:tc>
        <w:tc>
          <w:tcPr>
            <w:tcW w:w="1203" w:type="dxa"/>
            <w:tcBorders>
              <w:left w:val="nil"/>
              <w:bottom w:val="single" w:sz="6" w:space="0" w:color="auto"/>
              <w:right w:val="single" w:sz="6" w:space="0" w:color="auto"/>
            </w:tcBorders>
          </w:tcPr>
          <w:p w:rsidR="00000000" w:rsidRDefault="000C45AD">
            <w:pPr>
              <w:spacing w:before="80" w:after="40" w:line="240" w:lineRule="auto"/>
              <w:jc w:val="center"/>
              <w:rPr>
                <w:sz w:val="21"/>
              </w:rPr>
            </w:pPr>
            <w:r>
              <w:rPr>
                <w:sz w:val="21"/>
              </w:rPr>
              <w:t>20.5</w:t>
            </w:r>
          </w:p>
        </w:tc>
        <w:tc>
          <w:tcPr>
            <w:tcW w:w="1203" w:type="dxa"/>
            <w:tcBorders>
              <w:left w:val="nil"/>
            </w:tcBorders>
          </w:tcPr>
          <w:p w:rsidR="00000000" w:rsidRDefault="000C45AD">
            <w:pPr>
              <w:spacing w:before="80" w:after="40" w:line="240" w:lineRule="auto"/>
              <w:jc w:val="center"/>
              <w:rPr>
                <w:sz w:val="21"/>
              </w:rPr>
            </w:pPr>
            <w:r>
              <w:rPr>
                <w:sz w:val="21"/>
              </w:rPr>
              <w:t>20.1</w:t>
            </w:r>
          </w:p>
        </w:tc>
      </w:tr>
    </w:tbl>
    <w:p w:rsidR="00000000" w:rsidRDefault="000C45AD">
      <w:pPr>
        <w:spacing w:before="320" w:after="320"/>
        <w:textAlignment w:val="center"/>
      </w:pPr>
      <w:r>
        <w:tab/>
        <w:t xml:space="preserve">283.  </w:t>
      </w:r>
      <w:r>
        <w:rPr>
          <w:rFonts w:hint="eastAsia"/>
        </w:rPr>
        <w:t>如上所示，在这段时间内男女文盲率分别由</w:t>
      </w:r>
      <w:r>
        <w:t>34.5%</w:t>
      </w:r>
      <w:r>
        <w:rPr>
          <w:rFonts w:hint="eastAsia"/>
        </w:rPr>
        <w:t>下降到</w:t>
      </w:r>
      <w:r>
        <w:t>19.6%</w:t>
      </w:r>
      <w:r>
        <w:rPr>
          <w:rFonts w:hint="eastAsia"/>
        </w:rPr>
        <w:t>和由</w:t>
      </w:r>
      <w:r>
        <w:t>34.3%</w:t>
      </w:r>
      <w:r>
        <w:rPr>
          <w:rFonts w:hint="eastAsia"/>
        </w:rPr>
        <w:t>下降到</w:t>
      </w:r>
      <w:r>
        <w:t>20.5%</w:t>
      </w:r>
      <w:r>
        <w:rPr>
          <w:rFonts w:hint="eastAsia"/>
        </w:rPr>
        <w:t>。在城市地区，男子文盲率由</w:t>
      </w:r>
      <w:r>
        <w:t>17%</w:t>
      </w:r>
      <w:r>
        <w:rPr>
          <w:rFonts w:hint="eastAsia"/>
        </w:rPr>
        <w:t>下降到</w:t>
      </w:r>
      <w:r>
        <w:t>9.4%</w:t>
      </w:r>
      <w:r>
        <w:rPr>
          <w:rFonts w:hint="eastAsia"/>
        </w:rPr>
        <w:t>，女子文盲率由</w:t>
      </w:r>
      <w:r>
        <w:t>20%</w:t>
      </w:r>
      <w:r>
        <w:rPr>
          <w:rFonts w:hint="eastAsia"/>
        </w:rPr>
        <w:t>下降到</w:t>
      </w:r>
      <w:r>
        <w:t>12%</w:t>
      </w:r>
      <w:r>
        <w:rPr>
          <w:rFonts w:hint="eastAsia"/>
        </w:rPr>
        <w:t>。在农村地区，女子文盲率的下降更为明显，</w:t>
      </w:r>
      <w:r>
        <w:rPr>
          <w:rFonts w:hint="eastAsia"/>
        </w:rPr>
        <w:t>由</w:t>
      </w:r>
      <w:r>
        <w:t>48%</w:t>
      </w:r>
      <w:r>
        <w:rPr>
          <w:rFonts w:hint="eastAsia"/>
        </w:rPr>
        <w:t>下降到</w:t>
      </w:r>
      <w:r>
        <w:t>28.3%</w:t>
      </w:r>
      <w:r>
        <w:rPr>
          <w:rFonts w:hint="eastAsia"/>
        </w:rPr>
        <w:t>，而男子文盲率则由</w:t>
      </w:r>
      <w:r>
        <w:t>46%</w:t>
      </w:r>
      <w:r>
        <w:rPr>
          <w:rFonts w:hint="eastAsia"/>
        </w:rPr>
        <w:t>下降到</w:t>
      </w:r>
      <w:r>
        <w:t>27.5%</w:t>
      </w:r>
      <w:r>
        <w:rPr>
          <w:rFonts w:hint="eastAsia"/>
        </w:rPr>
        <w:t>。全国平均受教育率提高到</w:t>
      </w:r>
      <w:r>
        <w:t>4.3</w:t>
      </w:r>
      <w:r>
        <w:rPr>
          <w:rFonts w:hint="eastAsia"/>
        </w:rPr>
        <w:t>年，城市地区提高了</w:t>
      </w:r>
      <w:r>
        <w:t>5.7%</w:t>
      </w:r>
      <w:r>
        <w:rPr>
          <w:rFonts w:hint="eastAsia"/>
        </w:rPr>
        <w:t>，农村地区提高了</w:t>
      </w:r>
      <w:r>
        <w:t>3.2%</w:t>
      </w:r>
      <w:r>
        <w:rPr>
          <w:rFonts w:hint="eastAsia"/>
        </w:rPr>
        <w:t>。</w:t>
      </w:r>
    </w:p>
    <w:p w:rsidR="00000000" w:rsidRDefault="000C45AD">
      <w:pPr>
        <w:pStyle w:val="Heading4"/>
      </w:pPr>
      <w:r>
        <w:rPr>
          <w:rFonts w:hint="eastAsia"/>
        </w:rPr>
        <w:t>为改进教育质量作出的努力</w:t>
      </w:r>
    </w:p>
    <w:p w:rsidR="00000000" w:rsidRDefault="000C45AD">
      <w:r>
        <w:tab/>
        <w:t xml:space="preserve">284.  </w:t>
      </w:r>
      <w:r>
        <w:rPr>
          <w:rFonts w:hint="eastAsia"/>
        </w:rPr>
        <w:t>作为在今后数年执行的一项总的战略，洪都拉斯构想出一项十年教育计划</w:t>
      </w:r>
      <w:r>
        <w:t>,</w:t>
      </w:r>
      <w:r>
        <w:rPr>
          <w:rFonts w:hint="eastAsia"/>
        </w:rPr>
        <w:t>它包含了将要实施的各种措施。这些措施包括，例如，改进教育质量和学前教育覆盖率，将初级教育定为</w:t>
      </w:r>
      <w:r>
        <w:t>9</w:t>
      </w:r>
      <w:r>
        <w:rPr>
          <w:rFonts w:hint="eastAsia"/>
        </w:rPr>
        <w:t>年，对青年和成年人的其他教育形式，巩固教育制度的下放，保持初级教育的改进方案和在全国采用新的其他形式的中学教育。</w:t>
      </w:r>
    </w:p>
    <w:p w:rsidR="00000000" w:rsidRDefault="000C45AD">
      <w:r>
        <w:tab/>
        <w:t xml:space="preserve">285.  </w:t>
      </w:r>
      <w:r>
        <w:rPr>
          <w:rFonts w:hint="eastAsia"/>
        </w:rPr>
        <w:t>因此，洪都拉斯的教育体制正在努力满足</w:t>
      </w:r>
      <w:r>
        <w:rPr>
          <w:rFonts w:hint="eastAsia"/>
        </w:rPr>
        <w:t>国家社会经济发展的需要，训练社会所需要的人材并将质量定为培养人材的根本内容，而这些人材能够在全国的生产过程中发挥有效的作用。</w:t>
      </w:r>
    </w:p>
    <w:p w:rsidR="00000000" w:rsidRDefault="000C45AD">
      <w:r>
        <w:tab/>
        <w:t xml:space="preserve">286.  </w:t>
      </w:r>
      <w:r>
        <w:rPr>
          <w:rFonts w:hint="eastAsia"/>
        </w:rPr>
        <w:t>过去的十年，尤其是</w:t>
      </w:r>
      <w:r>
        <w:t>1990</w:t>
      </w:r>
      <w:r>
        <w:rPr>
          <w:rFonts w:hint="eastAsia"/>
        </w:rPr>
        <w:t>年至</w:t>
      </w:r>
      <w:r>
        <w:t>1994</w:t>
      </w:r>
      <w:r>
        <w:rPr>
          <w:rFonts w:hint="eastAsia"/>
        </w:rPr>
        <w:t>期间，提出了教育现代化方案，作为使全国现代化的工程的一部分。这一方案的主要特征如下：</w:t>
      </w:r>
    </w:p>
    <w:p w:rsidR="00000000" w:rsidRDefault="000C45AD" w:rsidP="000C45AD">
      <w:pPr>
        <w:pStyle w:val="a6"/>
        <w:numPr>
          <w:ilvl w:val="0"/>
          <w:numId w:val="1"/>
        </w:numPr>
      </w:pPr>
      <w:r>
        <w:rPr>
          <w:rFonts w:hint="eastAsia"/>
        </w:rPr>
        <w:t>它所立足的原则是“学以致用”；</w:t>
      </w:r>
    </w:p>
    <w:p w:rsidR="00000000" w:rsidRDefault="000C45AD" w:rsidP="000C45AD">
      <w:pPr>
        <w:pStyle w:val="a6"/>
        <w:numPr>
          <w:ilvl w:val="0"/>
          <w:numId w:val="1"/>
        </w:numPr>
      </w:pPr>
      <w:r>
        <w:rPr>
          <w:rFonts w:hint="eastAsia"/>
        </w:rPr>
        <w:t>它是从人道主义角度出发的，将人作为生物、历史、社会和精神的整体对待；</w:t>
      </w:r>
    </w:p>
    <w:p w:rsidR="00000000" w:rsidRDefault="000C45AD" w:rsidP="000C45AD">
      <w:pPr>
        <w:pStyle w:val="a6"/>
        <w:numPr>
          <w:ilvl w:val="0"/>
          <w:numId w:val="1"/>
        </w:numPr>
      </w:pPr>
      <w:r>
        <w:rPr>
          <w:rFonts w:hint="eastAsia"/>
        </w:rPr>
        <w:t>它在全国范围内推行，并设计为一项全国性的教育政策方案；</w:t>
      </w:r>
    </w:p>
    <w:p w:rsidR="00000000" w:rsidRDefault="000C45AD" w:rsidP="000C45AD">
      <w:pPr>
        <w:pStyle w:val="a6"/>
        <w:numPr>
          <w:ilvl w:val="0"/>
          <w:numId w:val="1"/>
        </w:numPr>
      </w:pPr>
      <w:r>
        <w:rPr>
          <w:rFonts w:hint="eastAsia"/>
        </w:rPr>
        <w:t>它是多元化的，鼓励言论自由、教学自由和科研自由；</w:t>
      </w:r>
    </w:p>
    <w:p w:rsidR="00000000" w:rsidRDefault="000C45AD" w:rsidP="000C45AD">
      <w:pPr>
        <w:pStyle w:val="a6"/>
        <w:numPr>
          <w:ilvl w:val="0"/>
          <w:numId w:val="1"/>
        </w:numPr>
      </w:pPr>
      <w:r>
        <w:rPr>
          <w:rFonts w:hint="eastAsia"/>
        </w:rPr>
        <w:t>它将理论与实践相结合，将课程与生活和家庭</w:t>
      </w:r>
      <w:r>
        <w:rPr>
          <w:rFonts w:hint="eastAsia"/>
        </w:rPr>
        <w:t>联系在一起；</w:t>
      </w:r>
    </w:p>
    <w:p w:rsidR="00000000" w:rsidRDefault="000C45AD" w:rsidP="000C45AD">
      <w:pPr>
        <w:pStyle w:val="a6"/>
        <w:numPr>
          <w:ilvl w:val="0"/>
          <w:numId w:val="1"/>
        </w:numPr>
      </w:pPr>
      <w:r>
        <w:rPr>
          <w:rFonts w:hint="eastAsia"/>
        </w:rPr>
        <w:t>它是一种变革力量，力争使全国教育达到最高水平；</w:t>
      </w:r>
    </w:p>
    <w:p w:rsidR="00000000" w:rsidRDefault="000C45AD" w:rsidP="000C45AD">
      <w:pPr>
        <w:pStyle w:val="a6"/>
        <w:numPr>
          <w:ilvl w:val="0"/>
          <w:numId w:val="1"/>
        </w:numPr>
      </w:pPr>
      <w:r>
        <w:rPr>
          <w:rFonts w:hint="eastAsia"/>
        </w:rPr>
        <w:t>它具有现代水平和前瞻性，超出了传统的教育范围。</w:t>
      </w:r>
    </w:p>
    <w:p w:rsidR="00000000" w:rsidRDefault="000C45AD">
      <w:r>
        <w:tab/>
        <w:t xml:space="preserve">287.  </w:t>
      </w:r>
      <w:r>
        <w:rPr>
          <w:rFonts w:hint="eastAsia"/>
        </w:rPr>
        <w:t>这种模式的目标与个人性格的各方面联系在一起并且采用了创造性的技术方法和参与性活动</w:t>
      </w:r>
      <w:r>
        <w:t>,</w:t>
      </w:r>
      <w:r>
        <w:rPr>
          <w:rFonts w:hint="eastAsia"/>
        </w:rPr>
        <w:t>鼓励研究并作为这一进程的一项根本内容。简而言之，在这方面老师是促进者，而学生是教学的对象。已拟出了一项建议，将这一模型分七种不同方案和</w:t>
      </w:r>
      <w:r>
        <w:t>30</w:t>
      </w:r>
      <w:r>
        <w:rPr>
          <w:rFonts w:hint="eastAsia"/>
        </w:rPr>
        <w:t>种以上的单科目和分项科目加以实施，其中包括确定十年教育部门发展的战略活动并按顺序加以排出。</w:t>
      </w:r>
    </w:p>
    <w:p w:rsidR="00000000" w:rsidRDefault="000C45AD">
      <w:r>
        <w:tab/>
        <w:t xml:space="preserve">288.  </w:t>
      </w:r>
      <w:r>
        <w:rPr>
          <w:rFonts w:hint="eastAsia"/>
        </w:rPr>
        <w:t>这类项目有别于大而化之的对待教育问题的做法并且对不同的年级制订</w:t>
      </w:r>
      <w:r>
        <w:rPr>
          <w:rFonts w:hint="eastAsia"/>
        </w:rPr>
        <w:t>了单独的方案。</w:t>
      </w:r>
      <w:r>
        <w:t>1994</w:t>
      </w:r>
      <w:r>
        <w:rPr>
          <w:rFonts w:hint="eastAsia"/>
        </w:rPr>
        <w:t>年出现了另一种选择</w:t>
      </w:r>
      <w:r>
        <w:rPr>
          <w:rFonts w:hint="eastAsia"/>
          <w:spacing w:val="-40"/>
        </w:rPr>
        <w:t>——</w:t>
      </w:r>
      <w:r>
        <w:t xml:space="preserve"> </w:t>
      </w:r>
      <w:r>
        <w:rPr>
          <w:rFonts w:hint="eastAsia"/>
        </w:rPr>
        <w:t>“莫拉赞尼卡学校”；其创建构想是作为将基于质量、平等和联系的教育与生产工作相结合的一种模式。</w:t>
      </w:r>
    </w:p>
    <w:p w:rsidR="00000000" w:rsidRDefault="000C45AD">
      <w:r>
        <w:tab/>
        <w:t xml:space="preserve">289.  </w:t>
      </w:r>
      <w:r>
        <w:rPr>
          <w:rFonts w:hint="eastAsia"/>
        </w:rPr>
        <w:t>莫拉赞尼卡学校寻求建立一种新的教学模式，从而为国家的社会经济发展作出重要贡献；这种模式并非教育现代化计划或这种计划变体的一项产品，但它的确包含了上述计划的重要内容。</w:t>
      </w:r>
    </w:p>
    <w:p w:rsidR="00000000" w:rsidRDefault="000C45AD">
      <w:r>
        <w:tab/>
        <w:t xml:space="preserve">290.  </w:t>
      </w:r>
      <w:r>
        <w:rPr>
          <w:rFonts w:hint="eastAsia"/>
        </w:rPr>
        <w:t>下列部分项目属于教育现代化计划所设想的，它们为目前的教育当局所采纳；改进教学质量、改进教育部的体制</w:t>
      </w:r>
      <w:r>
        <w:t>(</w:t>
      </w:r>
      <w:r>
        <w:rPr>
          <w:rFonts w:hint="eastAsia"/>
        </w:rPr>
        <w:t>以前称为改革</w:t>
      </w:r>
      <w:r>
        <w:t>)</w:t>
      </w:r>
      <w:r>
        <w:rPr>
          <w:rFonts w:hint="eastAsia"/>
        </w:rPr>
        <w:t>、使教师培训合理化和改变课程设置</w:t>
      </w:r>
      <w:r>
        <w:t>(</w:t>
      </w:r>
      <w:r>
        <w:rPr>
          <w:rFonts w:hint="eastAsia"/>
        </w:rPr>
        <w:t>以前称为课程调整</w:t>
      </w:r>
      <w:r>
        <w:t>)</w:t>
      </w:r>
      <w:r>
        <w:rPr>
          <w:rFonts w:hint="eastAsia"/>
        </w:rPr>
        <w:t>。</w:t>
      </w:r>
    </w:p>
    <w:p w:rsidR="00000000" w:rsidRDefault="000C45AD">
      <w:r>
        <w:tab/>
        <w:t>291</w:t>
      </w:r>
      <w:r>
        <w:t xml:space="preserve">.  </w:t>
      </w:r>
      <w:r>
        <w:rPr>
          <w:rFonts w:hint="eastAsia"/>
        </w:rPr>
        <w:t>尽管任何社会对教育都很重视，但每年国家究竟应当为这个部门拨出多少资源并无统一认识。国际统计数字也未能清楚地说明这一点。</w:t>
      </w:r>
    </w:p>
    <w:p w:rsidR="00000000" w:rsidRDefault="000C45AD">
      <w:r>
        <w:tab/>
        <w:t xml:space="preserve">292.  </w:t>
      </w:r>
      <w:r>
        <w:rPr>
          <w:rFonts w:hint="eastAsia"/>
        </w:rPr>
        <w:t>例如，人均国内生产总值与公共部门为教育拨出的资金数额，如果按照国内生产总值比率算的话，并无重要的关联关系。</w:t>
      </w:r>
    </w:p>
    <w:p w:rsidR="00000000" w:rsidRDefault="000C45AD">
      <w:r>
        <w:tab/>
        <w:t xml:space="preserve">293.  </w:t>
      </w:r>
      <w:r>
        <w:rPr>
          <w:rFonts w:hint="eastAsia"/>
        </w:rPr>
        <w:t>洪都拉斯政府将预算的很大一部分拨用于教育，因为政府认为教育是对个人和社会未来的一种投资。教育开支有助于改进个人的生产力和个人的生活质量。它还通过改进技能、知识和生产性工作的能力以及通过促进参加民主进程和公民合作刺激社会经济发展。通过提高使用恰当技术的</w:t>
      </w:r>
      <w:r>
        <w:rPr>
          <w:rFonts w:hint="eastAsia"/>
        </w:rPr>
        <w:t>能力，丰富公共生活和文化，尤其是减少社会、经济和两性之间的不平等，它还可以使整个社会受益。</w:t>
      </w:r>
    </w:p>
    <w:p w:rsidR="00000000" w:rsidRDefault="000C45AD">
      <w:r>
        <w:tab/>
        <w:t xml:space="preserve">294.  </w:t>
      </w:r>
      <w:r>
        <w:rPr>
          <w:rFonts w:hint="eastAsia"/>
        </w:rPr>
        <w:t>研究显示，洪都拉斯</w:t>
      </w:r>
      <w:r>
        <w:t>1996</w:t>
      </w:r>
      <w:r>
        <w:rPr>
          <w:rFonts w:hint="eastAsia"/>
        </w:rPr>
        <w:t>年为教育拨出的公共开支占其国内生产总值的</w:t>
      </w:r>
      <w:r>
        <w:t>4.7% (</w:t>
      </w:r>
      <w:r>
        <w:rPr>
          <w:rFonts w:hint="eastAsia"/>
        </w:rPr>
        <w:t>总计为</w:t>
      </w:r>
      <w:r>
        <w:t>22.214</w:t>
      </w:r>
      <w:r>
        <w:rPr>
          <w:rFonts w:hint="eastAsia"/>
        </w:rPr>
        <w:t>亿伦皮拉</w:t>
      </w:r>
      <w:r>
        <w:t>)</w:t>
      </w:r>
      <w:r>
        <w:rPr>
          <w:rFonts w:hint="eastAsia"/>
        </w:rPr>
        <w:t>。</w:t>
      </w:r>
    </w:p>
    <w:p w:rsidR="00000000" w:rsidRDefault="000C45AD">
      <w:r>
        <w:tab/>
        <w:t xml:space="preserve">295.  </w:t>
      </w:r>
      <w:r>
        <w:rPr>
          <w:rFonts w:hint="eastAsia"/>
        </w:rPr>
        <w:t>在</w:t>
      </w:r>
      <w:r>
        <w:t>1996</w:t>
      </w:r>
      <w:r>
        <w:rPr>
          <w:rFonts w:hint="eastAsia"/>
        </w:rPr>
        <w:t>年执行的预算中，资金构成的</w:t>
      </w:r>
      <w:r>
        <w:t>85.5%</w:t>
      </w:r>
      <w:r>
        <w:rPr>
          <w:rFonts w:hint="eastAsia"/>
        </w:rPr>
        <w:t>来自中央政府，即由税收提供；</w:t>
      </w:r>
      <w:r>
        <w:t>9.2%</w:t>
      </w:r>
      <w:r>
        <w:rPr>
          <w:rFonts w:hint="eastAsia"/>
        </w:rPr>
        <w:t>来自外部资源</w:t>
      </w:r>
      <w:r>
        <w:t>(</w:t>
      </w:r>
      <w:r>
        <w:rPr>
          <w:rFonts w:hint="eastAsia"/>
        </w:rPr>
        <w:t>贷款和赠款</w:t>
      </w:r>
      <w:r>
        <w:t>)</w:t>
      </w:r>
      <w:r>
        <w:rPr>
          <w:rFonts w:hint="eastAsia"/>
        </w:rPr>
        <w:t>；</w:t>
      </w:r>
      <w:r>
        <w:t>1.5%</w:t>
      </w:r>
      <w:r>
        <w:rPr>
          <w:rFonts w:hint="eastAsia"/>
        </w:rPr>
        <w:t>来自家庭为教育机构支付的学费；</w:t>
      </w:r>
      <w:r>
        <w:t>3.9%</w:t>
      </w:r>
      <w:r>
        <w:rPr>
          <w:rFonts w:hint="eastAsia"/>
        </w:rPr>
        <w:t>来自商业界的捐款。在政府的拨款总额中，</w:t>
      </w:r>
      <w:r>
        <w:t>77%</w:t>
      </w:r>
      <w:r>
        <w:rPr>
          <w:rFonts w:hint="eastAsia"/>
        </w:rPr>
        <w:t>直接由教育使用，</w:t>
      </w:r>
      <w:r>
        <w:t>18.5%</w:t>
      </w:r>
      <w:r>
        <w:rPr>
          <w:rFonts w:hint="eastAsia"/>
        </w:rPr>
        <w:t>用于公共高等教育机构</w:t>
      </w:r>
      <w:r>
        <w:t>(</w:t>
      </w:r>
      <w:r>
        <w:rPr>
          <w:rFonts w:hint="eastAsia"/>
        </w:rPr>
        <w:t>全国自立大学和弗朗西斯科·莫拉赞国</w:t>
      </w:r>
      <w:r>
        <w:rPr>
          <w:rFonts w:hint="eastAsia"/>
        </w:rPr>
        <w:t>立教师培训大学；政府为这两所机构拨出的资金是通过教育部预算作出的。</w:t>
      </w:r>
    </w:p>
    <w:p w:rsidR="00000000" w:rsidRDefault="000C45AD">
      <w:r>
        <w:tab/>
        <w:t xml:space="preserve">296.  </w:t>
      </w:r>
      <w:r>
        <w:rPr>
          <w:rFonts w:hint="eastAsia"/>
        </w:rPr>
        <w:t>外部资源的</w:t>
      </w:r>
      <w:r>
        <w:t>80%</w:t>
      </w:r>
      <w:r>
        <w:rPr>
          <w:rFonts w:hint="eastAsia"/>
        </w:rPr>
        <w:t>是通过</w:t>
      </w:r>
      <w:r>
        <w:t>FHIS</w:t>
      </w:r>
      <w:r>
        <w:rPr>
          <w:rFonts w:hint="eastAsia"/>
        </w:rPr>
        <w:t>和</w:t>
      </w:r>
      <w:r>
        <w:t>PRAF</w:t>
      </w:r>
      <w:r>
        <w:rPr>
          <w:rFonts w:hint="eastAsia"/>
        </w:rPr>
        <w:t>拨出的，通过教育部预算拨出的只占</w:t>
      </w:r>
      <w:r>
        <w:t>15%</w:t>
      </w:r>
      <w:r>
        <w:rPr>
          <w:rFonts w:hint="eastAsia"/>
        </w:rPr>
        <w:t>。教育支出历来占社会开支的一半以上，近年来在</w:t>
      </w:r>
      <w:r>
        <w:t>54%</w:t>
      </w:r>
      <w:r>
        <w:rPr>
          <w:rFonts w:hint="eastAsia"/>
        </w:rPr>
        <w:t>上下浮动，即占国内生产总值的</w:t>
      </w:r>
      <w:r>
        <w:t>3.3%</w:t>
      </w:r>
      <w:r>
        <w:rPr>
          <w:rFonts w:hint="eastAsia"/>
        </w:rPr>
        <w:t>到</w:t>
      </w:r>
      <w:r>
        <w:t>4.8%</w:t>
      </w:r>
      <w:r>
        <w:rPr>
          <w:rFonts w:hint="eastAsia"/>
        </w:rPr>
        <w:t>。</w:t>
      </w:r>
    </w:p>
    <w:p w:rsidR="00000000" w:rsidRDefault="000C45AD">
      <w:r>
        <w:tab/>
        <w:t>297.  1980-1989</w:t>
      </w:r>
      <w:r>
        <w:rPr>
          <w:rFonts w:hint="eastAsia"/>
        </w:rPr>
        <w:t>年期间不同水平教育的开支数字显示，初级教育用掉了全部资源的</w:t>
      </w:r>
      <w:r>
        <w:t>48%</w:t>
      </w:r>
      <w:r>
        <w:rPr>
          <w:rFonts w:hint="eastAsia"/>
        </w:rPr>
        <w:t>，而高等教育</w:t>
      </w:r>
      <w:r>
        <w:t>(</w:t>
      </w:r>
      <w:r>
        <w:rPr>
          <w:rFonts w:hint="eastAsia"/>
        </w:rPr>
        <w:t>上述国立大学和教育培训大学</w:t>
      </w:r>
      <w:r>
        <w:t>)</w:t>
      </w:r>
      <w:r>
        <w:rPr>
          <w:rFonts w:hint="eastAsia"/>
        </w:rPr>
        <w:t>、中等教育以及技术和成年人教育同期分别占</w:t>
      </w:r>
      <w:r>
        <w:t>19.6%</w:t>
      </w:r>
      <w:r>
        <w:rPr>
          <w:rFonts w:hint="eastAsia"/>
        </w:rPr>
        <w:t>、</w:t>
      </w:r>
      <w:r>
        <w:t>12.8%</w:t>
      </w:r>
      <w:r>
        <w:rPr>
          <w:rFonts w:hint="eastAsia"/>
        </w:rPr>
        <w:t>和</w:t>
      </w:r>
      <w:r>
        <w:t>0.7%</w:t>
      </w:r>
      <w:r>
        <w:rPr>
          <w:rFonts w:hint="eastAsia"/>
        </w:rPr>
        <w:t>。</w:t>
      </w:r>
    </w:p>
    <w:p w:rsidR="00000000" w:rsidRDefault="000C45AD">
      <w:r>
        <w:tab/>
        <w:t>298.  1990-1995</w:t>
      </w:r>
      <w:r>
        <w:rPr>
          <w:rFonts w:hint="eastAsia"/>
        </w:rPr>
        <w:t>期间，</w:t>
      </w:r>
      <w:r>
        <w:rPr>
          <w:rFonts w:hint="eastAsia"/>
        </w:rPr>
        <w:t>教育开支占中央政府开支的比例由</w:t>
      </w:r>
      <w:r>
        <w:t>1990</w:t>
      </w:r>
      <w:r>
        <w:rPr>
          <w:rFonts w:hint="eastAsia"/>
        </w:rPr>
        <w:t>年的</w:t>
      </w:r>
      <w:r>
        <w:t>16.4%</w:t>
      </w:r>
      <w:r>
        <w:rPr>
          <w:rFonts w:hint="eastAsia"/>
        </w:rPr>
        <w:t>提高到</w:t>
      </w:r>
      <w:r>
        <w:t>1995</w:t>
      </w:r>
      <w:r>
        <w:rPr>
          <w:rFonts w:hint="eastAsia"/>
        </w:rPr>
        <w:t>年的</w:t>
      </w:r>
      <w:r>
        <w:t>18.5%</w:t>
      </w:r>
      <w:r>
        <w:rPr>
          <w:rFonts w:hint="eastAsia"/>
        </w:rPr>
        <w:t>。初级教育历来占用的资金最多，占教育部预算的</w:t>
      </w:r>
      <w:r>
        <w:t>48%</w:t>
      </w:r>
      <w:r>
        <w:rPr>
          <w:rFonts w:hint="eastAsia"/>
        </w:rPr>
        <w:t>。</w:t>
      </w:r>
      <w:r>
        <w:t>1995</w:t>
      </w:r>
      <w:r>
        <w:rPr>
          <w:rFonts w:hint="eastAsia"/>
        </w:rPr>
        <w:t>初级教育的开支下降为</w:t>
      </w:r>
      <w:r>
        <w:t>6.514</w:t>
      </w:r>
      <w:r>
        <w:rPr>
          <w:rFonts w:hint="eastAsia"/>
        </w:rPr>
        <w:t>亿伦皮拉，而</w:t>
      </w:r>
      <w:r>
        <w:t>1990</w:t>
      </w:r>
      <w:r>
        <w:rPr>
          <w:rFonts w:hint="eastAsia"/>
        </w:rPr>
        <w:t>年为</w:t>
      </w:r>
      <w:r>
        <w:t>6.548</w:t>
      </w:r>
      <w:r>
        <w:rPr>
          <w:rFonts w:hint="eastAsia"/>
        </w:rPr>
        <w:t>亿伦皮拉，</w:t>
      </w:r>
      <w:r>
        <w:t>1993</w:t>
      </w:r>
      <w:r>
        <w:rPr>
          <w:rFonts w:hint="eastAsia"/>
        </w:rPr>
        <w:t>年为</w:t>
      </w:r>
      <w:r>
        <w:t>6.76</w:t>
      </w:r>
      <w:r>
        <w:rPr>
          <w:rFonts w:hint="eastAsia"/>
        </w:rPr>
        <w:t>亿伦皮拉。初级教育开支占实际社会开支的比例也显示出了同一走向</w:t>
      </w:r>
      <w:r>
        <w:t>(1993</w:t>
      </w:r>
      <w:r>
        <w:rPr>
          <w:rFonts w:hint="eastAsia"/>
        </w:rPr>
        <w:t>年增加，</w:t>
      </w:r>
      <w:r>
        <w:t>1994</w:t>
      </w:r>
      <w:r>
        <w:rPr>
          <w:rFonts w:hint="eastAsia"/>
        </w:rPr>
        <w:t>年下降，但</w:t>
      </w:r>
      <w:r>
        <w:t>1995</w:t>
      </w:r>
      <w:r>
        <w:rPr>
          <w:rFonts w:hint="eastAsia"/>
        </w:rPr>
        <w:t>年保持在</w:t>
      </w:r>
      <w:r>
        <w:t>28.1%)</w:t>
      </w:r>
      <w:r>
        <w:rPr>
          <w:rFonts w:hint="eastAsia"/>
        </w:rPr>
        <w:t>。</w:t>
      </w:r>
    </w:p>
    <w:p w:rsidR="00000000" w:rsidRDefault="000C45AD">
      <w:r>
        <w:tab/>
        <w:t xml:space="preserve">299.  </w:t>
      </w:r>
      <w:r>
        <w:rPr>
          <w:rFonts w:hint="eastAsia"/>
        </w:rPr>
        <w:t>在</w:t>
      </w:r>
      <w:r>
        <w:t>1990-1995</w:t>
      </w:r>
      <w:r>
        <w:rPr>
          <w:rFonts w:hint="eastAsia"/>
        </w:rPr>
        <w:t>期间，小学报名人数由</w:t>
      </w:r>
      <w:r>
        <w:t>889,346</w:t>
      </w:r>
      <w:r>
        <w:rPr>
          <w:rFonts w:hint="eastAsia"/>
        </w:rPr>
        <w:t>提高到</w:t>
      </w:r>
      <w:r>
        <w:t>1,008,092,</w:t>
      </w:r>
      <w:r>
        <w:rPr>
          <w:rFonts w:hint="eastAsia"/>
        </w:rPr>
        <w:t>年度平均增长率为</w:t>
      </w:r>
      <w:r>
        <w:t>2.6%</w:t>
      </w:r>
      <w:r>
        <w:rPr>
          <w:rFonts w:hint="eastAsia"/>
        </w:rPr>
        <w:t>；与入学人数增加相反的是同一时期</w:t>
      </w:r>
      <w:r>
        <w:rPr>
          <w:rFonts w:hint="eastAsia"/>
        </w:rPr>
        <w:t>内教育部用于每个学生的开支由</w:t>
      </w:r>
      <w:r>
        <w:t>1990</w:t>
      </w:r>
      <w:r>
        <w:rPr>
          <w:rFonts w:hint="eastAsia"/>
        </w:rPr>
        <w:t>年的</w:t>
      </w:r>
      <w:r>
        <w:t>791.4</w:t>
      </w:r>
      <w:r>
        <w:rPr>
          <w:rFonts w:hint="eastAsia"/>
        </w:rPr>
        <w:t>伦皮拉下降到</w:t>
      </w:r>
      <w:r>
        <w:t>1995</w:t>
      </w:r>
      <w:r>
        <w:rPr>
          <w:rFonts w:hint="eastAsia"/>
        </w:rPr>
        <w:t>年的</w:t>
      </w:r>
      <w:r>
        <w:t>670.3</w:t>
      </w:r>
      <w:r>
        <w:rPr>
          <w:rFonts w:hint="eastAsia"/>
        </w:rPr>
        <w:t>伦皮拉。</w:t>
      </w:r>
    </w:p>
    <w:p w:rsidR="00000000" w:rsidRDefault="000C45AD">
      <w:r>
        <w:tab/>
        <w:t xml:space="preserve">300.  </w:t>
      </w:r>
      <w:r>
        <w:rPr>
          <w:rFonts w:hint="eastAsia"/>
        </w:rPr>
        <w:t>如果将</w:t>
      </w:r>
      <w:r>
        <w:t>FHIS</w:t>
      </w:r>
      <w:r>
        <w:rPr>
          <w:rFonts w:hint="eastAsia"/>
        </w:rPr>
        <w:t>和</w:t>
      </w:r>
      <w:r>
        <w:t>TRAF</w:t>
      </w:r>
      <w:r>
        <w:rPr>
          <w:rFonts w:hint="eastAsia"/>
        </w:rPr>
        <w:t>计算在内，小学生人均开支由</w:t>
      </w:r>
      <w:r>
        <w:t>1990</w:t>
      </w:r>
      <w:r>
        <w:rPr>
          <w:rFonts w:hint="eastAsia"/>
        </w:rPr>
        <w:t>年的</w:t>
      </w:r>
      <w:r>
        <w:t>825.4</w:t>
      </w:r>
      <w:r>
        <w:rPr>
          <w:rFonts w:hint="eastAsia"/>
        </w:rPr>
        <w:t>伦皮拉增加到</w:t>
      </w:r>
      <w:r>
        <w:t>1993</w:t>
      </w:r>
      <w:r>
        <w:rPr>
          <w:rFonts w:hint="eastAsia"/>
        </w:rPr>
        <w:t>年的</w:t>
      </w:r>
      <w:r>
        <w:t>1,025.1</w:t>
      </w:r>
      <w:r>
        <w:rPr>
          <w:rFonts w:hint="eastAsia"/>
        </w:rPr>
        <w:t>伦皮拉，但</w:t>
      </w:r>
      <w:r>
        <w:t>1995</w:t>
      </w:r>
      <w:r>
        <w:rPr>
          <w:rFonts w:hint="eastAsia"/>
        </w:rPr>
        <w:t>年下降为</w:t>
      </w:r>
      <w:r>
        <w:t>830.3</w:t>
      </w:r>
      <w:r>
        <w:rPr>
          <w:rFonts w:hint="eastAsia"/>
        </w:rPr>
        <w:t>伦皮拉</w:t>
      </w:r>
      <w:r>
        <w:rPr>
          <w:rFonts w:hint="eastAsia"/>
          <w:spacing w:val="-40"/>
        </w:rPr>
        <w:t>——</w:t>
      </w:r>
      <w:r>
        <w:t xml:space="preserve"> </w:t>
      </w:r>
      <w:r>
        <w:rPr>
          <w:rFonts w:hint="eastAsia"/>
        </w:rPr>
        <w:t>实际上等于</w:t>
      </w:r>
      <w:r>
        <w:t>1990</w:t>
      </w:r>
      <w:r>
        <w:rPr>
          <w:rFonts w:hint="eastAsia"/>
        </w:rPr>
        <w:t>年的水平。</w:t>
      </w:r>
    </w:p>
    <w:p w:rsidR="00000000" w:rsidRDefault="000C45AD">
      <w:pPr>
        <w:spacing w:after="320"/>
        <w:textAlignment w:val="center"/>
      </w:pPr>
      <w:r>
        <w:tab/>
        <w:t xml:space="preserve">301.  </w:t>
      </w:r>
      <w:r>
        <w:rPr>
          <w:rFonts w:hint="eastAsia"/>
        </w:rPr>
        <w:t>除此之外</w:t>
      </w:r>
      <w:r>
        <w:t>,</w:t>
      </w:r>
      <w:r>
        <w:rPr>
          <w:rFonts w:hint="eastAsia"/>
        </w:rPr>
        <w:t>留级和辍学问题还给洪都拉斯每年造成约</w:t>
      </w:r>
      <w:r>
        <w:t>1,314</w:t>
      </w:r>
      <w:r>
        <w:rPr>
          <w:rFonts w:hint="eastAsia"/>
        </w:rPr>
        <w:t>亿伦皮拉的开支</w:t>
      </w:r>
      <w:r>
        <w:t>(13,900</w:t>
      </w:r>
      <w:r>
        <w:rPr>
          <w:rFonts w:hint="eastAsia"/>
        </w:rPr>
        <w:t>万美元</w:t>
      </w:r>
      <w:r>
        <w:t>),</w:t>
      </w:r>
      <w:r>
        <w:rPr>
          <w:rFonts w:hint="eastAsia"/>
        </w:rPr>
        <w:t>约占初级教育预算的</w:t>
      </w:r>
      <w:r>
        <w:t>20%</w:t>
      </w:r>
      <w:r>
        <w:rPr>
          <w:rFonts w:hint="eastAsia"/>
        </w:rPr>
        <w:t>。</w:t>
      </w:r>
    </w:p>
    <w:p w:rsidR="00000000" w:rsidRDefault="000C45AD">
      <w:pPr>
        <w:pStyle w:val="Heading4"/>
      </w:pPr>
      <w:r>
        <w:rPr>
          <w:rFonts w:hint="eastAsia"/>
        </w:rPr>
        <w:t>学前教育</w:t>
      </w:r>
    </w:p>
    <w:p w:rsidR="00000000" w:rsidRDefault="000C45AD">
      <w:r>
        <w:tab/>
        <w:t xml:space="preserve">302.  </w:t>
      </w:r>
      <w:r>
        <w:rPr>
          <w:rFonts w:hint="eastAsia"/>
        </w:rPr>
        <w:t>洪都拉斯的学前教育最初始于</w:t>
      </w:r>
      <w:r>
        <w:t>1907</w:t>
      </w:r>
      <w:r>
        <w:rPr>
          <w:rFonts w:hint="eastAsia"/>
        </w:rPr>
        <w:t>年，当时创立了幼儿学校</w:t>
      </w:r>
      <w:r>
        <w:rPr>
          <w:rFonts w:hint="eastAsia"/>
        </w:rPr>
        <w:t>。但直到</w:t>
      </w:r>
      <w:r>
        <w:t>1953</w:t>
      </w:r>
      <w:r>
        <w:rPr>
          <w:rFonts w:hint="eastAsia"/>
        </w:rPr>
        <w:t>年才通过总统令将其作为一级教育加以承认，而学前教育部门是</w:t>
      </w:r>
      <w:r>
        <w:t>1983</w:t>
      </w:r>
      <w:r>
        <w:rPr>
          <w:rFonts w:hint="eastAsia"/>
        </w:rPr>
        <w:t>年建立的。</w:t>
      </w:r>
    </w:p>
    <w:p w:rsidR="00000000" w:rsidRDefault="000C45AD">
      <w:r>
        <w:tab/>
        <w:t xml:space="preserve">303.  </w:t>
      </w:r>
      <w:r>
        <w:rPr>
          <w:rFonts w:hint="eastAsia"/>
        </w:rPr>
        <w:t>目前学前教育有“正规的”和“非正规的”两种，而且不属于义务制范畴。学前教育包括幼儿园和所谓的预科班，它是</w:t>
      </w:r>
      <w:r>
        <w:t>1993</w:t>
      </w:r>
      <w:r>
        <w:rPr>
          <w:rFonts w:hint="eastAsia"/>
        </w:rPr>
        <w:t>年开始采用目前的教育课程时作出的一项有限的创新。</w:t>
      </w:r>
    </w:p>
    <w:p w:rsidR="00000000" w:rsidRDefault="000C45AD">
      <w:r>
        <w:tab/>
        <w:t xml:space="preserve">304.  </w:t>
      </w:r>
      <w:r>
        <w:rPr>
          <w:rFonts w:hint="eastAsia"/>
        </w:rPr>
        <w:t>学前教育通过使儿童在社会和学校环境中得到恰当的发育在儿童的幼年成长中发挥了重要的作用。国家为扩大这一级教育作出了努力，但在覆盖范围和招生方面仍存在着各种缺陷。</w:t>
      </w:r>
    </w:p>
    <w:p w:rsidR="00000000" w:rsidRDefault="000C45AD">
      <w:r>
        <w:tab/>
        <w:t xml:space="preserve">305.  </w:t>
      </w:r>
      <w:r>
        <w:rPr>
          <w:rFonts w:hint="eastAsia"/>
        </w:rPr>
        <w:t>在洪都拉斯教育系统中，学前教育的主要对象为年龄</w:t>
      </w:r>
      <w:r>
        <w:t>4</w:t>
      </w:r>
      <w:r>
        <w:rPr>
          <w:rFonts w:hint="eastAsia"/>
        </w:rPr>
        <w:t>至</w:t>
      </w:r>
      <w:r>
        <w:t>6</w:t>
      </w:r>
      <w:r>
        <w:rPr>
          <w:rFonts w:hint="eastAsia"/>
        </w:rPr>
        <w:t>岁的</w:t>
      </w:r>
      <w:r>
        <w:rPr>
          <w:rFonts w:hint="eastAsia"/>
        </w:rPr>
        <w:t>儿童；它采取正规和非正规方式，由公共和私人机构提供这类教育。</w:t>
      </w:r>
    </w:p>
    <w:p w:rsidR="00000000" w:rsidRDefault="000C45AD">
      <w:r>
        <w:tab/>
        <w:t xml:space="preserve">306.  </w:t>
      </w:r>
      <w:r>
        <w:rPr>
          <w:rFonts w:hint="eastAsia"/>
        </w:rPr>
        <w:t>正规方式目前为该年龄组</w:t>
      </w:r>
      <w:r>
        <w:t>16%</w:t>
      </w:r>
      <w:r>
        <w:rPr>
          <w:rFonts w:hint="eastAsia"/>
        </w:rPr>
        <w:t>的儿童提供服务，其覆盖范围占这一层次的一半。它由教育部和劳动社会安全部和全国社会福利委员会下属机构和私人机构提供；它分为三个周期</w:t>
      </w:r>
      <w:r>
        <w:t>(</w:t>
      </w:r>
      <w:r>
        <w:rPr>
          <w:rFonts w:hint="eastAsia"/>
        </w:rPr>
        <w:t>小班、中班和大班</w:t>
      </w:r>
      <w:r>
        <w:t>)</w:t>
      </w:r>
      <w:r>
        <w:rPr>
          <w:rFonts w:hint="eastAsia"/>
        </w:rPr>
        <w:t>，每个周期各为十个月。</w:t>
      </w:r>
    </w:p>
    <w:p w:rsidR="00000000" w:rsidRDefault="000C45AD">
      <w:r>
        <w:tab/>
        <w:t xml:space="preserve">307.  </w:t>
      </w:r>
      <w:r>
        <w:rPr>
          <w:rFonts w:hint="eastAsia"/>
        </w:rPr>
        <w:t>非正规形式教育在农村和城市偏远地区由非正规学前教育中心提供，在农村地区是由社区启蒙学校提供的。非正规学学前教育中心的主要目的</w:t>
      </w:r>
      <w:r>
        <w:t>(</w:t>
      </w:r>
      <w:r>
        <w:rPr>
          <w:rFonts w:hint="eastAsia"/>
        </w:rPr>
        <w:t>它们创办于</w:t>
      </w:r>
      <w:r>
        <w:t>1979</w:t>
      </w:r>
      <w:r>
        <w:rPr>
          <w:rFonts w:hint="eastAsia"/>
        </w:rPr>
        <w:t>年</w:t>
      </w:r>
      <w:r>
        <w:t>)</w:t>
      </w:r>
      <w:r>
        <w:rPr>
          <w:rFonts w:hint="eastAsia"/>
        </w:rPr>
        <w:t>在于对年龄</w:t>
      </w:r>
      <w:r>
        <w:t>5</w:t>
      </w:r>
      <w:r>
        <w:rPr>
          <w:rFonts w:hint="eastAsia"/>
        </w:rPr>
        <w:t>岁半到</w:t>
      </w:r>
      <w:r>
        <w:t>6</w:t>
      </w:r>
      <w:r>
        <w:rPr>
          <w:rFonts w:hint="eastAsia"/>
        </w:rPr>
        <w:t>岁半的儿童加以训练，为他们进入小学做准备。这类中心得到</w:t>
      </w:r>
      <w:r>
        <w:rPr>
          <w:rFonts w:hint="eastAsia"/>
        </w:rPr>
        <w:t>外部合作的支持</w:t>
      </w:r>
      <w:r>
        <w:t>(</w:t>
      </w:r>
      <w:r>
        <w:rPr>
          <w:rFonts w:hint="eastAsia"/>
        </w:rPr>
        <w:t>联合国儿童基金会和美国国际开发署</w:t>
      </w:r>
      <w:r>
        <w:t>)</w:t>
      </w:r>
      <w:r>
        <w:rPr>
          <w:rFonts w:hint="eastAsia"/>
        </w:rPr>
        <w:t>并且得到社区组织的支持，后者提供了由教育部培训的志愿负责人。</w:t>
      </w:r>
      <w:r>
        <w:t>1992</w:t>
      </w:r>
      <w:r>
        <w:rPr>
          <w:rFonts w:hint="eastAsia"/>
        </w:rPr>
        <w:t>年，</w:t>
      </w:r>
      <w:r>
        <w:t>228</w:t>
      </w:r>
      <w:r>
        <w:rPr>
          <w:rFonts w:hint="eastAsia"/>
        </w:rPr>
        <w:t>个中心为</w:t>
      </w:r>
      <w:r>
        <w:t>14,136</w:t>
      </w:r>
      <w:r>
        <w:rPr>
          <w:rFonts w:hint="eastAsia"/>
        </w:rPr>
        <w:t>名儿童提供了用餐服务，这些儿童还得到在校午餐，其中有加维他命的牛奶、豆芽和麦类制品。</w:t>
      </w:r>
    </w:p>
    <w:p w:rsidR="00000000" w:rsidRDefault="000C45AD">
      <w:r>
        <w:tab/>
        <w:t xml:space="preserve">308.  </w:t>
      </w:r>
      <w:r>
        <w:rPr>
          <w:rFonts w:hint="eastAsia"/>
        </w:rPr>
        <w:t>社区启蒙学校始于</w:t>
      </w:r>
      <w:r>
        <w:t>1990</w:t>
      </w:r>
      <w:r>
        <w:rPr>
          <w:rFonts w:hint="eastAsia"/>
        </w:rPr>
        <w:t>年，它为即将上小学一年级的儿童提供为期两个半月的学校训练。</w:t>
      </w:r>
    </w:p>
    <w:p w:rsidR="00000000" w:rsidRDefault="000C45AD">
      <w:r>
        <w:tab/>
        <w:t xml:space="preserve">309.  </w:t>
      </w:r>
      <w:r>
        <w:rPr>
          <w:rFonts w:hint="eastAsia"/>
        </w:rPr>
        <w:t>除了由外部合作</w:t>
      </w:r>
      <w:r>
        <w:t>(</w:t>
      </w:r>
      <w:r>
        <w:rPr>
          <w:rFonts w:hint="eastAsia"/>
        </w:rPr>
        <w:t>主要是联合国儿童基金会和美国国际开发署</w:t>
      </w:r>
      <w:r>
        <w:t>)</w:t>
      </w:r>
      <w:r>
        <w:rPr>
          <w:rFonts w:hint="eastAsia"/>
        </w:rPr>
        <w:t>提供的资金外，上述社区启蒙学校还接受社区的捐助。执教者为社区志愿者和教师培训学校的学生。</w:t>
      </w:r>
    </w:p>
    <w:p w:rsidR="00000000" w:rsidRDefault="000C45AD">
      <w:r>
        <w:tab/>
        <w:t xml:space="preserve">310.  </w:t>
      </w:r>
      <w:r>
        <w:rPr>
          <w:rFonts w:hint="eastAsia"/>
        </w:rPr>
        <w:t>还有针</w:t>
      </w:r>
      <w:r>
        <w:rPr>
          <w:rFonts w:hint="eastAsia"/>
        </w:rPr>
        <w:t>对</w:t>
      </w:r>
      <w:r>
        <w:t>3</w:t>
      </w:r>
      <w:r>
        <w:rPr>
          <w:rFonts w:hint="eastAsia"/>
        </w:rPr>
        <w:t>岁以下儿童的早期启蒙方案，例如由</w:t>
      </w:r>
      <w:r>
        <w:t>JNBS</w:t>
      </w:r>
      <w:r>
        <w:rPr>
          <w:rFonts w:hint="eastAsia"/>
        </w:rPr>
        <w:t>和全国儿童基金会负责的计划，</w:t>
      </w:r>
      <w:r>
        <w:t>1992</w:t>
      </w:r>
      <w:r>
        <w:rPr>
          <w:rFonts w:hint="eastAsia"/>
        </w:rPr>
        <w:t>年它们为总计约</w:t>
      </w:r>
      <w:r>
        <w:t>7</w:t>
      </w:r>
      <w:r>
        <w:rPr>
          <w:rFonts w:hint="eastAsia"/>
        </w:rPr>
        <w:t>万名儿童提供了由社区积极参加的各种教育服务。</w:t>
      </w:r>
    </w:p>
    <w:p w:rsidR="00000000" w:rsidRDefault="000C45AD">
      <w:r>
        <w:tab/>
        <w:t xml:space="preserve">311.  </w:t>
      </w:r>
      <w:r>
        <w:rPr>
          <w:rFonts w:hint="eastAsia"/>
        </w:rPr>
        <w:t>现有数据表明，自</w:t>
      </w:r>
      <w:r>
        <w:t>80</w:t>
      </w:r>
      <w:r>
        <w:rPr>
          <w:rFonts w:hint="eastAsia"/>
        </w:rPr>
        <w:t>年代初以来</w:t>
      </w:r>
      <w:r>
        <w:t>(1980</w:t>
      </w:r>
      <w:r>
        <w:rPr>
          <w:rFonts w:hint="eastAsia"/>
        </w:rPr>
        <w:t>年至</w:t>
      </w:r>
      <w:r>
        <w:t>1989</w:t>
      </w:r>
      <w:r>
        <w:rPr>
          <w:rFonts w:hint="eastAsia"/>
        </w:rPr>
        <w:t>年</w:t>
      </w:r>
      <w:r>
        <w:t>)</w:t>
      </w:r>
      <w:r>
        <w:rPr>
          <w:rFonts w:hint="eastAsia"/>
        </w:rPr>
        <w:t>，正规学前教育覆盖率</w:t>
      </w:r>
      <w:r>
        <w:t>(</w:t>
      </w:r>
      <w:r>
        <w:rPr>
          <w:rFonts w:hint="eastAsia"/>
        </w:rPr>
        <w:t>公立和私立</w:t>
      </w:r>
      <w:r>
        <w:t>)</w:t>
      </w:r>
      <w:r>
        <w:rPr>
          <w:rFonts w:hint="eastAsia"/>
        </w:rPr>
        <w:t>一直保持在</w:t>
      </w:r>
      <w:r>
        <w:t>11%</w:t>
      </w:r>
      <w:r>
        <w:rPr>
          <w:rFonts w:hint="eastAsia"/>
        </w:rPr>
        <w:t>，几乎未变，每年增加</w:t>
      </w:r>
      <w:r>
        <w:t>3,729</w:t>
      </w:r>
      <w:r>
        <w:rPr>
          <w:rFonts w:hint="eastAsia"/>
        </w:rPr>
        <w:t>名学生，增长率为</w:t>
      </w:r>
      <w:r>
        <w:t>5.9%</w:t>
      </w:r>
      <w:r>
        <w:rPr>
          <w:rFonts w:hint="eastAsia"/>
        </w:rPr>
        <w:t>。城市地区的入学人数平均占</w:t>
      </w:r>
      <w:r>
        <w:t>84.1%</w:t>
      </w:r>
      <w:r>
        <w:rPr>
          <w:rFonts w:hint="eastAsia"/>
        </w:rPr>
        <w:t>，而农村地区只有</w:t>
      </w:r>
      <w:r>
        <w:t>15.9%</w:t>
      </w:r>
      <w:r>
        <w:rPr>
          <w:rFonts w:hint="eastAsia"/>
        </w:rPr>
        <w:t>。公共教学机构平均占总覆盖率的</w:t>
      </w:r>
      <w:r>
        <w:t>78%</w:t>
      </w:r>
      <w:r>
        <w:rPr>
          <w:rFonts w:hint="eastAsia"/>
        </w:rPr>
        <w:t>，私立机构占</w:t>
      </w:r>
      <w:r>
        <w:t>22%</w:t>
      </w:r>
      <w:r>
        <w:rPr>
          <w:rFonts w:hint="eastAsia"/>
        </w:rPr>
        <w:t>。</w:t>
      </w:r>
      <w:r>
        <w:t>1990</w:t>
      </w:r>
      <w:r>
        <w:rPr>
          <w:rFonts w:hint="eastAsia"/>
        </w:rPr>
        <w:t>年，正规学前教育的覆盖率为</w:t>
      </w:r>
      <w:r>
        <w:t>12.6% (56,692</w:t>
      </w:r>
      <w:r>
        <w:rPr>
          <w:rFonts w:hint="eastAsia"/>
        </w:rPr>
        <w:t>名儿童</w:t>
      </w:r>
      <w:r>
        <w:t>)</w:t>
      </w:r>
      <w:r>
        <w:rPr>
          <w:rFonts w:hint="eastAsia"/>
        </w:rPr>
        <w:t>，城市地区</w:t>
      </w:r>
      <w:r>
        <w:rPr>
          <w:rFonts w:hint="eastAsia"/>
        </w:rPr>
        <w:t>占</w:t>
      </w:r>
      <w:r>
        <w:t>81.4%</w:t>
      </w:r>
      <w:r>
        <w:rPr>
          <w:rFonts w:hint="eastAsia"/>
        </w:rPr>
        <w:t>，农村地区占</w:t>
      </w:r>
      <w:r>
        <w:t>18.6%</w:t>
      </w:r>
      <w:r>
        <w:rPr>
          <w:rFonts w:hint="eastAsia"/>
        </w:rPr>
        <w:t>。</w:t>
      </w:r>
      <w:r>
        <w:t>1991</w:t>
      </w:r>
      <w:r>
        <w:rPr>
          <w:rFonts w:hint="eastAsia"/>
        </w:rPr>
        <w:t>年，招收人数增加到</w:t>
      </w:r>
      <w:r>
        <w:t>13.2% (60,137</w:t>
      </w:r>
      <w:r>
        <w:rPr>
          <w:rFonts w:hint="eastAsia"/>
        </w:rPr>
        <w:t>名儿童</w:t>
      </w:r>
      <w:r>
        <w:t>)</w:t>
      </w:r>
      <w:r>
        <w:rPr>
          <w:rFonts w:hint="eastAsia"/>
        </w:rPr>
        <w:t>，</w:t>
      </w:r>
      <w:r>
        <w:t>1992</w:t>
      </w:r>
      <w:r>
        <w:rPr>
          <w:rFonts w:hint="eastAsia"/>
        </w:rPr>
        <w:t>年为</w:t>
      </w:r>
      <w:r>
        <w:t>13% (63,574</w:t>
      </w:r>
      <w:r>
        <w:rPr>
          <w:rFonts w:hint="eastAsia"/>
        </w:rPr>
        <w:t>名儿童</w:t>
      </w:r>
      <w:r>
        <w:t>)</w:t>
      </w:r>
      <w:r>
        <w:rPr>
          <w:rFonts w:hint="eastAsia"/>
        </w:rPr>
        <w:t>，其平均分布率为城市地区占</w:t>
      </w:r>
      <w:r>
        <w:t>80%</w:t>
      </w:r>
      <w:r>
        <w:rPr>
          <w:rFonts w:hint="eastAsia"/>
        </w:rPr>
        <w:t>，农村地区占</w:t>
      </w:r>
      <w:r>
        <w:t>20%</w:t>
      </w:r>
      <w:r>
        <w:rPr>
          <w:rFonts w:hint="eastAsia"/>
        </w:rPr>
        <w:t>。</w:t>
      </w:r>
      <w:r>
        <w:t>1990-1992</w:t>
      </w:r>
      <w:r>
        <w:rPr>
          <w:rFonts w:hint="eastAsia"/>
        </w:rPr>
        <w:t>年期间覆盖率的提高显示平均增长率为</w:t>
      </w:r>
      <w:r>
        <w:t>3.9%</w:t>
      </w:r>
      <w:r>
        <w:rPr>
          <w:rFonts w:hint="eastAsia"/>
        </w:rPr>
        <w:t>，略高于</w:t>
      </w:r>
      <w:r>
        <w:t>2.8%</w:t>
      </w:r>
      <w:r>
        <w:rPr>
          <w:rFonts w:hint="eastAsia"/>
        </w:rPr>
        <w:t>的人口增长率。</w:t>
      </w:r>
    </w:p>
    <w:p w:rsidR="00000000" w:rsidRDefault="000C45AD">
      <w:r>
        <w:tab/>
        <w:t xml:space="preserve">312.  </w:t>
      </w:r>
      <w:r>
        <w:rPr>
          <w:rFonts w:hint="eastAsia"/>
        </w:rPr>
        <w:t>必须指出，从</w:t>
      </w:r>
      <w:r>
        <w:t>1985</w:t>
      </w:r>
      <w:r>
        <w:rPr>
          <w:rFonts w:hint="eastAsia"/>
        </w:rPr>
        <w:t>年开始，私立学校的招生人数</w:t>
      </w:r>
      <w:r>
        <w:t>(80</w:t>
      </w:r>
      <w:r>
        <w:rPr>
          <w:rFonts w:hint="eastAsia"/>
        </w:rPr>
        <w:t>年代约占覆盖率的</w:t>
      </w:r>
      <w:r>
        <w:t>22%)</w:t>
      </w:r>
      <w:r>
        <w:rPr>
          <w:rFonts w:hint="eastAsia"/>
        </w:rPr>
        <w:t>开始逐渐增长。</w:t>
      </w:r>
      <w:r>
        <w:t>1985</w:t>
      </w:r>
      <w:r>
        <w:rPr>
          <w:rFonts w:hint="eastAsia"/>
        </w:rPr>
        <w:t>年它约占</w:t>
      </w:r>
      <w:r>
        <w:t>23.2%</w:t>
      </w:r>
      <w:r>
        <w:rPr>
          <w:rFonts w:hint="eastAsia"/>
        </w:rPr>
        <w:t>，</w:t>
      </w:r>
      <w:r>
        <w:t>1990</w:t>
      </w:r>
      <w:r>
        <w:rPr>
          <w:rFonts w:hint="eastAsia"/>
        </w:rPr>
        <w:t>年上升到</w:t>
      </w:r>
      <w:r>
        <w:t>26.2%</w:t>
      </w:r>
      <w:r>
        <w:rPr>
          <w:rFonts w:hint="eastAsia"/>
        </w:rPr>
        <w:t>，</w:t>
      </w:r>
      <w:r>
        <w:t>1992</w:t>
      </w:r>
      <w:r>
        <w:rPr>
          <w:rFonts w:hint="eastAsia"/>
        </w:rPr>
        <w:t>年增加到</w:t>
      </w:r>
      <w:r>
        <w:t>27.4%</w:t>
      </w:r>
      <w:r>
        <w:rPr>
          <w:rFonts w:hint="eastAsia"/>
        </w:rPr>
        <w:t>。同期，由教育部、劳动和社会保障部和</w:t>
      </w:r>
      <w:r>
        <w:t>JNB</w:t>
      </w:r>
      <w:r>
        <w:t>S</w:t>
      </w:r>
      <w:r>
        <w:rPr>
          <w:rFonts w:hint="eastAsia"/>
        </w:rPr>
        <w:t>提供的公共服务却略有下降，</w:t>
      </w:r>
      <w:r>
        <w:t>1985</w:t>
      </w:r>
      <w:r>
        <w:rPr>
          <w:rFonts w:hint="eastAsia"/>
        </w:rPr>
        <w:t>年占</w:t>
      </w:r>
      <w:r>
        <w:t>72.8%</w:t>
      </w:r>
      <w:r>
        <w:rPr>
          <w:rFonts w:hint="eastAsia"/>
        </w:rPr>
        <w:t>，</w:t>
      </w:r>
      <w:r>
        <w:t>1992</w:t>
      </w:r>
      <w:r>
        <w:rPr>
          <w:rFonts w:hint="eastAsia"/>
        </w:rPr>
        <w:t>年占</w:t>
      </w:r>
      <w:r>
        <w:t>72.6%</w:t>
      </w:r>
      <w:r>
        <w:rPr>
          <w:rFonts w:hint="eastAsia"/>
        </w:rPr>
        <w:t>。</w:t>
      </w:r>
    </w:p>
    <w:p w:rsidR="00000000" w:rsidRDefault="000C45AD">
      <w:r>
        <w:tab/>
        <w:t xml:space="preserve">313.  </w:t>
      </w:r>
      <w:r>
        <w:rPr>
          <w:rFonts w:hint="eastAsia"/>
        </w:rPr>
        <w:t>在过去十年中，只有学前教育中心提供非正规学前教育，而其招生人数只占</w:t>
      </w:r>
      <w:r>
        <w:t>6</w:t>
      </w:r>
      <w:r>
        <w:rPr>
          <w:rFonts w:hint="eastAsia"/>
        </w:rPr>
        <w:t>岁儿童的</w:t>
      </w:r>
      <w:r>
        <w:t>2.4%</w:t>
      </w:r>
      <w:r>
        <w:rPr>
          <w:rFonts w:hint="eastAsia"/>
        </w:rPr>
        <w:t>，</w:t>
      </w:r>
      <w:r>
        <w:t>(9,000</w:t>
      </w:r>
      <w:r>
        <w:rPr>
          <w:rFonts w:hint="eastAsia"/>
        </w:rPr>
        <w:t>至</w:t>
      </w:r>
      <w:r>
        <w:t>10,000</w:t>
      </w:r>
      <w:r>
        <w:rPr>
          <w:rFonts w:hint="eastAsia"/>
        </w:rPr>
        <w:t>名儿童</w:t>
      </w:r>
      <w:r>
        <w:t>)</w:t>
      </w:r>
      <w:r>
        <w:rPr>
          <w:rFonts w:hint="eastAsia"/>
        </w:rPr>
        <w:t>。这类中心的入学人数</w:t>
      </w:r>
      <w:r>
        <w:t>1990</w:t>
      </w:r>
      <w:r>
        <w:rPr>
          <w:rFonts w:hint="eastAsia"/>
        </w:rPr>
        <w:t>年略有增长，达</w:t>
      </w:r>
      <w:r>
        <w:t>2.7%(12,261</w:t>
      </w:r>
      <w:r>
        <w:rPr>
          <w:rFonts w:hint="eastAsia"/>
        </w:rPr>
        <w:t>名儿童</w:t>
      </w:r>
      <w:r>
        <w:t>)</w:t>
      </w:r>
      <w:r>
        <w:rPr>
          <w:rFonts w:hint="eastAsia"/>
        </w:rPr>
        <w:t>。</w:t>
      </w:r>
      <w:r>
        <w:t>1991</w:t>
      </w:r>
      <w:r>
        <w:rPr>
          <w:rFonts w:hint="eastAsia"/>
        </w:rPr>
        <w:t>年至</w:t>
      </w:r>
      <w:r>
        <w:t>1992</w:t>
      </w:r>
      <w:r>
        <w:rPr>
          <w:rFonts w:hint="eastAsia"/>
        </w:rPr>
        <w:t>年也略有增长，其覆盖率分别为</w:t>
      </w:r>
      <w:r>
        <w:t>3%</w:t>
      </w:r>
      <w:r>
        <w:rPr>
          <w:rFonts w:hint="eastAsia"/>
        </w:rPr>
        <w:t>和</w:t>
      </w:r>
      <w:r>
        <w:t>3.9%(13,609</w:t>
      </w:r>
      <w:r>
        <w:rPr>
          <w:rFonts w:hint="eastAsia"/>
        </w:rPr>
        <w:t>名儿童和</w:t>
      </w:r>
      <w:r>
        <w:t>17,999</w:t>
      </w:r>
      <w:r>
        <w:rPr>
          <w:rFonts w:hint="eastAsia"/>
        </w:rPr>
        <w:t>名儿童</w:t>
      </w:r>
      <w:r>
        <w:t>)</w:t>
      </w:r>
      <w:r>
        <w:rPr>
          <w:rFonts w:hint="eastAsia"/>
        </w:rPr>
        <w:t>，</w:t>
      </w:r>
      <w:r>
        <w:t>1990-1992</w:t>
      </w:r>
      <w:r>
        <w:rPr>
          <w:rFonts w:hint="eastAsia"/>
        </w:rPr>
        <w:t>年期间的年增长率为</w:t>
      </w:r>
      <w:r>
        <w:t>21%</w:t>
      </w:r>
      <w:r>
        <w:rPr>
          <w:rFonts w:hint="eastAsia"/>
        </w:rPr>
        <w:t>。</w:t>
      </w:r>
    </w:p>
    <w:p w:rsidR="00000000" w:rsidRDefault="000C45AD">
      <w:r>
        <w:tab/>
        <w:t xml:space="preserve">314.  </w:t>
      </w:r>
      <w:r>
        <w:rPr>
          <w:rFonts w:hint="eastAsia"/>
        </w:rPr>
        <w:t>如将社区启蒙学校提供的服务计算在内，接受这种形式教育的儿童数</w:t>
      </w:r>
      <w:r>
        <w:rPr>
          <w:rFonts w:hint="eastAsia"/>
        </w:rPr>
        <w:t>目则增长幅度很大。</w:t>
      </w:r>
      <w:r>
        <w:t>1990/91</w:t>
      </w:r>
      <w:r>
        <w:rPr>
          <w:rFonts w:hint="eastAsia"/>
        </w:rPr>
        <w:t>、</w:t>
      </w:r>
      <w:r>
        <w:t>1991/92</w:t>
      </w:r>
      <w:r>
        <w:rPr>
          <w:rFonts w:hint="eastAsia"/>
        </w:rPr>
        <w:t>和</w:t>
      </w:r>
      <w:r>
        <w:t>1992/93</w:t>
      </w:r>
      <w:r>
        <w:rPr>
          <w:rFonts w:hint="eastAsia"/>
        </w:rPr>
        <w:t>期间，社区启蒙学校招收的儿童分别为</w:t>
      </w:r>
      <w:r>
        <w:t>9,673</w:t>
      </w:r>
      <w:r>
        <w:rPr>
          <w:rFonts w:hint="eastAsia"/>
        </w:rPr>
        <w:t>、</w:t>
      </w:r>
      <w:r>
        <w:t>24,491</w:t>
      </w:r>
      <w:r>
        <w:rPr>
          <w:rFonts w:hint="eastAsia"/>
        </w:rPr>
        <w:t>和</w:t>
      </w:r>
      <w:r>
        <w:t>36,487,</w:t>
      </w:r>
      <w:r>
        <w:rPr>
          <w:rFonts w:hint="eastAsia"/>
        </w:rPr>
        <w:t>其覆盖率分别为</w:t>
      </w:r>
      <w:r>
        <w:t>2.2%</w:t>
      </w:r>
      <w:r>
        <w:rPr>
          <w:rFonts w:hint="eastAsia"/>
        </w:rPr>
        <w:t>、</w:t>
      </w:r>
      <w:r>
        <w:t>5.45%</w:t>
      </w:r>
      <w:r>
        <w:rPr>
          <w:rFonts w:hint="eastAsia"/>
        </w:rPr>
        <w:t>和</w:t>
      </w:r>
      <w:r>
        <w:t>7.9%</w:t>
      </w:r>
      <w:r>
        <w:rPr>
          <w:rFonts w:hint="eastAsia"/>
        </w:rPr>
        <w:t>，即年平均增长率为</w:t>
      </w:r>
      <w:r>
        <w:t>94%</w:t>
      </w:r>
      <w:r>
        <w:rPr>
          <w:rFonts w:hint="eastAsia"/>
        </w:rPr>
        <w:t>。</w:t>
      </w:r>
    </w:p>
    <w:p w:rsidR="00000000" w:rsidRDefault="000C45AD">
      <w:r>
        <w:tab/>
        <w:t xml:space="preserve">315.  </w:t>
      </w:r>
      <w:r>
        <w:rPr>
          <w:rFonts w:hint="eastAsia"/>
        </w:rPr>
        <w:t>如果</w:t>
      </w:r>
      <w:r>
        <w:t>1995</w:t>
      </w:r>
      <w:r>
        <w:rPr>
          <w:rFonts w:hint="eastAsia"/>
        </w:rPr>
        <w:t>年要达到学前教育覆盖率</w:t>
      </w:r>
      <w:r>
        <w:t>28%</w:t>
      </w:r>
      <w:r>
        <w:rPr>
          <w:rFonts w:hint="eastAsia"/>
        </w:rPr>
        <w:t>的目标，就必须有</w:t>
      </w:r>
      <w:r>
        <w:t>137,151</w:t>
      </w:r>
      <w:r>
        <w:rPr>
          <w:rFonts w:hint="eastAsia"/>
        </w:rPr>
        <w:t>名儿童入学，</w:t>
      </w:r>
      <w:r>
        <w:t>1993</w:t>
      </w:r>
      <w:r>
        <w:rPr>
          <w:rFonts w:hint="eastAsia"/>
        </w:rPr>
        <w:t>和</w:t>
      </w:r>
      <w:r>
        <w:t>1994</w:t>
      </w:r>
      <w:r>
        <w:rPr>
          <w:rFonts w:hint="eastAsia"/>
        </w:rPr>
        <w:t>年的年平均增长率则需达到</w:t>
      </w:r>
      <w:r>
        <w:t>7.9%</w:t>
      </w:r>
      <w:r>
        <w:rPr>
          <w:rFonts w:hint="eastAsia"/>
        </w:rPr>
        <w:t>。</w:t>
      </w:r>
    </w:p>
    <w:p w:rsidR="00000000" w:rsidRDefault="000C45AD">
      <w:r>
        <w:tab/>
        <w:t xml:space="preserve">316.  </w:t>
      </w:r>
      <w:r>
        <w:rPr>
          <w:rFonts w:hint="eastAsia"/>
        </w:rPr>
        <w:t>鉴于</w:t>
      </w:r>
      <w:r>
        <w:t>1990</w:t>
      </w:r>
      <w:r>
        <w:rPr>
          <w:rFonts w:hint="eastAsia"/>
        </w:rPr>
        <w:t>至</w:t>
      </w:r>
      <w:r>
        <w:t>1992</w:t>
      </w:r>
      <w:r>
        <w:rPr>
          <w:rFonts w:hint="eastAsia"/>
        </w:rPr>
        <w:t>年期间这种形式教育的招收人数平均增长率为</w:t>
      </w:r>
      <w:r>
        <w:t>22.6%</w:t>
      </w:r>
      <w:r>
        <w:rPr>
          <w:rFonts w:hint="eastAsia"/>
        </w:rPr>
        <w:t>，达到和超过既定的</w:t>
      </w:r>
      <w:r>
        <w:t>14.7%</w:t>
      </w:r>
      <w:r>
        <w:rPr>
          <w:rFonts w:hint="eastAsia"/>
        </w:rPr>
        <w:t>的目标不应有什么困难。即便社区启蒙学校</w:t>
      </w:r>
      <w:r>
        <w:rPr>
          <w:rFonts w:hint="eastAsia"/>
        </w:rPr>
        <w:t>提供的服务不记入覆盖率，入学人数年增长率下降为</w:t>
      </w:r>
      <w:r>
        <w:t>8.8%</w:t>
      </w:r>
      <w:r>
        <w:rPr>
          <w:rFonts w:hint="eastAsia"/>
        </w:rPr>
        <w:t>，这一增长也足以实现《全国行动计划》确定的目标。</w:t>
      </w:r>
    </w:p>
    <w:p w:rsidR="00000000" w:rsidRDefault="000C45AD">
      <w:r>
        <w:tab/>
        <w:t xml:space="preserve">317.  </w:t>
      </w:r>
      <w:r>
        <w:rPr>
          <w:rFonts w:hint="eastAsia"/>
        </w:rPr>
        <w:t>因此，为这一层次制订的目标应当更大胆一些，并尽可能分为正规和非正规形式的教育，并将非正规形式再细分为学前教育中心和社区启蒙学校两种。然而，在保持学前教育中心和社区启蒙学校的优点方面同时，必须制订扩大覆盖率和改进学前教育质量的全国计划，这种教育应与小学教育加以恰当的协调。</w:t>
      </w:r>
    </w:p>
    <w:p w:rsidR="00000000" w:rsidRDefault="000C45AD">
      <w:r>
        <w:tab/>
        <w:t xml:space="preserve">318.  </w:t>
      </w:r>
      <w:r>
        <w:rPr>
          <w:rFonts w:hint="eastAsia"/>
        </w:rPr>
        <w:t>在教育部门的财务计划编制过程中，学前教育并无单列的预算项，这使得难以计算每个儿童的平均费用，从而计算出实现目</w:t>
      </w:r>
      <w:r>
        <w:rPr>
          <w:rFonts w:hint="eastAsia"/>
        </w:rPr>
        <w:t>标所需要的总的年度预算。</w:t>
      </w:r>
    </w:p>
    <w:p w:rsidR="00000000" w:rsidRDefault="000C45AD">
      <w:r>
        <w:tab/>
        <w:t xml:space="preserve">319.  </w:t>
      </w:r>
      <w:r>
        <w:rPr>
          <w:rFonts w:hint="eastAsia"/>
        </w:rPr>
        <w:t>然而，设定每个儿童的学前教育费用为小学生费用</w:t>
      </w:r>
      <w:r>
        <w:t>(</w:t>
      </w:r>
      <w:r>
        <w:rPr>
          <w:rFonts w:hint="eastAsia"/>
        </w:rPr>
        <w:t>约</w:t>
      </w:r>
      <w:r>
        <w:t>97.8</w:t>
      </w:r>
      <w:r>
        <w:rPr>
          <w:rFonts w:hint="eastAsia"/>
        </w:rPr>
        <w:t>美元</w:t>
      </w:r>
      <w:r>
        <w:t>)</w:t>
      </w:r>
      <w:r>
        <w:rPr>
          <w:rFonts w:hint="eastAsia"/>
        </w:rPr>
        <w:t>的</w:t>
      </w:r>
      <w:r>
        <w:t>80%</w:t>
      </w:r>
      <w:r>
        <w:rPr>
          <w:rFonts w:hint="eastAsia"/>
        </w:rPr>
        <w:t>，通过正规公共教育和学前教育中心方式达到拟议目标所需要的费用每年约为</w:t>
      </w:r>
      <w:r>
        <w:t>820</w:t>
      </w:r>
      <w:r>
        <w:rPr>
          <w:rFonts w:hint="eastAsia"/>
        </w:rPr>
        <w:t>万美元，即</w:t>
      </w:r>
      <w:r>
        <w:t>1993-1995</w:t>
      </w:r>
      <w:r>
        <w:rPr>
          <w:rFonts w:hint="eastAsia"/>
        </w:rPr>
        <w:t>期间为</w:t>
      </w:r>
      <w:r>
        <w:t>2,460</w:t>
      </w:r>
      <w:r>
        <w:rPr>
          <w:rFonts w:hint="eastAsia"/>
        </w:rPr>
        <w:t>万美元；这一数字刨去了私立正规教育招生人数所占的</w:t>
      </w:r>
      <w:r>
        <w:t>25%</w:t>
      </w:r>
      <w:r>
        <w:rPr>
          <w:rFonts w:hint="eastAsia"/>
        </w:rPr>
        <w:t>；设定在社区启蒙学校协助下实现</w:t>
      </w:r>
      <w:r>
        <w:t>28%</w:t>
      </w:r>
      <w:r>
        <w:rPr>
          <w:rFonts w:hint="eastAsia"/>
        </w:rPr>
        <w:t>的覆盖率目标，如保持</w:t>
      </w:r>
      <w:r>
        <w:t>1992</w:t>
      </w:r>
      <w:r>
        <w:rPr>
          <w:rFonts w:hint="eastAsia"/>
        </w:rPr>
        <w:t>年的比例，每年的平均费用既下降为</w:t>
      </w:r>
      <w:r>
        <w:t>590</w:t>
      </w:r>
      <w:r>
        <w:rPr>
          <w:rFonts w:hint="eastAsia"/>
        </w:rPr>
        <w:t>万美元，上述时期的费用则下降为</w:t>
      </w:r>
      <w:r>
        <w:t>1,770</w:t>
      </w:r>
      <w:r>
        <w:rPr>
          <w:rFonts w:hint="eastAsia"/>
        </w:rPr>
        <w:t>万美元，社区启蒙学校每增加一名学生的递进增长费用仅为</w:t>
      </w:r>
      <w:r>
        <w:t>5</w:t>
      </w:r>
      <w:r>
        <w:rPr>
          <w:rFonts w:hint="eastAsia"/>
        </w:rPr>
        <w:t>美元。</w:t>
      </w:r>
    </w:p>
    <w:p w:rsidR="00000000" w:rsidRDefault="000C45AD">
      <w:r>
        <w:tab/>
        <w:t xml:space="preserve">320.  </w:t>
      </w:r>
      <w:r>
        <w:rPr>
          <w:rFonts w:hint="eastAsia"/>
        </w:rPr>
        <w:t>改善小学教育</w:t>
      </w:r>
      <w:r>
        <w:rPr>
          <w:rFonts w:hint="eastAsia"/>
        </w:rPr>
        <w:t>方案从</w:t>
      </w:r>
      <w:r>
        <w:t>1995</w:t>
      </w:r>
      <w:r>
        <w:rPr>
          <w:rFonts w:hint="eastAsia"/>
        </w:rPr>
        <w:t>年起承担了为社区启蒙学校供资的责任，在全国范围内最高时达到</w:t>
      </w:r>
      <w:r>
        <w:t>3,520</w:t>
      </w:r>
      <w:r>
        <w:rPr>
          <w:rFonts w:hint="eastAsia"/>
        </w:rPr>
        <w:t>个单位，同时它还推动扩大这一教育服务并改进其质量。为此目的，该方案还以一年级留级和退学率以及营养不良指标为标准从无学前教育设施的社区中选出上述两项最高的社区为服务对象。设想为这类中心提供的支持包括培训活动、提供教材、监察和为志愿者提供补助。</w:t>
      </w:r>
    </w:p>
    <w:p w:rsidR="00000000" w:rsidRDefault="000C45AD">
      <w:r>
        <w:tab/>
        <w:t xml:space="preserve">321.  </w:t>
      </w:r>
      <w:r>
        <w:rPr>
          <w:rFonts w:hint="eastAsia"/>
        </w:rPr>
        <w:t>志愿者年龄由</w:t>
      </w:r>
      <w:r>
        <w:t>16</w:t>
      </w:r>
      <w:r>
        <w:rPr>
          <w:rFonts w:hint="eastAsia"/>
        </w:rPr>
        <w:t>岁到</w:t>
      </w:r>
      <w:r>
        <w:t>20</w:t>
      </w:r>
      <w:r>
        <w:rPr>
          <w:rFonts w:hint="eastAsia"/>
        </w:rPr>
        <w:t>岁，取样显示其中培训教师占</w:t>
      </w:r>
      <w:r>
        <w:t>64%</w:t>
      </w:r>
      <w:r>
        <w:rPr>
          <w:rFonts w:hint="eastAsia"/>
        </w:rPr>
        <w:t>，剩下的</w:t>
      </w:r>
      <w:r>
        <w:t>36%</w:t>
      </w:r>
      <w:r>
        <w:rPr>
          <w:rFonts w:hint="eastAsia"/>
        </w:rPr>
        <w:t>为家庭妇女、农业工人、店员、织布工和秘书</w:t>
      </w:r>
      <w:r>
        <w:t>(</w:t>
      </w:r>
      <w:r>
        <w:rPr>
          <w:rFonts w:hint="eastAsia"/>
        </w:rPr>
        <w:t>其中</w:t>
      </w:r>
      <w:r>
        <w:t>9%</w:t>
      </w:r>
      <w:r>
        <w:rPr>
          <w:rFonts w:hint="eastAsia"/>
        </w:rPr>
        <w:t>的人未完成小学教育</w:t>
      </w:r>
      <w:r>
        <w:t>)</w:t>
      </w:r>
      <w:r>
        <w:rPr>
          <w:rFonts w:hint="eastAsia"/>
        </w:rPr>
        <w:t>。</w:t>
      </w:r>
    </w:p>
    <w:p w:rsidR="00000000" w:rsidRDefault="000C45AD">
      <w:r>
        <w:tab/>
        <w:t>322.  1990</w:t>
      </w:r>
      <w:r>
        <w:rPr>
          <w:rFonts w:hint="eastAsia"/>
        </w:rPr>
        <w:t>年，总计</w:t>
      </w:r>
      <w:r>
        <w:rPr>
          <w:rFonts w:hint="eastAsia"/>
        </w:rPr>
        <w:t>有</w:t>
      </w:r>
      <w:r>
        <w:t>1,621</w:t>
      </w:r>
      <w:r>
        <w:rPr>
          <w:rFonts w:hint="eastAsia"/>
        </w:rPr>
        <w:t>个幼儿园登记注册；其中</w:t>
      </w:r>
      <w:r>
        <w:t>74%</w:t>
      </w:r>
      <w:r>
        <w:rPr>
          <w:rFonts w:hint="eastAsia"/>
        </w:rPr>
        <w:t>位于城市地区并占报名注册总数的</w:t>
      </w:r>
      <w:r>
        <w:t>81%</w:t>
      </w:r>
      <w:r>
        <w:rPr>
          <w:rFonts w:hint="eastAsia"/>
        </w:rPr>
        <w:t>。在过去三个</w:t>
      </w:r>
      <w:r>
        <w:t>5</w:t>
      </w:r>
      <w:r>
        <w:rPr>
          <w:rFonts w:hint="eastAsia"/>
        </w:rPr>
        <w:t>年期中，这一比例未发生任何重要变化。</w:t>
      </w:r>
      <w:r>
        <w:t>28%</w:t>
      </w:r>
      <w:r>
        <w:rPr>
          <w:rFonts w:hint="eastAsia"/>
        </w:rPr>
        <w:t>的幼儿园为私立，并占这一级招收儿童的</w:t>
      </w:r>
      <w:r>
        <w:t>21%</w:t>
      </w:r>
      <w:r>
        <w:rPr>
          <w:rFonts w:hint="eastAsia"/>
        </w:rPr>
        <w:t>；过去</w:t>
      </w:r>
      <w:r>
        <w:t>5</w:t>
      </w:r>
      <w:r>
        <w:rPr>
          <w:rFonts w:hint="eastAsia"/>
        </w:rPr>
        <w:t>年中一直保持了这一百分比。从</w:t>
      </w:r>
      <w:r>
        <w:t>1980</w:t>
      </w:r>
      <w:r>
        <w:rPr>
          <w:rFonts w:hint="eastAsia"/>
        </w:rPr>
        <w:t>年至</w:t>
      </w:r>
      <w:r>
        <w:t>1996</w:t>
      </w:r>
      <w:r>
        <w:rPr>
          <w:rFonts w:hint="eastAsia"/>
        </w:rPr>
        <w:t>年，私立幼儿园的报名人数翻了两番，而公立幼儿园报名人数增加了两倍多。</w:t>
      </w:r>
    </w:p>
    <w:p w:rsidR="00000000" w:rsidRDefault="000C45AD">
      <w:pPr>
        <w:spacing w:after="160"/>
        <w:textAlignment w:val="center"/>
      </w:pPr>
      <w:r>
        <w:tab/>
        <w:t>323.  1996</w:t>
      </w:r>
      <w:r>
        <w:rPr>
          <w:rFonts w:hint="eastAsia"/>
        </w:rPr>
        <w:t>年，幼儿园占报名总数的</w:t>
      </w:r>
      <w:r>
        <w:t>52%</w:t>
      </w:r>
      <w:r>
        <w:rPr>
          <w:rFonts w:hint="eastAsia"/>
        </w:rPr>
        <w:t>，其中女孩和男孩人数分布均匀</w:t>
      </w:r>
      <w:r>
        <w:t>(</w:t>
      </w:r>
      <w:r>
        <w:rPr>
          <w:rFonts w:hint="eastAsia"/>
        </w:rPr>
        <w:t>分别为</w:t>
      </w:r>
      <w:r>
        <w:t>50.4%</w:t>
      </w:r>
      <w:r>
        <w:rPr>
          <w:rFonts w:hint="eastAsia"/>
        </w:rPr>
        <w:t>和</w:t>
      </w:r>
      <w:r>
        <w:t>49.6%)</w:t>
      </w:r>
      <w:r>
        <w:rPr>
          <w:rFonts w:hint="eastAsia"/>
        </w:rPr>
        <w:t>。从周期上看报名分布有明显的变化，从下表中既可看出。</w:t>
      </w:r>
    </w:p>
    <w:p w:rsidR="00000000" w:rsidRDefault="000C45AD">
      <w:pPr>
        <w:pStyle w:val="Heading3"/>
        <w:spacing w:after="160"/>
      </w:pPr>
      <w:r>
        <w:rPr>
          <w:rFonts w:hint="eastAsia"/>
        </w:rPr>
        <w:t>幼儿园：按周期</w:t>
      </w:r>
      <w:r>
        <w:t>(1980</w:t>
      </w:r>
      <w:r>
        <w:rPr>
          <w:rFonts w:hint="eastAsia"/>
        </w:rPr>
        <w:t>年、</w:t>
      </w:r>
      <w:r>
        <w:t>1986</w:t>
      </w:r>
      <w:r>
        <w:rPr>
          <w:rFonts w:hint="eastAsia"/>
        </w:rPr>
        <w:t>年、</w:t>
      </w:r>
      <w:r>
        <w:t>1996</w:t>
      </w:r>
      <w:r>
        <w:rPr>
          <w:rFonts w:hint="eastAsia"/>
        </w:rPr>
        <w:t>年</w:t>
      </w:r>
      <w:r>
        <w:t>)</w:t>
      </w:r>
      <w:r>
        <w:rPr>
          <w:rFonts w:hint="eastAsia"/>
        </w:rPr>
        <w:t>算的初次报名情况</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108"/>
        <w:gridCol w:w="1383"/>
        <w:gridCol w:w="1383"/>
        <w:gridCol w:w="1"/>
        <w:gridCol w:w="1382"/>
        <w:gridCol w:w="1383"/>
        <w:gridCol w:w="2"/>
        <w:gridCol w:w="1381"/>
        <w:gridCol w:w="1383"/>
        <w:gridCol w:w="3"/>
      </w:tblGrid>
      <w:tr w:rsidR="00000000">
        <w:tblPrEx>
          <w:tblCellMar>
            <w:top w:w="0" w:type="dxa"/>
            <w:bottom w:w="0" w:type="dxa"/>
          </w:tblCellMar>
        </w:tblPrEx>
        <w:tc>
          <w:tcPr>
            <w:tcW w:w="1108" w:type="dxa"/>
            <w:tcBorders>
              <w:top w:val="single" w:sz="6" w:space="0" w:color="auto"/>
              <w:bottom w:val="single" w:sz="6" w:space="0" w:color="auto"/>
              <w:right w:val="nil"/>
            </w:tcBorders>
          </w:tcPr>
          <w:p w:rsidR="00000000" w:rsidRDefault="000C45AD">
            <w:pPr>
              <w:spacing w:before="80" w:after="40" w:line="240" w:lineRule="auto"/>
              <w:jc w:val="center"/>
              <w:rPr>
                <w:sz w:val="21"/>
              </w:rPr>
            </w:pPr>
            <w:r>
              <w:rPr>
                <w:rFonts w:hint="eastAsia"/>
                <w:sz w:val="21"/>
              </w:rPr>
              <w:t>年份</w:t>
            </w:r>
          </w:p>
        </w:tc>
        <w:tc>
          <w:tcPr>
            <w:tcW w:w="2767" w:type="dxa"/>
            <w:gridSpan w:val="3"/>
            <w:tcBorders>
              <w:top w:val="single" w:sz="6" w:space="0" w:color="auto"/>
              <w:left w:val="single" w:sz="6" w:space="0" w:color="auto"/>
              <w:bottom w:val="single" w:sz="6" w:space="0" w:color="auto"/>
              <w:right w:val="nil"/>
            </w:tcBorders>
          </w:tcPr>
          <w:p w:rsidR="00000000" w:rsidRDefault="000C45AD">
            <w:pPr>
              <w:spacing w:before="80" w:after="40" w:line="240" w:lineRule="auto"/>
              <w:jc w:val="center"/>
              <w:rPr>
                <w:sz w:val="21"/>
              </w:rPr>
            </w:pPr>
            <w:r>
              <w:rPr>
                <w:rFonts w:hint="eastAsia"/>
                <w:sz w:val="21"/>
              </w:rPr>
              <w:t>小班</w:t>
            </w:r>
          </w:p>
        </w:tc>
        <w:tc>
          <w:tcPr>
            <w:tcW w:w="2767" w:type="dxa"/>
            <w:gridSpan w:val="3"/>
            <w:tcBorders>
              <w:top w:val="single" w:sz="6" w:space="0" w:color="auto"/>
              <w:left w:val="single" w:sz="6" w:space="0" w:color="auto"/>
              <w:bottom w:val="single" w:sz="6" w:space="0" w:color="auto"/>
              <w:right w:val="single" w:sz="6" w:space="0" w:color="auto"/>
            </w:tcBorders>
          </w:tcPr>
          <w:p w:rsidR="00000000" w:rsidRDefault="000C45AD">
            <w:pPr>
              <w:spacing w:before="80" w:after="40" w:line="240" w:lineRule="auto"/>
              <w:jc w:val="center"/>
              <w:rPr>
                <w:sz w:val="21"/>
              </w:rPr>
            </w:pPr>
            <w:r>
              <w:rPr>
                <w:rFonts w:hint="eastAsia"/>
                <w:sz w:val="21"/>
              </w:rPr>
              <w:t>中班</w:t>
            </w:r>
          </w:p>
        </w:tc>
        <w:tc>
          <w:tcPr>
            <w:tcW w:w="2767" w:type="dxa"/>
            <w:gridSpan w:val="3"/>
            <w:tcBorders>
              <w:top w:val="single" w:sz="6" w:space="0" w:color="auto"/>
              <w:left w:val="nil"/>
              <w:bottom w:val="single" w:sz="6" w:space="0" w:color="auto"/>
            </w:tcBorders>
          </w:tcPr>
          <w:p w:rsidR="00000000" w:rsidRDefault="000C45AD">
            <w:pPr>
              <w:spacing w:before="80" w:after="40" w:line="240" w:lineRule="auto"/>
              <w:jc w:val="center"/>
              <w:rPr>
                <w:sz w:val="21"/>
              </w:rPr>
            </w:pPr>
            <w:r>
              <w:rPr>
                <w:rFonts w:hint="eastAsia"/>
                <w:sz w:val="21"/>
              </w:rPr>
              <w:t>大班</w:t>
            </w:r>
          </w:p>
        </w:tc>
      </w:tr>
      <w:tr w:rsidR="00000000">
        <w:tblPrEx>
          <w:tblCellMar>
            <w:top w:w="0" w:type="dxa"/>
            <w:bottom w:w="0" w:type="dxa"/>
          </w:tblCellMar>
        </w:tblPrEx>
        <w:trPr>
          <w:gridAfter w:val="1"/>
        </w:trPr>
        <w:tc>
          <w:tcPr>
            <w:tcW w:w="1108" w:type="dxa"/>
            <w:tcBorders>
              <w:top w:val="nil"/>
              <w:bottom w:val="single" w:sz="6" w:space="0" w:color="auto"/>
              <w:right w:val="nil"/>
            </w:tcBorders>
          </w:tcPr>
          <w:p w:rsidR="00000000" w:rsidRDefault="000C45AD">
            <w:pPr>
              <w:spacing w:before="80" w:after="40" w:line="240" w:lineRule="auto"/>
              <w:jc w:val="center"/>
              <w:rPr>
                <w:sz w:val="21"/>
              </w:rPr>
            </w:pPr>
          </w:p>
        </w:tc>
        <w:tc>
          <w:tcPr>
            <w:tcW w:w="1383" w:type="dxa"/>
            <w:tcBorders>
              <w:top w:val="nil"/>
              <w:left w:val="single" w:sz="6" w:space="0" w:color="auto"/>
              <w:bottom w:val="single" w:sz="6" w:space="0" w:color="auto"/>
              <w:right w:val="single" w:sz="6" w:space="0" w:color="auto"/>
            </w:tcBorders>
          </w:tcPr>
          <w:p w:rsidR="00000000" w:rsidRDefault="000C45AD">
            <w:pPr>
              <w:spacing w:before="80" w:after="40" w:line="240" w:lineRule="auto"/>
              <w:jc w:val="center"/>
              <w:rPr>
                <w:sz w:val="21"/>
              </w:rPr>
            </w:pPr>
            <w:r>
              <w:rPr>
                <w:rFonts w:hint="eastAsia"/>
                <w:sz w:val="21"/>
              </w:rPr>
              <w:t>报名人数</w:t>
            </w:r>
          </w:p>
        </w:tc>
        <w:tc>
          <w:tcPr>
            <w:tcW w:w="1383" w:type="dxa"/>
            <w:tcBorders>
              <w:top w:val="nil"/>
              <w:left w:val="nil"/>
              <w:bottom w:val="single" w:sz="6" w:space="0" w:color="auto"/>
              <w:right w:val="single" w:sz="6" w:space="0" w:color="auto"/>
            </w:tcBorders>
          </w:tcPr>
          <w:p w:rsidR="00000000" w:rsidRDefault="000C45AD">
            <w:pPr>
              <w:spacing w:before="80" w:after="40" w:line="240" w:lineRule="auto"/>
              <w:jc w:val="center"/>
              <w:rPr>
                <w:sz w:val="21"/>
              </w:rPr>
            </w:pPr>
            <w:r>
              <w:rPr>
                <w:sz w:val="21"/>
              </w:rPr>
              <w:t>%</w:t>
            </w:r>
          </w:p>
        </w:tc>
        <w:tc>
          <w:tcPr>
            <w:tcW w:w="1383" w:type="dxa"/>
            <w:gridSpan w:val="2"/>
            <w:tcBorders>
              <w:top w:val="nil"/>
              <w:left w:val="nil"/>
              <w:bottom w:val="single" w:sz="6" w:space="0" w:color="auto"/>
              <w:right w:val="nil"/>
            </w:tcBorders>
          </w:tcPr>
          <w:p w:rsidR="00000000" w:rsidRDefault="000C45AD">
            <w:pPr>
              <w:spacing w:before="80" w:after="40" w:line="240" w:lineRule="auto"/>
              <w:jc w:val="center"/>
              <w:rPr>
                <w:sz w:val="21"/>
              </w:rPr>
            </w:pPr>
            <w:r>
              <w:rPr>
                <w:rFonts w:hint="eastAsia"/>
                <w:sz w:val="21"/>
              </w:rPr>
              <w:t>报名人数</w:t>
            </w:r>
          </w:p>
        </w:tc>
        <w:tc>
          <w:tcPr>
            <w:tcW w:w="1383" w:type="dxa"/>
            <w:tcBorders>
              <w:top w:val="nil"/>
              <w:left w:val="single" w:sz="6" w:space="0" w:color="auto"/>
              <w:bottom w:val="single" w:sz="6" w:space="0" w:color="auto"/>
              <w:right w:val="single" w:sz="6" w:space="0" w:color="auto"/>
            </w:tcBorders>
          </w:tcPr>
          <w:p w:rsidR="00000000" w:rsidRDefault="000C45AD">
            <w:pPr>
              <w:spacing w:before="80" w:after="40" w:line="240" w:lineRule="auto"/>
              <w:jc w:val="center"/>
              <w:rPr>
                <w:sz w:val="21"/>
              </w:rPr>
            </w:pPr>
            <w:r>
              <w:rPr>
                <w:sz w:val="21"/>
              </w:rPr>
              <w:t>%</w:t>
            </w:r>
          </w:p>
        </w:tc>
        <w:tc>
          <w:tcPr>
            <w:tcW w:w="1383" w:type="dxa"/>
            <w:gridSpan w:val="2"/>
            <w:tcBorders>
              <w:top w:val="nil"/>
              <w:left w:val="nil"/>
              <w:bottom w:val="single" w:sz="6" w:space="0" w:color="auto"/>
              <w:right w:val="single" w:sz="6" w:space="0" w:color="auto"/>
            </w:tcBorders>
          </w:tcPr>
          <w:p w:rsidR="00000000" w:rsidRDefault="000C45AD">
            <w:pPr>
              <w:spacing w:before="80" w:after="40" w:line="240" w:lineRule="auto"/>
              <w:jc w:val="center"/>
              <w:rPr>
                <w:sz w:val="21"/>
              </w:rPr>
            </w:pPr>
            <w:r>
              <w:rPr>
                <w:rFonts w:hint="eastAsia"/>
                <w:sz w:val="21"/>
              </w:rPr>
              <w:t>报名人数</w:t>
            </w:r>
          </w:p>
        </w:tc>
        <w:tc>
          <w:tcPr>
            <w:tcW w:w="1383" w:type="dxa"/>
            <w:tcBorders>
              <w:top w:val="nil"/>
              <w:left w:val="nil"/>
              <w:bottom w:val="single" w:sz="6" w:space="0" w:color="auto"/>
            </w:tcBorders>
          </w:tcPr>
          <w:p w:rsidR="00000000" w:rsidRDefault="000C45AD">
            <w:pPr>
              <w:spacing w:before="80" w:after="40" w:line="240" w:lineRule="auto"/>
              <w:jc w:val="center"/>
              <w:rPr>
                <w:sz w:val="21"/>
              </w:rPr>
            </w:pPr>
            <w:r>
              <w:rPr>
                <w:sz w:val="21"/>
              </w:rPr>
              <w:t>%</w:t>
            </w:r>
          </w:p>
        </w:tc>
      </w:tr>
      <w:tr w:rsidR="00000000">
        <w:tblPrEx>
          <w:tblCellMar>
            <w:top w:w="0" w:type="dxa"/>
            <w:bottom w:w="0" w:type="dxa"/>
          </w:tblCellMar>
        </w:tblPrEx>
        <w:trPr>
          <w:gridAfter w:val="1"/>
        </w:trPr>
        <w:tc>
          <w:tcPr>
            <w:tcW w:w="1108" w:type="dxa"/>
            <w:tcBorders>
              <w:top w:val="nil"/>
              <w:right w:val="nil"/>
            </w:tcBorders>
          </w:tcPr>
          <w:p w:rsidR="00000000" w:rsidRDefault="000C45AD">
            <w:pPr>
              <w:spacing w:before="80" w:after="40" w:line="240" w:lineRule="auto"/>
              <w:jc w:val="center"/>
              <w:rPr>
                <w:sz w:val="21"/>
              </w:rPr>
            </w:pPr>
            <w:r>
              <w:rPr>
                <w:sz w:val="21"/>
              </w:rPr>
              <w:t>1980</w:t>
            </w:r>
          </w:p>
        </w:tc>
        <w:tc>
          <w:tcPr>
            <w:tcW w:w="1383"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9 751</w:t>
            </w:r>
          </w:p>
        </w:tc>
        <w:tc>
          <w:tcPr>
            <w:tcW w:w="1383" w:type="dxa"/>
            <w:tcBorders>
              <w:top w:val="nil"/>
              <w:left w:val="nil"/>
              <w:right w:val="single" w:sz="6" w:space="0" w:color="auto"/>
            </w:tcBorders>
          </w:tcPr>
          <w:p w:rsidR="00000000" w:rsidRDefault="000C45AD">
            <w:pPr>
              <w:spacing w:before="80" w:after="40" w:line="240" w:lineRule="auto"/>
              <w:jc w:val="center"/>
              <w:rPr>
                <w:sz w:val="21"/>
              </w:rPr>
            </w:pPr>
            <w:r>
              <w:rPr>
                <w:sz w:val="21"/>
              </w:rPr>
              <w:t>30</w:t>
            </w:r>
          </w:p>
        </w:tc>
        <w:tc>
          <w:tcPr>
            <w:tcW w:w="1383" w:type="dxa"/>
            <w:gridSpan w:val="2"/>
            <w:tcBorders>
              <w:top w:val="nil"/>
              <w:left w:val="nil"/>
              <w:right w:val="nil"/>
            </w:tcBorders>
          </w:tcPr>
          <w:p w:rsidR="00000000" w:rsidRDefault="000C45AD">
            <w:pPr>
              <w:spacing w:before="80" w:after="40" w:line="240" w:lineRule="auto"/>
              <w:jc w:val="center"/>
              <w:rPr>
                <w:sz w:val="21"/>
              </w:rPr>
            </w:pPr>
            <w:r>
              <w:rPr>
                <w:sz w:val="21"/>
              </w:rPr>
              <w:t>13 235</w:t>
            </w:r>
          </w:p>
        </w:tc>
        <w:tc>
          <w:tcPr>
            <w:tcW w:w="1383"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40</w:t>
            </w:r>
          </w:p>
        </w:tc>
        <w:tc>
          <w:tcPr>
            <w:tcW w:w="1383" w:type="dxa"/>
            <w:gridSpan w:val="2"/>
            <w:tcBorders>
              <w:top w:val="nil"/>
              <w:left w:val="nil"/>
              <w:bottom w:val="nil"/>
              <w:right w:val="single" w:sz="6" w:space="0" w:color="auto"/>
            </w:tcBorders>
          </w:tcPr>
          <w:p w:rsidR="00000000" w:rsidRDefault="000C45AD">
            <w:pPr>
              <w:spacing w:before="80" w:after="40" w:line="240" w:lineRule="auto"/>
              <w:jc w:val="center"/>
              <w:rPr>
                <w:sz w:val="21"/>
              </w:rPr>
            </w:pPr>
            <w:r>
              <w:rPr>
                <w:sz w:val="21"/>
              </w:rPr>
              <w:t>10 048</w:t>
            </w:r>
          </w:p>
        </w:tc>
        <w:tc>
          <w:tcPr>
            <w:tcW w:w="1383" w:type="dxa"/>
            <w:tcBorders>
              <w:top w:val="nil"/>
              <w:left w:val="nil"/>
            </w:tcBorders>
          </w:tcPr>
          <w:p w:rsidR="00000000" w:rsidRDefault="000C45AD">
            <w:pPr>
              <w:spacing w:before="80" w:after="40" w:line="240" w:lineRule="auto"/>
              <w:jc w:val="center"/>
              <w:rPr>
                <w:sz w:val="21"/>
              </w:rPr>
            </w:pPr>
            <w:r>
              <w:rPr>
                <w:sz w:val="21"/>
              </w:rPr>
              <w:t>30</w:t>
            </w:r>
          </w:p>
        </w:tc>
      </w:tr>
      <w:tr w:rsidR="00000000">
        <w:tblPrEx>
          <w:tblCellMar>
            <w:top w:w="0" w:type="dxa"/>
            <w:bottom w:w="0" w:type="dxa"/>
          </w:tblCellMar>
        </w:tblPrEx>
        <w:trPr>
          <w:gridAfter w:val="1"/>
        </w:trPr>
        <w:tc>
          <w:tcPr>
            <w:tcW w:w="1108" w:type="dxa"/>
            <w:tcBorders>
              <w:right w:val="nil"/>
            </w:tcBorders>
          </w:tcPr>
          <w:p w:rsidR="00000000" w:rsidRDefault="000C45AD">
            <w:pPr>
              <w:spacing w:before="80" w:after="40" w:line="240" w:lineRule="auto"/>
              <w:jc w:val="center"/>
              <w:rPr>
                <w:sz w:val="21"/>
              </w:rPr>
            </w:pPr>
            <w:r>
              <w:rPr>
                <w:sz w:val="21"/>
              </w:rPr>
              <w:t>1986</w:t>
            </w:r>
          </w:p>
        </w:tc>
        <w:tc>
          <w:tcPr>
            <w:tcW w:w="1383" w:type="dxa"/>
            <w:tcBorders>
              <w:top w:val="nil"/>
              <w:left w:val="single" w:sz="6" w:space="0" w:color="auto"/>
              <w:bottom w:val="nil"/>
              <w:right w:val="single" w:sz="6" w:space="0" w:color="auto"/>
            </w:tcBorders>
          </w:tcPr>
          <w:p w:rsidR="00000000" w:rsidRDefault="000C45AD">
            <w:pPr>
              <w:spacing w:before="80" w:after="40" w:line="240" w:lineRule="auto"/>
              <w:ind w:right="113"/>
              <w:jc w:val="center"/>
              <w:rPr>
                <w:sz w:val="21"/>
              </w:rPr>
            </w:pPr>
            <w:r>
              <w:rPr>
                <w:sz w:val="21"/>
              </w:rPr>
              <w:t>13 050</w:t>
            </w:r>
          </w:p>
        </w:tc>
        <w:tc>
          <w:tcPr>
            <w:tcW w:w="1383" w:type="dxa"/>
            <w:tcBorders>
              <w:left w:val="nil"/>
              <w:right w:val="single" w:sz="6" w:space="0" w:color="auto"/>
            </w:tcBorders>
          </w:tcPr>
          <w:p w:rsidR="00000000" w:rsidRDefault="000C45AD">
            <w:pPr>
              <w:spacing w:before="80" w:after="40" w:line="240" w:lineRule="auto"/>
              <w:jc w:val="center"/>
              <w:rPr>
                <w:sz w:val="21"/>
              </w:rPr>
            </w:pPr>
            <w:r>
              <w:rPr>
                <w:sz w:val="21"/>
              </w:rPr>
              <w:t>25</w:t>
            </w:r>
          </w:p>
        </w:tc>
        <w:tc>
          <w:tcPr>
            <w:tcW w:w="1383" w:type="dxa"/>
            <w:gridSpan w:val="2"/>
            <w:tcBorders>
              <w:left w:val="nil"/>
              <w:right w:val="nil"/>
            </w:tcBorders>
          </w:tcPr>
          <w:p w:rsidR="00000000" w:rsidRDefault="000C45AD">
            <w:pPr>
              <w:spacing w:before="80" w:after="40" w:line="240" w:lineRule="auto"/>
              <w:jc w:val="center"/>
              <w:rPr>
                <w:sz w:val="21"/>
              </w:rPr>
            </w:pPr>
            <w:r>
              <w:rPr>
                <w:sz w:val="21"/>
              </w:rPr>
              <w:t>21 823</w:t>
            </w:r>
          </w:p>
        </w:tc>
        <w:tc>
          <w:tcPr>
            <w:tcW w:w="1383"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40</w:t>
            </w:r>
          </w:p>
        </w:tc>
        <w:tc>
          <w:tcPr>
            <w:tcW w:w="1383" w:type="dxa"/>
            <w:gridSpan w:val="2"/>
            <w:tcBorders>
              <w:top w:val="nil"/>
              <w:left w:val="nil"/>
              <w:bottom w:val="nil"/>
              <w:right w:val="single" w:sz="6" w:space="0" w:color="auto"/>
            </w:tcBorders>
          </w:tcPr>
          <w:p w:rsidR="00000000" w:rsidRDefault="000C45AD">
            <w:pPr>
              <w:spacing w:before="80" w:after="40" w:line="240" w:lineRule="auto"/>
              <w:jc w:val="center"/>
              <w:rPr>
                <w:sz w:val="21"/>
              </w:rPr>
            </w:pPr>
            <w:r>
              <w:rPr>
                <w:sz w:val="21"/>
              </w:rPr>
              <w:t>18 724</w:t>
            </w:r>
          </w:p>
        </w:tc>
        <w:tc>
          <w:tcPr>
            <w:tcW w:w="1383" w:type="dxa"/>
            <w:tcBorders>
              <w:left w:val="nil"/>
            </w:tcBorders>
          </w:tcPr>
          <w:p w:rsidR="00000000" w:rsidRDefault="000C45AD">
            <w:pPr>
              <w:spacing w:before="80" w:after="40" w:line="240" w:lineRule="auto"/>
              <w:jc w:val="center"/>
              <w:rPr>
                <w:sz w:val="21"/>
              </w:rPr>
            </w:pPr>
            <w:r>
              <w:rPr>
                <w:sz w:val="21"/>
              </w:rPr>
              <w:t>35</w:t>
            </w:r>
          </w:p>
        </w:tc>
      </w:tr>
      <w:tr w:rsidR="00000000">
        <w:tblPrEx>
          <w:tblCellMar>
            <w:top w:w="0" w:type="dxa"/>
            <w:bottom w:w="0" w:type="dxa"/>
          </w:tblCellMar>
        </w:tblPrEx>
        <w:trPr>
          <w:gridAfter w:val="1"/>
        </w:trPr>
        <w:tc>
          <w:tcPr>
            <w:tcW w:w="1108" w:type="dxa"/>
            <w:tcBorders>
              <w:bottom w:val="single" w:sz="6" w:space="0" w:color="auto"/>
              <w:right w:val="nil"/>
            </w:tcBorders>
          </w:tcPr>
          <w:p w:rsidR="00000000" w:rsidRDefault="000C45AD">
            <w:pPr>
              <w:spacing w:before="80" w:after="40" w:line="240" w:lineRule="auto"/>
              <w:jc w:val="center"/>
              <w:rPr>
                <w:sz w:val="21"/>
              </w:rPr>
            </w:pPr>
            <w:r>
              <w:rPr>
                <w:sz w:val="21"/>
              </w:rPr>
              <w:t>1996</w:t>
            </w:r>
          </w:p>
        </w:tc>
        <w:tc>
          <w:tcPr>
            <w:tcW w:w="1383" w:type="dxa"/>
            <w:tcBorders>
              <w:top w:val="nil"/>
              <w:left w:val="single" w:sz="6" w:space="0" w:color="auto"/>
              <w:bottom w:val="single" w:sz="6" w:space="0" w:color="auto"/>
              <w:right w:val="single" w:sz="6" w:space="0" w:color="auto"/>
            </w:tcBorders>
          </w:tcPr>
          <w:p w:rsidR="00000000" w:rsidRDefault="000C45AD">
            <w:pPr>
              <w:tabs>
                <w:tab w:val="clear" w:pos="1021"/>
              </w:tabs>
              <w:spacing w:before="80" w:after="40" w:line="240" w:lineRule="auto"/>
              <w:jc w:val="center"/>
              <w:rPr>
                <w:sz w:val="21"/>
              </w:rPr>
            </w:pPr>
            <w:r>
              <w:rPr>
                <w:sz w:val="21"/>
              </w:rPr>
              <w:t>6 421</w:t>
            </w:r>
          </w:p>
        </w:tc>
        <w:tc>
          <w:tcPr>
            <w:tcW w:w="1383" w:type="dxa"/>
            <w:tcBorders>
              <w:left w:val="nil"/>
              <w:bottom w:val="single" w:sz="6" w:space="0" w:color="auto"/>
              <w:right w:val="single" w:sz="6" w:space="0" w:color="auto"/>
            </w:tcBorders>
          </w:tcPr>
          <w:p w:rsidR="00000000" w:rsidRDefault="000C45AD">
            <w:pPr>
              <w:spacing w:before="80" w:after="40" w:line="240" w:lineRule="auto"/>
              <w:jc w:val="center"/>
              <w:rPr>
                <w:sz w:val="21"/>
              </w:rPr>
            </w:pPr>
            <w:r>
              <w:rPr>
                <w:sz w:val="21"/>
              </w:rPr>
              <w:t>8</w:t>
            </w:r>
          </w:p>
        </w:tc>
        <w:tc>
          <w:tcPr>
            <w:tcW w:w="1383" w:type="dxa"/>
            <w:gridSpan w:val="2"/>
            <w:tcBorders>
              <w:left w:val="nil"/>
              <w:right w:val="nil"/>
            </w:tcBorders>
          </w:tcPr>
          <w:p w:rsidR="00000000" w:rsidRDefault="000C45AD">
            <w:pPr>
              <w:spacing w:before="80" w:after="40" w:line="240" w:lineRule="auto"/>
              <w:jc w:val="center"/>
              <w:rPr>
                <w:sz w:val="21"/>
              </w:rPr>
            </w:pPr>
            <w:r>
              <w:rPr>
                <w:sz w:val="21"/>
              </w:rPr>
              <w:t>28 983</w:t>
            </w:r>
          </w:p>
        </w:tc>
        <w:tc>
          <w:tcPr>
            <w:tcW w:w="1383" w:type="dxa"/>
            <w:tcBorders>
              <w:top w:val="nil"/>
              <w:left w:val="single" w:sz="6" w:space="0" w:color="auto"/>
              <w:bottom w:val="single" w:sz="6" w:space="0" w:color="auto"/>
              <w:right w:val="single" w:sz="6" w:space="0" w:color="auto"/>
            </w:tcBorders>
          </w:tcPr>
          <w:p w:rsidR="00000000" w:rsidRDefault="000C45AD">
            <w:pPr>
              <w:spacing w:before="80" w:after="40" w:line="240" w:lineRule="auto"/>
              <w:jc w:val="center"/>
              <w:rPr>
                <w:sz w:val="21"/>
              </w:rPr>
            </w:pPr>
            <w:r>
              <w:rPr>
                <w:sz w:val="21"/>
              </w:rPr>
              <w:t>36</w:t>
            </w:r>
          </w:p>
        </w:tc>
        <w:tc>
          <w:tcPr>
            <w:tcW w:w="1383" w:type="dxa"/>
            <w:gridSpan w:val="2"/>
            <w:tcBorders>
              <w:top w:val="nil"/>
              <w:left w:val="nil"/>
              <w:bottom w:val="single" w:sz="6" w:space="0" w:color="auto"/>
              <w:right w:val="single" w:sz="6" w:space="0" w:color="auto"/>
            </w:tcBorders>
          </w:tcPr>
          <w:p w:rsidR="00000000" w:rsidRDefault="000C45AD">
            <w:pPr>
              <w:spacing w:before="80" w:after="40" w:line="240" w:lineRule="auto"/>
              <w:jc w:val="center"/>
              <w:rPr>
                <w:sz w:val="21"/>
              </w:rPr>
            </w:pPr>
            <w:r>
              <w:rPr>
                <w:sz w:val="21"/>
              </w:rPr>
              <w:t>45 055</w:t>
            </w:r>
          </w:p>
        </w:tc>
        <w:tc>
          <w:tcPr>
            <w:tcW w:w="1383" w:type="dxa"/>
            <w:tcBorders>
              <w:left w:val="nil"/>
            </w:tcBorders>
          </w:tcPr>
          <w:p w:rsidR="00000000" w:rsidRDefault="000C45AD">
            <w:pPr>
              <w:spacing w:before="80" w:after="40" w:line="240" w:lineRule="auto"/>
              <w:jc w:val="center"/>
              <w:rPr>
                <w:sz w:val="21"/>
              </w:rPr>
            </w:pPr>
            <w:r>
              <w:rPr>
                <w:sz w:val="21"/>
              </w:rPr>
              <w:t>56</w:t>
            </w:r>
          </w:p>
        </w:tc>
      </w:tr>
    </w:tbl>
    <w:p w:rsidR="00000000" w:rsidRDefault="000C45AD">
      <w:pPr>
        <w:pStyle w:val="Heading4"/>
        <w:spacing w:before="320"/>
      </w:pPr>
      <w:r>
        <w:rPr>
          <w:rFonts w:hint="eastAsia"/>
        </w:rPr>
        <w:t>初级教育</w:t>
      </w:r>
    </w:p>
    <w:p w:rsidR="00000000" w:rsidRDefault="000C45AD">
      <w:r>
        <w:tab/>
        <w:t xml:space="preserve">324.  </w:t>
      </w:r>
      <w:r>
        <w:rPr>
          <w:rFonts w:hint="eastAsia"/>
        </w:rPr>
        <w:t>《宪法》第八章，第</w:t>
      </w:r>
      <w:r>
        <w:t>153</w:t>
      </w:r>
      <w:r>
        <w:rPr>
          <w:rFonts w:hint="eastAsia"/>
        </w:rPr>
        <w:t>、</w:t>
      </w:r>
      <w:r>
        <w:t>154</w:t>
      </w:r>
      <w:r>
        <w:rPr>
          <w:rFonts w:hint="eastAsia"/>
        </w:rPr>
        <w:t>和</w:t>
      </w:r>
      <w:r>
        <w:t>157</w:t>
      </w:r>
      <w:r>
        <w:rPr>
          <w:rFonts w:hint="eastAsia"/>
        </w:rPr>
        <w:t>条规定，国家有义务负责儿童的基础教育并为此目的确立必要的行政和技术部门，以便扫除文盲，并对各级教育进行认可，组织、行政管理和监督。</w:t>
      </w:r>
    </w:p>
    <w:p w:rsidR="00000000" w:rsidRDefault="000C45AD">
      <w:r>
        <w:tab/>
        <w:t xml:space="preserve">325. </w:t>
      </w:r>
      <w:r>
        <w:t xml:space="preserve"> </w:t>
      </w:r>
      <w:r>
        <w:rPr>
          <w:rFonts w:hint="eastAsia"/>
        </w:rPr>
        <w:t>正规小学教育是以两种方式提供的：第一种针对</w:t>
      </w:r>
      <w:r>
        <w:t>6</w:t>
      </w:r>
      <w:r>
        <w:rPr>
          <w:rFonts w:hint="eastAsia"/>
        </w:rPr>
        <w:t>到</w:t>
      </w:r>
      <w:r>
        <w:t>13</w:t>
      </w:r>
      <w:r>
        <w:rPr>
          <w:rFonts w:hint="eastAsia"/>
        </w:rPr>
        <w:t>岁的儿童，它分</w:t>
      </w:r>
      <w:r>
        <w:t>6</w:t>
      </w:r>
      <w:r>
        <w:rPr>
          <w:rFonts w:hint="eastAsia"/>
        </w:rPr>
        <w:t>个年级；第二种针对</w:t>
      </w:r>
      <w:r>
        <w:t>14</w:t>
      </w:r>
      <w:r>
        <w:rPr>
          <w:rFonts w:hint="eastAsia"/>
        </w:rPr>
        <w:t>岁以上的少年，它分</w:t>
      </w:r>
      <w:r>
        <w:t>4</w:t>
      </w:r>
      <w:r>
        <w:rPr>
          <w:rFonts w:hint="eastAsia"/>
        </w:rPr>
        <w:t>级并在评级转学时予以承认。</w:t>
      </w:r>
    </w:p>
    <w:p w:rsidR="00000000" w:rsidRDefault="000C45AD">
      <w:r>
        <w:tab/>
        <w:t xml:space="preserve">326.  </w:t>
      </w:r>
      <w:r>
        <w:rPr>
          <w:rFonts w:hint="eastAsia"/>
        </w:rPr>
        <w:t>公共教育预算的</w:t>
      </w:r>
      <w:r>
        <w:t>50%</w:t>
      </w:r>
      <w:r>
        <w:rPr>
          <w:rFonts w:hint="eastAsia"/>
        </w:rPr>
        <w:t>以上用于初级教育。初级教育约占入学报名总数的</w:t>
      </w:r>
      <w:r>
        <w:t>94.6%</w:t>
      </w:r>
      <w:r>
        <w:rPr>
          <w:rFonts w:hint="eastAsia"/>
        </w:rPr>
        <w:t>，它的覆盖率在全国教育系统中最高。</w:t>
      </w:r>
    </w:p>
    <w:p w:rsidR="00000000" w:rsidRDefault="000C45AD">
      <w:pPr>
        <w:spacing w:after="320"/>
        <w:textAlignment w:val="center"/>
      </w:pPr>
      <w:r>
        <w:tab/>
        <w:t xml:space="preserve">327.  </w:t>
      </w:r>
      <w:r>
        <w:rPr>
          <w:rFonts w:hint="eastAsia"/>
        </w:rPr>
        <w:t>根据</w:t>
      </w:r>
      <w:r>
        <w:t>1995</w:t>
      </w:r>
      <w:r>
        <w:rPr>
          <w:rFonts w:hint="eastAsia"/>
        </w:rPr>
        <w:t>年底进行的学校普查结果，学生注册总数为</w:t>
      </w:r>
      <w:r>
        <w:t>986,442</w:t>
      </w:r>
      <w:r>
        <w:rPr>
          <w:rFonts w:hint="eastAsia"/>
        </w:rPr>
        <w:t>人。</w:t>
      </w:r>
      <w:r>
        <w:t>1996</w:t>
      </w:r>
      <w:r>
        <w:rPr>
          <w:rFonts w:hint="eastAsia"/>
        </w:rPr>
        <w:t>年，</w:t>
      </w:r>
      <w:r>
        <w:t>7</w:t>
      </w:r>
      <w:r>
        <w:rPr>
          <w:rFonts w:hint="eastAsia"/>
        </w:rPr>
        <w:t>到</w:t>
      </w:r>
      <w:r>
        <w:t>13</w:t>
      </w:r>
      <w:r>
        <w:rPr>
          <w:rFonts w:hint="eastAsia"/>
        </w:rPr>
        <w:t>岁的少年儿童中约有</w:t>
      </w:r>
      <w:r>
        <w:t>153,000</w:t>
      </w:r>
      <w:r>
        <w:rPr>
          <w:rFonts w:hint="eastAsia"/>
        </w:rPr>
        <w:t>人未报名入小学。</w:t>
      </w:r>
      <w:r>
        <w:t>2000</w:t>
      </w:r>
      <w:r>
        <w:rPr>
          <w:rFonts w:hint="eastAsia"/>
        </w:rPr>
        <w:t>年，估计注册报名人数将为</w:t>
      </w:r>
      <w:r>
        <w:t>1,123,138</w:t>
      </w:r>
      <w:r>
        <w:rPr>
          <w:rFonts w:hint="eastAsia"/>
        </w:rPr>
        <w:t>人，相当于年平均增长</w:t>
      </w:r>
      <w:r>
        <w:t>4.8%</w:t>
      </w:r>
      <w:r>
        <w:rPr>
          <w:rFonts w:hint="eastAsia"/>
        </w:rPr>
        <w:t>。覆盖率指标</w:t>
      </w:r>
      <w:r>
        <w:t>(</w:t>
      </w:r>
      <w:r>
        <w:rPr>
          <w:rFonts w:hint="eastAsia"/>
        </w:rPr>
        <w:t>粗算和净</w:t>
      </w:r>
      <w:r>
        <w:rPr>
          <w:rFonts w:hint="eastAsia"/>
        </w:rPr>
        <w:t>算</w:t>
      </w:r>
      <w:r>
        <w:t>)</w:t>
      </w:r>
      <w:r>
        <w:rPr>
          <w:rFonts w:hint="eastAsia"/>
        </w:rPr>
        <w:t>趋势表明，教育系统将继续扩大</w:t>
      </w:r>
      <w:r>
        <w:t>,</w:t>
      </w:r>
      <w:r>
        <w:rPr>
          <w:rFonts w:hint="eastAsia"/>
        </w:rPr>
        <w:t>使以前未能受教育儿童得到教育。</w:t>
      </w:r>
    </w:p>
    <w:p w:rsidR="00000000" w:rsidRDefault="000C45AD">
      <w:pPr>
        <w:spacing w:after="320"/>
        <w:textAlignment w:val="center"/>
      </w:pPr>
    </w:p>
    <w:p w:rsidR="00000000" w:rsidRDefault="000C45AD">
      <w:pPr>
        <w:pStyle w:val="Heading3"/>
        <w:spacing w:after="160"/>
      </w:pPr>
      <w:r>
        <w:br w:type="page"/>
      </w:r>
      <w:r>
        <w:rPr>
          <w:rFonts w:hint="eastAsia"/>
        </w:rPr>
        <w:t>按地区、学校类型和性别统计的入学</w:t>
      </w:r>
      <w:r>
        <w:br/>
      </w:r>
      <w:r>
        <w:rPr>
          <w:rFonts w:hint="eastAsia"/>
        </w:rPr>
        <w:t>人数增长率和对</w:t>
      </w:r>
      <w:r>
        <w:t>2000</w:t>
      </w:r>
      <w:r>
        <w:rPr>
          <w:rFonts w:hint="eastAsia"/>
        </w:rPr>
        <w:t>年的展望</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348"/>
        <w:gridCol w:w="1343"/>
        <w:gridCol w:w="1343"/>
        <w:gridCol w:w="1343"/>
        <w:gridCol w:w="1343"/>
        <w:gridCol w:w="1343"/>
        <w:gridCol w:w="1343"/>
      </w:tblGrid>
      <w:tr w:rsidR="00000000">
        <w:tblPrEx>
          <w:tblCellMar>
            <w:top w:w="0" w:type="dxa"/>
            <w:bottom w:w="0" w:type="dxa"/>
          </w:tblCellMar>
        </w:tblPrEx>
        <w:tc>
          <w:tcPr>
            <w:tcW w:w="1348" w:type="dxa"/>
            <w:tcBorders>
              <w:top w:val="single" w:sz="6" w:space="0" w:color="auto"/>
              <w:bottom w:val="single" w:sz="6" w:space="0" w:color="auto"/>
              <w:right w:val="nil"/>
            </w:tcBorders>
          </w:tcPr>
          <w:p w:rsidR="00000000" w:rsidRDefault="000C45AD">
            <w:pPr>
              <w:spacing w:before="80" w:after="40" w:line="240" w:lineRule="auto"/>
              <w:jc w:val="center"/>
              <w:rPr>
                <w:sz w:val="21"/>
              </w:rPr>
            </w:pPr>
            <w:r>
              <w:rPr>
                <w:rFonts w:hint="eastAsia"/>
                <w:sz w:val="21"/>
              </w:rPr>
              <w:t>项</w:t>
            </w:r>
            <w:r>
              <w:rPr>
                <w:sz w:val="21"/>
              </w:rPr>
              <w:t xml:space="preserve">  </w:t>
            </w:r>
            <w:r>
              <w:rPr>
                <w:rFonts w:hint="eastAsia"/>
                <w:sz w:val="21"/>
              </w:rPr>
              <w:t>目</w:t>
            </w:r>
          </w:p>
        </w:tc>
        <w:tc>
          <w:tcPr>
            <w:tcW w:w="1343" w:type="dxa"/>
            <w:tcBorders>
              <w:top w:val="single" w:sz="6" w:space="0" w:color="auto"/>
              <w:left w:val="single" w:sz="6" w:space="0" w:color="auto"/>
              <w:bottom w:val="single" w:sz="6" w:space="0" w:color="auto"/>
              <w:right w:val="single" w:sz="6" w:space="0" w:color="auto"/>
            </w:tcBorders>
          </w:tcPr>
          <w:p w:rsidR="00000000" w:rsidRDefault="000C45AD">
            <w:pPr>
              <w:spacing w:before="80" w:after="40" w:line="240" w:lineRule="auto"/>
              <w:jc w:val="center"/>
              <w:rPr>
                <w:sz w:val="21"/>
              </w:rPr>
            </w:pPr>
            <w:r>
              <w:rPr>
                <w:rFonts w:hint="eastAsia"/>
                <w:sz w:val="21"/>
              </w:rPr>
              <w:t>增长率</w:t>
            </w:r>
          </w:p>
        </w:tc>
        <w:tc>
          <w:tcPr>
            <w:tcW w:w="1343" w:type="dxa"/>
            <w:tcBorders>
              <w:top w:val="single" w:sz="6" w:space="0" w:color="auto"/>
              <w:left w:val="nil"/>
              <w:bottom w:val="single" w:sz="6" w:space="0" w:color="auto"/>
              <w:right w:val="nil"/>
            </w:tcBorders>
          </w:tcPr>
          <w:p w:rsidR="00000000" w:rsidRDefault="000C45AD">
            <w:pPr>
              <w:spacing w:before="80" w:after="40" w:line="240" w:lineRule="auto"/>
              <w:jc w:val="center"/>
              <w:rPr>
                <w:sz w:val="21"/>
              </w:rPr>
            </w:pPr>
            <w:r>
              <w:rPr>
                <w:sz w:val="21"/>
              </w:rPr>
              <w:t>1996</w:t>
            </w:r>
          </w:p>
        </w:tc>
        <w:tc>
          <w:tcPr>
            <w:tcW w:w="1343" w:type="dxa"/>
            <w:tcBorders>
              <w:top w:val="single" w:sz="6" w:space="0" w:color="auto"/>
              <w:left w:val="single" w:sz="6" w:space="0" w:color="auto"/>
              <w:bottom w:val="single" w:sz="6" w:space="0" w:color="auto"/>
              <w:right w:val="single" w:sz="6" w:space="0" w:color="auto"/>
            </w:tcBorders>
          </w:tcPr>
          <w:p w:rsidR="00000000" w:rsidRDefault="000C45AD">
            <w:pPr>
              <w:spacing w:before="80" w:after="40" w:line="240" w:lineRule="auto"/>
              <w:jc w:val="center"/>
              <w:rPr>
                <w:sz w:val="21"/>
              </w:rPr>
            </w:pPr>
            <w:r>
              <w:rPr>
                <w:sz w:val="21"/>
              </w:rPr>
              <w:t>1997</w:t>
            </w:r>
          </w:p>
        </w:tc>
        <w:tc>
          <w:tcPr>
            <w:tcW w:w="1343" w:type="dxa"/>
            <w:tcBorders>
              <w:top w:val="single" w:sz="6" w:space="0" w:color="auto"/>
              <w:left w:val="nil"/>
              <w:bottom w:val="single" w:sz="6" w:space="0" w:color="auto"/>
              <w:right w:val="nil"/>
            </w:tcBorders>
          </w:tcPr>
          <w:p w:rsidR="00000000" w:rsidRDefault="000C45AD">
            <w:pPr>
              <w:spacing w:before="80" w:after="40" w:line="240" w:lineRule="auto"/>
              <w:jc w:val="center"/>
              <w:rPr>
                <w:sz w:val="21"/>
              </w:rPr>
            </w:pPr>
            <w:r>
              <w:rPr>
                <w:sz w:val="21"/>
              </w:rPr>
              <w:t>1998</w:t>
            </w:r>
          </w:p>
        </w:tc>
        <w:tc>
          <w:tcPr>
            <w:tcW w:w="1343" w:type="dxa"/>
            <w:tcBorders>
              <w:top w:val="single" w:sz="6" w:space="0" w:color="auto"/>
              <w:left w:val="single" w:sz="6" w:space="0" w:color="auto"/>
              <w:bottom w:val="single" w:sz="6" w:space="0" w:color="auto"/>
              <w:right w:val="single" w:sz="6" w:space="0" w:color="auto"/>
            </w:tcBorders>
          </w:tcPr>
          <w:p w:rsidR="00000000" w:rsidRDefault="000C45AD">
            <w:pPr>
              <w:spacing w:before="80" w:after="40" w:line="240" w:lineRule="auto"/>
              <w:jc w:val="center"/>
              <w:rPr>
                <w:sz w:val="21"/>
              </w:rPr>
            </w:pPr>
            <w:r>
              <w:rPr>
                <w:sz w:val="21"/>
              </w:rPr>
              <w:t>1999</w:t>
            </w:r>
          </w:p>
        </w:tc>
        <w:tc>
          <w:tcPr>
            <w:tcW w:w="1343" w:type="dxa"/>
            <w:tcBorders>
              <w:top w:val="single" w:sz="6" w:space="0" w:color="auto"/>
              <w:left w:val="nil"/>
              <w:bottom w:val="single" w:sz="6" w:space="0" w:color="auto"/>
            </w:tcBorders>
          </w:tcPr>
          <w:p w:rsidR="00000000" w:rsidRDefault="000C45AD">
            <w:pPr>
              <w:spacing w:before="80" w:after="40" w:line="240" w:lineRule="auto"/>
              <w:jc w:val="center"/>
              <w:rPr>
                <w:sz w:val="21"/>
              </w:rPr>
            </w:pPr>
            <w:r>
              <w:rPr>
                <w:sz w:val="21"/>
              </w:rPr>
              <w:t>2000</w:t>
            </w:r>
          </w:p>
        </w:tc>
      </w:tr>
      <w:tr w:rsidR="00000000">
        <w:tblPrEx>
          <w:tblCellMar>
            <w:top w:w="0" w:type="dxa"/>
            <w:bottom w:w="0" w:type="dxa"/>
          </w:tblCellMar>
        </w:tblPrEx>
        <w:tc>
          <w:tcPr>
            <w:tcW w:w="1348" w:type="dxa"/>
            <w:tcBorders>
              <w:top w:val="nil"/>
              <w:right w:val="nil"/>
            </w:tcBorders>
          </w:tcPr>
          <w:p w:rsidR="00000000" w:rsidRDefault="000C45AD">
            <w:pPr>
              <w:spacing w:before="80" w:after="40" w:line="240" w:lineRule="auto"/>
              <w:ind w:left="113"/>
              <w:jc w:val="left"/>
              <w:rPr>
                <w:sz w:val="21"/>
              </w:rPr>
            </w:pPr>
            <w:r>
              <w:rPr>
                <w:rFonts w:hint="eastAsia"/>
                <w:sz w:val="21"/>
              </w:rPr>
              <w:t>公立</w:t>
            </w:r>
          </w:p>
        </w:tc>
        <w:tc>
          <w:tcPr>
            <w:tcW w:w="1343" w:type="dxa"/>
            <w:tcBorders>
              <w:top w:val="nil"/>
              <w:left w:val="single" w:sz="6" w:space="0" w:color="auto"/>
              <w:right w:val="single" w:sz="6" w:space="0" w:color="auto"/>
            </w:tcBorders>
          </w:tcPr>
          <w:p w:rsidR="00000000" w:rsidRDefault="000C45AD">
            <w:pPr>
              <w:spacing w:before="80" w:after="40" w:line="240" w:lineRule="auto"/>
              <w:jc w:val="center"/>
              <w:rPr>
                <w:sz w:val="21"/>
              </w:rPr>
            </w:pPr>
            <w:r>
              <w:rPr>
                <w:sz w:val="21"/>
              </w:rPr>
              <w:t>2.1</w:t>
            </w:r>
          </w:p>
        </w:tc>
        <w:tc>
          <w:tcPr>
            <w:tcW w:w="1343" w:type="dxa"/>
            <w:tcBorders>
              <w:top w:val="nil"/>
              <w:left w:val="nil"/>
              <w:right w:val="nil"/>
            </w:tcBorders>
          </w:tcPr>
          <w:p w:rsidR="00000000" w:rsidRDefault="000C45AD">
            <w:pPr>
              <w:spacing w:before="80" w:after="40" w:line="240" w:lineRule="auto"/>
              <w:ind w:right="170"/>
              <w:jc w:val="right"/>
              <w:rPr>
                <w:sz w:val="21"/>
              </w:rPr>
            </w:pPr>
            <w:r>
              <w:rPr>
                <w:sz w:val="21"/>
              </w:rPr>
              <w:t>971 963</w:t>
            </w:r>
          </w:p>
        </w:tc>
        <w:tc>
          <w:tcPr>
            <w:tcW w:w="1343" w:type="dxa"/>
            <w:tcBorders>
              <w:top w:val="nil"/>
              <w:left w:val="single" w:sz="6" w:space="0" w:color="auto"/>
              <w:right w:val="single" w:sz="6" w:space="0" w:color="auto"/>
            </w:tcBorders>
          </w:tcPr>
          <w:p w:rsidR="00000000" w:rsidRDefault="000C45AD">
            <w:pPr>
              <w:spacing w:before="80" w:after="40" w:line="240" w:lineRule="auto"/>
              <w:ind w:right="170"/>
              <w:jc w:val="right"/>
              <w:rPr>
                <w:sz w:val="21"/>
              </w:rPr>
            </w:pPr>
            <w:r>
              <w:rPr>
                <w:sz w:val="21"/>
              </w:rPr>
              <w:t>992 374</w:t>
            </w:r>
          </w:p>
        </w:tc>
        <w:tc>
          <w:tcPr>
            <w:tcW w:w="1343" w:type="dxa"/>
            <w:tcBorders>
              <w:top w:val="nil"/>
              <w:left w:val="nil"/>
              <w:right w:val="nil"/>
            </w:tcBorders>
          </w:tcPr>
          <w:p w:rsidR="00000000" w:rsidRDefault="000C45AD">
            <w:pPr>
              <w:spacing w:before="80" w:after="40" w:line="240" w:lineRule="auto"/>
              <w:ind w:right="170"/>
              <w:jc w:val="right"/>
              <w:rPr>
                <w:sz w:val="21"/>
              </w:rPr>
            </w:pPr>
            <w:r>
              <w:rPr>
                <w:sz w:val="21"/>
              </w:rPr>
              <w:t>1 013 213</w:t>
            </w:r>
          </w:p>
        </w:tc>
        <w:tc>
          <w:tcPr>
            <w:tcW w:w="1343" w:type="dxa"/>
            <w:tcBorders>
              <w:top w:val="nil"/>
              <w:left w:val="single" w:sz="6" w:space="0" w:color="auto"/>
              <w:right w:val="single" w:sz="6" w:space="0" w:color="auto"/>
            </w:tcBorders>
          </w:tcPr>
          <w:p w:rsidR="00000000" w:rsidRDefault="000C45AD">
            <w:pPr>
              <w:spacing w:before="80" w:after="40" w:line="240" w:lineRule="auto"/>
              <w:ind w:right="170"/>
              <w:jc w:val="right"/>
              <w:rPr>
                <w:sz w:val="21"/>
              </w:rPr>
            </w:pPr>
            <w:r>
              <w:rPr>
                <w:sz w:val="21"/>
              </w:rPr>
              <w:t>1 034 490</w:t>
            </w:r>
          </w:p>
        </w:tc>
        <w:tc>
          <w:tcPr>
            <w:tcW w:w="1343" w:type="dxa"/>
            <w:tcBorders>
              <w:top w:val="nil"/>
              <w:left w:val="nil"/>
            </w:tcBorders>
          </w:tcPr>
          <w:p w:rsidR="00000000" w:rsidRDefault="000C45AD">
            <w:pPr>
              <w:spacing w:before="80" w:after="40" w:line="240" w:lineRule="auto"/>
              <w:ind w:right="170"/>
              <w:jc w:val="right"/>
              <w:rPr>
                <w:sz w:val="21"/>
              </w:rPr>
            </w:pPr>
            <w:r>
              <w:rPr>
                <w:sz w:val="21"/>
              </w:rPr>
              <w:t>1 056 214</w:t>
            </w:r>
          </w:p>
        </w:tc>
      </w:tr>
      <w:tr w:rsidR="00000000">
        <w:tblPrEx>
          <w:tblCellMar>
            <w:top w:w="0" w:type="dxa"/>
            <w:bottom w:w="0" w:type="dxa"/>
          </w:tblCellMar>
        </w:tblPrEx>
        <w:tc>
          <w:tcPr>
            <w:tcW w:w="1348" w:type="dxa"/>
            <w:tcBorders>
              <w:right w:val="nil"/>
            </w:tcBorders>
          </w:tcPr>
          <w:p w:rsidR="00000000" w:rsidRDefault="000C45AD">
            <w:pPr>
              <w:spacing w:before="80" w:after="40" w:line="240" w:lineRule="auto"/>
              <w:ind w:left="113"/>
              <w:jc w:val="left"/>
              <w:rPr>
                <w:sz w:val="21"/>
              </w:rPr>
            </w:pPr>
            <w:r>
              <w:rPr>
                <w:rFonts w:hint="eastAsia"/>
                <w:sz w:val="21"/>
              </w:rPr>
              <w:t>私立</w:t>
            </w:r>
          </w:p>
        </w:tc>
        <w:tc>
          <w:tcPr>
            <w:tcW w:w="1343" w:type="dxa"/>
            <w:tcBorders>
              <w:left w:val="single" w:sz="6" w:space="0" w:color="auto"/>
              <w:right w:val="single" w:sz="6" w:space="0" w:color="auto"/>
            </w:tcBorders>
          </w:tcPr>
          <w:p w:rsidR="00000000" w:rsidRDefault="000C45AD">
            <w:pPr>
              <w:spacing w:before="80" w:after="40" w:line="240" w:lineRule="auto"/>
              <w:jc w:val="center"/>
              <w:rPr>
                <w:sz w:val="21"/>
              </w:rPr>
            </w:pPr>
            <w:r>
              <w:rPr>
                <w:sz w:val="21"/>
              </w:rPr>
              <w:t>2.5</w:t>
            </w:r>
          </w:p>
        </w:tc>
        <w:tc>
          <w:tcPr>
            <w:tcW w:w="1343" w:type="dxa"/>
            <w:tcBorders>
              <w:left w:val="nil"/>
              <w:right w:val="nil"/>
            </w:tcBorders>
          </w:tcPr>
          <w:p w:rsidR="00000000" w:rsidRDefault="000C45AD">
            <w:pPr>
              <w:spacing w:before="80" w:after="40" w:line="240" w:lineRule="auto"/>
              <w:ind w:right="170"/>
              <w:jc w:val="right"/>
              <w:rPr>
                <w:sz w:val="21"/>
              </w:rPr>
            </w:pPr>
            <w:r>
              <w:rPr>
                <w:sz w:val="21"/>
              </w:rPr>
              <w:t>60 632</w:t>
            </w:r>
          </w:p>
        </w:tc>
        <w:tc>
          <w:tcPr>
            <w:tcW w:w="1343" w:type="dxa"/>
            <w:tcBorders>
              <w:left w:val="single" w:sz="6" w:space="0" w:color="auto"/>
              <w:right w:val="single" w:sz="6" w:space="0" w:color="auto"/>
            </w:tcBorders>
          </w:tcPr>
          <w:p w:rsidR="00000000" w:rsidRDefault="000C45AD">
            <w:pPr>
              <w:spacing w:before="80" w:after="40" w:line="240" w:lineRule="auto"/>
              <w:ind w:right="170"/>
              <w:jc w:val="right"/>
              <w:rPr>
                <w:sz w:val="21"/>
              </w:rPr>
            </w:pPr>
            <w:r>
              <w:rPr>
                <w:sz w:val="21"/>
              </w:rPr>
              <w:t>62 147</w:t>
            </w:r>
          </w:p>
        </w:tc>
        <w:tc>
          <w:tcPr>
            <w:tcW w:w="1343" w:type="dxa"/>
            <w:tcBorders>
              <w:left w:val="nil"/>
              <w:right w:val="nil"/>
            </w:tcBorders>
          </w:tcPr>
          <w:p w:rsidR="00000000" w:rsidRDefault="000C45AD">
            <w:pPr>
              <w:spacing w:before="80" w:after="40" w:line="240" w:lineRule="auto"/>
              <w:ind w:right="170"/>
              <w:jc w:val="right"/>
              <w:rPr>
                <w:sz w:val="21"/>
              </w:rPr>
            </w:pPr>
            <w:r>
              <w:rPr>
                <w:sz w:val="21"/>
              </w:rPr>
              <w:t>63 700</w:t>
            </w:r>
          </w:p>
        </w:tc>
        <w:tc>
          <w:tcPr>
            <w:tcW w:w="1343" w:type="dxa"/>
            <w:tcBorders>
              <w:left w:val="single" w:sz="6" w:space="0" w:color="auto"/>
              <w:right w:val="single" w:sz="6" w:space="0" w:color="auto"/>
            </w:tcBorders>
          </w:tcPr>
          <w:p w:rsidR="00000000" w:rsidRDefault="000C45AD">
            <w:pPr>
              <w:spacing w:before="80" w:after="40" w:line="240" w:lineRule="auto"/>
              <w:ind w:right="170"/>
              <w:jc w:val="right"/>
              <w:rPr>
                <w:sz w:val="21"/>
              </w:rPr>
            </w:pPr>
            <w:r>
              <w:rPr>
                <w:sz w:val="21"/>
              </w:rPr>
              <w:t>65 292</w:t>
            </w:r>
          </w:p>
        </w:tc>
        <w:tc>
          <w:tcPr>
            <w:tcW w:w="1343" w:type="dxa"/>
            <w:tcBorders>
              <w:left w:val="nil"/>
            </w:tcBorders>
          </w:tcPr>
          <w:p w:rsidR="00000000" w:rsidRDefault="000C45AD">
            <w:pPr>
              <w:spacing w:before="80" w:after="40" w:line="240" w:lineRule="auto"/>
              <w:ind w:right="170"/>
              <w:jc w:val="right"/>
              <w:rPr>
                <w:sz w:val="21"/>
              </w:rPr>
            </w:pPr>
            <w:r>
              <w:rPr>
                <w:sz w:val="21"/>
              </w:rPr>
              <w:t>66 924</w:t>
            </w:r>
          </w:p>
        </w:tc>
      </w:tr>
      <w:tr w:rsidR="00000000">
        <w:tblPrEx>
          <w:tblCellMar>
            <w:top w:w="0" w:type="dxa"/>
            <w:bottom w:w="0" w:type="dxa"/>
          </w:tblCellMar>
        </w:tblPrEx>
        <w:tc>
          <w:tcPr>
            <w:tcW w:w="1348" w:type="dxa"/>
            <w:tcBorders>
              <w:right w:val="nil"/>
            </w:tcBorders>
          </w:tcPr>
          <w:p w:rsidR="00000000" w:rsidRDefault="000C45AD">
            <w:pPr>
              <w:spacing w:before="80" w:after="40" w:line="240" w:lineRule="auto"/>
              <w:ind w:left="113"/>
              <w:jc w:val="left"/>
              <w:rPr>
                <w:sz w:val="21"/>
              </w:rPr>
            </w:pPr>
            <w:r>
              <w:rPr>
                <w:rFonts w:hint="eastAsia"/>
                <w:sz w:val="21"/>
              </w:rPr>
              <w:t>城市</w:t>
            </w:r>
          </w:p>
        </w:tc>
        <w:tc>
          <w:tcPr>
            <w:tcW w:w="1343" w:type="dxa"/>
            <w:tcBorders>
              <w:left w:val="single" w:sz="6" w:space="0" w:color="auto"/>
              <w:right w:val="single" w:sz="6" w:space="0" w:color="auto"/>
            </w:tcBorders>
          </w:tcPr>
          <w:p w:rsidR="00000000" w:rsidRDefault="000C45AD">
            <w:pPr>
              <w:spacing w:before="80" w:after="40" w:line="240" w:lineRule="auto"/>
              <w:jc w:val="center"/>
              <w:rPr>
                <w:sz w:val="21"/>
              </w:rPr>
            </w:pPr>
            <w:r>
              <w:rPr>
                <w:sz w:val="21"/>
              </w:rPr>
              <w:t>1.5</w:t>
            </w:r>
          </w:p>
        </w:tc>
        <w:tc>
          <w:tcPr>
            <w:tcW w:w="1343" w:type="dxa"/>
            <w:tcBorders>
              <w:left w:val="nil"/>
              <w:right w:val="nil"/>
            </w:tcBorders>
          </w:tcPr>
          <w:p w:rsidR="00000000" w:rsidRDefault="000C45AD">
            <w:pPr>
              <w:spacing w:before="80" w:after="40" w:line="240" w:lineRule="auto"/>
              <w:ind w:right="170"/>
              <w:jc w:val="right"/>
              <w:rPr>
                <w:sz w:val="21"/>
              </w:rPr>
            </w:pPr>
            <w:r>
              <w:rPr>
                <w:sz w:val="21"/>
              </w:rPr>
              <w:t>398 284</w:t>
            </w:r>
          </w:p>
        </w:tc>
        <w:tc>
          <w:tcPr>
            <w:tcW w:w="1343" w:type="dxa"/>
            <w:tcBorders>
              <w:left w:val="single" w:sz="6" w:space="0" w:color="auto"/>
              <w:right w:val="single" w:sz="6" w:space="0" w:color="auto"/>
            </w:tcBorders>
          </w:tcPr>
          <w:p w:rsidR="00000000" w:rsidRDefault="000C45AD">
            <w:pPr>
              <w:spacing w:before="80" w:after="40" w:line="240" w:lineRule="auto"/>
              <w:ind w:right="170"/>
              <w:jc w:val="right"/>
              <w:rPr>
                <w:sz w:val="21"/>
              </w:rPr>
            </w:pPr>
            <w:r>
              <w:rPr>
                <w:sz w:val="21"/>
              </w:rPr>
              <w:t>404 258</w:t>
            </w:r>
          </w:p>
        </w:tc>
        <w:tc>
          <w:tcPr>
            <w:tcW w:w="1343" w:type="dxa"/>
            <w:tcBorders>
              <w:left w:val="nil"/>
              <w:right w:val="nil"/>
            </w:tcBorders>
          </w:tcPr>
          <w:p w:rsidR="00000000" w:rsidRDefault="000C45AD">
            <w:pPr>
              <w:spacing w:before="80" w:after="40" w:line="240" w:lineRule="auto"/>
              <w:ind w:right="170"/>
              <w:jc w:val="right"/>
              <w:rPr>
                <w:sz w:val="21"/>
              </w:rPr>
            </w:pPr>
            <w:r>
              <w:rPr>
                <w:sz w:val="21"/>
              </w:rPr>
              <w:t>410 321</w:t>
            </w:r>
          </w:p>
        </w:tc>
        <w:tc>
          <w:tcPr>
            <w:tcW w:w="1343" w:type="dxa"/>
            <w:tcBorders>
              <w:left w:val="single" w:sz="6" w:space="0" w:color="auto"/>
              <w:right w:val="single" w:sz="6" w:space="0" w:color="auto"/>
            </w:tcBorders>
          </w:tcPr>
          <w:p w:rsidR="00000000" w:rsidRDefault="000C45AD">
            <w:pPr>
              <w:spacing w:before="80" w:after="40" w:line="240" w:lineRule="auto"/>
              <w:ind w:right="170"/>
              <w:jc w:val="right"/>
              <w:rPr>
                <w:sz w:val="21"/>
              </w:rPr>
            </w:pPr>
            <w:r>
              <w:rPr>
                <w:sz w:val="21"/>
              </w:rPr>
              <w:t>416 475</w:t>
            </w:r>
          </w:p>
        </w:tc>
        <w:tc>
          <w:tcPr>
            <w:tcW w:w="1343" w:type="dxa"/>
            <w:tcBorders>
              <w:left w:val="nil"/>
            </w:tcBorders>
          </w:tcPr>
          <w:p w:rsidR="00000000" w:rsidRDefault="000C45AD">
            <w:pPr>
              <w:spacing w:before="80" w:after="40" w:line="240" w:lineRule="auto"/>
              <w:ind w:right="170"/>
              <w:jc w:val="right"/>
              <w:rPr>
                <w:sz w:val="21"/>
              </w:rPr>
            </w:pPr>
            <w:r>
              <w:rPr>
                <w:sz w:val="21"/>
              </w:rPr>
              <w:t>422 722</w:t>
            </w:r>
          </w:p>
        </w:tc>
      </w:tr>
      <w:tr w:rsidR="00000000">
        <w:tblPrEx>
          <w:tblCellMar>
            <w:top w:w="0" w:type="dxa"/>
            <w:bottom w:w="0" w:type="dxa"/>
          </w:tblCellMar>
        </w:tblPrEx>
        <w:tc>
          <w:tcPr>
            <w:tcW w:w="1348" w:type="dxa"/>
            <w:tcBorders>
              <w:right w:val="nil"/>
            </w:tcBorders>
          </w:tcPr>
          <w:p w:rsidR="00000000" w:rsidRDefault="000C45AD">
            <w:pPr>
              <w:spacing w:before="80" w:after="40" w:line="240" w:lineRule="auto"/>
              <w:ind w:left="113"/>
              <w:jc w:val="left"/>
              <w:rPr>
                <w:sz w:val="21"/>
              </w:rPr>
            </w:pPr>
            <w:r>
              <w:rPr>
                <w:rFonts w:hint="eastAsia"/>
                <w:sz w:val="21"/>
              </w:rPr>
              <w:t>农村</w:t>
            </w:r>
          </w:p>
        </w:tc>
        <w:tc>
          <w:tcPr>
            <w:tcW w:w="1343" w:type="dxa"/>
            <w:tcBorders>
              <w:left w:val="single" w:sz="6" w:space="0" w:color="auto"/>
              <w:right w:val="single" w:sz="6" w:space="0" w:color="auto"/>
            </w:tcBorders>
          </w:tcPr>
          <w:p w:rsidR="00000000" w:rsidRDefault="000C45AD">
            <w:pPr>
              <w:spacing w:before="80" w:after="40" w:line="240" w:lineRule="auto"/>
              <w:jc w:val="center"/>
              <w:rPr>
                <w:sz w:val="21"/>
              </w:rPr>
            </w:pPr>
            <w:r>
              <w:rPr>
                <w:sz w:val="21"/>
              </w:rPr>
              <w:t>2.5</w:t>
            </w:r>
          </w:p>
        </w:tc>
        <w:tc>
          <w:tcPr>
            <w:tcW w:w="1343" w:type="dxa"/>
            <w:tcBorders>
              <w:left w:val="nil"/>
              <w:right w:val="nil"/>
            </w:tcBorders>
          </w:tcPr>
          <w:p w:rsidR="00000000" w:rsidRDefault="000C45AD">
            <w:pPr>
              <w:spacing w:before="80" w:after="40" w:line="240" w:lineRule="auto"/>
              <w:ind w:right="170"/>
              <w:jc w:val="right"/>
              <w:rPr>
                <w:sz w:val="21"/>
              </w:rPr>
            </w:pPr>
            <w:r>
              <w:rPr>
                <w:sz w:val="21"/>
              </w:rPr>
              <w:t>6</w:t>
            </w:r>
            <w:r>
              <w:rPr>
                <w:sz w:val="21"/>
              </w:rPr>
              <w:t>34 311</w:t>
            </w:r>
          </w:p>
        </w:tc>
        <w:tc>
          <w:tcPr>
            <w:tcW w:w="1343" w:type="dxa"/>
            <w:tcBorders>
              <w:left w:val="single" w:sz="6" w:space="0" w:color="auto"/>
              <w:right w:val="single" w:sz="6" w:space="0" w:color="auto"/>
            </w:tcBorders>
          </w:tcPr>
          <w:p w:rsidR="00000000" w:rsidRDefault="000C45AD">
            <w:pPr>
              <w:spacing w:before="80" w:after="40" w:line="240" w:lineRule="auto"/>
              <w:ind w:right="170"/>
              <w:jc w:val="right"/>
              <w:rPr>
                <w:sz w:val="21"/>
              </w:rPr>
            </w:pPr>
            <w:r>
              <w:rPr>
                <w:sz w:val="21"/>
              </w:rPr>
              <w:t>650 263</w:t>
            </w:r>
          </w:p>
        </w:tc>
        <w:tc>
          <w:tcPr>
            <w:tcW w:w="1343" w:type="dxa"/>
            <w:tcBorders>
              <w:left w:val="nil"/>
              <w:right w:val="nil"/>
            </w:tcBorders>
          </w:tcPr>
          <w:p w:rsidR="00000000" w:rsidRDefault="000C45AD">
            <w:pPr>
              <w:spacing w:before="80" w:after="40" w:line="240" w:lineRule="auto"/>
              <w:ind w:right="170"/>
              <w:jc w:val="right"/>
              <w:rPr>
                <w:sz w:val="21"/>
              </w:rPr>
            </w:pPr>
            <w:r>
              <w:rPr>
                <w:sz w:val="21"/>
              </w:rPr>
              <w:t>666 592</w:t>
            </w:r>
          </w:p>
        </w:tc>
        <w:tc>
          <w:tcPr>
            <w:tcW w:w="1343" w:type="dxa"/>
            <w:tcBorders>
              <w:left w:val="single" w:sz="6" w:space="0" w:color="auto"/>
              <w:right w:val="single" w:sz="6" w:space="0" w:color="auto"/>
            </w:tcBorders>
          </w:tcPr>
          <w:p w:rsidR="00000000" w:rsidRDefault="000C45AD">
            <w:pPr>
              <w:spacing w:before="80" w:after="40" w:line="240" w:lineRule="auto"/>
              <w:ind w:right="170"/>
              <w:jc w:val="right"/>
              <w:rPr>
                <w:sz w:val="21"/>
              </w:rPr>
            </w:pPr>
            <w:r>
              <w:rPr>
                <w:sz w:val="21"/>
              </w:rPr>
              <w:t>683 307</w:t>
            </w:r>
          </w:p>
        </w:tc>
        <w:tc>
          <w:tcPr>
            <w:tcW w:w="1343" w:type="dxa"/>
            <w:tcBorders>
              <w:left w:val="nil"/>
            </w:tcBorders>
          </w:tcPr>
          <w:p w:rsidR="00000000" w:rsidRDefault="000C45AD">
            <w:pPr>
              <w:spacing w:before="80" w:after="40" w:line="240" w:lineRule="auto"/>
              <w:ind w:right="170"/>
              <w:jc w:val="right"/>
              <w:rPr>
                <w:sz w:val="21"/>
              </w:rPr>
            </w:pPr>
            <w:r>
              <w:rPr>
                <w:sz w:val="21"/>
              </w:rPr>
              <w:t>700 416</w:t>
            </w:r>
          </w:p>
        </w:tc>
      </w:tr>
      <w:tr w:rsidR="00000000">
        <w:tblPrEx>
          <w:tblCellMar>
            <w:top w:w="0" w:type="dxa"/>
            <w:bottom w:w="0" w:type="dxa"/>
          </w:tblCellMar>
        </w:tblPrEx>
        <w:tc>
          <w:tcPr>
            <w:tcW w:w="1348" w:type="dxa"/>
            <w:tcBorders>
              <w:right w:val="nil"/>
            </w:tcBorders>
          </w:tcPr>
          <w:p w:rsidR="00000000" w:rsidRDefault="000C45AD">
            <w:pPr>
              <w:spacing w:before="80" w:after="40" w:line="240" w:lineRule="auto"/>
              <w:ind w:left="113"/>
              <w:jc w:val="left"/>
              <w:rPr>
                <w:sz w:val="21"/>
              </w:rPr>
            </w:pPr>
            <w:r>
              <w:rPr>
                <w:rFonts w:hint="eastAsia"/>
                <w:sz w:val="21"/>
              </w:rPr>
              <w:t>男孩</w:t>
            </w:r>
          </w:p>
        </w:tc>
        <w:tc>
          <w:tcPr>
            <w:tcW w:w="1343" w:type="dxa"/>
            <w:tcBorders>
              <w:left w:val="single" w:sz="6" w:space="0" w:color="auto"/>
              <w:right w:val="single" w:sz="6" w:space="0" w:color="auto"/>
            </w:tcBorders>
          </w:tcPr>
          <w:p w:rsidR="00000000" w:rsidRDefault="000C45AD">
            <w:pPr>
              <w:spacing w:before="80" w:after="40" w:line="240" w:lineRule="auto"/>
              <w:jc w:val="center"/>
              <w:rPr>
                <w:sz w:val="21"/>
              </w:rPr>
            </w:pPr>
            <w:r>
              <w:rPr>
                <w:sz w:val="21"/>
              </w:rPr>
              <w:t>2.1</w:t>
            </w:r>
          </w:p>
        </w:tc>
        <w:tc>
          <w:tcPr>
            <w:tcW w:w="1343" w:type="dxa"/>
            <w:tcBorders>
              <w:left w:val="nil"/>
              <w:right w:val="nil"/>
            </w:tcBorders>
          </w:tcPr>
          <w:p w:rsidR="00000000" w:rsidRDefault="000C45AD">
            <w:pPr>
              <w:spacing w:before="80" w:after="40" w:line="240" w:lineRule="auto"/>
              <w:ind w:right="170"/>
              <w:jc w:val="right"/>
              <w:rPr>
                <w:sz w:val="21"/>
              </w:rPr>
            </w:pPr>
            <w:r>
              <w:rPr>
                <w:sz w:val="21"/>
              </w:rPr>
              <w:t>517 812</w:t>
            </w:r>
          </w:p>
        </w:tc>
        <w:tc>
          <w:tcPr>
            <w:tcW w:w="1343" w:type="dxa"/>
            <w:tcBorders>
              <w:left w:val="single" w:sz="6" w:space="0" w:color="auto"/>
              <w:right w:val="single" w:sz="6" w:space="0" w:color="auto"/>
            </w:tcBorders>
          </w:tcPr>
          <w:p w:rsidR="00000000" w:rsidRDefault="000C45AD">
            <w:pPr>
              <w:spacing w:before="80" w:after="40" w:line="240" w:lineRule="auto"/>
              <w:ind w:right="170"/>
              <w:jc w:val="right"/>
              <w:rPr>
                <w:sz w:val="21"/>
              </w:rPr>
            </w:pPr>
            <w:r>
              <w:rPr>
                <w:sz w:val="21"/>
              </w:rPr>
              <w:t>528 413</w:t>
            </w:r>
          </w:p>
        </w:tc>
        <w:tc>
          <w:tcPr>
            <w:tcW w:w="1343" w:type="dxa"/>
            <w:tcBorders>
              <w:left w:val="nil"/>
              <w:right w:val="nil"/>
            </w:tcBorders>
          </w:tcPr>
          <w:p w:rsidR="00000000" w:rsidRDefault="000C45AD">
            <w:pPr>
              <w:spacing w:before="80" w:after="40" w:line="240" w:lineRule="auto"/>
              <w:ind w:right="170"/>
              <w:jc w:val="right"/>
              <w:rPr>
                <w:sz w:val="21"/>
              </w:rPr>
            </w:pPr>
            <w:r>
              <w:rPr>
                <w:sz w:val="21"/>
              </w:rPr>
              <w:t>539 231</w:t>
            </w:r>
          </w:p>
        </w:tc>
        <w:tc>
          <w:tcPr>
            <w:tcW w:w="1343" w:type="dxa"/>
            <w:tcBorders>
              <w:left w:val="single" w:sz="6" w:space="0" w:color="auto"/>
              <w:right w:val="single" w:sz="6" w:space="0" w:color="auto"/>
            </w:tcBorders>
          </w:tcPr>
          <w:p w:rsidR="00000000" w:rsidRDefault="000C45AD">
            <w:pPr>
              <w:spacing w:before="80" w:after="40" w:line="240" w:lineRule="auto"/>
              <w:ind w:right="170"/>
              <w:jc w:val="right"/>
              <w:rPr>
                <w:sz w:val="21"/>
              </w:rPr>
            </w:pPr>
            <w:r>
              <w:rPr>
                <w:sz w:val="21"/>
              </w:rPr>
              <w:t>550 271</w:t>
            </w:r>
          </w:p>
        </w:tc>
        <w:tc>
          <w:tcPr>
            <w:tcW w:w="1343" w:type="dxa"/>
            <w:tcBorders>
              <w:left w:val="nil"/>
            </w:tcBorders>
          </w:tcPr>
          <w:p w:rsidR="00000000" w:rsidRDefault="000C45AD">
            <w:pPr>
              <w:spacing w:before="80" w:after="40" w:line="240" w:lineRule="auto"/>
              <w:ind w:right="170"/>
              <w:jc w:val="right"/>
              <w:rPr>
                <w:sz w:val="21"/>
              </w:rPr>
            </w:pPr>
            <w:r>
              <w:rPr>
                <w:sz w:val="21"/>
              </w:rPr>
              <w:t>561 538</w:t>
            </w:r>
          </w:p>
        </w:tc>
      </w:tr>
      <w:tr w:rsidR="00000000">
        <w:tblPrEx>
          <w:tblCellMar>
            <w:top w:w="0" w:type="dxa"/>
            <w:bottom w:w="0" w:type="dxa"/>
          </w:tblCellMar>
        </w:tblPrEx>
        <w:tc>
          <w:tcPr>
            <w:tcW w:w="1348" w:type="dxa"/>
            <w:tcBorders>
              <w:right w:val="nil"/>
            </w:tcBorders>
          </w:tcPr>
          <w:p w:rsidR="00000000" w:rsidRDefault="000C45AD">
            <w:pPr>
              <w:spacing w:before="80" w:after="40" w:line="240" w:lineRule="auto"/>
              <w:ind w:left="113"/>
              <w:jc w:val="left"/>
              <w:rPr>
                <w:sz w:val="21"/>
              </w:rPr>
            </w:pPr>
            <w:r>
              <w:rPr>
                <w:rFonts w:hint="eastAsia"/>
                <w:sz w:val="21"/>
              </w:rPr>
              <w:t>女孩</w:t>
            </w:r>
          </w:p>
        </w:tc>
        <w:tc>
          <w:tcPr>
            <w:tcW w:w="1343" w:type="dxa"/>
            <w:tcBorders>
              <w:left w:val="single" w:sz="6" w:space="0" w:color="auto"/>
              <w:right w:val="single" w:sz="6" w:space="0" w:color="auto"/>
            </w:tcBorders>
          </w:tcPr>
          <w:p w:rsidR="00000000" w:rsidRDefault="000C45AD">
            <w:pPr>
              <w:spacing w:before="80" w:after="40" w:line="240" w:lineRule="auto"/>
              <w:jc w:val="center"/>
              <w:rPr>
                <w:sz w:val="21"/>
              </w:rPr>
            </w:pPr>
            <w:r>
              <w:rPr>
                <w:sz w:val="21"/>
              </w:rPr>
              <w:t>2.2</w:t>
            </w:r>
          </w:p>
        </w:tc>
        <w:tc>
          <w:tcPr>
            <w:tcW w:w="1343" w:type="dxa"/>
            <w:tcBorders>
              <w:left w:val="nil"/>
              <w:right w:val="nil"/>
            </w:tcBorders>
          </w:tcPr>
          <w:p w:rsidR="00000000" w:rsidRDefault="000C45AD">
            <w:pPr>
              <w:spacing w:before="80" w:after="40" w:line="240" w:lineRule="auto"/>
              <w:ind w:right="170"/>
              <w:jc w:val="right"/>
              <w:rPr>
                <w:sz w:val="21"/>
              </w:rPr>
            </w:pPr>
            <w:r>
              <w:rPr>
                <w:sz w:val="21"/>
              </w:rPr>
              <w:t>514 783</w:t>
            </w:r>
          </w:p>
        </w:tc>
        <w:tc>
          <w:tcPr>
            <w:tcW w:w="1343" w:type="dxa"/>
            <w:tcBorders>
              <w:left w:val="single" w:sz="6" w:space="0" w:color="auto"/>
              <w:right w:val="single" w:sz="6" w:space="0" w:color="auto"/>
            </w:tcBorders>
          </w:tcPr>
          <w:p w:rsidR="00000000" w:rsidRDefault="000C45AD">
            <w:pPr>
              <w:spacing w:before="80" w:after="40" w:line="240" w:lineRule="auto"/>
              <w:ind w:right="170"/>
              <w:jc w:val="right"/>
              <w:rPr>
                <w:sz w:val="21"/>
              </w:rPr>
            </w:pPr>
            <w:r>
              <w:rPr>
                <w:sz w:val="21"/>
              </w:rPr>
              <w:t>526 108</w:t>
            </w:r>
          </w:p>
        </w:tc>
        <w:tc>
          <w:tcPr>
            <w:tcW w:w="1343" w:type="dxa"/>
            <w:tcBorders>
              <w:left w:val="nil"/>
              <w:right w:val="nil"/>
            </w:tcBorders>
          </w:tcPr>
          <w:p w:rsidR="00000000" w:rsidRDefault="000C45AD">
            <w:pPr>
              <w:spacing w:before="80" w:after="40" w:line="240" w:lineRule="auto"/>
              <w:ind w:right="170"/>
              <w:jc w:val="right"/>
              <w:rPr>
                <w:sz w:val="21"/>
              </w:rPr>
            </w:pPr>
            <w:r>
              <w:rPr>
                <w:sz w:val="21"/>
              </w:rPr>
              <w:t>537 682</w:t>
            </w:r>
          </w:p>
        </w:tc>
        <w:tc>
          <w:tcPr>
            <w:tcW w:w="1343" w:type="dxa"/>
            <w:tcBorders>
              <w:left w:val="single" w:sz="6" w:space="0" w:color="auto"/>
              <w:right w:val="single" w:sz="6" w:space="0" w:color="auto"/>
            </w:tcBorders>
          </w:tcPr>
          <w:p w:rsidR="00000000" w:rsidRDefault="000C45AD">
            <w:pPr>
              <w:spacing w:before="80" w:after="40" w:line="240" w:lineRule="auto"/>
              <w:ind w:right="170"/>
              <w:jc w:val="right"/>
              <w:rPr>
                <w:sz w:val="21"/>
              </w:rPr>
            </w:pPr>
            <w:r>
              <w:rPr>
                <w:sz w:val="21"/>
              </w:rPr>
              <w:t>549 511</w:t>
            </w:r>
          </w:p>
        </w:tc>
        <w:tc>
          <w:tcPr>
            <w:tcW w:w="1343" w:type="dxa"/>
            <w:tcBorders>
              <w:left w:val="nil"/>
            </w:tcBorders>
          </w:tcPr>
          <w:p w:rsidR="00000000" w:rsidRDefault="000C45AD">
            <w:pPr>
              <w:spacing w:before="80" w:after="40" w:line="240" w:lineRule="auto"/>
              <w:ind w:right="170"/>
              <w:jc w:val="right"/>
              <w:rPr>
                <w:sz w:val="21"/>
              </w:rPr>
            </w:pPr>
            <w:r>
              <w:rPr>
                <w:sz w:val="21"/>
              </w:rPr>
              <w:t>561 600</w:t>
            </w:r>
          </w:p>
        </w:tc>
      </w:tr>
      <w:tr w:rsidR="00000000">
        <w:tblPrEx>
          <w:tblCellMar>
            <w:top w:w="0" w:type="dxa"/>
            <w:bottom w:w="0" w:type="dxa"/>
          </w:tblCellMar>
        </w:tblPrEx>
        <w:tc>
          <w:tcPr>
            <w:tcW w:w="1348" w:type="dxa"/>
            <w:tcBorders>
              <w:right w:val="nil"/>
            </w:tcBorders>
          </w:tcPr>
          <w:p w:rsidR="00000000" w:rsidRDefault="000C45AD">
            <w:pPr>
              <w:spacing w:before="80" w:after="40" w:line="240" w:lineRule="auto"/>
              <w:ind w:left="113"/>
              <w:jc w:val="left"/>
              <w:rPr>
                <w:sz w:val="21"/>
              </w:rPr>
            </w:pPr>
            <w:r>
              <w:rPr>
                <w:rFonts w:hint="eastAsia"/>
                <w:sz w:val="21"/>
              </w:rPr>
              <w:t>总计</w:t>
            </w:r>
          </w:p>
        </w:tc>
        <w:tc>
          <w:tcPr>
            <w:tcW w:w="1343" w:type="dxa"/>
            <w:tcBorders>
              <w:left w:val="single" w:sz="6" w:space="0" w:color="auto"/>
              <w:bottom w:val="single" w:sz="6" w:space="0" w:color="auto"/>
              <w:right w:val="single" w:sz="6" w:space="0" w:color="auto"/>
            </w:tcBorders>
          </w:tcPr>
          <w:p w:rsidR="00000000" w:rsidRDefault="000C45AD">
            <w:pPr>
              <w:spacing w:before="80" w:after="40" w:line="240" w:lineRule="auto"/>
              <w:jc w:val="center"/>
              <w:rPr>
                <w:sz w:val="21"/>
              </w:rPr>
            </w:pPr>
            <w:r>
              <w:rPr>
                <w:sz w:val="21"/>
              </w:rPr>
              <w:t>2.2</w:t>
            </w:r>
          </w:p>
        </w:tc>
        <w:tc>
          <w:tcPr>
            <w:tcW w:w="1343" w:type="dxa"/>
            <w:tcBorders>
              <w:left w:val="nil"/>
              <w:right w:val="nil"/>
            </w:tcBorders>
          </w:tcPr>
          <w:p w:rsidR="00000000" w:rsidRDefault="000C45AD">
            <w:pPr>
              <w:spacing w:before="80" w:after="40" w:line="240" w:lineRule="auto"/>
              <w:ind w:right="170"/>
              <w:jc w:val="right"/>
              <w:rPr>
                <w:sz w:val="21"/>
              </w:rPr>
            </w:pPr>
            <w:r>
              <w:rPr>
                <w:sz w:val="21"/>
              </w:rPr>
              <w:t>1 032 595</w:t>
            </w:r>
          </w:p>
        </w:tc>
        <w:tc>
          <w:tcPr>
            <w:tcW w:w="1343" w:type="dxa"/>
            <w:tcBorders>
              <w:left w:val="single" w:sz="6" w:space="0" w:color="auto"/>
              <w:bottom w:val="single" w:sz="6" w:space="0" w:color="auto"/>
              <w:right w:val="single" w:sz="6" w:space="0" w:color="auto"/>
            </w:tcBorders>
          </w:tcPr>
          <w:p w:rsidR="00000000" w:rsidRDefault="000C45AD">
            <w:pPr>
              <w:spacing w:before="80" w:after="40" w:line="240" w:lineRule="auto"/>
              <w:ind w:right="170"/>
              <w:jc w:val="right"/>
              <w:rPr>
                <w:sz w:val="21"/>
              </w:rPr>
            </w:pPr>
            <w:r>
              <w:rPr>
                <w:sz w:val="21"/>
              </w:rPr>
              <w:t>1 054 521</w:t>
            </w:r>
          </w:p>
        </w:tc>
        <w:tc>
          <w:tcPr>
            <w:tcW w:w="1343" w:type="dxa"/>
            <w:tcBorders>
              <w:left w:val="nil"/>
              <w:right w:val="nil"/>
            </w:tcBorders>
          </w:tcPr>
          <w:p w:rsidR="00000000" w:rsidRDefault="000C45AD">
            <w:pPr>
              <w:spacing w:before="80" w:after="40" w:line="240" w:lineRule="auto"/>
              <w:ind w:right="170"/>
              <w:jc w:val="right"/>
              <w:rPr>
                <w:sz w:val="21"/>
              </w:rPr>
            </w:pPr>
            <w:r>
              <w:rPr>
                <w:sz w:val="21"/>
              </w:rPr>
              <w:t>1 076 913</w:t>
            </w:r>
          </w:p>
        </w:tc>
        <w:tc>
          <w:tcPr>
            <w:tcW w:w="1343" w:type="dxa"/>
            <w:tcBorders>
              <w:left w:val="single" w:sz="6" w:space="0" w:color="auto"/>
              <w:bottom w:val="single" w:sz="6" w:space="0" w:color="auto"/>
              <w:right w:val="single" w:sz="6" w:space="0" w:color="auto"/>
            </w:tcBorders>
          </w:tcPr>
          <w:p w:rsidR="00000000" w:rsidRDefault="000C45AD">
            <w:pPr>
              <w:spacing w:before="80" w:after="40" w:line="240" w:lineRule="auto"/>
              <w:ind w:right="170"/>
              <w:jc w:val="right"/>
              <w:rPr>
                <w:sz w:val="21"/>
              </w:rPr>
            </w:pPr>
            <w:r>
              <w:rPr>
                <w:sz w:val="21"/>
              </w:rPr>
              <w:t>1 099 782</w:t>
            </w:r>
          </w:p>
        </w:tc>
        <w:tc>
          <w:tcPr>
            <w:tcW w:w="1343" w:type="dxa"/>
            <w:tcBorders>
              <w:left w:val="nil"/>
            </w:tcBorders>
          </w:tcPr>
          <w:p w:rsidR="00000000" w:rsidRDefault="000C45AD">
            <w:pPr>
              <w:spacing w:before="80" w:after="40" w:line="240" w:lineRule="auto"/>
              <w:ind w:right="170"/>
              <w:jc w:val="right"/>
              <w:rPr>
                <w:sz w:val="21"/>
              </w:rPr>
            </w:pPr>
            <w:r>
              <w:rPr>
                <w:sz w:val="21"/>
              </w:rPr>
              <w:t>1 123 138</w:t>
            </w:r>
          </w:p>
        </w:tc>
      </w:tr>
    </w:tbl>
    <w:p w:rsidR="00000000" w:rsidRDefault="000C45AD">
      <w:pPr>
        <w:pStyle w:val="EndnoteText"/>
        <w:spacing w:before="240" w:after="240"/>
      </w:pPr>
      <w:r>
        <w:rPr>
          <w:rFonts w:hint="eastAsia"/>
          <w:u w:val="single"/>
        </w:rPr>
        <w:t>来源</w:t>
      </w:r>
      <w:r>
        <w:rPr>
          <w:rFonts w:hint="eastAsia"/>
        </w:rPr>
        <w:t>：教育部</w:t>
      </w:r>
    </w:p>
    <w:p w:rsidR="00000000" w:rsidRDefault="000C45AD">
      <w:r>
        <w:tab/>
        <w:t xml:space="preserve">328.  </w:t>
      </w:r>
      <w:r>
        <w:rPr>
          <w:rFonts w:hint="eastAsia"/>
        </w:rPr>
        <w:t>在目前的整个十年中，洪都拉斯在初级教育报名人数和确有人数方面取得了稳固进展，其较高的留级、辍学和</w:t>
      </w:r>
      <w:r>
        <w:rPr>
          <w:rFonts w:hint="eastAsia"/>
        </w:rPr>
        <w:t>肄业率有所下降。覆盖率</w:t>
      </w:r>
      <w:r>
        <w:t>1990</w:t>
      </w:r>
      <w:r>
        <w:rPr>
          <w:rFonts w:hint="eastAsia"/>
        </w:rPr>
        <w:t>年为</w:t>
      </w:r>
      <w:r>
        <w:t>85%</w:t>
      </w:r>
      <w:r>
        <w:rPr>
          <w:rFonts w:hint="eastAsia"/>
        </w:rPr>
        <w:t>，</w:t>
      </w:r>
      <w:r>
        <w:t>1992</w:t>
      </w:r>
      <w:r>
        <w:rPr>
          <w:rFonts w:hint="eastAsia"/>
        </w:rPr>
        <w:t>年增加到</w:t>
      </w:r>
      <w:r>
        <w:t>85.5%</w:t>
      </w:r>
      <w:r>
        <w:rPr>
          <w:rFonts w:hint="eastAsia"/>
        </w:rPr>
        <w:t>，</w:t>
      </w:r>
      <w:r>
        <w:t>1995</w:t>
      </w:r>
      <w:r>
        <w:rPr>
          <w:rFonts w:hint="eastAsia"/>
        </w:rPr>
        <w:t>年又提高到</w:t>
      </w:r>
      <w:r>
        <w:t>89.7%</w:t>
      </w:r>
      <w:r>
        <w:rPr>
          <w:rFonts w:hint="eastAsia"/>
        </w:rPr>
        <w:t>。</w:t>
      </w:r>
    </w:p>
    <w:p w:rsidR="00000000" w:rsidRDefault="000C45AD">
      <w:r>
        <w:tab/>
        <w:t>329.  1990-1992</w:t>
      </w:r>
      <w:r>
        <w:rPr>
          <w:rFonts w:hint="eastAsia"/>
        </w:rPr>
        <w:t>年期间，对</w:t>
      </w:r>
      <w:r>
        <w:t>7-13</w:t>
      </w:r>
      <w:r>
        <w:rPr>
          <w:rFonts w:hint="eastAsia"/>
        </w:rPr>
        <w:t>岁年龄组，全国教育覆盖年增长率为</w:t>
      </w:r>
      <w:r>
        <w:t>0.3%</w:t>
      </w:r>
      <w:r>
        <w:rPr>
          <w:rFonts w:hint="eastAsia"/>
        </w:rPr>
        <w:t>；入学者</w:t>
      </w:r>
      <w:r>
        <w:t>60%</w:t>
      </w:r>
      <w:r>
        <w:rPr>
          <w:rFonts w:hint="eastAsia"/>
        </w:rPr>
        <w:t>来自城市地区，</w:t>
      </w:r>
      <w:r>
        <w:t>40%</w:t>
      </w:r>
      <w:r>
        <w:rPr>
          <w:rFonts w:hint="eastAsia"/>
        </w:rPr>
        <w:t>来自农村地区，公立学校居主导地位，占</w:t>
      </w:r>
      <w:r>
        <w:t>94.75%</w:t>
      </w:r>
      <w:r>
        <w:rPr>
          <w:rFonts w:hint="eastAsia"/>
        </w:rPr>
        <w:t>，私立学校只占</w:t>
      </w:r>
      <w:r>
        <w:t>5.25%</w:t>
      </w:r>
      <w:r>
        <w:rPr>
          <w:rFonts w:hint="eastAsia"/>
        </w:rPr>
        <w:t>。</w:t>
      </w:r>
    </w:p>
    <w:p w:rsidR="00000000" w:rsidRDefault="000C45AD">
      <w:r>
        <w:tab/>
        <w:t xml:space="preserve">330.  </w:t>
      </w:r>
      <w:r>
        <w:rPr>
          <w:rFonts w:hint="eastAsia"/>
        </w:rPr>
        <w:t>根据</w:t>
      </w:r>
      <w:r>
        <w:t>1995</w:t>
      </w:r>
      <w:r>
        <w:rPr>
          <w:rFonts w:hint="eastAsia"/>
        </w:rPr>
        <w:t>年底对学校所作普查得出的数字，儿童初级教育的净覆盖率在</w:t>
      </w:r>
      <w:r>
        <w:t>7-13</w:t>
      </w:r>
      <w:r>
        <w:rPr>
          <w:rFonts w:hint="eastAsia"/>
        </w:rPr>
        <w:t>岁少年儿童中为</w:t>
      </w:r>
      <w:r>
        <w:t>86.5%</w:t>
      </w:r>
      <w:r>
        <w:rPr>
          <w:rFonts w:hint="eastAsia"/>
        </w:rPr>
        <w:t>，总数达</w:t>
      </w:r>
      <w:r>
        <w:t>986,442</w:t>
      </w:r>
      <w:r>
        <w:rPr>
          <w:rFonts w:hint="eastAsia"/>
        </w:rPr>
        <w:t>名学生：其中</w:t>
      </w:r>
      <w:r>
        <w:t>50.5%</w:t>
      </w:r>
      <w:r>
        <w:rPr>
          <w:rFonts w:hint="eastAsia"/>
        </w:rPr>
        <w:t>为男孩，</w:t>
      </w:r>
      <w:r>
        <w:t>49.5%</w:t>
      </w:r>
      <w:r>
        <w:rPr>
          <w:rFonts w:hint="eastAsia"/>
        </w:rPr>
        <w:t>为女孩，城市儿童占</w:t>
      </w:r>
      <w:r>
        <w:t>39.6%</w:t>
      </w:r>
      <w:r>
        <w:rPr>
          <w:rFonts w:hint="eastAsia"/>
        </w:rPr>
        <w:t>，农村地</w:t>
      </w:r>
      <w:r>
        <w:rPr>
          <w:rFonts w:hint="eastAsia"/>
        </w:rPr>
        <w:t>区的儿童占</w:t>
      </w:r>
      <w:r>
        <w:t>60.4%</w:t>
      </w:r>
      <w:r>
        <w:rPr>
          <w:rFonts w:hint="eastAsia"/>
        </w:rPr>
        <w:t>。</w:t>
      </w:r>
    </w:p>
    <w:p w:rsidR="00000000" w:rsidRDefault="000C45AD">
      <w:r>
        <w:tab/>
        <w:t xml:space="preserve">331.  </w:t>
      </w:r>
      <w:r>
        <w:rPr>
          <w:rFonts w:hint="eastAsia"/>
        </w:rPr>
        <w:t>初级教育中的留级和辍学既有学校方面的原因，也有学校以外的原因。在农村地区，学龄儿童干农活，到收获季节就会耽误三个月的学业，在某些情况下，甚至占去了一年剩下的时间。</w:t>
      </w:r>
    </w:p>
    <w:p w:rsidR="00000000" w:rsidRDefault="000C45AD">
      <w:r>
        <w:tab/>
        <w:t xml:space="preserve">332.  </w:t>
      </w:r>
      <w:r>
        <w:rPr>
          <w:rFonts w:hint="eastAsia"/>
        </w:rPr>
        <w:t>近年来，全国留级和辍学率已有下降，使毕业状况有所改进，由</w:t>
      </w:r>
      <w:r>
        <w:t>1990</w:t>
      </w:r>
      <w:r>
        <w:rPr>
          <w:rFonts w:hint="eastAsia"/>
        </w:rPr>
        <w:t>年的</w:t>
      </w:r>
      <w:r>
        <w:t>21%</w:t>
      </w:r>
      <w:r>
        <w:rPr>
          <w:rFonts w:hint="eastAsia"/>
        </w:rPr>
        <w:t>提高到</w:t>
      </w:r>
      <w:r>
        <w:t>1993</w:t>
      </w:r>
      <w:r>
        <w:rPr>
          <w:rFonts w:hint="eastAsia"/>
        </w:rPr>
        <w:t>年的</w:t>
      </w:r>
      <w:r>
        <w:t>26%</w:t>
      </w:r>
      <w:r>
        <w:rPr>
          <w:rFonts w:hint="eastAsia"/>
        </w:rPr>
        <w:t>，</w:t>
      </w:r>
      <w:r>
        <w:t>1996</w:t>
      </w:r>
      <w:r>
        <w:rPr>
          <w:rFonts w:hint="eastAsia"/>
        </w:rPr>
        <w:t>年又提高到</w:t>
      </w:r>
      <w:r>
        <w:t>29%</w:t>
      </w:r>
      <w:r>
        <w:rPr>
          <w:rFonts w:hint="eastAsia"/>
        </w:rPr>
        <w:t>；毕业所用时间也出现同样的改善，由</w:t>
      </w:r>
      <w:r>
        <w:t>1990</w:t>
      </w:r>
      <w:r>
        <w:rPr>
          <w:rFonts w:hint="eastAsia"/>
        </w:rPr>
        <w:t>年的</w:t>
      </w:r>
      <w:r>
        <w:t>10.2</w:t>
      </w:r>
      <w:r>
        <w:rPr>
          <w:rFonts w:hint="eastAsia"/>
        </w:rPr>
        <w:t>年下降到</w:t>
      </w:r>
      <w:r>
        <w:t>1996</w:t>
      </w:r>
      <w:r>
        <w:rPr>
          <w:rFonts w:hint="eastAsia"/>
        </w:rPr>
        <w:t>年的</w:t>
      </w:r>
      <w:r>
        <w:t>9.12</w:t>
      </w:r>
      <w:r>
        <w:rPr>
          <w:rFonts w:hint="eastAsia"/>
        </w:rPr>
        <w:t>年。</w:t>
      </w:r>
    </w:p>
    <w:p w:rsidR="00000000" w:rsidRDefault="000C45AD">
      <w:r>
        <w:tab/>
        <w:t xml:space="preserve">333.  </w:t>
      </w:r>
      <w:r>
        <w:rPr>
          <w:rFonts w:hint="eastAsia"/>
        </w:rPr>
        <w:t>在农村地区辍学率由</w:t>
      </w:r>
      <w:r>
        <w:t>1990</w:t>
      </w:r>
      <w:r>
        <w:rPr>
          <w:rFonts w:hint="eastAsia"/>
        </w:rPr>
        <w:t>年的</w:t>
      </w:r>
      <w:r>
        <w:t>5.2%</w:t>
      </w:r>
      <w:r>
        <w:rPr>
          <w:rFonts w:hint="eastAsia"/>
        </w:rPr>
        <w:t>下降到</w:t>
      </w:r>
      <w:r>
        <w:t>1996</w:t>
      </w:r>
      <w:r>
        <w:rPr>
          <w:rFonts w:hint="eastAsia"/>
        </w:rPr>
        <w:t>年的</w:t>
      </w:r>
      <w:r>
        <w:t>3.8%</w:t>
      </w:r>
      <w:r>
        <w:rPr>
          <w:rFonts w:hint="eastAsia"/>
        </w:rPr>
        <w:t>。而城</w:t>
      </w:r>
      <w:r>
        <w:rPr>
          <w:rFonts w:hint="eastAsia"/>
        </w:rPr>
        <w:t>市地区出现了相反的情况，辍学率翻了一番，由</w:t>
      </w:r>
      <w:r>
        <w:t>1990</w:t>
      </w:r>
      <w:r>
        <w:rPr>
          <w:rFonts w:hint="eastAsia"/>
        </w:rPr>
        <w:t>年的</w:t>
      </w:r>
      <w:r>
        <w:t>1.5%</w:t>
      </w:r>
      <w:r>
        <w:rPr>
          <w:rFonts w:hint="eastAsia"/>
        </w:rPr>
        <w:t>上升到</w:t>
      </w:r>
      <w:r>
        <w:t>1996</w:t>
      </w:r>
      <w:r>
        <w:rPr>
          <w:rFonts w:hint="eastAsia"/>
        </w:rPr>
        <w:t>年的</w:t>
      </w:r>
      <w:r>
        <w:t>2.9%</w:t>
      </w:r>
      <w:r>
        <w:rPr>
          <w:rFonts w:hint="eastAsia"/>
        </w:rPr>
        <w:t>；造成这一情况的原因可能是人口的迁徙和经济状况的恶化。</w:t>
      </w:r>
    </w:p>
    <w:p w:rsidR="00000000" w:rsidRDefault="000C45AD">
      <w:r>
        <w:tab/>
        <w:t xml:space="preserve">334.  </w:t>
      </w:r>
      <w:r>
        <w:rPr>
          <w:rFonts w:hint="eastAsia"/>
        </w:rPr>
        <w:t>在整个</w:t>
      </w:r>
      <w:r>
        <w:t>80</w:t>
      </w:r>
      <w:r>
        <w:rPr>
          <w:rFonts w:hint="eastAsia"/>
        </w:rPr>
        <w:t>年代，公立学校的辍学率一直稳定在约</w:t>
      </w:r>
      <w:r>
        <w:t>5%</w:t>
      </w:r>
      <w:r>
        <w:rPr>
          <w:rFonts w:hint="eastAsia"/>
        </w:rPr>
        <w:t>这一水平，私立学校为</w:t>
      </w:r>
      <w:r>
        <w:t>3.6%</w:t>
      </w:r>
      <w:r>
        <w:rPr>
          <w:rFonts w:hint="eastAsia"/>
        </w:rPr>
        <w:t>。</w:t>
      </w:r>
      <w:r>
        <w:t>1990-1996</w:t>
      </w:r>
      <w:r>
        <w:rPr>
          <w:rFonts w:hint="eastAsia"/>
        </w:rPr>
        <w:t>年期间，公立学校的辍学率下降到</w:t>
      </w:r>
      <w:r>
        <w:t>3.6%</w:t>
      </w:r>
      <w:r>
        <w:rPr>
          <w:rFonts w:hint="eastAsia"/>
        </w:rPr>
        <w:t>，而私立学校则下降到</w:t>
      </w:r>
      <w:r>
        <w:t>1.6%</w:t>
      </w:r>
      <w:r>
        <w:rPr>
          <w:rFonts w:hint="eastAsia"/>
        </w:rPr>
        <w:t>。年内辍学数字显示，每</w:t>
      </w:r>
      <w:r>
        <w:t>1,000</w:t>
      </w:r>
      <w:r>
        <w:rPr>
          <w:rFonts w:hint="eastAsia"/>
        </w:rPr>
        <w:t>名报名入一年级的学生中辍学率为</w:t>
      </w:r>
      <w:r>
        <w:t>46.8%</w:t>
      </w:r>
      <w:r>
        <w:rPr>
          <w:rFonts w:hint="eastAsia"/>
        </w:rPr>
        <w:t>。</w:t>
      </w:r>
    </w:p>
    <w:p w:rsidR="00000000" w:rsidRDefault="000C45AD">
      <w:r>
        <w:tab/>
        <w:t xml:space="preserve">335.  </w:t>
      </w:r>
      <w:r>
        <w:rPr>
          <w:rFonts w:hint="eastAsia"/>
        </w:rPr>
        <w:t>将辍学指标与毛覆盖率指标对照比较即可看出，在</w:t>
      </w:r>
      <w:r>
        <w:t>7-13</w:t>
      </w:r>
      <w:r>
        <w:rPr>
          <w:rFonts w:hint="eastAsia"/>
        </w:rPr>
        <w:t>岁的少年儿童中开始上某一年级然后退学的比例很高。如</w:t>
      </w:r>
      <w:r>
        <w:rPr>
          <w:rFonts w:hint="eastAsia"/>
        </w:rPr>
        <w:t>果这类儿童返回学校，他们的年龄就超过了同一年级学生的年龄，他们就得上成人识字班。</w:t>
      </w:r>
    </w:p>
    <w:p w:rsidR="00000000" w:rsidRDefault="000C45AD">
      <w:r>
        <w:tab/>
        <w:t xml:space="preserve">336.  </w:t>
      </w:r>
      <w:r>
        <w:rPr>
          <w:rFonts w:hint="eastAsia"/>
        </w:rPr>
        <w:t>估算显示，每</w:t>
      </w:r>
      <w:r>
        <w:t>1,000</w:t>
      </w:r>
      <w:r>
        <w:rPr>
          <w:rFonts w:hint="eastAsia"/>
        </w:rPr>
        <w:t>名报名入学的小学生中只有</w:t>
      </w:r>
      <w:r>
        <w:t>360</w:t>
      </w:r>
      <w:r>
        <w:rPr>
          <w:rFonts w:hint="eastAsia"/>
        </w:rPr>
        <w:t>名在</w:t>
      </w:r>
      <w:r>
        <w:t>6</w:t>
      </w:r>
      <w:r>
        <w:rPr>
          <w:rFonts w:hint="eastAsia"/>
        </w:rPr>
        <w:t>年内完成小学教育，有</w:t>
      </w:r>
      <w:r>
        <w:t>235</w:t>
      </w:r>
      <w:r>
        <w:rPr>
          <w:rFonts w:hint="eastAsia"/>
        </w:rPr>
        <w:t>人</w:t>
      </w:r>
      <w:r>
        <w:t>7</w:t>
      </w:r>
      <w:r>
        <w:rPr>
          <w:rFonts w:hint="eastAsia"/>
        </w:rPr>
        <w:t>年内完成，有</w:t>
      </w:r>
      <w:r>
        <w:t>94</w:t>
      </w:r>
      <w:r>
        <w:rPr>
          <w:rFonts w:hint="eastAsia"/>
        </w:rPr>
        <w:t>人</w:t>
      </w:r>
      <w:r>
        <w:t>8</w:t>
      </w:r>
      <w:r>
        <w:rPr>
          <w:rFonts w:hint="eastAsia"/>
        </w:rPr>
        <w:t>年内完成，有</w:t>
      </w:r>
      <w:r>
        <w:t>30</w:t>
      </w:r>
      <w:r>
        <w:rPr>
          <w:rFonts w:hint="eastAsia"/>
        </w:rPr>
        <w:t>人</w:t>
      </w:r>
      <w:r>
        <w:t>9</w:t>
      </w:r>
      <w:r>
        <w:rPr>
          <w:rFonts w:hint="eastAsia"/>
        </w:rPr>
        <w:t>年内完成；剩下的</w:t>
      </w:r>
      <w:r>
        <w:t>281</w:t>
      </w:r>
      <w:r>
        <w:rPr>
          <w:rFonts w:hint="eastAsia"/>
        </w:rPr>
        <w:t>人根本未读完小学。在农村地区，每</w:t>
      </w:r>
      <w:r>
        <w:t>1,000</w:t>
      </w:r>
      <w:r>
        <w:rPr>
          <w:rFonts w:hint="eastAsia"/>
        </w:rPr>
        <w:t>名报名入学的儿童中，有</w:t>
      </w:r>
      <w:r>
        <w:t>136</w:t>
      </w:r>
      <w:r>
        <w:rPr>
          <w:rFonts w:hint="eastAsia"/>
        </w:rPr>
        <w:t>人</w:t>
      </w:r>
      <w:r>
        <w:t>6</w:t>
      </w:r>
      <w:r>
        <w:rPr>
          <w:rFonts w:hint="eastAsia"/>
        </w:rPr>
        <w:t>年内读完小学，</w:t>
      </w:r>
      <w:r>
        <w:t>109</w:t>
      </w:r>
      <w:r>
        <w:rPr>
          <w:rFonts w:hint="eastAsia"/>
        </w:rPr>
        <w:t>人</w:t>
      </w:r>
      <w:r>
        <w:t>7</w:t>
      </w:r>
      <w:r>
        <w:rPr>
          <w:rFonts w:hint="eastAsia"/>
        </w:rPr>
        <w:t>年内读完，</w:t>
      </w:r>
      <w:r>
        <w:t>50</w:t>
      </w:r>
      <w:r>
        <w:rPr>
          <w:rFonts w:hint="eastAsia"/>
        </w:rPr>
        <w:t>人</w:t>
      </w:r>
      <w:r>
        <w:t>8</w:t>
      </w:r>
      <w:r>
        <w:rPr>
          <w:rFonts w:hint="eastAsia"/>
        </w:rPr>
        <w:t>年内读完，</w:t>
      </w:r>
      <w:r>
        <w:t>18</w:t>
      </w:r>
      <w:r>
        <w:rPr>
          <w:rFonts w:hint="eastAsia"/>
        </w:rPr>
        <w:t>人</w:t>
      </w:r>
      <w:r>
        <w:t>9</w:t>
      </w:r>
      <w:r>
        <w:rPr>
          <w:rFonts w:hint="eastAsia"/>
        </w:rPr>
        <w:t>年内读完；剩下的</w:t>
      </w:r>
      <w:r>
        <w:t>687</w:t>
      </w:r>
      <w:r>
        <w:rPr>
          <w:rFonts w:hint="eastAsia"/>
        </w:rPr>
        <w:t>人完成不了小学教育。因而</w:t>
      </w:r>
      <w:r>
        <w:t>1990</w:t>
      </w:r>
      <w:r>
        <w:rPr>
          <w:rFonts w:hint="eastAsia"/>
        </w:rPr>
        <w:t>年的升学率为</w:t>
      </w:r>
      <w:r>
        <w:t>30%</w:t>
      </w:r>
      <w:r>
        <w:rPr>
          <w:rFonts w:hint="eastAsia"/>
        </w:rPr>
        <w:t>，</w:t>
      </w:r>
      <w:r>
        <w:t>1992</w:t>
      </w:r>
      <w:r>
        <w:rPr>
          <w:rFonts w:hint="eastAsia"/>
        </w:rPr>
        <w:t>年的升学率为</w:t>
      </w:r>
      <w:r>
        <w:t>33.5%</w:t>
      </w:r>
      <w:r>
        <w:rPr>
          <w:rFonts w:hint="eastAsia"/>
        </w:rPr>
        <w:t>。</w:t>
      </w:r>
    </w:p>
    <w:p w:rsidR="00000000" w:rsidRDefault="000C45AD">
      <w:r>
        <w:tab/>
        <w:t>337.  1990-</w:t>
      </w:r>
      <w:r>
        <w:t>1996</w:t>
      </w:r>
      <w:r>
        <w:rPr>
          <w:rFonts w:hint="eastAsia"/>
        </w:rPr>
        <w:t>年期间，由于学生人数迅速增长，小学出现严重的数量不足和分配不匀的问题，此一因素对覆盖产生了严重的影响。</w:t>
      </w:r>
    </w:p>
    <w:p w:rsidR="00000000" w:rsidRDefault="000C45AD">
      <w:r>
        <w:tab/>
        <w:t>338.  1980-1989</w:t>
      </w:r>
      <w:r>
        <w:rPr>
          <w:rFonts w:hint="eastAsia"/>
        </w:rPr>
        <w:t>年期间，投入使用的学校增加了</w:t>
      </w:r>
      <w:r>
        <w:t>1,841</w:t>
      </w:r>
      <w:r>
        <w:rPr>
          <w:rFonts w:hint="eastAsia"/>
        </w:rPr>
        <w:t>所</w:t>
      </w:r>
      <w:r>
        <w:t>(</w:t>
      </w:r>
      <w:r>
        <w:rPr>
          <w:rFonts w:hint="eastAsia"/>
        </w:rPr>
        <w:t>占</w:t>
      </w:r>
      <w:r>
        <w:t>25.3%)</w:t>
      </w:r>
      <w:r>
        <w:rPr>
          <w:rFonts w:hint="eastAsia"/>
        </w:rPr>
        <w:t>。</w:t>
      </w:r>
      <w:r>
        <w:t>1990-1993</w:t>
      </w:r>
      <w:r>
        <w:rPr>
          <w:rFonts w:hint="eastAsia"/>
        </w:rPr>
        <w:t>年期间，总共建造了</w:t>
      </w:r>
      <w:r>
        <w:t>274</w:t>
      </w:r>
      <w:r>
        <w:rPr>
          <w:rFonts w:hint="eastAsia"/>
        </w:rPr>
        <w:t>所学校，</w:t>
      </w:r>
      <w:r>
        <w:t>1994-1996</w:t>
      </w:r>
      <w:r>
        <w:rPr>
          <w:rFonts w:hint="eastAsia"/>
        </w:rPr>
        <w:t>年期间，又出现了重大的进展，有</w:t>
      </w:r>
      <w:r>
        <w:t>472</w:t>
      </w:r>
      <w:r>
        <w:rPr>
          <w:rFonts w:hint="eastAsia"/>
        </w:rPr>
        <w:t>所新的学校投入使用。</w:t>
      </w:r>
    </w:p>
    <w:p w:rsidR="00000000" w:rsidRDefault="000C45AD">
      <w:r>
        <w:tab/>
        <w:t xml:space="preserve">339.  </w:t>
      </w:r>
      <w:r>
        <w:rPr>
          <w:rFonts w:hint="eastAsia"/>
        </w:rPr>
        <w:t>自</w:t>
      </w:r>
      <w:r>
        <w:t>1990</w:t>
      </w:r>
      <w:r>
        <w:rPr>
          <w:rFonts w:hint="eastAsia"/>
        </w:rPr>
        <w:t>年以来，采取了一些措施改进小学教育的质量，其中包括将只有一名教师的学校扩建为有两名教师的学校，并对农村校舍作出重新安排。自</w:t>
      </w:r>
      <w:r>
        <w:t>1990</w:t>
      </w:r>
      <w:r>
        <w:rPr>
          <w:rFonts w:hint="eastAsia"/>
        </w:rPr>
        <w:t>年以来，</w:t>
      </w:r>
      <w:r>
        <w:t>FHIS</w:t>
      </w:r>
      <w:r>
        <w:rPr>
          <w:rFonts w:hint="eastAsia"/>
        </w:rPr>
        <w:t>和</w:t>
      </w:r>
      <w:r>
        <w:t>FHIS-I</w:t>
      </w:r>
      <w:r>
        <w:t>I</w:t>
      </w:r>
      <w:r>
        <w:rPr>
          <w:rFonts w:hint="eastAsia"/>
        </w:rPr>
        <w:t>一直在为建设、扩大和修缮学校和幼儿园方案提供支持并提供双座位课桌和其他学校用家具。</w:t>
      </w:r>
    </w:p>
    <w:p w:rsidR="00000000" w:rsidRDefault="000C45AD">
      <w:pPr>
        <w:spacing w:after="320"/>
        <w:textAlignment w:val="center"/>
      </w:pPr>
      <w:r>
        <w:tab/>
        <w:t xml:space="preserve">340.  </w:t>
      </w:r>
      <w:r>
        <w:rPr>
          <w:rFonts w:hint="eastAsia"/>
        </w:rPr>
        <w:t>还建立了多功能教室训练残疾儿童，以便将他们纳入正常学校。还实行了全国特殊教育政策，通过促进使环境与残疾儿童的能力相适应和使儿童融入这一环境并促进他们的才能和技能的开发，为落实残疾儿童融入计划奠定了基础。这一计划目前正在三个省实施：费朗西斯科莫拉桑、奥克特佩克和科潘。</w:t>
      </w:r>
    </w:p>
    <w:p w:rsidR="00000000" w:rsidRDefault="000C45AD">
      <w:pPr>
        <w:pStyle w:val="Heading4"/>
      </w:pPr>
      <w:r>
        <w:rPr>
          <w:rFonts w:hint="eastAsia"/>
        </w:rPr>
        <w:t>全国教育发展计划</w:t>
      </w:r>
    </w:p>
    <w:p w:rsidR="00000000" w:rsidRDefault="000C45AD">
      <w:r>
        <w:tab/>
        <w:t xml:space="preserve">341.  </w:t>
      </w:r>
      <w:r>
        <w:rPr>
          <w:rFonts w:hint="eastAsia"/>
        </w:rPr>
        <w:t>莫拉桑尼卡学校的办学原则如下：</w:t>
      </w:r>
    </w:p>
    <w:p w:rsidR="00000000" w:rsidRDefault="000C45AD" w:rsidP="000C45AD">
      <w:pPr>
        <w:pStyle w:val="a6"/>
        <w:numPr>
          <w:ilvl w:val="0"/>
          <w:numId w:val="1"/>
        </w:numPr>
      </w:pPr>
      <w:r>
        <w:rPr>
          <w:rFonts w:hint="eastAsia"/>
        </w:rPr>
        <w:t>它是一所对所有儿童开放的最好的学校，通过加强对公民社会价值的教育，它培养儿童迎接</w:t>
      </w:r>
      <w:r>
        <w:rPr>
          <w:rFonts w:hint="eastAsia"/>
        </w:rPr>
        <w:t>有意义的人生；</w:t>
      </w:r>
    </w:p>
    <w:p w:rsidR="00000000" w:rsidRDefault="000C45AD" w:rsidP="000C45AD">
      <w:pPr>
        <w:pStyle w:val="a6"/>
        <w:numPr>
          <w:ilvl w:val="0"/>
          <w:numId w:val="1"/>
        </w:numPr>
      </w:pPr>
      <w:r>
        <w:rPr>
          <w:rFonts w:hint="eastAsia"/>
        </w:rPr>
        <w:t>为了民主事业，它以民主方式进行民主教育，通过鼓励参与社区的教育管理和解决学校的问题，它致力于采取措施改革社会；</w:t>
      </w:r>
    </w:p>
    <w:p w:rsidR="00000000" w:rsidRDefault="000C45AD" w:rsidP="000C45AD">
      <w:pPr>
        <w:pStyle w:val="a6"/>
        <w:numPr>
          <w:ilvl w:val="0"/>
          <w:numId w:val="1"/>
        </w:numPr>
      </w:pPr>
      <w:r>
        <w:rPr>
          <w:rFonts w:hint="eastAsia"/>
        </w:rPr>
        <w:t>它有能力进行教学创新，并一向教育儿童尊重、保护和行使人权，尤其是妇女、儿童和少数人的权利；</w:t>
      </w:r>
    </w:p>
    <w:p w:rsidR="00000000" w:rsidRDefault="000C45AD" w:rsidP="000C45AD">
      <w:pPr>
        <w:pStyle w:val="a6"/>
        <w:numPr>
          <w:ilvl w:val="0"/>
          <w:numId w:val="1"/>
        </w:numPr>
      </w:pPr>
      <w:r>
        <w:rPr>
          <w:rFonts w:hint="eastAsia"/>
        </w:rPr>
        <w:t>它提出人类与自然保持一种新的关系，以便合理使用和保持自然资源，为保护和巩固国家的特征、独立、主权和区域一体化提供培训；</w:t>
      </w:r>
    </w:p>
    <w:p w:rsidR="00000000" w:rsidRDefault="000C45AD" w:rsidP="000C45AD">
      <w:pPr>
        <w:pStyle w:val="a6"/>
        <w:numPr>
          <w:ilvl w:val="0"/>
          <w:numId w:val="1"/>
        </w:numPr>
      </w:pPr>
      <w:r>
        <w:rPr>
          <w:rFonts w:hint="eastAsia"/>
        </w:rPr>
        <w:t>它把在全国范围内同样条件下经过检验的新的概念纳入教学，并采取一种扎根于洪都拉斯社会历史、现实和发展趋势的单独的方法；</w:t>
      </w:r>
    </w:p>
    <w:p w:rsidR="00000000" w:rsidRDefault="000C45AD" w:rsidP="000C45AD">
      <w:pPr>
        <w:pStyle w:val="a6"/>
        <w:numPr>
          <w:ilvl w:val="0"/>
          <w:numId w:val="1"/>
        </w:numPr>
      </w:pPr>
      <w:r>
        <w:rPr>
          <w:rFonts w:hint="eastAsia"/>
        </w:rPr>
        <w:t>它有的放矢地利用国际合作，将教学示范的一般特征与国家教</w:t>
      </w:r>
      <w:r>
        <w:rPr>
          <w:rFonts w:hint="eastAsia"/>
        </w:rPr>
        <w:t>育的优先任务结合在一起；</w:t>
      </w:r>
    </w:p>
    <w:p w:rsidR="00000000" w:rsidRDefault="000C45AD" w:rsidP="000C45AD">
      <w:pPr>
        <w:pStyle w:val="a6"/>
        <w:numPr>
          <w:ilvl w:val="0"/>
          <w:numId w:val="1"/>
        </w:numPr>
      </w:pPr>
      <w:r>
        <w:rPr>
          <w:rFonts w:hint="eastAsia"/>
        </w:rPr>
        <w:t>它着眼于小学生的学习，需要和兴趣，着眼于使他们获得有用的社会知识，而且着眼于开发自学能力；</w:t>
      </w:r>
    </w:p>
    <w:p w:rsidR="00000000" w:rsidRDefault="000C45AD" w:rsidP="000C45AD">
      <w:pPr>
        <w:pStyle w:val="a6"/>
        <w:numPr>
          <w:ilvl w:val="0"/>
          <w:numId w:val="1"/>
        </w:numPr>
      </w:pPr>
      <w:r>
        <w:rPr>
          <w:rFonts w:hint="eastAsia"/>
        </w:rPr>
        <w:t>它开发小学生的创造能力和实际能力，正规知识和非正规知识、以及批评、自我批评和实际态度；</w:t>
      </w:r>
    </w:p>
    <w:p w:rsidR="00000000" w:rsidRDefault="000C45AD" w:rsidP="000C45AD">
      <w:pPr>
        <w:pStyle w:val="a6"/>
        <w:numPr>
          <w:ilvl w:val="0"/>
          <w:numId w:val="1"/>
        </w:numPr>
      </w:pPr>
      <w:r>
        <w:rPr>
          <w:rFonts w:hint="eastAsia"/>
        </w:rPr>
        <w:t>它鼓励按科学办事，发展创造性想象力和技术创新；</w:t>
      </w:r>
    </w:p>
    <w:p w:rsidR="00000000" w:rsidRDefault="000C45AD" w:rsidP="000C45AD">
      <w:pPr>
        <w:pStyle w:val="a6"/>
        <w:numPr>
          <w:ilvl w:val="0"/>
          <w:numId w:val="1"/>
        </w:numPr>
      </w:pPr>
      <w:r>
        <w:rPr>
          <w:rFonts w:hint="eastAsia"/>
        </w:rPr>
        <w:t>它扩大学校覆盖率，降低辍学，肄业和教育上受排挤的人数，并改进小学生的学习成绩和全国的教学水准；</w:t>
      </w:r>
    </w:p>
    <w:p w:rsidR="00000000" w:rsidRDefault="000C45AD" w:rsidP="000C45AD">
      <w:pPr>
        <w:pStyle w:val="a6"/>
        <w:numPr>
          <w:ilvl w:val="0"/>
          <w:numId w:val="1"/>
        </w:numPr>
      </w:pPr>
      <w:r>
        <w:rPr>
          <w:rFonts w:hint="eastAsia"/>
        </w:rPr>
        <w:t>它在健康和创造性的利用业余时间，欣赏艺术，从事体育运动以达到全面发展方面进行培训。</w:t>
      </w:r>
    </w:p>
    <w:p w:rsidR="00000000" w:rsidRDefault="000C45AD">
      <w:r>
        <w:tab/>
        <w:t xml:space="preserve">342.  </w:t>
      </w:r>
      <w:r>
        <w:rPr>
          <w:rFonts w:hint="eastAsia"/>
        </w:rPr>
        <w:t>质量是莫拉桑尼卡学校的主轴，学校的生命力来自：</w:t>
      </w:r>
    </w:p>
    <w:p w:rsidR="00000000" w:rsidRDefault="000C45AD" w:rsidP="000C45AD">
      <w:pPr>
        <w:pStyle w:val="a6"/>
        <w:numPr>
          <w:ilvl w:val="0"/>
          <w:numId w:val="1"/>
        </w:numPr>
      </w:pPr>
      <w:r>
        <w:rPr>
          <w:rFonts w:hint="eastAsia"/>
        </w:rPr>
        <w:t>与社会和文化密切</w:t>
      </w:r>
      <w:r>
        <w:rPr>
          <w:rFonts w:hint="eastAsia"/>
        </w:rPr>
        <w:t>相关并且向学生们传授与他们的生活有关的知识；</w:t>
      </w:r>
    </w:p>
    <w:p w:rsidR="00000000" w:rsidRDefault="000C45AD" w:rsidP="000C45AD">
      <w:pPr>
        <w:pStyle w:val="a6"/>
        <w:numPr>
          <w:ilvl w:val="0"/>
          <w:numId w:val="1"/>
        </w:numPr>
      </w:pPr>
      <w:r>
        <w:rPr>
          <w:rFonts w:hint="eastAsia"/>
        </w:rPr>
        <w:t>建立有效的渠道使家庭和社区能够参与教学和管理；</w:t>
      </w:r>
    </w:p>
    <w:p w:rsidR="00000000" w:rsidRDefault="000C45AD" w:rsidP="000C45AD">
      <w:pPr>
        <w:pStyle w:val="a6"/>
        <w:numPr>
          <w:ilvl w:val="0"/>
          <w:numId w:val="1"/>
        </w:numPr>
      </w:pPr>
      <w:r>
        <w:rPr>
          <w:rFonts w:hint="eastAsia"/>
        </w:rPr>
        <w:t>不断提高教师的社会、族裔和专业方面的职能；</w:t>
      </w:r>
    </w:p>
    <w:p w:rsidR="00000000" w:rsidRDefault="000C45AD" w:rsidP="000C45AD">
      <w:pPr>
        <w:pStyle w:val="a6"/>
        <w:numPr>
          <w:ilvl w:val="0"/>
          <w:numId w:val="1"/>
        </w:numPr>
      </w:pPr>
      <w:r>
        <w:rPr>
          <w:rFonts w:hint="eastAsia"/>
        </w:rPr>
        <w:t>通过系统管理有效提供高质量产品和服务；</w:t>
      </w:r>
    </w:p>
    <w:p w:rsidR="00000000" w:rsidRDefault="000C45AD" w:rsidP="000C45AD">
      <w:pPr>
        <w:pStyle w:val="a6"/>
        <w:numPr>
          <w:ilvl w:val="0"/>
          <w:numId w:val="1"/>
        </w:numPr>
      </w:pPr>
      <w:r>
        <w:rPr>
          <w:rFonts w:hint="eastAsia"/>
        </w:rPr>
        <w:t>切实有效地使用人力、技术、物力和财力资源，按照人力开发方面的优先任务逐步提高这方面的拨款；</w:t>
      </w:r>
    </w:p>
    <w:p w:rsidR="00000000" w:rsidRDefault="000C45AD" w:rsidP="000C45AD">
      <w:pPr>
        <w:pStyle w:val="a6"/>
        <w:numPr>
          <w:ilvl w:val="0"/>
          <w:numId w:val="1"/>
        </w:numPr>
        <w:spacing w:after="320"/>
        <w:textAlignment w:val="center"/>
      </w:pPr>
      <w:r>
        <w:rPr>
          <w:rFonts w:hint="eastAsia"/>
        </w:rPr>
        <w:t>在提高入学覆盖率与提供高质量服务两种需要之间，尤其是在全面保证初级教育与提供识字、成年人教育和特殊教学计划之间保持平衡。</w:t>
      </w:r>
    </w:p>
    <w:p w:rsidR="00000000" w:rsidRDefault="000C45AD">
      <w:pPr>
        <w:pStyle w:val="Heading4"/>
      </w:pPr>
      <w:r>
        <w:rPr>
          <w:rFonts w:hint="eastAsia"/>
        </w:rPr>
        <w:t>中学教育</w:t>
      </w:r>
    </w:p>
    <w:p w:rsidR="00000000" w:rsidRDefault="000C45AD">
      <w:r>
        <w:tab/>
        <w:t xml:space="preserve">343.  </w:t>
      </w:r>
      <w:r>
        <w:rPr>
          <w:rFonts w:hint="eastAsia"/>
        </w:rPr>
        <w:t>中学教育属于非义务性质，其教学对象是</w:t>
      </w:r>
      <w:r>
        <w:t>14-19</w:t>
      </w:r>
      <w:r>
        <w:rPr>
          <w:rFonts w:hint="eastAsia"/>
        </w:rPr>
        <w:t>岁的青少年；其宗旨如下：继续小学教育开始的培训过程</w:t>
      </w:r>
      <w:r>
        <w:rPr>
          <w:rFonts w:hint="eastAsia"/>
        </w:rPr>
        <w:t>；对青少年进行综合培训；对走向社会参加工作进行培训；训练学生步入高等教育领域。</w:t>
      </w:r>
    </w:p>
    <w:p w:rsidR="00000000" w:rsidRDefault="000C45AD">
      <w:r>
        <w:tab/>
        <w:t xml:space="preserve">344.  </w:t>
      </w:r>
      <w:r>
        <w:rPr>
          <w:rFonts w:hint="eastAsia"/>
        </w:rPr>
        <w:t>中学教育有两种周期形式</w:t>
      </w:r>
      <w:r>
        <w:t>(</w:t>
      </w:r>
      <w:r>
        <w:rPr>
          <w:rFonts w:hint="eastAsia"/>
        </w:rPr>
        <w:t>普通形式和定向形式</w:t>
      </w:r>
      <w:r>
        <w:t>)</w:t>
      </w:r>
      <w:r>
        <w:rPr>
          <w:rFonts w:hint="eastAsia"/>
        </w:rPr>
        <w:t>。完成正规教育</w:t>
      </w:r>
      <w:r>
        <w:t>(</w:t>
      </w:r>
      <w:r>
        <w:rPr>
          <w:rFonts w:hint="eastAsia"/>
        </w:rPr>
        <w:t>普通或技术类</w:t>
      </w:r>
      <w:r>
        <w:t>)</w:t>
      </w:r>
      <w:r>
        <w:rPr>
          <w:rFonts w:hint="eastAsia"/>
        </w:rPr>
        <w:t>才能被录取接受定向式教育，其中的三年期课程分为：文科、商科和秘书科。</w:t>
      </w:r>
    </w:p>
    <w:p w:rsidR="00000000" w:rsidRDefault="000C45AD">
      <w:r>
        <w:tab/>
        <w:t xml:space="preserve">345.  </w:t>
      </w:r>
      <w:r>
        <w:rPr>
          <w:rFonts w:hint="eastAsia"/>
        </w:rPr>
        <w:t>中学教育的目的在于得到优质、公平和有效的教育，这种教育与洪都拉斯人的生活和洪都拉斯社会联系在一起，因此，这一级教育要求对确定的作用和承担的作用作出评价，其重点放在成人教育制度与国家经济、政治和文化制度的密切关系方面。</w:t>
      </w:r>
    </w:p>
    <w:p w:rsidR="00000000" w:rsidRDefault="000C45AD">
      <w:r>
        <w:tab/>
        <w:t xml:space="preserve">346.  </w:t>
      </w:r>
      <w:r>
        <w:rPr>
          <w:rFonts w:hint="eastAsia"/>
        </w:rPr>
        <w:t>最近以来，半公立学校的数量有</w:t>
      </w:r>
      <w:r>
        <w:rPr>
          <w:rFonts w:hint="eastAsia"/>
        </w:rPr>
        <w:t>所下降，半公立学校逐渐转为公立学校，而有些私立学校则逐渐消失。过去私立学校很多，而目前两者的比例开始持平。</w:t>
      </w:r>
    </w:p>
    <w:p w:rsidR="00000000" w:rsidRDefault="000C45AD">
      <w:r>
        <w:tab/>
        <w:t xml:space="preserve">347.  </w:t>
      </w:r>
      <w:r>
        <w:rPr>
          <w:rFonts w:hint="eastAsia"/>
        </w:rPr>
        <w:t>中学教育的覆盖率</w:t>
      </w:r>
      <w:r>
        <w:t>1995</w:t>
      </w:r>
      <w:r>
        <w:rPr>
          <w:rFonts w:hint="eastAsia"/>
        </w:rPr>
        <w:t>年为</w:t>
      </w:r>
      <w:r>
        <w:t>31.7%</w:t>
      </w:r>
      <w:r>
        <w:rPr>
          <w:rFonts w:hint="eastAsia"/>
        </w:rPr>
        <w:t>，其中技术科目的报名人数占</w:t>
      </w:r>
      <w:r>
        <w:t>33%</w:t>
      </w:r>
      <w:r>
        <w:rPr>
          <w:rFonts w:hint="eastAsia"/>
        </w:rPr>
        <w:t>，剩下的人选修服务方面的课程；肄业率为</w:t>
      </w:r>
      <w:r>
        <w:t>21.5%</w:t>
      </w:r>
      <w:r>
        <w:rPr>
          <w:rFonts w:hint="eastAsia"/>
        </w:rPr>
        <w:t>，教师学生比例为</w:t>
      </w:r>
      <w:r>
        <w:t>1</w:t>
      </w:r>
      <w:r>
        <w:rPr>
          <w:rFonts w:hint="eastAsia"/>
        </w:rPr>
        <w:t>：</w:t>
      </w:r>
      <w:r>
        <w:t>25</w:t>
      </w:r>
      <w:r>
        <w:rPr>
          <w:rFonts w:hint="eastAsia"/>
        </w:rPr>
        <w:t>。中学教育分为两个周期：正规或基础技术教育周期为期三年，随后才能被录取接受定向教育，后者根据课程分为两到四年。从事中学教育的有公立学校和半公立学校</w:t>
      </w:r>
      <w:r>
        <w:t>(</w:t>
      </w:r>
      <w:r>
        <w:rPr>
          <w:rFonts w:hint="eastAsia"/>
        </w:rPr>
        <w:t>由教育部补贴</w:t>
      </w:r>
      <w:r>
        <w:t>)</w:t>
      </w:r>
      <w:r>
        <w:rPr>
          <w:rFonts w:hint="eastAsia"/>
        </w:rPr>
        <w:t>和私立学校。</w:t>
      </w:r>
      <w:r>
        <w:t>1991</w:t>
      </w:r>
      <w:r>
        <w:rPr>
          <w:rFonts w:hint="eastAsia"/>
        </w:rPr>
        <w:t>年，公立和半公立学校分别占报名就读人数的</w:t>
      </w:r>
      <w:r>
        <w:t>45.8%</w:t>
      </w:r>
      <w:r>
        <w:rPr>
          <w:rFonts w:hint="eastAsia"/>
        </w:rPr>
        <w:t>和</w:t>
      </w:r>
      <w:r>
        <w:t>4.7%</w:t>
      </w:r>
      <w:r>
        <w:rPr>
          <w:rFonts w:hint="eastAsia"/>
        </w:rPr>
        <w:t>，私立</w:t>
      </w:r>
      <w:r>
        <w:rPr>
          <w:rFonts w:hint="eastAsia"/>
        </w:rPr>
        <w:t>学校占</w:t>
      </w:r>
      <w:r>
        <w:t>40.5%</w:t>
      </w:r>
      <w:r>
        <w:rPr>
          <w:rFonts w:hint="eastAsia"/>
        </w:rPr>
        <w:t>。</w:t>
      </w:r>
    </w:p>
    <w:p w:rsidR="00000000" w:rsidRDefault="000C45AD">
      <w:r>
        <w:tab/>
        <w:t xml:space="preserve">348.  </w:t>
      </w:r>
      <w:r>
        <w:rPr>
          <w:rFonts w:hint="eastAsia"/>
        </w:rPr>
        <w:t>传统科目占主导地位：商学、科学和艺术、秘书、就职培训和美术；技术和职业课程所受重视较低。</w:t>
      </w:r>
    </w:p>
    <w:p w:rsidR="00000000" w:rsidRDefault="000C45AD">
      <w:pPr>
        <w:spacing w:after="320"/>
        <w:textAlignment w:val="center"/>
      </w:pPr>
      <w:r>
        <w:tab/>
        <w:t>349.  1996</w:t>
      </w:r>
      <w:r>
        <w:rPr>
          <w:rFonts w:hint="eastAsia"/>
        </w:rPr>
        <w:t>年，报名入学总人数为</w:t>
      </w:r>
      <w:r>
        <w:t>266,538,</w:t>
      </w:r>
      <w:r>
        <w:rPr>
          <w:rFonts w:hint="eastAsia"/>
        </w:rPr>
        <w:t>占全国适龄入学人数</w:t>
      </w:r>
      <w:r>
        <w:t>828,278</w:t>
      </w:r>
      <w:r>
        <w:rPr>
          <w:rFonts w:hint="eastAsia"/>
        </w:rPr>
        <w:t>的</w:t>
      </w:r>
      <w:r>
        <w:t>32.18%</w:t>
      </w:r>
      <w:r>
        <w:rPr>
          <w:rFonts w:hint="eastAsia"/>
        </w:rPr>
        <w:t>。在</w:t>
      </w:r>
      <w:r>
        <w:t>1996</w:t>
      </w:r>
      <w:r>
        <w:rPr>
          <w:rFonts w:hint="eastAsia"/>
        </w:rPr>
        <w:t>年报名入学总人数中，公立学校占</w:t>
      </w:r>
      <w:r>
        <w:t>63.5%</w:t>
      </w:r>
      <w:r>
        <w:rPr>
          <w:rFonts w:hint="eastAsia"/>
        </w:rPr>
        <w:t>，私立学校占</w:t>
      </w:r>
      <w:r>
        <w:t>36.5%</w:t>
      </w:r>
      <w:r>
        <w:rPr>
          <w:rFonts w:hint="eastAsia"/>
        </w:rPr>
        <w:t>。女生占</w:t>
      </w:r>
      <w:r>
        <w:t>55.52%</w:t>
      </w:r>
      <w:r>
        <w:rPr>
          <w:rFonts w:hint="eastAsia"/>
        </w:rPr>
        <w:t>，男生</w:t>
      </w:r>
      <w:r>
        <w:t>44.48%</w:t>
      </w:r>
      <w:r>
        <w:rPr>
          <w:rFonts w:hint="eastAsia"/>
        </w:rPr>
        <w:t>。</w:t>
      </w:r>
    </w:p>
    <w:p w:rsidR="00000000" w:rsidRDefault="000C45AD">
      <w:pPr>
        <w:pStyle w:val="Heading3"/>
      </w:pPr>
      <w:r>
        <w:rPr>
          <w:rFonts w:hint="eastAsia"/>
        </w:rPr>
        <w:t>中学入学人数，</w:t>
      </w:r>
      <w:r>
        <w:t>1996</w:t>
      </w:r>
      <w:r>
        <w:rPr>
          <w:rFonts w:hint="eastAsia"/>
        </w:rPr>
        <w:t>年</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c>
          <w:tcPr>
            <w:tcW w:w="1882" w:type="dxa"/>
            <w:tcBorders>
              <w:bottom w:val="nil"/>
            </w:tcBorders>
          </w:tcPr>
          <w:p w:rsidR="00000000" w:rsidRDefault="000C45AD">
            <w:pPr>
              <w:spacing w:before="80" w:after="40" w:line="264" w:lineRule="auto"/>
              <w:jc w:val="center"/>
              <w:rPr>
                <w:sz w:val="21"/>
              </w:rPr>
            </w:pPr>
            <w:r>
              <w:rPr>
                <w:rFonts w:hint="eastAsia"/>
                <w:sz w:val="21"/>
              </w:rPr>
              <w:t>分类</w:t>
            </w:r>
          </w:p>
        </w:tc>
        <w:tc>
          <w:tcPr>
            <w:tcW w:w="1882" w:type="dxa"/>
            <w:tcBorders>
              <w:bottom w:val="nil"/>
            </w:tcBorders>
          </w:tcPr>
          <w:p w:rsidR="00000000" w:rsidRDefault="000C45AD">
            <w:pPr>
              <w:spacing w:before="80" w:after="40" w:line="264" w:lineRule="auto"/>
              <w:jc w:val="center"/>
              <w:rPr>
                <w:sz w:val="21"/>
              </w:rPr>
            </w:pPr>
            <w:r>
              <w:rPr>
                <w:rFonts w:hint="eastAsia"/>
                <w:sz w:val="21"/>
              </w:rPr>
              <w:t>男性</w:t>
            </w:r>
          </w:p>
        </w:tc>
        <w:tc>
          <w:tcPr>
            <w:tcW w:w="1882" w:type="dxa"/>
            <w:tcBorders>
              <w:bottom w:val="nil"/>
            </w:tcBorders>
          </w:tcPr>
          <w:p w:rsidR="00000000" w:rsidRDefault="000C45AD">
            <w:pPr>
              <w:spacing w:before="80" w:after="40" w:line="264" w:lineRule="auto"/>
              <w:jc w:val="center"/>
              <w:rPr>
                <w:sz w:val="21"/>
              </w:rPr>
            </w:pPr>
            <w:r>
              <w:rPr>
                <w:sz w:val="21"/>
              </w:rPr>
              <w:t>%</w:t>
            </w:r>
          </w:p>
        </w:tc>
        <w:tc>
          <w:tcPr>
            <w:tcW w:w="1882" w:type="dxa"/>
            <w:tcBorders>
              <w:bottom w:val="nil"/>
            </w:tcBorders>
          </w:tcPr>
          <w:p w:rsidR="00000000" w:rsidRDefault="000C45AD">
            <w:pPr>
              <w:spacing w:before="80" w:after="40" w:line="264" w:lineRule="auto"/>
              <w:jc w:val="center"/>
              <w:rPr>
                <w:sz w:val="21"/>
              </w:rPr>
            </w:pPr>
            <w:r>
              <w:rPr>
                <w:rFonts w:hint="eastAsia"/>
                <w:sz w:val="21"/>
              </w:rPr>
              <w:t>女性</w:t>
            </w:r>
          </w:p>
        </w:tc>
        <w:tc>
          <w:tcPr>
            <w:tcW w:w="1882" w:type="dxa"/>
            <w:tcBorders>
              <w:bottom w:val="nil"/>
            </w:tcBorders>
          </w:tcPr>
          <w:p w:rsidR="00000000" w:rsidRDefault="000C45AD">
            <w:pPr>
              <w:spacing w:before="80" w:after="40" w:line="264" w:lineRule="auto"/>
              <w:jc w:val="center"/>
              <w:rPr>
                <w:sz w:val="21"/>
              </w:rPr>
            </w:pPr>
            <w:r>
              <w:rPr>
                <w:sz w:val="21"/>
              </w:rPr>
              <w:t>%</w:t>
            </w:r>
          </w:p>
        </w:tc>
      </w:tr>
      <w:tr w:rsidR="00000000">
        <w:tblPrEx>
          <w:tblCellMar>
            <w:top w:w="0" w:type="dxa"/>
            <w:bottom w:w="0" w:type="dxa"/>
          </w:tblCellMar>
        </w:tblPrEx>
        <w:tc>
          <w:tcPr>
            <w:tcW w:w="1882" w:type="dxa"/>
            <w:tcBorders>
              <w:bottom w:val="nil"/>
              <w:right w:val="single" w:sz="6" w:space="0" w:color="auto"/>
            </w:tcBorders>
          </w:tcPr>
          <w:p w:rsidR="00000000" w:rsidRDefault="000C45AD">
            <w:pPr>
              <w:spacing w:before="80" w:after="40" w:line="264" w:lineRule="auto"/>
              <w:ind w:left="170"/>
              <w:rPr>
                <w:sz w:val="21"/>
              </w:rPr>
            </w:pPr>
            <w:r>
              <w:rPr>
                <w:rFonts w:hint="eastAsia"/>
                <w:sz w:val="21"/>
              </w:rPr>
              <w:t>公立</w:t>
            </w:r>
          </w:p>
        </w:tc>
        <w:tc>
          <w:tcPr>
            <w:tcW w:w="1882" w:type="dxa"/>
            <w:tcBorders>
              <w:left w:val="nil"/>
              <w:bottom w:val="nil"/>
              <w:right w:val="single" w:sz="6" w:space="0" w:color="auto"/>
            </w:tcBorders>
          </w:tcPr>
          <w:p w:rsidR="00000000" w:rsidRDefault="000C45AD">
            <w:pPr>
              <w:spacing w:before="80" w:after="40" w:line="264" w:lineRule="auto"/>
              <w:ind w:right="624"/>
              <w:jc w:val="right"/>
              <w:rPr>
                <w:sz w:val="21"/>
              </w:rPr>
            </w:pPr>
            <w:r>
              <w:rPr>
                <w:sz w:val="21"/>
              </w:rPr>
              <w:t>76,213</w:t>
            </w:r>
          </w:p>
        </w:tc>
        <w:tc>
          <w:tcPr>
            <w:tcW w:w="1882" w:type="dxa"/>
            <w:tcBorders>
              <w:left w:val="nil"/>
              <w:bottom w:val="nil"/>
              <w:right w:val="single" w:sz="6" w:space="0" w:color="auto"/>
            </w:tcBorders>
          </w:tcPr>
          <w:p w:rsidR="00000000" w:rsidRDefault="000C45AD">
            <w:pPr>
              <w:spacing w:before="80" w:after="40" w:line="264" w:lineRule="auto"/>
              <w:jc w:val="center"/>
              <w:rPr>
                <w:sz w:val="21"/>
              </w:rPr>
            </w:pPr>
            <w:r>
              <w:rPr>
                <w:sz w:val="21"/>
              </w:rPr>
              <w:t>64.28</w:t>
            </w:r>
          </w:p>
        </w:tc>
        <w:tc>
          <w:tcPr>
            <w:tcW w:w="1882" w:type="dxa"/>
            <w:tcBorders>
              <w:left w:val="nil"/>
              <w:bottom w:val="nil"/>
              <w:right w:val="single" w:sz="6" w:space="0" w:color="auto"/>
            </w:tcBorders>
          </w:tcPr>
          <w:p w:rsidR="00000000" w:rsidRDefault="000C45AD">
            <w:pPr>
              <w:spacing w:before="80" w:after="40" w:line="264" w:lineRule="auto"/>
              <w:ind w:right="624"/>
              <w:jc w:val="right"/>
              <w:rPr>
                <w:sz w:val="21"/>
              </w:rPr>
            </w:pPr>
            <w:r>
              <w:rPr>
                <w:sz w:val="21"/>
              </w:rPr>
              <w:t>86,936</w:t>
            </w:r>
          </w:p>
        </w:tc>
        <w:tc>
          <w:tcPr>
            <w:tcW w:w="1882" w:type="dxa"/>
            <w:tcBorders>
              <w:left w:val="nil"/>
              <w:bottom w:val="nil"/>
              <w:right w:val="single" w:sz="6" w:space="0" w:color="auto"/>
            </w:tcBorders>
          </w:tcPr>
          <w:p w:rsidR="00000000" w:rsidRDefault="000C45AD">
            <w:pPr>
              <w:spacing w:before="80" w:after="40" w:line="264" w:lineRule="auto"/>
              <w:jc w:val="center"/>
              <w:rPr>
                <w:sz w:val="21"/>
              </w:rPr>
            </w:pPr>
            <w:r>
              <w:rPr>
                <w:sz w:val="21"/>
              </w:rPr>
              <w:t>587539.3</w:t>
            </w:r>
          </w:p>
        </w:tc>
      </w:tr>
      <w:tr w:rsidR="00000000">
        <w:tblPrEx>
          <w:tblCellMar>
            <w:top w:w="0" w:type="dxa"/>
            <w:bottom w:w="0" w:type="dxa"/>
          </w:tblCellMar>
        </w:tblPrEx>
        <w:tc>
          <w:tcPr>
            <w:tcW w:w="1882" w:type="dxa"/>
            <w:tcBorders>
              <w:top w:val="nil"/>
              <w:bottom w:val="nil"/>
              <w:right w:val="single" w:sz="6" w:space="0" w:color="auto"/>
            </w:tcBorders>
          </w:tcPr>
          <w:p w:rsidR="00000000" w:rsidRDefault="000C45AD">
            <w:pPr>
              <w:spacing w:before="80" w:after="40" w:line="264" w:lineRule="auto"/>
              <w:ind w:left="170"/>
              <w:rPr>
                <w:sz w:val="21"/>
              </w:rPr>
            </w:pPr>
            <w:r>
              <w:rPr>
                <w:rFonts w:hint="eastAsia"/>
                <w:sz w:val="21"/>
              </w:rPr>
              <w:t>半公立</w:t>
            </w:r>
          </w:p>
        </w:tc>
        <w:tc>
          <w:tcPr>
            <w:tcW w:w="1882" w:type="dxa"/>
            <w:tcBorders>
              <w:top w:val="nil"/>
              <w:left w:val="nil"/>
              <w:bottom w:val="nil"/>
              <w:right w:val="single" w:sz="6" w:space="0" w:color="auto"/>
            </w:tcBorders>
          </w:tcPr>
          <w:p w:rsidR="00000000" w:rsidRDefault="000C45AD">
            <w:pPr>
              <w:spacing w:before="80" w:after="40" w:line="264" w:lineRule="auto"/>
              <w:ind w:right="624"/>
              <w:jc w:val="right"/>
              <w:rPr>
                <w:sz w:val="21"/>
              </w:rPr>
            </w:pPr>
            <w:r>
              <w:rPr>
                <w:sz w:val="21"/>
              </w:rPr>
              <w:t>3,152</w:t>
            </w:r>
          </w:p>
        </w:tc>
        <w:tc>
          <w:tcPr>
            <w:tcW w:w="1882" w:type="dxa"/>
            <w:tcBorders>
              <w:top w:val="nil"/>
              <w:left w:val="nil"/>
              <w:bottom w:val="nil"/>
              <w:right w:val="single" w:sz="6" w:space="0" w:color="auto"/>
            </w:tcBorders>
          </w:tcPr>
          <w:p w:rsidR="00000000" w:rsidRDefault="000C45AD">
            <w:pPr>
              <w:spacing w:before="80" w:after="40" w:line="264" w:lineRule="auto"/>
              <w:jc w:val="center"/>
              <w:rPr>
                <w:sz w:val="21"/>
              </w:rPr>
            </w:pPr>
            <w:r>
              <w:rPr>
                <w:sz w:val="21"/>
              </w:rPr>
              <w:t xml:space="preserve"> 2.66</w:t>
            </w:r>
          </w:p>
        </w:tc>
        <w:tc>
          <w:tcPr>
            <w:tcW w:w="1882" w:type="dxa"/>
            <w:tcBorders>
              <w:top w:val="nil"/>
              <w:left w:val="nil"/>
              <w:bottom w:val="nil"/>
              <w:right w:val="single" w:sz="6" w:space="0" w:color="auto"/>
            </w:tcBorders>
          </w:tcPr>
          <w:p w:rsidR="00000000" w:rsidRDefault="000C45AD">
            <w:pPr>
              <w:spacing w:before="80" w:after="40" w:line="264" w:lineRule="auto"/>
              <w:ind w:right="567"/>
              <w:jc w:val="right"/>
              <w:rPr>
                <w:sz w:val="21"/>
              </w:rPr>
            </w:pPr>
            <w:r>
              <w:rPr>
                <w:sz w:val="21"/>
              </w:rPr>
              <w:t>2,953</w:t>
            </w:r>
          </w:p>
        </w:tc>
        <w:tc>
          <w:tcPr>
            <w:tcW w:w="1882" w:type="dxa"/>
            <w:tcBorders>
              <w:top w:val="nil"/>
              <w:left w:val="nil"/>
              <w:bottom w:val="nil"/>
              <w:right w:val="single" w:sz="6" w:space="0" w:color="auto"/>
            </w:tcBorders>
          </w:tcPr>
          <w:p w:rsidR="00000000" w:rsidRDefault="000C45AD">
            <w:pPr>
              <w:spacing w:before="80" w:after="40" w:line="264" w:lineRule="auto"/>
              <w:jc w:val="center"/>
              <w:rPr>
                <w:sz w:val="21"/>
              </w:rPr>
            </w:pPr>
          </w:p>
        </w:tc>
      </w:tr>
      <w:tr w:rsidR="00000000">
        <w:tblPrEx>
          <w:tblCellMar>
            <w:top w:w="0" w:type="dxa"/>
            <w:bottom w:w="0" w:type="dxa"/>
          </w:tblCellMar>
        </w:tblPrEx>
        <w:tc>
          <w:tcPr>
            <w:tcW w:w="1882" w:type="dxa"/>
            <w:tcBorders>
              <w:top w:val="nil"/>
              <w:right w:val="single" w:sz="6" w:space="0" w:color="auto"/>
            </w:tcBorders>
          </w:tcPr>
          <w:p w:rsidR="00000000" w:rsidRDefault="000C45AD">
            <w:pPr>
              <w:spacing w:before="80" w:after="40" w:line="264" w:lineRule="auto"/>
              <w:ind w:left="170"/>
              <w:rPr>
                <w:sz w:val="21"/>
              </w:rPr>
            </w:pPr>
            <w:r>
              <w:rPr>
                <w:rFonts w:hint="eastAsia"/>
                <w:sz w:val="21"/>
              </w:rPr>
              <w:t>私立</w:t>
            </w:r>
          </w:p>
        </w:tc>
        <w:tc>
          <w:tcPr>
            <w:tcW w:w="1882" w:type="dxa"/>
            <w:tcBorders>
              <w:top w:val="nil"/>
              <w:left w:val="nil"/>
              <w:right w:val="single" w:sz="6" w:space="0" w:color="auto"/>
            </w:tcBorders>
          </w:tcPr>
          <w:p w:rsidR="00000000" w:rsidRDefault="000C45AD">
            <w:pPr>
              <w:spacing w:before="80" w:after="40" w:line="264" w:lineRule="auto"/>
              <w:ind w:right="624"/>
              <w:jc w:val="right"/>
              <w:rPr>
                <w:sz w:val="21"/>
              </w:rPr>
            </w:pPr>
            <w:r>
              <w:rPr>
                <w:sz w:val="21"/>
              </w:rPr>
              <w:t>39,193</w:t>
            </w:r>
          </w:p>
        </w:tc>
        <w:tc>
          <w:tcPr>
            <w:tcW w:w="1882" w:type="dxa"/>
            <w:tcBorders>
              <w:top w:val="nil"/>
              <w:left w:val="nil"/>
              <w:right w:val="single" w:sz="6" w:space="0" w:color="auto"/>
            </w:tcBorders>
          </w:tcPr>
          <w:p w:rsidR="00000000" w:rsidRDefault="000C45AD">
            <w:pPr>
              <w:spacing w:before="80" w:after="40" w:line="264" w:lineRule="auto"/>
              <w:jc w:val="center"/>
              <w:rPr>
                <w:sz w:val="21"/>
              </w:rPr>
            </w:pPr>
            <w:r>
              <w:rPr>
                <w:sz w:val="21"/>
              </w:rPr>
              <w:t>33.06</w:t>
            </w:r>
          </w:p>
        </w:tc>
        <w:tc>
          <w:tcPr>
            <w:tcW w:w="1882" w:type="dxa"/>
            <w:tcBorders>
              <w:top w:val="nil"/>
              <w:left w:val="nil"/>
              <w:right w:val="single" w:sz="6" w:space="0" w:color="auto"/>
            </w:tcBorders>
          </w:tcPr>
          <w:p w:rsidR="00000000" w:rsidRDefault="000C45AD">
            <w:pPr>
              <w:spacing w:before="80" w:after="40" w:line="264" w:lineRule="auto"/>
              <w:ind w:right="624"/>
              <w:jc w:val="right"/>
              <w:rPr>
                <w:sz w:val="21"/>
              </w:rPr>
            </w:pPr>
            <w:r>
              <w:rPr>
                <w:sz w:val="21"/>
              </w:rPr>
              <w:t>58,091</w:t>
            </w:r>
          </w:p>
        </w:tc>
        <w:tc>
          <w:tcPr>
            <w:tcW w:w="1882" w:type="dxa"/>
            <w:tcBorders>
              <w:top w:val="nil"/>
              <w:left w:val="nil"/>
              <w:right w:val="single" w:sz="6" w:space="0" w:color="auto"/>
            </w:tcBorders>
          </w:tcPr>
          <w:p w:rsidR="00000000" w:rsidRDefault="000C45AD">
            <w:pPr>
              <w:spacing w:before="80" w:after="40" w:line="264" w:lineRule="auto"/>
              <w:jc w:val="center"/>
              <w:rPr>
                <w:sz w:val="21"/>
              </w:rPr>
            </w:pPr>
          </w:p>
        </w:tc>
      </w:tr>
      <w:tr w:rsidR="00000000">
        <w:tblPrEx>
          <w:tblCellMar>
            <w:top w:w="0" w:type="dxa"/>
            <w:bottom w:w="0" w:type="dxa"/>
          </w:tblCellMar>
        </w:tblPrEx>
        <w:tc>
          <w:tcPr>
            <w:tcW w:w="1882" w:type="dxa"/>
          </w:tcPr>
          <w:p w:rsidR="00000000" w:rsidRDefault="000C45AD">
            <w:pPr>
              <w:spacing w:before="80" w:after="40" w:line="264" w:lineRule="auto"/>
              <w:jc w:val="center"/>
              <w:rPr>
                <w:sz w:val="21"/>
              </w:rPr>
            </w:pPr>
            <w:r>
              <w:rPr>
                <w:rFonts w:hint="eastAsia"/>
                <w:sz w:val="21"/>
              </w:rPr>
              <w:t>总</w:t>
            </w:r>
            <w:r>
              <w:rPr>
                <w:sz w:val="21"/>
              </w:rPr>
              <w:t xml:space="preserve">  </w:t>
            </w:r>
            <w:r>
              <w:rPr>
                <w:rFonts w:hint="eastAsia"/>
                <w:sz w:val="21"/>
              </w:rPr>
              <w:t>计</w:t>
            </w:r>
          </w:p>
        </w:tc>
        <w:tc>
          <w:tcPr>
            <w:tcW w:w="1882" w:type="dxa"/>
          </w:tcPr>
          <w:p w:rsidR="00000000" w:rsidRDefault="000C45AD">
            <w:pPr>
              <w:spacing w:before="80" w:after="40" w:line="264" w:lineRule="auto"/>
              <w:ind w:right="624"/>
              <w:jc w:val="right"/>
              <w:rPr>
                <w:sz w:val="21"/>
              </w:rPr>
            </w:pPr>
            <w:r>
              <w:rPr>
                <w:sz w:val="21"/>
              </w:rPr>
              <w:t>118,558</w:t>
            </w:r>
          </w:p>
        </w:tc>
        <w:tc>
          <w:tcPr>
            <w:tcW w:w="1882" w:type="dxa"/>
          </w:tcPr>
          <w:p w:rsidR="00000000" w:rsidRDefault="000C45AD">
            <w:pPr>
              <w:spacing w:before="80" w:after="40" w:line="264" w:lineRule="auto"/>
              <w:ind w:right="964"/>
              <w:jc w:val="right"/>
              <w:rPr>
                <w:sz w:val="21"/>
              </w:rPr>
            </w:pPr>
            <w:r>
              <w:rPr>
                <w:sz w:val="21"/>
              </w:rPr>
              <w:t>100</w:t>
            </w:r>
          </w:p>
        </w:tc>
        <w:tc>
          <w:tcPr>
            <w:tcW w:w="1882" w:type="dxa"/>
          </w:tcPr>
          <w:p w:rsidR="00000000" w:rsidRDefault="000C45AD">
            <w:pPr>
              <w:spacing w:before="80" w:after="40" w:line="264" w:lineRule="auto"/>
              <w:ind w:right="624"/>
              <w:jc w:val="right"/>
              <w:rPr>
                <w:sz w:val="21"/>
              </w:rPr>
            </w:pPr>
            <w:r>
              <w:rPr>
                <w:sz w:val="21"/>
              </w:rPr>
              <w:t>147,980</w:t>
            </w:r>
          </w:p>
        </w:tc>
        <w:tc>
          <w:tcPr>
            <w:tcW w:w="1882" w:type="dxa"/>
          </w:tcPr>
          <w:p w:rsidR="00000000" w:rsidRDefault="000C45AD">
            <w:pPr>
              <w:tabs>
                <w:tab w:val="clear" w:pos="510"/>
                <w:tab w:val="left" w:pos="752"/>
              </w:tabs>
              <w:spacing w:before="80" w:after="40" w:line="264" w:lineRule="auto"/>
              <w:ind w:left="34" w:right="703"/>
              <w:jc w:val="right"/>
              <w:rPr>
                <w:sz w:val="21"/>
              </w:rPr>
            </w:pPr>
            <w:r>
              <w:rPr>
                <w:sz w:val="21"/>
              </w:rPr>
              <w:t>100</w:t>
            </w:r>
          </w:p>
        </w:tc>
      </w:tr>
    </w:tbl>
    <w:p w:rsidR="00000000" w:rsidRDefault="000C45AD">
      <w:pPr>
        <w:spacing w:after="160"/>
        <w:textAlignment w:val="center"/>
      </w:pPr>
    </w:p>
    <w:p w:rsidR="00000000" w:rsidRDefault="000C45AD">
      <w:pPr>
        <w:pStyle w:val="Heading3"/>
        <w:spacing w:after="240"/>
      </w:pPr>
      <w:r>
        <w:rPr>
          <w:rFonts w:hint="eastAsia"/>
        </w:rPr>
        <w:t>中学初次入学人数和学校数目，</w:t>
      </w:r>
      <w:r>
        <w:t>1996</w:t>
      </w:r>
      <w:r>
        <w:rPr>
          <w:rFonts w:hint="eastAsia"/>
        </w:rPr>
        <w:t>年</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8"/>
        <w:gridCol w:w="3480"/>
        <w:gridCol w:w="1931"/>
        <w:gridCol w:w="1929"/>
        <w:gridCol w:w="2"/>
      </w:tblGrid>
      <w:tr w:rsidR="00000000">
        <w:tblPrEx>
          <w:tblCellMar>
            <w:top w:w="0" w:type="dxa"/>
            <w:bottom w:w="0" w:type="dxa"/>
          </w:tblCellMar>
        </w:tblPrEx>
        <w:trPr>
          <w:gridAfter w:val="1"/>
        </w:trPr>
        <w:tc>
          <w:tcPr>
            <w:tcW w:w="2068" w:type="dxa"/>
            <w:tcBorders>
              <w:bottom w:val="nil"/>
            </w:tcBorders>
          </w:tcPr>
          <w:p w:rsidR="00000000" w:rsidRDefault="000C45AD">
            <w:pPr>
              <w:spacing w:before="80" w:line="288" w:lineRule="auto"/>
              <w:jc w:val="center"/>
              <w:rPr>
                <w:sz w:val="21"/>
              </w:rPr>
            </w:pPr>
            <w:r>
              <w:rPr>
                <w:rFonts w:hint="eastAsia"/>
                <w:sz w:val="21"/>
              </w:rPr>
              <w:t>数</w:t>
            </w:r>
            <w:r>
              <w:rPr>
                <w:sz w:val="21"/>
              </w:rPr>
              <w:t xml:space="preserve">  </w:t>
            </w:r>
            <w:r>
              <w:rPr>
                <w:rFonts w:hint="eastAsia"/>
                <w:sz w:val="21"/>
              </w:rPr>
              <w:t>目</w:t>
            </w:r>
          </w:p>
        </w:tc>
        <w:tc>
          <w:tcPr>
            <w:tcW w:w="3480" w:type="dxa"/>
            <w:tcBorders>
              <w:bottom w:val="nil"/>
            </w:tcBorders>
          </w:tcPr>
          <w:p w:rsidR="00000000" w:rsidRDefault="000C45AD">
            <w:pPr>
              <w:spacing w:before="80" w:line="288" w:lineRule="auto"/>
              <w:jc w:val="center"/>
              <w:rPr>
                <w:sz w:val="21"/>
              </w:rPr>
            </w:pPr>
            <w:r>
              <w:rPr>
                <w:rFonts w:hint="eastAsia"/>
                <w:sz w:val="21"/>
              </w:rPr>
              <w:t>省</w:t>
            </w:r>
          </w:p>
        </w:tc>
        <w:tc>
          <w:tcPr>
            <w:tcW w:w="3860" w:type="dxa"/>
            <w:gridSpan w:val="2"/>
          </w:tcPr>
          <w:p w:rsidR="00000000" w:rsidRDefault="000C45AD">
            <w:pPr>
              <w:spacing w:before="80" w:line="288" w:lineRule="auto"/>
              <w:jc w:val="center"/>
              <w:rPr>
                <w:sz w:val="21"/>
              </w:rPr>
            </w:pPr>
            <w:r>
              <w:rPr>
                <w:rFonts w:hint="eastAsia"/>
                <w:sz w:val="21"/>
              </w:rPr>
              <w:t>中</w:t>
            </w:r>
            <w:r>
              <w:rPr>
                <w:sz w:val="21"/>
              </w:rPr>
              <w:t xml:space="preserve">     </w:t>
            </w:r>
            <w:r>
              <w:rPr>
                <w:rFonts w:hint="eastAsia"/>
                <w:sz w:val="21"/>
              </w:rPr>
              <w:t>学</w:t>
            </w:r>
          </w:p>
        </w:tc>
      </w:tr>
      <w:tr w:rsidR="00000000">
        <w:tblPrEx>
          <w:tblCellMar>
            <w:top w:w="0" w:type="dxa"/>
            <w:bottom w:w="0" w:type="dxa"/>
          </w:tblCellMar>
        </w:tblPrEx>
        <w:tc>
          <w:tcPr>
            <w:tcW w:w="2068" w:type="dxa"/>
            <w:tcBorders>
              <w:top w:val="nil"/>
              <w:bottom w:val="single" w:sz="6" w:space="0" w:color="auto"/>
            </w:tcBorders>
          </w:tcPr>
          <w:p w:rsidR="00000000" w:rsidRDefault="000C45AD">
            <w:pPr>
              <w:spacing w:before="80" w:line="288" w:lineRule="auto"/>
              <w:jc w:val="center"/>
              <w:rPr>
                <w:sz w:val="21"/>
              </w:rPr>
            </w:pPr>
          </w:p>
        </w:tc>
        <w:tc>
          <w:tcPr>
            <w:tcW w:w="3480" w:type="dxa"/>
            <w:tcBorders>
              <w:top w:val="nil"/>
              <w:bottom w:val="single" w:sz="6" w:space="0" w:color="auto"/>
            </w:tcBorders>
          </w:tcPr>
          <w:p w:rsidR="00000000" w:rsidRDefault="000C45AD">
            <w:pPr>
              <w:spacing w:before="80" w:line="288" w:lineRule="auto"/>
              <w:jc w:val="center"/>
              <w:rPr>
                <w:sz w:val="21"/>
              </w:rPr>
            </w:pPr>
          </w:p>
        </w:tc>
        <w:tc>
          <w:tcPr>
            <w:tcW w:w="1931" w:type="dxa"/>
            <w:tcBorders>
              <w:bottom w:val="single" w:sz="6" w:space="0" w:color="auto"/>
            </w:tcBorders>
          </w:tcPr>
          <w:p w:rsidR="00000000" w:rsidRDefault="000C45AD">
            <w:pPr>
              <w:spacing w:before="80" w:line="288" w:lineRule="auto"/>
              <w:jc w:val="center"/>
              <w:rPr>
                <w:sz w:val="21"/>
              </w:rPr>
            </w:pPr>
            <w:r>
              <w:rPr>
                <w:rFonts w:hint="eastAsia"/>
                <w:sz w:val="21"/>
              </w:rPr>
              <w:t>入学人数</w:t>
            </w:r>
          </w:p>
        </w:tc>
        <w:tc>
          <w:tcPr>
            <w:tcW w:w="1931" w:type="dxa"/>
            <w:gridSpan w:val="2"/>
            <w:tcBorders>
              <w:bottom w:val="single" w:sz="6" w:space="0" w:color="auto"/>
            </w:tcBorders>
          </w:tcPr>
          <w:p w:rsidR="00000000" w:rsidRDefault="000C45AD">
            <w:pPr>
              <w:spacing w:before="80" w:line="288" w:lineRule="auto"/>
              <w:jc w:val="center"/>
              <w:rPr>
                <w:sz w:val="21"/>
              </w:rPr>
            </w:pPr>
            <w:r>
              <w:rPr>
                <w:rFonts w:hint="eastAsia"/>
                <w:sz w:val="21"/>
              </w:rPr>
              <w:t>学校数目</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ind w:left="170"/>
              <w:rPr>
                <w:sz w:val="21"/>
              </w:rPr>
            </w:pPr>
            <w:r>
              <w:rPr>
                <w:sz w:val="21"/>
              </w:rPr>
              <w:t>1.0202e+34</w:t>
            </w: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阿特兰蒂大</w:t>
            </w:r>
          </w:p>
        </w:tc>
        <w:tc>
          <w:tcPr>
            <w:tcW w:w="1931" w:type="dxa"/>
            <w:tcBorders>
              <w:top w:val="nil"/>
              <w:left w:val="nil"/>
              <w:bottom w:val="nil"/>
              <w:right w:val="single" w:sz="6" w:space="0" w:color="auto"/>
            </w:tcBorders>
          </w:tcPr>
          <w:p w:rsidR="00000000" w:rsidRDefault="000C45AD">
            <w:pPr>
              <w:spacing w:before="80" w:after="40" w:line="240" w:lineRule="auto"/>
              <w:ind w:right="680"/>
              <w:jc w:val="right"/>
              <w:rPr>
                <w:sz w:val="21"/>
              </w:rPr>
            </w:pPr>
            <w:r>
              <w:rPr>
                <w:sz w:val="21"/>
              </w:rPr>
              <w:t>17,877</w:t>
            </w:r>
          </w:p>
        </w:tc>
        <w:tc>
          <w:tcPr>
            <w:tcW w:w="1931" w:type="dxa"/>
            <w:gridSpan w:val="2"/>
            <w:tcBorders>
              <w:top w:val="nil"/>
              <w:left w:val="nil"/>
              <w:bottom w:val="nil"/>
            </w:tcBorders>
          </w:tcPr>
          <w:p w:rsidR="00000000" w:rsidRDefault="000C45AD">
            <w:pPr>
              <w:spacing w:before="80" w:after="40" w:line="240" w:lineRule="auto"/>
              <w:ind w:right="680"/>
              <w:jc w:val="right"/>
              <w:rPr>
                <w:sz w:val="21"/>
              </w:rPr>
            </w:pPr>
            <w:r>
              <w:rPr>
                <w:sz w:val="21"/>
              </w:rPr>
              <w:t>58</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rPr>
                <w:sz w:val="21"/>
              </w:rPr>
            </w:pP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科隆</w:t>
            </w:r>
          </w:p>
        </w:tc>
        <w:tc>
          <w:tcPr>
            <w:tcW w:w="1931" w:type="dxa"/>
            <w:tcBorders>
              <w:top w:val="nil"/>
              <w:left w:val="nil"/>
              <w:bottom w:val="nil"/>
              <w:right w:val="single" w:sz="6" w:space="0" w:color="auto"/>
            </w:tcBorders>
          </w:tcPr>
          <w:p w:rsidR="00000000" w:rsidRDefault="000C45AD">
            <w:pPr>
              <w:spacing w:before="80" w:after="40" w:line="240" w:lineRule="auto"/>
              <w:ind w:right="680"/>
              <w:jc w:val="right"/>
              <w:rPr>
                <w:sz w:val="21"/>
              </w:rPr>
            </w:pPr>
            <w:r>
              <w:rPr>
                <w:sz w:val="21"/>
              </w:rPr>
              <w:t>8,513</w:t>
            </w:r>
          </w:p>
        </w:tc>
        <w:tc>
          <w:tcPr>
            <w:tcW w:w="1931" w:type="dxa"/>
            <w:gridSpan w:val="2"/>
            <w:tcBorders>
              <w:top w:val="nil"/>
              <w:left w:val="nil"/>
              <w:bottom w:val="nil"/>
            </w:tcBorders>
          </w:tcPr>
          <w:p w:rsidR="00000000" w:rsidRDefault="000C45AD">
            <w:pPr>
              <w:spacing w:before="80" w:after="40" w:line="240" w:lineRule="auto"/>
              <w:ind w:right="680"/>
              <w:jc w:val="right"/>
              <w:rPr>
                <w:sz w:val="21"/>
              </w:rPr>
            </w:pPr>
            <w:r>
              <w:rPr>
                <w:sz w:val="21"/>
              </w:rPr>
              <w:t>32</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rPr>
                <w:sz w:val="21"/>
              </w:rPr>
            </w:pP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科马亚瓜</w:t>
            </w:r>
          </w:p>
        </w:tc>
        <w:tc>
          <w:tcPr>
            <w:tcW w:w="1931" w:type="dxa"/>
            <w:tcBorders>
              <w:top w:val="nil"/>
              <w:left w:val="nil"/>
              <w:bottom w:val="nil"/>
              <w:right w:val="single" w:sz="6" w:space="0" w:color="auto"/>
            </w:tcBorders>
          </w:tcPr>
          <w:p w:rsidR="00000000" w:rsidRDefault="000C45AD">
            <w:pPr>
              <w:spacing w:before="80" w:after="40" w:line="240" w:lineRule="auto"/>
              <w:ind w:right="680"/>
              <w:jc w:val="right"/>
              <w:rPr>
                <w:sz w:val="21"/>
              </w:rPr>
            </w:pPr>
            <w:r>
              <w:rPr>
                <w:sz w:val="21"/>
              </w:rPr>
              <w:t>14,727</w:t>
            </w:r>
          </w:p>
        </w:tc>
        <w:tc>
          <w:tcPr>
            <w:tcW w:w="1931" w:type="dxa"/>
            <w:gridSpan w:val="2"/>
            <w:tcBorders>
              <w:top w:val="nil"/>
              <w:left w:val="nil"/>
              <w:bottom w:val="nil"/>
            </w:tcBorders>
          </w:tcPr>
          <w:p w:rsidR="00000000" w:rsidRDefault="000C45AD">
            <w:pPr>
              <w:spacing w:before="80" w:after="40" w:line="240" w:lineRule="auto"/>
              <w:ind w:right="680"/>
              <w:jc w:val="right"/>
              <w:rPr>
                <w:sz w:val="21"/>
              </w:rPr>
            </w:pPr>
            <w:r>
              <w:rPr>
                <w:sz w:val="21"/>
              </w:rPr>
              <w:t>42</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rPr>
                <w:sz w:val="21"/>
              </w:rPr>
            </w:pP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科潘</w:t>
            </w:r>
          </w:p>
        </w:tc>
        <w:tc>
          <w:tcPr>
            <w:tcW w:w="1931" w:type="dxa"/>
            <w:tcBorders>
              <w:top w:val="nil"/>
              <w:left w:val="nil"/>
              <w:bottom w:val="nil"/>
              <w:right w:val="single" w:sz="6" w:space="0" w:color="auto"/>
            </w:tcBorders>
          </w:tcPr>
          <w:p w:rsidR="00000000" w:rsidRDefault="000C45AD">
            <w:pPr>
              <w:spacing w:before="80" w:after="40" w:line="240" w:lineRule="auto"/>
              <w:ind w:right="680"/>
              <w:jc w:val="right"/>
              <w:rPr>
                <w:sz w:val="21"/>
              </w:rPr>
            </w:pPr>
            <w:r>
              <w:rPr>
                <w:sz w:val="21"/>
              </w:rPr>
              <w:t>5,418</w:t>
            </w:r>
          </w:p>
        </w:tc>
        <w:tc>
          <w:tcPr>
            <w:tcW w:w="1931" w:type="dxa"/>
            <w:gridSpan w:val="2"/>
            <w:tcBorders>
              <w:top w:val="nil"/>
              <w:left w:val="nil"/>
              <w:bottom w:val="nil"/>
            </w:tcBorders>
          </w:tcPr>
          <w:p w:rsidR="00000000" w:rsidRDefault="000C45AD">
            <w:pPr>
              <w:spacing w:before="80" w:after="40" w:line="240" w:lineRule="auto"/>
              <w:ind w:right="680"/>
              <w:jc w:val="right"/>
              <w:rPr>
                <w:sz w:val="21"/>
              </w:rPr>
            </w:pPr>
            <w:r>
              <w:rPr>
                <w:sz w:val="21"/>
              </w:rPr>
              <w:t>26</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rPr>
                <w:sz w:val="21"/>
              </w:rPr>
            </w:pP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科尔特斯</w:t>
            </w:r>
          </w:p>
        </w:tc>
        <w:tc>
          <w:tcPr>
            <w:tcW w:w="1931" w:type="dxa"/>
            <w:tcBorders>
              <w:top w:val="nil"/>
              <w:left w:val="nil"/>
              <w:bottom w:val="nil"/>
              <w:right w:val="single" w:sz="6" w:space="0" w:color="auto"/>
            </w:tcBorders>
          </w:tcPr>
          <w:p w:rsidR="00000000" w:rsidRDefault="000C45AD">
            <w:pPr>
              <w:spacing w:before="80" w:after="40" w:line="240" w:lineRule="auto"/>
              <w:ind w:right="680"/>
              <w:jc w:val="right"/>
              <w:rPr>
                <w:sz w:val="21"/>
              </w:rPr>
            </w:pPr>
            <w:r>
              <w:rPr>
                <w:sz w:val="21"/>
              </w:rPr>
              <w:t>57,519</w:t>
            </w:r>
          </w:p>
        </w:tc>
        <w:tc>
          <w:tcPr>
            <w:tcW w:w="1931" w:type="dxa"/>
            <w:gridSpan w:val="2"/>
            <w:tcBorders>
              <w:top w:val="nil"/>
              <w:left w:val="nil"/>
              <w:bottom w:val="nil"/>
            </w:tcBorders>
          </w:tcPr>
          <w:p w:rsidR="00000000" w:rsidRDefault="000C45AD">
            <w:pPr>
              <w:spacing w:before="80" w:after="40" w:line="240" w:lineRule="auto"/>
              <w:ind w:right="680"/>
              <w:jc w:val="right"/>
              <w:rPr>
                <w:sz w:val="21"/>
              </w:rPr>
            </w:pPr>
            <w:r>
              <w:rPr>
                <w:sz w:val="21"/>
              </w:rPr>
              <w:t>147</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rPr>
                <w:sz w:val="21"/>
              </w:rPr>
            </w:pP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乔卢特卡</w:t>
            </w:r>
          </w:p>
        </w:tc>
        <w:tc>
          <w:tcPr>
            <w:tcW w:w="1931" w:type="dxa"/>
            <w:tcBorders>
              <w:top w:val="nil"/>
              <w:left w:val="nil"/>
              <w:bottom w:val="nil"/>
              <w:right w:val="single" w:sz="6" w:space="0" w:color="auto"/>
            </w:tcBorders>
          </w:tcPr>
          <w:p w:rsidR="00000000" w:rsidRDefault="000C45AD">
            <w:pPr>
              <w:spacing w:before="80" w:after="40" w:line="240" w:lineRule="auto"/>
              <w:ind w:right="680"/>
              <w:jc w:val="right"/>
              <w:rPr>
                <w:sz w:val="21"/>
              </w:rPr>
            </w:pPr>
            <w:r>
              <w:rPr>
                <w:sz w:val="21"/>
              </w:rPr>
              <w:t>10,560</w:t>
            </w:r>
          </w:p>
        </w:tc>
        <w:tc>
          <w:tcPr>
            <w:tcW w:w="1931" w:type="dxa"/>
            <w:gridSpan w:val="2"/>
            <w:tcBorders>
              <w:top w:val="nil"/>
              <w:left w:val="nil"/>
              <w:bottom w:val="nil"/>
            </w:tcBorders>
          </w:tcPr>
          <w:p w:rsidR="00000000" w:rsidRDefault="000C45AD">
            <w:pPr>
              <w:spacing w:before="80" w:after="40" w:line="240" w:lineRule="auto"/>
              <w:ind w:right="680"/>
              <w:jc w:val="right"/>
              <w:rPr>
                <w:sz w:val="21"/>
              </w:rPr>
            </w:pPr>
            <w:r>
              <w:rPr>
                <w:sz w:val="21"/>
              </w:rPr>
              <w:t>22</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rPr>
                <w:sz w:val="21"/>
              </w:rPr>
            </w:pP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埃尔帕拉伊索</w:t>
            </w:r>
          </w:p>
        </w:tc>
        <w:tc>
          <w:tcPr>
            <w:tcW w:w="1931" w:type="dxa"/>
            <w:tcBorders>
              <w:top w:val="nil"/>
              <w:left w:val="nil"/>
              <w:bottom w:val="nil"/>
              <w:right w:val="single" w:sz="6" w:space="0" w:color="auto"/>
            </w:tcBorders>
          </w:tcPr>
          <w:p w:rsidR="00000000" w:rsidRDefault="000C45AD">
            <w:pPr>
              <w:spacing w:before="80" w:after="40" w:line="240" w:lineRule="auto"/>
              <w:ind w:right="680"/>
              <w:jc w:val="right"/>
              <w:rPr>
                <w:sz w:val="21"/>
              </w:rPr>
            </w:pPr>
            <w:r>
              <w:rPr>
                <w:sz w:val="21"/>
              </w:rPr>
              <w:t>9,990</w:t>
            </w:r>
          </w:p>
        </w:tc>
        <w:tc>
          <w:tcPr>
            <w:tcW w:w="1931" w:type="dxa"/>
            <w:gridSpan w:val="2"/>
            <w:tcBorders>
              <w:top w:val="nil"/>
              <w:left w:val="nil"/>
              <w:bottom w:val="nil"/>
            </w:tcBorders>
          </w:tcPr>
          <w:p w:rsidR="00000000" w:rsidRDefault="000C45AD">
            <w:pPr>
              <w:spacing w:before="80" w:after="40" w:line="240" w:lineRule="auto"/>
              <w:ind w:right="680"/>
              <w:jc w:val="right"/>
              <w:rPr>
                <w:sz w:val="21"/>
              </w:rPr>
            </w:pPr>
            <w:r>
              <w:rPr>
                <w:sz w:val="21"/>
              </w:rPr>
              <w:t>35</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rPr>
                <w:sz w:val="21"/>
              </w:rPr>
            </w:pP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费朗西斯科莫拉桑</w:t>
            </w:r>
          </w:p>
        </w:tc>
        <w:tc>
          <w:tcPr>
            <w:tcW w:w="1931" w:type="dxa"/>
            <w:tcBorders>
              <w:top w:val="nil"/>
              <w:left w:val="nil"/>
              <w:bottom w:val="nil"/>
              <w:right w:val="single" w:sz="6" w:space="0" w:color="auto"/>
            </w:tcBorders>
          </w:tcPr>
          <w:p w:rsidR="00000000" w:rsidRDefault="000C45AD">
            <w:pPr>
              <w:spacing w:before="80" w:after="40" w:line="240" w:lineRule="auto"/>
              <w:ind w:right="680"/>
              <w:jc w:val="right"/>
              <w:rPr>
                <w:sz w:val="21"/>
              </w:rPr>
            </w:pPr>
            <w:r>
              <w:rPr>
                <w:sz w:val="21"/>
              </w:rPr>
              <w:t>86,193</w:t>
            </w:r>
          </w:p>
        </w:tc>
        <w:tc>
          <w:tcPr>
            <w:tcW w:w="1931" w:type="dxa"/>
            <w:gridSpan w:val="2"/>
            <w:tcBorders>
              <w:top w:val="nil"/>
              <w:left w:val="nil"/>
              <w:bottom w:val="nil"/>
            </w:tcBorders>
          </w:tcPr>
          <w:p w:rsidR="00000000" w:rsidRDefault="000C45AD">
            <w:pPr>
              <w:spacing w:before="80" w:after="40" w:line="240" w:lineRule="auto"/>
              <w:ind w:right="680"/>
              <w:jc w:val="right"/>
              <w:rPr>
                <w:sz w:val="21"/>
              </w:rPr>
            </w:pPr>
            <w:r>
              <w:rPr>
                <w:sz w:val="21"/>
              </w:rPr>
              <w:t>191</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rPr>
                <w:sz w:val="21"/>
              </w:rPr>
            </w:pP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格拉</w:t>
            </w:r>
            <w:r>
              <w:rPr>
                <w:rFonts w:hint="eastAsia"/>
                <w:sz w:val="21"/>
              </w:rPr>
              <w:t>西亚斯阿迪奥斯</w:t>
            </w:r>
          </w:p>
        </w:tc>
        <w:tc>
          <w:tcPr>
            <w:tcW w:w="1931" w:type="dxa"/>
            <w:tcBorders>
              <w:top w:val="nil"/>
              <w:left w:val="nil"/>
              <w:bottom w:val="nil"/>
              <w:right w:val="single" w:sz="6" w:space="0" w:color="auto"/>
            </w:tcBorders>
          </w:tcPr>
          <w:p w:rsidR="00000000" w:rsidRDefault="000C45AD">
            <w:pPr>
              <w:spacing w:before="80" w:after="40" w:line="240" w:lineRule="auto"/>
              <w:ind w:right="680"/>
              <w:jc w:val="right"/>
              <w:rPr>
                <w:sz w:val="21"/>
              </w:rPr>
            </w:pPr>
            <w:r>
              <w:rPr>
                <w:sz w:val="21"/>
              </w:rPr>
              <w:t>1,029</w:t>
            </w:r>
          </w:p>
        </w:tc>
        <w:tc>
          <w:tcPr>
            <w:tcW w:w="1931" w:type="dxa"/>
            <w:gridSpan w:val="2"/>
            <w:tcBorders>
              <w:top w:val="nil"/>
              <w:left w:val="nil"/>
              <w:bottom w:val="nil"/>
            </w:tcBorders>
          </w:tcPr>
          <w:p w:rsidR="00000000" w:rsidRDefault="000C45AD">
            <w:pPr>
              <w:spacing w:before="80" w:after="40" w:line="240" w:lineRule="auto"/>
              <w:ind w:right="680"/>
              <w:jc w:val="right"/>
              <w:rPr>
                <w:sz w:val="21"/>
              </w:rPr>
            </w:pPr>
            <w:r>
              <w:rPr>
                <w:sz w:val="21"/>
              </w:rPr>
              <w:t>6</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rPr>
                <w:sz w:val="21"/>
              </w:rPr>
            </w:pP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因蒂布卡</w:t>
            </w:r>
          </w:p>
        </w:tc>
        <w:tc>
          <w:tcPr>
            <w:tcW w:w="1931" w:type="dxa"/>
            <w:tcBorders>
              <w:top w:val="nil"/>
              <w:left w:val="nil"/>
              <w:bottom w:val="nil"/>
              <w:right w:val="single" w:sz="6" w:space="0" w:color="auto"/>
            </w:tcBorders>
          </w:tcPr>
          <w:p w:rsidR="00000000" w:rsidRDefault="000C45AD">
            <w:pPr>
              <w:spacing w:before="80" w:after="40" w:line="240" w:lineRule="auto"/>
              <w:ind w:right="680"/>
              <w:jc w:val="right"/>
              <w:rPr>
                <w:sz w:val="21"/>
              </w:rPr>
            </w:pPr>
            <w:r>
              <w:rPr>
                <w:sz w:val="21"/>
              </w:rPr>
              <w:t>3,974</w:t>
            </w:r>
          </w:p>
        </w:tc>
        <w:tc>
          <w:tcPr>
            <w:tcW w:w="1931" w:type="dxa"/>
            <w:gridSpan w:val="2"/>
            <w:tcBorders>
              <w:top w:val="nil"/>
              <w:left w:val="nil"/>
              <w:bottom w:val="nil"/>
            </w:tcBorders>
          </w:tcPr>
          <w:p w:rsidR="00000000" w:rsidRDefault="000C45AD">
            <w:pPr>
              <w:spacing w:before="80" w:after="40" w:line="240" w:lineRule="auto"/>
              <w:ind w:right="680"/>
              <w:jc w:val="right"/>
              <w:rPr>
                <w:sz w:val="21"/>
              </w:rPr>
            </w:pPr>
            <w:r>
              <w:rPr>
                <w:sz w:val="21"/>
              </w:rPr>
              <w:t>18</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rPr>
                <w:sz w:val="21"/>
              </w:rPr>
            </w:pP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海湾群岛</w:t>
            </w:r>
          </w:p>
        </w:tc>
        <w:tc>
          <w:tcPr>
            <w:tcW w:w="1931" w:type="dxa"/>
            <w:tcBorders>
              <w:top w:val="nil"/>
              <w:left w:val="nil"/>
              <w:bottom w:val="nil"/>
              <w:right w:val="single" w:sz="6" w:space="0" w:color="auto"/>
            </w:tcBorders>
          </w:tcPr>
          <w:p w:rsidR="00000000" w:rsidRDefault="000C45AD">
            <w:pPr>
              <w:spacing w:before="80" w:after="40" w:line="240" w:lineRule="auto"/>
              <w:ind w:right="680"/>
              <w:jc w:val="right"/>
              <w:rPr>
                <w:sz w:val="21"/>
              </w:rPr>
            </w:pPr>
            <w:r>
              <w:rPr>
                <w:sz w:val="21"/>
              </w:rPr>
              <w:t>1,452</w:t>
            </w:r>
          </w:p>
        </w:tc>
        <w:tc>
          <w:tcPr>
            <w:tcW w:w="1931" w:type="dxa"/>
            <w:gridSpan w:val="2"/>
            <w:tcBorders>
              <w:top w:val="nil"/>
              <w:left w:val="nil"/>
              <w:bottom w:val="nil"/>
            </w:tcBorders>
          </w:tcPr>
          <w:p w:rsidR="00000000" w:rsidRDefault="000C45AD">
            <w:pPr>
              <w:spacing w:before="80" w:after="40" w:line="240" w:lineRule="auto"/>
              <w:ind w:right="680"/>
              <w:jc w:val="right"/>
              <w:rPr>
                <w:sz w:val="21"/>
              </w:rPr>
            </w:pPr>
            <w:r>
              <w:rPr>
                <w:sz w:val="21"/>
              </w:rPr>
              <w:t>14</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rPr>
                <w:sz w:val="21"/>
              </w:rPr>
            </w:pP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拉巴斯</w:t>
            </w:r>
          </w:p>
        </w:tc>
        <w:tc>
          <w:tcPr>
            <w:tcW w:w="1931" w:type="dxa"/>
            <w:tcBorders>
              <w:top w:val="nil"/>
              <w:left w:val="nil"/>
              <w:bottom w:val="nil"/>
              <w:right w:val="single" w:sz="6" w:space="0" w:color="auto"/>
            </w:tcBorders>
          </w:tcPr>
          <w:p w:rsidR="00000000" w:rsidRDefault="000C45AD">
            <w:pPr>
              <w:spacing w:before="80" w:after="40" w:line="240" w:lineRule="auto"/>
              <w:ind w:right="680"/>
              <w:jc w:val="right"/>
              <w:rPr>
                <w:sz w:val="21"/>
              </w:rPr>
            </w:pPr>
            <w:r>
              <w:rPr>
                <w:sz w:val="21"/>
              </w:rPr>
              <w:t>3,932</w:t>
            </w:r>
          </w:p>
        </w:tc>
        <w:tc>
          <w:tcPr>
            <w:tcW w:w="1931" w:type="dxa"/>
            <w:gridSpan w:val="2"/>
            <w:tcBorders>
              <w:top w:val="nil"/>
              <w:left w:val="nil"/>
              <w:bottom w:val="nil"/>
            </w:tcBorders>
          </w:tcPr>
          <w:p w:rsidR="00000000" w:rsidRDefault="000C45AD">
            <w:pPr>
              <w:spacing w:before="80" w:after="40" w:line="240" w:lineRule="auto"/>
              <w:ind w:right="680"/>
              <w:jc w:val="right"/>
              <w:rPr>
                <w:sz w:val="21"/>
              </w:rPr>
            </w:pPr>
            <w:r>
              <w:rPr>
                <w:sz w:val="21"/>
              </w:rPr>
              <w:t>19</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rPr>
                <w:sz w:val="21"/>
              </w:rPr>
            </w:pP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伦皮拉</w:t>
            </w:r>
          </w:p>
        </w:tc>
        <w:tc>
          <w:tcPr>
            <w:tcW w:w="1931" w:type="dxa"/>
            <w:tcBorders>
              <w:top w:val="nil"/>
              <w:left w:val="nil"/>
              <w:bottom w:val="nil"/>
              <w:right w:val="single" w:sz="6" w:space="0" w:color="auto"/>
            </w:tcBorders>
          </w:tcPr>
          <w:p w:rsidR="00000000" w:rsidRDefault="000C45AD">
            <w:pPr>
              <w:spacing w:before="80" w:after="40" w:line="240" w:lineRule="auto"/>
              <w:ind w:right="680"/>
              <w:jc w:val="right"/>
              <w:rPr>
                <w:sz w:val="21"/>
              </w:rPr>
            </w:pPr>
            <w:r>
              <w:rPr>
                <w:sz w:val="21"/>
              </w:rPr>
              <w:t>2,674</w:t>
            </w:r>
          </w:p>
        </w:tc>
        <w:tc>
          <w:tcPr>
            <w:tcW w:w="1931" w:type="dxa"/>
            <w:gridSpan w:val="2"/>
            <w:tcBorders>
              <w:top w:val="nil"/>
              <w:left w:val="nil"/>
              <w:bottom w:val="nil"/>
            </w:tcBorders>
          </w:tcPr>
          <w:p w:rsidR="00000000" w:rsidRDefault="000C45AD">
            <w:pPr>
              <w:spacing w:before="80" w:after="40" w:line="240" w:lineRule="auto"/>
              <w:ind w:right="680"/>
              <w:jc w:val="right"/>
              <w:rPr>
                <w:sz w:val="21"/>
              </w:rPr>
            </w:pPr>
            <w:r>
              <w:rPr>
                <w:sz w:val="21"/>
              </w:rPr>
              <w:t>18</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rPr>
                <w:sz w:val="21"/>
              </w:rPr>
            </w:pP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奥科特佩克</w:t>
            </w:r>
          </w:p>
        </w:tc>
        <w:tc>
          <w:tcPr>
            <w:tcW w:w="1931" w:type="dxa"/>
            <w:tcBorders>
              <w:top w:val="nil"/>
              <w:left w:val="nil"/>
              <w:bottom w:val="nil"/>
              <w:right w:val="single" w:sz="6" w:space="0" w:color="auto"/>
            </w:tcBorders>
          </w:tcPr>
          <w:p w:rsidR="00000000" w:rsidRDefault="000C45AD">
            <w:pPr>
              <w:spacing w:before="80" w:after="40" w:line="240" w:lineRule="auto"/>
              <w:ind w:right="680"/>
              <w:jc w:val="right"/>
              <w:rPr>
                <w:sz w:val="21"/>
              </w:rPr>
            </w:pPr>
            <w:r>
              <w:rPr>
                <w:sz w:val="21"/>
              </w:rPr>
              <w:t>2,651</w:t>
            </w:r>
          </w:p>
        </w:tc>
        <w:tc>
          <w:tcPr>
            <w:tcW w:w="1931" w:type="dxa"/>
            <w:gridSpan w:val="2"/>
            <w:tcBorders>
              <w:top w:val="nil"/>
              <w:left w:val="nil"/>
              <w:bottom w:val="nil"/>
            </w:tcBorders>
          </w:tcPr>
          <w:p w:rsidR="00000000" w:rsidRDefault="000C45AD">
            <w:pPr>
              <w:spacing w:before="80" w:after="40" w:line="240" w:lineRule="auto"/>
              <w:ind w:right="680"/>
              <w:jc w:val="right"/>
              <w:rPr>
                <w:sz w:val="21"/>
              </w:rPr>
            </w:pPr>
            <w:r>
              <w:rPr>
                <w:sz w:val="21"/>
              </w:rPr>
              <w:t>7</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rPr>
                <w:sz w:val="21"/>
              </w:rPr>
            </w:pP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奥兰乔</w:t>
            </w:r>
          </w:p>
        </w:tc>
        <w:tc>
          <w:tcPr>
            <w:tcW w:w="1931" w:type="dxa"/>
            <w:tcBorders>
              <w:top w:val="nil"/>
              <w:left w:val="nil"/>
              <w:bottom w:val="nil"/>
              <w:right w:val="single" w:sz="6" w:space="0" w:color="auto"/>
            </w:tcBorders>
          </w:tcPr>
          <w:p w:rsidR="00000000" w:rsidRDefault="000C45AD">
            <w:pPr>
              <w:spacing w:before="80" w:after="40" w:line="240" w:lineRule="auto"/>
              <w:ind w:right="680"/>
              <w:jc w:val="right"/>
              <w:rPr>
                <w:sz w:val="21"/>
              </w:rPr>
            </w:pPr>
            <w:r>
              <w:rPr>
                <w:sz w:val="21"/>
              </w:rPr>
              <w:t>11,385</w:t>
            </w:r>
          </w:p>
        </w:tc>
        <w:tc>
          <w:tcPr>
            <w:tcW w:w="1931" w:type="dxa"/>
            <w:gridSpan w:val="2"/>
            <w:tcBorders>
              <w:top w:val="nil"/>
              <w:left w:val="nil"/>
              <w:bottom w:val="nil"/>
            </w:tcBorders>
          </w:tcPr>
          <w:p w:rsidR="00000000" w:rsidRDefault="000C45AD">
            <w:pPr>
              <w:spacing w:before="80" w:after="40" w:line="240" w:lineRule="auto"/>
              <w:ind w:right="680"/>
              <w:jc w:val="right"/>
              <w:rPr>
                <w:sz w:val="21"/>
              </w:rPr>
            </w:pPr>
            <w:r>
              <w:rPr>
                <w:sz w:val="21"/>
              </w:rPr>
              <w:t>50</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rPr>
                <w:sz w:val="21"/>
              </w:rPr>
            </w:pP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圣巴巴拉</w:t>
            </w:r>
          </w:p>
        </w:tc>
        <w:tc>
          <w:tcPr>
            <w:tcW w:w="1931" w:type="dxa"/>
            <w:tcBorders>
              <w:top w:val="nil"/>
              <w:left w:val="nil"/>
              <w:bottom w:val="nil"/>
              <w:right w:val="single" w:sz="6" w:space="0" w:color="auto"/>
            </w:tcBorders>
          </w:tcPr>
          <w:p w:rsidR="00000000" w:rsidRDefault="000C45AD">
            <w:pPr>
              <w:spacing w:before="80" w:after="40" w:line="240" w:lineRule="auto"/>
              <w:ind w:right="680"/>
              <w:jc w:val="right"/>
              <w:rPr>
                <w:sz w:val="21"/>
              </w:rPr>
            </w:pPr>
            <w:r>
              <w:rPr>
                <w:sz w:val="21"/>
              </w:rPr>
              <w:t>8,098</w:t>
            </w:r>
          </w:p>
        </w:tc>
        <w:tc>
          <w:tcPr>
            <w:tcW w:w="1931" w:type="dxa"/>
            <w:gridSpan w:val="2"/>
            <w:tcBorders>
              <w:top w:val="nil"/>
              <w:left w:val="nil"/>
              <w:bottom w:val="nil"/>
            </w:tcBorders>
          </w:tcPr>
          <w:p w:rsidR="00000000" w:rsidRDefault="000C45AD">
            <w:pPr>
              <w:spacing w:before="80" w:after="40" w:line="240" w:lineRule="auto"/>
              <w:ind w:right="680"/>
              <w:jc w:val="right"/>
              <w:rPr>
                <w:sz w:val="21"/>
              </w:rPr>
            </w:pPr>
            <w:r>
              <w:rPr>
                <w:sz w:val="21"/>
              </w:rPr>
              <w:t>33</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rPr>
                <w:sz w:val="21"/>
              </w:rPr>
            </w:pP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巴列</w:t>
            </w:r>
          </w:p>
        </w:tc>
        <w:tc>
          <w:tcPr>
            <w:tcW w:w="1931" w:type="dxa"/>
            <w:tcBorders>
              <w:top w:val="nil"/>
              <w:left w:val="nil"/>
              <w:bottom w:val="nil"/>
              <w:right w:val="single" w:sz="6" w:space="0" w:color="auto"/>
            </w:tcBorders>
          </w:tcPr>
          <w:p w:rsidR="00000000" w:rsidRDefault="000C45AD">
            <w:pPr>
              <w:spacing w:before="80" w:after="40" w:line="240" w:lineRule="auto"/>
              <w:ind w:right="680"/>
              <w:jc w:val="right"/>
              <w:rPr>
                <w:sz w:val="21"/>
              </w:rPr>
            </w:pPr>
            <w:r>
              <w:rPr>
                <w:sz w:val="21"/>
              </w:rPr>
              <w:t>5,073</w:t>
            </w:r>
          </w:p>
        </w:tc>
        <w:tc>
          <w:tcPr>
            <w:tcW w:w="1931" w:type="dxa"/>
            <w:gridSpan w:val="2"/>
            <w:tcBorders>
              <w:top w:val="nil"/>
              <w:left w:val="nil"/>
              <w:bottom w:val="nil"/>
            </w:tcBorders>
          </w:tcPr>
          <w:p w:rsidR="00000000" w:rsidRDefault="000C45AD">
            <w:pPr>
              <w:spacing w:before="80" w:after="40" w:line="240" w:lineRule="auto"/>
              <w:ind w:right="680"/>
              <w:jc w:val="right"/>
              <w:rPr>
                <w:sz w:val="21"/>
              </w:rPr>
            </w:pPr>
            <w:r>
              <w:rPr>
                <w:sz w:val="21"/>
              </w:rPr>
              <w:t>16</w:t>
            </w:r>
          </w:p>
        </w:tc>
      </w:tr>
      <w:tr w:rsidR="00000000">
        <w:tblPrEx>
          <w:tblCellMar>
            <w:top w:w="0" w:type="dxa"/>
            <w:bottom w:w="0" w:type="dxa"/>
          </w:tblCellMar>
        </w:tblPrEx>
        <w:tc>
          <w:tcPr>
            <w:tcW w:w="2068" w:type="dxa"/>
            <w:tcBorders>
              <w:top w:val="nil"/>
              <w:bottom w:val="nil"/>
              <w:right w:val="single" w:sz="6" w:space="0" w:color="auto"/>
            </w:tcBorders>
          </w:tcPr>
          <w:p w:rsidR="00000000" w:rsidRDefault="000C45AD">
            <w:pPr>
              <w:spacing w:before="80" w:after="40" w:line="240" w:lineRule="auto"/>
              <w:rPr>
                <w:sz w:val="21"/>
              </w:rPr>
            </w:pPr>
          </w:p>
        </w:tc>
        <w:tc>
          <w:tcPr>
            <w:tcW w:w="3480" w:type="dxa"/>
            <w:tcBorders>
              <w:top w:val="nil"/>
              <w:left w:val="nil"/>
              <w:bottom w:val="nil"/>
              <w:right w:val="single" w:sz="6" w:space="0" w:color="auto"/>
            </w:tcBorders>
          </w:tcPr>
          <w:p w:rsidR="00000000" w:rsidRDefault="000C45AD">
            <w:pPr>
              <w:spacing w:before="80" w:after="40" w:line="240" w:lineRule="auto"/>
              <w:ind w:left="170"/>
              <w:rPr>
                <w:sz w:val="21"/>
              </w:rPr>
            </w:pPr>
            <w:r>
              <w:rPr>
                <w:rFonts w:hint="eastAsia"/>
                <w:sz w:val="21"/>
              </w:rPr>
              <w:t>约罗</w:t>
            </w:r>
          </w:p>
        </w:tc>
        <w:tc>
          <w:tcPr>
            <w:tcW w:w="1931" w:type="dxa"/>
            <w:tcBorders>
              <w:top w:val="nil"/>
              <w:left w:val="nil"/>
              <w:right w:val="single" w:sz="6" w:space="0" w:color="auto"/>
            </w:tcBorders>
          </w:tcPr>
          <w:p w:rsidR="00000000" w:rsidRDefault="000C45AD">
            <w:pPr>
              <w:spacing w:before="80" w:after="40" w:line="240" w:lineRule="auto"/>
              <w:ind w:right="680"/>
              <w:jc w:val="right"/>
              <w:rPr>
                <w:sz w:val="21"/>
              </w:rPr>
            </w:pPr>
            <w:r>
              <w:rPr>
                <w:sz w:val="21"/>
              </w:rPr>
              <w:t>15,473</w:t>
            </w:r>
          </w:p>
        </w:tc>
        <w:tc>
          <w:tcPr>
            <w:tcW w:w="1931" w:type="dxa"/>
            <w:gridSpan w:val="2"/>
            <w:tcBorders>
              <w:top w:val="nil"/>
              <w:left w:val="nil"/>
            </w:tcBorders>
          </w:tcPr>
          <w:p w:rsidR="00000000" w:rsidRDefault="000C45AD">
            <w:pPr>
              <w:spacing w:before="80" w:after="40" w:line="240" w:lineRule="auto"/>
              <w:ind w:right="680"/>
              <w:jc w:val="right"/>
              <w:rPr>
                <w:sz w:val="21"/>
              </w:rPr>
            </w:pPr>
            <w:r>
              <w:rPr>
                <w:sz w:val="21"/>
              </w:rPr>
              <w:t>48</w:t>
            </w:r>
          </w:p>
        </w:tc>
      </w:tr>
      <w:tr w:rsidR="00000000">
        <w:tblPrEx>
          <w:tblCellMar>
            <w:top w:w="0" w:type="dxa"/>
            <w:bottom w:w="0" w:type="dxa"/>
          </w:tblCellMar>
        </w:tblPrEx>
        <w:tc>
          <w:tcPr>
            <w:tcW w:w="2068" w:type="dxa"/>
            <w:tcBorders>
              <w:top w:val="nil"/>
            </w:tcBorders>
          </w:tcPr>
          <w:p w:rsidR="00000000" w:rsidRDefault="000C45AD">
            <w:pPr>
              <w:spacing w:before="80" w:after="40" w:line="240" w:lineRule="auto"/>
              <w:rPr>
                <w:sz w:val="21"/>
              </w:rPr>
            </w:pPr>
          </w:p>
        </w:tc>
        <w:tc>
          <w:tcPr>
            <w:tcW w:w="3480" w:type="dxa"/>
            <w:tcBorders>
              <w:top w:val="nil"/>
            </w:tcBorders>
          </w:tcPr>
          <w:p w:rsidR="00000000" w:rsidRDefault="000C45AD">
            <w:pPr>
              <w:spacing w:before="80" w:after="40" w:line="240" w:lineRule="auto"/>
              <w:ind w:left="170"/>
              <w:rPr>
                <w:sz w:val="21"/>
              </w:rPr>
            </w:pPr>
            <w:r>
              <w:rPr>
                <w:sz w:val="21"/>
              </w:rPr>
              <w:t xml:space="preserve">    </w:t>
            </w:r>
            <w:r>
              <w:rPr>
                <w:rFonts w:hint="eastAsia"/>
                <w:sz w:val="21"/>
              </w:rPr>
              <w:t>总</w:t>
            </w:r>
            <w:r>
              <w:rPr>
                <w:sz w:val="21"/>
              </w:rPr>
              <w:t xml:space="preserve">  </w:t>
            </w:r>
            <w:r>
              <w:rPr>
                <w:rFonts w:hint="eastAsia"/>
                <w:sz w:val="21"/>
              </w:rPr>
              <w:t>计</w:t>
            </w:r>
          </w:p>
        </w:tc>
        <w:tc>
          <w:tcPr>
            <w:tcW w:w="1931" w:type="dxa"/>
          </w:tcPr>
          <w:p w:rsidR="00000000" w:rsidRDefault="000C45AD">
            <w:pPr>
              <w:spacing w:before="80" w:after="40" w:line="240" w:lineRule="auto"/>
              <w:ind w:right="680"/>
              <w:jc w:val="right"/>
              <w:rPr>
                <w:sz w:val="21"/>
              </w:rPr>
            </w:pPr>
            <w:r>
              <w:rPr>
                <w:sz w:val="21"/>
              </w:rPr>
              <w:t>266,538</w:t>
            </w:r>
          </w:p>
        </w:tc>
        <w:tc>
          <w:tcPr>
            <w:tcW w:w="1931" w:type="dxa"/>
            <w:gridSpan w:val="2"/>
          </w:tcPr>
          <w:p w:rsidR="00000000" w:rsidRDefault="000C45AD">
            <w:pPr>
              <w:spacing w:before="80" w:after="40" w:line="240" w:lineRule="auto"/>
              <w:ind w:right="680"/>
              <w:jc w:val="right"/>
              <w:rPr>
                <w:sz w:val="21"/>
              </w:rPr>
            </w:pPr>
            <w:r>
              <w:rPr>
                <w:sz w:val="21"/>
              </w:rPr>
              <w:t>782</w:t>
            </w:r>
          </w:p>
        </w:tc>
      </w:tr>
    </w:tbl>
    <w:p w:rsidR="00000000" w:rsidRDefault="000C45AD">
      <w:pPr>
        <w:pStyle w:val="Heading4"/>
        <w:spacing w:before="360"/>
      </w:pPr>
      <w:r>
        <w:rPr>
          <w:rFonts w:hint="eastAsia"/>
        </w:rPr>
        <w:t>扫盲和成人教育</w:t>
      </w:r>
    </w:p>
    <w:p w:rsidR="00000000" w:rsidRDefault="000C45AD">
      <w:r>
        <w:tab/>
        <w:t xml:space="preserve">350.  </w:t>
      </w:r>
      <w:r>
        <w:rPr>
          <w:rFonts w:hint="eastAsia"/>
        </w:rPr>
        <w:t>非学校基础教育，又称成人教育是专门为没有机会受正规小学教育的</w:t>
      </w:r>
      <w:r>
        <w:t>14</w:t>
      </w:r>
      <w:r>
        <w:rPr>
          <w:rFonts w:hint="eastAsia"/>
        </w:rPr>
        <w:t>岁以上的人服务的。</w:t>
      </w:r>
    </w:p>
    <w:p w:rsidR="00000000" w:rsidRDefault="000C45AD">
      <w:r>
        <w:tab/>
        <w:t>351.  1996</w:t>
      </w:r>
      <w:r>
        <w:rPr>
          <w:rFonts w:hint="eastAsia"/>
        </w:rPr>
        <w:t>年第二季度，</w:t>
      </w:r>
      <w:r>
        <w:t>88%</w:t>
      </w:r>
      <w:r>
        <w:rPr>
          <w:rFonts w:hint="eastAsia"/>
        </w:rPr>
        <w:t>的报名入学者在正式学校就读，</w:t>
      </w:r>
      <w:r>
        <w:t>12%</w:t>
      </w:r>
      <w:r>
        <w:rPr>
          <w:rFonts w:hint="eastAsia"/>
        </w:rPr>
        <w:t>的人在非政府组织提供的教学方案下就读。搜集到的非正式部门的数据可能不完整，因为非政府组织在其他培训方案中也提供扫盲培训，而这种培训计划只按照本身的类别登记，但上述数据至少提供了一个大概的估计。</w:t>
      </w:r>
    </w:p>
    <w:p w:rsidR="00000000" w:rsidRDefault="000C45AD">
      <w:r>
        <w:tab/>
        <w:t xml:space="preserve">352.  </w:t>
      </w:r>
      <w:r>
        <w:rPr>
          <w:rFonts w:hint="eastAsia"/>
        </w:rPr>
        <w:t>教育部的“使所有人受教育”计划</w:t>
      </w:r>
      <w:r>
        <w:t>(1996</w:t>
      </w:r>
      <w:r>
        <w:rPr>
          <w:rFonts w:hint="eastAsia"/>
        </w:rPr>
        <w:t>年</w:t>
      </w:r>
      <w:r>
        <w:t>)</w:t>
      </w:r>
      <w:r>
        <w:rPr>
          <w:rFonts w:hint="eastAsia"/>
        </w:rPr>
        <w:t>为所有因经济原因或找工作原因在儿童时代未能完成初级教育的人提供了第二次机会。该方案不仅限于扫盲，而且还为参加者提供了继续其小学教育</w:t>
      </w:r>
      <w:r>
        <w:rPr>
          <w:rFonts w:hint="eastAsia"/>
          <w:spacing w:val="-40"/>
        </w:rPr>
        <w:t>——</w:t>
      </w:r>
      <w:r>
        <w:t xml:space="preserve"> </w:t>
      </w:r>
      <w:r>
        <w:rPr>
          <w:rFonts w:hint="eastAsia"/>
        </w:rPr>
        <w:t>由一年级上到九年级的机会。这一计划采用互动式无线电教学与印刷教材相结合的方式并且采取了一种</w:t>
      </w:r>
      <w:r>
        <w:rPr>
          <w:rFonts w:hint="eastAsia"/>
        </w:rPr>
        <w:t>参与式学习的方法。</w:t>
      </w:r>
    </w:p>
    <w:p w:rsidR="00000000" w:rsidRDefault="000C45AD">
      <w:r>
        <w:tab/>
        <w:t xml:space="preserve">353.  </w:t>
      </w:r>
      <w:r>
        <w:rPr>
          <w:rFonts w:hint="eastAsia"/>
        </w:rPr>
        <w:t>成年人实用扫盲计划是在从事成人年教育的非政府组织的配合下进行的，它还得到社区志愿者的支持，这些志愿者们首先接受培训。该方案主要为农村地区和被忽视的城市地区提供服务，并且采用教学循环方式，由同一社区称为扫盲培训者的人领导。</w:t>
      </w:r>
    </w:p>
    <w:p w:rsidR="00000000" w:rsidRDefault="000C45AD">
      <w:r>
        <w:tab/>
        <w:t xml:space="preserve">354.  </w:t>
      </w:r>
      <w:r>
        <w:rPr>
          <w:rFonts w:hint="eastAsia"/>
        </w:rPr>
        <w:t>该方案的优先任务在于教学生读写，并且通常与旨在改进他们的生活条件的方案结合在一起。</w:t>
      </w:r>
    </w:p>
    <w:p w:rsidR="00000000" w:rsidRDefault="000C45AD">
      <w:r>
        <w:tab/>
        <w:t xml:space="preserve">355.  </w:t>
      </w:r>
      <w:r>
        <w:rPr>
          <w:rFonts w:hint="eastAsia"/>
        </w:rPr>
        <w:t>大众文化中心办有各种班，培训</w:t>
      </w:r>
      <w:r>
        <w:t>14</w:t>
      </w:r>
      <w:r>
        <w:rPr>
          <w:rFonts w:hint="eastAsia"/>
        </w:rPr>
        <w:t>岁以上的青少年通过学会某种职业改善自身的生活水平；这些班的基本目的在于为有兴趣和能力掌握工作技能的青年和成年人提</w:t>
      </w:r>
      <w:r>
        <w:rPr>
          <w:rFonts w:hint="eastAsia"/>
        </w:rPr>
        <w:t>供所需要的东西；训练青年和成年人作雇员或创办自己的小企业。自</w:t>
      </w:r>
      <w:r>
        <w:t>1976</w:t>
      </w:r>
      <w:r>
        <w:rPr>
          <w:rFonts w:hint="eastAsia"/>
        </w:rPr>
        <w:t>年以来，举办了各种不同的讲习班：制衣、裁剪、木匠、机械、电器、无线电和电视、木刻和美容。</w:t>
      </w:r>
    </w:p>
    <w:p w:rsidR="00000000" w:rsidRDefault="000C45AD">
      <w:r>
        <w:tab/>
        <w:t>356.  1995</w:t>
      </w:r>
      <w:r>
        <w:rPr>
          <w:rFonts w:hint="eastAsia"/>
        </w:rPr>
        <w:t>年制定了名为“拉蒙·霍莎”的青壮年人文化开发和生产力开发的全国教育计划，其目的在于通过将基础教育与生产活动相结合，促进成年人的教育发展。</w:t>
      </w:r>
    </w:p>
    <w:p w:rsidR="00000000" w:rsidRDefault="000C45AD">
      <w:r>
        <w:tab/>
        <w:t xml:space="preserve">357.  </w:t>
      </w:r>
      <w:r>
        <w:rPr>
          <w:rFonts w:hint="eastAsia"/>
        </w:rPr>
        <w:t>文盲比例由</w:t>
      </w:r>
      <w:r>
        <w:t>1961</w:t>
      </w:r>
      <w:r>
        <w:rPr>
          <w:rFonts w:hint="eastAsia"/>
        </w:rPr>
        <w:t>年的</w:t>
      </w:r>
      <w:r>
        <w:t>53%</w:t>
      </w:r>
      <w:r>
        <w:rPr>
          <w:rFonts w:hint="eastAsia"/>
        </w:rPr>
        <w:t>下降到</w:t>
      </w:r>
      <w:r>
        <w:t>1974</w:t>
      </w:r>
      <w:r>
        <w:rPr>
          <w:rFonts w:hint="eastAsia"/>
        </w:rPr>
        <w:t>年的</w:t>
      </w:r>
      <w:r>
        <w:t>40%</w:t>
      </w:r>
      <w:r>
        <w:rPr>
          <w:rFonts w:hint="eastAsia"/>
        </w:rPr>
        <w:t>，根据最近的人口普查，又下降到</w:t>
      </w:r>
      <w:r>
        <w:t>1988</w:t>
      </w:r>
      <w:r>
        <w:rPr>
          <w:rFonts w:hint="eastAsia"/>
        </w:rPr>
        <w:t>年的</w:t>
      </w:r>
      <w:r>
        <w:t>32%</w:t>
      </w:r>
      <w:r>
        <w:rPr>
          <w:rFonts w:hint="eastAsia"/>
        </w:rPr>
        <w:t>；在全国</w:t>
      </w:r>
      <w:r>
        <w:t>500</w:t>
      </w:r>
      <w:r>
        <w:rPr>
          <w:rFonts w:hint="eastAsia"/>
        </w:rPr>
        <w:t>万文盲中，有</w:t>
      </w:r>
      <w:r>
        <w:t>100</w:t>
      </w:r>
      <w:r>
        <w:rPr>
          <w:rFonts w:hint="eastAsia"/>
        </w:rPr>
        <w:t>万人的年龄在</w:t>
      </w:r>
      <w:r>
        <w:t>10</w:t>
      </w:r>
      <w:r>
        <w:rPr>
          <w:rFonts w:hint="eastAsia"/>
        </w:rPr>
        <w:t>岁以上。在这一总数中，</w:t>
      </w:r>
      <w:r>
        <w:t>77.3%</w:t>
      </w:r>
      <w:r>
        <w:rPr>
          <w:rFonts w:hint="eastAsia"/>
        </w:rPr>
        <w:t>的人生活在农村地区</w:t>
      </w:r>
      <w:r>
        <w:t>(869,439</w:t>
      </w:r>
      <w:r>
        <w:rPr>
          <w:rFonts w:hint="eastAsia"/>
        </w:rPr>
        <w:t>人</w:t>
      </w:r>
      <w:r>
        <w:t>)</w:t>
      </w:r>
      <w:r>
        <w:rPr>
          <w:rFonts w:hint="eastAsia"/>
        </w:rPr>
        <w:t>，</w:t>
      </w:r>
      <w:r>
        <w:t>22.7%</w:t>
      </w:r>
      <w:r>
        <w:rPr>
          <w:rFonts w:hint="eastAsia"/>
        </w:rPr>
        <w:t>的人生活在城市地区</w:t>
      </w:r>
      <w:r>
        <w:t>(205,952</w:t>
      </w:r>
      <w:r>
        <w:rPr>
          <w:rFonts w:hint="eastAsia"/>
        </w:rPr>
        <w:t>人</w:t>
      </w:r>
      <w:r>
        <w:t>)</w:t>
      </w:r>
      <w:r>
        <w:rPr>
          <w:rFonts w:hint="eastAsia"/>
        </w:rPr>
        <w:t>。据计划部估计</w:t>
      </w:r>
      <w:r>
        <w:t>(</w:t>
      </w:r>
      <w:r>
        <w:rPr>
          <w:rFonts w:hint="eastAsia"/>
        </w:rPr>
        <w:t>原为</w:t>
      </w:r>
      <w:r>
        <w:t xml:space="preserve">SECPLAN,  </w:t>
      </w:r>
      <w:r>
        <w:rPr>
          <w:rFonts w:hint="eastAsia"/>
        </w:rPr>
        <w:t>现为</w:t>
      </w:r>
      <w:r>
        <w:t>SETCO)</w:t>
      </w:r>
      <w:r>
        <w:rPr>
          <w:rFonts w:hint="eastAsia"/>
        </w:rPr>
        <w:t>，</w:t>
      </w:r>
      <w:r>
        <w:t>1992</w:t>
      </w:r>
      <w:r>
        <w:rPr>
          <w:rFonts w:hint="eastAsia"/>
        </w:rPr>
        <w:t>年的文盲比例约为</w:t>
      </w:r>
      <w:r>
        <w:t>30%</w:t>
      </w:r>
      <w:r>
        <w:rPr>
          <w:rFonts w:hint="eastAsia"/>
        </w:rPr>
        <w:t>。</w:t>
      </w:r>
    </w:p>
    <w:p w:rsidR="00000000" w:rsidRDefault="000C45AD">
      <w:pPr>
        <w:spacing w:after="320"/>
        <w:textAlignment w:val="center"/>
      </w:pPr>
      <w:r>
        <w:tab/>
        <w:t xml:space="preserve">358.  </w:t>
      </w:r>
      <w:r>
        <w:rPr>
          <w:rFonts w:hint="eastAsia"/>
        </w:rPr>
        <w:t>为了将覆盖范围扩大到无法利用上述正规班的地区和群体，</w:t>
      </w:r>
      <w:r>
        <w:t>1992</w:t>
      </w:r>
      <w:r>
        <w:rPr>
          <w:rFonts w:hint="eastAsia"/>
        </w:rPr>
        <w:t>年开办了另外的成人教育班：“无线电交互教授”、“前进中的年青人”、“冈马亚瓜谋职教育计划”</w:t>
      </w:r>
      <w:r>
        <w:t>(</w:t>
      </w:r>
      <w:r>
        <w:rPr>
          <w:rFonts w:hint="eastAsia"/>
        </w:rPr>
        <w:t>旧称</w:t>
      </w:r>
      <w:r>
        <w:t xml:space="preserve">POCET,  </w:t>
      </w:r>
      <w:r>
        <w:rPr>
          <w:rFonts w:hint="eastAsia"/>
        </w:rPr>
        <w:t>现称</w:t>
      </w:r>
      <w:r>
        <w:t>CENET)</w:t>
      </w:r>
      <w:r>
        <w:rPr>
          <w:rFonts w:hint="eastAsia"/>
        </w:rPr>
        <w:t>和“残疾人、难民和返回者发展方案</w:t>
      </w:r>
      <w:r>
        <w:t>(</w:t>
      </w:r>
      <w:r>
        <w:rPr>
          <w:rFonts w:hint="eastAsia"/>
        </w:rPr>
        <w:t>残、难、返方案</w:t>
      </w:r>
      <w:r>
        <w:t>)</w:t>
      </w:r>
      <w:r>
        <w:rPr>
          <w:rFonts w:hint="eastAsia"/>
        </w:rPr>
        <w:t>。</w:t>
      </w:r>
      <w:r>
        <w:t>1992</w:t>
      </w:r>
      <w:r>
        <w:rPr>
          <w:rFonts w:hint="eastAsia"/>
        </w:rPr>
        <w:t>年实施的这些新的方案将覆盖范围扩大到</w:t>
      </w:r>
      <w:r>
        <w:t>133,080</w:t>
      </w:r>
      <w:r>
        <w:rPr>
          <w:rFonts w:hint="eastAsia"/>
        </w:rPr>
        <w:t>人，其中“无线电交互</w:t>
      </w:r>
      <w:r>
        <w:rPr>
          <w:rFonts w:hint="eastAsia"/>
        </w:rPr>
        <w:t>教授”方案下有</w:t>
      </w:r>
      <w:r>
        <w:t>68,715</w:t>
      </w:r>
      <w:r>
        <w:rPr>
          <w:rFonts w:hint="eastAsia"/>
        </w:rPr>
        <w:t>人，“前进中的青年人”方案下有</w:t>
      </w:r>
      <w:r>
        <w:t>25,000</w:t>
      </w:r>
      <w:r>
        <w:rPr>
          <w:rFonts w:hint="eastAsia"/>
        </w:rPr>
        <w:t>人，“冈马亚瓜谋职教育”方案下有</w:t>
      </w:r>
      <w:r>
        <w:t>1,400</w:t>
      </w:r>
      <w:r>
        <w:rPr>
          <w:rFonts w:hint="eastAsia"/>
        </w:rPr>
        <w:t>人，“残、难、返方案下有</w:t>
      </w:r>
      <w:r>
        <w:t>1,600</w:t>
      </w:r>
      <w:r>
        <w:rPr>
          <w:rFonts w:hint="eastAsia"/>
        </w:rPr>
        <w:t>人。</w:t>
      </w:r>
    </w:p>
    <w:p w:rsidR="00000000" w:rsidRDefault="000C45AD">
      <w:pPr>
        <w:pStyle w:val="Heading4"/>
      </w:pPr>
      <w:r>
        <w:rPr>
          <w:rFonts w:hint="eastAsia"/>
        </w:rPr>
        <w:t>教育部门中的重视妇女的态度</w:t>
      </w:r>
    </w:p>
    <w:p w:rsidR="00000000" w:rsidRDefault="000C45AD">
      <w:r>
        <w:tab/>
        <w:t xml:space="preserve">359.  </w:t>
      </w:r>
      <w:r>
        <w:rPr>
          <w:rFonts w:hint="eastAsia"/>
        </w:rPr>
        <w:t>洪都拉斯在国家立法中承认妇女的权利，例如《共和国宪法》和《家庭法》。洪都拉斯还作出国际承诺，保证赋予妇女应有的平等权利。</w:t>
      </w:r>
      <w:r>
        <w:t>1975</w:t>
      </w:r>
      <w:r>
        <w:rPr>
          <w:rFonts w:hint="eastAsia"/>
        </w:rPr>
        <w:t>年，国际妇女年世界会议通过的《行动计划》促使洪都拉斯在其</w:t>
      </w:r>
      <w:r>
        <w:t>1979-1983</w:t>
      </w:r>
      <w:r>
        <w:rPr>
          <w:rFonts w:hint="eastAsia"/>
        </w:rPr>
        <w:t>国家发展计划中载有便于将农村妇女、单身母亲和年青妇女纳入各种发展计划的社会促进措施。</w:t>
      </w:r>
    </w:p>
    <w:p w:rsidR="00000000" w:rsidRDefault="000C45AD">
      <w:r>
        <w:tab/>
        <w:t>360.  1979</w:t>
      </w:r>
      <w:r>
        <w:rPr>
          <w:rFonts w:hint="eastAsia"/>
        </w:rPr>
        <w:t>年</w:t>
      </w:r>
      <w:r>
        <w:t>12</w:t>
      </w:r>
      <w:r>
        <w:rPr>
          <w:rFonts w:hint="eastAsia"/>
        </w:rPr>
        <w:t>月，</w:t>
      </w:r>
      <w:r>
        <w:rPr>
          <w:rFonts w:hint="eastAsia"/>
        </w:rPr>
        <w:t>洪都拉斯批准了《消除对妇女一切形式歧视公约》，</w:t>
      </w:r>
      <w:r>
        <w:t>1982</w:t>
      </w:r>
      <w:r>
        <w:rPr>
          <w:rFonts w:hint="eastAsia"/>
        </w:rPr>
        <w:t>年批准了《关于妇女参与促进社会发展宣言》；洪都拉斯还批准了一项国家政策，确保有效执行关于妇女的方案和项目。</w:t>
      </w:r>
      <w:r>
        <w:t>1948</w:t>
      </w:r>
      <w:r>
        <w:rPr>
          <w:rFonts w:hint="eastAsia"/>
        </w:rPr>
        <w:t>年</w:t>
      </w:r>
      <w:r>
        <w:t>12</w:t>
      </w:r>
      <w:r>
        <w:rPr>
          <w:rFonts w:hint="eastAsia"/>
        </w:rPr>
        <w:t>月</w:t>
      </w:r>
      <w:r>
        <w:t>10</w:t>
      </w:r>
      <w:r>
        <w:rPr>
          <w:rFonts w:hint="eastAsia"/>
        </w:rPr>
        <w:t>日，洪都拉斯批准了《世界人权宣言》。</w:t>
      </w:r>
      <w:r>
        <w:t>1959</w:t>
      </w:r>
      <w:r>
        <w:rPr>
          <w:rFonts w:hint="eastAsia"/>
        </w:rPr>
        <w:t>年</w:t>
      </w:r>
      <w:r>
        <w:t>11</w:t>
      </w:r>
      <w:r>
        <w:rPr>
          <w:rFonts w:hint="eastAsia"/>
        </w:rPr>
        <w:t>月批准了《儿童权利宣言》，</w:t>
      </w:r>
      <w:r>
        <w:t>1996</w:t>
      </w:r>
      <w:r>
        <w:rPr>
          <w:rFonts w:hint="eastAsia"/>
        </w:rPr>
        <w:t>年通过了《全国儿童和青少年法》。</w:t>
      </w:r>
    </w:p>
    <w:p w:rsidR="00000000" w:rsidRDefault="000C45AD">
      <w:pPr>
        <w:spacing w:after="320"/>
        <w:textAlignment w:val="center"/>
      </w:pPr>
      <w:r>
        <w:tab/>
        <w:t xml:space="preserve">361.  </w:t>
      </w:r>
      <w:r>
        <w:rPr>
          <w:rFonts w:hint="eastAsia"/>
        </w:rPr>
        <w:t>作为同剥削儿童作斗争的一项专门和具体的措施，教育部在编写学校教科书和其他文字材料，例如宣传招贴，手册时是考虑到了女孩问题。</w:t>
      </w:r>
    </w:p>
    <w:p w:rsidR="00000000" w:rsidRDefault="000C45AD">
      <w:pPr>
        <w:pStyle w:val="Heading4"/>
      </w:pPr>
      <w:r>
        <w:rPr>
          <w:rFonts w:hint="eastAsia"/>
        </w:rPr>
        <w:t>高等教育</w:t>
      </w:r>
    </w:p>
    <w:p w:rsidR="00000000" w:rsidRDefault="000C45AD">
      <w:r>
        <w:tab/>
        <w:t xml:space="preserve">362.  </w:t>
      </w:r>
      <w:r>
        <w:rPr>
          <w:rFonts w:hint="eastAsia"/>
        </w:rPr>
        <w:t>高等教育的服务对象为</w:t>
      </w:r>
      <w:r>
        <w:t>18-24</w:t>
      </w:r>
      <w:r>
        <w:rPr>
          <w:rFonts w:hint="eastAsia"/>
        </w:rPr>
        <w:t>岁的人，</w:t>
      </w:r>
      <w:r>
        <w:t>1995</w:t>
      </w:r>
      <w:r>
        <w:rPr>
          <w:rFonts w:hint="eastAsia"/>
        </w:rPr>
        <w:t>年估计</w:t>
      </w:r>
      <w:r>
        <w:rPr>
          <w:rFonts w:hint="eastAsia"/>
        </w:rPr>
        <w:t>约有</w:t>
      </w:r>
      <w:r>
        <w:t>816,685</w:t>
      </w:r>
      <w:r>
        <w:rPr>
          <w:rFonts w:hint="eastAsia"/>
        </w:rPr>
        <w:t>人。</w:t>
      </w:r>
      <w:r>
        <w:t>1995</w:t>
      </w:r>
      <w:r>
        <w:rPr>
          <w:rFonts w:hint="eastAsia"/>
        </w:rPr>
        <w:t>年，三个教学机构中共设有十三个专业，四个专业是由国家开办的，九个专业是由私人开办的。</w:t>
      </w:r>
    </w:p>
    <w:p w:rsidR="00000000" w:rsidRDefault="000C45AD">
      <w:r>
        <w:tab/>
        <w:t xml:space="preserve">363.  </w:t>
      </w:r>
      <w:r>
        <w:rPr>
          <w:rFonts w:hint="eastAsia"/>
        </w:rPr>
        <w:t>传统科目的报名人数和毕业人数最多：法律、商业管理、人文科学和工程。吸收这些专业毕业生的劳务市场已经饱和，提供的就业机会极为有限，而且工资低于大学毕业生本应拿到的工资。此外，国家的经济和文化发展要求培训基础自然和社会学科方面的科学人才，尤其是技术和专业管理人员。</w:t>
      </w:r>
    </w:p>
    <w:p w:rsidR="00000000" w:rsidRDefault="000C45AD">
      <w:pPr>
        <w:spacing w:after="320"/>
        <w:textAlignment w:val="center"/>
      </w:pPr>
      <w:r>
        <w:tab/>
        <w:t xml:space="preserve">364.  </w:t>
      </w:r>
      <w:r>
        <w:rPr>
          <w:rFonts w:hint="eastAsia"/>
        </w:rPr>
        <w:t>大学总的注册人数只占洪都拉斯有权被大学录取的年龄组</w:t>
      </w:r>
      <w:r>
        <w:t>(19</w:t>
      </w:r>
      <w:r>
        <w:rPr>
          <w:rFonts w:hint="eastAsia"/>
          <w:spacing w:val="-40"/>
        </w:rPr>
        <w:t>——</w:t>
      </w:r>
      <w:r>
        <w:rPr>
          <w:spacing w:val="-40"/>
        </w:rPr>
        <w:t xml:space="preserve"> </w:t>
      </w:r>
      <w:r>
        <w:t>24</w:t>
      </w:r>
      <w:r>
        <w:rPr>
          <w:rFonts w:hint="eastAsia"/>
        </w:rPr>
        <w:t>岁</w:t>
      </w:r>
      <w:r>
        <w:t>)</w:t>
      </w:r>
      <w:r>
        <w:rPr>
          <w:rFonts w:hint="eastAsia"/>
        </w:rPr>
        <w:t>人数的</w:t>
      </w:r>
      <w:r>
        <w:t>10%</w:t>
      </w:r>
      <w:r>
        <w:rPr>
          <w:rFonts w:hint="eastAsia"/>
        </w:rPr>
        <w:t>。高等教育的报名注册和毕</w:t>
      </w:r>
      <w:r>
        <w:rPr>
          <w:rFonts w:hint="eastAsia"/>
        </w:rPr>
        <w:t>业人数如下。</w:t>
      </w:r>
    </w:p>
    <w:p w:rsidR="00000000" w:rsidRDefault="000C45AD">
      <w:pPr>
        <w:pStyle w:val="Heading3"/>
      </w:pPr>
      <w:r>
        <w:rPr>
          <w:rFonts w:hint="eastAsia"/>
        </w:rPr>
        <w:t>高等教育的报名注册和毕业人数，</w:t>
      </w:r>
      <w:r>
        <w:t>1986-2000</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68"/>
        <w:gridCol w:w="1568"/>
        <w:gridCol w:w="1568"/>
        <w:gridCol w:w="1568"/>
        <w:gridCol w:w="1568"/>
        <w:gridCol w:w="1568"/>
      </w:tblGrid>
      <w:tr w:rsidR="00000000">
        <w:tblPrEx>
          <w:tblCellMar>
            <w:top w:w="0" w:type="dxa"/>
            <w:bottom w:w="0" w:type="dxa"/>
          </w:tblCellMar>
        </w:tblPrEx>
        <w:tc>
          <w:tcPr>
            <w:tcW w:w="1568" w:type="dxa"/>
            <w:tcBorders>
              <w:bottom w:val="nil"/>
            </w:tcBorders>
          </w:tcPr>
          <w:p w:rsidR="00000000" w:rsidRDefault="000C45AD">
            <w:pPr>
              <w:spacing w:before="80" w:after="40" w:line="240" w:lineRule="auto"/>
              <w:jc w:val="center"/>
              <w:rPr>
                <w:spacing w:val="0"/>
                <w:sz w:val="21"/>
              </w:rPr>
            </w:pPr>
            <w:r>
              <w:rPr>
                <w:rFonts w:hint="eastAsia"/>
                <w:spacing w:val="0"/>
                <w:sz w:val="21"/>
              </w:rPr>
              <w:t>年</w:t>
            </w:r>
            <w:r>
              <w:rPr>
                <w:spacing w:val="0"/>
                <w:sz w:val="21"/>
              </w:rPr>
              <w:t xml:space="preserve">  </w:t>
            </w:r>
            <w:r>
              <w:rPr>
                <w:rFonts w:hint="eastAsia"/>
                <w:spacing w:val="0"/>
                <w:sz w:val="21"/>
              </w:rPr>
              <w:t>度</w:t>
            </w:r>
          </w:p>
        </w:tc>
        <w:tc>
          <w:tcPr>
            <w:tcW w:w="1568" w:type="dxa"/>
            <w:tcBorders>
              <w:bottom w:val="nil"/>
            </w:tcBorders>
          </w:tcPr>
          <w:p w:rsidR="00000000" w:rsidRDefault="000C45AD">
            <w:pPr>
              <w:spacing w:before="80" w:after="40" w:line="240" w:lineRule="auto"/>
              <w:jc w:val="center"/>
              <w:rPr>
                <w:spacing w:val="0"/>
                <w:sz w:val="21"/>
              </w:rPr>
            </w:pPr>
            <w:r>
              <w:rPr>
                <w:rFonts w:hint="eastAsia"/>
                <w:spacing w:val="0"/>
                <w:sz w:val="21"/>
              </w:rPr>
              <w:t>总的报名</w:t>
            </w:r>
            <w:r>
              <w:rPr>
                <w:spacing w:val="0"/>
                <w:sz w:val="21"/>
              </w:rPr>
              <w:br/>
            </w:r>
            <w:r>
              <w:rPr>
                <w:rFonts w:hint="eastAsia"/>
                <w:spacing w:val="0"/>
                <w:sz w:val="21"/>
              </w:rPr>
              <w:t>注册人数</w:t>
            </w:r>
          </w:p>
        </w:tc>
        <w:tc>
          <w:tcPr>
            <w:tcW w:w="1568" w:type="dxa"/>
            <w:tcBorders>
              <w:bottom w:val="nil"/>
            </w:tcBorders>
          </w:tcPr>
          <w:p w:rsidR="00000000" w:rsidRDefault="000C45AD">
            <w:pPr>
              <w:spacing w:before="80" w:after="40" w:line="240" w:lineRule="auto"/>
              <w:jc w:val="center"/>
              <w:rPr>
                <w:spacing w:val="0"/>
                <w:sz w:val="21"/>
              </w:rPr>
            </w:pPr>
            <w:r>
              <w:rPr>
                <w:rFonts w:hint="eastAsia"/>
                <w:spacing w:val="0"/>
                <w:sz w:val="21"/>
              </w:rPr>
              <w:t>公</w:t>
            </w:r>
            <w:r>
              <w:rPr>
                <w:spacing w:val="0"/>
                <w:sz w:val="21"/>
              </w:rPr>
              <w:t xml:space="preserve">  </w:t>
            </w:r>
            <w:r>
              <w:rPr>
                <w:rFonts w:hint="eastAsia"/>
                <w:spacing w:val="0"/>
                <w:sz w:val="21"/>
              </w:rPr>
              <w:t>立</w:t>
            </w:r>
          </w:p>
        </w:tc>
        <w:tc>
          <w:tcPr>
            <w:tcW w:w="1568" w:type="dxa"/>
            <w:tcBorders>
              <w:bottom w:val="nil"/>
            </w:tcBorders>
          </w:tcPr>
          <w:p w:rsidR="00000000" w:rsidRDefault="000C45AD">
            <w:pPr>
              <w:spacing w:before="80" w:after="40" w:line="240" w:lineRule="auto"/>
              <w:jc w:val="center"/>
              <w:rPr>
                <w:spacing w:val="0"/>
                <w:sz w:val="21"/>
              </w:rPr>
            </w:pPr>
            <w:r>
              <w:rPr>
                <w:rFonts w:hint="eastAsia"/>
                <w:spacing w:val="0"/>
                <w:sz w:val="21"/>
              </w:rPr>
              <w:t>私</w:t>
            </w:r>
            <w:r>
              <w:rPr>
                <w:spacing w:val="0"/>
                <w:sz w:val="21"/>
              </w:rPr>
              <w:t xml:space="preserve">  </w:t>
            </w:r>
            <w:r>
              <w:rPr>
                <w:rFonts w:hint="eastAsia"/>
                <w:spacing w:val="0"/>
                <w:sz w:val="21"/>
              </w:rPr>
              <w:t>立</w:t>
            </w:r>
          </w:p>
        </w:tc>
        <w:tc>
          <w:tcPr>
            <w:tcW w:w="1568" w:type="dxa"/>
            <w:tcBorders>
              <w:bottom w:val="nil"/>
            </w:tcBorders>
          </w:tcPr>
          <w:p w:rsidR="00000000" w:rsidRDefault="000C45AD">
            <w:pPr>
              <w:spacing w:before="80" w:after="40" w:line="240" w:lineRule="auto"/>
              <w:jc w:val="center"/>
              <w:rPr>
                <w:spacing w:val="0"/>
                <w:sz w:val="21"/>
              </w:rPr>
            </w:pPr>
            <w:r>
              <w:rPr>
                <w:rFonts w:hint="eastAsia"/>
                <w:spacing w:val="0"/>
                <w:sz w:val="21"/>
              </w:rPr>
              <w:t>毕业生总数</w:t>
            </w:r>
          </w:p>
        </w:tc>
        <w:tc>
          <w:tcPr>
            <w:tcW w:w="1568" w:type="dxa"/>
            <w:tcBorders>
              <w:bottom w:val="nil"/>
            </w:tcBorders>
          </w:tcPr>
          <w:p w:rsidR="00000000" w:rsidRDefault="000C45AD">
            <w:pPr>
              <w:spacing w:before="80" w:after="40" w:line="240" w:lineRule="auto"/>
              <w:jc w:val="center"/>
              <w:rPr>
                <w:spacing w:val="0"/>
                <w:sz w:val="21"/>
              </w:rPr>
            </w:pPr>
            <w:r>
              <w:rPr>
                <w:rFonts w:hint="eastAsia"/>
                <w:spacing w:val="0"/>
                <w:sz w:val="21"/>
              </w:rPr>
              <w:t>受过高等教育的成人所占百分比</w:t>
            </w:r>
          </w:p>
        </w:tc>
      </w:tr>
      <w:tr w:rsidR="00000000">
        <w:tblPrEx>
          <w:tblCellMar>
            <w:top w:w="0" w:type="dxa"/>
            <w:bottom w:w="0" w:type="dxa"/>
          </w:tblCellMar>
        </w:tblPrEx>
        <w:tc>
          <w:tcPr>
            <w:tcW w:w="1568" w:type="dxa"/>
            <w:tcBorders>
              <w:top w:val="single" w:sz="6" w:space="0" w:color="auto"/>
              <w:bottom w:val="nil"/>
              <w:right w:val="single" w:sz="6" w:space="0" w:color="auto"/>
            </w:tcBorders>
          </w:tcPr>
          <w:p w:rsidR="00000000" w:rsidRDefault="000C45AD">
            <w:pPr>
              <w:spacing w:before="80" w:after="40" w:line="240" w:lineRule="auto"/>
              <w:jc w:val="center"/>
              <w:rPr>
                <w:sz w:val="21"/>
              </w:rPr>
            </w:pPr>
            <w:r>
              <w:rPr>
                <w:sz w:val="21"/>
              </w:rPr>
              <w:t>1.996e+59</w:t>
            </w:r>
          </w:p>
        </w:tc>
        <w:tc>
          <w:tcPr>
            <w:tcW w:w="1568" w:type="dxa"/>
            <w:tcBorders>
              <w:top w:val="single" w:sz="6" w:space="0" w:color="auto"/>
              <w:left w:val="nil"/>
              <w:bottom w:val="nil"/>
              <w:right w:val="nil"/>
            </w:tcBorders>
          </w:tcPr>
          <w:p w:rsidR="00000000" w:rsidRDefault="000C45AD">
            <w:pPr>
              <w:spacing w:before="80" w:after="40" w:line="240" w:lineRule="auto"/>
              <w:jc w:val="center"/>
              <w:rPr>
                <w:sz w:val="21"/>
              </w:rPr>
            </w:pPr>
            <w:r>
              <w:rPr>
                <w:sz w:val="21"/>
              </w:rPr>
              <w:t>38 475</w:t>
            </w:r>
          </w:p>
        </w:tc>
        <w:tc>
          <w:tcPr>
            <w:tcW w:w="1568" w:type="dxa"/>
            <w:tcBorders>
              <w:top w:val="single" w:sz="6" w:space="0" w:color="auto"/>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36 914</w:t>
            </w:r>
          </w:p>
        </w:tc>
        <w:tc>
          <w:tcPr>
            <w:tcW w:w="1568" w:type="dxa"/>
            <w:tcBorders>
              <w:top w:val="single" w:sz="6" w:space="0" w:color="auto"/>
              <w:left w:val="nil"/>
              <w:bottom w:val="nil"/>
              <w:right w:val="nil"/>
            </w:tcBorders>
          </w:tcPr>
          <w:p w:rsidR="00000000" w:rsidRDefault="000C45AD">
            <w:pPr>
              <w:spacing w:before="80" w:after="40" w:line="240" w:lineRule="auto"/>
              <w:jc w:val="center"/>
              <w:rPr>
                <w:sz w:val="21"/>
              </w:rPr>
            </w:pPr>
            <w:r>
              <w:rPr>
                <w:sz w:val="21"/>
              </w:rPr>
              <w:t>1 561</w:t>
            </w:r>
          </w:p>
        </w:tc>
        <w:tc>
          <w:tcPr>
            <w:tcW w:w="1568" w:type="dxa"/>
            <w:tcBorders>
              <w:top w:val="single" w:sz="6" w:space="0" w:color="auto"/>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1 820</w:t>
            </w:r>
          </w:p>
        </w:tc>
        <w:tc>
          <w:tcPr>
            <w:tcW w:w="1568" w:type="dxa"/>
            <w:tcBorders>
              <w:top w:val="single" w:sz="6" w:space="0" w:color="auto"/>
              <w:left w:val="nil"/>
              <w:bottom w:val="nil"/>
            </w:tcBorders>
          </w:tcPr>
          <w:p w:rsidR="00000000" w:rsidRDefault="000C45AD">
            <w:pPr>
              <w:spacing w:before="80" w:after="40" w:line="240" w:lineRule="auto"/>
              <w:jc w:val="center"/>
              <w:rPr>
                <w:sz w:val="21"/>
              </w:rPr>
            </w:pPr>
            <w:r>
              <w:rPr>
                <w:sz w:val="21"/>
              </w:rPr>
              <w:t>2.6</w:t>
            </w:r>
          </w:p>
        </w:tc>
      </w:tr>
      <w:tr w:rsidR="00000000">
        <w:tblPrEx>
          <w:tblCellMar>
            <w:top w:w="0" w:type="dxa"/>
            <w:bottom w:w="0" w:type="dxa"/>
          </w:tblCellMar>
        </w:tblPrEx>
        <w:tc>
          <w:tcPr>
            <w:tcW w:w="1568" w:type="dxa"/>
            <w:tcBorders>
              <w:top w:val="nil"/>
              <w:bottom w:val="nil"/>
              <w:right w:val="single" w:sz="6" w:space="0" w:color="auto"/>
            </w:tcBorders>
          </w:tcPr>
          <w:p w:rsidR="00000000" w:rsidRDefault="000C45AD">
            <w:pPr>
              <w:spacing w:before="80" w:after="40" w:line="240" w:lineRule="auto"/>
              <w:jc w:val="center"/>
              <w:rPr>
                <w:sz w:val="21"/>
              </w:rPr>
            </w:pP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39 882</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37 640</w:t>
            </w: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1 790</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1 717</w:t>
            </w:r>
          </w:p>
        </w:tc>
        <w:tc>
          <w:tcPr>
            <w:tcW w:w="1568" w:type="dxa"/>
            <w:tcBorders>
              <w:top w:val="nil"/>
              <w:left w:val="nil"/>
              <w:bottom w:val="nil"/>
            </w:tcBorders>
          </w:tcPr>
          <w:p w:rsidR="00000000" w:rsidRDefault="000C45AD">
            <w:pPr>
              <w:spacing w:before="80" w:after="40" w:line="240" w:lineRule="auto"/>
              <w:jc w:val="center"/>
              <w:rPr>
                <w:sz w:val="21"/>
              </w:rPr>
            </w:pPr>
            <w:r>
              <w:rPr>
                <w:sz w:val="21"/>
              </w:rPr>
              <w:t>2.6</w:t>
            </w:r>
          </w:p>
        </w:tc>
      </w:tr>
      <w:tr w:rsidR="00000000">
        <w:tblPrEx>
          <w:tblCellMar>
            <w:top w:w="0" w:type="dxa"/>
            <w:bottom w:w="0" w:type="dxa"/>
          </w:tblCellMar>
        </w:tblPrEx>
        <w:tc>
          <w:tcPr>
            <w:tcW w:w="1568" w:type="dxa"/>
            <w:tcBorders>
              <w:top w:val="nil"/>
              <w:bottom w:val="nil"/>
              <w:right w:val="single" w:sz="6" w:space="0" w:color="auto"/>
            </w:tcBorders>
          </w:tcPr>
          <w:p w:rsidR="00000000" w:rsidRDefault="000C45AD">
            <w:pPr>
              <w:spacing w:before="80" w:after="40" w:line="240" w:lineRule="auto"/>
              <w:jc w:val="center"/>
              <w:rPr>
                <w:sz w:val="21"/>
              </w:rPr>
            </w:pP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42 701</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40 640</w:t>
            </w: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1 893</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1 707</w:t>
            </w:r>
          </w:p>
        </w:tc>
        <w:tc>
          <w:tcPr>
            <w:tcW w:w="1568" w:type="dxa"/>
            <w:tcBorders>
              <w:top w:val="nil"/>
              <w:left w:val="nil"/>
              <w:bottom w:val="nil"/>
            </w:tcBorders>
          </w:tcPr>
          <w:p w:rsidR="00000000" w:rsidRDefault="000C45AD">
            <w:pPr>
              <w:spacing w:before="80" w:after="40" w:line="240" w:lineRule="auto"/>
              <w:jc w:val="center"/>
              <w:rPr>
                <w:sz w:val="21"/>
              </w:rPr>
            </w:pPr>
            <w:r>
              <w:rPr>
                <w:sz w:val="21"/>
              </w:rPr>
              <w:t>2.7</w:t>
            </w:r>
          </w:p>
        </w:tc>
      </w:tr>
      <w:tr w:rsidR="00000000">
        <w:tblPrEx>
          <w:tblCellMar>
            <w:top w:w="0" w:type="dxa"/>
            <w:bottom w:w="0" w:type="dxa"/>
          </w:tblCellMar>
        </w:tblPrEx>
        <w:tc>
          <w:tcPr>
            <w:tcW w:w="1568" w:type="dxa"/>
            <w:tcBorders>
              <w:top w:val="nil"/>
              <w:bottom w:val="nil"/>
              <w:right w:val="single" w:sz="6" w:space="0" w:color="auto"/>
            </w:tcBorders>
          </w:tcPr>
          <w:p w:rsidR="00000000" w:rsidRDefault="000C45AD">
            <w:pPr>
              <w:spacing w:before="80" w:after="40" w:line="240" w:lineRule="auto"/>
              <w:jc w:val="center"/>
              <w:rPr>
                <w:sz w:val="21"/>
              </w:rPr>
            </w:pP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43 379</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40 808</w:t>
            </w: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2 362</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1 736</w:t>
            </w:r>
          </w:p>
        </w:tc>
        <w:tc>
          <w:tcPr>
            <w:tcW w:w="1568" w:type="dxa"/>
            <w:tcBorders>
              <w:top w:val="nil"/>
              <w:left w:val="nil"/>
              <w:bottom w:val="nil"/>
            </w:tcBorders>
          </w:tcPr>
          <w:p w:rsidR="00000000" w:rsidRDefault="000C45AD">
            <w:pPr>
              <w:spacing w:before="80" w:after="40" w:line="240" w:lineRule="auto"/>
              <w:jc w:val="center"/>
              <w:rPr>
                <w:sz w:val="21"/>
              </w:rPr>
            </w:pPr>
            <w:r>
              <w:rPr>
                <w:sz w:val="21"/>
              </w:rPr>
              <w:t>2.8</w:t>
            </w:r>
          </w:p>
        </w:tc>
      </w:tr>
      <w:tr w:rsidR="00000000">
        <w:tblPrEx>
          <w:tblCellMar>
            <w:top w:w="0" w:type="dxa"/>
            <w:bottom w:w="0" w:type="dxa"/>
          </w:tblCellMar>
        </w:tblPrEx>
        <w:tc>
          <w:tcPr>
            <w:tcW w:w="1568" w:type="dxa"/>
            <w:tcBorders>
              <w:top w:val="nil"/>
              <w:bottom w:val="nil"/>
              <w:right w:val="single" w:sz="6" w:space="0" w:color="auto"/>
            </w:tcBorders>
          </w:tcPr>
          <w:p w:rsidR="00000000" w:rsidRDefault="000C45AD">
            <w:pPr>
              <w:spacing w:before="80" w:after="40" w:line="240" w:lineRule="auto"/>
              <w:jc w:val="center"/>
              <w:rPr>
                <w:sz w:val="21"/>
              </w:rPr>
            </w:pP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43 871</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41 017</w:t>
            </w: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2 877</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2 085</w:t>
            </w:r>
          </w:p>
        </w:tc>
        <w:tc>
          <w:tcPr>
            <w:tcW w:w="1568" w:type="dxa"/>
            <w:tcBorders>
              <w:top w:val="nil"/>
              <w:left w:val="nil"/>
              <w:bottom w:val="nil"/>
            </w:tcBorders>
          </w:tcPr>
          <w:p w:rsidR="00000000" w:rsidRDefault="000C45AD">
            <w:pPr>
              <w:spacing w:before="80" w:after="40" w:line="240" w:lineRule="auto"/>
              <w:jc w:val="center"/>
              <w:rPr>
                <w:sz w:val="21"/>
              </w:rPr>
            </w:pPr>
            <w:r>
              <w:rPr>
                <w:sz w:val="21"/>
              </w:rPr>
              <w:t>2.9</w:t>
            </w:r>
          </w:p>
        </w:tc>
      </w:tr>
      <w:tr w:rsidR="00000000">
        <w:tblPrEx>
          <w:tblCellMar>
            <w:top w:w="0" w:type="dxa"/>
            <w:bottom w:w="0" w:type="dxa"/>
          </w:tblCellMar>
        </w:tblPrEx>
        <w:tc>
          <w:tcPr>
            <w:tcW w:w="1568" w:type="dxa"/>
            <w:tcBorders>
              <w:top w:val="nil"/>
              <w:bottom w:val="nil"/>
              <w:right w:val="single" w:sz="6" w:space="0" w:color="auto"/>
            </w:tcBorders>
          </w:tcPr>
          <w:p w:rsidR="00000000" w:rsidRDefault="000C45AD">
            <w:pPr>
              <w:spacing w:before="80" w:after="40" w:line="240" w:lineRule="auto"/>
              <w:jc w:val="center"/>
              <w:rPr>
                <w:sz w:val="21"/>
              </w:rPr>
            </w:pP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43 711</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40 876</w:t>
            </w: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2 835</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2 219</w:t>
            </w:r>
          </w:p>
        </w:tc>
        <w:tc>
          <w:tcPr>
            <w:tcW w:w="1568" w:type="dxa"/>
            <w:tcBorders>
              <w:top w:val="nil"/>
              <w:left w:val="nil"/>
              <w:bottom w:val="nil"/>
            </w:tcBorders>
          </w:tcPr>
          <w:p w:rsidR="00000000" w:rsidRDefault="000C45AD">
            <w:pPr>
              <w:spacing w:before="80" w:after="40" w:line="240" w:lineRule="auto"/>
              <w:jc w:val="center"/>
              <w:rPr>
                <w:sz w:val="21"/>
              </w:rPr>
            </w:pPr>
            <w:r>
              <w:rPr>
                <w:sz w:val="21"/>
              </w:rPr>
              <w:t>2.9</w:t>
            </w:r>
          </w:p>
        </w:tc>
      </w:tr>
      <w:tr w:rsidR="00000000">
        <w:tblPrEx>
          <w:tblCellMar>
            <w:top w:w="0" w:type="dxa"/>
            <w:bottom w:w="0" w:type="dxa"/>
          </w:tblCellMar>
        </w:tblPrEx>
        <w:tc>
          <w:tcPr>
            <w:tcW w:w="1568" w:type="dxa"/>
            <w:tcBorders>
              <w:top w:val="nil"/>
              <w:bottom w:val="nil"/>
              <w:right w:val="single" w:sz="6" w:space="0" w:color="auto"/>
            </w:tcBorders>
          </w:tcPr>
          <w:p w:rsidR="00000000" w:rsidRDefault="000C45AD">
            <w:pPr>
              <w:spacing w:before="80" w:after="40" w:line="240" w:lineRule="auto"/>
              <w:jc w:val="center"/>
              <w:rPr>
                <w:sz w:val="21"/>
              </w:rPr>
            </w:pP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46 415</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43 527</w:t>
            </w: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2 888</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2 048</w:t>
            </w:r>
          </w:p>
        </w:tc>
        <w:tc>
          <w:tcPr>
            <w:tcW w:w="1568" w:type="dxa"/>
            <w:tcBorders>
              <w:top w:val="nil"/>
              <w:left w:val="nil"/>
              <w:bottom w:val="nil"/>
            </w:tcBorders>
          </w:tcPr>
          <w:p w:rsidR="00000000" w:rsidRDefault="000C45AD">
            <w:pPr>
              <w:spacing w:before="80" w:after="40" w:line="240" w:lineRule="auto"/>
              <w:jc w:val="center"/>
              <w:rPr>
                <w:sz w:val="21"/>
              </w:rPr>
            </w:pPr>
            <w:r>
              <w:rPr>
                <w:sz w:val="21"/>
              </w:rPr>
              <w:t>2.9</w:t>
            </w:r>
          </w:p>
        </w:tc>
      </w:tr>
      <w:tr w:rsidR="00000000">
        <w:tblPrEx>
          <w:tblCellMar>
            <w:top w:w="0" w:type="dxa"/>
            <w:bottom w:w="0" w:type="dxa"/>
          </w:tblCellMar>
        </w:tblPrEx>
        <w:tc>
          <w:tcPr>
            <w:tcW w:w="1568" w:type="dxa"/>
            <w:tcBorders>
              <w:top w:val="nil"/>
              <w:bottom w:val="nil"/>
              <w:right w:val="single" w:sz="6" w:space="0" w:color="auto"/>
            </w:tcBorders>
          </w:tcPr>
          <w:p w:rsidR="00000000" w:rsidRDefault="000C45AD">
            <w:pPr>
              <w:spacing w:before="80" w:after="40" w:line="240" w:lineRule="auto"/>
              <w:jc w:val="center"/>
              <w:rPr>
                <w:sz w:val="21"/>
              </w:rPr>
            </w:pP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48 120</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44 830</w:t>
            </w: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3 290</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2 100</w:t>
            </w:r>
          </w:p>
        </w:tc>
        <w:tc>
          <w:tcPr>
            <w:tcW w:w="1568" w:type="dxa"/>
            <w:tcBorders>
              <w:top w:val="nil"/>
              <w:left w:val="nil"/>
              <w:bottom w:val="nil"/>
            </w:tcBorders>
          </w:tcPr>
          <w:p w:rsidR="00000000" w:rsidRDefault="000C45AD">
            <w:pPr>
              <w:spacing w:before="80" w:after="40" w:line="240" w:lineRule="auto"/>
              <w:jc w:val="center"/>
              <w:rPr>
                <w:sz w:val="21"/>
              </w:rPr>
            </w:pPr>
            <w:r>
              <w:rPr>
                <w:sz w:val="21"/>
              </w:rPr>
              <w:t>2.9</w:t>
            </w:r>
          </w:p>
        </w:tc>
      </w:tr>
      <w:tr w:rsidR="00000000">
        <w:tblPrEx>
          <w:tblCellMar>
            <w:top w:w="0" w:type="dxa"/>
            <w:bottom w:w="0" w:type="dxa"/>
          </w:tblCellMar>
        </w:tblPrEx>
        <w:tc>
          <w:tcPr>
            <w:tcW w:w="1568" w:type="dxa"/>
            <w:tcBorders>
              <w:top w:val="nil"/>
              <w:bottom w:val="nil"/>
              <w:right w:val="single" w:sz="6" w:space="0" w:color="auto"/>
            </w:tcBorders>
          </w:tcPr>
          <w:p w:rsidR="00000000" w:rsidRDefault="000C45AD">
            <w:pPr>
              <w:spacing w:before="80" w:after="40" w:line="240" w:lineRule="auto"/>
              <w:jc w:val="center"/>
              <w:rPr>
                <w:sz w:val="21"/>
              </w:rPr>
            </w:pP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49 930</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46 180</w:t>
            </w: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3 750</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2 150</w:t>
            </w:r>
          </w:p>
        </w:tc>
        <w:tc>
          <w:tcPr>
            <w:tcW w:w="1568" w:type="dxa"/>
            <w:tcBorders>
              <w:top w:val="nil"/>
              <w:left w:val="nil"/>
              <w:bottom w:val="nil"/>
            </w:tcBorders>
          </w:tcPr>
          <w:p w:rsidR="00000000" w:rsidRDefault="000C45AD">
            <w:pPr>
              <w:spacing w:before="80" w:after="40" w:line="240" w:lineRule="auto"/>
              <w:jc w:val="center"/>
              <w:rPr>
                <w:sz w:val="21"/>
              </w:rPr>
            </w:pPr>
            <w:r>
              <w:rPr>
                <w:sz w:val="21"/>
              </w:rPr>
              <w:t>2.9</w:t>
            </w:r>
          </w:p>
        </w:tc>
      </w:tr>
      <w:tr w:rsidR="00000000">
        <w:tblPrEx>
          <w:tblCellMar>
            <w:top w:w="0" w:type="dxa"/>
            <w:bottom w:w="0" w:type="dxa"/>
          </w:tblCellMar>
        </w:tblPrEx>
        <w:tc>
          <w:tcPr>
            <w:tcW w:w="1568" w:type="dxa"/>
            <w:tcBorders>
              <w:top w:val="nil"/>
              <w:bottom w:val="nil"/>
              <w:right w:val="single" w:sz="6" w:space="0" w:color="auto"/>
            </w:tcBorders>
          </w:tcPr>
          <w:p w:rsidR="00000000" w:rsidRDefault="000C45AD">
            <w:pPr>
              <w:spacing w:before="80" w:after="40" w:line="240" w:lineRule="auto"/>
              <w:jc w:val="center"/>
              <w:rPr>
                <w:sz w:val="21"/>
              </w:rPr>
            </w:pP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51 840</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47 560</w:t>
            </w: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4 280</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2 200</w:t>
            </w:r>
          </w:p>
        </w:tc>
        <w:tc>
          <w:tcPr>
            <w:tcW w:w="1568" w:type="dxa"/>
            <w:tcBorders>
              <w:top w:val="nil"/>
              <w:left w:val="nil"/>
              <w:bottom w:val="nil"/>
            </w:tcBorders>
          </w:tcPr>
          <w:p w:rsidR="00000000" w:rsidRDefault="000C45AD">
            <w:pPr>
              <w:spacing w:before="80" w:after="40" w:line="240" w:lineRule="auto"/>
              <w:jc w:val="center"/>
              <w:rPr>
                <w:sz w:val="21"/>
              </w:rPr>
            </w:pPr>
            <w:r>
              <w:rPr>
                <w:sz w:val="21"/>
              </w:rPr>
              <w:t>2.9</w:t>
            </w:r>
          </w:p>
        </w:tc>
      </w:tr>
      <w:tr w:rsidR="00000000">
        <w:tblPrEx>
          <w:tblCellMar>
            <w:top w:w="0" w:type="dxa"/>
            <w:bottom w:w="0" w:type="dxa"/>
          </w:tblCellMar>
        </w:tblPrEx>
        <w:tc>
          <w:tcPr>
            <w:tcW w:w="1568" w:type="dxa"/>
            <w:tcBorders>
              <w:top w:val="nil"/>
              <w:bottom w:val="nil"/>
              <w:right w:val="single" w:sz="6" w:space="0" w:color="auto"/>
            </w:tcBorders>
          </w:tcPr>
          <w:p w:rsidR="00000000" w:rsidRDefault="000C45AD">
            <w:pPr>
              <w:spacing w:before="80" w:after="40" w:line="240" w:lineRule="auto"/>
              <w:jc w:val="center"/>
              <w:rPr>
                <w:sz w:val="21"/>
              </w:rPr>
            </w:pP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53 870</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48 990</w:t>
            </w: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4 880</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2 250</w:t>
            </w:r>
          </w:p>
        </w:tc>
        <w:tc>
          <w:tcPr>
            <w:tcW w:w="1568" w:type="dxa"/>
            <w:tcBorders>
              <w:top w:val="nil"/>
              <w:left w:val="nil"/>
              <w:bottom w:val="nil"/>
            </w:tcBorders>
          </w:tcPr>
          <w:p w:rsidR="00000000" w:rsidRDefault="000C45AD">
            <w:pPr>
              <w:spacing w:before="80" w:after="40" w:line="240" w:lineRule="auto"/>
              <w:jc w:val="center"/>
              <w:rPr>
                <w:sz w:val="21"/>
              </w:rPr>
            </w:pPr>
            <w:r>
              <w:rPr>
                <w:sz w:val="21"/>
              </w:rPr>
              <w:t>3.0</w:t>
            </w:r>
          </w:p>
        </w:tc>
      </w:tr>
      <w:tr w:rsidR="00000000">
        <w:tblPrEx>
          <w:tblCellMar>
            <w:top w:w="0" w:type="dxa"/>
            <w:bottom w:w="0" w:type="dxa"/>
          </w:tblCellMar>
        </w:tblPrEx>
        <w:tc>
          <w:tcPr>
            <w:tcW w:w="1568" w:type="dxa"/>
            <w:tcBorders>
              <w:top w:val="nil"/>
              <w:bottom w:val="nil"/>
              <w:right w:val="single" w:sz="6" w:space="0" w:color="auto"/>
            </w:tcBorders>
          </w:tcPr>
          <w:p w:rsidR="00000000" w:rsidRDefault="000C45AD">
            <w:pPr>
              <w:spacing w:before="80" w:after="40" w:line="240" w:lineRule="auto"/>
              <w:jc w:val="center"/>
              <w:rPr>
                <w:sz w:val="21"/>
              </w:rPr>
            </w:pP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56 020</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50 460</w:t>
            </w: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5 560</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2 300</w:t>
            </w:r>
          </w:p>
        </w:tc>
        <w:tc>
          <w:tcPr>
            <w:tcW w:w="1568" w:type="dxa"/>
            <w:tcBorders>
              <w:top w:val="nil"/>
              <w:left w:val="nil"/>
              <w:bottom w:val="nil"/>
            </w:tcBorders>
          </w:tcPr>
          <w:p w:rsidR="00000000" w:rsidRDefault="000C45AD">
            <w:pPr>
              <w:spacing w:before="80" w:after="40" w:line="240" w:lineRule="auto"/>
              <w:jc w:val="center"/>
              <w:rPr>
                <w:sz w:val="21"/>
              </w:rPr>
            </w:pPr>
            <w:r>
              <w:rPr>
                <w:sz w:val="21"/>
              </w:rPr>
              <w:t>3.0</w:t>
            </w:r>
          </w:p>
        </w:tc>
      </w:tr>
      <w:tr w:rsidR="00000000">
        <w:tblPrEx>
          <w:tblCellMar>
            <w:top w:w="0" w:type="dxa"/>
            <w:bottom w:w="0" w:type="dxa"/>
          </w:tblCellMar>
        </w:tblPrEx>
        <w:tc>
          <w:tcPr>
            <w:tcW w:w="1568" w:type="dxa"/>
            <w:tcBorders>
              <w:top w:val="nil"/>
              <w:bottom w:val="nil"/>
              <w:right w:val="single" w:sz="6" w:space="0" w:color="auto"/>
            </w:tcBorders>
          </w:tcPr>
          <w:p w:rsidR="00000000" w:rsidRDefault="000C45AD">
            <w:pPr>
              <w:spacing w:before="80" w:after="40" w:line="240" w:lineRule="auto"/>
              <w:jc w:val="center"/>
              <w:rPr>
                <w:sz w:val="21"/>
              </w:rPr>
            </w:pP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58 310</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51 970</w:t>
            </w: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6 340</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2 360</w:t>
            </w:r>
          </w:p>
        </w:tc>
        <w:tc>
          <w:tcPr>
            <w:tcW w:w="1568" w:type="dxa"/>
            <w:tcBorders>
              <w:top w:val="nil"/>
              <w:left w:val="nil"/>
              <w:bottom w:val="nil"/>
            </w:tcBorders>
          </w:tcPr>
          <w:p w:rsidR="00000000" w:rsidRDefault="000C45AD">
            <w:pPr>
              <w:spacing w:before="80" w:after="40" w:line="240" w:lineRule="auto"/>
              <w:jc w:val="center"/>
              <w:rPr>
                <w:sz w:val="21"/>
              </w:rPr>
            </w:pPr>
            <w:r>
              <w:rPr>
                <w:sz w:val="21"/>
              </w:rPr>
              <w:t>3.0</w:t>
            </w:r>
          </w:p>
        </w:tc>
      </w:tr>
      <w:tr w:rsidR="00000000">
        <w:tblPrEx>
          <w:tblCellMar>
            <w:top w:w="0" w:type="dxa"/>
            <w:bottom w:w="0" w:type="dxa"/>
          </w:tblCellMar>
        </w:tblPrEx>
        <w:tc>
          <w:tcPr>
            <w:tcW w:w="1568" w:type="dxa"/>
            <w:tcBorders>
              <w:top w:val="nil"/>
              <w:bottom w:val="nil"/>
              <w:right w:val="single" w:sz="6" w:space="0" w:color="auto"/>
            </w:tcBorders>
          </w:tcPr>
          <w:p w:rsidR="00000000" w:rsidRDefault="000C45AD">
            <w:pPr>
              <w:spacing w:before="80" w:after="40" w:line="240" w:lineRule="auto"/>
              <w:jc w:val="center"/>
              <w:rPr>
                <w:sz w:val="21"/>
              </w:rPr>
            </w:pP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60 760</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53 530</w:t>
            </w:r>
          </w:p>
        </w:tc>
        <w:tc>
          <w:tcPr>
            <w:tcW w:w="1568" w:type="dxa"/>
            <w:tcBorders>
              <w:top w:val="nil"/>
              <w:left w:val="nil"/>
              <w:bottom w:val="nil"/>
              <w:right w:val="nil"/>
            </w:tcBorders>
          </w:tcPr>
          <w:p w:rsidR="00000000" w:rsidRDefault="000C45AD">
            <w:pPr>
              <w:spacing w:before="80" w:after="40" w:line="240" w:lineRule="auto"/>
              <w:jc w:val="center"/>
              <w:rPr>
                <w:sz w:val="21"/>
              </w:rPr>
            </w:pPr>
            <w:r>
              <w:rPr>
                <w:sz w:val="21"/>
              </w:rPr>
              <w:t>7 230</w:t>
            </w:r>
          </w:p>
        </w:tc>
        <w:tc>
          <w:tcPr>
            <w:tcW w:w="1568" w:type="dxa"/>
            <w:tcBorders>
              <w:top w:val="nil"/>
              <w:left w:val="single" w:sz="6" w:space="0" w:color="auto"/>
              <w:bottom w:val="nil"/>
              <w:right w:val="single" w:sz="6" w:space="0" w:color="auto"/>
            </w:tcBorders>
          </w:tcPr>
          <w:p w:rsidR="00000000" w:rsidRDefault="000C45AD">
            <w:pPr>
              <w:spacing w:before="80" w:after="40" w:line="240" w:lineRule="auto"/>
              <w:jc w:val="center"/>
              <w:rPr>
                <w:sz w:val="21"/>
              </w:rPr>
            </w:pPr>
            <w:r>
              <w:rPr>
                <w:sz w:val="21"/>
              </w:rPr>
              <w:t>2 420</w:t>
            </w:r>
          </w:p>
        </w:tc>
        <w:tc>
          <w:tcPr>
            <w:tcW w:w="1568" w:type="dxa"/>
            <w:tcBorders>
              <w:top w:val="nil"/>
              <w:left w:val="nil"/>
              <w:bottom w:val="nil"/>
            </w:tcBorders>
          </w:tcPr>
          <w:p w:rsidR="00000000" w:rsidRDefault="000C45AD">
            <w:pPr>
              <w:spacing w:before="80" w:after="40" w:line="240" w:lineRule="auto"/>
              <w:jc w:val="center"/>
              <w:rPr>
                <w:sz w:val="21"/>
              </w:rPr>
            </w:pPr>
            <w:r>
              <w:rPr>
                <w:sz w:val="21"/>
              </w:rPr>
              <w:t>3.0</w:t>
            </w:r>
          </w:p>
        </w:tc>
      </w:tr>
      <w:tr w:rsidR="00000000">
        <w:tblPrEx>
          <w:tblCellMar>
            <w:top w:w="0" w:type="dxa"/>
            <w:bottom w:w="0" w:type="dxa"/>
          </w:tblCellMar>
        </w:tblPrEx>
        <w:tc>
          <w:tcPr>
            <w:tcW w:w="1568" w:type="dxa"/>
            <w:tcBorders>
              <w:top w:val="nil"/>
            </w:tcBorders>
          </w:tcPr>
          <w:p w:rsidR="00000000" w:rsidRDefault="000C45AD">
            <w:pPr>
              <w:spacing w:before="80" w:after="40" w:line="240" w:lineRule="auto"/>
              <w:jc w:val="center"/>
              <w:rPr>
                <w:sz w:val="21"/>
              </w:rPr>
            </w:pPr>
          </w:p>
        </w:tc>
        <w:tc>
          <w:tcPr>
            <w:tcW w:w="1568" w:type="dxa"/>
            <w:tcBorders>
              <w:top w:val="nil"/>
            </w:tcBorders>
          </w:tcPr>
          <w:p w:rsidR="00000000" w:rsidRDefault="000C45AD">
            <w:pPr>
              <w:spacing w:before="80" w:after="40" w:line="240" w:lineRule="auto"/>
              <w:jc w:val="center"/>
              <w:rPr>
                <w:sz w:val="21"/>
              </w:rPr>
            </w:pPr>
            <w:r>
              <w:rPr>
                <w:sz w:val="21"/>
              </w:rPr>
              <w:t>63 380</w:t>
            </w:r>
          </w:p>
        </w:tc>
        <w:tc>
          <w:tcPr>
            <w:tcW w:w="1568" w:type="dxa"/>
            <w:tcBorders>
              <w:top w:val="nil"/>
            </w:tcBorders>
          </w:tcPr>
          <w:p w:rsidR="00000000" w:rsidRDefault="000C45AD">
            <w:pPr>
              <w:spacing w:before="80" w:after="40" w:line="240" w:lineRule="auto"/>
              <w:jc w:val="center"/>
              <w:rPr>
                <w:sz w:val="21"/>
              </w:rPr>
            </w:pPr>
            <w:r>
              <w:rPr>
                <w:sz w:val="21"/>
              </w:rPr>
              <w:t>55 140</w:t>
            </w:r>
          </w:p>
        </w:tc>
        <w:tc>
          <w:tcPr>
            <w:tcW w:w="1568" w:type="dxa"/>
            <w:tcBorders>
              <w:top w:val="nil"/>
            </w:tcBorders>
          </w:tcPr>
          <w:p w:rsidR="00000000" w:rsidRDefault="000C45AD">
            <w:pPr>
              <w:spacing w:before="80" w:after="40" w:line="240" w:lineRule="auto"/>
              <w:jc w:val="center"/>
              <w:rPr>
                <w:sz w:val="21"/>
              </w:rPr>
            </w:pPr>
            <w:r>
              <w:rPr>
                <w:sz w:val="21"/>
              </w:rPr>
              <w:t>8 240</w:t>
            </w:r>
          </w:p>
        </w:tc>
        <w:tc>
          <w:tcPr>
            <w:tcW w:w="1568" w:type="dxa"/>
            <w:tcBorders>
              <w:top w:val="nil"/>
            </w:tcBorders>
          </w:tcPr>
          <w:p w:rsidR="00000000" w:rsidRDefault="000C45AD">
            <w:pPr>
              <w:spacing w:before="80" w:after="40" w:line="240" w:lineRule="auto"/>
              <w:jc w:val="center"/>
              <w:rPr>
                <w:sz w:val="21"/>
              </w:rPr>
            </w:pPr>
            <w:r>
              <w:rPr>
                <w:sz w:val="21"/>
              </w:rPr>
              <w:t>2 480</w:t>
            </w:r>
          </w:p>
        </w:tc>
        <w:tc>
          <w:tcPr>
            <w:tcW w:w="1568" w:type="dxa"/>
            <w:tcBorders>
              <w:top w:val="nil"/>
            </w:tcBorders>
          </w:tcPr>
          <w:p w:rsidR="00000000" w:rsidRDefault="000C45AD">
            <w:pPr>
              <w:spacing w:before="80" w:after="40" w:line="240" w:lineRule="auto"/>
              <w:jc w:val="center"/>
              <w:rPr>
                <w:sz w:val="21"/>
              </w:rPr>
            </w:pPr>
            <w:r>
              <w:rPr>
                <w:sz w:val="21"/>
              </w:rPr>
              <w:t>3.0</w:t>
            </w:r>
          </w:p>
        </w:tc>
      </w:tr>
    </w:tbl>
    <w:p w:rsidR="00000000" w:rsidRDefault="000C45AD">
      <w:pPr>
        <w:spacing w:before="240"/>
      </w:pPr>
    </w:p>
    <w:p w:rsidR="00000000" w:rsidRDefault="000C45AD">
      <w:r>
        <w:tab/>
        <w:t>365.  1982-1995</w:t>
      </w:r>
      <w:r>
        <w:rPr>
          <w:rFonts w:hint="eastAsia"/>
        </w:rPr>
        <w:t>年期间，国立大学生占受高等教育学生总数的</w:t>
      </w:r>
      <w:r>
        <w:t>90%</w:t>
      </w:r>
      <w:r>
        <w:rPr>
          <w:rFonts w:hint="eastAsia"/>
        </w:rPr>
        <w:t>。明显需要为高等教育重新制定方向。报名注册和毕业人数最多的科目</w:t>
      </w:r>
      <w:r>
        <w:t>(</w:t>
      </w:r>
      <w:r>
        <w:rPr>
          <w:rFonts w:hint="eastAsia"/>
        </w:rPr>
        <w:t>法律、经济、新闻等</w:t>
      </w:r>
      <w:r>
        <w:t>)</w:t>
      </w:r>
      <w:r>
        <w:rPr>
          <w:rFonts w:hint="eastAsia"/>
        </w:rPr>
        <w:t>已经饱和，就业机会十分有限。</w:t>
      </w:r>
    </w:p>
    <w:p w:rsidR="00000000" w:rsidRDefault="000C45AD">
      <w:r>
        <w:tab/>
        <w:t xml:space="preserve">366.  </w:t>
      </w:r>
      <w:r>
        <w:rPr>
          <w:rFonts w:hint="eastAsia"/>
        </w:rPr>
        <w:t>十多年来，上述有些专业的毕业生的实际工资一直在下降。相反，迫切需要科学、技术和管理人员，这些学科的毕业生的工资高于某些传统科目毕业生的工资。</w:t>
      </w:r>
    </w:p>
    <w:p w:rsidR="00000000" w:rsidRDefault="000C45AD">
      <w:r>
        <w:tab/>
        <w:t xml:space="preserve">367.  </w:t>
      </w:r>
      <w:r>
        <w:rPr>
          <w:rFonts w:hint="eastAsia"/>
        </w:rPr>
        <w:t>洪都拉斯的高等教育制度过于死板，难以</w:t>
      </w:r>
      <w:r>
        <w:rPr>
          <w:rFonts w:hint="eastAsia"/>
        </w:rPr>
        <w:t>对全国劳务市场的需求作出反应。相反，与市场挂钩的教育制度就会减少就业机会下降的专业报名人数，而市场需求旺盛的其他专业的报名人数就会增加。</w:t>
      </w:r>
    </w:p>
    <w:p w:rsidR="00000000" w:rsidRDefault="000C45AD">
      <w:r>
        <w:tab/>
        <w:t xml:space="preserve">368.  </w:t>
      </w:r>
      <w:r>
        <w:rPr>
          <w:rFonts w:hint="eastAsia"/>
        </w:rPr>
        <w:t>洪都拉斯全国自立大学实行了一些改革，为增加大学毕业生的人数提供了可能性。</w:t>
      </w:r>
    </w:p>
    <w:p w:rsidR="00000000" w:rsidRDefault="000C45AD">
      <w:r>
        <w:tab/>
        <w:t xml:space="preserve">369.  </w:t>
      </w:r>
      <w:r>
        <w:rPr>
          <w:rFonts w:hint="eastAsia"/>
        </w:rPr>
        <w:t>然而，这些改革并未增加高等教育的机会或改进高等教育的质量和使其不脱离实际。尽管出现的新的私立大学有助于改进某些高等教育专业的质量和实用性，但目前，这些私立大学招收的学生只占</w:t>
      </w:r>
      <w:r>
        <w:t>10%</w:t>
      </w:r>
      <w:r>
        <w:rPr>
          <w:rFonts w:hint="eastAsia"/>
        </w:rPr>
        <w:t>，如果保持目前的趋势，到</w:t>
      </w:r>
      <w:r>
        <w:t>90</w:t>
      </w:r>
      <w:r>
        <w:rPr>
          <w:rFonts w:hint="eastAsia"/>
        </w:rPr>
        <w:t>年代结束时，私立大学总的注册学生人数最多只能达到</w:t>
      </w:r>
      <w:r>
        <w:t>15%</w:t>
      </w:r>
      <w:r>
        <w:rPr>
          <w:rFonts w:hint="eastAsia"/>
        </w:rPr>
        <w:t>。</w:t>
      </w:r>
    </w:p>
    <w:p w:rsidR="00000000" w:rsidRDefault="000C45AD">
      <w:pPr>
        <w:spacing w:after="320"/>
        <w:textAlignment w:val="center"/>
      </w:pPr>
      <w:r>
        <w:tab/>
        <w:t>370</w:t>
      </w:r>
      <w:r>
        <w:t xml:space="preserve">.  </w:t>
      </w:r>
      <w:r>
        <w:rPr>
          <w:rFonts w:hint="eastAsia"/>
        </w:rPr>
        <w:t>归纳起来，随着技术的进步，高等教育的毕业生人数正在缓慢增加，经济的一体化正在迫使教育机构和企业改变其组织结构并采用新的生产工艺。在过去三十年中实现强力经济增长的其他国家的教育实验为洪都拉斯提供了重要的经验。鉴于全球经济对高等教育毕业生的需求量增加，洪都拉斯必须考虑各种选择，提高教育覆盖率，改进对中学生的学业和技术培训，为高等教育重新制定方向并尽量扩大其覆盖范围。否则，高等教育将成为洪都拉斯经济发展和减少贫困的另一个障碍。</w:t>
      </w:r>
    </w:p>
    <w:p w:rsidR="00000000" w:rsidRDefault="000C45AD">
      <w:pPr>
        <w:pStyle w:val="Heading3"/>
      </w:pPr>
      <w:r>
        <w:rPr>
          <w:rFonts w:hint="eastAsia"/>
        </w:rPr>
        <w:t>第</w:t>
      </w:r>
      <w:r>
        <w:t xml:space="preserve"> 15 </w:t>
      </w:r>
      <w:r>
        <w:rPr>
          <w:rFonts w:hint="eastAsia"/>
        </w:rPr>
        <w:t>条</w:t>
      </w:r>
    </w:p>
    <w:p w:rsidR="00000000" w:rsidRDefault="000C45AD">
      <w:pPr>
        <w:pStyle w:val="Heading3"/>
      </w:pPr>
      <w:r>
        <w:rPr>
          <w:rFonts w:hint="eastAsia"/>
        </w:rPr>
        <w:t>文化、艺术和体育</w:t>
      </w:r>
    </w:p>
    <w:p w:rsidR="00000000" w:rsidRDefault="000C45AD">
      <w:pPr>
        <w:tabs>
          <w:tab w:val="clear" w:pos="510"/>
          <w:tab w:val="clear" w:pos="1021"/>
          <w:tab w:val="clear" w:pos="1531"/>
          <w:tab w:val="clear" w:pos="2041"/>
        </w:tabs>
      </w:pPr>
      <w:r>
        <w:tab/>
        <w:t xml:space="preserve">371.  </w:t>
      </w:r>
      <w:r>
        <w:rPr>
          <w:rFonts w:hint="eastAsia"/>
        </w:rPr>
        <w:t>文化、艺术和体育部认为，动员国家和</w:t>
      </w:r>
      <w:r>
        <w:rPr>
          <w:rFonts w:hint="eastAsia"/>
        </w:rPr>
        <w:t>使其合理化，需要改组过时的国家机器，创建适当的国家机构以实现社会目标，为了执行各种文化和艺术政策授予特定权力。</w:t>
      </w:r>
    </w:p>
    <w:p w:rsidR="00000000" w:rsidRDefault="000C45AD">
      <w:pPr>
        <w:tabs>
          <w:tab w:val="clear" w:pos="510"/>
          <w:tab w:val="clear" w:pos="1021"/>
          <w:tab w:val="clear" w:pos="1531"/>
          <w:tab w:val="clear" w:pos="2041"/>
        </w:tabs>
      </w:pPr>
      <w:r>
        <w:tab/>
        <w:t xml:space="preserve">372.  </w:t>
      </w:r>
      <w:r>
        <w:rPr>
          <w:rFonts w:hint="eastAsia"/>
        </w:rPr>
        <w:t>为了业务目的建立了以下各处：艺术、图书和文献处，艺术教育和培训处，大众文化和体育处以及洪都拉斯考古及历史研究所。</w:t>
      </w:r>
    </w:p>
    <w:p w:rsidR="00000000" w:rsidRDefault="000C45AD">
      <w:pPr>
        <w:tabs>
          <w:tab w:val="clear" w:pos="510"/>
          <w:tab w:val="clear" w:pos="1021"/>
          <w:tab w:val="clear" w:pos="1531"/>
          <w:tab w:val="clear" w:pos="2041"/>
        </w:tabs>
        <w:spacing w:after="320"/>
        <w:textAlignment w:val="center"/>
      </w:pPr>
      <w:r>
        <w:tab/>
        <w:t xml:space="preserve">373.  </w:t>
      </w:r>
      <w:r>
        <w:rPr>
          <w:rFonts w:hint="eastAsia"/>
        </w:rPr>
        <w:t>在全国各地建立了区域文化中心，同时建立的有本地工艺培训中心，其服务对象是该国西部土著人民、全国文化和艺术理事会、全国档案理事会以及全国图书文献理事会、经由</w:t>
      </w:r>
      <w:r>
        <w:t>87</w:t>
      </w:r>
      <w:r>
        <w:rPr>
          <w:rFonts w:hint="eastAsia"/>
        </w:rPr>
        <w:t>家市公共图书馆合作协定和网络关系，对各市给予支助。</w:t>
      </w:r>
    </w:p>
    <w:p w:rsidR="00000000" w:rsidRDefault="000C45AD">
      <w:pPr>
        <w:pStyle w:val="Heading4"/>
      </w:pPr>
      <w:r>
        <w:rPr>
          <w:rFonts w:hint="eastAsia"/>
        </w:rPr>
        <w:t>促进文化发展</w:t>
      </w:r>
    </w:p>
    <w:p w:rsidR="00000000" w:rsidRDefault="000C45AD">
      <w:pPr>
        <w:tabs>
          <w:tab w:val="clear" w:pos="510"/>
          <w:tab w:val="clear" w:pos="1021"/>
          <w:tab w:val="clear" w:pos="1531"/>
          <w:tab w:val="clear" w:pos="2041"/>
        </w:tabs>
      </w:pPr>
      <w:r>
        <w:tab/>
        <w:t xml:space="preserve">374.  </w:t>
      </w:r>
      <w:r>
        <w:rPr>
          <w:rFonts w:hint="eastAsia"/>
        </w:rPr>
        <w:t>从政府支出预算拨出资</w:t>
      </w:r>
      <w:r>
        <w:rPr>
          <w:rFonts w:hint="eastAsia"/>
        </w:rPr>
        <w:t>金，从私营企业收到的小额捐款支付少数小型项目；文化、艺术和体育部在其预算中为非营利组织所执行的项目和方案编列了开支；文化中心、市公共图书馆等得到物质和资金的支助。</w:t>
      </w:r>
    </w:p>
    <w:p w:rsidR="00000000" w:rsidRDefault="000C45AD">
      <w:pPr>
        <w:tabs>
          <w:tab w:val="clear" w:pos="510"/>
          <w:tab w:val="clear" w:pos="1021"/>
          <w:tab w:val="clear" w:pos="1531"/>
          <w:tab w:val="clear" w:pos="2041"/>
        </w:tabs>
      </w:pPr>
      <w:r>
        <w:tab/>
        <w:t xml:space="preserve">375.  </w:t>
      </w:r>
      <w:r>
        <w:rPr>
          <w:rFonts w:hint="eastAsia"/>
        </w:rPr>
        <w:t>从友好国家收到资金，特别用于实施考古项目；美洲开发银行捐款用于恢复历史文物。</w:t>
      </w:r>
    </w:p>
    <w:p w:rsidR="00000000" w:rsidRDefault="000C45AD">
      <w:pPr>
        <w:tabs>
          <w:tab w:val="clear" w:pos="510"/>
          <w:tab w:val="clear" w:pos="1021"/>
          <w:tab w:val="clear" w:pos="1531"/>
          <w:tab w:val="clear" w:pos="2041"/>
        </w:tabs>
      </w:pPr>
      <w:r>
        <w:tab/>
        <w:t xml:space="preserve">376.  </w:t>
      </w:r>
      <w:r>
        <w:rPr>
          <w:rFonts w:hint="eastAsia"/>
        </w:rPr>
        <w:t>该部有着为实现各种文化、艺术和体育方案和项目而合乎需要的基层结构。该部有国家图书馆和</w:t>
      </w:r>
      <w:r>
        <w:t>87</w:t>
      </w:r>
      <w:r>
        <w:rPr>
          <w:rFonts w:hint="eastAsia"/>
        </w:rPr>
        <w:t>家市图书馆网络，它们各有自己的设施，全国新闻档案和全国档案当然不在话下。</w:t>
      </w:r>
    </w:p>
    <w:p w:rsidR="00000000" w:rsidRDefault="000C45AD">
      <w:pPr>
        <w:tabs>
          <w:tab w:val="clear" w:pos="510"/>
          <w:tab w:val="clear" w:pos="1021"/>
          <w:tab w:val="clear" w:pos="1531"/>
          <w:tab w:val="clear" w:pos="2041"/>
        </w:tabs>
      </w:pPr>
      <w:r>
        <w:tab/>
        <w:t xml:space="preserve">377.  </w:t>
      </w:r>
      <w:r>
        <w:rPr>
          <w:rFonts w:hint="eastAsia"/>
        </w:rPr>
        <w:t>全国音乐学院和全国音乐学校具有适于教学的房舍，全国设立的区域文化办</w:t>
      </w:r>
      <w:r>
        <w:rPr>
          <w:rFonts w:hint="eastAsia"/>
        </w:rPr>
        <w:t>事处也具有适于工作的房舍。在玛雅考古地区以及该国主要城镇都建立了博物馆；在当地人民协助下，在具有洪都拉斯和社区历史特色的建筑物内建立了若干博物馆。</w:t>
      </w:r>
    </w:p>
    <w:p w:rsidR="00000000" w:rsidRDefault="000C45AD">
      <w:pPr>
        <w:spacing w:after="320"/>
        <w:textAlignment w:val="center"/>
      </w:pPr>
      <w:r>
        <w:tab/>
        <w:t>378.  Manuel Bonilla</w:t>
      </w:r>
      <w:r>
        <w:rPr>
          <w:rFonts w:hint="eastAsia"/>
        </w:rPr>
        <w:t>国家剧院和</w:t>
      </w:r>
      <w:r>
        <w:t>Nicolás Avellaneda</w:t>
      </w:r>
      <w:r>
        <w:rPr>
          <w:rFonts w:hint="eastAsia"/>
        </w:rPr>
        <w:t>剧院上演艺术节目；全国舞蹈学校在其校舍内开设舞蹈课程。</w:t>
      </w:r>
    </w:p>
    <w:p w:rsidR="00000000" w:rsidRDefault="000C45AD">
      <w:pPr>
        <w:pStyle w:val="Heading4"/>
      </w:pPr>
      <w:r>
        <w:rPr>
          <w:rFonts w:hint="eastAsia"/>
        </w:rPr>
        <w:t>促进文化认同</w:t>
      </w:r>
    </w:p>
    <w:p w:rsidR="00000000" w:rsidRDefault="000C45AD">
      <w:r>
        <w:tab/>
        <w:t xml:space="preserve">379.  </w:t>
      </w:r>
      <w:r>
        <w:rPr>
          <w:rFonts w:hint="eastAsia"/>
        </w:rPr>
        <w:t>促进全国文化的措施，其动机在于充实洪都拉斯人民的认同。主要的全国目的是在教育制度上、家庭上、传播媒介上、工作地点和公众生活方面，累积该国历史、文化、风俗习惯、原则和社会价值的知识，同时也保存和</w:t>
      </w:r>
      <w:r>
        <w:rPr>
          <w:rFonts w:hint="eastAsia"/>
        </w:rPr>
        <w:t>广泛传播该国文化传统。</w:t>
      </w:r>
    </w:p>
    <w:p w:rsidR="00000000" w:rsidRDefault="000C45AD">
      <w:r>
        <w:tab/>
        <w:t xml:space="preserve">380.  </w:t>
      </w:r>
      <w:r>
        <w:rPr>
          <w:rFonts w:hint="eastAsia"/>
        </w:rPr>
        <w:t>国家认同借着洪都拉斯文化项目而传播海外。不言而喻地是，保存、研究和传播文化传统是加强国家认同的重要因素。</w:t>
      </w:r>
    </w:p>
    <w:p w:rsidR="00000000" w:rsidRDefault="000C45AD">
      <w:r>
        <w:tab/>
        <w:t xml:space="preserve">381.  </w:t>
      </w:r>
      <w:r>
        <w:rPr>
          <w:rFonts w:hint="eastAsia"/>
        </w:rPr>
        <w:t>洪都拉斯历史，它丰富的大城以及目前社会种族的和文化的多元性，使得保存这项传统的政策成为必不可少。</w:t>
      </w:r>
    </w:p>
    <w:p w:rsidR="00000000" w:rsidRDefault="000C45AD">
      <w:r>
        <w:tab/>
        <w:t xml:space="preserve">382.  </w:t>
      </w:r>
      <w:r>
        <w:rPr>
          <w:rFonts w:hint="eastAsia"/>
        </w:rPr>
        <w:t>组织全国文化对话以便在不同种族和社会群体之间建立合理的文化交流，被认为十分必要；这种对话使洪都拉斯人熟悉他们认同的各种来源。正确评价大众文化的表达方式对于适当认识人民在长时间以来生产的工艺是关键性的，因为前者构成该国文化特性的根源，这不但表现</w:t>
      </w:r>
      <w:r>
        <w:rPr>
          <w:rFonts w:hint="eastAsia"/>
        </w:rPr>
        <w:t>在每日生活、习惯、传统、社会风气、生活方式和节日庆典上，也表现在艺术、科学和知识的其他领域上。</w:t>
      </w:r>
    </w:p>
    <w:p w:rsidR="00000000" w:rsidRDefault="000C45AD">
      <w:r>
        <w:tab/>
        <w:t xml:space="preserve">383.  </w:t>
      </w:r>
      <w:r>
        <w:rPr>
          <w:rFonts w:hint="eastAsia"/>
        </w:rPr>
        <w:t>本地文化的保存和传播只会增加一种文化，即洪都拉斯文化，其生命力和创造力来自民族多样性。</w:t>
      </w:r>
    </w:p>
    <w:p w:rsidR="00000000" w:rsidRDefault="000C45AD">
      <w:r>
        <w:tab/>
        <w:t xml:space="preserve">384.  </w:t>
      </w:r>
      <w:r>
        <w:rPr>
          <w:rFonts w:hint="eastAsia"/>
        </w:rPr>
        <w:t>洪都拉斯种族群体文化和语言的多样性连同各自本身的语言，毫无疑问地构成集体自我表达取之不尽的源头，使得人口广大部分的发展和未来具有意义。</w:t>
      </w:r>
    </w:p>
    <w:p w:rsidR="00000000" w:rsidRDefault="000C45AD">
      <w:r>
        <w:tab/>
        <w:t xml:space="preserve">385.  </w:t>
      </w:r>
      <w:r>
        <w:rPr>
          <w:rFonts w:hint="eastAsia"/>
        </w:rPr>
        <w:t>技术进展改变了传播媒介，为传送文化开展了新机会；它也引起了与传递行为模式、价值和生活方式有关的复杂社会过程。</w:t>
      </w:r>
    </w:p>
    <w:p w:rsidR="00000000" w:rsidRDefault="000C45AD">
      <w:pPr>
        <w:spacing w:after="320"/>
        <w:textAlignment w:val="center"/>
      </w:pPr>
      <w:r>
        <w:tab/>
        <w:t xml:space="preserve">386.  </w:t>
      </w:r>
      <w:r>
        <w:rPr>
          <w:rFonts w:hint="eastAsia"/>
        </w:rPr>
        <w:t>传播媒介网络形成新的资源，</w:t>
      </w:r>
      <w:r>
        <w:rPr>
          <w:rFonts w:hint="eastAsia"/>
        </w:rPr>
        <w:t>提供实际机会可以满足传播民族文化方面的需要。</w:t>
      </w:r>
    </w:p>
    <w:p w:rsidR="00000000" w:rsidRDefault="000C45AD">
      <w:pPr>
        <w:pStyle w:val="Heading4"/>
      </w:pPr>
      <w:r>
        <w:rPr>
          <w:rFonts w:hint="eastAsia"/>
        </w:rPr>
        <w:t>保存和展示人类文化遗产</w:t>
      </w:r>
    </w:p>
    <w:p w:rsidR="00000000" w:rsidRDefault="000C45AD">
      <w:r>
        <w:tab/>
        <w:t xml:space="preserve">387.  </w:t>
      </w:r>
      <w:r>
        <w:rPr>
          <w:rFonts w:hint="eastAsia"/>
        </w:rPr>
        <w:t>负责保存文化遗产的机构诸如考古和文化协会，它们的工作在升高，政府指导方针的适用与社会参与两者的协调在下述努力中得到改进：除了其他之外，努力加强相关的象《文化遗产法》一类的法律和技术文件。</w:t>
      </w:r>
    </w:p>
    <w:p w:rsidR="00000000" w:rsidRDefault="000C45AD">
      <w:r>
        <w:tab/>
        <w:t xml:space="preserve">388.  </w:t>
      </w:r>
      <w:r>
        <w:rPr>
          <w:rFonts w:hint="eastAsia"/>
        </w:rPr>
        <w:t>关于文化遗产不同方面资料的系统化这种方案正在扩大，以便开始关于民族遗产的登记和更新文献的综合项目。</w:t>
      </w:r>
    </w:p>
    <w:p w:rsidR="00000000" w:rsidRDefault="000C45AD">
      <w:r>
        <w:tab/>
        <w:t xml:space="preserve">389.  </w:t>
      </w:r>
      <w:r>
        <w:rPr>
          <w:rFonts w:hint="eastAsia"/>
        </w:rPr>
        <w:t>《宪法》第</w:t>
      </w:r>
      <w:r>
        <w:t>175</w:t>
      </w:r>
      <w:r>
        <w:rPr>
          <w:rFonts w:hint="eastAsia"/>
        </w:rPr>
        <w:t>条规定：“国家应当促进和支持本国和外国作家作品的传播，它们作为合理的哲学、科学或文学创作，有助于</w:t>
      </w:r>
      <w:r>
        <w:rPr>
          <w:rFonts w:hint="eastAsia"/>
        </w:rPr>
        <w:t>本国的发展。”</w:t>
      </w:r>
    </w:p>
    <w:p w:rsidR="00000000" w:rsidRDefault="000C45AD">
      <w:r>
        <w:tab/>
        <w:t xml:space="preserve">390.  </w:t>
      </w:r>
      <w:r>
        <w:rPr>
          <w:rFonts w:hint="eastAsia"/>
        </w:rPr>
        <w:t>文化、艺术和体育部作为负责增进在丰硕的相互关系之间艺术教育与研究的协调，必须全力开动，其成果将标志教育和文化政策方面影响深远措施的开始。</w:t>
      </w:r>
    </w:p>
    <w:p w:rsidR="00000000" w:rsidRDefault="000C45AD">
      <w:r>
        <w:tab/>
        <w:t xml:space="preserve">391.  </w:t>
      </w:r>
      <w:r>
        <w:rPr>
          <w:rFonts w:hint="eastAsia"/>
        </w:rPr>
        <w:t>创造的和文化的项目的机制予以合并和多样化，以便对于不同社会群体提供均衡的利益。在尽可能多的社区内，鼓励文化发展和个人及集体艺术发展的机会均等。</w:t>
      </w:r>
    </w:p>
    <w:p w:rsidR="00000000" w:rsidRDefault="000C45AD">
      <w:r>
        <w:tab/>
        <w:t xml:space="preserve">392.  </w:t>
      </w:r>
      <w:r>
        <w:rPr>
          <w:rFonts w:hint="eastAsia"/>
        </w:rPr>
        <w:t>国家为保存和传播洪都拉斯文化而引用的其他措施包括：鼓励艺术创作；加强传播大众文化；文化财产和机关的行政部门权力分散。</w:t>
      </w:r>
    </w:p>
    <w:p w:rsidR="00000000" w:rsidRDefault="000C45AD">
      <w:pPr>
        <w:pStyle w:val="NormalIndent"/>
      </w:pPr>
      <w:r>
        <w:t xml:space="preserve">393.  </w:t>
      </w:r>
      <w:r>
        <w:rPr>
          <w:rFonts w:hint="eastAsia"/>
        </w:rPr>
        <w:t>《宪法》第</w:t>
      </w:r>
      <w:r>
        <w:t>175</w:t>
      </w:r>
      <w:r>
        <w:rPr>
          <w:rFonts w:hint="eastAsia"/>
        </w:rPr>
        <w:t>条规定：“国家应当促进和支</w:t>
      </w:r>
      <w:r>
        <w:rPr>
          <w:rFonts w:hint="eastAsia"/>
        </w:rPr>
        <w:t>持本国和外国作家的作品，它们作为合理的哲学、科学或文学创作，有助于本国的发展。”《版权和有关权利法》在这些领域提供完全保护。</w:t>
      </w:r>
    </w:p>
    <w:p w:rsidR="00000000" w:rsidRDefault="000C45AD">
      <w:pPr>
        <w:pStyle w:val="NormalIndent"/>
      </w:pPr>
      <w:r>
        <w:t xml:space="preserve">394.  </w:t>
      </w:r>
      <w:r>
        <w:rPr>
          <w:rFonts w:hint="eastAsia"/>
        </w:rPr>
        <w:t>《宪法》要求下列条款：通过事先审查以保护社会的伦理和文化价值与个人特别是儿童、青少年和年轻人的权利从而调节言论自由，以及使用烟酒商业广告法予以调节</w:t>
      </w:r>
      <w:r>
        <w:t>(</w:t>
      </w:r>
      <w:r>
        <w:rPr>
          <w:rFonts w:hint="eastAsia"/>
        </w:rPr>
        <w:t>第</w:t>
      </w:r>
      <w:r>
        <w:t>75</w:t>
      </w:r>
      <w:r>
        <w:rPr>
          <w:rFonts w:hint="eastAsia"/>
        </w:rPr>
        <w:t>条</w:t>
      </w:r>
      <w:r>
        <w:t>)</w:t>
      </w:r>
      <w:r>
        <w:rPr>
          <w:rFonts w:hint="eastAsia"/>
        </w:rPr>
        <w:t>。</w:t>
      </w:r>
    </w:p>
    <w:p w:rsidR="00000000" w:rsidRDefault="000C45AD">
      <w:pPr>
        <w:pStyle w:val="NormalIndent"/>
      </w:pPr>
      <w:r>
        <w:t xml:space="preserve">395.  </w:t>
      </w:r>
      <w:r>
        <w:rPr>
          <w:rFonts w:hint="eastAsia"/>
        </w:rPr>
        <w:t>所有作家、发明者、制片人或商人按照法律，都有权独家拥有他们的作品、发明、商标和商品名目</w:t>
      </w:r>
      <w:r>
        <w:t>(</w:t>
      </w:r>
      <w:r>
        <w:rPr>
          <w:rFonts w:hint="eastAsia"/>
        </w:rPr>
        <w:t>第</w:t>
      </w:r>
      <w:r>
        <w:t>108</w:t>
      </w:r>
      <w:r>
        <w:rPr>
          <w:rFonts w:hint="eastAsia"/>
        </w:rPr>
        <w:t>条</w:t>
      </w:r>
      <w:r>
        <w:t>)</w:t>
      </w:r>
      <w:r>
        <w:rPr>
          <w:rFonts w:hint="eastAsia"/>
        </w:rPr>
        <w:t>。教育应当履行国家在保存、促进和传播文化上的必要职责，其利益应当毫无任何歧视地交给全社会；全国教育应</w:t>
      </w:r>
      <w:r>
        <w:rPr>
          <w:rFonts w:hint="eastAsia"/>
        </w:rPr>
        <w:t>当确立民主的基本原则也应以此为基础，诱导和鼓励学生具有深厚的洪都拉斯感情，并同该国经济和社会发展过程密不可分</w:t>
      </w:r>
      <w:r>
        <w:t>(</w:t>
      </w:r>
      <w:r>
        <w:rPr>
          <w:rFonts w:hint="eastAsia"/>
        </w:rPr>
        <w:t>第</w:t>
      </w:r>
      <w:r>
        <w:t>151</w:t>
      </w:r>
      <w:r>
        <w:rPr>
          <w:rFonts w:hint="eastAsia"/>
        </w:rPr>
        <w:t>条</w:t>
      </w:r>
      <w:r>
        <w:t>)</w:t>
      </w:r>
      <w:r>
        <w:rPr>
          <w:rFonts w:hint="eastAsia"/>
        </w:rPr>
        <w:t>。</w:t>
      </w:r>
    </w:p>
    <w:p w:rsidR="00000000" w:rsidRDefault="000C45AD">
      <w:pPr>
        <w:pStyle w:val="NormalIndent"/>
      </w:pPr>
      <w:r>
        <w:t xml:space="preserve">396.  </w:t>
      </w:r>
      <w:r>
        <w:rPr>
          <w:rFonts w:hint="eastAsia"/>
        </w:rPr>
        <w:t>洪都拉斯所有考古的、古工艺学的、历史的和艺术的财富必须成为该国文化遗产的一部分。法律应当确立规章，作为保存、重建、维持、在必要时恢复这项遗产的依据。所有洪都拉斯人有责任保证遗产得到保存，而且阻止其损耗。自然风景区、文物区和保护区应当置于国家保护之下</w:t>
      </w:r>
      <w:r>
        <w:t>(</w:t>
      </w:r>
      <w:r>
        <w:rPr>
          <w:rFonts w:hint="eastAsia"/>
        </w:rPr>
        <w:t>第</w:t>
      </w:r>
      <w:r>
        <w:t>172</w:t>
      </w:r>
      <w:r>
        <w:rPr>
          <w:rFonts w:hint="eastAsia"/>
        </w:rPr>
        <w:t>条</w:t>
      </w:r>
      <w:r>
        <w:t>)</w:t>
      </w:r>
      <w:r>
        <w:rPr>
          <w:rFonts w:hint="eastAsia"/>
        </w:rPr>
        <w:t>。</w:t>
      </w:r>
    </w:p>
    <w:p w:rsidR="00000000" w:rsidRDefault="000C45AD">
      <w:pPr>
        <w:pStyle w:val="NormalIndent"/>
      </w:pPr>
      <w:r>
        <w:t xml:space="preserve">397.  </w:t>
      </w:r>
      <w:r>
        <w:rPr>
          <w:rFonts w:hint="eastAsia"/>
        </w:rPr>
        <w:t>国家应当保存和鼓励本地文化以及民俗学、大众艺术和工艺品的真正表现</w:t>
      </w:r>
      <w:r>
        <w:t>(</w:t>
      </w:r>
      <w:r>
        <w:rPr>
          <w:rFonts w:hint="eastAsia"/>
        </w:rPr>
        <w:t>第</w:t>
      </w:r>
      <w:r>
        <w:t>173</w:t>
      </w:r>
      <w:r>
        <w:rPr>
          <w:rFonts w:hint="eastAsia"/>
        </w:rPr>
        <w:t>条</w:t>
      </w:r>
      <w:r>
        <w:t>)</w:t>
      </w:r>
      <w:r>
        <w:rPr>
          <w:rFonts w:hint="eastAsia"/>
        </w:rPr>
        <w:t>。国家应当促进对体</w:t>
      </w:r>
      <w:r>
        <w:rPr>
          <w:rFonts w:hint="eastAsia"/>
        </w:rPr>
        <w:t>育和运动的兴趣和锻炼</w:t>
      </w:r>
      <w:r>
        <w:t>(</w:t>
      </w:r>
      <w:r>
        <w:rPr>
          <w:rFonts w:hint="eastAsia"/>
        </w:rPr>
        <w:t>第</w:t>
      </w:r>
      <w:r>
        <w:t>174</w:t>
      </w:r>
      <w:r>
        <w:rPr>
          <w:rFonts w:hint="eastAsia"/>
        </w:rPr>
        <w:t>条</w:t>
      </w:r>
      <w:r>
        <w:t>)</w:t>
      </w:r>
      <w:r>
        <w:rPr>
          <w:rFonts w:hint="eastAsia"/>
        </w:rPr>
        <w:t>。国家应当促进和支持本国作家和外国作家的作品的传播，它们作为合理的哲学、科学或文化创作，有助于全国发展。</w:t>
      </w:r>
    </w:p>
    <w:p w:rsidR="00000000" w:rsidRDefault="000C45AD">
      <w:pPr>
        <w:pStyle w:val="NormalIndent"/>
      </w:pPr>
      <w:r>
        <w:t xml:space="preserve">398.  </w:t>
      </w:r>
      <w:r>
        <w:rPr>
          <w:rFonts w:hint="eastAsia"/>
        </w:rPr>
        <w:t>同友好国家应当保持密切联系，它们也愿意在促进科学、教育和文化活动的国家的及机构间协议和其他安排，并在这些协议及安排上进行协作。</w:t>
      </w:r>
    </w:p>
    <w:p w:rsidR="00000000" w:rsidRDefault="000C45AD">
      <w:pPr>
        <w:pStyle w:val="NormalIndent"/>
      </w:pPr>
      <w:r>
        <w:t xml:space="preserve">399.  </w:t>
      </w:r>
      <w:r>
        <w:rPr>
          <w:rFonts w:hint="eastAsia"/>
        </w:rPr>
        <w:t>所有作家、发明者、制片人或商人按照法律，都有权垄断他们的作品、发明、商标和商品名目</w:t>
      </w:r>
      <w:r>
        <w:t>(</w:t>
      </w:r>
      <w:r>
        <w:rPr>
          <w:rFonts w:hint="eastAsia"/>
        </w:rPr>
        <w:t>第</w:t>
      </w:r>
      <w:r>
        <w:t>108</w:t>
      </w:r>
      <w:r>
        <w:rPr>
          <w:rFonts w:hint="eastAsia"/>
        </w:rPr>
        <w:t>条</w:t>
      </w:r>
      <w:r>
        <w:t>)</w:t>
      </w:r>
      <w:r>
        <w:rPr>
          <w:rFonts w:hint="eastAsia"/>
        </w:rPr>
        <w:t>。经由基金会、区域文化办事处、市公共图书馆、文化中心和支持文化、教育活动的企业，应当促进必要的措施。</w:t>
      </w:r>
    </w:p>
    <w:p w:rsidR="00000000" w:rsidRDefault="000C45AD">
      <w:pPr>
        <w:pStyle w:val="NormalIndent"/>
      </w:pPr>
      <w:r>
        <w:t xml:space="preserve">400.  </w:t>
      </w:r>
      <w:r>
        <w:rPr>
          <w:rFonts w:hint="eastAsia"/>
        </w:rPr>
        <w:t>除非有相反</w:t>
      </w:r>
      <w:r>
        <w:rPr>
          <w:rFonts w:hint="eastAsia"/>
        </w:rPr>
        <w:t>的证明，一个人其姓名、笔名、缩写或通常的记号或签名一般印在一项作品或其复制品或在该作品说明。介绍、代理、解释或任何其他方式公开传播上予以陈述，则应认定该人为作家</w:t>
      </w:r>
      <w:r>
        <w:t>(</w:t>
      </w:r>
      <w:r>
        <w:rPr>
          <w:rFonts w:hint="eastAsia"/>
        </w:rPr>
        <w:t>第</w:t>
      </w:r>
      <w:r>
        <w:t>10</w:t>
      </w:r>
      <w:r>
        <w:rPr>
          <w:rFonts w:hint="eastAsia"/>
        </w:rPr>
        <w:t>条</w:t>
      </w:r>
      <w:r>
        <w:t>)</w:t>
      </w:r>
      <w:r>
        <w:rPr>
          <w:rFonts w:hint="eastAsia"/>
        </w:rPr>
        <w:t>。</w:t>
      </w:r>
    </w:p>
    <w:p w:rsidR="00000000" w:rsidRDefault="000C45AD">
      <w:pPr>
        <w:pStyle w:val="NormalIndent"/>
      </w:pPr>
      <w:r>
        <w:t xml:space="preserve">401.  </w:t>
      </w:r>
      <w:r>
        <w:rPr>
          <w:rFonts w:hint="eastAsia"/>
        </w:rPr>
        <w:t>只有自然人可以是作品的作家。然而，国家、公法机构和法人可以拥有本法授予的知识产权，而成为原拥有者的继承人和受让人</w:t>
      </w:r>
      <w:r>
        <w:t>(</w:t>
      </w:r>
      <w:r>
        <w:rPr>
          <w:rFonts w:hint="eastAsia"/>
        </w:rPr>
        <w:t>第</w:t>
      </w:r>
      <w:r>
        <w:t>11</w:t>
      </w:r>
      <w:r>
        <w:rPr>
          <w:rFonts w:hint="eastAsia"/>
        </w:rPr>
        <w:t>条</w:t>
      </w:r>
      <w:r>
        <w:t>)</w:t>
      </w:r>
      <w:r>
        <w:rPr>
          <w:rFonts w:hint="eastAsia"/>
        </w:rPr>
        <w:t>。</w:t>
      </w:r>
    </w:p>
    <w:p w:rsidR="00000000" w:rsidRDefault="000C45AD">
      <w:pPr>
        <w:pStyle w:val="NormalIndent"/>
      </w:pPr>
      <w:r>
        <w:t xml:space="preserve">402.  </w:t>
      </w:r>
      <w:r>
        <w:rPr>
          <w:rFonts w:hint="eastAsia"/>
        </w:rPr>
        <w:t>以下作品应当受到保护，它们作为独立作品构成创造性作品，且不影响它们所根据的作品的版权：</w:t>
      </w:r>
    </w:p>
    <w:p w:rsidR="00000000" w:rsidRDefault="000C45AD" w:rsidP="000C45AD">
      <w:pPr>
        <w:pStyle w:val="a0"/>
        <w:numPr>
          <w:ilvl w:val="0"/>
          <w:numId w:val="4"/>
        </w:numPr>
        <w:ind w:left="1531" w:hanging="510"/>
      </w:pPr>
      <w:r>
        <w:rPr>
          <w:rFonts w:hint="eastAsia"/>
        </w:rPr>
        <w:t>一件作品的翻译、改编、音乐配制和其他改动，在这样的情况，作出这种改动的人享有版权；为了使用这种改</w:t>
      </w:r>
      <w:r>
        <w:rPr>
          <w:rFonts w:hint="eastAsia"/>
        </w:rPr>
        <w:t>动，需要向拥有原来作品版权的人以书面要求许可；</w:t>
      </w:r>
    </w:p>
    <w:p w:rsidR="00000000" w:rsidRDefault="000C45AD" w:rsidP="000C45AD">
      <w:pPr>
        <w:pStyle w:val="a0"/>
        <w:numPr>
          <w:ilvl w:val="0"/>
          <w:numId w:val="4"/>
        </w:numPr>
        <w:ind w:left="1531" w:hanging="510"/>
      </w:pPr>
      <w:r>
        <w:rPr>
          <w:rFonts w:hint="eastAsia"/>
        </w:rPr>
        <w:t>集体作品诸如定期出版物、选集、字典等，选择和安排它们的内容构成原始创作</w:t>
      </w:r>
      <w:r>
        <w:t>(</w:t>
      </w:r>
      <w:r>
        <w:rPr>
          <w:rFonts w:hint="eastAsia"/>
        </w:rPr>
        <w:t>第</w:t>
      </w:r>
      <w:r>
        <w:t>12</w:t>
      </w:r>
      <w:r>
        <w:rPr>
          <w:rFonts w:hint="eastAsia"/>
        </w:rPr>
        <w:t>条</w:t>
      </w:r>
      <w:r>
        <w:t>)</w:t>
      </w:r>
      <w:r>
        <w:rPr>
          <w:rFonts w:hint="eastAsia"/>
        </w:rPr>
        <w:t>。</w:t>
      </w:r>
    </w:p>
    <w:p w:rsidR="00000000" w:rsidRDefault="000C45AD">
      <w:pPr>
        <w:pStyle w:val="NormalIndent"/>
      </w:pPr>
      <w:r>
        <w:t xml:space="preserve">403.  </w:t>
      </w:r>
      <w:r>
        <w:rPr>
          <w:rFonts w:hint="eastAsia"/>
        </w:rPr>
        <w:t>工业使用的艺术品，当它们艺术成分可以从工业品分开时，应当作为艺术品予以保护</w:t>
      </w:r>
      <w:r>
        <w:t>(</w:t>
      </w:r>
      <w:r>
        <w:rPr>
          <w:rFonts w:hint="eastAsia"/>
        </w:rPr>
        <w:t>第</w:t>
      </w:r>
      <w:r>
        <w:t>13</w:t>
      </w:r>
      <w:r>
        <w:rPr>
          <w:rFonts w:hint="eastAsia"/>
        </w:rPr>
        <w:t>条</w:t>
      </w:r>
      <w:r>
        <w:t>)</w:t>
      </w:r>
      <w:r>
        <w:rPr>
          <w:rFonts w:hint="eastAsia"/>
        </w:rPr>
        <w:t>。</w:t>
      </w:r>
    </w:p>
    <w:p w:rsidR="00000000" w:rsidRDefault="000C45AD">
      <w:pPr>
        <w:pStyle w:val="NormalIndent"/>
      </w:pPr>
      <w:r>
        <w:t xml:space="preserve">404.  </w:t>
      </w:r>
      <w:r>
        <w:rPr>
          <w:rFonts w:hint="eastAsia"/>
        </w:rPr>
        <w:t>除非另有协议，在可分割协作作品的情况，每个协作者对其成为作者的部分拥有版权。在不可分割的协作作品的情况，版权共同地、不可分割地属于共同作者</w:t>
      </w:r>
      <w:r>
        <w:t>(</w:t>
      </w:r>
      <w:r>
        <w:rPr>
          <w:rFonts w:hint="eastAsia"/>
        </w:rPr>
        <w:t>第</w:t>
      </w:r>
      <w:r>
        <w:t>14</w:t>
      </w:r>
      <w:r>
        <w:rPr>
          <w:rFonts w:hint="eastAsia"/>
        </w:rPr>
        <w:t>条</w:t>
      </w:r>
      <w:r>
        <w:t>)</w:t>
      </w:r>
      <w:r>
        <w:rPr>
          <w:rFonts w:hint="eastAsia"/>
        </w:rPr>
        <w:t>。</w:t>
      </w:r>
    </w:p>
    <w:p w:rsidR="00000000" w:rsidRDefault="000C45AD">
      <w:pPr>
        <w:pStyle w:val="NormalIndent"/>
      </w:pPr>
      <w:r>
        <w:t xml:space="preserve">405.  </w:t>
      </w:r>
      <w:r>
        <w:rPr>
          <w:rFonts w:hint="eastAsia"/>
        </w:rPr>
        <w:t>联合国、其办事处或专门机构以及美洲组织首次出版的作品，应当按照洪都拉斯签署和批准的国际协议的条款予</w:t>
      </w:r>
      <w:r>
        <w:rPr>
          <w:rFonts w:hint="eastAsia"/>
        </w:rPr>
        <w:t>以保护</w:t>
      </w:r>
      <w:r>
        <w:t>(</w:t>
      </w:r>
      <w:r>
        <w:rPr>
          <w:rFonts w:hint="eastAsia"/>
        </w:rPr>
        <w:t>第</w:t>
      </w:r>
      <w:r>
        <w:t>15</w:t>
      </w:r>
      <w:r>
        <w:rPr>
          <w:rFonts w:hint="eastAsia"/>
        </w:rPr>
        <w:t>条</w:t>
      </w:r>
      <w:r>
        <w:t>)</w:t>
      </w:r>
      <w:r>
        <w:rPr>
          <w:rFonts w:hint="eastAsia"/>
        </w:rPr>
        <w:t>。</w:t>
      </w:r>
    </w:p>
    <w:p w:rsidR="00000000" w:rsidRDefault="000C45AD">
      <w:pPr>
        <w:pStyle w:val="NormalIndent"/>
      </w:pPr>
      <w:r>
        <w:t xml:space="preserve">406.  </w:t>
      </w:r>
      <w:r>
        <w:rPr>
          <w:rFonts w:hint="eastAsia"/>
        </w:rPr>
        <w:t>制片人拥有下列权利：</w:t>
      </w:r>
    </w:p>
    <w:p w:rsidR="00000000" w:rsidRDefault="000C45AD" w:rsidP="000C45AD">
      <w:pPr>
        <w:pStyle w:val="a0"/>
        <w:numPr>
          <w:ilvl w:val="0"/>
          <w:numId w:val="5"/>
        </w:numPr>
        <w:ind w:left="1531" w:hanging="510"/>
      </w:pPr>
      <w:r>
        <w:rPr>
          <w:rFonts w:hint="eastAsia"/>
        </w:rPr>
        <w:t>确定作品的最后形式，以任何现有手段在电影院大厅或可作为这种大厅的地方分配或演出或其他任何放映手段作到此点，并从中得到资金利益；</w:t>
      </w:r>
    </w:p>
    <w:p w:rsidR="00000000" w:rsidRDefault="000C45AD" w:rsidP="000C45AD">
      <w:pPr>
        <w:pStyle w:val="a0"/>
        <w:numPr>
          <w:ilvl w:val="0"/>
          <w:numId w:val="5"/>
        </w:numPr>
        <w:ind w:left="1531" w:hanging="510"/>
      </w:pPr>
      <w:r>
        <w:rPr>
          <w:rFonts w:hint="eastAsia"/>
        </w:rPr>
        <w:t>出售或租赁视听作品的实例，或为了展出而扩大及缩小其尺寸；</w:t>
      </w:r>
    </w:p>
    <w:p w:rsidR="00000000" w:rsidRDefault="000C45AD" w:rsidP="000C45AD">
      <w:pPr>
        <w:pStyle w:val="a0"/>
        <w:numPr>
          <w:ilvl w:val="0"/>
          <w:numId w:val="5"/>
        </w:numPr>
        <w:spacing w:after="320"/>
        <w:ind w:left="1531" w:hanging="510"/>
        <w:textAlignment w:val="center"/>
      </w:pPr>
      <w:r>
        <w:rPr>
          <w:rFonts w:hint="eastAsia"/>
        </w:rPr>
        <w:t>许可一件作品的翻译、其他改编或改动，并一如需要，使用它们增加从作品得到的资金好处；对于未获许可的复制或展出，向主管司法机构起诉</w:t>
      </w:r>
      <w:r>
        <w:t>(</w:t>
      </w:r>
      <w:r>
        <w:rPr>
          <w:rFonts w:hint="eastAsia"/>
        </w:rPr>
        <w:t>第</w:t>
      </w:r>
      <w:r>
        <w:t>24</w:t>
      </w:r>
      <w:r>
        <w:rPr>
          <w:rFonts w:hint="eastAsia"/>
        </w:rPr>
        <w:t>条</w:t>
      </w:r>
      <w:r>
        <w:t>)</w:t>
      </w:r>
      <w:r>
        <w:rPr>
          <w:rFonts w:hint="eastAsia"/>
        </w:rPr>
        <w:t>。</w:t>
      </w:r>
    </w:p>
    <w:p w:rsidR="00000000" w:rsidRDefault="000C45AD"/>
    <w:p w:rsidR="00000000" w:rsidRDefault="000C45AD">
      <w:pPr>
        <w:pStyle w:val="Heading3"/>
      </w:pPr>
      <w:r>
        <w:br w:type="page"/>
      </w:r>
      <w:r>
        <w:rPr>
          <w:rFonts w:hint="eastAsia"/>
        </w:rPr>
        <w:t>注</w:t>
      </w:r>
    </w:p>
    <w:p w:rsidR="00000000" w:rsidRDefault="000C45AD">
      <w:pPr>
        <w:pStyle w:val="FootnoteText"/>
      </w:pPr>
      <w:r>
        <w:rPr>
          <w:vertAlign w:val="superscript"/>
        </w:rPr>
        <w:t>1</w:t>
      </w:r>
      <w:r>
        <w:t xml:space="preserve">  1988</w:t>
      </w:r>
      <w:r>
        <w:rPr>
          <w:rFonts w:hint="eastAsia"/>
        </w:rPr>
        <w:t>年人口和住房普查和公共教育部。</w:t>
      </w:r>
    </w:p>
    <w:p w:rsidR="00000000" w:rsidRDefault="000C45AD">
      <w:pPr>
        <w:pStyle w:val="FootnoteText"/>
      </w:pPr>
      <w:r>
        <w:rPr>
          <w:vertAlign w:val="superscript"/>
        </w:rPr>
        <w:t>2</w:t>
      </w:r>
      <w:r>
        <w:t xml:space="preserve">  </w:t>
      </w:r>
      <w:r>
        <w:rPr>
          <w:rFonts w:hint="eastAsia"/>
        </w:rPr>
        <w:t>公共卫生部和社会指数股</w:t>
      </w:r>
      <w:r>
        <w:t>/</w:t>
      </w:r>
      <w:r>
        <w:rPr>
          <w:rFonts w:hint="eastAsia"/>
        </w:rPr>
        <w:t>规划、协调和预算部。</w:t>
      </w:r>
    </w:p>
    <w:p w:rsidR="00000000" w:rsidRDefault="000C45AD">
      <w:pPr>
        <w:pStyle w:val="FootnoteText"/>
      </w:pPr>
      <w:r>
        <w:rPr>
          <w:vertAlign w:val="superscript"/>
        </w:rPr>
        <w:t>3</w:t>
      </w:r>
      <w:r>
        <w:t xml:space="preserve">  </w:t>
      </w:r>
      <w:r>
        <w:rPr>
          <w:rFonts w:hint="eastAsia"/>
        </w:rPr>
        <w:t>公共卫生部。</w:t>
      </w:r>
    </w:p>
    <w:p w:rsidR="00000000" w:rsidRDefault="000C45AD">
      <w:pPr>
        <w:pStyle w:val="FootnoteText"/>
      </w:pPr>
      <w:r>
        <w:rPr>
          <w:vertAlign w:val="superscript"/>
        </w:rPr>
        <w:t>4</w:t>
      </w:r>
      <w:r>
        <w:t xml:space="preserve">  </w:t>
      </w:r>
      <w:r>
        <w:rPr>
          <w:rFonts w:hint="eastAsia"/>
        </w:rPr>
        <w:t>一年级学生第五次讲习班普查，</w:t>
      </w:r>
      <w:r>
        <w:t>SEC/</w:t>
      </w:r>
      <w:r>
        <w:rPr>
          <w:rFonts w:hint="eastAsia"/>
        </w:rPr>
        <w:t>规划、协调和预算部。</w:t>
      </w:r>
    </w:p>
    <w:p w:rsidR="00000000" w:rsidRDefault="000C45AD">
      <w:pPr>
        <w:pStyle w:val="FootnoteText"/>
      </w:pPr>
      <w:r>
        <w:rPr>
          <w:vertAlign w:val="superscript"/>
        </w:rPr>
        <w:t>5</w:t>
      </w:r>
      <w:r>
        <w:t xml:space="preserve">  </w:t>
      </w:r>
      <w:r>
        <w:rPr>
          <w:rFonts w:hint="eastAsia"/>
        </w:rPr>
        <w:t>规划、协调和预算部。</w:t>
      </w:r>
    </w:p>
    <w:p w:rsidR="00000000" w:rsidRDefault="000C45AD">
      <w:pPr>
        <w:pStyle w:val="FootnoteText"/>
      </w:pPr>
      <w:r>
        <w:rPr>
          <w:vertAlign w:val="superscript"/>
        </w:rPr>
        <w:t>6</w:t>
      </w:r>
      <w:r>
        <w:t xml:space="preserve">  </w:t>
      </w:r>
      <w:r>
        <w:rPr>
          <w:rFonts w:hint="eastAsia"/>
        </w:rPr>
        <w:t>人口、性别和就业股</w:t>
      </w:r>
      <w:r>
        <w:t>/</w:t>
      </w:r>
      <w:r>
        <w:rPr>
          <w:rFonts w:hint="eastAsia"/>
        </w:rPr>
        <w:t>规划、协调和预算部。</w:t>
      </w:r>
    </w:p>
    <w:p w:rsidR="00000000" w:rsidRDefault="000C45AD">
      <w:pPr>
        <w:pStyle w:val="FootnoteText"/>
      </w:pPr>
      <w:r>
        <w:rPr>
          <w:vertAlign w:val="superscript"/>
        </w:rPr>
        <w:t>7</w:t>
      </w:r>
      <w:r>
        <w:t xml:space="preserve">  </w:t>
      </w:r>
      <w:r>
        <w:rPr>
          <w:rFonts w:hint="eastAsia"/>
        </w:rPr>
        <w:t>规划、协调和预算部</w:t>
      </w:r>
      <w:r>
        <w:t>/DGEC 1994</w:t>
      </w:r>
      <w:r>
        <w:rPr>
          <w:rFonts w:hint="eastAsia"/>
        </w:rPr>
        <w:t>年</w:t>
      </w:r>
      <w:r>
        <w:t>10</w:t>
      </w:r>
      <w:r>
        <w:rPr>
          <w:rFonts w:hint="eastAsia"/>
        </w:rPr>
        <w:t>月开展的全国家庭和多目的调查得出的数据。</w:t>
      </w:r>
    </w:p>
    <w:p w:rsidR="00000000" w:rsidRDefault="000C45AD">
      <w:pPr>
        <w:pStyle w:val="FootnoteText"/>
      </w:pPr>
      <w:r>
        <w:rPr>
          <w:vertAlign w:val="superscript"/>
        </w:rPr>
        <w:t>8</w:t>
      </w:r>
      <w:r>
        <w:t xml:space="preserve">  ENESF,  1991</w:t>
      </w:r>
      <w:r>
        <w:rPr>
          <w:rFonts w:hint="eastAsia"/>
        </w:rPr>
        <w:t>年至</w:t>
      </w:r>
      <w:r>
        <w:t>1996</w:t>
      </w:r>
      <w:r>
        <w:rPr>
          <w:rFonts w:hint="eastAsia"/>
        </w:rPr>
        <w:t>年。</w:t>
      </w:r>
    </w:p>
    <w:p w:rsidR="00000000" w:rsidRDefault="000C45AD">
      <w:pPr>
        <w:pStyle w:val="FootnoteText"/>
      </w:pPr>
    </w:p>
    <w:p w:rsidR="00000000" w:rsidRDefault="000C45AD">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C45AD">
      <w:pPr>
        <w:keepNext/>
        <w:spacing w:before="320" w:after="240"/>
        <w:jc w:val="center"/>
      </w:pPr>
      <w:r>
        <w:rPr>
          <w:rFonts w:hint="eastAsia"/>
          <w:u w:val="single"/>
        </w:rPr>
        <w:t>注</w:t>
      </w:r>
    </w:p>
  </w:endnote>
  <w:endnote w:type="continuationSeparator" w:id="0">
    <w:p w:rsidR="00000000" w:rsidRDefault="000C45A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C45AD">
    <w:pPr>
      <w:pStyle w:val="Footer"/>
      <w:rPr>
        <w:rFonts w:ascii="Courier" w:hAnsi="Courier"/>
      </w:rPr>
    </w:pPr>
    <w:r>
      <w:rPr>
        <w:rFonts w:ascii="Courier" w:hAnsi="Courier"/>
      </w:rPr>
      <w:t>GE. 98-17124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C45AD">
      <w:pPr>
        <w:spacing w:line="240" w:lineRule="auto"/>
      </w:pPr>
      <w:r>
        <w:separator/>
      </w:r>
    </w:p>
  </w:footnote>
  <w:footnote w:type="continuationSeparator" w:id="0">
    <w:p w:rsidR="00000000" w:rsidRDefault="000C45A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C45AD">
    <w:pPr>
      <w:pStyle w:val="1R2"/>
      <w:framePr w:w="0" w:hRule="auto" w:hSpace="0" w:wrap="auto" w:vAnchor="margin" w:hAnchor="text" w:xAlign="left" w:yAlign="inline"/>
    </w:pPr>
    <w:r>
      <w:t>E/1990/5/Add.40</w:t>
    </w:r>
  </w:p>
  <w:p w:rsidR="00000000" w:rsidRDefault="000C45AD">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C45AD">
    <w:pPr>
      <w:pStyle w:val="1R2"/>
      <w:framePr w:w="0" w:hRule="auto" w:hSpace="0" w:wrap="auto" w:vAnchor="margin" w:hAnchor="text" w:xAlign="left" w:yAlign="inline"/>
    </w:pPr>
    <w:r>
      <w:tab/>
    </w:r>
    <w:r>
      <w:tab/>
    </w:r>
    <w:r>
      <w:tab/>
    </w:r>
    <w:r>
      <w:tab/>
      <w:t>E/1990/5/Add.40</w:t>
    </w:r>
  </w:p>
  <w:p w:rsidR="00000000" w:rsidRDefault="000C45AD">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C45AD">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0C45AD">
                <w:pPr>
                  <w:pStyle w:val="1R1"/>
                  <w:rPr>
                    <w:rFonts w:ascii="Univers Bold" w:hAnsi="Univers Bold"/>
                  </w:rPr>
                </w:pPr>
                <w:r>
                  <w:t>E</w:t>
                </w:r>
              </w:p>
            </w:txbxContent>
          </v:textbox>
          <w10:wrap anchorx="page" anchory="page"/>
        </v:rect>
      </w:pict>
    </w:r>
  </w:p>
  <w:p w:rsidR="00000000" w:rsidRDefault="000C45AD">
    <w:pPr>
      <w:pStyle w:val="a"/>
      <w:spacing w:after="160"/>
    </w:pPr>
    <w:r>
      <w:fldChar w:fldCharType="begin"/>
    </w:r>
    <w:r>
      <w:instrText xml:space="preserve">PRIVATE </w:instrText>
    </w:r>
    <w:r>
      <w:fldChar w:fldCharType="end"/>
    </w:r>
  </w:p>
  <w:p w:rsidR="00000000" w:rsidRDefault="000C45AD">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w:t>
    </w:r>
    <w:r>
      <w:rPr>
        <w:rFonts w:hint="eastAsia"/>
      </w:rPr>
      <w:t>国</w:t>
    </w:r>
  </w:p>
  <w:p w:rsidR="00000000" w:rsidRDefault="000C45AD">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0C45AD">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0C45AD">
    <w:pPr>
      <w:pStyle w:val="1R2"/>
      <w:framePr w:wrap="around"/>
    </w:pPr>
    <w:r>
      <w:t>Distr.</w:t>
    </w:r>
  </w:p>
  <w:p w:rsidR="00000000" w:rsidRDefault="000C45AD">
    <w:pPr>
      <w:pStyle w:val="1R2"/>
      <w:framePr w:wrap="around"/>
    </w:pPr>
    <w:r>
      <w:t>GENERAL</w:t>
    </w:r>
  </w:p>
  <w:p w:rsidR="00000000" w:rsidRDefault="000C45AD">
    <w:pPr>
      <w:pStyle w:val="1R2"/>
      <w:framePr w:wrap="around"/>
    </w:pPr>
  </w:p>
  <w:p w:rsidR="00000000" w:rsidRDefault="000C45AD">
    <w:pPr>
      <w:pStyle w:val="1R2"/>
      <w:framePr w:wrap="around"/>
    </w:pPr>
    <w:r>
      <w:t>E/1990/5/Add.40</w:t>
    </w:r>
  </w:p>
  <w:p w:rsidR="00000000" w:rsidRDefault="000C45AD">
    <w:pPr>
      <w:pStyle w:val="1R2"/>
      <w:framePr w:wrap="around"/>
    </w:pPr>
    <w:r>
      <w:t>23 July 1998</w:t>
    </w:r>
  </w:p>
  <w:p w:rsidR="00000000" w:rsidRDefault="000C45AD">
    <w:pPr>
      <w:pStyle w:val="1R2"/>
      <w:framePr w:wrap="around"/>
    </w:pPr>
    <w:r>
      <w:t>CHINESE</w:t>
    </w:r>
  </w:p>
  <w:p w:rsidR="00000000" w:rsidRDefault="000C45AD">
    <w:pPr>
      <w:pStyle w:val="1R2"/>
      <w:framePr w:wrap="around"/>
    </w:pPr>
    <w:r>
      <w:t>Original:</w:t>
    </w:r>
    <w:r>
      <w:tab/>
      <w:t>SPANISH</w:t>
    </w:r>
  </w:p>
  <w:p w:rsidR="00000000" w:rsidRDefault="000C45AD">
    <w:pPr>
      <w:pStyle w:val="a"/>
    </w:pPr>
  </w:p>
  <w:p w:rsidR="00000000" w:rsidRDefault="000C45AD">
    <w:pPr>
      <w:pStyle w:val="a"/>
    </w:pPr>
  </w:p>
  <w:p w:rsidR="00000000" w:rsidRDefault="000C45AD">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0C45AD">
                <w:pPr>
                  <w:pStyle w:val="1m1"/>
                </w:pPr>
                <w:r>
                  <w:rPr>
                    <w:rFonts w:hint="eastAsia"/>
                  </w:rPr>
                  <w:t>经济及社会理事会</w:t>
                </w:r>
              </w:p>
            </w:txbxContent>
          </v:textbox>
          <w10:wrap anchorx="page" anchory="page"/>
        </v:rect>
      </w:pict>
    </w:r>
  </w:p>
  <w:p w:rsidR="00000000" w:rsidRDefault="000C45AD">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0C45AD">
    <w:pPr>
      <w:pStyle w:val="a"/>
    </w:pPr>
  </w:p>
  <w:p w:rsidR="00000000" w:rsidRDefault="000C45AD">
    <w:pPr>
      <w:pStyle w:val="a"/>
    </w:pPr>
  </w:p>
  <w:p w:rsidR="00000000" w:rsidRDefault="000C45AD">
    <w:pPr>
      <w:pStyle w:val="a"/>
    </w:pPr>
    <w:r>
      <w:fldChar w:fldCharType="begin"/>
    </w:r>
    <w:r>
      <w:instrText>ADVANCE \Y 252.30</w:instrText>
    </w:r>
    <w:r>
      <w:fldChar w:fldCharType="end"/>
    </w:r>
  </w:p>
  <w:p w:rsidR="00000000" w:rsidRDefault="000C45AD">
    <w:pPr>
      <w:pStyle w:val="a"/>
    </w:pPr>
  </w:p>
  <w:p w:rsidR="00000000" w:rsidRDefault="000C45AD">
    <w:pPr>
      <w:pStyle w:val="a"/>
    </w:pPr>
  </w:p>
  <w:p w:rsidR="00000000" w:rsidRDefault="000C45AD">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B420CE82"/>
    <w:lvl w:ilvl="0">
      <w:numFmt w:val="bullet"/>
      <w:lvlText w:val="*"/>
      <w:lvlJc w:val="left"/>
    </w:lvl>
  </w:abstractNum>
  <w:abstractNum w:abstractNumId="1">
    <w:nsid w:val="25A572E6"/>
    <w:multiLevelType w:val="singleLevel"/>
    <w:tmpl w:val="FFFFFFFF"/>
    <w:lvl w:ilvl="0">
      <w:start w:val="1"/>
      <w:numFmt w:val="lowerLetter"/>
      <w:lvlText w:val="(%1)"/>
      <w:legacy w:legacy="1" w:legacySpace="0" w:legacyIndent="425"/>
      <w:lvlJc w:val="left"/>
      <w:pPr>
        <w:ind w:left="1446" w:hanging="425"/>
      </w:pPr>
    </w:lvl>
  </w:abstractNum>
  <w:abstractNum w:abstractNumId="2">
    <w:nsid w:val="26430A7C"/>
    <w:multiLevelType w:val="singleLevel"/>
    <w:tmpl w:val="FFFFFFFF"/>
    <w:lvl w:ilvl="0">
      <w:start w:val="1"/>
      <w:numFmt w:val="lowerLetter"/>
      <w:lvlText w:val="(%1)"/>
      <w:legacy w:legacy="1" w:legacySpace="0" w:legacyIndent="425"/>
      <w:lvlJc w:val="left"/>
      <w:pPr>
        <w:ind w:left="1446" w:hanging="425"/>
      </w:pPr>
    </w:lvl>
  </w:abstractNum>
  <w:abstractNum w:abstractNumId="3">
    <w:nsid w:val="301426BF"/>
    <w:multiLevelType w:val="singleLevel"/>
    <w:tmpl w:val="FFFFFFFF"/>
    <w:lvl w:ilvl="0">
      <w:start w:val="1"/>
      <w:numFmt w:val="lowerLetter"/>
      <w:lvlText w:val="(%1)"/>
      <w:legacy w:legacy="1" w:legacySpace="0" w:legacyIndent="425"/>
      <w:lvlJc w:val="left"/>
      <w:pPr>
        <w:ind w:left="1446" w:hanging="425"/>
      </w:pPr>
    </w:lvl>
  </w:abstractNum>
  <w:abstractNum w:abstractNumId="4">
    <w:nsid w:val="72AF6294"/>
    <w:multiLevelType w:val="singleLevel"/>
    <w:tmpl w:val="FFFFFFFF"/>
    <w:lvl w:ilvl="0">
      <w:start w:val="1"/>
      <w:numFmt w:val="lowerLetter"/>
      <w:lvlText w:val="(%1)"/>
      <w:legacy w:legacy="1" w:legacySpace="0" w:legacyIndent="425"/>
      <w:lvlJc w:val="left"/>
      <w:pPr>
        <w:ind w:left="1446" w:hanging="425"/>
      </w:pPr>
    </w:lvl>
  </w:abstractNum>
  <w:num w:numId="1">
    <w:abstractNumId w:val="0"/>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45AD"/>
    <w:rsid w:val="000C45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 w:type="paragraph" w:customStyle="1" w:styleId="ac">
    <w:name w:val="目录"/>
    <w:basedOn w:val="Normal"/>
    <w:pPr>
      <w:widowControl w:val="0"/>
      <w:tabs>
        <w:tab w:val="clear" w:pos="1021"/>
        <w:tab w:val="clear" w:pos="1531"/>
        <w:tab w:val="clear" w:pos="2041"/>
        <w:tab w:val="left" w:pos="510"/>
        <w:tab w:val="left" w:pos="7201"/>
        <w:tab w:val="left" w:pos="7711"/>
        <w:tab w:val="left" w:pos="8618"/>
        <w:tab w:val="right" w:pos="9356"/>
      </w:tabs>
      <w:spacing w:line="360" w:lineRule="auto"/>
    </w:pPr>
    <w:rPr>
      <w:rFonts w:eastAsia="长城仿宋"/>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311</TotalTime>
  <Pages>8</Pages>
  <Words>4058</Words>
  <Characters>4797</Characters>
  <Application>Microsoft Office Word</Application>
  <DocSecurity>4</DocSecurity>
  <Lines>167</Lines>
  <Paragraphs>65</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CHANG</dc:creator>
  <cp:keywords/>
  <cp:lastModifiedBy>CHANG</cp:lastModifiedBy>
  <cp:revision>23</cp:revision>
  <cp:lastPrinted>1999-05-20T12:33:00Z</cp:lastPrinted>
  <dcterms:created xsi:type="dcterms:W3CDTF">1999-05-18T12:49:00Z</dcterms:created>
  <dcterms:modified xsi:type="dcterms:W3CDTF">1999-05-20T12:39:00Z</dcterms:modified>
</cp:coreProperties>
</file>