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64AC" w:rsidRDefault="002664AC" w:rsidP="002664AC">
      <w:pPr>
        <w:spacing w:line="60" w:lineRule="exact"/>
        <w:rPr>
          <w:sz w:val="6"/>
        </w:rPr>
        <w:sectPr w:rsidR="002664AC" w:rsidSect="002664A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2664AC" w:rsidRDefault="002664AC" w:rsidP="002664AC">
      <w:pPr>
        <w:spacing w:line="60" w:lineRule="exact"/>
        <w:rPr>
          <w:sz w:val="6"/>
        </w:rPr>
      </w:pPr>
    </w:p>
    <w:p w:rsidR="00EB0973" w:rsidRPr="00EB0973" w:rsidRDefault="00EB0973" w:rsidP="00EB0973">
      <w:pPr>
        <w:pStyle w:val="SingleTxt"/>
        <w:spacing w:after="60"/>
        <w:ind w:left="0"/>
        <w:rPr>
          <w:rFonts w:ascii="SimHei" w:eastAsia="SimHei" w:hint="eastAsia"/>
          <w:color w:val="FF0000"/>
          <w:sz w:val="24"/>
          <w:szCs w:val="24"/>
        </w:rPr>
      </w:pPr>
      <w:r w:rsidRPr="00EB0973">
        <w:rPr>
          <w:rFonts w:ascii="SimHei" w:eastAsia="SimHei" w:hint="eastAsia"/>
          <w:color w:val="FF0000"/>
          <w:sz w:val="24"/>
          <w:szCs w:val="24"/>
        </w:rPr>
        <w:t>消除对妇女歧视委员会</w:t>
      </w:r>
    </w:p>
    <w:p w:rsidR="00EB0973" w:rsidRPr="00EB0973" w:rsidRDefault="00EB0973" w:rsidP="00EB0973">
      <w:pPr>
        <w:pStyle w:val="SingleTxt"/>
        <w:spacing w:after="60"/>
        <w:ind w:left="0"/>
        <w:rPr>
          <w:rFonts w:ascii="SimHei" w:eastAsia="SimHei" w:hint="eastAsia"/>
          <w:color w:val="FF0000"/>
        </w:rPr>
      </w:pPr>
      <w:r w:rsidRPr="00EB0973">
        <w:rPr>
          <w:rFonts w:ascii="SimHei" w:eastAsia="SimHei" w:hint="eastAsia"/>
          <w:color w:val="FF0000"/>
        </w:rPr>
        <w:t>会前工作组</w:t>
      </w:r>
    </w:p>
    <w:p w:rsidR="00EB0973" w:rsidRPr="00EB0973" w:rsidRDefault="00EB0973" w:rsidP="00EB0973">
      <w:pPr>
        <w:pStyle w:val="SingleTxt"/>
        <w:spacing w:after="60"/>
        <w:ind w:left="0"/>
        <w:rPr>
          <w:rFonts w:ascii="SimHei" w:eastAsia="SimHei" w:hint="eastAsia"/>
          <w:color w:val="FF0000"/>
        </w:rPr>
      </w:pPr>
      <w:r w:rsidRPr="00EB0973">
        <w:rPr>
          <w:rFonts w:ascii="SimHei" w:eastAsia="SimHei" w:hint="eastAsia"/>
          <w:color w:val="FF0000"/>
        </w:rPr>
        <w:t>第四十和第四十一届会议</w:t>
      </w:r>
    </w:p>
    <w:p w:rsidR="00EB0973" w:rsidRDefault="00EB0973" w:rsidP="00EB0973">
      <w:pPr>
        <w:pStyle w:val="SingleTxt"/>
        <w:spacing w:after="0"/>
        <w:ind w:left="0"/>
        <w:rPr>
          <w:rFonts w:hint="eastAsia"/>
        </w:rPr>
      </w:pPr>
      <w:r>
        <w:rPr>
          <w:rFonts w:hint="eastAsia"/>
        </w:rPr>
        <w:t>2007年7月16日至20日</w:t>
      </w:r>
    </w:p>
    <w:p w:rsidR="00EB0973" w:rsidRPr="00EB0973" w:rsidRDefault="00EB0973" w:rsidP="00EB0973">
      <w:pPr>
        <w:pStyle w:val="SingleTxt"/>
        <w:spacing w:after="0" w:line="120" w:lineRule="exact"/>
        <w:rPr>
          <w:sz w:val="10"/>
        </w:rPr>
      </w:pPr>
    </w:p>
    <w:p w:rsidR="00EB0973" w:rsidRPr="00EB0973" w:rsidRDefault="00EB0973" w:rsidP="00EB0973">
      <w:pPr>
        <w:pStyle w:val="SingleTxt"/>
        <w:spacing w:after="0" w:line="120" w:lineRule="exact"/>
        <w:rPr>
          <w:sz w:val="10"/>
        </w:rPr>
      </w:pPr>
    </w:p>
    <w:p w:rsidR="00EB0973" w:rsidRPr="00EB0973" w:rsidRDefault="00EB0973" w:rsidP="00EB0973">
      <w:pPr>
        <w:pStyle w:val="SingleTxt"/>
        <w:spacing w:after="0" w:line="120" w:lineRule="exact"/>
        <w:rPr>
          <w:sz w:val="10"/>
        </w:rPr>
      </w:pPr>
    </w:p>
    <w:p w:rsidR="00EB0973" w:rsidRDefault="00EB0973" w:rsidP="00EB0973">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与审议定期报告有关的议题和问题清单</w:t>
      </w:r>
    </w:p>
    <w:p w:rsidR="00EB0973" w:rsidRPr="00EB0973" w:rsidRDefault="00EB0973" w:rsidP="00EB0973">
      <w:pPr>
        <w:pStyle w:val="SingleTxt"/>
        <w:spacing w:after="0" w:line="80" w:lineRule="exact"/>
        <w:rPr>
          <w:rFonts w:hint="eastAsia"/>
          <w:sz w:val="10"/>
        </w:rPr>
      </w:pPr>
    </w:p>
    <w:p w:rsidR="00EB0973" w:rsidRPr="00EB0973" w:rsidRDefault="00EB0973" w:rsidP="00EB0973">
      <w:pPr>
        <w:pStyle w:val="SingleTxt"/>
        <w:spacing w:after="0" w:line="80" w:lineRule="exact"/>
        <w:rPr>
          <w:rFonts w:hint="eastAsia"/>
          <w:sz w:val="10"/>
        </w:rPr>
      </w:pPr>
    </w:p>
    <w:p w:rsidR="00EB0973" w:rsidRDefault="00EB0973" w:rsidP="00EB09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1267"/>
        <w:rPr>
          <w:rFonts w:hint="eastAsia"/>
        </w:rPr>
      </w:pPr>
      <w:r>
        <w:rPr>
          <w:rFonts w:hint="eastAsia"/>
        </w:rPr>
        <w:tab/>
      </w:r>
      <w:r>
        <w:rPr>
          <w:rFonts w:hint="eastAsia"/>
        </w:rPr>
        <w:tab/>
        <w:t>黎巴嫩</w:t>
      </w:r>
    </w:p>
    <w:p w:rsidR="00EB0973" w:rsidRDefault="00EB0973" w:rsidP="00EB0973">
      <w:pPr>
        <w:pStyle w:val="SingleTxt"/>
        <w:spacing w:after="120" w:line="312" w:lineRule="exact"/>
        <w:rPr>
          <w:rFonts w:hint="eastAsia"/>
        </w:rPr>
      </w:pPr>
      <w:r>
        <w:rPr>
          <w:rFonts w:hint="eastAsia"/>
        </w:rPr>
        <w:tab/>
        <w:t>会前工作组审查了黎巴嫩的第三次定期报告（CEDAW/C/LBN/3）。</w:t>
      </w:r>
    </w:p>
    <w:p w:rsidR="00EB0973" w:rsidRDefault="00EB0973" w:rsidP="00EB0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1267"/>
        <w:rPr>
          <w:rFonts w:hint="eastAsia"/>
        </w:rPr>
      </w:pPr>
      <w:r>
        <w:rPr>
          <w:rFonts w:hint="eastAsia"/>
        </w:rPr>
        <w:tab/>
      </w:r>
      <w:r>
        <w:rPr>
          <w:rFonts w:hint="eastAsia"/>
        </w:rPr>
        <w:tab/>
        <w:t>编写报告</w:t>
      </w:r>
    </w:p>
    <w:p w:rsidR="00EB0973" w:rsidRDefault="00EB0973" w:rsidP="00EB0973">
      <w:pPr>
        <w:pStyle w:val="SingleTxt"/>
        <w:spacing w:after="120" w:line="312" w:lineRule="exact"/>
        <w:rPr>
          <w:rFonts w:hint="eastAsia"/>
        </w:rPr>
      </w:pPr>
      <w:r>
        <w:rPr>
          <w:rFonts w:hint="eastAsia"/>
        </w:rPr>
        <w:t>1.</w:t>
      </w:r>
      <w:r>
        <w:rPr>
          <w:rFonts w:hint="eastAsia"/>
        </w:rPr>
        <w:tab/>
        <w:t>请说明在编写报告过程中是否同非政府组织、特别是妇女团体进行协商；以及是否将报告送交议会或任何指定的高层当局。</w:t>
      </w:r>
    </w:p>
    <w:p w:rsidR="00EB0973" w:rsidRDefault="00EB0973" w:rsidP="00EB0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1267"/>
        <w:rPr>
          <w:rFonts w:hint="eastAsia"/>
        </w:rPr>
      </w:pPr>
      <w:r>
        <w:rPr>
          <w:rFonts w:hint="eastAsia"/>
        </w:rPr>
        <w:tab/>
      </w:r>
      <w:r>
        <w:rPr>
          <w:rFonts w:hint="eastAsia"/>
        </w:rPr>
        <w:tab/>
        <w:t>旨在提高妇女地位的宪法、立法和国家机制</w:t>
      </w:r>
    </w:p>
    <w:p w:rsidR="00EB0973" w:rsidRDefault="00EB0973" w:rsidP="00EB0973">
      <w:pPr>
        <w:pStyle w:val="SingleTxt"/>
        <w:spacing w:after="120" w:line="312" w:lineRule="exact"/>
        <w:rPr>
          <w:rFonts w:hint="eastAsia"/>
        </w:rPr>
      </w:pPr>
      <w:r>
        <w:rPr>
          <w:rFonts w:hint="eastAsia"/>
        </w:rPr>
        <w:t>2.</w:t>
      </w:r>
      <w:r>
        <w:rPr>
          <w:rFonts w:hint="eastAsia"/>
        </w:rPr>
        <w:tab/>
        <w:t>监测妇女问题国家委员会于2005年发表的旨在消除黎巴嫩法律中对妇女任何形式歧视的条款的第二份文件提出了一些建议，报告（第317段）也阐述了这些建议。政府采取了何种步骤落实这些建议？</w:t>
      </w:r>
    </w:p>
    <w:p w:rsidR="00EB0973" w:rsidRDefault="00EB0973" w:rsidP="00EB0973">
      <w:pPr>
        <w:pStyle w:val="SingleTxt"/>
        <w:spacing w:after="120" w:line="312" w:lineRule="exact"/>
        <w:rPr>
          <w:rFonts w:hint="eastAsia"/>
        </w:rPr>
      </w:pPr>
      <w:r>
        <w:rPr>
          <w:rFonts w:hint="eastAsia"/>
        </w:rPr>
        <w:t>3.</w:t>
      </w:r>
      <w:r>
        <w:rPr>
          <w:rFonts w:hint="eastAsia"/>
        </w:rPr>
        <w:tab/>
        <w:t>报告中说，“没有把任何资金分配给专为妇女设立的体制机制或方案”（第84段）。请说明，分配给黎巴嫩全国妇女委员会以及其他妇女方案的资金在国家预算中所占百分比。并说明，除黎巴嫩全国妇女委员会外，在政府框架内其他部门是否有处理妇女问题和负责社会性别平等主流化的其他协调中心或单位。</w:t>
      </w:r>
    </w:p>
    <w:p w:rsidR="00EB0973" w:rsidRDefault="00EB0973" w:rsidP="00EB0973">
      <w:pPr>
        <w:pStyle w:val="SingleTxt"/>
        <w:spacing w:after="120" w:line="312" w:lineRule="exact"/>
        <w:rPr>
          <w:rFonts w:hint="eastAsia"/>
        </w:rPr>
      </w:pPr>
      <w:r>
        <w:rPr>
          <w:rFonts w:hint="eastAsia"/>
        </w:rPr>
        <w:t>4.</w:t>
      </w:r>
      <w:r>
        <w:rPr>
          <w:rFonts w:hint="eastAsia"/>
        </w:rPr>
        <w:tab/>
        <w:t>请说明政府已采取何种措施，以便按照委员会上一次结论意见中的建议（CEDAW/C/LBN/CO/2 ，第24段），通过一项符合公约规定的统一个人地位法，适用于黎巴嫩境内所有妇女，而无论其属于哪个宗教。</w:t>
      </w:r>
    </w:p>
    <w:p w:rsidR="00EB0973" w:rsidRDefault="00EB0973" w:rsidP="00EB0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1267"/>
        <w:rPr>
          <w:rFonts w:hint="eastAsia"/>
        </w:rPr>
      </w:pPr>
      <w:r>
        <w:rPr>
          <w:rFonts w:hint="eastAsia"/>
        </w:rPr>
        <w:tab/>
      </w:r>
      <w:r>
        <w:rPr>
          <w:rFonts w:hint="eastAsia"/>
        </w:rPr>
        <w:tab/>
        <w:t>对妇女的暴力</w:t>
      </w:r>
    </w:p>
    <w:p w:rsidR="00EB0973" w:rsidRDefault="00EB0973" w:rsidP="00EB0973">
      <w:pPr>
        <w:pStyle w:val="SingleTxt"/>
        <w:rPr>
          <w:rFonts w:hint="eastAsia"/>
        </w:rPr>
      </w:pPr>
      <w:r>
        <w:rPr>
          <w:rFonts w:hint="eastAsia"/>
        </w:rPr>
        <w:t>5.</w:t>
      </w:r>
      <w:r>
        <w:rPr>
          <w:rFonts w:hint="eastAsia"/>
        </w:rPr>
        <w:tab/>
        <w:t>委员会在其上一次结论意见中要求缔约国修正黎巴嫩刑法第562条（这一条允许对以维护名誉为由实施的犯罪减轻处罚），并通过关于对妇女的暴力行为的具体法律（CEDAW/C/LBN/CO/2 ，第28段）。请说明政府针对这项建议作出了哪些努力。</w:t>
      </w:r>
    </w:p>
    <w:p w:rsidR="00EB0973" w:rsidRDefault="00EB0973" w:rsidP="00EB0973">
      <w:pPr>
        <w:pStyle w:val="SingleTxt"/>
        <w:rPr>
          <w:rFonts w:hint="eastAsia"/>
        </w:rPr>
      </w:pPr>
      <w:r>
        <w:rPr>
          <w:rFonts w:hint="eastAsia"/>
        </w:rPr>
        <w:t>6.</w:t>
      </w:r>
      <w:r>
        <w:rPr>
          <w:rFonts w:hint="eastAsia"/>
        </w:rPr>
        <w:tab/>
        <w:t>报告中列出了若干挑战和（或）建议，以制止2005年期间举行的关于对妇女的暴力问题的一系列会议、讨论会、讲座和论坛所指出的各种对妇女的暴力行为（第126</w:t>
      </w:r>
      <w:r w:rsidR="005B0F1D">
        <w:t>-</w:t>
      </w:r>
      <w:r>
        <w:rPr>
          <w:rFonts w:hint="eastAsia"/>
        </w:rPr>
        <w:t>129段）。为落实这些建议，已采取了哪些措施以有效地制止对妇女的暴力行为？</w:t>
      </w:r>
    </w:p>
    <w:p w:rsidR="00EB0973" w:rsidRDefault="00EB0973" w:rsidP="00EB0973">
      <w:pPr>
        <w:pStyle w:val="SingleTxt"/>
        <w:rPr>
          <w:rFonts w:hint="eastAsia"/>
        </w:rPr>
      </w:pPr>
      <w:r>
        <w:rPr>
          <w:rFonts w:hint="eastAsia"/>
        </w:rPr>
        <w:t>7.</w:t>
      </w:r>
      <w:r>
        <w:rPr>
          <w:rFonts w:hint="eastAsia"/>
        </w:rPr>
        <w:tab/>
        <w:t>缔约国根据委员会的一般性建议19采取了哪些步骤以制订关于家庭暴力的法律以及旨在解决对妇女的暴力问题的行动计划？</w:t>
      </w:r>
    </w:p>
    <w:p w:rsidR="00EB0973" w:rsidRDefault="00EB0973" w:rsidP="00EB0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贩运妇女和剥削妓女</w:t>
      </w:r>
    </w:p>
    <w:p w:rsidR="00EB0973" w:rsidRPr="00EB0973" w:rsidRDefault="00EB0973" w:rsidP="00EB0973">
      <w:pPr>
        <w:pStyle w:val="SingleTxt"/>
        <w:spacing w:after="0" w:line="120" w:lineRule="exact"/>
        <w:rPr>
          <w:rFonts w:hint="eastAsia"/>
          <w:sz w:val="10"/>
        </w:rPr>
      </w:pPr>
    </w:p>
    <w:p w:rsidR="00EB0973" w:rsidRDefault="00EB0973" w:rsidP="00EB0973">
      <w:pPr>
        <w:pStyle w:val="SingleTxt"/>
        <w:rPr>
          <w:rFonts w:hint="eastAsia"/>
        </w:rPr>
      </w:pPr>
      <w:r>
        <w:rPr>
          <w:rFonts w:hint="eastAsia"/>
        </w:rPr>
        <w:t>8.</w:t>
      </w:r>
      <w:r>
        <w:rPr>
          <w:rFonts w:hint="eastAsia"/>
        </w:rPr>
        <w:tab/>
        <w:t>报告指出，2005年10月，黎巴嫩司法部提出了防止和打击贩运人口的措施草案，其“目的基本上是本着[联合国打击跨国有组织犯罪公约] [及其]议定书的精神，支持《刑法》机制打击贩运人口”（第56段）。请提供关于这些措施草案的资料，并说明已执行了哪些措施及其作用如何。</w:t>
      </w:r>
    </w:p>
    <w:p w:rsidR="00EB0973" w:rsidRDefault="00EB0973" w:rsidP="00EB0973">
      <w:pPr>
        <w:pStyle w:val="SingleTxt"/>
        <w:rPr>
          <w:rFonts w:hint="eastAsia"/>
        </w:rPr>
      </w:pPr>
      <w:r>
        <w:rPr>
          <w:rFonts w:hint="eastAsia"/>
        </w:rPr>
        <w:t>9.</w:t>
      </w:r>
      <w:r>
        <w:rPr>
          <w:rFonts w:hint="eastAsia"/>
        </w:rPr>
        <w:tab/>
        <w:t>报告中说，“需大力铲除致使妇女卖淫的根源，增强妇女从事专业工作的能力”（第140段）。政府对这一评估采取了何种措施？</w:t>
      </w:r>
    </w:p>
    <w:p w:rsidR="00EB0973" w:rsidRDefault="00EB0973" w:rsidP="00EB0973">
      <w:pPr>
        <w:pStyle w:val="SingleTxt"/>
        <w:rPr>
          <w:rFonts w:hint="eastAsia"/>
        </w:rPr>
      </w:pPr>
      <w:r>
        <w:rPr>
          <w:rFonts w:hint="eastAsia"/>
        </w:rPr>
        <w:t>10.</w:t>
      </w:r>
      <w:r>
        <w:rPr>
          <w:rFonts w:hint="eastAsia"/>
        </w:rPr>
        <w:tab/>
        <w:t>报告中说，黎巴嫩法律禁止秘密卖淫，惩罚从事此种活动的人（第131段）。法律也同样惩罚靠妓女收入生活的人。请提供资料说明，那些希望摆脱卖淫的妇女在以其他方式谋生方面有何种选择。并请说明政府采取了哪些措施来解决卖淫问题的需求方面。</w:t>
      </w:r>
    </w:p>
    <w:p w:rsidR="00EB0973" w:rsidRDefault="00EB0973" w:rsidP="00EB0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参与决策</w:t>
      </w:r>
    </w:p>
    <w:p w:rsidR="00EB0973" w:rsidRPr="00EB0973" w:rsidRDefault="00EB0973" w:rsidP="00EB0973">
      <w:pPr>
        <w:pStyle w:val="SingleTxt"/>
        <w:spacing w:after="0" w:line="120" w:lineRule="exact"/>
        <w:rPr>
          <w:rFonts w:hint="eastAsia"/>
          <w:sz w:val="10"/>
        </w:rPr>
      </w:pPr>
    </w:p>
    <w:p w:rsidR="00EB0973" w:rsidRDefault="00EB0973" w:rsidP="00EB0973">
      <w:pPr>
        <w:pStyle w:val="SingleTxt"/>
        <w:spacing w:line="332" w:lineRule="exact"/>
        <w:rPr>
          <w:rFonts w:hint="eastAsia"/>
        </w:rPr>
      </w:pPr>
      <w:r>
        <w:rPr>
          <w:rFonts w:hint="eastAsia"/>
        </w:rPr>
        <w:t>11.</w:t>
      </w:r>
      <w:r>
        <w:rPr>
          <w:rFonts w:hint="eastAsia"/>
        </w:rPr>
        <w:tab/>
        <w:t>报告中说，“在政府于2005年责成一个特别咨询委员会拟订的选举法草案趋向于这样一种共同意见，即在议会选举中把20％的席位分配给选举人名单上的妇女”（第81段）。这项法律草案的现状如何？</w:t>
      </w:r>
    </w:p>
    <w:p w:rsidR="00EB0973" w:rsidRDefault="00EB0973" w:rsidP="00EB0973">
      <w:pPr>
        <w:pStyle w:val="SingleTxt"/>
        <w:spacing w:line="332" w:lineRule="exact"/>
        <w:rPr>
          <w:rFonts w:hint="eastAsia"/>
        </w:rPr>
      </w:pPr>
      <w:r>
        <w:rPr>
          <w:rFonts w:hint="eastAsia"/>
        </w:rPr>
        <w:t>12.</w:t>
      </w:r>
      <w:r>
        <w:rPr>
          <w:rFonts w:hint="eastAsia"/>
        </w:rPr>
        <w:tab/>
        <w:t>报告指出，“2005年议会选举的妇女候选人数与2000年相比减少了，从18人降至14人”，并说“妇女候选人占候选人总数的比例不超过3</w:t>
      </w:r>
      <w:r w:rsidR="005B0F1D">
        <w:rPr>
          <w:rFonts w:hint="eastAsia"/>
        </w:rPr>
        <w:t>％</w:t>
      </w:r>
      <w:r>
        <w:rPr>
          <w:rFonts w:hint="eastAsia"/>
        </w:rPr>
        <w:t>”（第150段）。请提供资料说明，政府采取了何种措施，包括任何临时特别措施，以根据《公约》第四条第1款以及委员会的一般性建议23和25，鼓励妇女在各种选举中更积极地参政。</w:t>
      </w:r>
    </w:p>
    <w:p w:rsidR="00EB0973" w:rsidRDefault="00EB0973" w:rsidP="00EB0973">
      <w:pPr>
        <w:pStyle w:val="SingleTxt"/>
        <w:spacing w:line="332" w:lineRule="exact"/>
        <w:rPr>
          <w:rFonts w:hint="eastAsia"/>
        </w:rPr>
      </w:pPr>
      <w:r>
        <w:rPr>
          <w:rFonts w:hint="eastAsia"/>
        </w:rPr>
        <w:t>13.</w:t>
      </w:r>
      <w:r>
        <w:rPr>
          <w:rFonts w:hint="eastAsia"/>
        </w:rPr>
        <w:tab/>
        <w:t>请说明政府采取了何种步骤鼓励媒体为女性和男性候选人提供平等的机会（见报告第154段）。</w:t>
      </w:r>
    </w:p>
    <w:p w:rsidR="00EB0973" w:rsidRDefault="00EB0973" w:rsidP="00EB0973">
      <w:pPr>
        <w:pStyle w:val="SingleTxt"/>
        <w:rPr>
          <w:rFonts w:hint="eastAsia"/>
        </w:rPr>
      </w:pPr>
      <w:r>
        <w:rPr>
          <w:rFonts w:hint="eastAsia"/>
        </w:rPr>
        <w:t>14.</w:t>
      </w:r>
      <w:r>
        <w:rPr>
          <w:rFonts w:hint="eastAsia"/>
        </w:rPr>
        <w:tab/>
      </w:r>
      <w:r w:rsidRPr="00EB0973">
        <w:rPr>
          <w:rFonts w:hint="eastAsia"/>
          <w:spacing w:val="-4"/>
        </w:rPr>
        <w:t>委员会在其过去的结论性建议中，对担任决策职位的妇女人数很少表示关切，</w:t>
      </w:r>
      <w:r>
        <w:rPr>
          <w:rFonts w:hint="eastAsia"/>
        </w:rPr>
        <w:t>特别是在经选举或任命产生的各级机构中，包括行政和外事机构（CEDAW/C/LBN/</w:t>
      </w:r>
      <w:r>
        <w:t xml:space="preserve"> </w:t>
      </w:r>
      <w:r>
        <w:rPr>
          <w:rFonts w:hint="eastAsia"/>
        </w:rPr>
        <w:t>CO/2，第31和32段）。请说明政府采取了何种举措，包括任何临时特别措施，以根据《公约》第四条第1款以及委员会的一般性建议23和25，促使妇女在经选举或任命产生的机构中任职。</w:t>
      </w:r>
    </w:p>
    <w:p w:rsidR="00EB0973" w:rsidRDefault="00EB0973" w:rsidP="00EB0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教育与定型观念</w:t>
      </w:r>
    </w:p>
    <w:p w:rsidR="00EB0973" w:rsidRPr="00EB0973" w:rsidRDefault="00EB0973" w:rsidP="00EB0973">
      <w:pPr>
        <w:pStyle w:val="SingleTxt"/>
        <w:spacing w:after="0" w:line="120" w:lineRule="exact"/>
        <w:rPr>
          <w:rFonts w:hint="eastAsia"/>
          <w:sz w:val="10"/>
        </w:rPr>
      </w:pPr>
    </w:p>
    <w:p w:rsidR="00EB0973" w:rsidRDefault="00EB0973" w:rsidP="00EB0973">
      <w:pPr>
        <w:pStyle w:val="SingleTxt"/>
        <w:rPr>
          <w:rFonts w:hint="eastAsia"/>
        </w:rPr>
      </w:pPr>
      <w:r>
        <w:rPr>
          <w:rFonts w:hint="eastAsia"/>
        </w:rPr>
        <w:t>15.</w:t>
      </w:r>
      <w:r>
        <w:rPr>
          <w:rFonts w:hint="eastAsia"/>
        </w:rPr>
        <w:tab/>
        <w:t>报告指出， “黎巴嫩各年级学生中有63.2</w:t>
      </w:r>
      <w:r w:rsidR="005B0F1D">
        <w:rPr>
          <w:rFonts w:hint="eastAsia"/>
        </w:rPr>
        <w:t>％</w:t>
      </w:r>
      <w:r>
        <w:rPr>
          <w:rFonts w:hint="eastAsia"/>
        </w:rPr>
        <w:t>在私立学校注册，36.82</w:t>
      </w:r>
      <w:r w:rsidR="005B0F1D">
        <w:rPr>
          <w:rFonts w:hint="eastAsia"/>
        </w:rPr>
        <w:t>％</w:t>
      </w:r>
      <w:r>
        <w:rPr>
          <w:rFonts w:hint="eastAsia"/>
        </w:rPr>
        <w:t>在免费的公立学校注册”报告还说，“在公立学校注册的女孩人数超过了在私立学校的女孩人数（分别为53</w:t>
      </w:r>
      <w:r w:rsidR="005B0F1D">
        <w:rPr>
          <w:rFonts w:hint="eastAsia"/>
        </w:rPr>
        <w:t>％</w:t>
      </w:r>
      <w:r>
        <w:rPr>
          <w:rFonts w:hint="eastAsia"/>
        </w:rPr>
        <w:t>和48.2</w:t>
      </w:r>
      <w:r w:rsidR="005B0F1D">
        <w:rPr>
          <w:rFonts w:hint="eastAsia"/>
        </w:rPr>
        <w:t>％</w:t>
      </w:r>
      <w:r>
        <w:rPr>
          <w:rFonts w:hint="eastAsia"/>
        </w:rPr>
        <w:t>）（第171和172段）。请提供资料说明黎巴嫩农村和城市地区公共教育的质量如何，尤其是对于女孩。</w:t>
      </w:r>
    </w:p>
    <w:p w:rsidR="00EB0973" w:rsidRDefault="00EB0973" w:rsidP="00EB0973">
      <w:pPr>
        <w:pStyle w:val="SingleTxt"/>
        <w:rPr>
          <w:rFonts w:hint="eastAsia"/>
        </w:rPr>
      </w:pPr>
      <w:r>
        <w:rPr>
          <w:rFonts w:hint="eastAsia"/>
        </w:rPr>
        <w:t>16.</w:t>
      </w:r>
      <w:r>
        <w:rPr>
          <w:rFonts w:hint="eastAsia"/>
        </w:rPr>
        <w:tab/>
        <w:t>报告中说，大学教育“在技术、工业、计算机和企业管理等专业男女生注册人数有差距，男生占优势”（第187段）。同样，在中学教育中，“与学习文学、人文学和生命科学的女生相比，学习一般科学的女生人数很少。”（第179段）。政府采取了何种措施鼓励女孩和妇女从事非传统的学习和职业？</w:t>
      </w:r>
    </w:p>
    <w:p w:rsidR="00EB0973" w:rsidRDefault="00EB0973" w:rsidP="00EB0973">
      <w:pPr>
        <w:pStyle w:val="SingleTxt"/>
        <w:rPr>
          <w:rFonts w:hint="eastAsia"/>
        </w:rPr>
      </w:pPr>
      <w:r>
        <w:rPr>
          <w:rFonts w:hint="eastAsia"/>
        </w:rPr>
        <w:t>17.</w:t>
      </w:r>
      <w:r>
        <w:rPr>
          <w:rFonts w:hint="eastAsia"/>
        </w:rPr>
        <w:tab/>
        <w:t>据报告称，“正在作出各种不同努力把两性平等问题纳入大学课程、特别是卫生院校的课程，但在黎巴嫩大学中承认妇女问题研究课程，还仍然处于筹备阶段” （第104.4段）。请说明已采取何种措施确保系统地把社会性别观点纳入大学课程，并使妇女问题研究课程得到充分承认。</w:t>
      </w:r>
    </w:p>
    <w:p w:rsidR="00EB0973" w:rsidRDefault="00EB0973" w:rsidP="00EB0973">
      <w:pPr>
        <w:pStyle w:val="SingleTxt"/>
        <w:rPr>
          <w:rFonts w:hint="eastAsia"/>
        </w:rPr>
      </w:pPr>
      <w:r>
        <w:rPr>
          <w:rFonts w:hint="eastAsia"/>
        </w:rPr>
        <w:t>18.</w:t>
      </w:r>
      <w:r>
        <w:rPr>
          <w:rFonts w:hint="eastAsia"/>
        </w:rPr>
        <w:tab/>
        <w:t>委员会在其过去的结论性意见中表示，它感到关切的是，重男轻女的态度盛行，对男女在家庭、工作地点和社会中的角色和责任有着根深蒂固的传统和文化定型观念（CEDAW/C/LBN/CO/2，第29段）。请提供资料说明，为执行委员会的建议（CEDAW/C/LBN/CO/2，第30段）采取了哪些行动，并说明这些行动所产生的作用。</w:t>
      </w:r>
    </w:p>
    <w:p w:rsidR="00EB0973" w:rsidRDefault="00EB0973" w:rsidP="00EB0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就业和赋予经济权力</w:t>
      </w:r>
    </w:p>
    <w:p w:rsidR="00EB0973" w:rsidRPr="00EB0973" w:rsidRDefault="00EB0973" w:rsidP="00EB0973">
      <w:pPr>
        <w:pStyle w:val="SingleTxt"/>
        <w:spacing w:after="0" w:line="120" w:lineRule="exact"/>
        <w:rPr>
          <w:rFonts w:hint="eastAsia"/>
          <w:sz w:val="10"/>
        </w:rPr>
      </w:pPr>
    </w:p>
    <w:p w:rsidR="00EB0973" w:rsidRDefault="00EB0973" w:rsidP="00EB0973">
      <w:pPr>
        <w:pStyle w:val="SingleTxt"/>
        <w:spacing w:line="332" w:lineRule="exact"/>
        <w:rPr>
          <w:rFonts w:hint="eastAsia"/>
        </w:rPr>
      </w:pPr>
      <w:r>
        <w:rPr>
          <w:rFonts w:hint="eastAsia"/>
        </w:rPr>
        <w:t>19.</w:t>
      </w:r>
      <w:r>
        <w:rPr>
          <w:rFonts w:hint="eastAsia"/>
        </w:rPr>
        <w:tab/>
        <w:t>委员会在其过去的结论性意见中表示，它感到关切的是，“尽管在就业部门进行了法律改革，在职业隔离特点突出的劳动力市场中妇女仍然处于不利地位，男女之间的工资差距仍然存在”（CEDAW/C/LBN/CO/2，第33段）。政府采取了何种步骤来执行委员会的建议（CEDAW/C/LBN/CO/2，第34段），包括采取何种措施促进男女分担家里的各种责任和家庭责任？</w:t>
      </w:r>
    </w:p>
    <w:p w:rsidR="00EB0973" w:rsidRDefault="00EB0973" w:rsidP="00EB0973">
      <w:pPr>
        <w:pStyle w:val="SingleTxt"/>
        <w:spacing w:line="332" w:lineRule="exact"/>
        <w:rPr>
          <w:rFonts w:hint="eastAsia"/>
        </w:rPr>
      </w:pPr>
      <w:r>
        <w:rPr>
          <w:rFonts w:hint="eastAsia"/>
        </w:rPr>
        <w:t>20.</w:t>
      </w:r>
      <w:r>
        <w:rPr>
          <w:rFonts w:hint="eastAsia"/>
        </w:rPr>
        <w:tab/>
        <w:t>报告指出，“妇女在税收方面仍然受到歧视。已婚妇女被作为未婚妇女对待，而不能享受已婚男子或男性户主享有的减税待遇”（第200段）。已采取何种措施消除税收方面对妇女的歧视？</w:t>
      </w:r>
    </w:p>
    <w:p w:rsidR="00EB0973" w:rsidRDefault="00EB0973" w:rsidP="00EB0973">
      <w:pPr>
        <w:pStyle w:val="SingleTxt"/>
        <w:rPr>
          <w:rFonts w:hint="eastAsia"/>
        </w:rPr>
      </w:pPr>
      <w:r>
        <w:rPr>
          <w:rFonts w:hint="eastAsia"/>
        </w:rPr>
        <w:t>21.</w:t>
      </w:r>
      <w:r>
        <w:rPr>
          <w:rFonts w:hint="eastAsia"/>
        </w:rPr>
        <w:tab/>
        <w:t>报告指出，在政府针对妇女移徙工人所做的努力中，包括“劳动部最近拟订了一项法律草案，并提交内阁，随后又送交众议院，要求对家庭雇工也按劳动法的规定行事”（第217和217.1段）。请提供资料说明该法律草案的现状。其中应概述该法律的内容和应用范围，预计通过这法项法律的时期、以及法律是否涵盖所有妇女移徙工人。</w:t>
      </w:r>
    </w:p>
    <w:p w:rsidR="00EB0973" w:rsidRDefault="00EB0973" w:rsidP="00AF0B24">
      <w:pPr>
        <w:pStyle w:val="SingleTxt"/>
        <w:rPr>
          <w:rFonts w:hint="eastAsia"/>
        </w:rPr>
      </w:pPr>
      <w:r>
        <w:rPr>
          <w:rFonts w:hint="eastAsia"/>
        </w:rPr>
        <w:t>22.</w:t>
      </w:r>
      <w:r>
        <w:rPr>
          <w:rFonts w:hint="eastAsia"/>
        </w:rPr>
        <w:tab/>
        <w:t>报告中说，2005年11月劳动部与各种国际机构和协会合作，组织了一次讨论会，以提高对黎巴嫩境内家庭女雇工处境的认识（第111段）。政府已作出哪些努力来落实这次讨论会提出的10项建议，至今这些建议产生了何种影响？</w:t>
      </w:r>
    </w:p>
    <w:p w:rsidR="00EB0973" w:rsidRDefault="00EB0973" w:rsidP="00EB0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保健</w:t>
      </w:r>
    </w:p>
    <w:p w:rsidR="00EB0973" w:rsidRPr="00EB0973" w:rsidRDefault="00EB0973" w:rsidP="00EB0973">
      <w:pPr>
        <w:pStyle w:val="SingleTxt"/>
        <w:spacing w:after="0" w:line="120" w:lineRule="exact"/>
        <w:rPr>
          <w:rFonts w:hint="eastAsia"/>
          <w:sz w:val="10"/>
        </w:rPr>
      </w:pPr>
    </w:p>
    <w:p w:rsidR="00EB0973" w:rsidRDefault="00EB0973" w:rsidP="00EB0973">
      <w:pPr>
        <w:pStyle w:val="SingleTxt"/>
        <w:rPr>
          <w:rFonts w:hint="eastAsia"/>
        </w:rPr>
      </w:pPr>
      <w:r>
        <w:rPr>
          <w:rFonts w:hint="eastAsia"/>
        </w:rPr>
        <w:t>23.</w:t>
      </w:r>
      <w:r>
        <w:rPr>
          <w:rFonts w:hint="eastAsia"/>
        </w:rPr>
        <w:tab/>
      </w:r>
      <w:r w:rsidRPr="00AF0B24">
        <w:rPr>
          <w:rFonts w:hint="eastAsia"/>
          <w:spacing w:val="-4"/>
        </w:rPr>
        <w:t>报告指出，“黎巴嫩的卫生保健服务分配不均，没有反映人口的地理分布”（第244段）</w:t>
      </w:r>
      <w:r w:rsidRPr="00AF0B24">
        <w:rPr>
          <w:rFonts w:hint="eastAsia"/>
          <w:spacing w:val="-40"/>
        </w:rPr>
        <w:t>。</w:t>
      </w:r>
      <w:r w:rsidRPr="00AF0B24">
        <w:rPr>
          <w:rFonts w:hint="eastAsia"/>
          <w:spacing w:val="-4"/>
        </w:rPr>
        <w:t>请说明已采取、或计划采取何种措施在全国改进卫生保健服务的分布</w:t>
      </w:r>
      <w:r w:rsidRPr="00AF0B24">
        <w:rPr>
          <w:rFonts w:hint="eastAsia"/>
          <w:spacing w:val="-40"/>
        </w:rPr>
        <w:t>，</w:t>
      </w:r>
      <w:r w:rsidRPr="00AF0B24">
        <w:rPr>
          <w:rFonts w:hint="eastAsia"/>
          <w:spacing w:val="-4"/>
        </w:rPr>
        <w:t>以及自2000年以来提供此种服务方面的趋势、及妇女能够获得和使用此种服务的情况。</w:t>
      </w:r>
    </w:p>
    <w:p w:rsidR="00EB0973" w:rsidRDefault="00EB0973" w:rsidP="00EB0973">
      <w:pPr>
        <w:pStyle w:val="SingleTxt"/>
        <w:rPr>
          <w:rFonts w:hint="eastAsia"/>
        </w:rPr>
      </w:pPr>
      <w:r>
        <w:rPr>
          <w:rFonts w:hint="eastAsia"/>
        </w:rPr>
        <w:t>24.</w:t>
      </w:r>
      <w:r>
        <w:rPr>
          <w:rFonts w:hint="eastAsia"/>
        </w:rPr>
        <w:tab/>
        <w:t>请提供资料说明，政府正在采取何种措施使年轻妇女更容易获得生殖保健和服务，并提供关于自2000年以来获得此种服务方面的趋势的资料。政府已采取何种措施减少秘密堕胎造成的妇女死亡人数？</w:t>
      </w:r>
    </w:p>
    <w:p w:rsidR="00EB0973" w:rsidRDefault="00EB0973" w:rsidP="00AF0B24">
      <w:pPr>
        <w:pStyle w:val="SingleTxt"/>
        <w:rPr>
          <w:rFonts w:hint="eastAsia"/>
        </w:rPr>
      </w:pPr>
      <w:r>
        <w:rPr>
          <w:rFonts w:hint="eastAsia"/>
        </w:rPr>
        <w:t>25.</w:t>
      </w:r>
      <w:r>
        <w:rPr>
          <w:rFonts w:hint="eastAsia"/>
        </w:rPr>
        <w:tab/>
        <w:t>政府已采取何种措施把社会性别观点纳入艾滋病毒/艾滋病方案？</w:t>
      </w:r>
    </w:p>
    <w:p w:rsidR="00EB0973" w:rsidRDefault="00EB0973" w:rsidP="00EB0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农村妇女和弱势妇女</w:t>
      </w:r>
    </w:p>
    <w:p w:rsidR="00EB0973" w:rsidRPr="00EB0973" w:rsidRDefault="00EB0973" w:rsidP="00EB0973">
      <w:pPr>
        <w:pStyle w:val="SingleTxt"/>
        <w:spacing w:after="0" w:line="120" w:lineRule="exact"/>
        <w:rPr>
          <w:rFonts w:hint="eastAsia"/>
          <w:sz w:val="10"/>
        </w:rPr>
      </w:pPr>
    </w:p>
    <w:p w:rsidR="00EB0973" w:rsidRDefault="00EB0973" w:rsidP="00EB0973">
      <w:pPr>
        <w:pStyle w:val="SingleTxt"/>
        <w:rPr>
          <w:rFonts w:hint="eastAsia"/>
        </w:rPr>
      </w:pPr>
      <w:r>
        <w:rPr>
          <w:rFonts w:hint="eastAsia"/>
        </w:rPr>
        <w:t>26.</w:t>
      </w:r>
      <w:r>
        <w:rPr>
          <w:rFonts w:hint="eastAsia"/>
        </w:rPr>
        <w:tab/>
        <w:t>报告指出“黎巴嫩法律将农业劳工排除在《劳动法》条款涵盖范围之外，[而]为其制定专门的法律。但是这项法律至今未公布”（第280段）。请说明这项专为农业劳工拟定的法律现状如何、颁布该法律的时间表、以及预计该法律将对妇女产生的影响。</w:t>
      </w:r>
    </w:p>
    <w:p w:rsidR="00EB0973" w:rsidRDefault="00EB0973" w:rsidP="00AF0B24">
      <w:pPr>
        <w:pStyle w:val="SingleTxt"/>
        <w:rPr>
          <w:rFonts w:hint="eastAsia"/>
        </w:rPr>
      </w:pPr>
      <w:r>
        <w:rPr>
          <w:rFonts w:hint="eastAsia"/>
        </w:rPr>
        <w:t>27.</w:t>
      </w:r>
      <w:r>
        <w:rPr>
          <w:rFonts w:hint="eastAsia"/>
        </w:rPr>
        <w:tab/>
        <w:t>委员会在2000年8月7日至25日举行的第三十六届会议上通过了一项关于中东妇女处境的声明，对在中东发生的敌对行动表示严重关切。委员会在这项声明中呼吁所有各方履行其根据《消除对妇女一切形式歧视公约》承担的义务。请提供资料说明，武装冲突对妇女的影响和长期后果，以及黎巴嫩政府采取了何种措施来满足流离失所妇女和儿童的需要，并按照安全理事会第1325号决议确保妇女全面、平等地参与和平、安全及公共生活的所有方面。</w:t>
      </w:r>
    </w:p>
    <w:p w:rsidR="00EB0973" w:rsidRDefault="00EB0973" w:rsidP="00EB0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国籍</w:t>
      </w:r>
    </w:p>
    <w:p w:rsidR="00EB0973" w:rsidRPr="00EB0973" w:rsidRDefault="00EB0973" w:rsidP="00EB0973">
      <w:pPr>
        <w:pStyle w:val="SingleTxt"/>
        <w:spacing w:after="0" w:line="120" w:lineRule="exact"/>
        <w:rPr>
          <w:rFonts w:hint="eastAsia"/>
          <w:sz w:val="10"/>
        </w:rPr>
      </w:pPr>
    </w:p>
    <w:p w:rsidR="00EB0973" w:rsidRDefault="00EB0973" w:rsidP="00AF0B24">
      <w:pPr>
        <w:pStyle w:val="SingleTxt"/>
        <w:rPr>
          <w:rFonts w:hint="eastAsia"/>
        </w:rPr>
      </w:pPr>
      <w:r>
        <w:rPr>
          <w:rFonts w:hint="eastAsia"/>
        </w:rPr>
        <w:t>28.</w:t>
      </w:r>
      <w:r>
        <w:rPr>
          <w:rFonts w:hint="eastAsia"/>
        </w:rPr>
        <w:tab/>
        <w:t>报告中说，“一些附属于‘黎巴嫩妇女网’的非政府组织</w:t>
      </w:r>
      <w:r w:rsidR="00AF0B24">
        <w:rPr>
          <w:rFonts w:hint="eastAsia"/>
        </w:rPr>
        <w:t>……</w:t>
      </w:r>
      <w:r>
        <w:rPr>
          <w:rFonts w:hint="eastAsia"/>
        </w:rPr>
        <w:t>于2005年秋天发动了‘我的国籍是我和我的家庭的权利’的运动，目的是修改在黎巴嫩国籍法中那些有性别歧视的条款”（第164段）。政府是否打算利用这场运动造成的势头，采取步骤改变黎巴嫩国籍法中歧视妇女的条款？请提供详细资料，包括立法改革的时间表。</w:t>
      </w:r>
    </w:p>
    <w:p w:rsidR="00EB0973" w:rsidRDefault="00EB0973" w:rsidP="00EB0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任择议定书</w:t>
      </w:r>
    </w:p>
    <w:p w:rsidR="00EB0973" w:rsidRPr="00EB0973" w:rsidRDefault="00EB0973" w:rsidP="00EB0973">
      <w:pPr>
        <w:pStyle w:val="SingleTxt"/>
        <w:spacing w:after="0" w:line="120" w:lineRule="exact"/>
        <w:rPr>
          <w:rFonts w:hint="eastAsia"/>
          <w:sz w:val="10"/>
        </w:rPr>
      </w:pPr>
    </w:p>
    <w:p w:rsidR="00EB0973" w:rsidRPr="00AF0B24" w:rsidRDefault="00AF0B24" w:rsidP="00AF0B24">
      <w:pPr>
        <w:pStyle w:val="SingleTxt"/>
        <w:rPr>
          <w:rFonts w:hint="eastAsia"/>
          <w:sz w:val="20"/>
        </w:rPr>
      </w:pPr>
      <w:r>
        <w:rPr>
          <w:rFonts w:hint="eastAsia"/>
          <w:noProof/>
        </w:rPr>
        <w:pict>
          <v:line id="_x0000_s1026" style="position:absolute;left:0;text-align:left;z-index:1" from="210.25pt,71.4pt" to="282.25pt,71.4pt" strokeweight=".25pt"/>
        </w:pict>
      </w:r>
      <w:r w:rsidR="00EB0973">
        <w:rPr>
          <w:rFonts w:hint="eastAsia"/>
        </w:rPr>
        <w:t>29.</w:t>
      </w:r>
      <w:r w:rsidR="00EB0973">
        <w:rPr>
          <w:rFonts w:hint="eastAsia"/>
        </w:rPr>
        <w:tab/>
        <w:t>报告中说，“［关于批准《公约任择议定书》，］尚未做出任何决定”（第29段）。请说明自编写报告以来在这方面所取得的任何进展。并请说明缔约国打算何时接受对关于委员会会议时间的《公约》第20条第1款的修正案。</w:t>
      </w:r>
    </w:p>
    <w:sectPr w:rsidR="00EB0973" w:rsidRPr="00AF0B24" w:rsidSect="002664AC">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4T14:11:00Z" w:initials="Start">
    <w:p w:rsidR="00235E6D" w:rsidRDefault="00235E6D">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NO&gt;&gt;N0746358C&lt;&lt;ODS JOB NO&gt;&gt;</w:t>
      </w:r>
    </w:p>
    <w:p w:rsidR="00235E6D" w:rsidRDefault="00235E6D">
      <w:pPr>
        <w:pStyle w:val="CommentText"/>
      </w:pPr>
      <w:r>
        <w:t>&lt;&lt;ODS DOC SYMBOL1&gt;&gt;CEDAW/C/LBN/Q/3&lt;&lt;ODS DOC SYMBOL1&gt;&gt;</w:t>
      </w:r>
    </w:p>
    <w:p w:rsidR="00235E6D" w:rsidRDefault="00235E6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5F0E" w:rsidRDefault="00F85F0E" w:rsidP="002664AC">
      <w:pPr>
        <w:pStyle w:val="Footer"/>
      </w:pPr>
      <w:r>
        <w:separator/>
      </w:r>
    </w:p>
  </w:endnote>
  <w:endnote w:type="continuationSeparator" w:id="0">
    <w:p w:rsidR="00F85F0E" w:rsidRDefault="00F85F0E" w:rsidP="002664AC">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35E6D" w:rsidTr="002664AC">
      <w:tblPrEx>
        <w:tblCellMar>
          <w:top w:w="0" w:type="dxa"/>
          <w:bottom w:w="0" w:type="dxa"/>
        </w:tblCellMar>
      </w:tblPrEx>
      <w:tc>
        <w:tcPr>
          <w:tcW w:w="5033" w:type="dxa"/>
          <w:shd w:val="clear" w:color="auto" w:fill="auto"/>
        </w:tcPr>
        <w:p w:rsidR="00235E6D" w:rsidRPr="002664AC" w:rsidRDefault="00235E6D" w:rsidP="002664A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07-46358</w:t>
          </w:r>
          <w:r>
            <w:rPr>
              <w:b w:val="0"/>
              <w:w w:val="103"/>
              <w:sz w:val="14"/>
            </w:rPr>
            <w:fldChar w:fldCharType="end"/>
          </w:r>
        </w:p>
      </w:tc>
      <w:tc>
        <w:tcPr>
          <w:tcW w:w="5033" w:type="dxa"/>
          <w:shd w:val="clear" w:color="auto" w:fill="auto"/>
        </w:tcPr>
        <w:p w:rsidR="00235E6D" w:rsidRPr="002664AC" w:rsidRDefault="00235E6D" w:rsidP="002664AC">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1B19C5">
            <w:rPr>
              <w:w w:val="103"/>
              <w:sz w:val="17"/>
            </w:rPr>
            <w:t>4</w:t>
          </w:r>
          <w:r>
            <w:rPr>
              <w:w w:val="103"/>
              <w:sz w:val="17"/>
            </w:rPr>
            <w:fldChar w:fldCharType="end"/>
          </w:r>
        </w:p>
      </w:tc>
    </w:tr>
  </w:tbl>
  <w:p w:rsidR="00235E6D" w:rsidRPr="002664AC" w:rsidRDefault="00235E6D" w:rsidP="002664A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35E6D" w:rsidTr="002664AC">
      <w:tblPrEx>
        <w:tblCellMar>
          <w:top w:w="0" w:type="dxa"/>
          <w:bottom w:w="0" w:type="dxa"/>
        </w:tblCellMar>
      </w:tblPrEx>
      <w:tc>
        <w:tcPr>
          <w:tcW w:w="5033" w:type="dxa"/>
          <w:shd w:val="clear" w:color="auto" w:fill="auto"/>
        </w:tcPr>
        <w:p w:rsidR="00235E6D" w:rsidRPr="002664AC" w:rsidRDefault="00235E6D" w:rsidP="002664AC">
          <w:pPr>
            <w:pStyle w:val="Footer"/>
            <w:jc w:val="right"/>
          </w:pPr>
          <w:r>
            <w:fldChar w:fldCharType="begin"/>
          </w:r>
          <w:r>
            <w:instrText xml:space="preserve"> PAGE  \* MERGEFORMAT </w:instrText>
          </w:r>
          <w:r>
            <w:fldChar w:fldCharType="separate"/>
          </w:r>
          <w:r w:rsidR="001B19C5">
            <w:t>3</w:t>
          </w:r>
          <w:r>
            <w:fldChar w:fldCharType="end"/>
          </w:r>
        </w:p>
      </w:tc>
      <w:tc>
        <w:tcPr>
          <w:tcW w:w="5033" w:type="dxa"/>
          <w:shd w:val="clear" w:color="auto" w:fill="auto"/>
        </w:tcPr>
        <w:p w:rsidR="00235E6D" w:rsidRPr="002664AC" w:rsidRDefault="00235E6D" w:rsidP="002664AC">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07-46358</w:t>
          </w:r>
          <w:r>
            <w:rPr>
              <w:b w:val="0"/>
              <w:w w:val="103"/>
              <w:sz w:val="14"/>
            </w:rPr>
            <w:fldChar w:fldCharType="end"/>
          </w:r>
        </w:p>
      </w:tc>
    </w:tr>
  </w:tbl>
  <w:p w:rsidR="00235E6D" w:rsidRPr="002664AC" w:rsidRDefault="00235E6D" w:rsidP="002664A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E6D" w:rsidRDefault="00235E6D" w:rsidP="002664AC">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07-46358 (C)</w:t>
    </w:r>
    <w:r>
      <w:rPr>
        <w:b w:val="0"/>
        <w:sz w:val="21"/>
      </w:rPr>
      <w:fldChar w:fldCharType="end"/>
    </w:r>
    <w:r>
      <w:rPr>
        <w:b w:val="0"/>
        <w:sz w:val="21"/>
      </w:rPr>
      <w:t xml:space="preserve">    040907    0</w:t>
    </w:r>
    <w:r>
      <w:rPr>
        <w:rFonts w:hint="eastAsia"/>
        <w:b w:val="0"/>
        <w:sz w:val="21"/>
      </w:rPr>
      <w:t>5</w:t>
    </w:r>
    <w:r>
      <w:rPr>
        <w:b w:val="0"/>
        <w:sz w:val="21"/>
      </w:rPr>
      <w:t>0907</w:t>
    </w:r>
  </w:p>
  <w:p w:rsidR="00235E6D" w:rsidRPr="002664AC" w:rsidRDefault="00235E6D" w:rsidP="002664AC">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*0746358*</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5F0E" w:rsidRDefault="00F85F0E" w:rsidP="002664AC">
      <w:pPr>
        <w:pStyle w:val="Footer"/>
      </w:pPr>
      <w:r>
        <w:separator/>
      </w:r>
    </w:p>
  </w:footnote>
  <w:footnote w:type="continuationSeparator" w:id="0">
    <w:p w:rsidR="00F85F0E" w:rsidRDefault="00F85F0E" w:rsidP="002664AC">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35E6D" w:rsidTr="002664AC">
      <w:tblPrEx>
        <w:tblCellMar>
          <w:top w:w="0" w:type="dxa"/>
          <w:bottom w:w="0" w:type="dxa"/>
        </w:tblCellMar>
      </w:tblPrEx>
      <w:trPr>
        <w:trHeight w:hRule="exact" w:val="864"/>
      </w:trPr>
      <w:tc>
        <w:tcPr>
          <w:tcW w:w="4838" w:type="dxa"/>
          <w:shd w:val="clear" w:color="auto" w:fill="auto"/>
          <w:vAlign w:val="bottom"/>
        </w:tcPr>
        <w:p w:rsidR="00235E6D" w:rsidRPr="002664AC" w:rsidRDefault="00235E6D" w:rsidP="002664AC">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CEDAW/C/LBN/Q/3</w:t>
          </w:r>
          <w:r>
            <w:rPr>
              <w:b/>
              <w:sz w:val="17"/>
            </w:rPr>
            <w:fldChar w:fldCharType="end"/>
          </w:r>
        </w:p>
      </w:tc>
      <w:tc>
        <w:tcPr>
          <w:tcW w:w="5033" w:type="dxa"/>
          <w:shd w:val="clear" w:color="auto" w:fill="auto"/>
          <w:vAlign w:val="bottom"/>
        </w:tcPr>
        <w:p w:rsidR="00235E6D" w:rsidRDefault="00235E6D" w:rsidP="002664AC">
          <w:pPr>
            <w:pStyle w:val="Header"/>
          </w:pPr>
        </w:p>
      </w:tc>
    </w:tr>
  </w:tbl>
  <w:p w:rsidR="00235E6D" w:rsidRPr="002664AC" w:rsidRDefault="00235E6D" w:rsidP="002664A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35E6D" w:rsidTr="002664AC">
      <w:tblPrEx>
        <w:tblCellMar>
          <w:top w:w="0" w:type="dxa"/>
          <w:bottom w:w="0" w:type="dxa"/>
        </w:tblCellMar>
      </w:tblPrEx>
      <w:trPr>
        <w:trHeight w:hRule="exact" w:val="864"/>
      </w:trPr>
      <w:tc>
        <w:tcPr>
          <w:tcW w:w="4838" w:type="dxa"/>
          <w:shd w:val="clear" w:color="auto" w:fill="auto"/>
          <w:vAlign w:val="bottom"/>
        </w:tcPr>
        <w:p w:rsidR="00235E6D" w:rsidRDefault="00235E6D" w:rsidP="002664AC">
          <w:pPr>
            <w:pStyle w:val="Header"/>
          </w:pPr>
        </w:p>
      </w:tc>
      <w:tc>
        <w:tcPr>
          <w:tcW w:w="5033" w:type="dxa"/>
          <w:shd w:val="clear" w:color="auto" w:fill="auto"/>
          <w:vAlign w:val="bottom"/>
        </w:tcPr>
        <w:p w:rsidR="00235E6D" w:rsidRPr="002664AC" w:rsidRDefault="00235E6D" w:rsidP="002664AC">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CEDAW/C/LBN/Q/3</w:t>
          </w:r>
          <w:r>
            <w:rPr>
              <w:b/>
              <w:sz w:val="17"/>
            </w:rPr>
            <w:fldChar w:fldCharType="end"/>
          </w:r>
        </w:p>
      </w:tc>
    </w:tr>
  </w:tbl>
  <w:p w:rsidR="00235E6D" w:rsidRPr="002664AC" w:rsidRDefault="00235E6D" w:rsidP="002664A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35E6D" w:rsidTr="002664A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35E6D" w:rsidRDefault="00235E6D" w:rsidP="002664AC">
          <w:pPr>
            <w:pStyle w:val="Header"/>
            <w:spacing w:after="120"/>
          </w:pPr>
        </w:p>
      </w:tc>
      <w:tc>
        <w:tcPr>
          <w:tcW w:w="1872" w:type="dxa"/>
          <w:tcBorders>
            <w:bottom w:val="single" w:sz="4" w:space="0" w:color="auto"/>
          </w:tcBorders>
          <w:shd w:val="clear" w:color="auto" w:fill="auto"/>
          <w:vAlign w:val="bottom"/>
        </w:tcPr>
        <w:p w:rsidR="00235E6D" w:rsidRPr="002664AC" w:rsidRDefault="00235E6D" w:rsidP="002664AC">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235E6D" w:rsidRDefault="00235E6D" w:rsidP="002664AC">
          <w:pPr>
            <w:pStyle w:val="Header"/>
            <w:spacing w:after="120"/>
          </w:pPr>
        </w:p>
      </w:tc>
      <w:tc>
        <w:tcPr>
          <w:tcW w:w="6523" w:type="dxa"/>
          <w:gridSpan w:val="3"/>
          <w:tcBorders>
            <w:bottom w:val="single" w:sz="4" w:space="0" w:color="auto"/>
          </w:tcBorders>
          <w:shd w:val="clear" w:color="auto" w:fill="auto"/>
          <w:vAlign w:val="bottom"/>
        </w:tcPr>
        <w:p w:rsidR="00235E6D" w:rsidRPr="002664AC" w:rsidRDefault="00235E6D" w:rsidP="002664AC">
          <w:pPr>
            <w:spacing w:after="80" w:line="240" w:lineRule="auto"/>
            <w:jc w:val="right"/>
            <w:rPr>
              <w:rFonts w:ascii="Times New Roman"/>
              <w:position w:val="-4"/>
            </w:rPr>
          </w:pPr>
          <w:r>
            <w:rPr>
              <w:rFonts w:ascii="Times New Roman"/>
              <w:position w:val="-4"/>
              <w:sz w:val="40"/>
            </w:rPr>
            <w:t>CEDAW</w:t>
          </w:r>
          <w:r>
            <w:rPr>
              <w:rFonts w:ascii="Times New Roman"/>
              <w:position w:val="-4"/>
            </w:rPr>
            <w:t>/C/LBN/Q/3</w:t>
          </w:r>
        </w:p>
      </w:tc>
    </w:tr>
    <w:tr w:rsidR="00235E6D" w:rsidRPr="002664AC" w:rsidTr="002664A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35E6D" w:rsidRDefault="00235E6D" w:rsidP="002664AC">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35E6D" w:rsidRPr="002664AC" w:rsidRDefault="00235E6D" w:rsidP="002664AC">
          <w:pPr>
            <w:pStyle w:val="Header"/>
            <w:spacing w:before="109"/>
            <w:ind w:left="-72"/>
          </w:pPr>
        </w:p>
      </w:tc>
      <w:tc>
        <w:tcPr>
          <w:tcW w:w="5227" w:type="dxa"/>
          <w:gridSpan w:val="3"/>
          <w:tcBorders>
            <w:top w:val="single" w:sz="4" w:space="0" w:color="auto"/>
            <w:bottom w:val="single" w:sz="12" w:space="0" w:color="auto"/>
          </w:tcBorders>
          <w:shd w:val="clear" w:color="auto" w:fill="auto"/>
        </w:tcPr>
        <w:p w:rsidR="00235E6D" w:rsidRPr="002664AC" w:rsidRDefault="00235E6D" w:rsidP="002664AC">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235E6D" w:rsidRPr="002664AC" w:rsidRDefault="00235E6D" w:rsidP="002664AC">
          <w:pPr>
            <w:pStyle w:val="Header"/>
            <w:spacing w:before="109"/>
          </w:pPr>
        </w:p>
      </w:tc>
      <w:tc>
        <w:tcPr>
          <w:tcW w:w="3180" w:type="dxa"/>
          <w:gridSpan w:val="2"/>
          <w:tcBorders>
            <w:top w:val="single" w:sz="4" w:space="0" w:color="auto"/>
            <w:bottom w:val="single" w:sz="12" w:space="0" w:color="auto"/>
          </w:tcBorders>
          <w:shd w:val="clear" w:color="auto" w:fill="auto"/>
        </w:tcPr>
        <w:p w:rsidR="00235E6D" w:rsidRDefault="00235E6D" w:rsidP="002664AC">
          <w:pPr>
            <w:spacing w:before="240" w:line="240" w:lineRule="exact"/>
            <w:rPr>
              <w:rFonts w:ascii="Times New Roman"/>
            </w:rPr>
          </w:pPr>
          <w:r>
            <w:rPr>
              <w:rFonts w:ascii="Times New Roman"/>
            </w:rPr>
            <w:t>Distr.: General</w:t>
          </w:r>
        </w:p>
        <w:p w:rsidR="00235E6D" w:rsidRDefault="00235E6D" w:rsidP="002664AC">
          <w:pPr>
            <w:spacing w:line="240" w:lineRule="exact"/>
            <w:rPr>
              <w:rFonts w:ascii="Times New Roman"/>
            </w:rPr>
          </w:pPr>
          <w:r>
            <w:rPr>
              <w:rFonts w:ascii="Times New Roman"/>
            </w:rPr>
            <w:t>16 August 2007</w:t>
          </w:r>
        </w:p>
        <w:p w:rsidR="00235E6D" w:rsidRDefault="00235E6D" w:rsidP="002664AC">
          <w:pPr>
            <w:spacing w:line="240" w:lineRule="exact"/>
            <w:rPr>
              <w:rFonts w:ascii="Times New Roman"/>
            </w:rPr>
          </w:pPr>
          <w:r>
            <w:rPr>
              <w:rFonts w:ascii="Times New Roman"/>
            </w:rPr>
            <w:t>Chinese</w:t>
          </w:r>
        </w:p>
        <w:p w:rsidR="00235E6D" w:rsidRPr="002664AC" w:rsidRDefault="00235E6D" w:rsidP="002664AC">
          <w:pPr>
            <w:spacing w:line="240" w:lineRule="exact"/>
            <w:rPr>
              <w:rFonts w:ascii="Times New Roman"/>
            </w:rPr>
          </w:pPr>
          <w:r>
            <w:rPr>
              <w:rFonts w:ascii="Times New Roman"/>
            </w:rPr>
            <w:t>Original: English</w:t>
          </w:r>
        </w:p>
      </w:tc>
    </w:tr>
  </w:tbl>
  <w:p w:rsidR="00235E6D" w:rsidRPr="002664AC" w:rsidRDefault="00235E6D" w:rsidP="002664A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76B55"/>
    <w:multiLevelType w:val="multilevel"/>
    <w:tmpl w:val="792AB1E6"/>
    <w:lvl w:ilvl="0">
      <w:start w:val="1"/>
      <w:numFmt w:val="upperLetter"/>
      <w:lvlRestart w:val="0"/>
      <w:lvlText w:val="%1."/>
      <w:lvlJc w:val="left"/>
      <w:pPr>
        <w:tabs>
          <w:tab w:val="num" w:pos="1729"/>
        </w:tabs>
        <w:ind w:left="1729" w:hanging="431"/>
      </w:pPr>
      <w:rPr>
        <w:rFonts w:ascii="SimSun" w:eastAsia="SimSun" w:hint="eastAsia"/>
      </w:rPr>
    </w:lvl>
    <w:lvl w:ilvl="1">
      <w:start w:val="1"/>
      <w:numFmt w:val="decimal"/>
      <w:lvlText w:val="%2."/>
      <w:lvlJc w:val="left"/>
      <w:pPr>
        <w:tabs>
          <w:tab w:val="num" w:pos="2160"/>
        </w:tabs>
        <w:ind w:left="2160" w:hanging="431"/>
      </w:pPr>
      <w:rPr>
        <w:rFonts w:eastAsia="SimSun" w:hint="eastAsia"/>
      </w:rPr>
    </w:lvl>
    <w:lvl w:ilvl="2">
      <w:start w:val="1"/>
      <w:numFmt w:val="lowerLetter"/>
      <w:lvlText w:val="(%3)"/>
      <w:lvlJc w:val="left"/>
      <w:pPr>
        <w:tabs>
          <w:tab w:val="num" w:pos="2591"/>
        </w:tabs>
        <w:ind w:left="2591" w:hanging="431"/>
      </w:pPr>
      <w:rPr>
        <w:rFonts w:hint="eastAsia"/>
      </w:rPr>
    </w:lvl>
    <w:lvl w:ilvl="3">
      <w:start w:val="1"/>
      <w:numFmt w:val="bullet"/>
      <w:lvlText w:val="㈠"/>
      <w:lvlJc w:val="left"/>
      <w:pPr>
        <w:tabs>
          <w:tab w:val="num" w:pos="3022"/>
        </w:tabs>
        <w:ind w:left="3022" w:hanging="431"/>
      </w:pPr>
      <w:rPr>
        <w:rFonts w:ascii="SimSun" w:eastAsia="SimSun" w:hAnsi="SimSun" w:hint="eastAsia"/>
        <w:color w:val="auto"/>
      </w:rPr>
    </w:lvl>
    <w:lvl w:ilvl="4">
      <w:start w:val="1"/>
      <w:numFmt w:val="lowerLetter"/>
      <w:lvlText w:val="%5."/>
      <w:lvlJc w:val="left"/>
      <w:pPr>
        <w:tabs>
          <w:tab w:val="num" w:pos="3459"/>
        </w:tabs>
        <w:ind w:left="3459" w:hanging="437"/>
      </w:pPr>
      <w:rPr>
        <w:rFonts w:hint="eastAsia"/>
      </w:rPr>
    </w:lvl>
    <w:lvl w:ilvl="5">
      <w:start w:val="1"/>
      <w:numFmt w:val="none"/>
      <w:lvlText w:val="%6"/>
      <w:lvlJc w:val="left"/>
      <w:pPr>
        <w:tabs>
          <w:tab w:val="num" w:pos="3458"/>
        </w:tabs>
        <w:ind w:left="3458" w:hanging="436"/>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358*"/>
    <w:docVar w:name="CreationDt" w:val="04/09/2007 13:50:07"/>
    <w:docVar w:name="DocCategory" w:val="Doc"/>
    <w:docVar w:name="DocType" w:val="Final"/>
    <w:docVar w:name="FooterJN" w:val="07-46358"/>
    <w:docVar w:name="jobn" w:val="07-46358 (C)"/>
    <w:docVar w:name="jobnDT" w:val="07-46358 (C)   040907"/>
    <w:docVar w:name="jobnDTDT" w:val="07-46358 (C)   040907   040907"/>
    <w:docVar w:name="JobNo" w:val="0746358C"/>
    <w:docVar w:name="OandT" w:val="sheng"/>
    <w:docVar w:name="sss1" w:val="CEDAW/C/LBN/Q/3"/>
    <w:docVar w:name="sss2" w:val="-"/>
    <w:docVar w:name="Symbol1" w:val="CEDAW/C/LBN/Q/3"/>
    <w:docVar w:name="Symbol2" w:val="-"/>
  </w:docVars>
  <w:rsids>
    <w:rsidRoot w:val="004604BF"/>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19C5"/>
    <w:rsid w:val="001B2814"/>
    <w:rsid w:val="001B4F95"/>
    <w:rsid w:val="001C3F7F"/>
    <w:rsid w:val="001C5166"/>
    <w:rsid w:val="001D389E"/>
    <w:rsid w:val="001E20EC"/>
    <w:rsid w:val="001E4442"/>
    <w:rsid w:val="001E5A51"/>
    <w:rsid w:val="001F03A7"/>
    <w:rsid w:val="00207135"/>
    <w:rsid w:val="00230CA0"/>
    <w:rsid w:val="00231575"/>
    <w:rsid w:val="00235E6D"/>
    <w:rsid w:val="00247382"/>
    <w:rsid w:val="00252E35"/>
    <w:rsid w:val="00254858"/>
    <w:rsid w:val="00257053"/>
    <w:rsid w:val="00266257"/>
    <w:rsid w:val="002664AC"/>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3460D"/>
    <w:rsid w:val="004411AD"/>
    <w:rsid w:val="004424EF"/>
    <w:rsid w:val="00453BB0"/>
    <w:rsid w:val="00460162"/>
    <w:rsid w:val="004604BF"/>
    <w:rsid w:val="004620A8"/>
    <w:rsid w:val="00487444"/>
    <w:rsid w:val="004A06D1"/>
    <w:rsid w:val="004A11FC"/>
    <w:rsid w:val="004C0224"/>
    <w:rsid w:val="004C3255"/>
    <w:rsid w:val="004D07E1"/>
    <w:rsid w:val="004D1C19"/>
    <w:rsid w:val="004F29B8"/>
    <w:rsid w:val="005039CD"/>
    <w:rsid w:val="0050413E"/>
    <w:rsid w:val="00513AC1"/>
    <w:rsid w:val="00515657"/>
    <w:rsid w:val="00521275"/>
    <w:rsid w:val="0052216F"/>
    <w:rsid w:val="005232CA"/>
    <w:rsid w:val="00523636"/>
    <w:rsid w:val="005335B9"/>
    <w:rsid w:val="00536CCE"/>
    <w:rsid w:val="005541E4"/>
    <w:rsid w:val="0058302A"/>
    <w:rsid w:val="005B0F1D"/>
    <w:rsid w:val="005B7338"/>
    <w:rsid w:val="005C02AB"/>
    <w:rsid w:val="005D0F04"/>
    <w:rsid w:val="005F12F0"/>
    <w:rsid w:val="005F3273"/>
    <w:rsid w:val="005F34A3"/>
    <w:rsid w:val="006000FE"/>
    <w:rsid w:val="00610CF2"/>
    <w:rsid w:val="006479F1"/>
    <w:rsid w:val="00650BEE"/>
    <w:rsid w:val="006520FA"/>
    <w:rsid w:val="0065377D"/>
    <w:rsid w:val="00666F57"/>
    <w:rsid w:val="006740A7"/>
    <w:rsid w:val="00691524"/>
    <w:rsid w:val="006A654B"/>
    <w:rsid w:val="006E2924"/>
    <w:rsid w:val="006E7A26"/>
    <w:rsid w:val="006F2B3D"/>
    <w:rsid w:val="007319E0"/>
    <w:rsid w:val="00737B00"/>
    <w:rsid w:val="0075155C"/>
    <w:rsid w:val="00753A05"/>
    <w:rsid w:val="00761190"/>
    <w:rsid w:val="00776537"/>
    <w:rsid w:val="00783A25"/>
    <w:rsid w:val="007877F4"/>
    <w:rsid w:val="007E1B5E"/>
    <w:rsid w:val="007F2278"/>
    <w:rsid w:val="00805783"/>
    <w:rsid w:val="00806F57"/>
    <w:rsid w:val="00806F90"/>
    <w:rsid w:val="00824C19"/>
    <w:rsid w:val="008378D1"/>
    <w:rsid w:val="00846462"/>
    <w:rsid w:val="0086691F"/>
    <w:rsid w:val="00883DB0"/>
    <w:rsid w:val="00884C8F"/>
    <w:rsid w:val="008868C6"/>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4DAB"/>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B2786"/>
    <w:rsid w:val="00AD4308"/>
    <w:rsid w:val="00AF0B24"/>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5594"/>
    <w:rsid w:val="00EA31C3"/>
    <w:rsid w:val="00EB0973"/>
    <w:rsid w:val="00EB33AC"/>
    <w:rsid w:val="00EC6F21"/>
    <w:rsid w:val="00EE0913"/>
    <w:rsid w:val="00F01440"/>
    <w:rsid w:val="00F13305"/>
    <w:rsid w:val="00F40463"/>
    <w:rsid w:val="00F50336"/>
    <w:rsid w:val="00F62E3F"/>
    <w:rsid w:val="00F67F90"/>
    <w:rsid w:val="00F77B3E"/>
    <w:rsid w:val="00F833CB"/>
    <w:rsid w:val="00F85F0E"/>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TotalTime>
  <Pages>1</Pages>
  <Words>545</Words>
  <Characters>3110</Characters>
  <Application>Microsoft Office Word</Application>
  <DocSecurity>4</DocSecurity>
  <Lines>25</Lines>
  <Paragraphs>7</Paragraphs>
  <ScaleCrop>false</ScaleCrop>
  <Company>United Nations</Company>
  <LinksUpToDate>false</LinksUpToDate>
  <CharactersWithSpaces>3648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Zhenxue Sheng</dc:creator>
  <cp:keywords/>
  <dc:description/>
  <cp:lastModifiedBy>Zhenxue Sheng</cp:lastModifiedBy>
  <cp:revision>15</cp:revision>
  <cp:lastPrinted>2007-09-05T07:38:00Z</cp:lastPrinted>
  <dcterms:created xsi:type="dcterms:W3CDTF">2007-09-04T12:49:00Z</dcterms:created>
  <dcterms:modified xsi:type="dcterms:W3CDTF">2007-09-05T07:40:00Z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0746358</vt:lpwstr>
  </property>
  <property fmtid="{D5CDD505-2E9C-101B-9397-08002B2CF9AE}" pid="3" name="Symbol1">
    <vt:lpwstr>CEDAW/C/LBN/Q/3</vt:lpwstr>
  </property>
  <property fmtid="{D5CDD505-2E9C-101B-9397-08002B2CF9AE}" pid="4" name="Symbol2">
    <vt:lpwstr/>
  </property>
  <property fmtid="{D5CDD505-2E9C-101B-9397-08002B2CF9AE}" pid="5" name="Translator">
    <vt:lpwstr/>
  </property>
  <property fmtid="{D5CDD505-2E9C-101B-9397-08002B2CF9AE}" pid="6" name="Operator">
    <vt:lpwstr>sheng</vt:lpwstr>
  </property>
  <property fmtid="{D5CDD505-2E9C-101B-9397-08002B2CF9AE}" pid="7" name="DraftPages">
    <vt:lpwstr> </vt:lpwstr>
  </property>
  <property fmtid="{D5CDD505-2E9C-101B-9397-08002B2CF9AE}" pid="8" name="Comment">
    <vt:lpwstr/>
  </property>
</Properties>
</file>