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wmf" ContentType="image/x-wmf"/>
  <Override PartName="/word/comments.xml" ContentType="application/vnd.openxmlformats-officedocument.wordprocessingml.comment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docProps/custom.xml" ContentType="application/vnd.openxmlformats-officedocument.custom-propertie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00000" w:rsidRDefault="00000000">
      <w:pPr>
        <w:spacing w:line="60" w:lineRule="exact"/>
        <w:rPr>
          <w:sz w:val="6"/>
        </w:rPr>
        <w:sectPr w:rsidR="00000000">
          <w:headerReference w:type="even" r:id="rId7"/>
          <w:headerReference w:type="default" r:id="rId8"/>
          <w:footerReference w:type="even" r:id="rId9"/>
          <w:footerReference w:type="default" r:id="rId10"/>
          <w:headerReference w:type="first" r:id="rId11"/>
          <w:footerReference w:type="first" r:id="rId12"/>
          <w:endnotePr>
            <w:numFmt w:val="decimal"/>
          </w:endnotePr>
          <w:type w:val="continuous"/>
          <w:pgSz w:w="12240" w:h="15840" w:code="1"/>
          <w:pgMar w:top="1742" w:right="1195" w:bottom="1898" w:left="1195" w:header="576" w:footer="1030" w:gutter="0"/>
          <w:pgNumType w:start="1"/>
          <w:cols w:space="720"/>
          <w:noEndnote/>
          <w:titlePg/>
        </w:sectPr>
      </w:pPr>
      <w:r>
        <w:rPr>
          <w:rStyle w:val="CommentReference"/>
          <w:vanish/>
        </w:rPr>
        <w:commentReference w:id="0"/>
      </w:r>
    </w:p>
    <w:p w:rsidR="00000000" w:rsidRDefault="00000000">
      <w:pPr>
        <w:pStyle w:val="H1"/>
        <w:spacing w:line="240" w:lineRule="auto"/>
        <w:rPr>
          <w:sz w:val="2"/>
        </w:rPr>
        <w:sectPr w:rsidR="00000000">
          <w:endnotePr>
            <w:numFmt w:val="decimal"/>
          </w:endnotePr>
          <w:type w:val="continuous"/>
          <w:pgSz w:w="12240" w:h="15840" w:code="1"/>
          <w:pgMar w:top="1742" w:right="1195" w:bottom="1898" w:left="1195" w:header="576" w:footer="1030" w:gutter="0"/>
          <w:cols w:space="720"/>
          <w:noEndnote/>
        </w:sectPr>
      </w:pPr>
    </w:p>
    <w:p w:rsidR="00000000" w:rsidRDefault="00000000">
      <w:pPr>
        <w:pStyle w:val="H1"/>
      </w:pPr>
      <w:r>
        <w:t xml:space="preserve">Комитет по ликвидации дискриминации </w:t>
      </w:r>
      <w:r>
        <w:rPr>
          <w:lang w:val="en-US"/>
        </w:rPr>
        <w:br/>
      </w:r>
      <w:r>
        <w:t>в</w:t>
      </w:r>
      <w:r>
        <w:rPr>
          <w:lang w:val="en-US"/>
        </w:rPr>
        <w:t> </w:t>
      </w:r>
      <w:r>
        <w:t>отношении женщин</w:t>
      </w:r>
    </w:p>
    <w:p w:rsidR="00000000" w:rsidRDefault="00000000">
      <w:pPr>
        <w:pStyle w:val="H23"/>
      </w:pPr>
      <w:r>
        <w:t>Двадцать восьмая сессия</w:t>
      </w:r>
    </w:p>
    <w:p w:rsidR="00000000" w:rsidRDefault="00000000">
      <w:pPr>
        <w:spacing w:line="240" w:lineRule="auto"/>
        <w:rPr>
          <w:sz w:val="12"/>
        </w:rPr>
      </w:pPr>
    </w:p>
    <w:p w:rsidR="00000000" w:rsidRDefault="00000000">
      <w:pPr>
        <w:pStyle w:val="H23"/>
      </w:pPr>
      <w:r>
        <w:t>Краткий отчет о 594-м заседании,</w:t>
      </w:r>
    </w:p>
    <w:p w:rsidR="00000000" w:rsidRDefault="00000000">
      <w:r>
        <w:t>состоявшемся в Центральных учреждениях, Нью-Йорк, в четверг, 16 января 2003 года, в 10 ч. 30 м.</w:t>
      </w:r>
    </w:p>
    <w:p w:rsidR="00000000" w:rsidRDefault="00000000">
      <w:pPr>
        <w:spacing w:line="120" w:lineRule="exact"/>
        <w:rPr>
          <w:sz w:val="10"/>
        </w:rPr>
      </w:pPr>
    </w:p>
    <w:p w:rsidR="00000000" w:rsidRDefault="00000000">
      <w:pPr>
        <w:tabs>
          <w:tab w:val="left" w:pos="1368"/>
          <w:tab w:val="right" w:leader="dot" w:pos="8568"/>
        </w:tabs>
        <w:ind w:right="1267"/>
      </w:pPr>
      <w:r>
        <w:rPr>
          <w:i/>
        </w:rPr>
        <w:t>Председатель</w:t>
      </w:r>
      <w:r>
        <w:t>: г-жа Ачар</w:t>
      </w:r>
    </w:p>
    <w:p w:rsidR="00000000" w:rsidRDefault="00000000">
      <w:pPr>
        <w:tabs>
          <w:tab w:val="left" w:pos="1368"/>
          <w:tab w:val="right" w:leader="dot" w:pos="8568"/>
        </w:tabs>
        <w:spacing w:line="120" w:lineRule="exact"/>
        <w:ind w:right="1267"/>
        <w:rPr>
          <w:sz w:val="10"/>
        </w:rPr>
      </w:pPr>
    </w:p>
    <w:p w:rsidR="00000000" w:rsidRDefault="00000000">
      <w:pPr>
        <w:tabs>
          <w:tab w:val="left" w:pos="1368"/>
          <w:tab w:val="right" w:leader="dot" w:pos="8568"/>
        </w:tabs>
        <w:spacing w:line="120" w:lineRule="exact"/>
        <w:ind w:right="1267"/>
        <w:rPr>
          <w:sz w:val="10"/>
        </w:rPr>
      </w:pPr>
    </w:p>
    <w:p w:rsidR="00000000" w:rsidRDefault="00000000">
      <w:pPr>
        <w:pStyle w:val="HCh"/>
        <w:rPr>
          <w:b w:val="0"/>
        </w:rPr>
      </w:pPr>
      <w:r>
        <w:rPr>
          <w:b w:val="0"/>
        </w:rPr>
        <w:t>Содержание</w:t>
      </w:r>
    </w:p>
    <w:p w:rsidR="00000000" w:rsidRDefault="00000000">
      <w:pPr>
        <w:pStyle w:val="HCh"/>
        <w:spacing w:line="240" w:lineRule="auto"/>
        <w:rPr>
          <w:b w:val="0"/>
          <w:sz w:val="12"/>
        </w:rPr>
      </w:pPr>
    </w:p>
    <w:p w:rsidR="00000000" w:rsidRDefault="00000000">
      <w:pPr>
        <w:pStyle w:val="SingleTxt"/>
        <w:suppressAutoHyphens/>
        <w:jc w:val="left"/>
      </w:pPr>
      <w:r>
        <w:t>Пути и средства повышения оперативности в работе Комитета (</w:t>
      </w:r>
      <w:r>
        <w:rPr>
          <w:i/>
        </w:rPr>
        <w:t>продолжение</w:t>
      </w:r>
      <w:r>
        <w:t>)</w:t>
      </w:r>
    </w:p>
    <w:p w:rsidR="00000000" w:rsidRDefault="00000000">
      <w:pPr>
        <w:pStyle w:val="SingleTxt"/>
        <w:suppressAutoHyphens/>
        <w:jc w:val="left"/>
      </w:pPr>
      <w:r>
        <w:t>Рассмотрение докладов, представленных государствами-участниками в соответствии со статьей 18 Конвенции (</w:t>
      </w:r>
      <w:r>
        <w:rPr>
          <w:i/>
        </w:rPr>
        <w:t>продолжение</w:t>
      </w:r>
      <w:r>
        <w:t>)</w:t>
      </w:r>
    </w:p>
    <w:p w:rsidR="00000000" w:rsidRDefault="00000000">
      <w:pPr>
        <w:pStyle w:val="SingleTxt"/>
        <w:suppressAutoHyphens/>
        <w:ind w:left="1742" w:hanging="475"/>
        <w:jc w:val="left"/>
        <w:rPr>
          <w:i/>
        </w:rPr>
      </w:pPr>
      <w:r>
        <w:tab/>
      </w:r>
      <w:r>
        <w:rPr>
          <w:i/>
        </w:rPr>
        <w:t>Объединенный первоначальный и второй периодический доклад Албании</w:t>
      </w:r>
    </w:p>
    <w:p w:rsidR="00000000" w:rsidRDefault="00000000">
      <w:pPr>
        <w:pStyle w:val="H4"/>
        <w:tabs>
          <w:tab w:val="clear" w:pos="360"/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spacing w:line="240" w:lineRule="auto"/>
        <w:ind w:left="1267" w:right="1260" w:hanging="1267"/>
        <w:rPr>
          <w:sz w:val="2"/>
        </w:rPr>
        <w:sectPr w:rsidR="00000000">
          <w:endnotePr>
            <w:numFmt w:val="decimal"/>
          </w:endnotePr>
          <w:type w:val="continuous"/>
          <w:pgSz w:w="12240" w:h="15840" w:code="1"/>
          <w:pgMar w:top="1742" w:right="1195" w:bottom="1898" w:left="1195" w:header="576" w:footer="1030" w:gutter="0"/>
          <w:cols w:space="720"/>
          <w:noEndnote/>
        </w:sectPr>
      </w:pPr>
      <w:r>
        <w:br w:type="page"/>
      </w:r>
    </w:p>
    <w:p w:rsidR="00000000" w:rsidRDefault="00000000">
      <w:pPr>
        <w:pStyle w:val="H4"/>
        <w:tabs>
          <w:tab w:val="left" w:pos="475"/>
          <w:tab w:val="left" w:pos="965"/>
          <w:tab w:val="left" w:pos="1440"/>
          <w:tab w:val="left" w:pos="1915"/>
          <w:tab w:val="left" w:pos="2405"/>
          <w:tab w:val="left" w:pos="2880"/>
          <w:tab w:val="left" w:pos="3355"/>
        </w:tabs>
        <w:ind w:left="475" w:hanging="475"/>
      </w:pPr>
      <w:r>
        <w:tab/>
        <w:t>Заседание открывается в 10 ч. 35 м.</w:t>
      </w:r>
    </w:p>
    <w:p w:rsidR="00000000" w:rsidRDefault="00000000">
      <w:pPr>
        <w:pStyle w:val="DualTxt"/>
        <w:spacing w:after="0" w:line="120" w:lineRule="exact"/>
        <w:rPr>
          <w:sz w:val="10"/>
        </w:rPr>
      </w:pPr>
    </w:p>
    <w:p w:rsidR="00000000" w:rsidRDefault="00000000">
      <w:pPr>
        <w:pStyle w:val="H23"/>
        <w:tabs>
          <w:tab w:val="right" w:pos="360"/>
          <w:tab w:val="left" w:pos="475"/>
          <w:tab w:val="left" w:pos="965"/>
          <w:tab w:val="left" w:pos="1440"/>
          <w:tab w:val="left" w:pos="1915"/>
          <w:tab w:val="left" w:pos="2405"/>
          <w:tab w:val="left" w:pos="2880"/>
          <w:tab w:val="left" w:pos="3355"/>
        </w:tabs>
        <w:rPr>
          <w:b w:val="0"/>
        </w:rPr>
      </w:pPr>
      <w:r>
        <w:tab/>
        <w:t xml:space="preserve">Пути и средства повышения оперативности в работе Комитета </w:t>
      </w:r>
      <w:r>
        <w:rPr>
          <w:b w:val="0"/>
        </w:rPr>
        <w:t>(</w:t>
      </w:r>
      <w:r>
        <w:rPr>
          <w:b w:val="0"/>
          <w:i/>
        </w:rPr>
        <w:t>продолжение</w:t>
      </w:r>
      <w:r>
        <w:rPr>
          <w:b w:val="0"/>
        </w:rPr>
        <w:t>) (CEDAW/PSWG/2003/I/CRP.1)</w:t>
      </w:r>
    </w:p>
    <w:p w:rsidR="00000000" w:rsidRDefault="00000000">
      <w:pPr>
        <w:pStyle w:val="DualTxt"/>
        <w:spacing w:after="0" w:line="120" w:lineRule="exact"/>
        <w:rPr>
          <w:sz w:val="10"/>
        </w:rPr>
      </w:pPr>
    </w:p>
    <w:p w:rsidR="00000000" w:rsidRDefault="00000000">
      <w:pPr>
        <w:pStyle w:val="DualTxt"/>
      </w:pPr>
      <w:r>
        <w:t>1.</w:t>
      </w:r>
      <w:r>
        <w:tab/>
      </w:r>
      <w:r>
        <w:rPr>
          <w:b/>
        </w:rPr>
        <w:t>Г</w:t>
      </w:r>
      <w:r>
        <w:rPr>
          <w:b/>
        </w:rPr>
        <w:noBreakHyphen/>
        <w:t>жа Таварес да Сильва</w:t>
      </w:r>
      <w:r>
        <w:t>, выступая от имени предсессионной рабочей группы, представляет ее доклад (CEDAW/PSWG/2003/I/CRP.1). Указанная рабочая группа подготовила списки тем и вопросов, касающихся докладов Канады, Сальвадора, Кении, Люксембурга и Норвегии, и препроводила их гос</w:t>
      </w:r>
      <w:r>
        <w:t>у</w:t>
      </w:r>
      <w:r>
        <w:t>дарствам-участникам. Она также получила ко</w:t>
      </w:r>
      <w:r>
        <w:t>н</w:t>
      </w:r>
      <w:r>
        <w:t>кретную страновую информацию по этим госуда</w:t>
      </w:r>
      <w:r>
        <w:t>р</w:t>
      </w:r>
      <w:r>
        <w:t>ствам от Международной организации труда и Де</w:t>
      </w:r>
      <w:r>
        <w:t>т</w:t>
      </w:r>
      <w:r>
        <w:t>ского фонда Организации Объединенных Наций. Выступающая привлекает внимание к замечаниям, содержащимся в пунктах 9, 10 и 11 вышеупомян</w:t>
      </w:r>
      <w:r>
        <w:t>у</w:t>
      </w:r>
      <w:r>
        <w:t>того до</w:t>
      </w:r>
      <w:r>
        <w:t>к</w:t>
      </w:r>
      <w:r>
        <w:t>лада.</w:t>
      </w:r>
    </w:p>
    <w:p w:rsidR="00000000" w:rsidRDefault="00000000">
      <w:pPr>
        <w:pStyle w:val="DualTxt"/>
        <w:spacing w:after="0" w:line="120" w:lineRule="exact"/>
        <w:rPr>
          <w:sz w:val="10"/>
        </w:rPr>
      </w:pPr>
    </w:p>
    <w:p w:rsidR="00000000" w:rsidRDefault="00000000">
      <w:pPr>
        <w:pStyle w:val="H23"/>
        <w:tabs>
          <w:tab w:val="right" w:pos="360"/>
          <w:tab w:val="left" w:pos="475"/>
          <w:tab w:val="left" w:pos="965"/>
          <w:tab w:val="left" w:pos="1440"/>
          <w:tab w:val="left" w:pos="1915"/>
          <w:tab w:val="left" w:pos="2405"/>
          <w:tab w:val="left" w:pos="2880"/>
          <w:tab w:val="left" w:pos="3355"/>
        </w:tabs>
        <w:rPr>
          <w:b w:val="0"/>
        </w:rPr>
      </w:pPr>
      <w:r>
        <w:tab/>
        <w:t xml:space="preserve">Рассмотрение докладов, представленных государствами-участниками в соответствии со статьей 18 Конвенции </w:t>
      </w:r>
      <w:r>
        <w:rPr>
          <w:b w:val="0"/>
        </w:rPr>
        <w:t>(</w:t>
      </w:r>
      <w:r>
        <w:rPr>
          <w:b w:val="0"/>
          <w:i/>
        </w:rPr>
        <w:t>продолжение</w:t>
      </w:r>
      <w:r>
        <w:t>)</w:t>
      </w:r>
      <w:r>
        <w:br/>
      </w:r>
      <w:r>
        <w:rPr>
          <w:b w:val="0"/>
        </w:rPr>
        <w:t>(CEDAW/C/ALB/1–2)</w:t>
      </w:r>
    </w:p>
    <w:p w:rsidR="00000000" w:rsidRDefault="00000000">
      <w:pPr>
        <w:pStyle w:val="DualTxt"/>
        <w:spacing w:after="0" w:line="120" w:lineRule="exact"/>
        <w:rPr>
          <w:sz w:val="10"/>
        </w:rPr>
      </w:pPr>
    </w:p>
    <w:p w:rsidR="00000000" w:rsidRDefault="00000000">
      <w:pPr>
        <w:pStyle w:val="H4"/>
        <w:tabs>
          <w:tab w:val="right" w:pos="360"/>
          <w:tab w:val="left" w:pos="475"/>
          <w:tab w:val="left" w:pos="965"/>
          <w:tab w:val="left" w:pos="1440"/>
          <w:tab w:val="left" w:pos="1915"/>
          <w:tab w:val="left" w:pos="2405"/>
          <w:tab w:val="left" w:pos="2880"/>
          <w:tab w:val="left" w:pos="3355"/>
        </w:tabs>
        <w:ind w:left="475" w:hanging="475"/>
        <w:rPr>
          <w:i w:val="0"/>
        </w:rPr>
      </w:pPr>
      <w:r>
        <w:tab/>
      </w:r>
      <w:r>
        <w:tab/>
        <w:t xml:space="preserve">Объединенный первоначальный и второй периодический доклад Албании </w:t>
      </w:r>
      <w:r>
        <w:rPr>
          <w:i w:val="0"/>
        </w:rPr>
        <w:t>(CEDAW/C/ALB/1–2)</w:t>
      </w:r>
    </w:p>
    <w:p w:rsidR="00000000" w:rsidRDefault="00000000">
      <w:pPr>
        <w:pStyle w:val="DualTxt"/>
        <w:spacing w:after="0" w:line="120" w:lineRule="exact"/>
        <w:rPr>
          <w:sz w:val="10"/>
        </w:rPr>
      </w:pPr>
    </w:p>
    <w:p w:rsidR="00000000" w:rsidRDefault="00000000">
      <w:pPr>
        <w:pStyle w:val="DualTxt"/>
      </w:pPr>
      <w:r>
        <w:t>2.</w:t>
      </w:r>
      <w:r>
        <w:tab/>
      </w:r>
      <w:r>
        <w:rPr>
          <w:i/>
        </w:rPr>
        <w:t>По приглашению Председателя г</w:t>
      </w:r>
      <w:r>
        <w:rPr>
          <w:i/>
        </w:rPr>
        <w:noBreakHyphen/>
        <w:t>жа Руси (Албания) занимает место за ст</w:t>
      </w:r>
      <w:r>
        <w:rPr>
          <w:i/>
        </w:rPr>
        <w:t>о</w:t>
      </w:r>
      <w:r>
        <w:rPr>
          <w:i/>
        </w:rPr>
        <w:t>лом Комитета.</w:t>
      </w:r>
    </w:p>
    <w:p w:rsidR="00000000" w:rsidRDefault="00000000">
      <w:pPr>
        <w:pStyle w:val="DualTxt"/>
      </w:pPr>
      <w:r>
        <w:t>3.</w:t>
      </w:r>
      <w:r>
        <w:tab/>
      </w:r>
      <w:r>
        <w:rPr>
          <w:b/>
        </w:rPr>
        <w:t>Г</w:t>
      </w:r>
      <w:r>
        <w:rPr>
          <w:b/>
        </w:rPr>
        <w:noBreakHyphen/>
        <w:t>жа Руси</w:t>
      </w:r>
      <w:r>
        <w:t xml:space="preserve"> (Албания), внося на рассмотрение доклад Албании, говорит, что переход Албании к рыночной экономике в 1991 году вызвал резкое ухудшение экономического, социального и полит</w:t>
      </w:r>
      <w:r>
        <w:t>и</w:t>
      </w:r>
      <w:r>
        <w:t>ческого положения женщин, которые, хотя и пол</w:t>
      </w:r>
      <w:r>
        <w:t>ь</w:t>
      </w:r>
      <w:r>
        <w:t>зуются такими же конституционными правами, как и мужчины, тем не менее не имеют равного с му</w:t>
      </w:r>
      <w:r>
        <w:t>ж</w:t>
      </w:r>
      <w:r>
        <w:t>чинами доступа к ресурсам, возможностям и бл</w:t>
      </w:r>
      <w:r>
        <w:t>а</w:t>
      </w:r>
      <w:r>
        <w:t>гам. Из</w:t>
      </w:r>
      <w:r>
        <w:noBreakHyphen/>
        <w:t>за низкой представленности женщин в структурах управления, что ограничивает их уч</w:t>
      </w:r>
      <w:r>
        <w:t>а</w:t>
      </w:r>
      <w:r>
        <w:t>стие в демократическом развитии страны, проблема положения женщин в сфере управления становится в Албании одной из приоритетных тем. В этой св</w:t>
      </w:r>
      <w:r>
        <w:t>я</w:t>
      </w:r>
      <w:r>
        <w:t>зи правительство, женские неправительственные организации и другие заинтересованные стороны активно поддерживают ведущую роль женщин во всех областях экономической, социальной и пол</w:t>
      </w:r>
      <w:r>
        <w:t>и</w:t>
      </w:r>
      <w:r>
        <w:t>тической жизни и подчеркивают, что женщины должны рассматриваться в качестве равноправных партнеров при разработке национальной политики и планов в области развития. Несбалансированное участие в процессах принятия решений может пр</w:t>
      </w:r>
      <w:r>
        <w:t>и</w:t>
      </w:r>
      <w:r>
        <w:t>вести к несбалансированности самих принимаемых решений и таким образом снизить качество, эффе</w:t>
      </w:r>
      <w:r>
        <w:t>к</w:t>
      </w:r>
      <w:r>
        <w:t>тивность и результативность управл</w:t>
      </w:r>
      <w:r>
        <w:t>е</w:t>
      </w:r>
      <w:r>
        <w:t>ния.</w:t>
      </w:r>
    </w:p>
    <w:p w:rsidR="00000000" w:rsidRDefault="00000000">
      <w:pPr>
        <w:pStyle w:val="DualTxt"/>
      </w:pPr>
      <w:r>
        <w:t>4.</w:t>
      </w:r>
      <w:r>
        <w:tab/>
        <w:t>В коммунистическую эпоху женщины доб</w:t>
      </w:r>
      <w:r>
        <w:t>и</w:t>
      </w:r>
      <w:r>
        <w:t>лись значительного прогресса в областях образов</w:t>
      </w:r>
      <w:r>
        <w:t>а</w:t>
      </w:r>
      <w:r>
        <w:t>ния и труда и были относительно хорошо предста</w:t>
      </w:r>
      <w:r>
        <w:t>в</w:t>
      </w:r>
      <w:r>
        <w:t>лены в правительстве. В то же время усиление ге</w:t>
      </w:r>
      <w:r>
        <w:t>н</w:t>
      </w:r>
      <w:r>
        <w:t>дерного неравенства после краха коммунизма пр</w:t>
      </w:r>
      <w:r>
        <w:t>о</w:t>
      </w:r>
      <w:r>
        <w:t>демонстрировало, что пересмотр роли женщин произошел без их свободного участия и поэтому, хотя коммунистическая политика в этой области п</w:t>
      </w:r>
      <w:r>
        <w:t>о</w:t>
      </w:r>
      <w:r>
        <w:t>зволила добиться более высокой степени равенства в том, что касается социально-экономических пок</w:t>
      </w:r>
      <w:r>
        <w:t>а</w:t>
      </w:r>
      <w:r>
        <w:t>зателей, они были менее эффективными в плане и</w:t>
      </w:r>
      <w:r>
        <w:t>з</w:t>
      </w:r>
      <w:r>
        <w:t>менения социальных отношений между мужчинами и женщинами. После крушения коммунизма и без того ограниченное участие женщин в управлении страной было значительно сокращено и соц</w:t>
      </w:r>
      <w:r>
        <w:t>и</w:t>
      </w:r>
      <w:r>
        <w:t>ально-экономические показатели их положения сниз</w:t>
      </w:r>
      <w:r>
        <w:t>и</w:t>
      </w:r>
      <w:r>
        <w:t>лись. Кроме того, ликвидация вспомогательных с</w:t>
      </w:r>
      <w:r>
        <w:t>о</w:t>
      </w:r>
      <w:r>
        <w:t>циальных услуг, как например детские сады, прив</w:t>
      </w:r>
      <w:r>
        <w:t>е</w:t>
      </w:r>
      <w:r>
        <w:t>ла к тому, что многие женщины вновь оказались вынуждены совмещать семейные и производстве</w:t>
      </w:r>
      <w:r>
        <w:t>н</w:t>
      </w:r>
      <w:r>
        <w:t>ные обязанности. В результате этого сократилось имеющееся у них время и возможности для борьбы за свои права.</w:t>
      </w:r>
    </w:p>
    <w:p w:rsidR="00000000" w:rsidRDefault="00000000">
      <w:pPr>
        <w:pStyle w:val="DualTxt"/>
      </w:pPr>
      <w:r>
        <w:t>5.</w:t>
      </w:r>
      <w:r>
        <w:tab/>
        <w:t>Правительственная программа в области улучшения положения женщин в Албании, которая разрабатывается государством совместно с женск</w:t>
      </w:r>
      <w:r>
        <w:t>и</w:t>
      </w:r>
      <w:r>
        <w:t>ми неправительственными организациями, включ</w:t>
      </w:r>
      <w:r>
        <w:t>а</w:t>
      </w:r>
      <w:r>
        <w:t>ет в себя комплексный подход, ориентированный на ликвидацию социально-экономических недоста</w:t>
      </w:r>
      <w:r>
        <w:t>т</w:t>
      </w:r>
      <w:r>
        <w:t>ков, и в то же время особо учитывает важность включения женщин в процессы принятия решений. Одной из первоочередных задач стало создание н</w:t>
      </w:r>
      <w:r>
        <w:t>а</w:t>
      </w:r>
      <w:r>
        <w:t>ционального механизма поощрения гендерного р</w:t>
      </w:r>
      <w:r>
        <w:t>а</w:t>
      </w:r>
      <w:r>
        <w:t>венства, и в этой связи в 1998 году был учрежден Государственный комитет по вопросам женщин и семьи, который позднее был переименован в Ком</w:t>
      </w:r>
      <w:r>
        <w:t>и</w:t>
      </w:r>
      <w:r>
        <w:t>тет по вопросам обеспечения равных возможн</w:t>
      </w:r>
      <w:r>
        <w:t>о</w:t>
      </w:r>
      <w:r>
        <w:t>стей. Комитет осуществляет свою деятельность с</w:t>
      </w:r>
      <w:r>
        <w:t>о</w:t>
      </w:r>
      <w:r>
        <w:t>вместно с другими административными структур</w:t>
      </w:r>
      <w:r>
        <w:t>а</w:t>
      </w:r>
      <w:r>
        <w:t>ми на международном, национальном и местном уровнях и отвечает за осуществление и оценку стратегий и программ правительства, касающихся женщин, координирует программы, направленные на обеспечение равенства между женщинами и мужчинами, предлагает новые или обновленные з</w:t>
      </w:r>
      <w:r>
        <w:t>а</w:t>
      </w:r>
      <w:r>
        <w:t>коны в области прав женщин и поддерживает и к</w:t>
      </w:r>
      <w:r>
        <w:t>о</w:t>
      </w:r>
      <w:r>
        <w:t>ординирует деятельность неправительственных о</w:t>
      </w:r>
      <w:r>
        <w:t>р</w:t>
      </w:r>
      <w:r>
        <w:t>ганизаций.</w:t>
      </w:r>
    </w:p>
    <w:p w:rsidR="00000000" w:rsidRDefault="00000000">
      <w:pPr>
        <w:pStyle w:val="DualTxt"/>
      </w:pPr>
      <w:r>
        <w:t>6.</w:t>
      </w:r>
      <w:r>
        <w:tab/>
        <w:t>Национальная платформа в интересах женщин была разработана в качестве одного из средств осуществления Пекинской платформы действий и включает в себя 5 из 12 приоритетных задач, п</w:t>
      </w:r>
      <w:r>
        <w:t>о</w:t>
      </w:r>
      <w:r>
        <w:t>ставленных на Пекинской конференции. Достиж</w:t>
      </w:r>
      <w:r>
        <w:t>е</w:t>
      </w:r>
      <w:r>
        <w:t>ния в ее рамках включают в себя активизацию уч</w:t>
      </w:r>
      <w:r>
        <w:t>а</w:t>
      </w:r>
      <w:r>
        <w:t>стия женщин в процессах принятия решений, ра</w:t>
      </w:r>
      <w:r>
        <w:t>з</w:t>
      </w:r>
      <w:r>
        <w:t>работку программ микрофинансирования для же</w:t>
      </w:r>
      <w:r>
        <w:t>н</w:t>
      </w:r>
      <w:r>
        <w:t>щин, проживающих в сельской местности, деятел</w:t>
      </w:r>
      <w:r>
        <w:t>ь</w:t>
      </w:r>
      <w:r>
        <w:t>ность информационно-пропагандистского характ</w:t>
      </w:r>
      <w:r>
        <w:t>е</w:t>
      </w:r>
      <w:r>
        <w:t>ра, укрепление организационных механизмов в о</w:t>
      </w:r>
      <w:r>
        <w:t>б</w:t>
      </w:r>
      <w:r>
        <w:t>ласти прав женщин и повышение уровня осведо</w:t>
      </w:r>
      <w:r>
        <w:t>м</w:t>
      </w:r>
      <w:r>
        <w:t>ленн</w:t>
      </w:r>
      <w:r>
        <w:t>о</w:t>
      </w:r>
      <w:r>
        <w:t>сти.</w:t>
      </w:r>
    </w:p>
    <w:p w:rsidR="00000000" w:rsidRDefault="00000000">
      <w:pPr>
        <w:pStyle w:val="DualTxt"/>
      </w:pPr>
      <w:r>
        <w:t>7.</w:t>
      </w:r>
      <w:r>
        <w:tab/>
        <w:t>В Албании существует необходимая политич</w:t>
      </w:r>
      <w:r>
        <w:t>е</w:t>
      </w:r>
      <w:r>
        <w:t>ская воля для включения гендерной проблематики в основное русло правительственных программ и стратегий: фактически, деятельность в этой области уже начата в министерстве труда и социальных в</w:t>
      </w:r>
      <w:r>
        <w:t>о</w:t>
      </w:r>
      <w:r>
        <w:t>просов и министерстве просвещения, в которых планы и программы рассматриваются с гендерной точки зрения. Министерство просвещения намерено включать гендерные вопросы в школьные програ</w:t>
      </w:r>
      <w:r>
        <w:t>м</w:t>
      </w:r>
      <w:r>
        <w:t>мы и пересматривать учебники. Кроме того, Ком</w:t>
      </w:r>
      <w:r>
        <w:t>и</w:t>
      </w:r>
      <w:r>
        <w:t>тет по обеспечению равных возможностей совмес</w:t>
      </w:r>
      <w:r>
        <w:t>т</w:t>
      </w:r>
      <w:r>
        <w:t>но с неправительственными организациями пров</w:t>
      </w:r>
      <w:r>
        <w:t>о</w:t>
      </w:r>
      <w:r>
        <w:t>дит работу по организации учебных семинаров для правительственных и неправительственных групп для повышения уровня их осведомленности о ва</w:t>
      </w:r>
      <w:r>
        <w:t>ж</w:t>
      </w:r>
      <w:r>
        <w:t>ности включения гендерной проблематики в кач</w:t>
      </w:r>
      <w:r>
        <w:t>е</w:t>
      </w:r>
      <w:r>
        <w:t>стве одной из стратегий в области достижения ге</w:t>
      </w:r>
      <w:r>
        <w:t>н</w:t>
      </w:r>
      <w:r>
        <w:t>дерного р</w:t>
      </w:r>
      <w:r>
        <w:t>а</w:t>
      </w:r>
      <w:r>
        <w:t>венства.</w:t>
      </w:r>
    </w:p>
    <w:p w:rsidR="00000000" w:rsidRDefault="00000000">
      <w:pPr>
        <w:pStyle w:val="DualTxt"/>
      </w:pPr>
      <w:r>
        <w:t>8.</w:t>
      </w:r>
      <w:r>
        <w:tab/>
        <w:t>По</w:t>
      </w:r>
      <w:r>
        <w:noBreakHyphen/>
        <w:t>прежнему сохраняются трудности, связа</w:t>
      </w:r>
      <w:r>
        <w:t>н</w:t>
      </w:r>
      <w:r>
        <w:t>ные с созданием эффективных механизмов осущ</w:t>
      </w:r>
      <w:r>
        <w:t>е</w:t>
      </w:r>
      <w:r>
        <w:t>ствления и контроля, с обеспечением адекватного финансирования деятельности в рамках Наци</w:t>
      </w:r>
      <w:r>
        <w:t>о</w:t>
      </w:r>
      <w:r>
        <w:t>нальной платформы и воздействием на существу</w:t>
      </w:r>
      <w:r>
        <w:t>ю</w:t>
      </w:r>
      <w:r>
        <w:t>щие в обществе взгляды, мешающие улучшению положения женщин. В то же время на некоторых направлениях принимаются позитивные меры: о</w:t>
      </w:r>
      <w:r>
        <w:t>с</w:t>
      </w:r>
      <w:r>
        <w:t>новные политические партии осведомлены о нео</w:t>
      </w:r>
      <w:r>
        <w:t>б</w:t>
      </w:r>
      <w:r>
        <w:t>ходимости расширения участия женщин в полит</w:t>
      </w:r>
      <w:r>
        <w:t>и</w:t>
      </w:r>
      <w:r>
        <w:t>ческой жизни и в процессах принятия решений, прилагаются усилия в рамках проектов Целевой группы по гендерным вопросам, созданной в соо</w:t>
      </w:r>
      <w:r>
        <w:t>т</w:t>
      </w:r>
      <w:r>
        <w:t>ветствии с Пактом о стабильности, и гендерная проблематика внедряется в Национальную страт</w:t>
      </w:r>
      <w:r>
        <w:t>е</w:t>
      </w:r>
      <w:r>
        <w:t>гию в интересах детей. Наконец, албанское прав</w:t>
      </w:r>
      <w:r>
        <w:t>и</w:t>
      </w:r>
      <w:r>
        <w:t>тельство понимает, что многое еще предстоит сд</w:t>
      </w:r>
      <w:r>
        <w:t>е</w:t>
      </w:r>
      <w:r>
        <w:t>лать для достижения фактического равноправия женщин и подтверждает свое стремление выпо</w:t>
      </w:r>
      <w:r>
        <w:t>л</w:t>
      </w:r>
      <w:r>
        <w:t>нять рекомендации К</w:t>
      </w:r>
      <w:r>
        <w:t>о</w:t>
      </w:r>
      <w:r>
        <w:t>митета.</w:t>
      </w:r>
    </w:p>
    <w:p w:rsidR="00000000" w:rsidRDefault="00000000">
      <w:pPr>
        <w:pStyle w:val="DualTxt"/>
      </w:pPr>
      <w:r>
        <w:t>9.</w:t>
      </w:r>
      <w:r>
        <w:tab/>
      </w:r>
      <w:r>
        <w:rPr>
          <w:b/>
        </w:rPr>
        <w:t>Г</w:t>
      </w:r>
      <w:r>
        <w:rPr>
          <w:b/>
        </w:rPr>
        <w:noBreakHyphen/>
        <w:t>н Флинтерман</w:t>
      </w:r>
      <w:r>
        <w:t xml:space="preserve"> желает узнать, сколько раз в Конституционный суд обращались с просьбой в</w:t>
      </w:r>
      <w:r>
        <w:t>ы</w:t>
      </w:r>
      <w:r>
        <w:t>нести решение о том, не противоречат ли наци</w:t>
      </w:r>
      <w:r>
        <w:t>о</w:t>
      </w:r>
      <w:r>
        <w:t>нальные законы положениям Конвенции. Поскольку отдельные лица не могут представлять свои дела на рассмотрение этого суда, он спрашивает, передав</w:t>
      </w:r>
      <w:r>
        <w:t>а</w:t>
      </w:r>
      <w:r>
        <w:t>лись ли какие-либо дела, касающиеся Конвенции, на рассмотрение Народного адвоката и сообщали ли о подобных делах неправительственные организ</w:t>
      </w:r>
      <w:r>
        <w:t>а</w:t>
      </w:r>
      <w:r>
        <w:t>ции. Он также хотел бы знать, располагает ли К</w:t>
      </w:r>
      <w:r>
        <w:t>о</w:t>
      </w:r>
      <w:r>
        <w:t>митет по обеспечению равных возможностей на</w:t>
      </w:r>
      <w:r>
        <w:t>д</w:t>
      </w:r>
      <w:r>
        <w:t>лежащими средствами для представления дел в Конституцио</w:t>
      </w:r>
      <w:r>
        <w:t>н</w:t>
      </w:r>
      <w:r>
        <w:t>ный суд.</w:t>
      </w:r>
    </w:p>
    <w:p w:rsidR="00000000" w:rsidRDefault="00000000">
      <w:pPr>
        <w:pStyle w:val="DualTxt"/>
      </w:pPr>
      <w:r>
        <w:t>10.</w:t>
      </w:r>
      <w:r>
        <w:tab/>
        <w:t>Согласно докладу, в статье 18 албанской Ко</w:t>
      </w:r>
      <w:r>
        <w:t>н</w:t>
      </w:r>
      <w:r>
        <w:t>ституции предусмотрено, что никто не может по</w:t>
      </w:r>
      <w:r>
        <w:t>д</w:t>
      </w:r>
      <w:r>
        <w:t>вергаться «необоснованной» дискриминации. Он спрашивает, присутствует ли термин “unjustly” (н</w:t>
      </w:r>
      <w:r>
        <w:t>е</w:t>
      </w:r>
      <w:r>
        <w:t>обоснованной) в тексте албанской Конституции на албанском языке и, если это так, не мог бы Комитет ознакомиться с некоторыми примерами «обосн</w:t>
      </w:r>
      <w:r>
        <w:t>о</w:t>
      </w:r>
      <w:r>
        <w:t>ванной» дискриминации по признаку пола. Комитет хотел бы знать, включает ли в себя толкование ст</w:t>
      </w:r>
      <w:r>
        <w:t>а</w:t>
      </w:r>
      <w:r>
        <w:t>тьи 18 Конституционным судом прямую и опоср</w:t>
      </w:r>
      <w:r>
        <w:t>е</w:t>
      </w:r>
      <w:r>
        <w:t>дованную дискриминацию и включает ли в себя принцип равенства как формальное, так и нефо</w:t>
      </w:r>
      <w:r>
        <w:t>р</w:t>
      </w:r>
      <w:r>
        <w:t>мальное равенство. Наконец, он спрашивает, знак</w:t>
      </w:r>
      <w:r>
        <w:t>о</w:t>
      </w:r>
      <w:r>
        <w:t>мы ли неправительственные организации Албании с содержанием Конвенции и будет ли им сообщено о рекомендациях Ком</w:t>
      </w:r>
      <w:r>
        <w:t>и</w:t>
      </w:r>
      <w:r>
        <w:t>тета.</w:t>
      </w:r>
    </w:p>
    <w:p w:rsidR="00000000" w:rsidRDefault="00000000">
      <w:pPr>
        <w:pStyle w:val="DualTxt"/>
      </w:pPr>
      <w:r>
        <w:t>11.</w:t>
      </w:r>
      <w:r>
        <w:tab/>
      </w:r>
      <w:r>
        <w:rPr>
          <w:b/>
        </w:rPr>
        <w:t>Г</w:t>
      </w:r>
      <w:r>
        <w:rPr>
          <w:b/>
        </w:rPr>
        <w:noBreakHyphen/>
        <w:t>жа Шёпп-Шиллинг</w:t>
      </w:r>
      <w:r>
        <w:t xml:space="preserve"> выражает удовлетвор</w:t>
      </w:r>
      <w:r>
        <w:t>е</w:t>
      </w:r>
      <w:r>
        <w:t>ние в связи с тем, что Албания не представила н</w:t>
      </w:r>
      <w:r>
        <w:t>и</w:t>
      </w:r>
      <w:r>
        <w:t>каких оговорок в отношении Конвенции. Касаясь доклада, она хотела бы получить больший объем самой последней статистической информации и о</w:t>
      </w:r>
      <w:r>
        <w:t>т</w:t>
      </w:r>
      <w:r>
        <w:t>мечает просматривающуюся нехватку конкретных правительственных инициатив, направленных на решение проблем, существующих в области ге</w:t>
      </w:r>
      <w:r>
        <w:t>н</w:t>
      </w:r>
      <w:r>
        <w:t>дерного равенства. Представившее доклад госуда</w:t>
      </w:r>
      <w:r>
        <w:t>р</w:t>
      </w:r>
      <w:r>
        <w:t>ство должно указать, создало ли правительство к</w:t>
      </w:r>
      <w:r>
        <w:t>а</w:t>
      </w:r>
      <w:r>
        <w:t>кой-либо постоянный механизм для обеспечения того, чтобы доклады, представляемые в междун</w:t>
      </w:r>
      <w:r>
        <w:t>а</w:t>
      </w:r>
      <w:r>
        <w:t>родные органы по правам человека, обсуждались кабинетом и парламентом, и, если это так, орган</w:t>
      </w:r>
      <w:r>
        <w:t>и</w:t>
      </w:r>
      <w:r>
        <w:t>зует ли такой механизм также обсуждение заключ</w:t>
      </w:r>
      <w:r>
        <w:t>и</w:t>
      </w:r>
      <w:r>
        <w:t>тельных замечаний и рекомендаций Ком</w:t>
      </w:r>
      <w:r>
        <w:t>и</w:t>
      </w:r>
      <w:r>
        <w:t>тета.</w:t>
      </w:r>
    </w:p>
    <w:p w:rsidR="00000000" w:rsidRDefault="00000000">
      <w:pPr>
        <w:pStyle w:val="DualTxt"/>
      </w:pPr>
      <w:r>
        <w:t>12.</w:t>
      </w:r>
      <w:r>
        <w:tab/>
      </w:r>
      <w:r>
        <w:rPr>
          <w:b/>
        </w:rPr>
        <w:t>Г</w:t>
      </w:r>
      <w:r>
        <w:rPr>
          <w:b/>
        </w:rPr>
        <w:noBreakHyphen/>
        <w:t>жа Шин</w:t>
      </w:r>
      <w:r>
        <w:t xml:space="preserve"> говорит, что в докладе не соде</w:t>
      </w:r>
      <w:r>
        <w:t>р</w:t>
      </w:r>
      <w:r>
        <w:t>жится достаточного объема данных о положении женщин в Албании. Она хотела бы знать, имеется ли в представившем доклад государстве специал</w:t>
      </w:r>
      <w:r>
        <w:t>ь</w:t>
      </w:r>
      <w:r>
        <w:t>ное управление статистики и, если имеется, осв</w:t>
      </w:r>
      <w:r>
        <w:t>е</w:t>
      </w:r>
      <w:r>
        <w:t>домлено ли оно о необходимости сбора данных с разбивкой по мужчинам и женщинам. В тексте до</w:t>
      </w:r>
      <w:r>
        <w:t>к</w:t>
      </w:r>
      <w:r>
        <w:t>лада на английском языке часто используется му</w:t>
      </w:r>
      <w:r>
        <w:t>ж</w:t>
      </w:r>
      <w:r>
        <w:t>ское местоимение «он» в отношении лиц, которые могут быть как мужчинами, так и женщинами. Она призывает представившее доклад государство и</w:t>
      </w:r>
      <w:r>
        <w:t>с</w:t>
      </w:r>
      <w:r>
        <w:t>пользовать более универсальную терминологию. Наконец, она понимает, что Комитет по вопросам женщин и семьи был переименован в Комитет по обеспечению равных возможностей, и поэтому х</w:t>
      </w:r>
      <w:r>
        <w:t>о</w:t>
      </w:r>
      <w:r>
        <w:t>тела бы знать, почему в докладе и при его устном представлении по</w:t>
      </w:r>
      <w:r>
        <w:noBreakHyphen/>
        <w:t>прежнему фигурировало старое н</w:t>
      </w:r>
      <w:r>
        <w:t>а</w:t>
      </w:r>
      <w:r>
        <w:t>звание.</w:t>
      </w:r>
    </w:p>
    <w:p w:rsidR="00000000" w:rsidRDefault="00000000">
      <w:pPr>
        <w:pStyle w:val="DualTxt"/>
      </w:pPr>
      <w:r>
        <w:t>13.</w:t>
      </w:r>
      <w:r>
        <w:tab/>
      </w:r>
      <w:r>
        <w:rPr>
          <w:b/>
        </w:rPr>
        <w:t>Г</w:t>
      </w:r>
      <w:r>
        <w:rPr>
          <w:b/>
        </w:rPr>
        <w:noBreakHyphen/>
        <w:t>жа Шимонович</w:t>
      </w:r>
      <w:r>
        <w:t xml:space="preserve"> просит представить более подробную информацию в отношении запланир</w:t>
      </w:r>
      <w:r>
        <w:t>о</w:t>
      </w:r>
      <w:r>
        <w:t>ванных или осуществляемых мер по обеспечению всестороннего воплощения в жизнь Пекинской платформы и решений Ко</w:t>
      </w:r>
      <w:r>
        <w:t>н</w:t>
      </w:r>
      <w:r>
        <w:t>ференции Пекин+5.</w:t>
      </w:r>
    </w:p>
    <w:p w:rsidR="00000000" w:rsidRDefault="00000000">
      <w:pPr>
        <w:pStyle w:val="DualTxt"/>
      </w:pPr>
      <w:r>
        <w:t>14.</w:t>
      </w:r>
      <w:r>
        <w:tab/>
      </w:r>
      <w:r>
        <w:rPr>
          <w:b/>
        </w:rPr>
        <w:t>Г</w:t>
      </w:r>
      <w:r>
        <w:rPr>
          <w:b/>
        </w:rPr>
        <w:noBreakHyphen/>
        <w:t>жа Гаспар</w:t>
      </w:r>
      <w:r>
        <w:t xml:space="preserve"> просит разъяснить трудности, встретившиеся при подготовке доклада, из</w:t>
      </w:r>
      <w:r>
        <w:noBreakHyphen/>
        <w:t>за кот</w:t>
      </w:r>
      <w:r>
        <w:t>о</w:t>
      </w:r>
      <w:r>
        <w:t>рых тот был представлен с задержкой. Представи</w:t>
      </w:r>
      <w:r>
        <w:t>в</w:t>
      </w:r>
      <w:r>
        <w:t>шее доклад государство должно указать, перевод</w:t>
      </w:r>
      <w:r>
        <w:t>и</w:t>
      </w:r>
      <w:r>
        <w:t>лась ли Конвенция на албанский язык и были ли с нею ознакомлены все заинтересованные стороны. Она спрашивает, известно ли средствам массовой информации о докладе делегации Комитету и пре</w:t>
      </w:r>
      <w:r>
        <w:t>д</w:t>
      </w:r>
      <w:r>
        <w:t>полагается ли освещать выводы и рекомендации Ком</w:t>
      </w:r>
      <w:r>
        <w:t>и</w:t>
      </w:r>
      <w:r>
        <w:t>тета.</w:t>
      </w:r>
    </w:p>
    <w:p w:rsidR="00000000" w:rsidRDefault="00000000">
      <w:pPr>
        <w:pStyle w:val="DualTxt"/>
      </w:pPr>
      <w:r>
        <w:t>15.</w:t>
      </w:r>
      <w:r>
        <w:tab/>
      </w:r>
      <w:r>
        <w:rPr>
          <w:b/>
        </w:rPr>
        <w:t>Г</w:t>
      </w:r>
      <w:r>
        <w:rPr>
          <w:b/>
        </w:rPr>
        <w:noBreakHyphen/>
        <w:t>жа Морваи</w:t>
      </w:r>
      <w:r>
        <w:t xml:space="preserve"> признает, что, как и в больши</w:t>
      </w:r>
      <w:r>
        <w:t>н</w:t>
      </w:r>
      <w:r>
        <w:t>стве бывших коммунистических государств, раве</w:t>
      </w:r>
      <w:r>
        <w:t>н</w:t>
      </w:r>
      <w:r>
        <w:t>ство мужчин и женщин было одной из составных частей официальной идеологии, в результате чего равенство насаждалось по вертикали без к</w:t>
      </w:r>
      <w:r>
        <w:t>а</w:t>
      </w:r>
      <w:r>
        <w:t>кого-либо реального учета проблемы дискриминации женщин в обществе в целом или в рамках госуда</w:t>
      </w:r>
      <w:r>
        <w:t>р</w:t>
      </w:r>
      <w:r>
        <w:t>ственного механизма или политических партий. Поэтому исключительно важно, чтобы правител</w:t>
      </w:r>
      <w:r>
        <w:t>ь</w:t>
      </w:r>
      <w:r>
        <w:t>ство взяло на себя ответственность за распростр</w:t>
      </w:r>
      <w:r>
        <w:t>а</w:t>
      </w:r>
      <w:r>
        <w:t>нение информации о Конвенции и тесно сотрудн</w:t>
      </w:r>
      <w:r>
        <w:t>и</w:t>
      </w:r>
      <w:r>
        <w:t>чало с неправительственными организациями, к</w:t>
      </w:r>
      <w:r>
        <w:t>о</w:t>
      </w:r>
      <w:r>
        <w:t>торые не существовали при коммунистической си</w:t>
      </w:r>
      <w:r>
        <w:t>с</w:t>
      </w:r>
      <w:r>
        <w:t>теме, в интересах освещения гендерных вопросов. Хотелось бы получить информацию о конкретных мерах и структурах, учрежденных правительством в поддержку неправительственных организаций и в координации с ними не только в контексте подг</w:t>
      </w:r>
      <w:r>
        <w:t>о</w:t>
      </w:r>
      <w:r>
        <w:t>товки доклада, но также в рамках укрепления прав же</w:t>
      </w:r>
      <w:r>
        <w:t>н</w:t>
      </w:r>
      <w:r>
        <w:t>щин.</w:t>
      </w:r>
    </w:p>
    <w:p w:rsidR="00000000" w:rsidRDefault="00000000">
      <w:pPr>
        <w:pStyle w:val="H4"/>
        <w:tabs>
          <w:tab w:val="right" w:pos="360"/>
          <w:tab w:val="left" w:pos="475"/>
          <w:tab w:val="left" w:pos="965"/>
          <w:tab w:val="left" w:pos="1440"/>
          <w:tab w:val="left" w:pos="1915"/>
          <w:tab w:val="left" w:pos="2405"/>
          <w:tab w:val="left" w:pos="2880"/>
          <w:tab w:val="left" w:pos="3355"/>
        </w:tabs>
        <w:ind w:left="475" w:hanging="475"/>
      </w:pPr>
      <w:r>
        <w:tab/>
        <w:t>Статья 2</w:t>
      </w:r>
    </w:p>
    <w:p w:rsidR="00000000" w:rsidRDefault="00000000">
      <w:pPr>
        <w:pStyle w:val="DualTxt"/>
        <w:spacing w:after="0" w:line="120" w:lineRule="exact"/>
        <w:rPr>
          <w:sz w:val="10"/>
        </w:rPr>
      </w:pPr>
    </w:p>
    <w:p w:rsidR="00000000" w:rsidRDefault="00000000">
      <w:pPr>
        <w:pStyle w:val="DualTxt"/>
      </w:pPr>
      <w:r>
        <w:t>16.</w:t>
      </w:r>
      <w:r>
        <w:tab/>
      </w:r>
      <w:r>
        <w:rPr>
          <w:b/>
        </w:rPr>
        <w:t>Г</w:t>
      </w:r>
      <w:r>
        <w:rPr>
          <w:b/>
        </w:rPr>
        <w:noBreakHyphen/>
        <w:t>жа Шёпп-Шиллинг</w:t>
      </w:r>
      <w:r>
        <w:t xml:space="preserve"> выражает удивление тем, что, как представляется, не проводилось ник</w:t>
      </w:r>
      <w:r>
        <w:t>а</w:t>
      </w:r>
      <w:r>
        <w:t>кого обзора законов в целях включения в них ге</w:t>
      </w:r>
      <w:r>
        <w:t>н</w:t>
      </w:r>
      <w:r>
        <w:t>дерных вопросов. Хотя теоретически дискримин</w:t>
      </w:r>
      <w:r>
        <w:t>а</w:t>
      </w:r>
      <w:r>
        <w:t>ция запрещена, многие положения и определения Конвенции являются значительно более широкими и требуют внесения поправок в национальные зак</w:t>
      </w:r>
      <w:r>
        <w:t>о</w:t>
      </w:r>
      <w:r>
        <w:t>ны, в частности в таких вопросах, как насилие в о</w:t>
      </w:r>
      <w:r>
        <w:t>т</w:t>
      </w:r>
      <w:r>
        <w:t>ношении женщин и определение изнасилования. Она спрашивает, кто должен нести ответственность за осуществление необходимого обзора законов, е</w:t>
      </w:r>
      <w:r>
        <w:t>с</w:t>
      </w:r>
      <w:r>
        <w:t>ли такое планируется произвести. Если нет, почему Комитет по обеспечению равных возможностей или парламент не требует проведения о</w:t>
      </w:r>
      <w:r>
        <w:t>б</w:t>
      </w:r>
      <w:r>
        <w:t>зора?</w:t>
      </w:r>
    </w:p>
    <w:p w:rsidR="00000000" w:rsidRDefault="00000000">
      <w:pPr>
        <w:pStyle w:val="DualTxt"/>
      </w:pPr>
      <w:r>
        <w:t>17.</w:t>
      </w:r>
      <w:r>
        <w:tab/>
        <w:t>Представившее доклад государство должно указать, является ли изучение международных норм в области прав человека обязательным предметом в университетах и когда намечено принять новый К</w:t>
      </w:r>
      <w:r>
        <w:t>о</w:t>
      </w:r>
      <w:r>
        <w:t>декс о семье. Она также выражает озабоченность в связи с тем, что понятие так называемых «неспр</w:t>
      </w:r>
      <w:r>
        <w:t>а</w:t>
      </w:r>
      <w:r>
        <w:t>ведливых» привилегий (статья 253, Уголовный к</w:t>
      </w:r>
      <w:r>
        <w:t>о</w:t>
      </w:r>
      <w:r>
        <w:t>декс) может стать препятствием для использования временных и специальных мер, и спрашивает, о</w:t>
      </w:r>
      <w:r>
        <w:t>б</w:t>
      </w:r>
      <w:r>
        <w:t>суждался ли этот вопрос при подготовке проекта Конст</w:t>
      </w:r>
      <w:r>
        <w:t>и</w:t>
      </w:r>
      <w:r>
        <w:t>туции или юристами-женщинами?</w:t>
      </w:r>
    </w:p>
    <w:p w:rsidR="00000000" w:rsidRDefault="00000000">
      <w:pPr>
        <w:pStyle w:val="DualTxt"/>
      </w:pPr>
      <w:r>
        <w:t>18.</w:t>
      </w:r>
      <w:r>
        <w:tab/>
      </w:r>
      <w:r>
        <w:rPr>
          <w:b/>
        </w:rPr>
        <w:t>Г</w:t>
      </w:r>
      <w:r>
        <w:rPr>
          <w:b/>
        </w:rPr>
        <w:noBreakHyphen/>
        <w:t>жа Гнакаджа</w:t>
      </w:r>
      <w:r>
        <w:t xml:space="preserve"> просит представить информ</w:t>
      </w:r>
      <w:r>
        <w:t>а</w:t>
      </w:r>
      <w:r>
        <w:t>цию о любых средствах юридической помощи, к</w:t>
      </w:r>
      <w:r>
        <w:t>о</w:t>
      </w:r>
      <w:r>
        <w:t>торые могут иметься в распоряжении женщин, если они сочтут, что их права оказались нарушенными. Неясно, например, играет какую-либо роль Наро</w:t>
      </w:r>
      <w:r>
        <w:t>д</w:t>
      </w:r>
      <w:r>
        <w:t>ный адвокат (Омбудсмен) в защите прав женщин. Хотя в докладе законы Албании характеризуются как современные и запрещающие дискриминацию, на практике дискриминация, безусловно, сохран</w:t>
      </w:r>
      <w:r>
        <w:t>я</w:t>
      </w:r>
      <w:r>
        <w:t>ется. Содержащееся в Конституции определение дискриминации отличается от определения, соде</w:t>
      </w:r>
      <w:r>
        <w:t>р</w:t>
      </w:r>
      <w:r>
        <w:t>жащегося в Конвенции, и она спрашивает, намерено ли правительство в свете этого пересмотреть и о</w:t>
      </w:r>
      <w:r>
        <w:t>б</w:t>
      </w:r>
      <w:r>
        <w:t>новить свои законы.</w:t>
      </w:r>
    </w:p>
    <w:p w:rsidR="00000000" w:rsidRDefault="00000000">
      <w:pPr>
        <w:pStyle w:val="DualTxt"/>
      </w:pPr>
      <w:r>
        <w:t>19.</w:t>
      </w:r>
      <w:r>
        <w:tab/>
      </w:r>
      <w:r>
        <w:rPr>
          <w:b/>
        </w:rPr>
        <w:t>Г</w:t>
      </w:r>
      <w:r>
        <w:rPr>
          <w:b/>
        </w:rPr>
        <w:noBreakHyphen/>
        <w:t>жа Шимонович</w:t>
      </w:r>
      <w:r>
        <w:t xml:space="preserve"> просит представить и</w:t>
      </w:r>
      <w:r>
        <w:t>н</w:t>
      </w:r>
      <w:r>
        <w:t>формацию о том, можно ли в судах ссылаться на международные документы для исправления ди</w:t>
      </w:r>
      <w:r>
        <w:t>с</w:t>
      </w:r>
      <w:r>
        <w:t>криминационных положений и могут ли прим</w:t>
      </w:r>
      <w:r>
        <w:t>е</w:t>
      </w:r>
      <w:r>
        <w:t>няться какие-либо санкции или наказания в случае установления факта дискриминации женщин.</w:t>
      </w:r>
    </w:p>
    <w:p w:rsidR="00000000" w:rsidRDefault="00000000">
      <w:pPr>
        <w:pStyle w:val="H4"/>
        <w:tabs>
          <w:tab w:val="left" w:pos="475"/>
          <w:tab w:val="left" w:pos="965"/>
          <w:tab w:val="left" w:pos="1440"/>
          <w:tab w:val="left" w:pos="1915"/>
          <w:tab w:val="left" w:pos="2405"/>
          <w:tab w:val="left" w:pos="2880"/>
          <w:tab w:val="left" w:pos="3355"/>
        </w:tabs>
        <w:ind w:left="475" w:hanging="475"/>
      </w:pPr>
      <w:r>
        <w:tab/>
        <w:t>Статья 3</w:t>
      </w:r>
    </w:p>
    <w:p w:rsidR="00000000" w:rsidRDefault="00000000">
      <w:pPr>
        <w:pStyle w:val="DualTxt"/>
        <w:spacing w:after="0" w:line="120" w:lineRule="exact"/>
        <w:rPr>
          <w:sz w:val="10"/>
        </w:rPr>
      </w:pPr>
    </w:p>
    <w:p w:rsidR="00000000" w:rsidRDefault="00000000">
      <w:pPr>
        <w:pStyle w:val="DualTxt"/>
      </w:pPr>
      <w:r>
        <w:t>20.</w:t>
      </w:r>
      <w:r>
        <w:tab/>
      </w:r>
      <w:r>
        <w:rPr>
          <w:b/>
        </w:rPr>
        <w:t>Г</w:t>
      </w:r>
      <w:r>
        <w:rPr>
          <w:b/>
        </w:rPr>
        <w:noBreakHyphen/>
        <w:t>жа Ахмад</w:t>
      </w:r>
      <w:r>
        <w:t xml:space="preserve"> говорит, что с 1992 года неодн</w:t>
      </w:r>
      <w:r>
        <w:t>о</w:t>
      </w:r>
      <w:r>
        <w:t>кратно делались попытки создания национального механизма, ответственного за вопросы женщин в различных министерствах, пока наконец не был создан Комитет по обеспечению равных возможн</w:t>
      </w:r>
      <w:r>
        <w:t>о</w:t>
      </w:r>
      <w:r>
        <w:t>стей, название которого является более уместным. Не было представлено никакой информации о с</w:t>
      </w:r>
      <w:r>
        <w:t>у</w:t>
      </w:r>
      <w:r>
        <w:t>ществующих в настоящее время законах или мех</w:t>
      </w:r>
      <w:r>
        <w:t>а</w:t>
      </w:r>
      <w:r>
        <w:t>низмах, направленных на обеспечение подлинного равенства возможностей мужчин и женщин, и она спрашивает, располагает ли новый Комитет соо</w:t>
      </w:r>
      <w:r>
        <w:t>т</w:t>
      </w:r>
      <w:r>
        <w:t>ветствующими правами для обзора существующих механизмов в интересах обеспечения всестороннего осуществления Конве</w:t>
      </w:r>
      <w:r>
        <w:t>н</w:t>
      </w:r>
      <w:r>
        <w:t>ции.</w:t>
      </w:r>
    </w:p>
    <w:p w:rsidR="00000000" w:rsidRDefault="00000000">
      <w:pPr>
        <w:pStyle w:val="DualTxt"/>
      </w:pPr>
      <w:r>
        <w:t>21.</w:t>
      </w:r>
      <w:r>
        <w:tab/>
        <w:t>Важно рационализировать национальный м</w:t>
      </w:r>
      <w:r>
        <w:t>е</w:t>
      </w:r>
      <w:r>
        <w:t>ханизм и обеспечить координацию в рамках прав</w:t>
      </w:r>
      <w:r>
        <w:t>и</w:t>
      </w:r>
      <w:r>
        <w:t>тельства, в контексте сотрудничества между прав</w:t>
      </w:r>
      <w:r>
        <w:t>и</w:t>
      </w:r>
      <w:r>
        <w:t>тельством и неправительственными организациями, а также между центральными и местными органами власти. Полномочия, сферы ответственности, ра</w:t>
      </w:r>
      <w:r>
        <w:t>з</w:t>
      </w:r>
      <w:r>
        <w:t>деление труда должны быть четко определены, с тем чтобы можно было обеспечить проведение о</w:t>
      </w:r>
      <w:r>
        <w:t>б</w:t>
      </w:r>
      <w:r>
        <w:t>зоров законов и политики, контролировать и оцен</w:t>
      </w:r>
      <w:r>
        <w:t>и</w:t>
      </w:r>
      <w:r>
        <w:t>вать достигнутый прогресс. Она спрашивает, в к</w:t>
      </w:r>
      <w:r>
        <w:t>а</w:t>
      </w:r>
      <w:r>
        <w:t>кой мере уже создана такая структура, поскольку она имеет исключительно важное значение для ш</w:t>
      </w:r>
      <w:r>
        <w:t>и</w:t>
      </w:r>
      <w:r>
        <w:t>рокого учета гендерной проблематики во всех се</w:t>
      </w:r>
      <w:r>
        <w:t>к</w:t>
      </w:r>
      <w:r>
        <w:t>торах.</w:t>
      </w:r>
    </w:p>
    <w:p w:rsidR="00000000" w:rsidRDefault="00000000">
      <w:pPr>
        <w:pStyle w:val="DualTxt"/>
      </w:pPr>
      <w:r>
        <w:t>22.</w:t>
      </w:r>
      <w:r>
        <w:tab/>
      </w:r>
      <w:r>
        <w:rPr>
          <w:b/>
        </w:rPr>
        <w:t>Г</w:t>
      </w:r>
      <w:r>
        <w:rPr>
          <w:b/>
        </w:rPr>
        <w:noBreakHyphen/>
        <w:t>жа Габр</w:t>
      </w:r>
      <w:r>
        <w:t xml:space="preserve"> подчеркивает необходимость нал</w:t>
      </w:r>
      <w:r>
        <w:t>и</w:t>
      </w:r>
      <w:r>
        <w:t>чия политической воли и обеспечения координации в рамках деятельности правительства и гражда</w:t>
      </w:r>
      <w:r>
        <w:t>н</w:t>
      </w:r>
      <w:r>
        <w:t>ского общества, а также международных дейс</w:t>
      </w:r>
      <w:r>
        <w:t>т</w:t>
      </w:r>
      <w:r>
        <w:t>вующих лиц в интересах укрепления прав женщин. Она спрашивает, имеют ли национальные учрежд</w:t>
      </w:r>
      <w:r>
        <w:t>е</w:t>
      </w:r>
      <w:r>
        <w:t>ния мандат на всестороннее сотрудничество с н</w:t>
      </w:r>
      <w:r>
        <w:t>е</w:t>
      </w:r>
      <w:r>
        <w:t>правительственными организациями, был ли обн</w:t>
      </w:r>
      <w:r>
        <w:t>а</w:t>
      </w:r>
      <w:r>
        <w:t>родован новый закон, упомянутый в докладе и при его устном представлении, как структурно орган</w:t>
      </w:r>
      <w:r>
        <w:t>и</w:t>
      </w:r>
      <w:r>
        <w:t>зованы неправительственные организации и пол</w:t>
      </w:r>
      <w:r>
        <w:t>у</w:t>
      </w:r>
      <w:r>
        <w:t>чают ли они финансовую помощь со стороны пр</w:t>
      </w:r>
      <w:r>
        <w:t>а</w:t>
      </w:r>
      <w:r>
        <w:t>вительства с учетом их важной роли. Исключител</w:t>
      </w:r>
      <w:r>
        <w:t>ь</w:t>
      </w:r>
      <w:r>
        <w:t>но важно обеспечивать выделение адекватных р</w:t>
      </w:r>
      <w:r>
        <w:t>е</w:t>
      </w:r>
      <w:r>
        <w:t>сурсов для инициатив в поддержку прав же</w:t>
      </w:r>
      <w:r>
        <w:t>н</w:t>
      </w:r>
      <w:r>
        <w:t>щин.</w:t>
      </w:r>
    </w:p>
    <w:p w:rsidR="00000000" w:rsidRDefault="00000000">
      <w:pPr>
        <w:pStyle w:val="DualTxt"/>
      </w:pPr>
      <w:r>
        <w:t>23.</w:t>
      </w:r>
      <w:r>
        <w:tab/>
      </w:r>
      <w:r>
        <w:rPr>
          <w:b/>
        </w:rPr>
        <w:t>Г</w:t>
      </w:r>
      <w:r>
        <w:rPr>
          <w:b/>
        </w:rPr>
        <w:noBreakHyphen/>
        <w:t>жа Феррер-Гомес</w:t>
      </w:r>
      <w:r>
        <w:t>, отмечая резкое увелич</w:t>
      </w:r>
      <w:r>
        <w:t>е</w:t>
      </w:r>
      <w:r>
        <w:t>ние масштабов нищеты в годы переходного пери</w:t>
      </w:r>
      <w:r>
        <w:t>о</w:t>
      </w:r>
      <w:r>
        <w:t>да, особенно в сельских районах, где весьма огр</w:t>
      </w:r>
      <w:r>
        <w:t>а</w:t>
      </w:r>
      <w:r>
        <w:t>ниченным является доступ к медицинскому обсл</w:t>
      </w:r>
      <w:r>
        <w:t>у</w:t>
      </w:r>
      <w:r>
        <w:t>живанию, образованию, рабочим местам или баз</w:t>
      </w:r>
      <w:r>
        <w:t>о</w:t>
      </w:r>
      <w:r>
        <w:t>вым услугам, спрашивает, существуют ли к</w:t>
      </w:r>
      <w:r>
        <w:t>а</w:t>
      </w:r>
      <w:r>
        <w:t>кие-либо правительственные программы по сокращ</w:t>
      </w:r>
      <w:r>
        <w:t>е</w:t>
      </w:r>
      <w:r>
        <w:t>нию масштабов нищеты, в частности в интересах женщин, находящихся в уязвимом положении, как то: матери-одиночки и женщины, возглавляющие домашнее хозяйство, путем предоставления им, н</w:t>
      </w:r>
      <w:r>
        <w:t>а</w:t>
      </w:r>
      <w:r>
        <w:t>пример, возможностей в области образования и о</w:t>
      </w:r>
      <w:r>
        <w:t>р</w:t>
      </w:r>
      <w:r>
        <w:t>ганизации для них обучения для их трудоустройс</w:t>
      </w:r>
      <w:r>
        <w:t>т</w:t>
      </w:r>
      <w:r>
        <w:t xml:space="preserve">ва. </w:t>
      </w:r>
    </w:p>
    <w:p w:rsidR="00000000" w:rsidRDefault="00000000">
      <w:pPr>
        <w:pStyle w:val="DualTxt"/>
      </w:pPr>
      <w:r>
        <w:t>24.</w:t>
      </w:r>
      <w:r>
        <w:tab/>
        <w:t>Приветствуя создание Канцелярии Народного адвоката (Омбудсмена), она отмечает, что, несмотря на увеличение числа случаев дискриминации, ж</w:t>
      </w:r>
      <w:r>
        <w:t>а</w:t>
      </w:r>
      <w:r>
        <w:t>лоб в Канцелярию не поступало, и спрашивает, в достаточной ли степени женщины осведомлены о своих правах, предусмотренных в законе и Конве</w:t>
      </w:r>
      <w:r>
        <w:t>н</w:t>
      </w:r>
      <w:r>
        <w:t>ции, включая право добиваться юридической защ</w:t>
      </w:r>
      <w:r>
        <w:t>и</w:t>
      </w:r>
      <w:r>
        <w:t>ты в судах, что является важным фактором укре</w:t>
      </w:r>
      <w:r>
        <w:t>п</w:t>
      </w:r>
      <w:r>
        <w:t>ления защиты прав женщин. Наконец, представи</w:t>
      </w:r>
      <w:r>
        <w:t>в</w:t>
      </w:r>
      <w:r>
        <w:t>шее доклад государство должно указать, разработан ли план последующей деятельности по осущест</w:t>
      </w:r>
      <w:r>
        <w:t>в</w:t>
      </w:r>
      <w:r>
        <w:t>лению решений Конференции Пекин+5.</w:t>
      </w:r>
    </w:p>
    <w:p w:rsidR="00000000" w:rsidRDefault="00000000">
      <w:pPr>
        <w:pStyle w:val="DualTxt"/>
      </w:pPr>
      <w:r>
        <w:t>25.</w:t>
      </w:r>
      <w:r>
        <w:tab/>
      </w:r>
      <w:r>
        <w:rPr>
          <w:b/>
        </w:rPr>
        <w:t>Г</w:t>
      </w:r>
      <w:r>
        <w:rPr>
          <w:b/>
        </w:rPr>
        <w:noBreakHyphen/>
        <w:t>жа Таварес да Сильва</w:t>
      </w:r>
      <w:r>
        <w:t xml:space="preserve"> спрашивает, почему делегация по</w:t>
      </w:r>
      <w:r>
        <w:noBreakHyphen/>
        <w:t>прежнему упоминает Комитет по в</w:t>
      </w:r>
      <w:r>
        <w:t>о</w:t>
      </w:r>
      <w:r>
        <w:t>просам женщин и семьи, хотя теоретически назв</w:t>
      </w:r>
      <w:r>
        <w:t>а</w:t>
      </w:r>
      <w:r>
        <w:t>ние в 2001 году было изменено на Комитет по обе</w:t>
      </w:r>
      <w:r>
        <w:t>с</w:t>
      </w:r>
      <w:r>
        <w:t>печению равных возможностей, и является ли это изменение всего лишь изменением названия или свидетельствует об изменении направления работы. Комитет испытывает озабоченность по поводу того, что постоянное увязывание женщин с семьей может укреплять стереотипные взгляды на роль и интер</w:t>
      </w:r>
      <w:r>
        <w:t>е</w:t>
      </w:r>
      <w:r>
        <w:t>сы женщин.</w:t>
      </w:r>
    </w:p>
    <w:p w:rsidR="00000000" w:rsidRDefault="00000000">
      <w:pPr>
        <w:pStyle w:val="DualTxt"/>
      </w:pPr>
      <w:r>
        <w:t>26.</w:t>
      </w:r>
      <w:r>
        <w:tab/>
        <w:t>Задачи нового Комитета, как представляется, ничем не отличаются от его предшественника: ин</w:t>
      </w:r>
      <w:r>
        <w:t>и</w:t>
      </w:r>
      <w:r>
        <w:t>циативы политического и законодательного хара</w:t>
      </w:r>
      <w:r>
        <w:t>к</w:t>
      </w:r>
      <w:r>
        <w:t>тера в поддержку прав женщин, координация пр</w:t>
      </w:r>
      <w:r>
        <w:t>о</w:t>
      </w:r>
      <w:r>
        <w:t>грамм по обеспечению равенства и поддержка н</w:t>
      </w:r>
      <w:r>
        <w:t>е</w:t>
      </w:r>
      <w:r>
        <w:t>правительственных организаций. В то же время, как представляется, в области законодательства и пол</w:t>
      </w:r>
      <w:r>
        <w:t>и</w:t>
      </w:r>
      <w:r>
        <w:t>тики мало что сделано для включения гендерной проблематики в политику правительства. Что кас</w:t>
      </w:r>
      <w:r>
        <w:t>а</w:t>
      </w:r>
      <w:r>
        <w:t>ется координации и поддержки, то она выражает надежду на то, что координация не означает прав</w:t>
      </w:r>
      <w:r>
        <w:t>и</w:t>
      </w:r>
      <w:r>
        <w:t>тельственного контроля. Исключительно важно, чтобы неправительственные организации остав</w:t>
      </w:r>
      <w:r>
        <w:t>а</w:t>
      </w:r>
      <w:r>
        <w:t>лись независимыми от правительства, сотрудничая с ним.</w:t>
      </w:r>
    </w:p>
    <w:p w:rsidR="00000000" w:rsidRDefault="00000000">
      <w:pPr>
        <w:pStyle w:val="DualTxt"/>
      </w:pPr>
      <w:r>
        <w:t>27.</w:t>
      </w:r>
      <w:r>
        <w:tab/>
      </w:r>
      <w:r>
        <w:rPr>
          <w:b/>
        </w:rPr>
        <w:t>Г</w:t>
      </w:r>
      <w:r>
        <w:rPr>
          <w:b/>
        </w:rPr>
        <w:noBreakHyphen/>
        <w:t>жа Сайга</w:t>
      </w:r>
      <w:r>
        <w:t xml:space="preserve"> говорит, что неправительственные организации, безусловно, могут играть активную роль в сокращении разрыва между теоретическими гарантиями прав женщин и соблюдением этих прав на практике, однако также исключительно важно, чтобы правительство разрабатывало программы по повышению осведомленности в гендерных вопр</w:t>
      </w:r>
      <w:r>
        <w:t>о</w:t>
      </w:r>
      <w:r>
        <w:t>сах. Поскольку новый Комитет по обеспечению равных возможностей имеет ту же структуру, что и его предшественник, единственным различием, как представляется, является его новое название. Она спрашивает, какие людские и финансовые ресурсы предоставляются Комитету и в чем заключаются его взаимоотношения с соответствующими министе</w:t>
      </w:r>
      <w:r>
        <w:t>р</w:t>
      </w:r>
      <w:r>
        <w:t>ствами и другими участниками процесса.</w:t>
      </w:r>
    </w:p>
    <w:p w:rsidR="00000000" w:rsidRDefault="00000000">
      <w:pPr>
        <w:pStyle w:val="DualTxt"/>
      </w:pPr>
      <w:r>
        <w:t>28.</w:t>
      </w:r>
      <w:r>
        <w:tab/>
      </w:r>
      <w:r>
        <w:rPr>
          <w:b/>
        </w:rPr>
        <w:t>Г</w:t>
      </w:r>
      <w:r>
        <w:rPr>
          <w:b/>
        </w:rPr>
        <w:noBreakHyphen/>
        <w:t>жа Шин</w:t>
      </w:r>
      <w:r>
        <w:t xml:space="preserve"> спрашивает о ресурсах, имеющи</w:t>
      </w:r>
      <w:r>
        <w:t>х</w:t>
      </w:r>
      <w:r>
        <w:t>ся в распоряжении Комитета по обеспечению ра</w:t>
      </w:r>
      <w:r>
        <w:t>в</w:t>
      </w:r>
      <w:r>
        <w:t>ных возможностей, а также об уровне его автоно</w:t>
      </w:r>
      <w:r>
        <w:t>м</w:t>
      </w:r>
      <w:r>
        <w:t>ности, о его влиянии на другие министерства, о полномочиях и правах. Что произойдет, например, если Комитет будет рекомендовать принятие опр</w:t>
      </w:r>
      <w:r>
        <w:t>е</w:t>
      </w:r>
      <w:r>
        <w:t>деленных мер, но против них будет выступать пр</w:t>
      </w:r>
      <w:r>
        <w:t>е</w:t>
      </w:r>
      <w:r>
        <w:t>мьер-министр?</w:t>
      </w:r>
    </w:p>
    <w:p w:rsidR="00000000" w:rsidRDefault="00000000">
      <w:pPr>
        <w:pStyle w:val="DualTxt"/>
      </w:pPr>
      <w:r>
        <w:t>29.</w:t>
      </w:r>
      <w:r>
        <w:tab/>
      </w:r>
      <w:r>
        <w:rPr>
          <w:b/>
        </w:rPr>
        <w:t>Г</w:t>
      </w:r>
      <w:r>
        <w:rPr>
          <w:b/>
        </w:rPr>
        <w:noBreakHyphen/>
        <w:t>жа Гнакаджа</w:t>
      </w:r>
      <w:r>
        <w:t xml:space="preserve"> спрашивает, какие препятс</w:t>
      </w:r>
      <w:r>
        <w:t>т</w:t>
      </w:r>
      <w:r>
        <w:t>вия, будь то институционального, структурного, з</w:t>
      </w:r>
      <w:r>
        <w:t>а</w:t>
      </w:r>
      <w:r>
        <w:t>конодательного, финансового или иного характера, могут мешать прогрессу в деле обеспечения полн</w:t>
      </w:r>
      <w:r>
        <w:t>о</w:t>
      </w:r>
      <w:r>
        <w:t>го включения гендерной проблематики в основное русло деятельности на политическом, социальном и экономическом уровнях.</w:t>
      </w:r>
    </w:p>
    <w:p w:rsidR="00000000" w:rsidRDefault="00000000">
      <w:pPr>
        <w:pStyle w:val="H4"/>
        <w:tabs>
          <w:tab w:val="right" w:pos="360"/>
          <w:tab w:val="left" w:pos="475"/>
          <w:tab w:val="left" w:pos="965"/>
          <w:tab w:val="left" w:pos="1440"/>
          <w:tab w:val="left" w:pos="1915"/>
          <w:tab w:val="left" w:pos="2405"/>
          <w:tab w:val="left" w:pos="2880"/>
          <w:tab w:val="left" w:pos="3355"/>
        </w:tabs>
        <w:ind w:left="475" w:hanging="475"/>
      </w:pPr>
      <w:r>
        <w:tab/>
        <w:t>Статья 4</w:t>
      </w:r>
    </w:p>
    <w:p w:rsidR="00000000" w:rsidRDefault="00000000">
      <w:pPr>
        <w:pStyle w:val="DualTxt"/>
        <w:spacing w:after="0" w:line="120" w:lineRule="exact"/>
        <w:rPr>
          <w:sz w:val="10"/>
        </w:rPr>
      </w:pPr>
    </w:p>
    <w:p w:rsidR="00000000" w:rsidRDefault="00000000">
      <w:pPr>
        <w:pStyle w:val="DualTxt"/>
      </w:pPr>
      <w:r>
        <w:t>30.</w:t>
      </w:r>
      <w:r>
        <w:tab/>
      </w:r>
      <w:r>
        <w:rPr>
          <w:b/>
        </w:rPr>
        <w:t>Г</w:t>
      </w:r>
      <w:r>
        <w:rPr>
          <w:b/>
        </w:rPr>
        <w:noBreakHyphen/>
        <w:t>жа Шёпп-Шиллинг</w:t>
      </w:r>
      <w:r>
        <w:t xml:space="preserve"> отмечает, что в докладе Албании обсуждаются усилия Комиссии по обесп</w:t>
      </w:r>
      <w:r>
        <w:t>е</w:t>
      </w:r>
      <w:r>
        <w:t>чению равных возможностей в области распростр</w:t>
      </w:r>
      <w:r>
        <w:t>а</w:t>
      </w:r>
      <w:r>
        <w:t>нения информации о Национальной платформе в интересах женщин. Комитет хотел бы получить б</w:t>
      </w:r>
      <w:r>
        <w:t>о</w:t>
      </w:r>
      <w:r>
        <w:t>лее подробную информацию об уже принятых м</w:t>
      </w:r>
      <w:r>
        <w:t>е</w:t>
      </w:r>
      <w:r>
        <w:t>рах, или о касающихся этой темы мерах, которые запланированы на будущее, или же о любых пр</w:t>
      </w:r>
      <w:r>
        <w:t>е</w:t>
      </w:r>
      <w:r>
        <w:t>пятствиях, мешающих Комиссии в выполнении этих задач. Она также хотела бы знать, содержатся ли в Конституции положения о принятии време</w:t>
      </w:r>
      <w:r>
        <w:t>н</w:t>
      </w:r>
      <w:r>
        <w:t>ных специальных мер и проводились ли какие</w:t>
      </w:r>
      <w:r>
        <w:noBreakHyphen/>
        <w:t>либо обсуждения по этому вопросу среди женщин-юристов и в женских неправительственных орган</w:t>
      </w:r>
      <w:r>
        <w:t>и</w:t>
      </w:r>
      <w:r>
        <w:t>зациях. Статья 4 Конвенции может оказаться на</w:t>
      </w:r>
      <w:r>
        <w:t>и</w:t>
      </w:r>
      <w:r>
        <w:t>более важным из всех средством, в том что касается ускорения пер</w:t>
      </w:r>
      <w:r>
        <w:t>е</w:t>
      </w:r>
      <w:r>
        <w:t>хода к равенству.</w:t>
      </w:r>
    </w:p>
    <w:p w:rsidR="00000000" w:rsidRDefault="00000000">
      <w:pPr>
        <w:pStyle w:val="DualTxt"/>
      </w:pPr>
      <w:r>
        <w:t>31.</w:t>
      </w:r>
      <w:r>
        <w:tab/>
      </w:r>
      <w:r>
        <w:rPr>
          <w:b/>
        </w:rPr>
        <w:t>Г</w:t>
      </w:r>
      <w:r>
        <w:rPr>
          <w:b/>
        </w:rPr>
        <w:noBreakHyphen/>
        <w:t>жа Таварес де Сильва,</w:t>
      </w:r>
      <w:r>
        <w:t xml:space="preserve"> говоря о напра</w:t>
      </w:r>
      <w:r>
        <w:t>в</w:t>
      </w:r>
      <w:r>
        <w:t>ленных на улучшение положения женщин мерах, о которых сообщается в докладе, отмечает, что пол</w:t>
      </w:r>
      <w:r>
        <w:t>и</w:t>
      </w:r>
      <w:r>
        <w:t>тические партии установили 30–процентные квоты для женщин и что достигнуты определенные пол</w:t>
      </w:r>
      <w:r>
        <w:t>о</w:t>
      </w:r>
      <w:r>
        <w:t>жительные результаты, однако спрашивает, объя</w:t>
      </w:r>
      <w:r>
        <w:t>с</w:t>
      </w:r>
      <w:r>
        <w:t>няется ли последующий отказ от таких квот тем фактом, что такие квоты пугали политические па</w:t>
      </w:r>
      <w:r>
        <w:t>р</w:t>
      </w:r>
      <w:r>
        <w:t>тии. Не существует никаких планов в отношении восстановления квот, и она спрашивает, объясняе</w:t>
      </w:r>
      <w:r>
        <w:t>т</w:t>
      </w:r>
      <w:r>
        <w:t>ся ли это такими факторами, как культурные взгл</w:t>
      </w:r>
      <w:r>
        <w:t>я</w:t>
      </w:r>
      <w:r>
        <w:t>ды или общественное мнение. Как представляется, никаких стимулов для изменения сложившегося п</w:t>
      </w:r>
      <w:r>
        <w:t>о</w:t>
      </w:r>
      <w:r>
        <w:t>ложения не существует, и доклад создал впечатл</w:t>
      </w:r>
      <w:r>
        <w:t>е</w:t>
      </w:r>
      <w:r>
        <w:t>ние, что все с этим смирились.</w:t>
      </w:r>
    </w:p>
    <w:p w:rsidR="00000000" w:rsidRDefault="00000000">
      <w:pPr>
        <w:pStyle w:val="DualTxt"/>
      </w:pPr>
      <w:r>
        <w:t>32.</w:t>
      </w:r>
      <w:r>
        <w:tab/>
        <w:t>Как представляется, налицо имеющееся в культуре страны противодействие вовлечению женщин в политическую жизнь, и не просматрив</w:t>
      </w:r>
      <w:r>
        <w:t>а</w:t>
      </w:r>
      <w:r>
        <w:t>ется никакой реальной воли к изменению такого положения в отношении образования, семейной жизни, признания женщин как глав семьи, раздел</w:t>
      </w:r>
      <w:r>
        <w:t>е</w:t>
      </w:r>
      <w:r>
        <w:t>ния обязанностей или бытового насилия. Она с и</w:t>
      </w:r>
      <w:r>
        <w:t>н</w:t>
      </w:r>
      <w:r>
        <w:t>тересом отмечает замечание г</w:t>
      </w:r>
      <w:r>
        <w:noBreakHyphen/>
        <w:t>жи Руси, что в отн</w:t>
      </w:r>
      <w:r>
        <w:t>о</w:t>
      </w:r>
      <w:r>
        <w:t>шениях между государством и женщинами, как представляется, произошел пересмотр ролей, одн</w:t>
      </w:r>
      <w:r>
        <w:t>а</w:t>
      </w:r>
      <w:r>
        <w:t>ко в значительно меньшей степени такое изменение произошло в отношениях между женщинами и мужчинами. Вызывает сожаление тот факт, что не принимается никаких активных шагов, и Комитет хотел бы знать, что правительство планирует сд</w:t>
      </w:r>
      <w:r>
        <w:t>е</w:t>
      </w:r>
      <w:r>
        <w:t>лать для ускорения процесса достижения равенс</w:t>
      </w:r>
      <w:r>
        <w:t>т</w:t>
      </w:r>
      <w:r>
        <w:t>ва.</w:t>
      </w:r>
    </w:p>
    <w:p w:rsidR="00000000" w:rsidRDefault="00000000">
      <w:pPr>
        <w:pStyle w:val="DualTxt"/>
      </w:pPr>
      <w:r>
        <w:t>33.</w:t>
      </w:r>
      <w:r>
        <w:tab/>
      </w:r>
      <w:r>
        <w:rPr>
          <w:b/>
        </w:rPr>
        <w:t>Г</w:t>
      </w:r>
      <w:r>
        <w:rPr>
          <w:b/>
        </w:rPr>
        <w:noBreakHyphen/>
        <w:t>жа Гаспар</w:t>
      </w:r>
      <w:r>
        <w:t xml:space="preserve"> также спрашивает, какие вр</w:t>
      </w:r>
      <w:r>
        <w:t>е</w:t>
      </w:r>
      <w:r>
        <w:t>менные специальные меры приняла Албания. Хотя, как правило, очень сложно бывает добиваться от органов власти принятия квот, существующая в А</w:t>
      </w:r>
      <w:r>
        <w:t>л</w:t>
      </w:r>
      <w:r>
        <w:t>бании смешанная система выборов на основе сп</w:t>
      </w:r>
      <w:r>
        <w:t>и</w:t>
      </w:r>
      <w:r>
        <w:t>сков и большинства голосов может способствовать решению этой задачи, поскольку, как правило, б</w:t>
      </w:r>
      <w:r>
        <w:t>ы</w:t>
      </w:r>
      <w:r>
        <w:t>вает легче включать квоты в списки. Поэтому она спрашивает, вносились ли в этой связи какие</w:t>
      </w:r>
      <w:r>
        <w:noBreakHyphen/>
        <w:t>либо предложения и выдвигали ли неправительственные организации какие</w:t>
      </w:r>
      <w:r>
        <w:noBreakHyphen/>
        <w:t>либо идеи по совершенствов</w:t>
      </w:r>
      <w:r>
        <w:t>а</w:t>
      </w:r>
      <w:r>
        <w:t>нию изб</w:t>
      </w:r>
      <w:r>
        <w:t>и</w:t>
      </w:r>
      <w:r>
        <w:t xml:space="preserve">рательной системы. </w:t>
      </w:r>
    </w:p>
    <w:p w:rsidR="00000000" w:rsidRDefault="00000000">
      <w:pPr>
        <w:pStyle w:val="H4"/>
        <w:tabs>
          <w:tab w:val="right" w:pos="360"/>
          <w:tab w:val="left" w:pos="475"/>
          <w:tab w:val="left" w:pos="965"/>
          <w:tab w:val="left" w:pos="1440"/>
          <w:tab w:val="left" w:pos="1915"/>
          <w:tab w:val="left" w:pos="2405"/>
          <w:tab w:val="left" w:pos="2880"/>
          <w:tab w:val="left" w:pos="3355"/>
        </w:tabs>
        <w:ind w:left="475" w:hanging="475"/>
      </w:pPr>
      <w:r>
        <w:tab/>
        <w:t>Статья 5</w:t>
      </w:r>
    </w:p>
    <w:p w:rsidR="00000000" w:rsidRDefault="00000000">
      <w:pPr>
        <w:pStyle w:val="DualTxt"/>
        <w:spacing w:after="0" w:line="120" w:lineRule="exact"/>
        <w:rPr>
          <w:sz w:val="10"/>
        </w:rPr>
      </w:pPr>
    </w:p>
    <w:p w:rsidR="00000000" w:rsidRDefault="00000000">
      <w:pPr>
        <w:pStyle w:val="DualTxt"/>
      </w:pPr>
      <w:r>
        <w:t>34.</w:t>
      </w:r>
      <w:r>
        <w:tab/>
      </w:r>
      <w:r>
        <w:rPr>
          <w:b/>
        </w:rPr>
        <w:t>Г</w:t>
      </w:r>
      <w:r>
        <w:rPr>
          <w:b/>
        </w:rPr>
        <w:noBreakHyphen/>
        <w:t>жа Феррер-Гомес</w:t>
      </w:r>
      <w:r>
        <w:t xml:space="preserve"> с сожалением отмечает, что женщины в Албании сталкиваются с дискрим</w:t>
      </w:r>
      <w:r>
        <w:t>и</w:t>
      </w:r>
      <w:r>
        <w:t>нацией в размере заработной платы и с проблемой насилия; они считают, что им предначертано стр</w:t>
      </w:r>
      <w:r>
        <w:t>а</w:t>
      </w:r>
      <w:r>
        <w:t>дать от насилия; и не участвуют в культурной жи</w:t>
      </w:r>
      <w:r>
        <w:t>з</w:t>
      </w:r>
      <w:r>
        <w:t>ни. Поэтому она спрашивает, как албанское прав</w:t>
      </w:r>
      <w:r>
        <w:t>и</w:t>
      </w:r>
      <w:r>
        <w:t>тельство и национальный механизм планируют п</w:t>
      </w:r>
      <w:r>
        <w:t>о</w:t>
      </w:r>
      <w:r>
        <w:t>вышать уровень осведомленности населения о пр</w:t>
      </w:r>
      <w:r>
        <w:t>а</w:t>
      </w:r>
      <w:r>
        <w:t>вах женщин.</w:t>
      </w:r>
    </w:p>
    <w:p w:rsidR="00000000" w:rsidRDefault="00000000">
      <w:pPr>
        <w:pStyle w:val="DualTxt"/>
      </w:pPr>
      <w:r>
        <w:t>35.</w:t>
      </w:r>
      <w:r>
        <w:tab/>
      </w:r>
      <w:r>
        <w:rPr>
          <w:b/>
        </w:rPr>
        <w:t>Г</w:t>
      </w:r>
      <w:r>
        <w:rPr>
          <w:b/>
        </w:rPr>
        <w:noBreakHyphen/>
        <w:t>жа Хан</w:t>
      </w:r>
      <w:r>
        <w:t xml:space="preserve"> говорит, что она приветствует тот факт, что Конвенция включена в национальные з</w:t>
      </w:r>
      <w:r>
        <w:t>а</w:t>
      </w:r>
      <w:r>
        <w:t>коны и преобладает над национальными законами, однако спрашивает, являются ли взгляды культу</w:t>
      </w:r>
      <w:r>
        <w:t>р</w:t>
      </w:r>
      <w:r>
        <w:t>ного характера и общая обстановка единственными причинами того, почему произошли столь незнач</w:t>
      </w:r>
      <w:r>
        <w:t>и</w:t>
      </w:r>
      <w:r>
        <w:t>тельные изменения в гендерных стереотипах. Сл</w:t>
      </w:r>
      <w:r>
        <w:t>е</w:t>
      </w:r>
      <w:r>
        <w:t>дует, например, отметить, что в представленных статистических данных, как правило, в качестве глав семей фигурируют мужчины. Кроме того, с</w:t>
      </w:r>
      <w:r>
        <w:t>у</w:t>
      </w:r>
      <w:r>
        <w:t>щественное влияние в этом отношении оказывают законы о местожительства и о фамилиях, а также законы о земле и наследовании. Хотя законы о зе</w:t>
      </w:r>
      <w:r>
        <w:t>м</w:t>
      </w:r>
      <w:r>
        <w:t>ле были охарактеризованы как равноправные, фа</w:t>
      </w:r>
      <w:r>
        <w:t>к</w:t>
      </w:r>
      <w:r>
        <w:t>тически земля всегда регистрируется на имя му</w:t>
      </w:r>
      <w:r>
        <w:t>ж</w:t>
      </w:r>
      <w:r>
        <w:t>чины. Даже частные компании должны быть зар</w:t>
      </w:r>
      <w:r>
        <w:t>е</w:t>
      </w:r>
      <w:r>
        <w:t>гистрированы на имя мужчины. Таким образом с</w:t>
      </w:r>
      <w:r>
        <w:t>у</w:t>
      </w:r>
      <w:r>
        <w:t>ществует много других элементов помимо всего лишь взглядов в обществе, которые продолжают с</w:t>
      </w:r>
      <w:r>
        <w:t>о</w:t>
      </w:r>
      <w:r>
        <w:t>хранять существующее положение, как, например, возрождение традиционных норм. Г</w:t>
      </w:r>
      <w:r>
        <w:noBreakHyphen/>
        <w:t>жа Хан спр</w:t>
      </w:r>
      <w:r>
        <w:t>а</w:t>
      </w:r>
      <w:r>
        <w:t>шивает, осведомлены ли албанские женщины о с</w:t>
      </w:r>
      <w:r>
        <w:t>у</w:t>
      </w:r>
      <w:r>
        <w:t>ществовании Конвенции и, что касается изменений в школьных программах, указывает, что студентов необходимо просвещать о роли матерей. В статье 5 Конвенции совершенно четко указывается, что функция родителя представляет собой совместную ответственность матери и отца. В этой связи нео</w:t>
      </w:r>
      <w:r>
        <w:t>б</w:t>
      </w:r>
      <w:r>
        <w:t>ходимо организовать обучение по вопросам семе</w:t>
      </w:r>
      <w:r>
        <w:t>й</w:t>
      </w:r>
      <w:r>
        <w:t>ной жизни и осуществлять широкую программу публичного образования. В заключение она просит представить дополнительную информацию о доле женщин, занятых в средствах массовой информ</w:t>
      </w:r>
      <w:r>
        <w:t>а</w:t>
      </w:r>
      <w:r>
        <w:t>ции — в частности на телевидении, — и о женщ</w:t>
      </w:r>
      <w:r>
        <w:t>и</w:t>
      </w:r>
      <w:r>
        <w:t>нах, работающих на уровне формирования полит</w:t>
      </w:r>
      <w:r>
        <w:t>и</w:t>
      </w:r>
      <w:r>
        <w:t>ки.</w:t>
      </w:r>
    </w:p>
    <w:p w:rsidR="00000000" w:rsidRDefault="00000000">
      <w:pPr>
        <w:pStyle w:val="DualTxt"/>
      </w:pPr>
      <w:r>
        <w:t>36.</w:t>
      </w:r>
      <w:r>
        <w:tab/>
      </w:r>
      <w:r>
        <w:rPr>
          <w:b/>
        </w:rPr>
        <w:t>Г</w:t>
      </w:r>
      <w:r>
        <w:rPr>
          <w:b/>
        </w:rPr>
        <w:noBreakHyphen/>
        <w:t>жа Капалата</w:t>
      </w:r>
      <w:r>
        <w:t xml:space="preserve"> говорит, что она с глубоким огорчением отмечает сохранение насилия в отн</w:t>
      </w:r>
      <w:r>
        <w:t>о</w:t>
      </w:r>
      <w:r>
        <w:t>шении женщин в албанском обществе, что в первую очередь объясняется экономическим положением страны. Мнение женщин не учитывается в полит</w:t>
      </w:r>
      <w:r>
        <w:t>и</w:t>
      </w:r>
      <w:r>
        <w:t>ческих или экономических вопросах и, как пре</w:t>
      </w:r>
      <w:r>
        <w:t>д</w:t>
      </w:r>
      <w:r>
        <w:t>ставляется, налицо все основные элементы дискр</w:t>
      </w:r>
      <w:r>
        <w:t>и</w:t>
      </w:r>
      <w:r>
        <w:t>минационного законодательства. Как видится, пр</w:t>
      </w:r>
      <w:r>
        <w:t>а</w:t>
      </w:r>
      <w:r>
        <w:t>вительство занимает пассивную позицию в том, что касается задачи прекращения практики насилия в отношении женщин. Например, наказание за ди</w:t>
      </w:r>
      <w:r>
        <w:t>с</w:t>
      </w:r>
      <w:r>
        <w:t>криминационные действия предусматривает штраф в размере 50 минимальных зарплат и это попросту нереально. Представляется, что проблема насилия в отношении женщин воспринимается как должное и что сами женщины также с ней мирятся.</w:t>
      </w:r>
    </w:p>
    <w:p w:rsidR="00000000" w:rsidRDefault="00000000">
      <w:pPr>
        <w:pStyle w:val="DualTxt"/>
      </w:pPr>
      <w:r>
        <w:t>37.</w:t>
      </w:r>
      <w:r>
        <w:tab/>
        <w:t>Налицо даже факты, свидетельствующие об ухудшении положения албанских женщин. Прав</w:t>
      </w:r>
      <w:r>
        <w:t>и</w:t>
      </w:r>
      <w:r>
        <w:t>тельство должно в самом неотложном порядке ра</w:t>
      </w:r>
      <w:r>
        <w:t>з</w:t>
      </w:r>
      <w:r>
        <w:t>работать и воплотить в жизнь стратегию по сниж</w:t>
      </w:r>
      <w:r>
        <w:t>е</w:t>
      </w:r>
      <w:r>
        <w:t>нию уровня нищеты среди женщин, и весьма хот</w:t>
      </w:r>
      <w:r>
        <w:t>е</w:t>
      </w:r>
      <w:r>
        <w:t>лось бы получить дополнительную информацию о программах правительства в этой области. В закл</w:t>
      </w:r>
      <w:r>
        <w:t>ю</w:t>
      </w:r>
      <w:r>
        <w:t>чение она говорит, что, если албанским женщинам не будут предоставлены возможности для защиты собственных прав, им будет очень трудно в коро</w:t>
      </w:r>
      <w:r>
        <w:t>т</w:t>
      </w:r>
      <w:r>
        <w:t>кое время освободиться от своих оков. Совершенно неприемлемо, что в стране допускается насилие. Необходимо информировать женщин, вовлекать средства массовой информации, организовать об</w:t>
      </w:r>
      <w:r>
        <w:t>у</w:t>
      </w:r>
      <w:r>
        <w:t>чение по вопросам семейной жизни, а также пр</w:t>
      </w:r>
      <w:r>
        <w:t>и</w:t>
      </w:r>
      <w:r>
        <w:t>нимать меры по распространению Конве</w:t>
      </w:r>
      <w:r>
        <w:t>н</w:t>
      </w:r>
      <w:r>
        <w:t>ции.</w:t>
      </w:r>
    </w:p>
    <w:p w:rsidR="00000000" w:rsidRDefault="00000000">
      <w:pPr>
        <w:pStyle w:val="DualTxt"/>
      </w:pPr>
      <w:r>
        <w:t>38.</w:t>
      </w:r>
      <w:r>
        <w:tab/>
      </w:r>
      <w:r>
        <w:rPr>
          <w:b/>
        </w:rPr>
        <w:t>Г</w:t>
      </w:r>
      <w:r>
        <w:rPr>
          <w:b/>
        </w:rPr>
        <w:noBreakHyphen/>
        <w:t>жа Шин</w:t>
      </w:r>
      <w:r>
        <w:t>, отмечая, что гендерные стереот</w:t>
      </w:r>
      <w:r>
        <w:t>и</w:t>
      </w:r>
      <w:r>
        <w:t>пы являются одним из источников серьезного нер</w:t>
      </w:r>
      <w:r>
        <w:t>а</w:t>
      </w:r>
      <w:r>
        <w:t>венства в Албании, спрашивает, какие были прин</w:t>
      </w:r>
      <w:r>
        <w:t>я</w:t>
      </w:r>
      <w:r>
        <w:t>ты конкретные шаги по их ликвидации. Такие меры должны быть ориентированы на три категории н</w:t>
      </w:r>
      <w:r>
        <w:t>а</w:t>
      </w:r>
      <w:r>
        <w:t>селения: молодежь, детей и учащихся; средства массовой информации; и взрослых, включая учит</w:t>
      </w:r>
      <w:r>
        <w:t>е</w:t>
      </w:r>
      <w:r>
        <w:t>лей. Просвещение работников средств массовой информации в этой связи имеет особое значение. Кроме того, серьезной проблемой является насилие в отношении женщин. В докладе Албании прив</w:t>
      </w:r>
      <w:r>
        <w:t>о</w:t>
      </w:r>
      <w:r>
        <w:t>дятся данные о количестве женщин, осужденных за убийство своих мужей, однако ничего не говорится о числе мужчин, осужденных за убийство жен. З</w:t>
      </w:r>
      <w:r>
        <w:t>а</w:t>
      </w:r>
      <w:r>
        <w:t>дача правительства заключается в том, чтобы иск</w:t>
      </w:r>
      <w:r>
        <w:t>о</w:t>
      </w:r>
      <w:r>
        <w:t>ренить насилие в отношении женщин. Оно не м</w:t>
      </w:r>
      <w:r>
        <w:t>о</w:t>
      </w:r>
      <w:r>
        <w:t>жет рассчитывать, что эту работу за него проделают неправительственные организации. Албания дол</w:t>
      </w:r>
      <w:r>
        <w:t>ж</w:t>
      </w:r>
      <w:r>
        <w:t>на изучить общую рекомендацию 19 Комитета о н</w:t>
      </w:r>
      <w:r>
        <w:t>а</w:t>
      </w:r>
      <w:r>
        <w:t>силии в отношении женщин, поскольку в ней ук</w:t>
      </w:r>
      <w:r>
        <w:t>а</w:t>
      </w:r>
      <w:r>
        <w:t>зано, что должно быть сделано по линии подгото</w:t>
      </w:r>
      <w:r>
        <w:t>в</w:t>
      </w:r>
      <w:r>
        <w:t>ки сотрудников полиции и по подобным вопросам. Следует надеяться, что Албания в кратчайшие ср</w:t>
      </w:r>
      <w:r>
        <w:t>о</w:t>
      </w:r>
      <w:r>
        <w:t>ки предпримет в этом направлении конкретные ш</w:t>
      </w:r>
      <w:r>
        <w:t>а</w:t>
      </w:r>
      <w:r>
        <w:t>ги.</w:t>
      </w:r>
    </w:p>
    <w:p w:rsidR="00000000" w:rsidRDefault="00000000">
      <w:pPr>
        <w:pStyle w:val="DualTxt"/>
      </w:pPr>
      <w:r>
        <w:t>39.</w:t>
      </w:r>
      <w:r>
        <w:tab/>
      </w:r>
      <w:r>
        <w:rPr>
          <w:b/>
        </w:rPr>
        <w:t>Председатель</w:t>
      </w:r>
      <w:r>
        <w:t xml:space="preserve"> отмечает, что влияние укор</w:t>
      </w:r>
      <w:r>
        <w:t>е</w:t>
      </w:r>
      <w:r>
        <w:t>нившихся патриархальных ценностей и традицио</w:t>
      </w:r>
      <w:r>
        <w:t>н</w:t>
      </w:r>
      <w:r>
        <w:t>ных норм порой может быть весьма значительным. Хотя Комитет часто говорит о необходимости пр</w:t>
      </w:r>
      <w:r>
        <w:t>о</w:t>
      </w:r>
      <w:r>
        <w:t>ведения странами реформы норм обычного права и приведения их в соответствие с официальными з</w:t>
      </w:r>
      <w:r>
        <w:t>а</w:t>
      </w:r>
      <w:r>
        <w:t>конами, положение Албании, характеризующееся возрождением таких норм, является в определенной степени иным. Тем не менее Албания должна тщ</w:t>
      </w:r>
      <w:r>
        <w:t>а</w:t>
      </w:r>
      <w:r>
        <w:t>тельно проанализировать явление возрождения дискриминационных культурных кодексов. Гра</w:t>
      </w:r>
      <w:r>
        <w:t>ж</w:t>
      </w:r>
      <w:r>
        <w:t>данское общество должно в самом зародыше прес</w:t>
      </w:r>
      <w:r>
        <w:t>е</w:t>
      </w:r>
      <w:r>
        <w:t>кать такую реакционную тенденцию. Она хотела бы получить информацию о мерах, запланированных для борьбы с возрождением «Кануна» и узнать, проводит ли правительство какую</w:t>
      </w:r>
      <w:r>
        <w:noBreakHyphen/>
        <w:t>либо информ</w:t>
      </w:r>
      <w:r>
        <w:t>а</w:t>
      </w:r>
      <w:r>
        <w:t>ционно-пропагандистскую деятельность в этой о</w:t>
      </w:r>
      <w:r>
        <w:t>б</w:t>
      </w:r>
      <w:r>
        <w:t>ласти. Правительство должно принять соответс</w:t>
      </w:r>
      <w:r>
        <w:t>т</w:t>
      </w:r>
      <w:r>
        <w:t>вующие меры безотлагательно, с тем чтобы искор</w:t>
      </w:r>
      <w:r>
        <w:t>е</w:t>
      </w:r>
      <w:r>
        <w:t>нить дискриминационные традиции, которые могут перерасти в весьма сильный источник дискримин</w:t>
      </w:r>
      <w:r>
        <w:t>а</w:t>
      </w:r>
      <w:r>
        <w:t>ции в отношении же</w:t>
      </w:r>
      <w:r>
        <w:t>н</w:t>
      </w:r>
      <w:r>
        <w:t>щин.</w:t>
      </w:r>
    </w:p>
    <w:p w:rsidR="00000000" w:rsidRDefault="00000000">
      <w:pPr>
        <w:pStyle w:val="H4"/>
        <w:tabs>
          <w:tab w:val="left" w:pos="475"/>
          <w:tab w:val="left" w:pos="965"/>
          <w:tab w:val="left" w:pos="1440"/>
          <w:tab w:val="left" w:pos="1915"/>
          <w:tab w:val="left" w:pos="2405"/>
          <w:tab w:val="left" w:pos="2880"/>
          <w:tab w:val="left" w:pos="3355"/>
        </w:tabs>
        <w:ind w:left="475" w:hanging="475"/>
      </w:pPr>
      <w:r>
        <w:tab/>
        <w:t>Статья 6</w:t>
      </w:r>
    </w:p>
    <w:p w:rsidR="00000000" w:rsidRDefault="00000000">
      <w:pPr>
        <w:pStyle w:val="DualTxt"/>
        <w:spacing w:after="0" w:line="120" w:lineRule="exact"/>
        <w:rPr>
          <w:sz w:val="10"/>
        </w:rPr>
      </w:pPr>
    </w:p>
    <w:p w:rsidR="00000000" w:rsidRDefault="00000000">
      <w:pPr>
        <w:pStyle w:val="DualTxt"/>
      </w:pPr>
      <w:r>
        <w:t>40.</w:t>
      </w:r>
      <w:r>
        <w:tab/>
      </w:r>
      <w:r>
        <w:rPr>
          <w:b/>
        </w:rPr>
        <w:t>Г</w:t>
      </w:r>
      <w:r>
        <w:rPr>
          <w:b/>
        </w:rPr>
        <w:noBreakHyphen/>
        <w:t>жа Попеску</w:t>
      </w:r>
      <w:r>
        <w:t xml:space="preserve"> говорит, что она высоко оцен</w:t>
      </w:r>
      <w:r>
        <w:t>и</w:t>
      </w:r>
      <w:r>
        <w:t>вает откровенное признание роста гендерного нер</w:t>
      </w:r>
      <w:r>
        <w:t>а</w:t>
      </w:r>
      <w:r>
        <w:t>венства по сравнению с началом переходного пр</w:t>
      </w:r>
      <w:r>
        <w:t>о</w:t>
      </w:r>
      <w:r>
        <w:t>цесса. То же самое происходило и в ее стране в с</w:t>
      </w:r>
      <w:r>
        <w:t>и</w:t>
      </w:r>
      <w:r>
        <w:t>лу высоких социальных и экономических издержек переходного периода, что привело, по крайней мере вначале, к ухудшению условий жизни и возрожд</w:t>
      </w:r>
      <w:r>
        <w:t>е</w:t>
      </w:r>
      <w:r>
        <w:t>нию таких негативных социальных явлений, как проституция и торговля женщинами. В докладе не содержится данных о масштабах явления простит</w:t>
      </w:r>
      <w:r>
        <w:t>у</w:t>
      </w:r>
      <w:r>
        <w:t>ции, и хотя упоминается возможность уголовного преследования проституток, ничего не говорится о каких-либо наказаниях, предусмотренных для сут</w:t>
      </w:r>
      <w:r>
        <w:t>е</w:t>
      </w:r>
      <w:r>
        <w:t>неров. Также одной из растущих проблем является торговля женщинами, однако и в этом случае да</w:t>
      </w:r>
      <w:r>
        <w:t>н</w:t>
      </w:r>
      <w:r>
        <w:t>ных не приводится. Она просит представить допо</w:t>
      </w:r>
      <w:r>
        <w:t>л</w:t>
      </w:r>
      <w:r>
        <w:t>нительную информацию о принимаемых прав</w:t>
      </w:r>
      <w:r>
        <w:t>и</w:t>
      </w:r>
      <w:r>
        <w:t>тельством мерах по обеспечению возможностей для реабилитации и социальной реинтеграции для жертв торговли людьми, которые были репатриир</w:t>
      </w:r>
      <w:r>
        <w:t>о</w:t>
      </w:r>
      <w:r>
        <w:t>ваны.</w:t>
      </w:r>
    </w:p>
    <w:p w:rsidR="00000000" w:rsidRDefault="00000000">
      <w:pPr>
        <w:pStyle w:val="DualTxt"/>
      </w:pPr>
      <w:r>
        <w:t>41.</w:t>
      </w:r>
      <w:r>
        <w:tab/>
      </w:r>
      <w:r>
        <w:rPr>
          <w:b/>
        </w:rPr>
        <w:t>Г</w:t>
      </w:r>
      <w:r>
        <w:rPr>
          <w:b/>
        </w:rPr>
        <w:noBreakHyphen/>
        <w:t>жа Куеньехиа</w:t>
      </w:r>
      <w:r>
        <w:t xml:space="preserve"> говорит, что проституция з</w:t>
      </w:r>
      <w:r>
        <w:t>а</w:t>
      </w:r>
      <w:r>
        <w:t>частую, к сожалению, сопровождается инфицир</w:t>
      </w:r>
      <w:r>
        <w:t>о</w:t>
      </w:r>
      <w:r>
        <w:t>ванием ВИЧ/СПИДом и наркоманией, и просит представить дополнительную информацию о ра</w:t>
      </w:r>
      <w:r>
        <w:t>с</w:t>
      </w:r>
      <w:r>
        <w:t>пространенности ВИЧ/СПИДа среди пр</w:t>
      </w:r>
      <w:r>
        <w:t>о</w:t>
      </w:r>
      <w:r>
        <w:t>ституток.</w:t>
      </w:r>
    </w:p>
    <w:p w:rsidR="00000000" w:rsidRDefault="00000000">
      <w:pPr>
        <w:pStyle w:val="DualTxt"/>
      </w:pPr>
      <w:r>
        <w:t>42.</w:t>
      </w:r>
      <w:r>
        <w:tab/>
      </w:r>
      <w:r>
        <w:rPr>
          <w:b/>
        </w:rPr>
        <w:t>Г</w:t>
      </w:r>
      <w:r>
        <w:rPr>
          <w:b/>
        </w:rPr>
        <w:noBreakHyphen/>
        <w:t>жа Гаспар</w:t>
      </w:r>
      <w:r>
        <w:t xml:space="preserve"> спрашивает, преследуются ли по закону по возвращении в Албанию за занятие пр</w:t>
      </w:r>
      <w:r>
        <w:t>о</w:t>
      </w:r>
      <w:r>
        <w:t>ституцией в других странах албанские девушки, н</w:t>
      </w:r>
      <w:r>
        <w:t>е</w:t>
      </w:r>
      <w:r>
        <w:t>которые весьма юные, которые были выдворены из других стран, где они были уличены в занятии пр</w:t>
      </w:r>
      <w:r>
        <w:t>о</w:t>
      </w:r>
      <w:r>
        <w:t>ституцией. Также следовало бы разъяснить стат</w:t>
      </w:r>
      <w:r>
        <w:t>и</w:t>
      </w:r>
      <w:r>
        <w:t>стические данные о расследуемых Интерполом д</w:t>
      </w:r>
      <w:r>
        <w:t>е</w:t>
      </w:r>
      <w:r>
        <w:t>лах, св</w:t>
      </w:r>
      <w:r>
        <w:t>я</w:t>
      </w:r>
      <w:r>
        <w:t>занных с торговлей женщинами.</w:t>
      </w:r>
    </w:p>
    <w:p w:rsidR="00000000" w:rsidRDefault="00000000">
      <w:pPr>
        <w:pStyle w:val="DualTxt"/>
      </w:pPr>
      <w:r>
        <w:t>43.</w:t>
      </w:r>
      <w:r>
        <w:tab/>
      </w:r>
      <w:r>
        <w:rPr>
          <w:b/>
        </w:rPr>
        <w:t>Г</w:t>
      </w:r>
      <w:r>
        <w:rPr>
          <w:b/>
        </w:rPr>
        <w:noBreakHyphen/>
        <w:t>жа Габр</w:t>
      </w:r>
      <w:r>
        <w:t xml:space="preserve"> говорит, что существующее пол</w:t>
      </w:r>
      <w:r>
        <w:t>о</w:t>
      </w:r>
      <w:r>
        <w:t>жение является весьма серьезным, поскольку и проституция, и торговля женщинами имеют связь с транснациональной организованной преступн</w:t>
      </w:r>
      <w:r>
        <w:t>о</w:t>
      </w:r>
      <w:r>
        <w:t>стью. Свою роль должны играть в проводимой де</w:t>
      </w:r>
      <w:r>
        <w:t>я</w:t>
      </w:r>
      <w:r>
        <w:t>тельности неправительственные организации и н</w:t>
      </w:r>
      <w:r>
        <w:t>а</w:t>
      </w:r>
      <w:r>
        <w:t>циональный механизм в защиту женщин, однако все же в первую очередь именно на правительство во</w:t>
      </w:r>
      <w:r>
        <w:t>з</w:t>
      </w:r>
      <w:r>
        <w:t>ложена непосредственная ответственность за защ</w:t>
      </w:r>
      <w:r>
        <w:t>и</w:t>
      </w:r>
      <w:r>
        <w:t>ту его народа от такого бедствия. Она хотела бы п</w:t>
      </w:r>
      <w:r>
        <w:t>о</w:t>
      </w:r>
      <w:r>
        <w:t>лучить дополнительную информацию о Национал</w:t>
      </w:r>
      <w:r>
        <w:t>ь</w:t>
      </w:r>
      <w:r>
        <w:t>ном плане действий, упомянутом в до</w:t>
      </w:r>
      <w:r>
        <w:t>к</w:t>
      </w:r>
      <w:r>
        <w:t>ладе.</w:t>
      </w:r>
    </w:p>
    <w:p w:rsidR="00000000" w:rsidRDefault="00000000">
      <w:pPr>
        <w:pStyle w:val="DualTxt"/>
        <w:spacing w:after="0" w:line="120" w:lineRule="exact"/>
        <w:rPr>
          <w:sz w:val="10"/>
        </w:rPr>
      </w:pPr>
    </w:p>
    <w:p w:rsidR="00000000" w:rsidRDefault="00000000">
      <w:pPr>
        <w:pStyle w:val="H4"/>
        <w:tabs>
          <w:tab w:val="right" w:pos="360"/>
          <w:tab w:val="left" w:pos="475"/>
          <w:tab w:val="left" w:pos="965"/>
          <w:tab w:val="left" w:pos="1440"/>
          <w:tab w:val="left" w:pos="1915"/>
          <w:tab w:val="left" w:pos="2405"/>
          <w:tab w:val="left" w:pos="2880"/>
          <w:tab w:val="left" w:pos="3355"/>
        </w:tabs>
        <w:ind w:left="475" w:hanging="475"/>
      </w:pPr>
      <w:r>
        <w:tab/>
        <w:t>Статья 7</w:t>
      </w:r>
    </w:p>
    <w:p w:rsidR="00000000" w:rsidRDefault="00000000">
      <w:pPr>
        <w:pStyle w:val="DualTxt"/>
        <w:spacing w:after="0" w:line="120" w:lineRule="exact"/>
        <w:rPr>
          <w:sz w:val="10"/>
        </w:rPr>
      </w:pPr>
    </w:p>
    <w:p w:rsidR="00000000" w:rsidRDefault="00000000">
      <w:pPr>
        <w:pStyle w:val="DualTxt"/>
      </w:pPr>
      <w:r>
        <w:t>44.</w:t>
      </w:r>
      <w:r>
        <w:tab/>
      </w:r>
      <w:r>
        <w:rPr>
          <w:b/>
        </w:rPr>
        <w:t>Г</w:t>
      </w:r>
      <w:r>
        <w:rPr>
          <w:b/>
        </w:rPr>
        <w:noBreakHyphen/>
        <w:t>жа Шимонович</w:t>
      </w:r>
      <w:r>
        <w:t xml:space="preserve"> говорит, что в ее стране также в течение переходного периода имело место сокращение участия женщин в политической жизни и что одним из средств для изменения существу</w:t>
      </w:r>
      <w:r>
        <w:t>ю</w:t>
      </w:r>
      <w:r>
        <w:t>щего положения стало введение квот для кандид</w:t>
      </w:r>
      <w:r>
        <w:t>а</w:t>
      </w:r>
      <w:r>
        <w:t>тов-женщин в партийных списках. Хотелось бы п</w:t>
      </w:r>
      <w:r>
        <w:t>о</w:t>
      </w:r>
      <w:r>
        <w:t>лучить дополнительную информацию о конкретных мерах, которые планируется принять для расшир</w:t>
      </w:r>
      <w:r>
        <w:t>е</w:t>
      </w:r>
      <w:r>
        <w:t>ния участия женщин в директивной и политической деятельности. Приводимые в докладе причины ни</w:t>
      </w:r>
      <w:r>
        <w:t>з</w:t>
      </w:r>
      <w:r>
        <w:t>кого участия женщин — восприятие ими политики как чрезмерно сложного дела и их неспособности к принятию решений, отражают классические стере</w:t>
      </w:r>
      <w:r>
        <w:t>о</w:t>
      </w:r>
      <w:r>
        <w:t>типы и должны быть подвергнуты дополнительн</w:t>
      </w:r>
      <w:r>
        <w:t>о</w:t>
      </w:r>
      <w:r>
        <w:t>му ра</w:t>
      </w:r>
      <w:r>
        <w:t>с</w:t>
      </w:r>
      <w:r>
        <w:t>смотрению.</w:t>
      </w:r>
    </w:p>
    <w:p w:rsidR="00000000" w:rsidRDefault="00000000">
      <w:pPr>
        <w:pStyle w:val="DualTxt"/>
      </w:pPr>
      <w:r>
        <w:t>45.</w:t>
      </w:r>
      <w:r>
        <w:tab/>
      </w:r>
      <w:r>
        <w:rPr>
          <w:b/>
        </w:rPr>
        <w:t>Г</w:t>
      </w:r>
      <w:r>
        <w:rPr>
          <w:b/>
        </w:rPr>
        <w:noBreakHyphen/>
        <w:t>жа Ахмад</w:t>
      </w:r>
      <w:r>
        <w:t xml:space="preserve"> спрашивает, в какой степени и</w:t>
      </w:r>
      <w:r>
        <w:t>з</w:t>
      </w:r>
      <w:r>
        <w:t>бирательный кодекс регулируется законом о выб</w:t>
      </w:r>
      <w:r>
        <w:t>о</w:t>
      </w:r>
      <w:r>
        <w:t>рах и, если квоты не разрешены законом, какие другие меры имеются в распоряжении правительс</w:t>
      </w:r>
      <w:r>
        <w:t>т</w:t>
      </w:r>
      <w:r>
        <w:t>ва для активизации участия женщин. Она также х</w:t>
      </w:r>
      <w:r>
        <w:t>о</w:t>
      </w:r>
      <w:r>
        <w:t>тела бы знать, поощряет ли правительство создание женских организ</w:t>
      </w:r>
      <w:r>
        <w:t>а</w:t>
      </w:r>
      <w:r>
        <w:t>ций.</w:t>
      </w:r>
    </w:p>
    <w:p w:rsidR="00000000" w:rsidRDefault="00000000">
      <w:pPr>
        <w:pStyle w:val="DualTxt"/>
      </w:pPr>
      <w:r>
        <w:t>46.</w:t>
      </w:r>
      <w:r>
        <w:tab/>
      </w:r>
      <w:r>
        <w:rPr>
          <w:b/>
        </w:rPr>
        <w:t>Г</w:t>
      </w:r>
      <w:r>
        <w:rPr>
          <w:b/>
        </w:rPr>
        <w:noBreakHyphen/>
        <w:t xml:space="preserve">жа Хан </w:t>
      </w:r>
      <w:r>
        <w:t>говорит, что в интересах расшир</w:t>
      </w:r>
      <w:r>
        <w:t>е</w:t>
      </w:r>
      <w:r>
        <w:t>ния участия женщин в политической жизни никакой альтернативы квотам не существует. При комм</w:t>
      </w:r>
      <w:r>
        <w:t>у</w:t>
      </w:r>
      <w:r>
        <w:t>низме женщины в полной мере участвовали в пол</w:t>
      </w:r>
      <w:r>
        <w:t>и</w:t>
      </w:r>
      <w:r>
        <w:t>тической жизни, поэтому ей представляется, что оценка женщинами своих возможностей проблемой не являе</w:t>
      </w:r>
      <w:r>
        <w:t>т</w:t>
      </w:r>
      <w:r>
        <w:t>ся.</w:t>
      </w:r>
    </w:p>
    <w:p w:rsidR="00000000" w:rsidRDefault="00000000">
      <w:pPr>
        <w:pStyle w:val="DualTxt"/>
      </w:pPr>
      <w:r>
        <w:t>47.</w:t>
      </w:r>
      <w:r>
        <w:tab/>
      </w:r>
      <w:r>
        <w:rPr>
          <w:b/>
        </w:rPr>
        <w:t>Г</w:t>
      </w:r>
      <w:r>
        <w:rPr>
          <w:b/>
        </w:rPr>
        <w:noBreakHyphen/>
        <w:t>жа Попеску</w:t>
      </w:r>
      <w:r>
        <w:t xml:space="preserve"> говорит, что одна из основных причин низкого участия женщин является нищета и вызванное этим двойное бремя производственных и семейных обязанностей. Она спрашивает, какие прилагаются усилия, с тем чтобы побуждать му</w:t>
      </w:r>
      <w:r>
        <w:t>ж</w:t>
      </w:r>
      <w:r>
        <w:t>чин принимать на себя часть этого бремени и ок</w:t>
      </w:r>
      <w:r>
        <w:t>а</w:t>
      </w:r>
      <w:r>
        <w:t>зывает ли какое-либо влияние на участие в полит</w:t>
      </w:r>
      <w:r>
        <w:t>и</w:t>
      </w:r>
      <w:r>
        <w:t>ческой жизни принадлежность к той или иной р</w:t>
      </w:r>
      <w:r>
        <w:t>е</w:t>
      </w:r>
      <w:r>
        <w:t>лигии. Хотелось бы получить в следующем докладе статистические данные с разбивкой по мужчинам и женщинам.</w:t>
      </w:r>
    </w:p>
    <w:p w:rsidR="00000000" w:rsidRDefault="00000000">
      <w:pPr>
        <w:pStyle w:val="DualTxt"/>
        <w:spacing w:after="0" w:line="120" w:lineRule="exact"/>
        <w:rPr>
          <w:sz w:val="10"/>
        </w:rPr>
      </w:pPr>
    </w:p>
    <w:p w:rsidR="00000000" w:rsidRDefault="00000000">
      <w:pPr>
        <w:pStyle w:val="H4"/>
        <w:tabs>
          <w:tab w:val="left" w:pos="475"/>
          <w:tab w:val="left" w:pos="965"/>
          <w:tab w:val="left" w:pos="1440"/>
          <w:tab w:val="left" w:pos="1915"/>
          <w:tab w:val="left" w:pos="2405"/>
          <w:tab w:val="left" w:pos="2880"/>
          <w:tab w:val="left" w:pos="3355"/>
        </w:tabs>
        <w:ind w:left="475" w:hanging="475"/>
      </w:pPr>
      <w:r>
        <w:tab/>
        <w:t>Статья 8</w:t>
      </w:r>
    </w:p>
    <w:p w:rsidR="00000000" w:rsidRDefault="00000000">
      <w:pPr>
        <w:pStyle w:val="DualTxt"/>
        <w:spacing w:after="0" w:line="120" w:lineRule="exact"/>
        <w:rPr>
          <w:sz w:val="10"/>
        </w:rPr>
      </w:pPr>
    </w:p>
    <w:p w:rsidR="00000000" w:rsidRDefault="00000000">
      <w:pPr>
        <w:pStyle w:val="DualTxt"/>
      </w:pPr>
      <w:r>
        <w:t>48.</w:t>
      </w:r>
      <w:r>
        <w:tab/>
      </w:r>
      <w:r>
        <w:rPr>
          <w:b/>
        </w:rPr>
        <w:t>Г</w:t>
      </w:r>
      <w:r>
        <w:rPr>
          <w:b/>
        </w:rPr>
        <w:noBreakHyphen/>
        <w:t>жа Шин</w:t>
      </w:r>
      <w:r>
        <w:t xml:space="preserve"> просит сообщить статистические данные о количестве и доле женщин, представля</w:t>
      </w:r>
      <w:r>
        <w:t>ю</w:t>
      </w:r>
      <w:r>
        <w:t>щих Албанию на международной арене, с разби</w:t>
      </w:r>
      <w:r>
        <w:t>в</w:t>
      </w:r>
      <w:r>
        <w:t>кой по рангам, а также дополнительную информ</w:t>
      </w:r>
      <w:r>
        <w:t>а</w:t>
      </w:r>
      <w:r>
        <w:t>цию о системе набора на дипломат</w:t>
      </w:r>
      <w:r>
        <w:t>и</w:t>
      </w:r>
      <w:r>
        <w:t>ческую работу.</w:t>
      </w:r>
    </w:p>
    <w:p w:rsidR="00000000" w:rsidRDefault="00000000">
      <w:pPr>
        <w:pStyle w:val="DualTxt"/>
      </w:pPr>
      <w:r>
        <w:t>49.</w:t>
      </w:r>
      <w:r>
        <w:tab/>
      </w:r>
      <w:r>
        <w:rPr>
          <w:b/>
        </w:rPr>
        <w:t>Г</w:t>
      </w:r>
      <w:r>
        <w:rPr>
          <w:b/>
        </w:rPr>
        <w:noBreakHyphen/>
        <w:t>жа Попеску</w:t>
      </w:r>
      <w:r>
        <w:t xml:space="preserve"> говорит, что она хотела бы знать, какие принимаются меры по поощрению женщин к поступлению на дипломатическую слу</w:t>
      </w:r>
      <w:r>
        <w:t>ж</w:t>
      </w:r>
      <w:r>
        <w:t>бу.</w:t>
      </w:r>
    </w:p>
    <w:p w:rsidR="00000000" w:rsidRDefault="00000000">
      <w:pPr>
        <w:pStyle w:val="H4"/>
        <w:tabs>
          <w:tab w:val="right" w:pos="360"/>
          <w:tab w:val="left" w:pos="475"/>
          <w:tab w:val="left" w:pos="965"/>
          <w:tab w:val="left" w:pos="1440"/>
          <w:tab w:val="left" w:pos="1915"/>
          <w:tab w:val="left" w:pos="2405"/>
          <w:tab w:val="left" w:pos="2880"/>
          <w:tab w:val="left" w:pos="3355"/>
        </w:tabs>
        <w:ind w:left="475" w:hanging="475"/>
      </w:pPr>
      <w:r>
        <w:tab/>
        <w:t>Статья 10</w:t>
      </w:r>
    </w:p>
    <w:p w:rsidR="00000000" w:rsidRDefault="00000000">
      <w:pPr>
        <w:pStyle w:val="DualTxt"/>
        <w:spacing w:after="0" w:line="120" w:lineRule="exact"/>
        <w:rPr>
          <w:sz w:val="10"/>
        </w:rPr>
      </w:pPr>
    </w:p>
    <w:p w:rsidR="00000000" w:rsidRDefault="00000000">
      <w:pPr>
        <w:pStyle w:val="DualTxt"/>
      </w:pPr>
      <w:r>
        <w:t>50.</w:t>
      </w:r>
      <w:r>
        <w:tab/>
      </w:r>
      <w:r>
        <w:rPr>
          <w:b/>
        </w:rPr>
        <w:t>Г</w:t>
      </w:r>
      <w:r>
        <w:rPr>
          <w:b/>
        </w:rPr>
        <w:noBreakHyphen/>
        <w:t>жа Феррер-Гомес</w:t>
      </w:r>
      <w:r>
        <w:t xml:space="preserve"> просит представить о</w:t>
      </w:r>
      <w:r>
        <w:t>б</w:t>
      </w:r>
      <w:r>
        <w:t>новленную информацию о нынешнем положении дел в области образования и о том, удалось ли ли</w:t>
      </w:r>
      <w:r>
        <w:t>к</w:t>
      </w:r>
      <w:r>
        <w:t>видировать явление оттока опытных учителей и увеличения числа учащихся, перестающих пос</w:t>
      </w:r>
      <w:r>
        <w:t>е</w:t>
      </w:r>
      <w:r>
        <w:t>щать школу, о котором говорилось в течение первых лет переходного периода. В свете сокращения бю</w:t>
      </w:r>
      <w:r>
        <w:t>д</w:t>
      </w:r>
      <w:r>
        <w:t>жетов на образование и в условиях приватизации представляющее доклад государство должно ук</w:t>
      </w:r>
      <w:r>
        <w:t>а</w:t>
      </w:r>
      <w:r>
        <w:t>зать, имеются ли какие-либо программы, гарант</w:t>
      </w:r>
      <w:r>
        <w:t>и</w:t>
      </w:r>
      <w:r>
        <w:t>рующие право на образование и способствующие продолжению девочками обучения в школах. Ком</w:t>
      </w:r>
      <w:r>
        <w:t>и</w:t>
      </w:r>
      <w:r>
        <w:t>тету хотелось бы знать, как освещаются гендерные вопросы в рамках подготовки учителей, и разраб</w:t>
      </w:r>
      <w:r>
        <w:t>о</w:t>
      </w:r>
      <w:r>
        <w:t>таны ли какие-либо программы по профилактике наркомании и лечению наркоманов, связанные со школьной системой.</w:t>
      </w:r>
    </w:p>
    <w:p w:rsidR="00000000" w:rsidRDefault="00000000">
      <w:pPr>
        <w:pStyle w:val="DualTxt"/>
      </w:pPr>
      <w:r>
        <w:t>51.</w:t>
      </w:r>
      <w:r>
        <w:tab/>
      </w:r>
      <w:r>
        <w:rPr>
          <w:b/>
        </w:rPr>
        <w:t>Г</w:t>
      </w:r>
      <w:r>
        <w:rPr>
          <w:b/>
        </w:rPr>
        <w:noBreakHyphen/>
        <w:t>жа Шин</w:t>
      </w:r>
      <w:r>
        <w:t xml:space="preserve"> просит разъяснить разницу между обязательными школами и частными школами, и спрашивает, могут ли мусульманские девочки, к</w:t>
      </w:r>
      <w:r>
        <w:t>о</w:t>
      </w:r>
      <w:r>
        <w:t>торым не разрешено посещать религиозные школы для мальчиков, учиться в обяз</w:t>
      </w:r>
      <w:r>
        <w:t>а</w:t>
      </w:r>
      <w:r>
        <w:t>тельных школах.</w:t>
      </w:r>
    </w:p>
    <w:p w:rsidR="00000000" w:rsidRDefault="00000000">
      <w:pPr>
        <w:pStyle w:val="DualTxt"/>
      </w:pPr>
      <w:r>
        <w:t>52.</w:t>
      </w:r>
      <w:r>
        <w:tab/>
      </w:r>
      <w:r>
        <w:rPr>
          <w:b/>
        </w:rPr>
        <w:t>Председатель</w:t>
      </w:r>
      <w:r>
        <w:t>, выступая в ее личном качестве, просит представить статистические данные о пок</w:t>
      </w:r>
      <w:r>
        <w:t>а</w:t>
      </w:r>
      <w:r>
        <w:t>зателях уровня грамотности среди женщин и соо</w:t>
      </w:r>
      <w:r>
        <w:t>б</w:t>
      </w:r>
      <w:r>
        <w:t>щить, повышается или снижается в стране грамо</w:t>
      </w:r>
      <w:r>
        <w:t>т</w:t>
      </w:r>
      <w:r>
        <w:t>ность.</w:t>
      </w:r>
    </w:p>
    <w:p w:rsidR="00000000" w:rsidRDefault="00000000">
      <w:pPr>
        <w:pStyle w:val="H4"/>
        <w:tabs>
          <w:tab w:val="right" w:pos="360"/>
          <w:tab w:val="left" w:pos="475"/>
          <w:tab w:val="left" w:pos="965"/>
          <w:tab w:val="left" w:pos="1440"/>
          <w:tab w:val="left" w:pos="1915"/>
          <w:tab w:val="left" w:pos="2405"/>
          <w:tab w:val="left" w:pos="2880"/>
          <w:tab w:val="left" w:pos="3355"/>
        </w:tabs>
        <w:ind w:left="475" w:hanging="475"/>
      </w:pPr>
      <w:r>
        <w:tab/>
        <w:t>Статья 11</w:t>
      </w:r>
    </w:p>
    <w:p w:rsidR="00000000" w:rsidRDefault="00000000">
      <w:pPr>
        <w:pStyle w:val="DualTxt"/>
        <w:spacing w:after="0" w:line="120" w:lineRule="exact"/>
        <w:rPr>
          <w:sz w:val="10"/>
        </w:rPr>
      </w:pPr>
    </w:p>
    <w:p w:rsidR="00000000" w:rsidRDefault="00000000">
      <w:pPr>
        <w:pStyle w:val="DualTxt"/>
      </w:pPr>
      <w:r>
        <w:t>53.</w:t>
      </w:r>
      <w:r>
        <w:tab/>
      </w:r>
      <w:r>
        <w:rPr>
          <w:b/>
        </w:rPr>
        <w:t>Г</w:t>
      </w:r>
      <w:r>
        <w:rPr>
          <w:b/>
        </w:rPr>
        <w:noBreakHyphen/>
        <w:t>жа Хан</w:t>
      </w:r>
      <w:r>
        <w:t xml:space="preserve"> говорит, что одной из основных о</w:t>
      </w:r>
      <w:r>
        <w:t>б</w:t>
      </w:r>
      <w:r>
        <w:t>ластей озабоченности является сфера трудоустро</w:t>
      </w:r>
      <w:r>
        <w:t>й</w:t>
      </w:r>
      <w:r>
        <w:t>ства, и хотела бы получить дополнительную и</w:t>
      </w:r>
      <w:r>
        <w:t>н</w:t>
      </w:r>
      <w:r>
        <w:t>формацию о причинах того, почему женщины пре</w:t>
      </w:r>
      <w:r>
        <w:t>д</w:t>
      </w:r>
      <w:r>
        <w:t>почитают относительно скромные должности. Как представляется, кодекс о труде чрезмерно защищает женщин. Положения об отпуске в связи с рожден</w:t>
      </w:r>
      <w:r>
        <w:t>и</w:t>
      </w:r>
      <w:r>
        <w:t>ем ребенка являются чрезмерно дорогостоящими для соблюдения в государственном секторе. Если бы они применялись и в частном секторе, высокий уровень связанных с ними расходов скорее всего сдерживал бы работодателей от приема женщин, которые могут забеременеть. Комитет также хотел бы знать, предоставляется ли отпуск в связи с ро</w:t>
      </w:r>
      <w:r>
        <w:t>ж</w:t>
      </w:r>
      <w:r>
        <w:t>дением ребенка лишь матерям. Женщины образуют значительную часть неформального и сельскохозя</w:t>
      </w:r>
      <w:r>
        <w:t>й</w:t>
      </w:r>
      <w:r>
        <w:t>ственного секторов, и представляющее доклад г</w:t>
      </w:r>
      <w:r>
        <w:t>о</w:t>
      </w:r>
      <w:r>
        <w:t>сударство должно указать, считаются ли эти же</w:t>
      </w:r>
      <w:r>
        <w:t>н</w:t>
      </w:r>
      <w:r>
        <w:t>щины работающими на инд</w:t>
      </w:r>
      <w:r>
        <w:t>и</w:t>
      </w:r>
      <w:r>
        <w:t>видуальной основе.</w:t>
      </w:r>
    </w:p>
    <w:p w:rsidR="00000000" w:rsidRDefault="00000000">
      <w:pPr>
        <w:pStyle w:val="DualTxt"/>
      </w:pPr>
      <w:r>
        <w:t>54.</w:t>
      </w:r>
      <w:r>
        <w:tab/>
      </w:r>
      <w:r>
        <w:rPr>
          <w:b/>
        </w:rPr>
        <w:t>Г</w:t>
      </w:r>
      <w:r>
        <w:rPr>
          <w:b/>
        </w:rPr>
        <w:noBreakHyphen/>
        <w:t>жа Шёпп-Шиллинг</w:t>
      </w:r>
      <w:r>
        <w:t xml:space="preserve"> спрашивает, какая доля бюджета предусмотрена для создания рабочих мест для женщин и выделяются ли какие-либо финанс</w:t>
      </w:r>
      <w:r>
        <w:t>о</w:t>
      </w:r>
      <w:r>
        <w:t>вые средства для программ переподготовки. Она также хотела бы знать, кто разрабатывает новую систему оплаты труда и использовало ли прав</w:t>
      </w:r>
      <w:r>
        <w:t>и</w:t>
      </w:r>
      <w:r>
        <w:t>тельство при внедрении системы резул</w:t>
      </w:r>
      <w:r>
        <w:t>ь</w:t>
      </w:r>
      <w:r>
        <w:t>таты каких-либо недавних исследований по вопросам оплаты труда.</w:t>
      </w:r>
    </w:p>
    <w:p w:rsidR="00000000" w:rsidRDefault="00000000">
      <w:pPr>
        <w:pStyle w:val="DualTxt"/>
      </w:pPr>
      <w:r>
        <w:t>55.</w:t>
      </w:r>
      <w:r>
        <w:tab/>
      </w:r>
      <w:r>
        <w:rPr>
          <w:b/>
        </w:rPr>
        <w:t>Г</w:t>
      </w:r>
      <w:r>
        <w:rPr>
          <w:b/>
        </w:rPr>
        <w:noBreakHyphen/>
        <w:t>жа Куеньехиа</w:t>
      </w:r>
      <w:r>
        <w:t xml:space="preserve"> спрашивает, имеются ли к</w:t>
      </w:r>
      <w:r>
        <w:t>а</w:t>
      </w:r>
      <w:r>
        <w:t>кие-либо программы переподготовки для женщин, не владеющих востребованными на рынке труда н</w:t>
      </w:r>
      <w:r>
        <w:t>а</w:t>
      </w:r>
      <w:r>
        <w:t>выками и умениями.</w:t>
      </w:r>
    </w:p>
    <w:p w:rsidR="00000000" w:rsidRDefault="00000000">
      <w:pPr>
        <w:pStyle w:val="DualTxt"/>
      </w:pPr>
      <w:r>
        <w:t>56.</w:t>
      </w:r>
      <w:r>
        <w:tab/>
      </w:r>
      <w:r>
        <w:rPr>
          <w:b/>
        </w:rPr>
        <w:t>Г</w:t>
      </w:r>
      <w:r>
        <w:rPr>
          <w:b/>
        </w:rPr>
        <w:noBreakHyphen/>
        <w:t>жа Таварес да Силва</w:t>
      </w:r>
      <w:r>
        <w:t xml:space="preserve"> говорит, что согласно содержащейся в докладе информации албанские женщины имеют высокую квалификацию, и она н</w:t>
      </w:r>
      <w:r>
        <w:t>а</w:t>
      </w:r>
      <w:r>
        <w:t>деется, что в следующем докладе будет разъяснена подлинная ситуация на рынке труда и будет объя</w:t>
      </w:r>
      <w:r>
        <w:t>с</w:t>
      </w:r>
      <w:r>
        <w:t>нено, почему эта квалификация не находит практ</w:t>
      </w:r>
      <w:r>
        <w:t>и</w:t>
      </w:r>
      <w:r>
        <w:t>ческого применения. Она также надеется, что будут разъяснены противоречивые данные о з</w:t>
      </w:r>
      <w:r>
        <w:t>а</w:t>
      </w:r>
      <w:r>
        <w:t>нятости.</w:t>
      </w:r>
    </w:p>
    <w:p w:rsidR="00000000" w:rsidRDefault="00000000">
      <w:pPr>
        <w:pStyle w:val="DualTxt"/>
        <w:spacing w:after="0" w:line="120" w:lineRule="exact"/>
        <w:rPr>
          <w:sz w:val="10"/>
        </w:rPr>
      </w:pPr>
    </w:p>
    <w:p w:rsidR="00000000" w:rsidRDefault="00000000">
      <w:pPr>
        <w:pStyle w:val="H4"/>
        <w:tabs>
          <w:tab w:val="clear" w:pos="360"/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  <w:t>Заседание закрывается в 13 ч. 00 м.</w:t>
      </w:r>
    </w:p>
    <w:p w:rsidR="00000000" w:rsidRDefault="00000000">
      <w:pPr>
        <w:pStyle w:val="DualTxt"/>
      </w:pPr>
    </w:p>
    <w:sectPr w:rsidR="00000000">
      <w:endnotePr>
        <w:numFmt w:val="decimal"/>
      </w:endnotePr>
      <w:type w:val="continuous"/>
      <w:pgSz w:w="12240" w:h="15840" w:code="1"/>
      <w:pgMar w:top="1742" w:right="1195" w:bottom="1898" w:left="1195" w:header="576" w:footer="1030" w:gutter="0"/>
      <w:cols w:num="2" w:space="240"/>
      <w:noEndnote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comment w:id="0" w:author="Start" w:initials="Start">
    <w:p w:rsidR="00000000" w:rsidRDefault="00000000">
      <w:pPr>
        <w:pStyle w:val="CommentText"/>
      </w:pPr>
      <w:r>
        <w:fldChar w:fldCharType="begin"/>
      </w:r>
      <w:r>
        <w:instrText>PAGE \# "'Page: '#'</w:instrText>
      </w:r>
      <w:r>
        <w:br/>
        <w:instrText>'"</w:instrText>
      </w:r>
      <w:r>
        <w:rPr>
          <w:rStyle w:val="CommentReference"/>
        </w:rPr>
        <w:instrText xml:space="preserve">  </w:instrText>
      </w:r>
      <w:r>
        <w:fldChar w:fldCharType="end"/>
      </w:r>
      <w:r>
        <w:rPr>
          <w:rStyle w:val="CommentReference"/>
        </w:rPr>
        <w:annotationRef/>
      </w:r>
      <w:r>
        <w:t>&lt;&lt;ODS JOB NO&gt;&gt;N0321465R&lt;&lt;ODS JOB NO&gt;&gt;</w:t>
      </w:r>
    </w:p>
    <w:p w:rsidR="00000000" w:rsidRDefault="00000000">
      <w:pPr>
        <w:pStyle w:val="CommentText"/>
      </w:pPr>
      <w:r>
        <w:t>&lt;&lt;ODS DOC SYMBOL1&gt;&gt;CEDAW/C/SR.594&lt;&lt;ODS DOC SYMBOL1&gt;&gt;</w:t>
      </w:r>
    </w:p>
    <w:p w:rsidR="00000000" w:rsidRDefault="00000000">
      <w:pPr>
        <w:pStyle w:val="CommentText"/>
      </w:pPr>
      <w:r>
        <w:t>&lt;&lt;ODS DOC SYMBOL2&gt;&gt;&lt;&lt;ODS DOC SYMBOL2&gt;&gt;</w:t>
      </w:r>
    </w:p>
  </w:comment>
</w:comments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00000" w:rsidRDefault="00000000">
      <w:pPr>
        <w:spacing w:line="240" w:lineRule="auto"/>
      </w:pPr>
      <w:r>
        <w:separator/>
      </w:r>
    </w:p>
  </w:endnote>
  <w:endnote w:type="continuationSeparator" w:id="0">
    <w:p w:rsidR="00000000" w:rsidRDefault="00000000">
      <w:pPr>
        <w:spacing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Barcode 3 of 9 by request">
    <w:charset w:val="00"/>
    <w:family w:val="swiss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0" w:type="auto"/>
      <w:tblInd w:w="-106" w:type="dxa"/>
      <w:tblBorders>
        <w:insideH w:val="single" w:sz="4" w:space="0" w:color="auto"/>
      </w:tblBorders>
      <w:tblLayout w:type="fixed"/>
      <w:tblLook w:val="0000"/>
    </w:tblPr>
    <w:tblGrid>
      <w:gridCol w:w="5033"/>
      <w:gridCol w:w="5033"/>
    </w:tblGrid>
    <w:tr w:rsidR="00000000">
      <w:tblPrEx>
        <w:tblCellMar>
          <w:top w:w="0" w:type="dxa"/>
          <w:bottom w:w="0" w:type="dxa"/>
        </w:tblCellMar>
      </w:tblPrEx>
      <w:tc>
        <w:tcPr>
          <w:tcW w:w="5033" w:type="dxa"/>
          <w:vAlign w:val="bottom"/>
        </w:tcPr>
        <w:p w:rsidR="00000000" w:rsidRDefault="00000000">
          <w:pPr>
            <w:pStyle w:val="Footer"/>
          </w:pPr>
          <w:fldSimple w:instr=" PAGE  \* MERGEFORMAT ">
            <w:r>
              <w:t>2</w:t>
            </w:r>
          </w:fldSimple>
        </w:p>
      </w:tc>
      <w:tc>
        <w:tcPr>
          <w:tcW w:w="5033" w:type="dxa"/>
          <w:vAlign w:val="bottom"/>
        </w:tcPr>
        <w:p w:rsidR="00000000" w:rsidRDefault="00000000">
          <w:pPr>
            <w:pStyle w:val="Footer"/>
            <w:jc w:val="right"/>
          </w:pPr>
        </w:p>
      </w:tc>
    </w:tr>
  </w:tbl>
  <w:p w:rsidR="00000000" w:rsidRDefault="00000000">
    <w:pPr>
      <w:pStyle w:val="Footer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0" w:type="auto"/>
      <w:tblInd w:w="-106" w:type="dxa"/>
      <w:tblBorders>
        <w:insideH w:val="single" w:sz="4" w:space="0" w:color="auto"/>
      </w:tblBorders>
      <w:tblLayout w:type="fixed"/>
      <w:tblLook w:val="0000"/>
    </w:tblPr>
    <w:tblGrid>
      <w:gridCol w:w="5033"/>
      <w:gridCol w:w="5033"/>
    </w:tblGrid>
    <w:tr w:rsidR="00000000">
      <w:tblPrEx>
        <w:tblCellMar>
          <w:top w:w="0" w:type="dxa"/>
          <w:bottom w:w="0" w:type="dxa"/>
        </w:tblCellMar>
      </w:tblPrEx>
      <w:tc>
        <w:tcPr>
          <w:tcW w:w="5033" w:type="dxa"/>
          <w:vAlign w:val="bottom"/>
        </w:tcPr>
        <w:p w:rsidR="00000000" w:rsidRDefault="00000000">
          <w:pPr>
            <w:pStyle w:val="Footer"/>
          </w:pPr>
        </w:p>
      </w:tc>
      <w:tc>
        <w:tcPr>
          <w:tcW w:w="5033" w:type="dxa"/>
          <w:vAlign w:val="bottom"/>
        </w:tcPr>
        <w:p w:rsidR="00000000" w:rsidRDefault="00000000">
          <w:pPr>
            <w:pStyle w:val="Footer"/>
            <w:jc w:val="right"/>
          </w:pPr>
          <w:fldSimple w:instr=" PAGE  \* MERGEFORMAT ">
            <w:r>
              <w:t>9</w:t>
            </w:r>
          </w:fldSimple>
        </w:p>
      </w:tc>
    </w:tr>
  </w:tbl>
  <w:p w:rsidR="00000000" w:rsidRDefault="00000000">
    <w:pPr>
      <w:pStyle w:val="Footer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00000" w:rsidRDefault="00000000">
    <w:pPr>
      <w:pStyle w:val="Footer"/>
      <w:pBdr>
        <w:top w:val="single" w:sz="2" w:space="1" w:color="auto"/>
      </w:pBdr>
      <w:rPr>
        <w:sz w:val="2"/>
      </w:rPr>
    </w:pPr>
  </w:p>
  <w:p w:rsidR="00000000" w:rsidRDefault="00000000">
    <w:pPr>
      <w:pStyle w:val="FootnoteText"/>
      <w:spacing w:after="120"/>
      <w:ind w:left="1267" w:right="1267" w:firstLine="0"/>
    </w:pPr>
    <w:r>
      <w:t>В настоящий отчет могут вноситься поправки.</w:t>
    </w:r>
  </w:p>
  <w:p w:rsidR="00000000" w:rsidRDefault="00000000">
    <w:pPr>
      <w:pStyle w:val="FootnoteText"/>
      <w:spacing w:after="120"/>
      <w:ind w:left="1267" w:right="1267" w:firstLine="0"/>
    </w:pPr>
    <w:r>
      <w:t xml:space="preserve">Поправки должны представляться на одном из рабочих языков. Они должны быть изложены в пояснительной записке, а также внесены в один из экземпляров отчета. Поправки должны направляться </w:t>
    </w:r>
    <w:r>
      <w:rPr>
        <w:i/>
      </w:rPr>
      <w:t>в течение одной недели с момента выпуска этого документа</w:t>
    </w:r>
    <w:r>
      <w:t xml:space="preserve"> на имя начальника Секции редактирования официальных отчетов, комната DC2-750 (Chief, Official Records Editing Section, room DC2-750, 2 United Nations Plaza).</w:t>
    </w:r>
  </w:p>
  <w:p w:rsidR="00000000" w:rsidRDefault="00000000">
    <w:pPr>
      <w:pStyle w:val="FootnoteText"/>
      <w:spacing w:after="120"/>
      <w:ind w:left="1267" w:right="1267" w:firstLine="0"/>
    </w:pPr>
    <w:r>
      <w:t>Любые поправки к отчетам о заседаниях этой сессии будут сведены в один документ, содержащий только исправления, который будет издан вскоре после окончания сессии.</w:t>
    </w:r>
  </w:p>
  <w:p w:rsidR="00000000" w:rsidRDefault="00000000">
    <w:pPr>
      <w:pStyle w:val="FootnoteText"/>
      <w:spacing w:line="120" w:lineRule="exact"/>
      <w:ind w:left="1267" w:right="1267" w:firstLine="0"/>
      <w:rPr>
        <w:sz w:val="10"/>
      </w:rPr>
    </w:pPr>
  </w:p>
  <w:p w:rsidR="00000000" w:rsidRDefault="00000000">
    <w:pPr>
      <w:pStyle w:val="Footer"/>
      <w:rPr>
        <w:b w:val="0"/>
        <w:sz w:val="20"/>
      </w:rPr>
    </w:pPr>
    <w:r>
      <w:rPr>
        <w:b w:val="0"/>
        <w:sz w:val="20"/>
      </w:rPr>
      <w:t>03-21465 (R)</w:t>
    </w:r>
  </w:p>
  <w:p w:rsidR="00000000" w:rsidRDefault="00000000">
    <w:pPr>
      <w:pStyle w:val="Footer"/>
      <w:spacing w:before="120" w:line="240" w:lineRule="exact"/>
      <w:rPr>
        <w:rFonts w:ascii="Barcode 3 of 9 by request" w:hAnsi="Barcode 3 of 9 by request"/>
        <w:b w:val="0"/>
        <w:spacing w:val="4"/>
        <w:w w:val="103"/>
        <w:sz w:val="24"/>
      </w:rPr>
    </w:pPr>
    <w:r>
      <w:rPr>
        <w:rFonts w:ascii="Barcode 3 of 9 by request" w:hAnsi="Barcode 3 of 9 by request"/>
        <w:b w:val="0"/>
        <w:spacing w:val="4"/>
        <w:w w:val="103"/>
        <w:sz w:val="24"/>
      </w:rPr>
      <w:t>*0321465*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00000" w:rsidRDefault="00000000">
      <w:pPr>
        <w:spacing w:line="240" w:lineRule="auto"/>
      </w:pPr>
      <w:r>
        <w:separator/>
      </w:r>
    </w:p>
  </w:footnote>
  <w:footnote w:type="continuationSeparator" w:id="0">
    <w:p w:rsidR="00000000" w:rsidRDefault="00000000">
      <w:pPr>
        <w:spacing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00000" w:rsidRDefault="00000000">
    <w:pPr>
      <w:pStyle w:val="Header"/>
    </w:pP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1026" type="#_x0000_t202" style="position:absolute;margin-left:-5.75pt;margin-top:0;width:7in;height:50.4pt;z-index:2;mso-position-horizontal:absolute;mso-position-horizontal-relative:text;mso-position-vertical:absolute;mso-position-vertical-relative:text" o:allowincell="f" stroked="f">
          <v:textbox style="mso-rotate-with-shape:t" inset="0,0,0,0">
            <w:txbxContent>
              <w:tbl>
                <w:tblPr>
                  <w:tblW w:w="0" w:type="auto"/>
                  <w:tblInd w:w="110" w:type="dxa"/>
                  <w:tblBorders>
                    <w:bottom w:val="single" w:sz="2" w:space="0" w:color="000000"/>
                  </w:tblBorders>
                  <w:tblLayout w:type="fixed"/>
                  <w:tblCellMar>
                    <w:left w:w="0" w:type="dxa"/>
                    <w:right w:w="0" w:type="dxa"/>
                  </w:tblCellMar>
                  <w:tblLook w:val="0000"/>
                </w:tblPr>
                <w:tblGrid>
                  <w:gridCol w:w="4838"/>
                  <w:gridCol w:w="5047"/>
                </w:tblGrid>
                <w:tr w:rsidR="00000000">
                  <w:tblPrEx>
                    <w:tblCellMar>
                      <w:top w:w="0" w:type="dxa"/>
                      <w:left w:w="0" w:type="dxa"/>
                      <w:bottom w:w="0" w:type="dxa"/>
                      <w:right w:w="0" w:type="dxa"/>
                    </w:tblCellMar>
                  </w:tblPrEx>
                  <w:trPr>
                    <w:trHeight w:hRule="exact" w:val="864"/>
                  </w:trPr>
                  <w:tc>
                    <w:tcPr>
                      <w:tcW w:w="4838" w:type="dxa"/>
                      <w:vAlign w:val="bottom"/>
                    </w:tcPr>
                    <w:p w:rsidR="00000000" w:rsidRDefault="00000000">
                      <w:pPr>
                        <w:pStyle w:val="Header"/>
                        <w:spacing w:after="80"/>
                        <w:rPr>
                          <w:b/>
                        </w:rPr>
                      </w:pPr>
                      <w:r>
                        <w:rPr>
                          <w:b/>
                        </w:rPr>
                        <w:t>CEDAW/C/SR.594</w:t>
                      </w:r>
                    </w:p>
                  </w:tc>
                  <w:tc>
                    <w:tcPr>
                      <w:tcW w:w="5047" w:type="dxa"/>
                      <w:vAlign w:val="bottom"/>
                    </w:tcPr>
                    <w:p w:rsidR="00000000" w:rsidRDefault="00000000">
                      <w:pPr>
                        <w:pStyle w:val="Header"/>
                      </w:pPr>
                    </w:p>
                  </w:tc>
                </w:tr>
              </w:tbl>
              <w:p w:rsidR="00000000" w:rsidRDefault="00000000"/>
            </w:txbxContent>
          </v:textbox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00000" w:rsidRDefault="00000000">
    <w:pPr>
      <w:pStyle w:val="Header"/>
    </w:pP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1025" type="#_x0000_t202" style="position:absolute;margin-left:-5.75pt;margin-top:0;width:7in;height:50.4pt;z-index:1;mso-position-horizontal:absolute;mso-position-horizontal-relative:text;mso-position-vertical:absolute;mso-position-vertical-relative:text" o:allowincell="f" stroked="f">
          <v:textbox style="mso-rotate-with-shape:t" inset="0,0,0,0">
            <w:txbxContent>
              <w:tbl>
                <w:tblPr>
                  <w:tblW w:w="0" w:type="auto"/>
                  <w:tblInd w:w="110" w:type="dxa"/>
                  <w:tblBorders>
                    <w:bottom w:val="single" w:sz="2" w:space="0" w:color="000000"/>
                  </w:tblBorders>
                  <w:tblLayout w:type="fixed"/>
                  <w:tblCellMar>
                    <w:left w:w="0" w:type="dxa"/>
                    <w:right w:w="0" w:type="dxa"/>
                  </w:tblCellMar>
                  <w:tblLook w:val="0000"/>
                </w:tblPr>
                <w:tblGrid>
                  <w:gridCol w:w="4838"/>
                  <w:gridCol w:w="5047"/>
                </w:tblGrid>
                <w:tr w:rsidR="00000000">
                  <w:tblPrEx>
                    <w:tblCellMar>
                      <w:top w:w="0" w:type="dxa"/>
                      <w:left w:w="0" w:type="dxa"/>
                      <w:bottom w:w="0" w:type="dxa"/>
                      <w:right w:w="0" w:type="dxa"/>
                    </w:tblCellMar>
                  </w:tblPrEx>
                  <w:trPr>
                    <w:trHeight w:hRule="exact" w:val="864"/>
                  </w:trPr>
                  <w:tc>
                    <w:tcPr>
                      <w:tcW w:w="4838" w:type="dxa"/>
                      <w:vAlign w:val="bottom"/>
                    </w:tcPr>
                    <w:p w:rsidR="00000000" w:rsidRDefault="00000000">
                      <w:pPr>
                        <w:pStyle w:val="Header"/>
                      </w:pPr>
                    </w:p>
                  </w:tc>
                  <w:tc>
                    <w:tcPr>
                      <w:tcW w:w="5047" w:type="dxa"/>
                      <w:vAlign w:val="bottom"/>
                    </w:tcPr>
                    <w:p w:rsidR="00000000" w:rsidRDefault="00000000">
                      <w:pPr>
                        <w:pStyle w:val="Header"/>
                        <w:spacing w:after="80"/>
                        <w:jc w:val="right"/>
                        <w:rPr>
                          <w:b/>
                        </w:rPr>
                      </w:pPr>
                      <w:r>
                        <w:rPr>
                          <w:b/>
                        </w:rPr>
                        <w:t>CEDAW/C/SR.594</w:t>
                      </w:r>
                    </w:p>
                  </w:tc>
                </w:tr>
              </w:tbl>
              <w:p w:rsidR="00000000" w:rsidRDefault="00000000"/>
            </w:txbxContent>
          </v:textbox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0" w:type="auto"/>
      <w:tblInd w:w="2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000"/>
    </w:tblPr>
    <w:tblGrid>
      <w:gridCol w:w="1267"/>
      <w:gridCol w:w="3154"/>
      <w:gridCol w:w="245"/>
      <w:gridCol w:w="1828"/>
      <w:gridCol w:w="245"/>
      <w:gridCol w:w="3140"/>
    </w:tblGrid>
    <w:tr w:rsidR="00000000">
      <w:tblPrEx>
        <w:tblCellMar>
          <w:top w:w="0" w:type="dxa"/>
          <w:left w:w="0" w:type="dxa"/>
          <w:bottom w:w="0" w:type="dxa"/>
          <w:right w:w="0" w:type="dxa"/>
        </w:tblCellMar>
      </w:tblPrEx>
      <w:trPr>
        <w:cantSplit/>
        <w:trHeight w:hRule="exact" w:val="864"/>
      </w:trPr>
      <w:tc>
        <w:tcPr>
          <w:tcW w:w="4421" w:type="dxa"/>
          <w:gridSpan w:val="2"/>
          <w:tcBorders>
            <w:top w:val="nil"/>
            <w:left w:val="nil"/>
            <w:bottom w:val="nil"/>
            <w:right w:val="nil"/>
          </w:tcBorders>
          <w:vAlign w:val="bottom"/>
        </w:tcPr>
        <w:p w:rsidR="00000000" w:rsidRDefault="00000000">
          <w:pPr>
            <w:pStyle w:val="HCh"/>
            <w:spacing w:after="80"/>
            <w:rPr>
              <w:b w:val="0"/>
              <w:spacing w:val="2"/>
              <w:w w:val="96"/>
            </w:rPr>
          </w:pPr>
          <w:r>
            <w:rPr>
              <w:b w:val="0"/>
              <w:spacing w:val="2"/>
              <w:w w:val="96"/>
            </w:rPr>
            <w:t>Организация Объединенных Наций</w:t>
          </w:r>
        </w:p>
      </w:tc>
      <w:tc>
        <w:tcPr>
          <w:tcW w:w="245" w:type="dxa"/>
          <w:tcBorders>
            <w:top w:val="nil"/>
            <w:left w:val="nil"/>
            <w:bottom w:val="nil"/>
            <w:right w:val="nil"/>
          </w:tcBorders>
          <w:vAlign w:val="bottom"/>
        </w:tcPr>
        <w:p w:rsidR="00000000" w:rsidRDefault="00000000">
          <w:pPr>
            <w:pStyle w:val="Header"/>
            <w:spacing w:after="120"/>
          </w:pPr>
        </w:p>
      </w:tc>
      <w:tc>
        <w:tcPr>
          <w:tcW w:w="5213" w:type="dxa"/>
          <w:gridSpan w:val="3"/>
          <w:tcBorders>
            <w:top w:val="nil"/>
            <w:left w:val="nil"/>
            <w:bottom w:val="nil"/>
            <w:right w:val="nil"/>
          </w:tcBorders>
          <w:vAlign w:val="bottom"/>
        </w:tcPr>
        <w:p w:rsidR="00000000" w:rsidRDefault="00000000">
          <w:pPr>
            <w:pStyle w:val="Header"/>
            <w:spacing w:after="20"/>
            <w:jc w:val="right"/>
            <w:rPr>
              <w:sz w:val="20"/>
            </w:rPr>
          </w:pPr>
          <w:r>
            <w:rPr>
              <w:sz w:val="40"/>
            </w:rPr>
            <w:t>CEDAW</w:t>
          </w:r>
          <w:r>
            <w:rPr>
              <w:sz w:val="20"/>
            </w:rPr>
            <w:t>/C/SR.594</w:t>
          </w:r>
        </w:p>
      </w:tc>
    </w:tr>
    <w:tr w:rsidR="00000000">
      <w:tblPrEx>
        <w:tblCellMar>
          <w:top w:w="0" w:type="dxa"/>
          <w:left w:w="0" w:type="dxa"/>
          <w:bottom w:w="0" w:type="dxa"/>
          <w:right w:w="0" w:type="dxa"/>
        </w:tblCellMar>
      </w:tblPrEx>
      <w:trPr>
        <w:trHeight w:hRule="exact" w:val="2880"/>
      </w:trPr>
      <w:tc>
        <w:tcPr>
          <w:tcW w:w="1267" w:type="dxa"/>
          <w:tcBorders>
            <w:left w:val="nil"/>
            <w:bottom w:val="single" w:sz="12" w:space="0" w:color="auto"/>
            <w:right w:val="nil"/>
          </w:tcBorders>
        </w:tcPr>
        <w:p w:rsidR="00000000" w:rsidRDefault="00000000">
          <w:pPr>
            <w:pStyle w:val="Header"/>
            <w:spacing w:before="109"/>
          </w:pPr>
          <w:r>
            <w:t xml:space="preserve"> </w:t>
          </w:r>
          <w:r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5" type="#_x0000_t75" style="width:56.25pt;height:46.5pt" fillcolor="window">
                <v:imagedata r:id="rId1" o:title="_unlogo"/>
              </v:shape>
            </w:pict>
          </w:r>
        </w:p>
        <w:p w:rsidR="00000000" w:rsidRDefault="00000000">
          <w:pPr>
            <w:pStyle w:val="Header"/>
            <w:spacing w:before="109"/>
          </w:pPr>
        </w:p>
      </w:tc>
      <w:tc>
        <w:tcPr>
          <w:tcW w:w="5227" w:type="dxa"/>
          <w:gridSpan w:val="3"/>
          <w:tcBorders>
            <w:left w:val="nil"/>
            <w:bottom w:val="single" w:sz="12" w:space="0" w:color="auto"/>
            <w:right w:val="nil"/>
          </w:tcBorders>
        </w:tcPr>
        <w:p w:rsidR="00000000" w:rsidRDefault="00000000">
          <w:pPr>
            <w:pStyle w:val="XLarge"/>
            <w:spacing w:before="109" w:line="330" w:lineRule="exact"/>
            <w:rPr>
              <w:sz w:val="34"/>
            </w:rPr>
          </w:pPr>
          <w:r>
            <w:rPr>
              <w:sz w:val="34"/>
            </w:rPr>
            <w:t>Конвенция о ликвидации всех форм дискриминации в отношении женщин</w:t>
          </w:r>
        </w:p>
      </w:tc>
      <w:tc>
        <w:tcPr>
          <w:tcW w:w="245" w:type="dxa"/>
          <w:tcBorders>
            <w:left w:val="nil"/>
            <w:bottom w:val="single" w:sz="12" w:space="0" w:color="auto"/>
            <w:right w:val="nil"/>
          </w:tcBorders>
        </w:tcPr>
        <w:p w:rsidR="00000000" w:rsidRDefault="00000000">
          <w:pPr>
            <w:pStyle w:val="Header"/>
            <w:spacing w:before="109"/>
          </w:pPr>
        </w:p>
      </w:tc>
      <w:tc>
        <w:tcPr>
          <w:tcW w:w="3140" w:type="dxa"/>
          <w:tcBorders>
            <w:left w:val="nil"/>
            <w:bottom w:val="single" w:sz="12" w:space="0" w:color="auto"/>
            <w:right w:val="nil"/>
          </w:tcBorders>
        </w:tcPr>
        <w:p w:rsidR="00000000" w:rsidRDefault="00000000">
          <w:pPr>
            <w:spacing w:before="240"/>
          </w:pPr>
          <w:r>
            <w:t>Distr.: General</w:t>
          </w:r>
        </w:p>
        <w:p w:rsidR="00000000" w:rsidRDefault="00000000">
          <w:r>
            <w:t>2 February 2006</w:t>
          </w:r>
        </w:p>
        <w:p w:rsidR="00000000" w:rsidRDefault="00000000">
          <w:r>
            <w:t>Russian</w:t>
          </w:r>
        </w:p>
        <w:p w:rsidR="00000000" w:rsidRDefault="00000000">
          <w:r>
            <w:t>Original: English</w:t>
          </w:r>
        </w:p>
      </w:tc>
    </w:tr>
  </w:tbl>
  <w:p w:rsidR="00000000" w:rsidRDefault="00000000">
    <w:pPr>
      <w:pStyle w:val="Header"/>
      <w:spacing w:line="20" w:lineRule="exact"/>
      <w:rPr>
        <w:sz w:val="2"/>
      </w:rPr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C"/>
    <w:multiLevelType w:val="singleLevel"/>
    <w:tmpl w:val="659CADF2"/>
    <w:lvl w:ilvl="0">
      <w:start w:val="1"/>
      <w:numFmt w:val="decimal"/>
      <w:pStyle w:val="ListNumber5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D"/>
    <w:multiLevelType w:val="singleLevel"/>
    <w:tmpl w:val="5372B834"/>
    <w:lvl w:ilvl="0">
      <w:start w:val="1"/>
      <w:numFmt w:val="decimal"/>
      <w:pStyle w:val="ListNumber4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singleLevel"/>
    <w:tmpl w:val="A3CEA354"/>
    <w:lvl w:ilvl="0">
      <w:start w:val="1"/>
      <w:numFmt w:val="decimal"/>
      <w:pStyle w:val="ListNumber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>
    <w:nsid w:val="FFFFFF7F"/>
    <w:multiLevelType w:val="singleLevel"/>
    <w:tmpl w:val="93C2E390"/>
    <w:lvl w:ilvl="0">
      <w:start w:val="1"/>
      <w:numFmt w:val="decimal"/>
      <w:pStyle w:val="ListNumber2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>
    <w:nsid w:val="FFFFFF88"/>
    <w:multiLevelType w:val="singleLevel"/>
    <w:tmpl w:val="A450318C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5">
    <w:nsid w:val="2BB16AA8"/>
    <w:multiLevelType w:val="multilevel"/>
    <w:tmpl w:val="19820D8E"/>
    <w:name w:val="TOC2"/>
    <w:lvl w:ilvl="0">
      <w:start w:val="1"/>
      <w:numFmt w:val="upperRoman"/>
      <w:lvlText w:val="%1."/>
      <w:lvlJc w:val="right"/>
      <w:pPr>
        <w:tabs>
          <w:tab w:val="num" w:pos="1296"/>
        </w:tabs>
        <w:ind w:left="1296" w:hanging="216"/>
      </w:pPr>
    </w:lvl>
    <w:lvl w:ilvl="1">
      <w:start w:val="1"/>
      <w:numFmt w:val="upperLetter"/>
      <w:lvlText w:val="%2."/>
      <w:lvlJc w:val="left"/>
      <w:pPr>
        <w:tabs>
          <w:tab w:val="num" w:pos="1728"/>
        </w:tabs>
        <w:ind w:left="1728" w:hanging="432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432"/>
      </w:pPr>
    </w:lvl>
    <w:lvl w:ilvl="3">
      <w:start w:val="1"/>
      <w:numFmt w:val="lowerLetter"/>
      <w:lvlText w:val="%4)"/>
      <w:lvlJc w:val="left"/>
      <w:pPr>
        <w:tabs>
          <w:tab w:val="num" w:pos="2592"/>
        </w:tabs>
        <w:ind w:left="2592" w:hanging="432"/>
      </w:pPr>
    </w:lvl>
    <w:lvl w:ilvl="4">
      <w:start w:val="1"/>
      <w:numFmt w:val="lowerRoman"/>
      <w:lvlText w:val="%5)"/>
      <w:lvlJc w:val="left"/>
      <w:pPr>
        <w:tabs>
          <w:tab w:val="num" w:pos="3312"/>
        </w:tabs>
        <w:ind w:left="3024" w:hanging="432"/>
      </w:pPr>
    </w:lvl>
    <w:lvl w:ilvl="5">
      <w:start w:val="1"/>
      <w:numFmt w:val="lowerLetter"/>
      <w:lvlText w:val="%6."/>
      <w:lvlJc w:val="left"/>
      <w:pPr>
        <w:tabs>
          <w:tab w:val="num" w:pos="3456"/>
        </w:tabs>
        <w:ind w:left="3456" w:hanging="432"/>
      </w:pPr>
    </w:lvl>
    <w:lvl w:ilvl="6">
      <w:start w:val="1"/>
      <w:numFmt w:val="lowerRoman"/>
      <w:lvlText w:val="%7."/>
      <w:lvlJc w:val="left"/>
      <w:pPr>
        <w:tabs>
          <w:tab w:val="num" w:pos="4176"/>
        </w:tabs>
        <w:ind w:left="3888" w:hanging="432"/>
      </w:pPr>
    </w:lvl>
    <w:lvl w:ilvl="7">
      <w:start w:val="1"/>
      <w:numFmt w:val="none"/>
      <w:lvlText w:val=""/>
      <w:lvlJc w:val="left"/>
      <w:pPr>
        <w:tabs>
          <w:tab w:val="num" w:pos="4248"/>
        </w:tabs>
        <w:ind w:left="3888" w:firstLine="0"/>
      </w:pPr>
    </w:lvl>
    <w:lvl w:ilvl="8">
      <w:start w:val="1"/>
      <w:numFmt w:val="none"/>
      <w:suff w:val="nothing"/>
      <w:lvlText w:val=""/>
      <w:lvlJc w:val="left"/>
      <w:pPr>
        <w:ind w:left="3888" w:firstLine="0"/>
      </w:pPr>
    </w:lvl>
  </w:abstractNum>
  <w:abstractNum w:abstractNumId="6">
    <w:nsid w:val="34DC129E"/>
    <w:multiLevelType w:val="singleLevel"/>
    <w:tmpl w:val="03EE3166"/>
    <w:lvl w:ilvl="0">
      <w:start w:val="1"/>
      <w:numFmt w:val="decimal"/>
      <w:pStyle w:val="ListContinue2"/>
      <w:lvlText w:val="%1."/>
      <w:lvlJc w:val="right"/>
      <w:pPr>
        <w:tabs>
          <w:tab w:val="num" w:pos="792"/>
        </w:tabs>
        <w:ind w:left="792" w:hanging="317"/>
      </w:pPr>
      <w:rPr>
        <w:rFonts w:hint="default"/>
      </w:rPr>
    </w:lvl>
  </w:abstractNum>
  <w:abstractNum w:abstractNumId="7">
    <w:nsid w:val="5FF27F2B"/>
    <w:multiLevelType w:val="multilevel"/>
    <w:tmpl w:val="68AAAA24"/>
    <w:name w:val="TOC"/>
    <w:lvl w:ilvl="0">
      <w:start w:val="1"/>
      <w:numFmt w:val="upperRoman"/>
      <w:lvlText w:val="%1."/>
      <w:lvlJc w:val="right"/>
      <w:pPr>
        <w:tabs>
          <w:tab w:val="num" w:pos="1296"/>
        </w:tabs>
        <w:ind w:left="1296" w:hanging="216"/>
      </w:pPr>
    </w:lvl>
    <w:lvl w:ilvl="1">
      <w:start w:val="1"/>
      <w:numFmt w:val="upperLetter"/>
      <w:lvlText w:val="%2."/>
      <w:lvlJc w:val="left"/>
      <w:pPr>
        <w:tabs>
          <w:tab w:val="num" w:pos="-32406"/>
        </w:tabs>
        <w:ind w:left="-32766" w:firstLine="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432"/>
      </w:pPr>
    </w:lvl>
    <w:lvl w:ilvl="3">
      <w:start w:val="1"/>
      <w:numFmt w:val="lowerLetter"/>
      <w:lvlText w:val="%4)"/>
      <w:lvlJc w:val="left"/>
      <w:pPr>
        <w:tabs>
          <w:tab w:val="num" w:pos="2592"/>
        </w:tabs>
        <w:ind w:left="2592" w:hanging="432"/>
      </w:pPr>
    </w:lvl>
    <w:lvl w:ilvl="4">
      <w:start w:val="1"/>
      <w:numFmt w:val="lowerRoman"/>
      <w:lvlText w:val="%5)"/>
      <w:lvlJc w:val="left"/>
      <w:pPr>
        <w:tabs>
          <w:tab w:val="num" w:pos="3312"/>
        </w:tabs>
        <w:ind w:left="3024" w:hanging="432"/>
      </w:pPr>
    </w:lvl>
    <w:lvl w:ilvl="5">
      <w:start w:val="1"/>
      <w:numFmt w:val="lowerLetter"/>
      <w:lvlText w:val="%6."/>
      <w:lvlJc w:val="left"/>
      <w:pPr>
        <w:tabs>
          <w:tab w:val="num" w:pos="3456"/>
        </w:tabs>
        <w:ind w:left="3456" w:hanging="432"/>
      </w:pPr>
    </w:lvl>
    <w:lvl w:ilvl="6">
      <w:start w:val="1"/>
      <w:numFmt w:val="lowerRoman"/>
      <w:lvlText w:val="%7."/>
      <w:lvlJc w:val="left"/>
      <w:pPr>
        <w:tabs>
          <w:tab w:val="num" w:pos="4176"/>
        </w:tabs>
        <w:ind w:left="3888" w:hanging="432"/>
      </w:pPr>
    </w:lvl>
    <w:lvl w:ilvl="7">
      <w:start w:val="1"/>
      <w:numFmt w:val="none"/>
      <w:lvlText w:val=""/>
      <w:lvlJc w:val="left"/>
      <w:pPr>
        <w:tabs>
          <w:tab w:val="num" w:pos="4248"/>
        </w:tabs>
        <w:ind w:left="3888" w:firstLine="0"/>
      </w:pPr>
    </w:lvl>
    <w:lvl w:ilvl="8">
      <w:start w:val="1"/>
      <w:numFmt w:val="none"/>
      <w:suff w:val="nothing"/>
      <w:lvlText w:val=""/>
      <w:lvlJc w:val="left"/>
      <w:pPr>
        <w:ind w:left="3888" w:firstLine="0"/>
      </w:pPr>
    </w:lvl>
  </w:abstractNum>
  <w:num w:numId="1">
    <w:abstractNumId w:val="6"/>
  </w:num>
  <w:num w:numId="2">
    <w:abstractNumId w:val="4"/>
  </w:num>
  <w:num w:numId="3">
    <w:abstractNumId w:val="4"/>
  </w:num>
  <w:num w:numId="4">
    <w:abstractNumId w:val="3"/>
  </w:num>
  <w:num w:numId="5">
    <w:abstractNumId w:val="3"/>
  </w:num>
  <w:num w:numId="6">
    <w:abstractNumId w:val="2"/>
  </w:num>
  <w:num w:numId="7">
    <w:abstractNumId w:val="2"/>
  </w:num>
  <w:num w:numId="8">
    <w:abstractNumId w:val="1"/>
  </w:num>
  <w:num w:numId="9">
    <w:abstractNumId w:val="1"/>
  </w:num>
  <w:num w:numId="10">
    <w:abstractNumId w:val="0"/>
  </w:num>
  <w:num w:numId="11">
    <w:abstractNumId w:val="0"/>
  </w:num>
  <w:num w:numId="12">
    <w:abstractNumId w:val="7"/>
  </w:num>
  <w:num w:numId="13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5"/>
  <w:hideGrammaticalErrors/>
  <w:activeWritingStyle w:appName="MSWord" w:lang="ru-RU" w:vendorID="1" w:dllVersion="512" w:checkStyle="1"/>
  <w:doNotTrackMoves/>
  <w:defaultTabStop w:val="475"/>
  <w:autoHyphenation/>
  <w:hyphenationZone w:val="220"/>
  <w:doNotHyphenateCaps/>
  <w:evenAndOddHeaders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3074"/>
    <o:shapelayout v:ext="edit">
      <o:idmap v:ext="edit" data="1"/>
    </o:shapelayout>
  </w:hdrShapeDefaults>
  <w:footnotePr>
    <w:footnote w:id="-1"/>
    <w:footnote w:id="0"/>
  </w:footnotePr>
  <w:endnotePr>
    <w:numFmt w:val="decimal"/>
    <w:endnote w:id="-1"/>
    <w:endnote w:id="0"/>
  </w:endnotePr>
  <w:compat>
    <w:noColumnBalance/>
    <w:printColBlack/>
    <w:showBreaksInFrames/>
    <w:suppressBottomSpacing/>
    <w:suppressTopSpacing/>
    <w:suppressTopSpacingWP/>
    <w:suppressSpBfAfterPgBrk/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docVars>
    <w:docVar w:name="CreationDt" w:val="26/01/2006 17:46:22"/>
    <w:docVar w:name="DocCategory" w:val="SROthers"/>
    <w:docVar w:name="DocType" w:val="Final"/>
    <w:docVar w:name="JobNo" w:val="0321465R"/>
    <w:docVar w:name="OandT" w:val=" "/>
    <w:docVar w:name="Symbol1" w:val="CEDAW/C/SR.594"/>
    <w:docVar w:name="Symbol2" w:val="-"/>
  </w:docVar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pacing w:line="240" w:lineRule="exact"/>
    </w:pPr>
    <w:rPr>
      <w:spacing w:val="4"/>
      <w:w w:val="103"/>
      <w:kern w:val="14"/>
      <w:lang w:val="ru-RU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rPr>
      <w:hidden/>
    </w:trPr>
  </w:style>
  <w:style w:type="numbering" w:default="1" w:styleId="NoList">
    <w:name w:val="No List"/>
    <w:uiPriority w:val="99"/>
    <w:semiHidden/>
    <w:unhideWhenUsed/>
  </w:style>
  <w:style w:type="paragraph" w:customStyle="1" w:styleId="HM">
    <w:name w:val="_ H __M"/>
    <w:basedOn w:val="Normal"/>
    <w:next w:val="Normal"/>
    <w:pPr>
      <w:keepNext/>
      <w:keepLines/>
      <w:suppressAutoHyphens/>
      <w:spacing w:line="360" w:lineRule="exact"/>
      <w:outlineLvl w:val="0"/>
    </w:pPr>
    <w:rPr>
      <w:b/>
      <w:spacing w:val="-3"/>
      <w:w w:val="99"/>
      <w:sz w:val="34"/>
    </w:rPr>
  </w:style>
  <w:style w:type="paragraph" w:customStyle="1" w:styleId="H1">
    <w:name w:val="_ H_1"/>
    <w:basedOn w:val="Normal"/>
    <w:next w:val="Normal"/>
    <w:pPr>
      <w:suppressAutoHyphens/>
      <w:spacing w:line="270" w:lineRule="exact"/>
      <w:outlineLvl w:val="0"/>
    </w:pPr>
    <w:rPr>
      <w:b/>
      <w:sz w:val="24"/>
    </w:rPr>
  </w:style>
  <w:style w:type="paragraph" w:customStyle="1" w:styleId="HCh">
    <w:name w:val="_ H _Ch"/>
    <w:basedOn w:val="H1"/>
    <w:next w:val="Normal"/>
    <w:pPr>
      <w:keepNext/>
      <w:keepLines/>
      <w:spacing w:line="300" w:lineRule="exact"/>
    </w:pPr>
    <w:rPr>
      <w:spacing w:val="-2"/>
      <w:sz w:val="28"/>
    </w:rPr>
  </w:style>
  <w:style w:type="paragraph" w:customStyle="1" w:styleId="H23">
    <w:name w:val="_ H_2/3"/>
    <w:basedOn w:val="H1"/>
    <w:next w:val="Normal"/>
    <w:pPr>
      <w:keepNext/>
      <w:keepLines/>
      <w:spacing w:line="240" w:lineRule="exact"/>
      <w:outlineLvl w:val="1"/>
    </w:pPr>
    <w:rPr>
      <w:spacing w:val="2"/>
      <w:sz w:val="20"/>
    </w:rPr>
  </w:style>
  <w:style w:type="paragraph" w:customStyle="1" w:styleId="H4">
    <w:name w:val="_ H_4"/>
    <w:basedOn w:val="Normal"/>
    <w:next w:val="SingleTxt"/>
    <w:pPr>
      <w:keepNext/>
      <w:keepLines/>
      <w:tabs>
        <w:tab w:val="right" w:pos="360"/>
      </w:tabs>
      <w:suppressAutoHyphens/>
      <w:outlineLvl w:val="3"/>
    </w:pPr>
    <w:rPr>
      <w:i/>
      <w:spacing w:val="3"/>
    </w:rPr>
  </w:style>
  <w:style w:type="paragraph" w:customStyle="1" w:styleId="H56">
    <w:name w:val="_ H_5/6"/>
    <w:basedOn w:val="Normal"/>
    <w:next w:val="Normal"/>
    <w:pPr>
      <w:keepNext/>
      <w:keepLines/>
      <w:tabs>
        <w:tab w:val="right" w:pos="360"/>
      </w:tabs>
      <w:suppressAutoHyphens/>
      <w:outlineLvl w:val="4"/>
    </w:pPr>
  </w:style>
  <w:style w:type="paragraph" w:customStyle="1" w:styleId="DualTxt">
    <w:name w:val="__Dual Txt"/>
    <w:basedOn w:val="Normal"/>
    <w:pPr>
      <w:tabs>
        <w:tab w:val="left" w:pos="480"/>
        <w:tab w:val="left" w:pos="960"/>
        <w:tab w:val="left" w:pos="1440"/>
        <w:tab w:val="left" w:pos="1915"/>
        <w:tab w:val="left" w:pos="2405"/>
        <w:tab w:val="left" w:pos="2880"/>
        <w:tab w:val="left" w:pos="3355"/>
      </w:tabs>
      <w:spacing w:after="120"/>
      <w:jc w:val="both"/>
    </w:pPr>
  </w:style>
  <w:style w:type="paragraph" w:customStyle="1" w:styleId="SM">
    <w:name w:val="__S_M"/>
    <w:basedOn w:val="Normal"/>
    <w:next w:val="Normal"/>
    <w:pPr>
      <w:keepNext/>
      <w:keepLines/>
      <w:tabs>
        <w:tab w:val="right" w:leader="dot" w:pos="360"/>
      </w:tabs>
      <w:suppressAutoHyphens/>
      <w:spacing w:line="390" w:lineRule="exact"/>
      <w:ind w:left="1267" w:right="1267"/>
      <w:outlineLvl w:val="0"/>
    </w:pPr>
    <w:rPr>
      <w:b/>
      <w:spacing w:val="-4"/>
      <w:w w:val="98"/>
      <w:sz w:val="40"/>
    </w:rPr>
  </w:style>
  <w:style w:type="paragraph" w:customStyle="1" w:styleId="SL">
    <w:name w:val="__S_L"/>
    <w:basedOn w:val="SM"/>
    <w:next w:val="Normal"/>
    <w:pPr>
      <w:spacing w:line="540" w:lineRule="exact"/>
    </w:pPr>
    <w:rPr>
      <w:spacing w:val="-8"/>
      <w:w w:val="96"/>
      <w:sz w:val="57"/>
    </w:rPr>
  </w:style>
  <w:style w:type="paragraph" w:customStyle="1" w:styleId="SS">
    <w:name w:val="__S_S"/>
    <w:basedOn w:val="HCh"/>
    <w:next w:val="Normal"/>
    <w:pPr>
      <w:ind w:left="1267" w:right="1267"/>
    </w:pPr>
  </w:style>
  <w:style w:type="paragraph" w:customStyle="1" w:styleId="SingleTxt">
    <w:name w:val="__Single Txt"/>
    <w:basedOn w:val="Normal"/>
    <w:pPr>
      <w:tabs>
        <w:tab w:val="left" w:pos="1267"/>
        <w:tab w:val="left" w:pos="1742"/>
        <w:tab w:val="left" w:pos="2218"/>
        <w:tab w:val="left" w:pos="2693"/>
        <w:tab w:val="left" w:pos="3182"/>
        <w:tab w:val="left" w:pos="3658"/>
        <w:tab w:val="left" w:pos="4133"/>
        <w:tab w:val="left" w:pos="4622"/>
        <w:tab w:val="left" w:pos="5098"/>
        <w:tab w:val="left" w:pos="5573"/>
        <w:tab w:val="left" w:pos="6048"/>
        <w:tab w:val="left" w:pos="6538"/>
        <w:tab w:val="left" w:pos="7013"/>
        <w:tab w:val="left" w:pos="7488"/>
        <w:tab w:val="left" w:pos="7978"/>
        <w:tab w:val="left" w:pos="8453"/>
      </w:tabs>
      <w:spacing w:after="120"/>
      <w:ind w:left="1267" w:right="1267"/>
      <w:jc w:val="both"/>
    </w:pPr>
  </w:style>
  <w:style w:type="character" w:styleId="CommentReference">
    <w:name w:val="annotation reference"/>
    <w:basedOn w:val="DefaultParagraphFont"/>
    <w:semiHidden/>
    <w:rPr>
      <w:sz w:val="6"/>
    </w:rPr>
  </w:style>
  <w:style w:type="character" w:styleId="FootnoteReference">
    <w:name w:val="footnote reference"/>
    <w:basedOn w:val="DefaultParagraphFont"/>
    <w:semiHidden/>
    <w:rPr>
      <w:spacing w:val="-5"/>
      <w:w w:val="130"/>
      <w:position w:val="-4"/>
      <w:vertAlign w:val="superscript"/>
    </w:rPr>
  </w:style>
  <w:style w:type="character" w:styleId="EndnoteReference">
    <w:name w:val="endnote reference"/>
    <w:basedOn w:val="FootnoteReference"/>
    <w:semiHidden/>
  </w:style>
  <w:style w:type="paragraph" w:styleId="FootnoteText">
    <w:name w:val="footnote text"/>
    <w:basedOn w:val="Normal"/>
    <w:semiHidden/>
    <w:pPr>
      <w:widowControl w:val="0"/>
      <w:tabs>
        <w:tab w:val="right" w:pos="418"/>
      </w:tabs>
      <w:suppressAutoHyphens/>
      <w:spacing w:line="210" w:lineRule="exact"/>
      <w:ind w:left="475" w:hanging="475"/>
    </w:pPr>
    <w:rPr>
      <w:spacing w:val="5"/>
      <w:w w:val="104"/>
      <w:sz w:val="17"/>
    </w:rPr>
  </w:style>
  <w:style w:type="paragraph" w:styleId="EndnoteText">
    <w:name w:val="endnote text"/>
    <w:basedOn w:val="FootnoteText"/>
    <w:semiHidden/>
  </w:style>
  <w:style w:type="paragraph" w:styleId="Footer">
    <w:name w:val="footer"/>
    <w:semiHidden/>
    <w:pPr>
      <w:tabs>
        <w:tab w:val="center" w:pos="4320"/>
        <w:tab w:val="right" w:pos="8640"/>
      </w:tabs>
    </w:pPr>
    <w:rPr>
      <w:b/>
      <w:noProof/>
      <w:sz w:val="17"/>
    </w:rPr>
  </w:style>
  <w:style w:type="paragraph" w:styleId="Header">
    <w:name w:val="header"/>
    <w:semiHidden/>
    <w:pPr>
      <w:tabs>
        <w:tab w:val="center" w:pos="4320"/>
        <w:tab w:val="right" w:pos="8640"/>
      </w:tabs>
    </w:pPr>
    <w:rPr>
      <w:noProof/>
      <w:sz w:val="17"/>
    </w:rPr>
  </w:style>
  <w:style w:type="character" w:styleId="LineNumber">
    <w:name w:val="line number"/>
    <w:basedOn w:val="DefaultParagraphFont"/>
    <w:semiHidden/>
    <w:rPr>
      <w:sz w:val="14"/>
    </w:rPr>
  </w:style>
  <w:style w:type="paragraph" w:styleId="ListContinue2">
    <w:name w:val="List Continue 2"/>
    <w:basedOn w:val="Normal"/>
    <w:next w:val="Normal"/>
    <w:semiHidden/>
    <w:pPr>
      <w:numPr>
        <w:numId w:val="1"/>
      </w:numPr>
      <w:spacing w:after="120"/>
    </w:pPr>
  </w:style>
  <w:style w:type="paragraph" w:styleId="ListNumber">
    <w:name w:val="List Number"/>
    <w:basedOn w:val="H1"/>
    <w:next w:val="Normal"/>
    <w:semiHidden/>
    <w:pPr>
      <w:numPr>
        <w:numId w:val="3"/>
      </w:numPr>
      <w:tabs>
        <w:tab w:val="clear" w:pos="360"/>
        <w:tab w:val="num" w:pos="792"/>
      </w:tabs>
      <w:ind w:left="792" w:hanging="317"/>
    </w:pPr>
  </w:style>
  <w:style w:type="paragraph" w:styleId="ListNumber2">
    <w:name w:val="List Number 2"/>
    <w:basedOn w:val="H23"/>
    <w:next w:val="Normal"/>
    <w:semiHidden/>
    <w:pPr>
      <w:numPr>
        <w:numId w:val="5"/>
      </w:numPr>
      <w:tabs>
        <w:tab w:val="clear" w:pos="643"/>
        <w:tab w:val="num" w:pos="792"/>
      </w:tabs>
      <w:ind w:left="792" w:hanging="317"/>
    </w:pPr>
  </w:style>
  <w:style w:type="paragraph" w:styleId="ListNumber3">
    <w:name w:val="List Number 3"/>
    <w:basedOn w:val="H23"/>
    <w:next w:val="Normal"/>
    <w:semiHidden/>
    <w:pPr>
      <w:numPr>
        <w:numId w:val="7"/>
      </w:numPr>
      <w:tabs>
        <w:tab w:val="clear" w:pos="926"/>
        <w:tab w:val="num" w:pos="792"/>
      </w:tabs>
      <w:ind w:left="792" w:hanging="317"/>
    </w:pPr>
  </w:style>
  <w:style w:type="paragraph" w:styleId="ListNumber4">
    <w:name w:val="List Number 4"/>
    <w:basedOn w:val="H4"/>
    <w:next w:val="Normal"/>
    <w:semiHidden/>
    <w:pPr>
      <w:numPr>
        <w:numId w:val="9"/>
      </w:numPr>
      <w:tabs>
        <w:tab w:val="clear" w:pos="1209"/>
        <w:tab w:val="num" w:pos="792"/>
      </w:tabs>
      <w:ind w:left="792" w:hanging="317"/>
    </w:pPr>
  </w:style>
  <w:style w:type="paragraph" w:styleId="ListNumber5">
    <w:name w:val="List Number 5"/>
    <w:basedOn w:val="Normal"/>
    <w:next w:val="Normal"/>
    <w:semiHidden/>
    <w:pPr>
      <w:numPr>
        <w:numId w:val="11"/>
      </w:numPr>
      <w:tabs>
        <w:tab w:val="clear" w:pos="1492"/>
        <w:tab w:val="num" w:pos="792"/>
      </w:tabs>
      <w:ind w:left="792" w:hanging="317"/>
    </w:pPr>
  </w:style>
  <w:style w:type="paragraph" w:customStyle="1" w:styleId="Small">
    <w:name w:val="Small"/>
    <w:basedOn w:val="Normal"/>
    <w:next w:val="Normal"/>
    <w:pPr>
      <w:tabs>
        <w:tab w:val="right" w:pos="9965"/>
      </w:tabs>
      <w:spacing w:line="210" w:lineRule="exact"/>
    </w:pPr>
    <w:rPr>
      <w:spacing w:val="5"/>
      <w:w w:val="104"/>
      <w:sz w:val="17"/>
    </w:rPr>
  </w:style>
  <w:style w:type="paragraph" w:customStyle="1" w:styleId="SmallX">
    <w:name w:val="SmallX"/>
    <w:basedOn w:val="Small"/>
    <w:next w:val="Normal"/>
    <w:pPr>
      <w:spacing w:line="180" w:lineRule="exact"/>
      <w:jc w:val="right"/>
    </w:pPr>
    <w:rPr>
      <w:spacing w:val="6"/>
      <w:w w:val="106"/>
      <w:sz w:val="14"/>
    </w:rPr>
  </w:style>
  <w:style w:type="paragraph" w:customStyle="1" w:styleId="XLarge">
    <w:name w:val="XLarge"/>
    <w:basedOn w:val="HM"/>
    <w:pPr>
      <w:tabs>
        <w:tab w:val="right" w:leader="dot" w:pos="360"/>
      </w:tabs>
      <w:spacing w:line="390" w:lineRule="exact"/>
    </w:pPr>
    <w:rPr>
      <w:spacing w:val="-4"/>
      <w:w w:val="98"/>
      <w:sz w:val="40"/>
    </w:rPr>
  </w:style>
  <w:style w:type="paragraph" w:customStyle="1" w:styleId="AnnexHdg">
    <w:name w:val="Annex Hdg"/>
    <w:basedOn w:val="Normal"/>
    <w:pPr>
      <w:keepNext/>
      <w:keepLines/>
      <w:suppressAutoHyphens/>
      <w:spacing w:after="120" w:line="240" w:lineRule="auto"/>
      <w:jc w:val="center"/>
    </w:pPr>
    <w:rPr>
      <w:b/>
      <w:noProof/>
      <w:spacing w:val="0"/>
      <w:w w:val="100"/>
      <w:sz w:val="18"/>
    </w:rPr>
  </w:style>
  <w:style w:type="paragraph" w:customStyle="1" w:styleId="AnnexeHdg">
    <w:name w:val="Annexe Hdg"/>
    <w:basedOn w:val="Normal"/>
    <w:pPr>
      <w:keepNext/>
      <w:keepLines/>
      <w:spacing w:after="120" w:line="240" w:lineRule="auto"/>
      <w:jc w:val="center"/>
    </w:pPr>
    <w:rPr>
      <w:b/>
      <w:i/>
      <w:spacing w:val="0"/>
      <w:w w:val="100"/>
      <w:lang w:val="fr-FR"/>
    </w:rPr>
  </w:style>
  <w:style w:type="paragraph" w:customStyle="1" w:styleId="Annexital">
    <w:name w:val="Annex ital"/>
    <w:basedOn w:val="Normal"/>
    <w:autoRedefine/>
    <w:pPr>
      <w:keepNext/>
      <w:spacing w:after="100" w:line="220" w:lineRule="exact"/>
    </w:pPr>
    <w:rPr>
      <w:i/>
      <w:sz w:val="18"/>
      <w:lang w:val="en-GB"/>
    </w:rPr>
  </w:style>
  <w:style w:type="paragraph" w:styleId="CommentText">
    <w:name w:val="annotation text"/>
    <w:basedOn w:val="Normal"/>
    <w:semiHidden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comments" Target="comments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fontTable" Target="fontTable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43</TotalTime>
  <Pages>3</Pages>
  <Words>4997</Words>
  <Characters>28487</Characters>
  <Application>Microsoft Office Outlook</Application>
  <DocSecurity>4</DocSecurity>
  <Lines>237</Lines>
  <Paragraphs>56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 </vt:lpstr>
    </vt:vector>
  </TitlesOfParts>
  <Company>United Nations</Company>
  <LinksUpToDate>false</LinksUpToDate>
  <CharactersWithSpaces>34984</CharactersWithSpaces>
  <SharedDoc>false</SharedDoc>
  <HLinks>
    <vt:vector size="6" baseType="variant">
      <vt:variant>
        <vt:i4>4522087</vt:i4>
      </vt:variant>
      <vt:variant>
        <vt:i4>70354</vt:i4>
      </vt:variant>
      <vt:variant>
        <vt:i4>1025</vt:i4>
      </vt:variant>
      <vt:variant>
        <vt:i4>1</vt:i4>
      </vt:variant>
      <vt:variant>
        <vt:lpwstr>C:\Program Files\Microsoft Office\WordMacros\_unlogo.wpg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Natalia.Korshunova</dc:creator>
  <cp:keywords/>
  <dc:description/>
  <cp:lastModifiedBy>Irina.Zinovieva</cp:lastModifiedBy>
  <cp:revision>14</cp:revision>
  <cp:lastPrinted>2006-02-01T16:02:00Z</cp:lastPrinted>
  <dcterms:created xsi:type="dcterms:W3CDTF">2006-02-01T14:47:00Z</dcterms:created>
  <dcterms:modified xsi:type="dcterms:W3CDTF">2006-02-01T18:39:00Z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JobNo">
    <vt:lpwstr>0321465</vt:lpwstr>
  </property>
  <property fmtid="{D5CDD505-2E9C-101B-9397-08002B2CF9AE}" pid="3" name="Symbol1">
    <vt:lpwstr>CEDAW/C/SR.594</vt:lpwstr>
  </property>
  <property fmtid="{D5CDD505-2E9C-101B-9397-08002B2CF9AE}" pid="4" name="Symbol2">
    <vt:lpwstr/>
  </property>
  <property fmtid="{D5CDD505-2E9C-101B-9397-08002B2CF9AE}" pid="5" name="Translator">
    <vt:lpwstr/>
  </property>
  <property fmtid="{D5CDD505-2E9C-101B-9397-08002B2CF9AE}" pid="6" name="Comment">
    <vt:lpwstr/>
  </property>
  <property fmtid="{D5CDD505-2E9C-101B-9397-08002B2CF9AE}" pid="7" name="DraftPages">
    <vt:lpwstr> 10</vt:lpwstr>
  </property>
  <property fmtid="{D5CDD505-2E9C-101B-9397-08002B2CF9AE}" pid="8" name="Operator">
    <vt:lpwstr>Blaskovich</vt:lpwstr>
  </property>
</Properties>
</file>