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C7C" w:rsidRDefault="00BD2C7C" w:rsidP="00BD2C7C">
      <w:pPr>
        <w:spacing w:line="60" w:lineRule="exact"/>
        <w:rPr>
          <w:sz w:val="6"/>
        </w:rPr>
        <w:sectPr w:rsidR="00BD2C7C" w:rsidSect="00BD2C7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BD2C7C" w:rsidRDefault="00BD2C7C" w:rsidP="00BD2C7C">
      <w:pPr>
        <w:spacing w:line="60" w:lineRule="exact"/>
        <w:rPr>
          <w:sz w:val="6"/>
        </w:rPr>
      </w:pPr>
    </w:p>
    <w:p w:rsidR="00F05BE6" w:rsidRDefault="00F05BE6" w:rsidP="00F05B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ab/>
        <w:t>消除对妇女歧视委员会</w:t>
      </w:r>
    </w:p>
    <w:p w:rsidR="00F05BE6" w:rsidRDefault="00F05BE6" w:rsidP="00F05B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ab/>
        <w:t>会前工作组</w:t>
      </w:r>
    </w:p>
    <w:p w:rsidR="00F05BE6" w:rsidRDefault="00F05BE6" w:rsidP="00F05B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ab/>
        <w:t>第四十六届会议</w:t>
      </w:r>
    </w:p>
    <w:p w:rsidR="00F05BE6" w:rsidRDefault="00F05BE6" w:rsidP="00F05BE6">
      <w:pPr>
        <w:pStyle w:val="SingleTxt"/>
        <w:spacing w:after="60"/>
        <w:ind w:left="4"/>
        <w:rPr>
          <w:rFonts w:hint="eastAsia"/>
        </w:rPr>
      </w:pPr>
      <w:r>
        <w:rPr>
          <w:rFonts w:hint="eastAsia"/>
        </w:rPr>
        <w:t>2010年7月12日至30日</w:t>
      </w:r>
    </w:p>
    <w:p w:rsidR="00F05BE6" w:rsidRPr="00F05BE6" w:rsidRDefault="00F05BE6" w:rsidP="00F05B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05BE6" w:rsidRPr="00F05BE6" w:rsidRDefault="00F05BE6" w:rsidP="00F05B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94284" w:rsidRPr="00194284" w:rsidRDefault="00194284" w:rsidP="001942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05BE6" w:rsidRDefault="00F05BE6" w:rsidP="00F05B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F05BE6" w:rsidRPr="00F05BE6" w:rsidRDefault="00F05BE6" w:rsidP="00F05B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05BE6" w:rsidRPr="00F05BE6" w:rsidRDefault="00F05BE6" w:rsidP="00F05B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05BE6" w:rsidRDefault="00F05BE6" w:rsidP="00F05B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阿尔巴尼亚</w:t>
      </w:r>
    </w:p>
    <w:p w:rsidR="00F05BE6" w:rsidRPr="00F05BE6" w:rsidRDefault="00F05BE6" w:rsidP="00F05BE6">
      <w:pPr>
        <w:pStyle w:val="SingleTxt"/>
        <w:spacing w:after="0" w:line="120" w:lineRule="exact"/>
        <w:rPr>
          <w:rFonts w:hint="eastAsia"/>
          <w:sz w:val="10"/>
        </w:rPr>
      </w:pPr>
    </w:p>
    <w:p w:rsidR="00F05BE6" w:rsidRPr="00F05BE6" w:rsidRDefault="00F05BE6" w:rsidP="00F05BE6">
      <w:pPr>
        <w:pStyle w:val="SingleTxt"/>
        <w:spacing w:after="0" w:line="120" w:lineRule="exact"/>
        <w:rPr>
          <w:rFonts w:hint="eastAsia"/>
          <w:sz w:val="10"/>
        </w:rPr>
      </w:pPr>
    </w:p>
    <w:p w:rsidR="00F05BE6" w:rsidRDefault="00F05BE6" w:rsidP="00F05BE6">
      <w:pPr>
        <w:pStyle w:val="SingleTxt"/>
        <w:rPr>
          <w:rFonts w:hint="eastAsia"/>
        </w:rPr>
      </w:pPr>
      <w:r>
        <w:rPr>
          <w:rFonts w:hint="eastAsia"/>
        </w:rPr>
        <w:tab/>
        <w:t>会前工作组审查了阿尔巴尼亚的第三次定期报告(CEDAW/C/ALB/3)。</w:t>
      </w:r>
    </w:p>
    <w:p w:rsidR="00F05BE6" w:rsidRDefault="00F05BE6" w:rsidP="00F05B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概述</w:t>
      </w:r>
    </w:p>
    <w:p w:rsidR="00F05BE6" w:rsidRPr="00F05BE6" w:rsidRDefault="00F05BE6" w:rsidP="00F05BE6">
      <w:pPr>
        <w:pStyle w:val="SingleTxt"/>
        <w:spacing w:after="0" w:line="120" w:lineRule="exact"/>
        <w:rPr>
          <w:rFonts w:hint="eastAsia"/>
          <w:sz w:val="10"/>
        </w:rPr>
      </w:pPr>
    </w:p>
    <w:p w:rsidR="00F05BE6" w:rsidRDefault="00F05BE6" w:rsidP="00F05BE6">
      <w:pPr>
        <w:pStyle w:val="SingleTxt"/>
        <w:rPr>
          <w:rFonts w:hint="eastAsia"/>
        </w:rPr>
      </w:pPr>
      <w:r>
        <w:rPr>
          <w:rFonts w:hint="eastAsia"/>
        </w:rPr>
        <w:t>1.</w:t>
      </w:r>
      <w:r>
        <w:rPr>
          <w:rFonts w:hint="eastAsia"/>
        </w:rPr>
        <w:tab/>
        <w:t>请提供资料，说明阿尔巴尼亚共和国第三次定期报告是否已获政府通过并提交议会。还请说明委员会审议阿尔巴尼亚合并的初次和第二次定期报告之后通过的结论意见是否已译成国语，以及传播这些意见的方式和对象，以使阿尔巴尼亚人民，特别是政府官员和政治人士了解为确保法律上和事实上男女平等而必需采取的步骤。</w:t>
      </w:r>
    </w:p>
    <w:p w:rsidR="00F05BE6" w:rsidRDefault="00F05BE6" w:rsidP="00F05B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宪法、立法和体制框架</w:t>
      </w:r>
    </w:p>
    <w:p w:rsidR="00F05BE6" w:rsidRPr="00F05BE6" w:rsidRDefault="00F05BE6" w:rsidP="00F05BE6">
      <w:pPr>
        <w:pStyle w:val="SingleTxt"/>
        <w:spacing w:after="0" w:line="120" w:lineRule="exact"/>
        <w:rPr>
          <w:sz w:val="10"/>
        </w:rPr>
      </w:pPr>
    </w:p>
    <w:p w:rsidR="00F05BE6" w:rsidRDefault="00F05BE6" w:rsidP="00F05BE6">
      <w:pPr>
        <w:pStyle w:val="SingleTxt"/>
        <w:rPr>
          <w:rFonts w:hint="eastAsia"/>
        </w:rPr>
      </w:pPr>
      <w:r>
        <w:rPr>
          <w:rFonts w:hint="eastAsia"/>
        </w:rPr>
        <w:t>2.</w:t>
      </w:r>
      <w:r>
        <w:rPr>
          <w:rFonts w:hint="eastAsia"/>
        </w:rPr>
        <w:tab/>
        <w:t>第三次定期报告第3段指出，根据《阿尔巴尼亚共和国宪法》第122条规定，作为一项国际文书，《公约》“将构成国内法律体系的一个组成部分，直接得到执行，如果国家法律与其相抵触，以《公约》为准”。然而，在核心文件</w:t>
      </w:r>
      <w:r w:rsidR="00173719">
        <w:rPr>
          <w:rFonts w:hint="eastAsia"/>
        </w:rPr>
        <w:t>(HRI/CORE/1/Add.124，</w:t>
      </w:r>
      <w:r>
        <w:rPr>
          <w:rFonts w:hint="eastAsia"/>
        </w:rPr>
        <w:t>第106段)中，这项国际法优于国内法原则设有条件限制，即国际协定“明确预见直接遵守”。请阐明直接遵守的先决条件以及如何影响充分执行《公约》。请详细说明运用或提及《公约》的任何法庭案件。还请提供关于法庭案件结果的资料，并说明向歧视受害者提供的行政或其他补偿。</w:t>
      </w:r>
    </w:p>
    <w:p w:rsidR="00F05BE6" w:rsidRDefault="00F05BE6" w:rsidP="00F05BE6">
      <w:pPr>
        <w:pStyle w:val="SingleTxt"/>
        <w:rPr>
          <w:rFonts w:hint="eastAsia"/>
        </w:rPr>
      </w:pPr>
      <w:r>
        <w:rPr>
          <w:rFonts w:hint="eastAsia"/>
        </w:rPr>
        <w:t>3.</w:t>
      </w:r>
      <w:r>
        <w:rPr>
          <w:rFonts w:hint="eastAsia"/>
        </w:rPr>
        <w:tab/>
        <w:t>该缔约国在其报告中提到一些正在拟订的立法修正案和立法，如《社会中两性均等法案》</w:t>
      </w:r>
      <w:r>
        <w:t>(2006</w:t>
      </w:r>
      <w:r>
        <w:rPr>
          <w:rFonts w:hint="eastAsia"/>
        </w:rPr>
        <w:t>年第9534号</w:t>
      </w:r>
      <w:r>
        <w:t>)</w:t>
      </w:r>
      <w:r>
        <w:rPr>
          <w:rFonts w:hint="eastAsia"/>
        </w:rPr>
        <w:t>和订正的《选举法》。请提供最新资料，说明通过这些修正案的状况。是否预期新的《社会中两性均等法案》将弥合该报告第23段中查明的《2004年法》差距，是否预期禁止公私部门中的性歧视和性别歧视？</w:t>
      </w:r>
    </w:p>
    <w:p w:rsidR="00F05BE6" w:rsidRDefault="00F05BE6" w:rsidP="00F05BE6">
      <w:pPr>
        <w:pStyle w:val="SingleTxt"/>
        <w:rPr>
          <w:rFonts w:hint="eastAsia"/>
        </w:rPr>
      </w:pPr>
      <w:r>
        <w:rPr>
          <w:rFonts w:hint="eastAsia"/>
        </w:rPr>
        <w:t>4.</w:t>
      </w:r>
      <w:r>
        <w:rPr>
          <w:rFonts w:hint="eastAsia"/>
        </w:rPr>
        <w:tab/>
      </w:r>
      <w:r w:rsidRPr="00194284">
        <w:rPr>
          <w:rFonts w:hint="eastAsia"/>
          <w:spacing w:val="2"/>
        </w:rPr>
        <w:t>请说明是否已在国内立法中列入歧视妇女的定义，包括根据第1条列入直接和间接歧视，以及根据第2条列入扩大到公私行为体的歧视行为。还请说明是否已按照委员会上次结论意见</w:t>
      </w:r>
      <w:r w:rsidRPr="00194284">
        <w:rPr>
          <w:rStyle w:val="FootnoteReference"/>
          <w:spacing w:val="2"/>
        </w:rPr>
        <w:footnoteReference w:id="1"/>
      </w:r>
      <w:r w:rsidRPr="00194284">
        <w:rPr>
          <w:spacing w:val="2"/>
        </w:rPr>
        <w:t xml:space="preserve"> </w:t>
      </w:r>
      <w:r w:rsidRPr="00194284">
        <w:rPr>
          <w:rFonts w:hint="eastAsia"/>
          <w:spacing w:val="2"/>
        </w:rPr>
        <w:t>的建议全面审查法律，以确保国内法符合《公约》。</w:t>
      </w:r>
      <w:r>
        <w:rPr>
          <w:rFonts w:hint="eastAsia"/>
        </w:rPr>
        <w:t xml:space="preserve"> </w:t>
      </w:r>
    </w:p>
    <w:p w:rsidR="00F05BE6" w:rsidRDefault="00F05BE6" w:rsidP="00F05BE6">
      <w:pPr>
        <w:pStyle w:val="SingleTxt"/>
        <w:rPr>
          <w:rFonts w:hint="eastAsia"/>
        </w:rPr>
      </w:pPr>
      <w:r>
        <w:rPr>
          <w:rFonts w:hint="eastAsia"/>
        </w:rPr>
        <w:t>5.</w:t>
      </w:r>
      <w:r>
        <w:rPr>
          <w:rFonts w:hint="eastAsia"/>
        </w:rPr>
        <w:tab/>
        <w:t>根据报告第23段，阿尔巴尼亚法律制度要求，诉诸法庭争取纠正侵犯其权利行为的公民必须“说明他们提出申请所依据的某项法律的具体法律，而不是《宪法》规定的一般权利”。请说明目前向妇女提供辩护律师和法律援助服务的情况，包括少数民族妇女和语言上的少数群体妇女、农村妇女和弱势群体妇女，以确保妇女利用现有的法律资源战胜歧视。还请说明如果指控基于性和性别的歧视</w:t>
      </w:r>
      <w:r w:rsidR="0071550D">
        <w:rPr>
          <w:rFonts w:hint="eastAsia"/>
        </w:rPr>
        <w:t>(</w:t>
      </w:r>
      <w:r>
        <w:rPr>
          <w:rFonts w:hint="eastAsia"/>
        </w:rPr>
        <w:t>特别是性骚扰</w:t>
      </w:r>
      <w:r w:rsidR="0071550D">
        <w:rPr>
          <w:rFonts w:hint="eastAsia"/>
        </w:rPr>
        <w:t>)</w:t>
      </w:r>
      <w:r>
        <w:rPr>
          <w:rFonts w:hint="eastAsia"/>
        </w:rPr>
        <w:t>，以及基于保护孕产、就业及获取和供应货物和服务的歧视，法律是否规定取消举证责任。</w:t>
      </w:r>
    </w:p>
    <w:p w:rsidR="00F05BE6" w:rsidRDefault="00F05BE6" w:rsidP="00F05BE6">
      <w:pPr>
        <w:pStyle w:val="SingleTxt"/>
        <w:rPr>
          <w:rFonts w:hint="eastAsia"/>
        </w:rPr>
      </w:pPr>
      <w:r>
        <w:rPr>
          <w:rFonts w:hint="eastAsia"/>
        </w:rPr>
        <w:t>6.</w:t>
      </w:r>
      <w:r>
        <w:rPr>
          <w:rFonts w:hint="eastAsia"/>
        </w:rPr>
        <w:tab/>
        <w:t>报告指出《2004年两性均等法》关于暂行特别措施的规定从未得到执行，并注意到预期</w:t>
      </w:r>
      <w:r w:rsidR="00D461B7">
        <w:rPr>
          <w:rFonts w:hint="eastAsia"/>
        </w:rPr>
        <w:t>根据</w:t>
      </w:r>
      <w:r>
        <w:rPr>
          <w:rFonts w:hint="eastAsia"/>
        </w:rPr>
        <w:t>《两性均等新法案》在一些领域采取暂行特别措施，如决策、公共生活、就业和教育</w:t>
      </w:r>
      <w:r w:rsidR="00194284">
        <w:rPr>
          <w:rFonts w:hint="eastAsia"/>
        </w:rPr>
        <w:t>(CEDAW/C/ALB/3，</w:t>
      </w:r>
      <w:r>
        <w:rPr>
          <w:rFonts w:hint="eastAsia"/>
        </w:rPr>
        <w:t>第59段)。请详细阐述执行2004年立法的要素及遇到的困难，并解释预期新法案获得通过后，如何在前一项法律失败之处取得成功。作为国内法律制度构成部分的新法案是否完全符合《公约》第4条第1款和委员会一般性建议25？</w:t>
      </w:r>
    </w:p>
    <w:p w:rsidR="00F05BE6" w:rsidRDefault="00F05BE6" w:rsidP="00F05BE6">
      <w:pPr>
        <w:pStyle w:val="SingleTxt"/>
        <w:rPr>
          <w:rFonts w:hint="eastAsia"/>
        </w:rPr>
      </w:pPr>
      <w:r>
        <w:rPr>
          <w:rFonts w:hint="eastAsia"/>
        </w:rPr>
        <w:t>7.</w:t>
      </w:r>
      <w:r>
        <w:rPr>
          <w:rFonts w:hint="eastAsia"/>
        </w:rPr>
        <w:tab/>
        <w:t>请说明促进提高妇女地位的国家机构，以及是否已设立《两性均等法案》设想的新机制。请说明这些新机制是否将取代当前机制或是否作为其补充，若作为补充，请阐明每个机构的作用和责任，以及已经设立或即将设立的协调机制。请说明阿尔巴尼亚政府是否计划设立一个负责处理两性平等问题的完全独立的机构，其任务是受理投诉，以及制订和协调已有效纳入主流的既强有力又始终如一的对性别问题有敏感认识的活动和方案，并让所有部委都对此负起责任。</w:t>
      </w:r>
    </w:p>
    <w:p w:rsidR="00F05BE6" w:rsidRDefault="00F05BE6" w:rsidP="00F05BE6">
      <w:pPr>
        <w:pStyle w:val="SingleTxt"/>
        <w:rPr>
          <w:rFonts w:hint="eastAsia"/>
        </w:rPr>
      </w:pPr>
      <w:r>
        <w:rPr>
          <w:rFonts w:hint="eastAsia"/>
        </w:rPr>
        <w:t>8.</w:t>
      </w:r>
      <w:r>
        <w:rPr>
          <w:rFonts w:hint="eastAsia"/>
        </w:rPr>
        <w:tab/>
        <w:t>委员会在上次结论意见中建议，通过性别培训和设立协调中心</w:t>
      </w:r>
      <w:r w:rsidR="00D461B7">
        <w:rPr>
          <w:rStyle w:val="FootnoteReference"/>
        </w:rPr>
        <w:footnoteReference w:id="2"/>
      </w:r>
      <w:r>
        <w:rPr>
          <w:rFonts w:hint="eastAsia"/>
        </w:rPr>
        <w:t xml:space="preserve"> 在各部、各项政策和方案中加强性别平等主流化。在此方面采取了哪些措施？请说明如何将两性平等观点和两性平等目标纳入缔约国在本报告所述期间开展的所有活动，如何在预算拨款中体现出这一</w:t>
      </w:r>
      <w:r w:rsidR="00D461B7">
        <w:rPr>
          <w:rFonts w:hint="eastAsia"/>
        </w:rPr>
        <w:t>情况</w:t>
      </w:r>
      <w:r>
        <w:rPr>
          <w:rFonts w:hint="eastAsia"/>
        </w:rPr>
        <w:t xml:space="preserve">，以及是否已经进行性别培训。 </w:t>
      </w:r>
    </w:p>
    <w:p w:rsidR="00F05BE6" w:rsidRDefault="00F05BE6" w:rsidP="00F05BE6">
      <w:pPr>
        <w:pStyle w:val="SingleTxt"/>
        <w:rPr>
          <w:rFonts w:hint="eastAsia"/>
        </w:rPr>
      </w:pPr>
      <w:r>
        <w:rPr>
          <w:rFonts w:hint="eastAsia"/>
        </w:rPr>
        <w:t>9.</w:t>
      </w:r>
      <w:r>
        <w:rPr>
          <w:rFonts w:hint="eastAsia"/>
        </w:rPr>
        <w:tab/>
        <w:t xml:space="preserve">请提供统计数据，说明向人民代言人举报的歧视妇女案件数目以及对这些案件作出的最后裁定。请具体说明人民代言人是否负责审查就业和私生活中的歧视案件，或在公共领域之外针对特定脆弱群体的歧视案件。 </w:t>
      </w:r>
    </w:p>
    <w:p w:rsidR="00F05BE6" w:rsidRDefault="00F05BE6" w:rsidP="00D461B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定型观念和文化习俗</w:t>
      </w:r>
    </w:p>
    <w:p w:rsidR="00D461B7" w:rsidRPr="00D461B7" w:rsidRDefault="00D461B7" w:rsidP="00D461B7">
      <w:pPr>
        <w:pStyle w:val="SingleTxt"/>
        <w:spacing w:after="0" w:line="120" w:lineRule="exact"/>
        <w:rPr>
          <w:sz w:val="10"/>
        </w:rPr>
      </w:pPr>
    </w:p>
    <w:p w:rsidR="00F05BE6" w:rsidRDefault="00F05BE6" w:rsidP="00F05BE6">
      <w:pPr>
        <w:pStyle w:val="SingleTxt"/>
        <w:rPr>
          <w:rFonts w:hint="eastAsia"/>
        </w:rPr>
      </w:pPr>
      <w:r>
        <w:rPr>
          <w:rFonts w:hint="eastAsia"/>
        </w:rPr>
        <w:t>10.</w:t>
      </w:r>
      <w:r>
        <w:rPr>
          <w:rFonts w:hint="eastAsia"/>
        </w:rPr>
        <w:tab/>
        <w:t>委员会在上次结论意见</w:t>
      </w:r>
      <w:r w:rsidR="00D461B7">
        <w:rPr>
          <w:rStyle w:val="FootnoteReference"/>
        </w:rPr>
        <w:footnoteReference w:id="3"/>
      </w:r>
      <w:r>
        <w:rPr>
          <w:rFonts w:hint="eastAsia"/>
        </w:rPr>
        <w:t xml:space="preserve"> 中表示关切的是，根深蒂固的传统定型观念持续存在，该国北部某些地区歧视性习惯法</w:t>
      </w:r>
      <w:r w:rsidR="0071550D">
        <w:rPr>
          <w:rFonts w:hint="eastAsia"/>
        </w:rPr>
        <w:t>(</w:t>
      </w:r>
      <w:r>
        <w:rPr>
          <w:rFonts w:hint="eastAsia"/>
        </w:rPr>
        <w:t>kanun</w:t>
      </w:r>
      <w:r w:rsidR="0071550D">
        <w:rPr>
          <w:rFonts w:hint="eastAsia"/>
        </w:rPr>
        <w:t>)</w:t>
      </w:r>
      <w:r>
        <w:rPr>
          <w:rFonts w:hint="eastAsia"/>
        </w:rPr>
        <w:t>和传统行为守则死灰复燃。该报告</w:t>
      </w:r>
      <w:r w:rsidR="00194284">
        <w:rPr>
          <w:rFonts w:hint="eastAsia"/>
        </w:rPr>
        <w:t>(CEDAW/C/ALB/3，</w:t>
      </w:r>
      <w:r>
        <w:rPr>
          <w:rFonts w:hint="eastAsia"/>
        </w:rPr>
        <w:t xml:space="preserve">第75段)阐述了为克服这些态度所采取的措施，请提供资料说明这些措施取得的成果，并指出是否已经利用明确的战略和可衡量的指标评价所取得的进展。在此方面，还请说明已经采取哪些措施，处理教育系统中男女定型角色的情况，主要方式包括在教师初次培训中纳入两性平等观念、再培训和在职培训方案以及在教育系统各级修订课本和学校课程。 </w:t>
      </w:r>
    </w:p>
    <w:p w:rsidR="00F05BE6" w:rsidRDefault="00F05BE6" w:rsidP="00D461B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暴力侵害妇女行为</w:t>
      </w:r>
    </w:p>
    <w:p w:rsidR="00D461B7" w:rsidRPr="00D461B7" w:rsidRDefault="00D461B7" w:rsidP="00D461B7">
      <w:pPr>
        <w:pStyle w:val="SingleTxt"/>
        <w:spacing w:after="0" w:line="120" w:lineRule="exact"/>
        <w:rPr>
          <w:sz w:val="10"/>
        </w:rPr>
      </w:pPr>
    </w:p>
    <w:p w:rsidR="00F05BE6" w:rsidRDefault="00F05BE6" w:rsidP="00F05BE6">
      <w:pPr>
        <w:pStyle w:val="SingleTxt"/>
        <w:rPr>
          <w:rFonts w:hint="eastAsia"/>
        </w:rPr>
      </w:pPr>
      <w:r>
        <w:rPr>
          <w:rFonts w:hint="eastAsia"/>
        </w:rPr>
        <w:t>11.</w:t>
      </w:r>
      <w:r>
        <w:rPr>
          <w:rFonts w:hint="eastAsia"/>
        </w:rPr>
        <w:tab/>
        <w:t>本报告阐述了为打击暴力侵害妇女行为所制定的一些法律措施和其他措施，包括制定2007-2010年</w:t>
      </w:r>
      <w:r w:rsidR="00D461B7">
        <w:rPr>
          <w:rFonts w:hint="eastAsia"/>
        </w:rPr>
        <w:t>“</w:t>
      </w:r>
      <w:r>
        <w:rPr>
          <w:rFonts w:hint="eastAsia"/>
        </w:rPr>
        <w:t>两性平等和消除家庭暴力战略”；通过</w:t>
      </w:r>
      <w:r w:rsidR="00D461B7">
        <w:rPr>
          <w:rFonts w:hint="eastAsia"/>
        </w:rPr>
        <w:t>“</w:t>
      </w:r>
      <w:r>
        <w:rPr>
          <w:rFonts w:hint="eastAsia"/>
        </w:rPr>
        <w:t>消除家庭关系中暴力行为的措施”法(2006年，第9669号法)；</w:t>
      </w:r>
      <w:r w:rsidR="00D461B7">
        <w:rPr>
          <w:rFonts w:hint="eastAsia"/>
        </w:rPr>
        <w:t>一些执行条例，特别是采取紧急保护性措施的规定。请说明向法庭提出</w:t>
      </w:r>
      <w:r>
        <w:rPr>
          <w:rFonts w:hint="eastAsia"/>
        </w:rPr>
        <w:t>保护令申请</w:t>
      </w:r>
      <w:r w:rsidR="00D461B7">
        <w:rPr>
          <w:rFonts w:hint="eastAsia"/>
        </w:rPr>
        <w:t>的</w:t>
      </w:r>
      <w:r>
        <w:rPr>
          <w:rFonts w:hint="eastAsia"/>
        </w:rPr>
        <w:t>数目，以及法庭签发的保护令数目。请提供关于对家庭暴力者实施的起诉、定罪和处罚数目的法庭统计数据。请说明阿尔巴尼亚政府正在采取什么行动，改进家庭暴力和其他形式的暴力侵害妇女行为的数据收集工作。请说明</w:t>
      </w:r>
      <w:r w:rsidR="00A70526">
        <w:rPr>
          <w:rFonts w:hint="eastAsia"/>
        </w:rPr>
        <w:t>向</w:t>
      </w:r>
      <w:r>
        <w:rPr>
          <w:rFonts w:hint="eastAsia"/>
        </w:rPr>
        <w:t>全国各地家庭暴力受害者庇护所和康复中心</w:t>
      </w:r>
      <w:r w:rsidR="00A70526">
        <w:rPr>
          <w:rFonts w:hint="eastAsia"/>
        </w:rPr>
        <w:t>提供资源</w:t>
      </w:r>
      <w:r>
        <w:rPr>
          <w:rFonts w:hint="eastAsia"/>
        </w:rPr>
        <w:t xml:space="preserve">的情况。请说明制定其余执行条例的时限。 </w:t>
      </w:r>
    </w:p>
    <w:p w:rsidR="00F05BE6" w:rsidRDefault="00F05BE6" w:rsidP="00F05BE6">
      <w:pPr>
        <w:pStyle w:val="SingleTxt"/>
        <w:rPr>
          <w:rFonts w:hint="eastAsia"/>
        </w:rPr>
      </w:pPr>
      <w:r>
        <w:rPr>
          <w:rFonts w:hint="eastAsia"/>
        </w:rPr>
        <w:t>12.</w:t>
      </w:r>
      <w:r>
        <w:rPr>
          <w:rFonts w:hint="eastAsia"/>
        </w:rPr>
        <w:tab/>
        <w:t>2002年国家生殖健康研究报告</w:t>
      </w:r>
      <w:r w:rsidR="00D461B7">
        <w:rPr>
          <w:rFonts w:hint="eastAsia"/>
        </w:rPr>
        <w:t>(CEDAW/C/ALB/3</w:t>
      </w:r>
      <w:r w:rsidR="00194284">
        <w:rPr>
          <w:rFonts w:hint="eastAsia"/>
        </w:rPr>
        <w:t>，</w:t>
      </w:r>
      <w:r>
        <w:rPr>
          <w:rFonts w:hint="eastAsia"/>
        </w:rPr>
        <w:t>第337段)表明，11.5%的阿尔巴尼亚15岁至44岁妇女似曾受到父母虐待，27.2%的人称童年时受到虐待。请提供关于阿尔巴尼亚性虐待泛滥的最新数据和统计数据。还请提供资料，说明政府为处理这一问题所采取的措施。</w:t>
      </w:r>
    </w:p>
    <w:p w:rsidR="00F05BE6" w:rsidRDefault="00F05BE6" w:rsidP="00D461B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贩运人口和利用妇女卖淫营利</w:t>
      </w:r>
    </w:p>
    <w:p w:rsidR="00D461B7" w:rsidRPr="00D461B7" w:rsidRDefault="00D461B7" w:rsidP="00D461B7">
      <w:pPr>
        <w:pStyle w:val="SingleTxt"/>
        <w:spacing w:after="0" w:line="120" w:lineRule="exact"/>
        <w:rPr>
          <w:sz w:val="10"/>
        </w:rPr>
      </w:pPr>
    </w:p>
    <w:p w:rsidR="00F05BE6" w:rsidRDefault="00F05BE6" w:rsidP="00F05BE6">
      <w:pPr>
        <w:pStyle w:val="SingleTxt"/>
        <w:rPr>
          <w:rFonts w:hint="eastAsia"/>
        </w:rPr>
      </w:pPr>
      <w:r>
        <w:rPr>
          <w:rFonts w:hint="eastAsia"/>
        </w:rPr>
        <w:t>13.</w:t>
      </w:r>
      <w:r>
        <w:rPr>
          <w:rFonts w:hint="eastAsia"/>
        </w:rPr>
        <w:tab/>
        <w:t>2003年委员会表示关切的是，</w:t>
      </w:r>
      <w:r w:rsidR="00D461B7">
        <w:rPr>
          <w:rStyle w:val="FootnoteReference"/>
        </w:rPr>
        <w:footnoteReference w:id="4"/>
      </w:r>
      <w:r>
        <w:rPr>
          <w:rFonts w:hint="eastAsia"/>
        </w:rPr>
        <w:t xml:space="preserve"> 贩运人口受害者根据《阿尔巴尼亚刑法典》受到惩罚。报告重申，《阿尔巴尼亚刑法》如果不是欧洲仅有的一个，也是极少数的几个规定妓女承担刑事责任的法律之一</w:t>
      </w:r>
      <w:r w:rsidR="00D461B7">
        <w:rPr>
          <w:rFonts w:hint="eastAsia"/>
        </w:rPr>
        <w:t>(CEDAW/C/ALB/3</w:t>
      </w:r>
      <w:r w:rsidR="00194284">
        <w:rPr>
          <w:rFonts w:hint="eastAsia"/>
        </w:rPr>
        <w:t>，</w:t>
      </w:r>
      <w:r>
        <w:rPr>
          <w:rFonts w:hint="eastAsia"/>
        </w:rPr>
        <w:t>第100段)。请提供资料，说明为处理这一问题所采取的措施。是否对参与卖淫的妇女和女童人数作出评估，是否查明并适当处理驱使妇女和女童卖淫的因素。请提供这方面的资料，其中应列入已经和</w:t>
      </w:r>
      <w:r w:rsidR="0071550D">
        <w:rPr>
          <w:rFonts w:hint="eastAsia"/>
        </w:rPr>
        <w:t>(</w:t>
      </w:r>
      <w:r>
        <w:rPr>
          <w:rFonts w:hint="eastAsia"/>
        </w:rPr>
        <w:t>或</w:t>
      </w:r>
      <w:r w:rsidR="0071550D">
        <w:rPr>
          <w:rFonts w:hint="eastAsia"/>
        </w:rPr>
        <w:t>)</w:t>
      </w:r>
      <w:r>
        <w:rPr>
          <w:rFonts w:hint="eastAsia"/>
        </w:rPr>
        <w:t>计划采取的措施，让想脱离卖淫业的妇女得到康复并重新融入社会，还应列入旨在劝阻嫖娼而采取的措施。</w:t>
      </w:r>
    </w:p>
    <w:p w:rsidR="00F05BE6" w:rsidRDefault="00F05BE6" w:rsidP="00F05BE6">
      <w:pPr>
        <w:pStyle w:val="SingleTxt"/>
        <w:rPr>
          <w:rFonts w:hint="eastAsia"/>
        </w:rPr>
      </w:pPr>
      <w:r>
        <w:rPr>
          <w:rFonts w:hint="eastAsia"/>
        </w:rPr>
        <w:t>14.</w:t>
      </w:r>
      <w:r>
        <w:rPr>
          <w:rFonts w:hint="eastAsia"/>
        </w:rPr>
        <w:tab/>
        <w:t>根据该报告(CEDAW/C/ALB/3，第107段</w:t>
      </w:r>
      <w:r w:rsidR="00D461B7">
        <w:rPr>
          <w:rFonts w:hint="eastAsia"/>
        </w:rPr>
        <w:t>)</w:t>
      </w:r>
      <w:r w:rsidR="00194284">
        <w:rPr>
          <w:rFonts w:hint="eastAsia"/>
        </w:rPr>
        <w:t>，</w:t>
      </w:r>
      <w:r w:rsidR="00D461B7">
        <w:rPr>
          <w:rFonts w:hint="eastAsia"/>
        </w:rPr>
        <w:t>该国政府继续努力使法律框架更加完整，以便在</w:t>
      </w:r>
      <w:r>
        <w:rPr>
          <w:rFonts w:hint="eastAsia"/>
        </w:rPr>
        <w:t>贩运人口领域达到国际要求的标准。请说明查明的国内法差距，以及该国政府计划如何弥合这些差距。</w:t>
      </w:r>
    </w:p>
    <w:p w:rsidR="00F05BE6" w:rsidRDefault="00F05BE6" w:rsidP="00F05BE6">
      <w:pPr>
        <w:pStyle w:val="SingleTxt"/>
        <w:rPr>
          <w:rFonts w:hint="eastAsia"/>
        </w:rPr>
      </w:pPr>
      <w:r>
        <w:rPr>
          <w:rFonts w:hint="eastAsia"/>
        </w:rPr>
        <w:t>15.</w:t>
      </w:r>
      <w:r>
        <w:rPr>
          <w:rFonts w:hint="eastAsia"/>
        </w:rPr>
        <w:tab/>
        <w:t>请提供统计数据</w:t>
      </w:r>
      <w:r w:rsidR="0071550D">
        <w:rPr>
          <w:rFonts w:hint="eastAsia"/>
        </w:rPr>
        <w:t>(</w:t>
      </w:r>
      <w:r>
        <w:rPr>
          <w:rFonts w:hint="eastAsia"/>
        </w:rPr>
        <w:t>如果有的话)</w:t>
      </w:r>
      <w:r w:rsidR="00173719">
        <w:rPr>
          <w:rFonts w:hint="eastAsia"/>
        </w:rPr>
        <w:t>，说明</w:t>
      </w:r>
      <w:r>
        <w:rPr>
          <w:rFonts w:hint="eastAsia"/>
        </w:rPr>
        <w:t>为性剥削和经济剥削目的内部贩运妇女和女童的受害者人数。</w:t>
      </w:r>
    </w:p>
    <w:p w:rsidR="00F05BE6" w:rsidRDefault="00F05BE6" w:rsidP="00F05BE6">
      <w:pPr>
        <w:pStyle w:val="SingleTxt"/>
        <w:rPr>
          <w:rFonts w:hint="eastAsia"/>
        </w:rPr>
      </w:pPr>
      <w:r>
        <w:rPr>
          <w:rFonts w:hint="eastAsia"/>
        </w:rPr>
        <w:t>16.</w:t>
      </w:r>
      <w:r>
        <w:rPr>
          <w:rFonts w:hint="eastAsia"/>
        </w:rPr>
        <w:tab/>
        <w:t>该报告提到《2005-2007年打击贩运人口国家战略》以及《2008-2010年新战略及其行动计划》。请说明《2005-2007年战略》的评价情况，并解释新《战略》是否正在执行。如果是，该战略是否涉及内部贩运人口问题，并规定支持和援助贩运人口受害者，包括身心康复及重新融入社会。</w:t>
      </w:r>
    </w:p>
    <w:p w:rsidR="00F05BE6" w:rsidRDefault="00F05BE6" w:rsidP="00D461B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参加决策及在国际一级的任职情况</w:t>
      </w:r>
    </w:p>
    <w:p w:rsidR="00D461B7" w:rsidRPr="00D461B7" w:rsidRDefault="00D461B7" w:rsidP="00D461B7">
      <w:pPr>
        <w:pStyle w:val="SingleTxt"/>
        <w:spacing w:after="0" w:line="120" w:lineRule="exact"/>
        <w:rPr>
          <w:sz w:val="10"/>
        </w:rPr>
      </w:pPr>
    </w:p>
    <w:p w:rsidR="00F05BE6" w:rsidRDefault="00F05BE6" w:rsidP="00F05BE6">
      <w:pPr>
        <w:pStyle w:val="SingleTxt"/>
        <w:rPr>
          <w:rFonts w:hint="eastAsia"/>
        </w:rPr>
      </w:pPr>
      <w:r>
        <w:rPr>
          <w:rFonts w:hint="eastAsia"/>
        </w:rPr>
        <w:t>17.</w:t>
      </w:r>
      <w:r>
        <w:rPr>
          <w:rFonts w:hint="eastAsia"/>
        </w:rPr>
        <w:tab/>
        <w:t>鉴于妇女在公共和政治生活中的任职人数非常少</w:t>
      </w:r>
      <w:r w:rsidR="0071550D">
        <w:rPr>
          <w:rFonts w:hint="eastAsia"/>
        </w:rPr>
        <w:t>(</w:t>
      </w:r>
      <w:r>
        <w:rPr>
          <w:rFonts w:hint="eastAsia"/>
        </w:rPr>
        <w:t>即在议会中占7.1%</w:t>
      </w:r>
      <w:r w:rsidR="0071550D">
        <w:rPr>
          <w:rFonts w:hint="eastAsia"/>
        </w:rPr>
        <w:t>)</w:t>
      </w:r>
      <w:r>
        <w:rPr>
          <w:rFonts w:hint="eastAsia"/>
        </w:rPr>
        <w:t xml:space="preserve">，政府设想通过《社会中两性平等》法案，确定男女在政治和公共决策部门任职的最低30%配额(CEDAW/C/ALB/3，第146段)。请提供关于通过这一性别配额的最新资料，并说明在地方选举和议会选举的比例制中使用性别配额的差异。还请说明如何强制执行所设想的针对政党和非营利组织的财政制裁，包括在不遵守名单上男女候选人的先后次序方面。请说明政府采取的其他措施，包括根据《公约》第4条第1款采取暂行特别措施，以增加妇女在公务部门担任管理职务及在外交和司法部门担任领导职务的人数，以及这些措施所产生的影响。 </w:t>
      </w:r>
    </w:p>
    <w:p w:rsidR="00F05BE6" w:rsidRDefault="00F05BE6" w:rsidP="00F05BE6">
      <w:pPr>
        <w:pStyle w:val="SingleTxt"/>
        <w:rPr>
          <w:rFonts w:hint="eastAsia"/>
        </w:rPr>
      </w:pPr>
      <w:r>
        <w:rPr>
          <w:rFonts w:hint="eastAsia"/>
        </w:rPr>
        <w:t>18.</w:t>
      </w:r>
      <w:r>
        <w:rPr>
          <w:rFonts w:hint="eastAsia"/>
        </w:rPr>
        <w:tab/>
        <w:t xml:space="preserve">虽然该报告指出，阿尔巴尼亚妇女在立法和行政权力机构及法院和司法系统中担任高级决策职务，但该报告没有提供统计数据，对比男女在政府咨询机构、地方政府和司法系统的百分比。请提供这方面的统计数据。 </w:t>
      </w:r>
    </w:p>
    <w:p w:rsidR="00F05BE6" w:rsidRDefault="00F05BE6" w:rsidP="00D461B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教育</w:t>
      </w:r>
    </w:p>
    <w:p w:rsidR="00D461B7" w:rsidRPr="00D461B7" w:rsidRDefault="00D461B7" w:rsidP="00D461B7">
      <w:pPr>
        <w:pStyle w:val="SingleTxt"/>
        <w:spacing w:after="0" w:line="120" w:lineRule="exact"/>
        <w:rPr>
          <w:sz w:val="10"/>
        </w:rPr>
      </w:pPr>
    </w:p>
    <w:p w:rsidR="00F05BE6" w:rsidRDefault="00F05BE6" w:rsidP="00F05BE6">
      <w:pPr>
        <w:pStyle w:val="SingleTxt"/>
        <w:rPr>
          <w:rFonts w:hint="eastAsia"/>
        </w:rPr>
      </w:pPr>
      <w:r>
        <w:rPr>
          <w:rFonts w:hint="eastAsia"/>
        </w:rPr>
        <w:t>19.</w:t>
      </w:r>
      <w:r>
        <w:rPr>
          <w:rFonts w:hint="eastAsia"/>
        </w:rPr>
        <w:tab/>
        <w:t>2006年经济、社会和文化权利委员会表示关切的是(E/C.12/ALB/CO/1，第38段</w:t>
      </w:r>
      <w:r w:rsidR="00D461B7">
        <w:rPr>
          <w:rFonts w:hint="eastAsia"/>
        </w:rPr>
        <w:t>)</w:t>
      </w:r>
      <w:r>
        <w:rPr>
          <w:rFonts w:hint="eastAsia"/>
        </w:rPr>
        <w:t xml:space="preserve">，罗姆儿童特别是女童入学率低，或在读书的很早阶段辍学。请提供最新数据和统计数据，说明各级教育中女童辍学率，以及农村地区和少数族裔包括罗姆社区的妇女和女童的教育水平和接受教育的机会。 </w:t>
      </w:r>
    </w:p>
    <w:p w:rsidR="00F05BE6" w:rsidRDefault="00F05BE6" w:rsidP="00F05BE6">
      <w:pPr>
        <w:pStyle w:val="SingleTxt"/>
        <w:rPr>
          <w:rFonts w:hint="eastAsia"/>
        </w:rPr>
      </w:pPr>
      <w:r>
        <w:rPr>
          <w:rFonts w:hint="eastAsia"/>
        </w:rPr>
        <w:t>20.</w:t>
      </w:r>
      <w:r>
        <w:rPr>
          <w:rFonts w:hint="eastAsia"/>
        </w:rPr>
        <w:tab/>
      </w:r>
      <w:r w:rsidRPr="00194284">
        <w:rPr>
          <w:rFonts w:hint="eastAsia"/>
          <w:spacing w:val="2"/>
        </w:rPr>
        <w:t>本报告说明在</w:t>
      </w:r>
      <w:r w:rsidR="00D461B7" w:rsidRPr="00194284">
        <w:rPr>
          <w:rFonts w:hint="eastAsia"/>
          <w:spacing w:val="2"/>
        </w:rPr>
        <w:t>“</w:t>
      </w:r>
      <w:r w:rsidRPr="00194284">
        <w:rPr>
          <w:rFonts w:hint="eastAsia"/>
          <w:spacing w:val="2"/>
        </w:rPr>
        <w:t>非正规”的教育费用和儿童学缺勤率之间的联系，特别是在农村地区和贫穷儿童中间。2005年儿童权利委员会还指出(CRC/C/15/</w:t>
      </w:r>
      <w:r w:rsidR="0082528C">
        <w:rPr>
          <w:spacing w:val="2"/>
        </w:rPr>
        <w:t xml:space="preserve"> </w:t>
      </w:r>
      <w:r w:rsidRPr="00194284">
        <w:rPr>
          <w:rFonts w:hint="eastAsia"/>
          <w:spacing w:val="2"/>
        </w:rPr>
        <w:t>Add.249，第68段</w:t>
      </w:r>
      <w:r w:rsidR="00D461B7" w:rsidRPr="00194284">
        <w:rPr>
          <w:rFonts w:hint="eastAsia"/>
          <w:spacing w:val="2"/>
        </w:rPr>
        <w:t>)</w:t>
      </w:r>
      <w:r w:rsidRPr="00194284">
        <w:rPr>
          <w:rFonts w:hint="eastAsia"/>
          <w:spacing w:val="2"/>
        </w:rPr>
        <w:t>，阿尔巴尼亚儿童在街头、家中或其他地方干活，受到剥削或妨碍他们正常上学。请提供资料，说明政府已采取哪些措施，处理儿童入学率持续低而辍学率持续高的根本原因，特别是阿尔巴尼亚女童。此外，为</w:t>
      </w:r>
      <w:r w:rsidR="00D461B7" w:rsidRPr="00194284">
        <w:rPr>
          <w:rFonts w:hint="eastAsia"/>
          <w:spacing w:val="2"/>
        </w:rPr>
        <w:t>提高</w:t>
      </w:r>
      <w:r w:rsidRPr="00194284">
        <w:rPr>
          <w:rFonts w:hint="eastAsia"/>
          <w:spacing w:val="2"/>
        </w:rPr>
        <w:t>入学率和降低</w:t>
      </w:r>
      <w:r w:rsidR="00173719" w:rsidRPr="00194284">
        <w:rPr>
          <w:rFonts w:hint="eastAsia"/>
          <w:spacing w:val="2"/>
        </w:rPr>
        <w:t>辍学率，向家庭特别是农村和偏远地区家庭及受贫穷影响的家庭提供了哪</w:t>
      </w:r>
      <w:r w:rsidRPr="00194284">
        <w:rPr>
          <w:rFonts w:hint="eastAsia"/>
          <w:spacing w:val="2"/>
        </w:rPr>
        <w:t>些支持？</w:t>
      </w:r>
    </w:p>
    <w:p w:rsidR="00F05BE6" w:rsidRDefault="00F05BE6" w:rsidP="00D461B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就业</w:t>
      </w:r>
    </w:p>
    <w:p w:rsidR="00AA760B" w:rsidRPr="00AA760B" w:rsidRDefault="00AA760B" w:rsidP="00AA760B">
      <w:pPr>
        <w:pStyle w:val="SingleTxt"/>
        <w:spacing w:after="0" w:line="120" w:lineRule="exact"/>
        <w:rPr>
          <w:sz w:val="10"/>
        </w:rPr>
      </w:pPr>
    </w:p>
    <w:p w:rsidR="00F05BE6" w:rsidRDefault="00F05BE6" w:rsidP="00F05BE6">
      <w:pPr>
        <w:pStyle w:val="SingleTxt"/>
        <w:rPr>
          <w:rFonts w:hint="eastAsia"/>
        </w:rPr>
      </w:pPr>
      <w:r>
        <w:rPr>
          <w:rFonts w:hint="eastAsia"/>
        </w:rPr>
        <w:t>21.</w:t>
      </w:r>
      <w:r>
        <w:rPr>
          <w:rFonts w:hint="eastAsia"/>
        </w:rPr>
        <w:tab/>
      </w:r>
      <w:r w:rsidRPr="00194284">
        <w:rPr>
          <w:rFonts w:hint="eastAsia"/>
          <w:spacing w:val="4"/>
        </w:rPr>
        <w:t>该报告提到正在进行的一项同工同酬研究(CEDAW/C/ALB/3，第226段)。请说明研究成果，以及在旨在确保事实上同工同酬的政策中所提建议的执行情况。</w:t>
      </w:r>
    </w:p>
    <w:p w:rsidR="00F05BE6" w:rsidRDefault="00F05BE6" w:rsidP="00194284">
      <w:pPr>
        <w:pStyle w:val="SingleTxt"/>
        <w:spacing w:line="300" w:lineRule="exact"/>
        <w:rPr>
          <w:rFonts w:hint="eastAsia"/>
        </w:rPr>
      </w:pPr>
      <w:r>
        <w:rPr>
          <w:rFonts w:hint="eastAsia"/>
        </w:rPr>
        <w:t>22.</w:t>
      </w:r>
      <w:r>
        <w:rPr>
          <w:rFonts w:hint="eastAsia"/>
        </w:rPr>
        <w:tab/>
        <w:t>请提供关于非正规经济中妇女状况的资料，应包括妇女在该部门中所占百分比及其工作领域，并提供关于向这些女工提供社会保护措施的资料，以及实际得益于这些措施的妇女百分比。</w:t>
      </w:r>
    </w:p>
    <w:p w:rsidR="00F05BE6" w:rsidRDefault="00F05BE6" w:rsidP="00194284">
      <w:pPr>
        <w:pStyle w:val="SingleTxt"/>
        <w:spacing w:line="300" w:lineRule="exact"/>
        <w:rPr>
          <w:rFonts w:hint="eastAsia"/>
        </w:rPr>
      </w:pPr>
      <w:r>
        <w:rPr>
          <w:rFonts w:hint="eastAsia"/>
        </w:rPr>
        <w:t>23.</w:t>
      </w:r>
      <w:r>
        <w:rPr>
          <w:rFonts w:hint="eastAsia"/>
        </w:rPr>
        <w:tab/>
        <w:t>请按照委员会上次结论意见</w:t>
      </w:r>
      <w:r w:rsidR="00AA760B">
        <w:rPr>
          <w:rStyle w:val="FootnoteReference"/>
        </w:rPr>
        <w:footnoteReference w:id="5"/>
      </w:r>
      <w:r>
        <w:rPr>
          <w:rFonts w:hint="eastAsia"/>
        </w:rPr>
        <w:t xml:space="preserve"> 的要求，详细说明妇女在劳动力市场的状况，包括妇女在不同经济部门的任职情况及其级别和薪金。</w:t>
      </w:r>
    </w:p>
    <w:p w:rsidR="00F05BE6" w:rsidRDefault="00F05BE6" w:rsidP="00194284">
      <w:pPr>
        <w:pStyle w:val="SingleTxt"/>
        <w:spacing w:line="300" w:lineRule="exact"/>
        <w:rPr>
          <w:rFonts w:hint="eastAsia"/>
        </w:rPr>
      </w:pPr>
      <w:r>
        <w:rPr>
          <w:rFonts w:hint="eastAsia"/>
        </w:rPr>
        <w:t>24.</w:t>
      </w:r>
      <w:r>
        <w:rPr>
          <w:rFonts w:hint="eastAsia"/>
        </w:rPr>
        <w:tab/>
        <w:t>该报告指出(CEDAW/C/ALB/3，第230、232和238段</w:t>
      </w:r>
      <w:r w:rsidR="0071550D">
        <w:rPr>
          <w:rFonts w:hint="eastAsia"/>
        </w:rPr>
        <w:t>)</w:t>
      </w:r>
      <w:r>
        <w:rPr>
          <w:rFonts w:hint="eastAsia"/>
        </w:rPr>
        <w:t>，妇女在失业的求职者总数中所占比重很大，尤其受到失业</w:t>
      </w:r>
      <w:r w:rsidR="0071550D">
        <w:rPr>
          <w:rFonts w:hint="eastAsia"/>
        </w:rPr>
        <w:t>(</w:t>
      </w:r>
      <w:r>
        <w:rPr>
          <w:rFonts w:hint="eastAsia"/>
        </w:rPr>
        <w:t xml:space="preserve">男女比率分别为12.8%和80%)和公私部门就业不足的影响。请说明正在采取哪些措施处理公私部门失业和就业不足的问题，特别着重有利于家庭的工作安排、在城市和农村地区提供托儿设施以及促进男子分担家庭责任的举措。 </w:t>
      </w:r>
    </w:p>
    <w:p w:rsidR="00F05BE6" w:rsidRDefault="00F05BE6" w:rsidP="00194284">
      <w:pPr>
        <w:pStyle w:val="SingleTxt"/>
        <w:spacing w:line="300" w:lineRule="exact"/>
        <w:rPr>
          <w:rFonts w:hint="eastAsia"/>
        </w:rPr>
      </w:pPr>
      <w:r>
        <w:rPr>
          <w:rFonts w:hint="eastAsia"/>
        </w:rPr>
        <w:t>25.</w:t>
      </w:r>
      <w:r>
        <w:rPr>
          <w:rFonts w:hint="eastAsia"/>
        </w:rPr>
        <w:tab/>
        <w:t>该报告(CEDAW/C/ALB/3，第265段</w:t>
      </w:r>
      <w:r w:rsidR="0071550D">
        <w:rPr>
          <w:rFonts w:hint="eastAsia"/>
        </w:rPr>
        <w:t>)</w:t>
      </w:r>
      <w:r>
        <w:rPr>
          <w:rFonts w:hint="eastAsia"/>
        </w:rPr>
        <w:t xml:space="preserve">提到，在公共场所发生性骚扰时，没有明确的投诉程序，而且没有性骚扰统计数据。请提供资料，说明已采取哪些措施，处理公共场所性骚扰和暴力侵害妇女的情况。 </w:t>
      </w:r>
    </w:p>
    <w:p w:rsidR="00F05BE6" w:rsidRDefault="00F05BE6" w:rsidP="00AA760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卫生</w:t>
      </w:r>
    </w:p>
    <w:p w:rsidR="00AA760B" w:rsidRPr="00AA760B" w:rsidRDefault="00AA760B" w:rsidP="00AA760B">
      <w:pPr>
        <w:pStyle w:val="SingleTxt"/>
        <w:spacing w:after="0" w:line="120" w:lineRule="exact"/>
        <w:rPr>
          <w:sz w:val="10"/>
        </w:rPr>
      </w:pPr>
    </w:p>
    <w:p w:rsidR="00F05BE6" w:rsidRDefault="00F05BE6" w:rsidP="00194284">
      <w:pPr>
        <w:pStyle w:val="SingleTxt"/>
        <w:spacing w:line="300" w:lineRule="exact"/>
        <w:rPr>
          <w:rFonts w:hint="eastAsia"/>
        </w:rPr>
      </w:pPr>
      <w:r>
        <w:rPr>
          <w:rFonts w:hint="eastAsia"/>
        </w:rPr>
        <w:t>26.</w:t>
      </w:r>
      <w:r>
        <w:rPr>
          <w:rFonts w:hint="eastAsia"/>
        </w:rPr>
        <w:tab/>
        <w:t>报告指出，相关公共机构向卫生部报告的流产人数近十年来有所减少(CEDAW/C/ALB/3，第297段)。报告提到2006年公共卫生机构中新生儿和流产的比例是4.1</w:t>
      </w:r>
      <w:r w:rsidR="00194284">
        <w:t>:</w:t>
      </w:r>
      <w:r>
        <w:rPr>
          <w:rFonts w:hint="eastAsia"/>
        </w:rPr>
        <w:t xml:space="preserve">1。请提供最新数据和统计资料，说明在阿尔巴尼亚公私卫生机构中的流产总数。 </w:t>
      </w:r>
    </w:p>
    <w:p w:rsidR="00F05BE6" w:rsidRDefault="00F05BE6" w:rsidP="00194284">
      <w:pPr>
        <w:pStyle w:val="SingleTxt"/>
        <w:spacing w:line="300" w:lineRule="exact"/>
        <w:rPr>
          <w:rFonts w:hint="eastAsia"/>
        </w:rPr>
      </w:pPr>
      <w:r>
        <w:rPr>
          <w:rFonts w:hint="eastAsia"/>
        </w:rPr>
        <w:t>27.</w:t>
      </w:r>
      <w:r>
        <w:rPr>
          <w:rFonts w:hint="eastAsia"/>
        </w:rPr>
        <w:tab/>
        <w:t>报告指出，计划生育作为一种确保生育两个孩子留出一定时间间隔的措施，目前尚不为人们所接受，尤其是不为男性接受(CEDAW/C/ALB/3，第301段)。请说明向男女提供计划生育服务和生殖健康教育的情况，包括向男女青少年提供适合其年龄的生殖健康和性资料。</w:t>
      </w:r>
    </w:p>
    <w:p w:rsidR="00F05BE6" w:rsidRDefault="00F05BE6" w:rsidP="00194284">
      <w:pPr>
        <w:pStyle w:val="SingleTxt"/>
        <w:spacing w:line="300" w:lineRule="exact"/>
        <w:rPr>
          <w:rFonts w:hint="eastAsia"/>
        </w:rPr>
      </w:pPr>
      <w:r>
        <w:rPr>
          <w:rFonts w:hint="eastAsia"/>
        </w:rPr>
        <w:t>28.</w:t>
      </w:r>
      <w:r>
        <w:rPr>
          <w:rFonts w:hint="eastAsia"/>
        </w:rPr>
        <w:tab/>
        <w:t xml:space="preserve">请提供资料，说明该缔约国已经采取哪些措施防止艾滋病毒/艾滋病的传播，包括在学校进行性教育及开展提高认识运动，旨在倡导负责任的安全性行为。还请提供资料，说明已采取哪些措施处理受艾滋病毒/艾滋病影响的妇女遭受歧视和侮辱的情况。 </w:t>
      </w:r>
    </w:p>
    <w:p w:rsidR="00F05BE6" w:rsidRDefault="00F05BE6" w:rsidP="00194284">
      <w:pPr>
        <w:pStyle w:val="SingleTxt"/>
        <w:spacing w:line="300" w:lineRule="exact"/>
        <w:rPr>
          <w:rFonts w:hint="eastAsia"/>
        </w:rPr>
      </w:pPr>
      <w:r>
        <w:rPr>
          <w:rFonts w:hint="eastAsia"/>
        </w:rPr>
        <w:t>29.</w:t>
      </w:r>
      <w:r>
        <w:rPr>
          <w:rFonts w:hint="eastAsia"/>
        </w:rPr>
        <w:tab/>
        <w:t>该报告提到索引卡，用于完成对可能感染性传播疾病和艾滋病毒/艾滋病的病例的生物学跟踪研究</w:t>
      </w:r>
      <w:r w:rsidR="00AA760B">
        <w:rPr>
          <w:rFonts w:hint="eastAsia"/>
        </w:rPr>
        <w:t>(CEDAW/C/ALB/3</w:t>
      </w:r>
      <w:r w:rsidR="00194284">
        <w:rPr>
          <w:rFonts w:hint="eastAsia"/>
        </w:rPr>
        <w:t>，</w:t>
      </w:r>
      <w:r>
        <w:rPr>
          <w:rFonts w:hint="eastAsia"/>
        </w:rPr>
        <w:t xml:space="preserve">第326段)。请说明是否采取了一切必要措施，确保索引卡中的信息保密。 </w:t>
      </w:r>
    </w:p>
    <w:p w:rsidR="00F05BE6" w:rsidRDefault="00F05BE6" w:rsidP="00AA760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农村妇女</w:t>
      </w:r>
    </w:p>
    <w:p w:rsidR="00AA760B" w:rsidRPr="00AA760B" w:rsidRDefault="00AA760B" w:rsidP="00AA760B">
      <w:pPr>
        <w:pStyle w:val="SingleTxt"/>
        <w:spacing w:after="0" w:line="120" w:lineRule="exact"/>
        <w:rPr>
          <w:rFonts w:hint="eastAsia"/>
          <w:sz w:val="10"/>
        </w:rPr>
      </w:pPr>
    </w:p>
    <w:p w:rsidR="00F05BE6" w:rsidRDefault="00F05BE6" w:rsidP="00F05BE6">
      <w:pPr>
        <w:pStyle w:val="SingleTxt"/>
        <w:rPr>
          <w:rFonts w:hint="eastAsia"/>
        </w:rPr>
      </w:pPr>
      <w:r>
        <w:rPr>
          <w:rFonts w:hint="eastAsia"/>
        </w:rPr>
        <w:t>30.</w:t>
      </w:r>
      <w:r>
        <w:rPr>
          <w:rFonts w:hint="eastAsia"/>
        </w:rPr>
        <w:tab/>
        <w:t>该报告显示，在拥有和继承财产方面农村妇女继续受到事实上的歧视(CEDAW/C/ALB/3，第389-390段)。请提供资料，说明政府依照委员会的建议</w:t>
      </w:r>
      <w:r w:rsidR="00C163DD">
        <w:t>(A/58/38，</w:t>
      </w:r>
      <w:r w:rsidR="00C163DD">
        <w:rPr>
          <w:rFonts w:hint="eastAsia"/>
        </w:rPr>
        <w:t>第77段</w:t>
      </w:r>
      <w:r w:rsidR="00C163DD">
        <w:t>)</w:t>
      </w:r>
      <w:r>
        <w:rPr>
          <w:rFonts w:hint="eastAsia"/>
        </w:rPr>
        <w:t>，</w:t>
      </w:r>
      <w:r w:rsidR="00AA760B">
        <w:rPr>
          <w:rStyle w:val="FootnoteReference"/>
        </w:rPr>
        <w:footnoteReference w:id="6"/>
      </w:r>
      <w:r>
        <w:rPr>
          <w:rFonts w:hint="eastAsia"/>
        </w:rPr>
        <w:t xml:space="preserve"> 为处理这些问题所采取的各项措施。</w:t>
      </w:r>
    </w:p>
    <w:p w:rsidR="00F05BE6" w:rsidRDefault="00F05BE6" w:rsidP="00F05BE6">
      <w:pPr>
        <w:pStyle w:val="SingleTxt"/>
        <w:rPr>
          <w:rFonts w:hint="eastAsia"/>
        </w:rPr>
      </w:pPr>
      <w:r>
        <w:rPr>
          <w:rFonts w:hint="eastAsia"/>
        </w:rPr>
        <w:t>31.</w:t>
      </w:r>
      <w:r>
        <w:rPr>
          <w:rFonts w:hint="eastAsia"/>
        </w:rPr>
        <w:tab/>
        <w:t>该报告承认，农村地区的生活水平低于城市地区(CEDAW/C/ALB/3</w:t>
      </w:r>
      <w:r w:rsidR="009B7B08">
        <w:rPr>
          <w:rFonts w:hint="eastAsia"/>
        </w:rPr>
        <w:t>，</w:t>
      </w:r>
      <w:r>
        <w:rPr>
          <w:rFonts w:hint="eastAsia"/>
        </w:rPr>
        <w:t>第393段)。请说明目前正在采取哪些措施，以确保农村妇女有适当的生活条件，特别是在卫生、适当住房和获得公共服务方面，包括保健和教育。</w:t>
      </w:r>
    </w:p>
    <w:p w:rsidR="00F05BE6" w:rsidRDefault="00F05BE6" w:rsidP="00F05BE6">
      <w:pPr>
        <w:pStyle w:val="SingleTxt"/>
        <w:rPr>
          <w:rFonts w:hint="eastAsia"/>
        </w:rPr>
      </w:pPr>
      <w:r>
        <w:rPr>
          <w:rFonts w:hint="eastAsia"/>
        </w:rPr>
        <w:t>32.</w:t>
      </w:r>
      <w:r>
        <w:rPr>
          <w:rFonts w:hint="eastAsia"/>
        </w:rPr>
        <w:tab/>
        <w:t>该报告未谈到老年妇女、残疾妇女以及难民和移民妇女和女童的状况。请提供此类资料，特别是她们的经济和社会状况，以及采取哪些措施向这些妇女提供支持。</w:t>
      </w:r>
    </w:p>
    <w:p w:rsidR="00F05BE6" w:rsidRDefault="00F05BE6" w:rsidP="00AA760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家庭关系</w:t>
      </w:r>
    </w:p>
    <w:p w:rsidR="00AA760B" w:rsidRPr="00AA760B" w:rsidRDefault="00AA760B" w:rsidP="00AA760B">
      <w:pPr>
        <w:pStyle w:val="SingleTxt"/>
        <w:spacing w:after="0" w:line="120" w:lineRule="exact"/>
        <w:rPr>
          <w:sz w:val="10"/>
        </w:rPr>
      </w:pPr>
    </w:p>
    <w:p w:rsidR="00F05BE6" w:rsidRDefault="00F05BE6" w:rsidP="00F05BE6">
      <w:pPr>
        <w:pStyle w:val="SingleTxt"/>
        <w:rPr>
          <w:rFonts w:hint="eastAsia"/>
        </w:rPr>
      </w:pPr>
      <w:r>
        <w:rPr>
          <w:rFonts w:hint="eastAsia"/>
        </w:rPr>
        <w:t>33.</w:t>
      </w:r>
      <w:r>
        <w:rPr>
          <w:rFonts w:hint="eastAsia"/>
        </w:rPr>
        <w:tab/>
        <w:t>该报告指出，在国家一级进行的多指标类集调查显示，大约8%的20岁至49岁年龄组的妇女在18岁以前结婚，根据《新家庭守则》18岁是最低婚龄。现已拟定哪些应对办法，挑战婚姻中的重男轻女传统，以及某些群体的传承信念，即尽早组建家庭和目前仍由家庭为女童和青年女子挑选丈夫的做法非常重要？此外，还令人关切的是，在阿尔巴尼亚农村和偏远地区以及在罗姆社区，仍有索要彩礼的习俗。是否有关于这些现象的范围的数据或分析资料？</w:t>
      </w:r>
    </w:p>
    <w:p w:rsidR="00F05BE6" w:rsidRDefault="00F05BE6" w:rsidP="00AA760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第20条第1款修正案</w:t>
      </w:r>
    </w:p>
    <w:p w:rsidR="00AA760B" w:rsidRPr="00AA760B" w:rsidRDefault="00AA760B" w:rsidP="00AA760B">
      <w:pPr>
        <w:pStyle w:val="SingleTxt"/>
        <w:spacing w:after="0" w:line="120" w:lineRule="exact"/>
        <w:rPr>
          <w:sz w:val="10"/>
        </w:rPr>
      </w:pPr>
    </w:p>
    <w:p w:rsidR="00F05BE6" w:rsidRDefault="00F05BE6" w:rsidP="00F05BE6">
      <w:pPr>
        <w:pStyle w:val="SingleTxt"/>
        <w:rPr>
          <w:rFonts w:hint="eastAsia"/>
        </w:rPr>
      </w:pPr>
      <w:r>
        <w:rPr>
          <w:rFonts w:hint="eastAsia"/>
        </w:rPr>
        <w:t>34.</w:t>
      </w:r>
      <w:r>
        <w:rPr>
          <w:rFonts w:hint="eastAsia"/>
        </w:rPr>
        <w:tab/>
        <w:t>请说明在争取接受关于委员会会议时间的《公约》第20条第1款的修正案方面取得的进展。</w:t>
      </w:r>
    </w:p>
    <w:p w:rsidR="00F05BE6" w:rsidRPr="00AA760B" w:rsidRDefault="00AA760B" w:rsidP="00AA760B">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EA31C3" w:rsidRPr="00BD2C7C" w:rsidRDefault="00EA31C3" w:rsidP="00F05BE6">
      <w:pPr>
        <w:pStyle w:val="SingleTxt"/>
        <w:rPr>
          <w:rFonts w:hint="eastAsia"/>
        </w:rPr>
      </w:pPr>
    </w:p>
    <w:sectPr w:rsidR="00EA31C3" w:rsidRPr="00BD2C7C" w:rsidSect="00BD2C7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9T10:58:00Z" w:initials="Start">
    <w:p w:rsidR="00243270" w:rsidRDefault="0024327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NO&gt;&gt;N0951092C&lt;&lt;ODS JOB NO&gt;&gt;</w:t>
      </w:r>
    </w:p>
    <w:p w:rsidR="00243270" w:rsidRDefault="00243270">
      <w:pPr>
        <w:pStyle w:val="CommentText"/>
      </w:pPr>
      <w:r>
        <w:t>&lt;&lt;ODS DOC SYMBOL1&gt;&gt;CEDAW/C/ALB/Q/3&lt;&lt;ODS DOC SYMBOL1&gt;&gt;</w:t>
      </w:r>
    </w:p>
    <w:p w:rsidR="00243270" w:rsidRDefault="002432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E7C" w:rsidRDefault="00173E7C">
      <w:r>
        <w:separator/>
      </w:r>
    </w:p>
  </w:endnote>
  <w:endnote w:type="continuationSeparator" w:id="0">
    <w:p w:rsidR="00173E7C" w:rsidRDefault="00173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43270" w:rsidTr="00BD2C7C">
      <w:tblPrEx>
        <w:tblCellMar>
          <w:top w:w="0" w:type="dxa"/>
          <w:bottom w:w="0" w:type="dxa"/>
        </w:tblCellMar>
      </w:tblPrEx>
      <w:tc>
        <w:tcPr>
          <w:tcW w:w="5033" w:type="dxa"/>
          <w:shd w:val="clear" w:color="auto" w:fill="auto"/>
        </w:tcPr>
        <w:p w:rsidR="00243270" w:rsidRPr="00BD2C7C" w:rsidRDefault="00243270" w:rsidP="00BD2C7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09-51092 (C)</w:t>
          </w:r>
          <w:r>
            <w:rPr>
              <w:b w:val="0"/>
              <w:w w:val="103"/>
              <w:sz w:val="14"/>
            </w:rPr>
            <w:fldChar w:fldCharType="end"/>
          </w:r>
        </w:p>
      </w:tc>
      <w:tc>
        <w:tcPr>
          <w:tcW w:w="5033" w:type="dxa"/>
          <w:shd w:val="clear" w:color="auto" w:fill="auto"/>
        </w:tcPr>
        <w:p w:rsidR="00243270" w:rsidRPr="00BD2C7C" w:rsidRDefault="00243270" w:rsidP="00BD2C7C">
          <w:pPr>
            <w:pStyle w:val="Footer"/>
            <w:jc w:val="left"/>
            <w:rPr>
              <w:w w:val="103"/>
            </w:rPr>
          </w:pPr>
          <w:r>
            <w:rPr>
              <w:w w:val="103"/>
            </w:rPr>
            <w:fldChar w:fldCharType="begin"/>
          </w:r>
          <w:r>
            <w:rPr>
              <w:w w:val="103"/>
            </w:rPr>
            <w:instrText xml:space="preserve"> PAGE  \* MERGEFORMAT </w:instrText>
          </w:r>
          <w:r>
            <w:rPr>
              <w:w w:val="103"/>
            </w:rPr>
            <w:fldChar w:fldCharType="separate"/>
          </w:r>
          <w:r w:rsidR="0093766E">
            <w:rPr>
              <w:w w:val="103"/>
            </w:rPr>
            <w:t>2</w:t>
          </w:r>
          <w:r>
            <w:rPr>
              <w:w w:val="103"/>
            </w:rPr>
            <w:fldChar w:fldCharType="end"/>
          </w:r>
        </w:p>
      </w:tc>
    </w:tr>
  </w:tbl>
  <w:p w:rsidR="00243270" w:rsidRPr="00BD2C7C" w:rsidRDefault="00243270" w:rsidP="00BD2C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43270" w:rsidTr="00BD2C7C">
      <w:tblPrEx>
        <w:tblCellMar>
          <w:top w:w="0" w:type="dxa"/>
          <w:bottom w:w="0" w:type="dxa"/>
        </w:tblCellMar>
      </w:tblPrEx>
      <w:tc>
        <w:tcPr>
          <w:tcW w:w="5033" w:type="dxa"/>
          <w:shd w:val="clear" w:color="auto" w:fill="auto"/>
        </w:tcPr>
        <w:p w:rsidR="00243270" w:rsidRPr="00BD2C7C" w:rsidRDefault="00243270" w:rsidP="00BD2C7C">
          <w:pPr>
            <w:pStyle w:val="Footer"/>
            <w:jc w:val="right"/>
          </w:pPr>
          <w:r>
            <w:fldChar w:fldCharType="begin"/>
          </w:r>
          <w:r>
            <w:instrText xml:space="preserve"> PAGE  \* MERGEFORMAT </w:instrText>
          </w:r>
          <w:r>
            <w:fldChar w:fldCharType="separate"/>
          </w:r>
          <w:r w:rsidR="0093766E">
            <w:t>3</w:t>
          </w:r>
          <w:r>
            <w:fldChar w:fldCharType="end"/>
          </w:r>
        </w:p>
      </w:tc>
      <w:tc>
        <w:tcPr>
          <w:tcW w:w="5033" w:type="dxa"/>
          <w:shd w:val="clear" w:color="auto" w:fill="auto"/>
        </w:tcPr>
        <w:p w:rsidR="00243270" w:rsidRPr="00BD2C7C" w:rsidRDefault="00243270" w:rsidP="00BD2C7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09-51092 (C)</w:t>
          </w:r>
          <w:r>
            <w:rPr>
              <w:b w:val="0"/>
              <w:w w:val="103"/>
              <w:sz w:val="14"/>
            </w:rPr>
            <w:fldChar w:fldCharType="end"/>
          </w:r>
        </w:p>
      </w:tc>
    </w:tr>
  </w:tbl>
  <w:p w:rsidR="00243270" w:rsidRPr="00BD2C7C" w:rsidRDefault="00243270" w:rsidP="00BD2C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43270">
      <w:tblPrEx>
        <w:tblCellMar>
          <w:top w:w="0" w:type="dxa"/>
          <w:bottom w:w="0" w:type="dxa"/>
        </w:tblCellMar>
      </w:tblPrEx>
      <w:tc>
        <w:tcPr>
          <w:tcW w:w="5033" w:type="dxa"/>
        </w:tcPr>
        <w:p w:rsidR="00243270" w:rsidRDefault="00243270" w:rsidP="00BD2C7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09-51092 (C)</w:t>
          </w:r>
          <w:r>
            <w:rPr>
              <w:b w:val="0"/>
              <w:sz w:val="21"/>
            </w:rPr>
            <w:fldChar w:fldCharType="end"/>
          </w:r>
          <w:r>
            <w:rPr>
              <w:b w:val="0"/>
              <w:sz w:val="21"/>
            </w:rPr>
            <w:t xml:space="preserve">    2</w:t>
          </w:r>
          <w:r>
            <w:rPr>
              <w:rFonts w:hint="eastAsia"/>
              <w:b w:val="0"/>
              <w:sz w:val="21"/>
            </w:rPr>
            <w:t>8</w:t>
          </w:r>
          <w:r>
            <w:rPr>
              <w:b w:val="0"/>
              <w:sz w:val="21"/>
            </w:rPr>
            <w:t xml:space="preserve">0909    </w:t>
          </w:r>
          <w:r>
            <w:rPr>
              <w:rFonts w:hint="eastAsia"/>
              <w:b w:val="0"/>
              <w:sz w:val="21"/>
            </w:rPr>
            <w:t>071</w:t>
          </w:r>
          <w:r>
            <w:rPr>
              <w:b w:val="0"/>
              <w:sz w:val="21"/>
            </w:rPr>
            <w:t>009</w:t>
          </w:r>
        </w:p>
        <w:p w:rsidR="00243270" w:rsidRPr="00BD2C7C" w:rsidRDefault="00243270" w:rsidP="00BD2C7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*0951092*</w:t>
          </w:r>
          <w:r>
            <w:rPr>
              <w:rFonts w:ascii="Barcode 3 of 9 by request" w:hAnsi="Barcode 3 of 9 by request" w:hint="eastAsia"/>
              <w:sz w:val="24"/>
            </w:rPr>
            <w:fldChar w:fldCharType="end"/>
          </w:r>
        </w:p>
      </w:tc>
      <w:tc>
        <w:tcPr>
          <w:tcW w:w="5033" w:type="dxa"/>
        </w:tcPr>
        <w:p w:rsidR="00243270" w:rsidRDefault="00243270" w:rsidP="00BD2C7C">
          <w:pPr>
            <w:pStyle w:val="Footer"/>
            <w:jc w:val="right"/>
            <w:rPr>
              <w:b w:val="0"/>
              <w:sz w:val="21"/>
            </w:rPr>
          </w:pPr>
          <w:r w:rsidRPr="00BD2C7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243270" w:rsidRPr="00BD2C7C" w:rsidRDefault="00243270" w:rsidP="00BD2C7C">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E7C" w:rsidRPr="00F05BE6" w:rsidRDefault="00173E7C" w:rsidP="00F05BE6">
      <w:pPr>
        <w:pStyle w:val="Footer"/>
        <w:spacing w:after="80"/>
        <w:ind w:left="792"/>
        <w:rPr>
          <w:sz w:val="16"/>
        </w:rPr>
      </w:pPr>
      <w:r w:rsidRPr="00F05BE6">
        <w:rPr>
          <w:sz w:val="16"/>
        </w:rPr>
        <w:t>__________________</w:t>
      </w:r>
    </w:p>
  </w:footnote>
  <w:footnote w:type="continuationSeparator" w:id="0">
    <w:p w:rsidR="00173E7C" w:rsidRPr="00F05BE6" w:rsidRDefault="00173E7C" w:rsidP="00F05BE6">
      <w:pPr>
        <w:pStyle w:val="Footer"/>
        <w:spacing w:after="80"/>
        <w:ind w:left="792"/>
        <w:rPr>
          <w:sz w:val="16"/>
        </w:rPr>
      </w:pPr>
      <w:r w:rsidRPr="00F05BE6">
        <w:rPr>
          <w:sz w:val="16"/>
        </w:rPr>
        <w:t>__________________</w:t>
      </w:r>
    </w:p>
  </w:footnote>
  <w:footnote w:id="1">
    <w:p w:rsidR="00243270" w:rsidRDefault="00243270" w:rsidP="00F05BE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szCs w:val="24"/>
          <w:lang w:val="zh-CN"/>
        </w:rPr>
        <w:t>见《大会正式记录</w:t>
      </w:r>
      <w:r>
        <w:rPr>
          <w:rFonts w:hint="eastAsia"/>
          <w:szCs w:val="24"/>
        </w:rPr>
        <w:t>第五十八届会议，补编第38号</w:t>
      </w:r>
      <w:r>
        <w:rPr>
          <w:rFonts w:hint="eastAsia"/>
          <w:szCs w:val="24"/>
          <w:lang w:val="zh-CN"/>
        </w:rPr>
        <w:t>》</w:t>
      </w:r>
      <w:r>
        <w:rPr>
          <w:szCs w:val="24"/>
        </w:rPr>
        <w:t>(</w:t>
      </w:r>
      <w:r>
        <w:rPr>
          <w:szCs w:val="24"/>
          <w:lang w:val="zh-CN"/>
        </w:rPr>
        <w:t>A/58/38</w:t>
      </w:r>
      <w:r>
        <w:rPr>
          <w:rFonts w:hint="eastAsia"/>
          <w:szCs w:val="24"/>
          <w:lang w:val="zh-CN"/>
        </w:rPr>
        <w:t>，第</w:t>
      </w:r>
      <w:r>
        <w:rPr>
          <w:szCs w:val="24"/>
          <w:lang w:val="zh-CN"/>
        </w:rPr>
        <w:t>61</w:t>
      </w:r>
      <w:r>
        <w:rPr>
          <w:rFonts w:hint="eastAsia"/>
          <w:szCs w:val="24"/>
          <w:lang w:val="zh-CN"/>
        </w:rPr>
        <w:t>段</w:t>
      </w:r>
      <w:r>
        <w:rPr>
          <w:szCs w:val="24"/>
        </w:rPr>
        <w:t>)</w:t>
      </w:r>
      <w:r>
        <w:rPr>
          <w:rFonts w:hint="eastAsia"/>
          <w:szCs w:val="24"/>
          <w:lang w:val="zh-CN"/>
        </w:rPr>
        <w:t>。</w:t>
      </w:r>
    </w:p>
  </w:footnote>
  <w:footnote w:id="2">
    <w:p w:rsidR="00243270" w:rsidRDefault="00243270" w:rsidP="00D461B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szCs w:val="24"/>
          <w:lang w:val="zh-CN"/>
        </w:rPr>
        <w:t>同上，第</w:t>
      </w:r>
      <w:r>
        <w:rPr>
          <w:szCs w:val="24"/>
          <w:lang w:val="zh-CN"/>
        </w:rPr>
        <w:t>67</w:t>
      </w:r>
      <w:r>
        <w:rPr>
          <w:rFonts w:hint="eastAsia"/>
          <w:szCs w:val="24"/>
          <w:lang w:val="zh-CN"/>
        </w:rPr>
        <w:t>段。</w:t>
      </w:r>
    </w:p>
  </w:footnote>
  <w:footnote w:id="3">
    <w:p w:rsidR="00243270" w:rsidRDefault="00243270" w:rsidP="00D461B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24"/>
        </w:rPr>
        <w:t>同上，第 68段。</w:t>
      </w:r>
    </w:p>
  </w:footnote>
  <w:footnote w:id="4">
    <w:p w:rsidR="00243270" w:rsidRDefault="00243270" w:rsidP="00D461B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szCs w:val="24"/>
          <w:lang w:val="zh-CN"/>
        </w:rPr>
        <w:t>同上，第</w:t>
      </w:r>
      <w:r>
        <w:rPr>
          <w:szCs w:val="24"/>
          <w:lang w:val="zh-CN"/>
        </w:rPr>
        <w:t>70</w:t>
      </w:r>
      <w:r>
        <w:rPr>
          <w:rFonts w:hint="eastAsia"/>
          <w:szCs w:val="24"/>
          <w:lang w:val="zh-CN"/>
        </w:rPr>
        <w:t>段。</w:t>
      </w:r>
    </w:p>
  </w:footnote>
  <w:footnote w:id="5">
    <w:p w:rsidR="00243270" w:rsidRDefault="00243270" w:rsidP="00AA760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szCs w:val="24"/>
        </w:rPr>
        <w:t>同上，第 75段。</w:t>
      </w:r>
    </w:p>
  </w:footnote>
  <w:footnote w:id="6">
    <w:p w:rsidR="00243270" w:rsidRDefault="00243270" w:rsidP="00AA760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szCs w:val="24"/>
          <w:lang w:val="zh-CN"/>
        </w:rPr>
        <w:t>同上，第</w:t>
      </w:r>
      <w:r>
        <w:rPr>
          <w:szCs w:val="24"/>
          <w:lang w:val="zh-CN"/>
        </w:rPr>
        <w:t>77</w:t>
      </w:r>
      <w:r>
        <w:rPr>
          <w:rFonts w:hint="eastAsia"/>
          <w:szCs w:val="24"/>
          <w:lang w:val="zh-CN"/>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43270" w:rsidTr="00BD2C7C">
      <w:tblPrEx>
        <w:tblCellMar>
          <w:top w:w="0" w:type="dxa"/>
          <w:bottom w:w="0" w:type="dxa"/>
        </w:tblCellMar>
      </w:tblPrEx>
      <w:trPr>
        <w:trHeight w:hRule="exact" w:val="864"/>
      </w:trPr>
      <w:tc>
        <w:tcPr>
          <w:tcW w:w="4838" w:type="dxa"/>
          <w:shd w:val="clear" w:color="auto" w:fill="auto"/>
          <w:vAlign w:val="bottom"/>
        </w:tcPr>
        <w:p w:rsidR="00243270" w:rsidRPr="00BD2C7C" w:rsidRDefault="00243270" w:rsidP="00BD2C7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CEDAW/C/ALB/Q/3</w:t>
          </w:r>
          <w:r>
            <w:rPr>
              <w:b/>
              <w:sz w:val="17"/>
            </w:rPr>
            <w:fldChar w:fldCharType="end"/>
          </w:r>
        </w:p>
      </w:tc>
      <w:tc>
        <w:tcPr>
          <w:tcW w:w="5033" w:type="dxa"/>
          <w:shd w:val="clear" w:color="auto" w:fill="auto"/>
          <w:vAlign w:val="bottom"/>
        </w:tcPr>
        <w:p w:rsidR="00243270" w:rsidRDefault="00243270" w:rsidP="00BD2C7C">
          <w:pPr>
            <w:pStyle w:val="Header"/>
          </w:pPr>
        </w:p>
      </w:tc>
    </w:tr>
  </w:tbl>
  <w:p w:rsidR="00243270" w:rsidRPr="00BD2C7C" w:rsidRDefault="00243270" w:rsidP="00BD2C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43270" w:rsidTr="00BD2C7C">
      <w:tblPrEx>
        <w:tblCellMar>
          <w:top w:w="0" w:type="dxa"/>
          <w:bottom w:w="0" w:type="dxa"/>
        </w:tblCellMar>
      </w:tblPrEx>
      <w:trPr>
        <w:trHeight w:hRule="exact" w:val="864"/>
      </w:trPr>
      <w:tc>
        <w:tcPr>
          <w:tcW w:w="4838" w:type="dxa"/>
          <w:shd w:val="clear" w:color="auto" w:fill="auto"/>
          <w:vAlign w:val="bottom"/>
        </w:tcPr>
        <w:p w:rsidR="00243270" w:rsidRDefault="00243270" w:rsidP="00BD2C7C">
          <w:pPr>
            <w:pStyle w:val="Header"/>
          </w:pPr>
        </w:p>
      </w:tc>
      <w:tc>
        <w:tcPr>
          <w:tcW w:w="5033" w:type="dxa"/>
          <w:shd w:val="clear" w:color="auto" w:fill="auto"/>
          <w:vAlign w:val="bottom"/>
        </w:tcPr>
        <w:p w:rsidR="00243270" w:rsidRPr="00BD2C7C" w:rsidRDefault="00243270" w:rsidP="00BD2C7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CEDAW/C/ALB/Q/3</w:t>
          </w:r>
          <w:r>
            <w:rPr>
              <w:b/>
              <w:sz w:val="17"/>
            </w:rPr>
            <w:fldChar w:fldCharType="end"/>
          </w:r>
        </w:p>
      </w:tc>
    </w:tr>
  </w:tbl>
  <w:p w:rsidR="00243270" w:rsidRPr="00BD2C7C" w:rsidRDefault="00243270" w:rsidP="00BD2C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43270" w:rsidTr="00BD2C7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43270" w:rsidRDefault="00243270" w:rsidP="00BD2C7C">
          <w:pPr>
            <w:pStyle w:val="Header"/>
            <w:spacing w:after="120"/>
          </w:pPr>
        </w:p>
      </w:tc>
      <w:tc>
        <w:tcPr>
          <w:tcW w:w="1872" w:type="dxa"/>
          <w:tcBorders>
            <w:bottom w:val="single" w:sz="4" w:space="0" w:color="auto"/>
          </w:tcBorders>
          <w:shd w:val="clear" w:color="auto" w:fill="auto"/>
          <w:vAlign w:val="bottom"/>
        </w:tcPr>
        <w:p w:rsidR="00243270" w:rsidRPr="00BD2C7C" w:rsidRDefault="00243270" w:rsidP="00BD2C7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43270" w:rsidRDefault="00243270" w:rsidP="00BD2C7C">
          <w:pPr>
            <w:pStyle w:val="Header"/>
            <w:spacing w:after="120"/>
          </w:pPr>
        </w:p>
      </w:tc>
      <w:tc>
        <w:tcPr>
          <w:tcW w:w="6523" w:type="dxa"/>
          <w:gridSpan w:val="3"/>
          <w:tcBorders>
            <w:bottom w:val="single" w:sz="4" w:space="0" w:color="auto"/>
          </w:tcBorders>
          <w:shd w:val="clear" w:color="auto" w:fill="auto"/>
          <w:vAlign w:val="bottom"/>
        </w:tcPr>
        <w:p w:rsidR="00243270" w:rsidRPr="00BD2C7C" w:rsidRDefault="00243270" w:rsidP="00BD2C7C">
          <w:pPr>
            <w:spacing w:after="80" w:line="240" w:lineRule="auto"/>
            <w:jc w:val="right"/>
            <w:rPr>
              <w:rFonts w:ascii="Times New Roman"/>
              <w:position w:val="-4"/>
            </w:rPr>
          </w:pPr>
          <w:r>
            <w:rPr>
              <w:rFonts w:ascii="Times New Roman"/>
              <w:position w:val="-4"/>
              <w:sz w:val="40"/>
            </w:rPr>
            <w:t>CEDAW</w:t>
          </w:r>
          <w:r>
            <w:rPr>
              <w:rFonts w:ascii="Times New Roman"/>
              <w:position w:val="-4"/>
            </w:rPr>
            <w:t>/C/ALB/Q/3</w:t>
          </w:r>
        </w:p>
      </w:tc>
    </w:tr>
    <w:tr w:rsidR="00243270" w:rsidRPr="00BD2C7C" w:rsidTr="00BD2C7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43270" w:rsidRDefault="00243270" w:rsidP="00BD2C7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43270" w:rsidRPr="00BD2C7C" w:rsidRDefault="00243270" w:rsidP="00BD2C7C">
          <w:pPr>
            <w:pStyle w:val="Header"/>
            <w:spacing w:before="109"/>
            <w:ind w:left="-72"/>
          </w:pPr>
        </w:p>
      </w:tc>
      <w:tc>
        <w:tcPr>
          <w:tcW w:w="5227" w:type="dxa"/>
          <w:gridSpan w:val="3"/>
          <w:tcBorders>
            <w:top w:val="single" w:sz="4" w:space="0" w:color="auto"/>
            <w:bottom w:val="single" w:sz="12" w:space="0" w:color="auto"/>
          </w:tcBorders>
          <w:shd w:val="clear" w:color="auto" w:fill="auto"/>
        </w:tcPr>
        <w:p w:rsidR="00243270" w:rsidRPr="00BD2C7C" w:rsidRDefault="00243270" w:rsidP="00BD2C7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43270" w:rsidRPr="00BD2C7C" w:rsidRDefault="00243270" w:rsidP="00BD2C7C">
          <w:pPr>
            <w:pStyle w:val="Header"/>
            <w:spacing w:before="109"/>
          </w:pPr>
        </w:p>
      </w:tc>
      <w:tc>
        <w:tcPr>
          <w:tcW w:w="3180" w:type="dxa"/>
          <w:gridSpan w:val="2"/>
          <w:tcBorders>
            <w:top w:val="single" w:sz="4" w:space="0" w:color="auto"/>
            <w:bottom w:val="single" w:sz="12" w:space="0" w:color="auto"/>
          </w:tcBorders>
          <w:shd w:val="clear" w:color="auto" w:fill="auto"/>
        </w:tcPr>
        <w:p w:rsidR="00243270" w:rsidRDefault="00243270" w:rsidP="00BD2C7C">
          <w:pPr>
            <w:spacing w:before="240" w:line="240" w:lineRule="exact"/>
            <w:rPr>
              <w:rFonts w:ascii="Times New Roman"/>
            </w:rPr>
          </w:pPr>
          <w:r>
            <w:rPr>
              <w:rFonts w:ascii="Times New Roman"/>
            </w:rPr>
            <w:t>Distr.: General</w:t>
          </w:r>
        </w:p>
        <w:p w:rsidR="00243270" w:rsidRDefault="00243270" w:rsidP="00BD2C7C">
          <w:pPr>
            <w:spacing w:line="240" w:lineRule="exact"/>
            <w:rPr>
              <w:rFonts w:ascii="Times New Roman"/>
            </w:rPr>
          </w:pPr>
          <w:r>
            <w:rPr>
              <w:rFonts w:ascii="Times New Roman"/>
            </w:rPr>
            <w:t>14 September 2009</w:t>
          </w:r>
        </w:p>
        <w:p w:rsidR="00243270" w:rsidRDefault="00243270" w:rsidP="00BD2C7C">
          <w:pPr>
            <w:spacing w:line="240" w:lineRule="exact"/>
            <w:rPr>
              <w:rFonts w:ascii="Times New Roman"/>
            </w:rPr>
          </w:pPr>
          <w:r>
            <w:rPr>
              <w:rFonts w:ascii="Times New Roman"/>
            </w:rPr>
            <w:t>Chinese</w:t>
          </w:r>
        </w:p>
        <w:p w:rsidR="00243270" w:rsidRPr="00BD2C7C" w:rsidRDefault="00243270" w:rsidP="00BD2C7C">
          <w:pPr>
            <w:spacing w:line="240" w:lineRule="exact"/>
            <w:rPr>
              <w:rFonts w:ascii="Times New Roman"/>
            </w:rPr>
          </w:pPr>
          <w:r>
            <w:rPr>
              <w:rFonts w:ascii="Times New Roman"/>
            </w:rPr>
            <w:t>Original: English</w:t>
          </w:r>
        </w:p>
      </w:tc>
    </w:tr>
  </w:tbl>
  <w:p w:rsidR="00243270" w:rsidRPr="00BD2C7C" w:rsidRDefault="00243270" w:rsidP="00BD2C7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092*"/>
    <w:docVar w:name="CreationDt" w:val="29/09/2009 10:06:53"/>
    <w:docVar w:name="DocCategory" w:val="Doc"/>
    <w:docVar w:name="DocType" w:val="Final"/>
    <w:docVar w:name="FooterJN" w:val="09-51092 (C)"/>
    <w:docVar w:name="jobn" w:val="09-51092 (C)"/>
    <w:docVar w:name="jobnDT" w:val="09-51092 (C)   290909"/>
    <w:docVar w:name="jobnDTDT" w:val="09-51092 (C)   290909   290909"/>
    <w:docVar w:name="JobNo" w:val="0951092C"/>
    <w:docVar w:name="OandT" w:val="peng"/>
    <w:docVar w:name="sss1" w:val="CEDAW/C/ALB/Q/3"/>
    <w:docVar w:name="sss2" w:val="-"/>
    <w:docVar w:name="Symbol1" w:val="CEDAW/C/ALB/Q/3"/>
    <w:docVar w:name="Symbol2" w:val="-"/>
  </w:docVars>
  <w:rsids>
    <w:rsidRoot w:val="00FE4939"/>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3719"/>
    <w:rsid w:val="00173E7C"/>
    <w:rsid w:val="0017506F"/>
    <w:rsid w:val="00194284"/>
    <w:rsid w:val="001B2814"/>
    <w:rsid w:val="001B4F95"/>
    <w:rsid w:val="001C3F7F"/>
    <w:rsid w:val="001C5166"/>
    <w:rsid w:val="001D0354"/>
    <w:rsid w:val="001E20EC"/>
    <w:rsid w:val="001E4442"/>
    <w:rsid w:val="001E5A51"/>
    <w:rsid w:val="001F03A7"/>
    <w:rsid w:val="00207135"/>
    <w:rsid w:val="00231575"/>
    <w:rsid w:val="00243270"/>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E66D5"/>
    <w:rsid w:val="002F41E2"/>
    <w:rsid w:val="00320C99"/>
    <w:rsid w:val="003274A9"/>
    <w:rsid w:val="00331221"/>
    <w:rsid w:val="003649EE"/>
    <w:rsid w:val="00371BC6"/>
    <w:rsid w:val="00373A15"/>
    <w:rsid w:val="00383ACA"/>
    <w:rsid w:val="00394A02"/>
    <w:rsid w:val="003C7B20"/>
    <w:rsid w:val="003D77DC"/>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1550D"/>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528C"/>
    <w:rsid w:val="00826250"/>
    <w:rsid w:val="008378D1"/>
    <w:rsid w:val="00846462"/>
    <w:rsid w:val="00864EB8"/>
    <w:rsid w:val="0086691F"/>
    <w:rsid w:val="00883DB0"/>
    <w:rsid w:val="00884C8F"/>
    <w:rsid w:val="00896D38"/>
    <w:rsid w:val="008C3296"/>
    <w:rsid w:val="008E2D03"/>
    <w:rsid w:val="008F2BB5"/>
    <w:rsid w:val="008F425D"/>
    <w:rsid w:val="008F5472"/>
    <w:rsid w:val="008F5D0F"/>
    <w:rsid w:val="009122E0"/>
    <w:rsid w:val="00913351"/>
    <w:rsid w:val="0093766E"/>
    <w:rsid w:val="0096193C"/>
    <w:rsid w:val="009769E1"/>
    <w:rsid w:val="00977E0D"/>
    <w:rsid w:val="00986C04"/>
    <w:rsid w:val="009A2F76"/>
    <w:rsid w:val="009B7B08"/>
    <w:rsid w:val="009D2AC2"/>
    <w:rsid w:val="009E1774"/>
    <w:rsid w:val="009E2668"/>
    <w:rsid w:val="009E40A3"/>
    <w:rsid w:val="009E5C8C"/>
    <w:rsid w:val="009F10B1"/>
    <w:rsid w:val="009F47E3"/>
    <w:rsid w:val="009F6938"/>
    <w:rsid w:val="00A0537D"/>
    <w:rsid w:val="00A069AD"/>
    <w:rsid w:val="00A17A85"/>
    <w:rsid w:val="00A20856"/>
    <w:rsid w:val="00A242E9"/>
    <w:rsid w:val="00A24399"/>
    <w:rsid w:val="00A24CA5"/>
    <w:rsid w:val="00A33D6D"/>
    <w:rsid w:val="00A37345"/>
    <w:rsid w:val="00A5206D"/>
    <w:rsid w:val="00A70526"/>
    <w:rsid w:val="00A72E47"/>
    <w:rsid w:val="00A90956"/>
    <w:rsid w:val="00A95404"/>
    <w:rsid w:val="00A968C5"/>
    <w:rsid w:val="00AA3C28"/>
    <w:rsid w:val="00AA759D"/>
    <w:rsid w:val="00AA760B"/>
    <w:rsid w:val="00AB2786"/>
    <w:rsid w:val="00AD3931"/>
    <w:rsid w:val="00AD4308"/>
    <w:rsid w:val="00AF2A33"/>
    <w:rsid w:val="00B309DD"/>
    <w:rsid w:val="00B36621"/>
    <w:rsid w:val="00B36D64"/>
    <w:rsid w:val="00B41B48"/>
    <w:rsid w:val="00B538E4"/>
    <w:rsid w:val="00B56194"/>
    <w:rsid w:val="00B61A34"/>
    <w:rsid w:val="00B64E8E"/>
    <w:rsid w:val="00B65E8B"/>
    <w:rsid w:val="00B8025A"/>
    <w:rsid w:val="00B827B1"/>
    <w:rsid w:val="00BB23A4"/>
    <w:rsid w:val="00BC2276"/>
    <w:rsid w:val="00BD2150"/>
    <w:rsid w:val="00BD2C7C"/>
    <w:rsid w:val="00BE1CC3"/>
    <w:rsid w:val="00BE365A"/>
    <w:rsid w:val="00BE47C4"/>
    <w:rsid w:val="00C052A2"/>
    <w:rsid w:val="00C06A4A"/>
    <w:rsid w:val="00C1391A"/>
    <w:rsid w:val="00C14CE6"/>
    <w:rsid w:val="00C15218"/>
    <w:rsid w:val="00C163DD"/>
    <w:rsid w:val="00C2725D"/>
    <w:rsid w:val="00C42033"/>
    <w:rsid w:val="00C464DD"/>
    <w:rsid w:val="00C62EF9"/>
    <w:rsid w:val="00C76854"/>
    <w:rsid w:val="00C92AE0"/>
    <w:rsid w:val="00CB2B1E"/>
    <w:rsid w:val="00CC3E8B"/>
    <w:rsid w:val="00CC4E84"/>
    <w:rsid w:val="00CD36CA"/>
    <w:rsid w:val="00CD5641"/>
    <w:rsid w:val="00CE64AC"/>
    <w:rsid w:val="00CF7718"/>
    <w:rsid w:val="00D177F1"/>
    <w:rsid w:val="00D323B5"/>
    <w:rsid w:val="00D42ACC"/>
    <w:rsid w:val="00D461B7"/>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05BE6"/>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493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TotalTime>
  <Pages>1</Pages>
  <Words>786</Words>
  <Characters>4483</Characters>
  <Application>Microsoft Office Word</Application>
  <DocSecurity>4</DocSecurity>
  <Lines>37</Lines>
  <Paragraphs>10</Paragraphs>
  <ScaleCrop>false</ScaleCrop>
  <Company>United Nations</Company>
  <LinksUpToDate>false</LinksUpToDate>
  <CharactersWithSpaces>5259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16</cp:revision>
  <cp:lastPrinted>2009-10-01T15:43:00Z</cp:lastPrinted>
  <dcterms:created xsi:type="dcterms:W3CDTF">2009-09-29T09:05:00Z</dcterms:created>
  <dcterms:modified xsi:type="dcterms:W3CDTF">2009-10-01T15:55:00Z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0951092</vt:lpwstr>
  </property>
  <property fmtid="{D5CDD505-2E9C-101B-9397-08002B2CF9AE}" pid="3" name="Symbol1">
    <vt:lpwstr>CEDAW/C/ALB/Q/3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peng</vt:lpwstr>
  </property>
</Properties>
</file>