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CF65C6" w:rsidRDefault="006B3E27" w:rsidP="00E70E04">
            <w:pPr>
              <w:jc w:val="center"/>
              <w:rPr>
                <w:sz w:val="56"/>
                <w:szCs w:val="56"/>
                <w:rtl/>
                <w:lang w:val="fr-CH"/>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E1C02" w:rsidP="00AC7038">
            <w:pPr>
              <w:bidi w:val="0"/>
              <w:spacing w:after="20"/>
              <w:jc w:val="left"/>
              <w:rPr>
                <w:szCs w:val="20"/>
              </w:rPr>
            </w:pPr>
            <w:r w:rsidRPr="009E1C02">
              <w:rPr>
                <w:sz w:val="40"/>
                <w:szCs w:val="20"/>
              </w:rPr>
              <w:t>CCPR</w:t>
            </w:r>
            <w:r>
              <w:rPr>
                <w:szCs w:val="20"/>
              </w:rPr>
              <w:t>/C/158</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6FD1536" wp14:editId="56238FF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AC7038" w:rsidP="00AC7038">
            <w:pPr>
              <w:bidi w:val="0"/>
              <w:spacing w:before="240"/>
              <w:jc w:val="left"/>
              <w:rPr>
                <w:szCs w:val="20"/>
              </w:rPr>
            </w:pPr>
            <w:r>
              <w:rPr>
                <w:szCs w:val="20"/>
              </w:rPr>
              <w:t>Distr.: General</w:t>
            </w:r>
          </w:p>
          <w:p w:rsidR="00AC7038" w:rsidRDefault="00AC7038" w:rsidP="00AC7038">
            <w:pPr>
              <w:bidi w:val="0"/>
              <w:jc w:val="left"/>
              <w:rPr>
                <w:szCs w:val="20"/>
              </w:rPr>
            </w:pPr>
            <w:r>
              <w:rPr>
                <w:szCs w:val="20"/>
              </w:rPr>
              <w:t>30 November 2016</w:t>
            </w:r>
          </w:p>
          <w:p w:rsidR="00AC7038" w:rsidRDefault="00AC7038" w:rsidP="00AC7038">
            <w:pPr>
              <w:bidi w:val="0"/>
              <w:jc w:val="left"/>
              <w:rPr>
                <w:szCs w:val="20"/>
              </w:rPr>
            </w:pPr>
            <w:r>
              <w:rPr>
                <w:szCs w:val="20"/>
              </w:rPr>
              <w:t>Arabic</w:t>
            </w:r>
          </w:p>
          <w:p w:rsidR="00AC7038" w:rsidRPr="00CB6622" w:rsidRDefault="00AC7038" w:rsidP="00AC7038">
            <w:pPr>
              <w:bidi w:val="0"/>
              <w:jc w:val="left"/>
              <w:rPr>
                <w:szCs w:val="20"/>
              </w:rPr>
            </w:pPr>
            <w:r>
              <w:rPr>
                <w:szCs w:val="20"/>
              </w:rPr>
              <w:t>Original: English</w:t>
            </w:r>
            <w:bookmarkStart w:id="0" w:name="_GoBack"/>
            <w:bookmarkEnd w:id="0"/>
          </w:p>
        </w:tc>
      </w:tr>
    </w:tbl>
    <w:p w:rsidR="00AC7038" w:rsidRPr="00AC7038" w:rsidRDefault="00AC7038" w:rsidP="00AC7038">
      <w:pPr>
        <w:spacing w:before="120" w:after="120" w:line="380" w:lineRule="exact"/>
        <w:rPr>
          <w:b/>
          <w:bCs/>
          <w:sz w:val="26"/>
          <w:szCs w:val="36"/>
          <w:rtl/>
        </w:rPr>
      </w:pPr>
      <w:r w:rsidRPr="00AC7038">
        <w:rPr>
          <w:b/>
          <w:bCs/>
          <w:sz w:val="26"/>
          <w:szCs w:val="36"/>
          <w:rtl/>
        </w:rPr>
        <w:t>اللجنة المعنية بحقوق الإنسان</w:t>
      </w:r>
    </w:p>
    <w:p w:rsidR="00AC7038" w:rsidRPr="00AC7038" w:rsidRDefault="00AC7038" w:rsidP="00D76FFD">
      <w:pPr>
        <w:pStyle w:val="HChGA"/>
        <w:rPr>
          <w:rtl/>
        </w:rPr>
      </w:pPr>
      <w:r w:rsidRPr="00AC7038">
        <w:rPr>
          <w:rFonts w:hint="cs"/>
          <w:rtl/>
        </w:rPr>
        <w:tab/>
      </w:r>
      <w:r w:rsidRPr="00AC7038">
        <w:rPr>
          <w:rFonts w:hint="cs"/>
          <w:rtl/>
        </w:rPr>
        <w:tab/>
      </w:r>
      <w:r w:rsidRPr="00AC7038">
        <w:rPr>
          <w:rtl/>
        </w:rPr>
        <w:t>مبادئ توجيهية بشأن تدابير الجبر في إطار البروتوكول الاختياري الملحق بالعهد الدولي الخاص بالحقوق المدنية والسياسية</w:t>
      </w:r>
      <w:r w:rsidR="00D76FFD" w:rsidRPr="00D76FFD">
        <w:rPr>
          <w:rStyle w:val="FootnoteReference"/>
          <w:b/>
          <w:bCs w:val="0"/>
          <w:sz w:val="20"/>
          <w:vertAlign w:val="baseline"/>
          <w:rtl/>
        </w:rPr>
        <w:footnoteReference w:customMarkFollows="1" w:id="1"/>
        <w:t>*</w:t>
      </w:r>
    </w:p>
    <w:p w:rsidR="00AC7038" w:rsidRPr="00AC7038" w:rsidRDefault="00AC7038" w:rsidP="00AC7038">
      <w:pPr>
        <w:pStyle w:val="SingleTxtGA"/>
        <w:rPr>
          <w:rtl/>
        </w:rPr>
      </w:pPr>
      <w:r w:rsidRPr="00AC7038">
        <w:rPr>
          <w:rtl/>
        </w:rPr>
        <w:t>١</w:t>
      </w:r>
      <w:r>
        <w:rPr>
          <w:rFonts w:hint="cs"/>
          <w:rtl/>
        </w:rPr>
        <w:t>-</w:t>
      </w:r>
      <w:r>
        <w:rPr>
          <w:rFonts w:hint="cs"/>
          <w:rtl/>
        </w:rPr>
        <w:tab/>
      </w:r>
      <w:r w:rsidRPr="00AC7038">
        <w:rPr>
          <w:rtl/>
        </w:rPr>
        <w:t>تقدم هذه المبادئ التوجيهية لمحة عن سوابق اللجنة، على النحو المبين في الآراء المتعلقة بالبلاغات الفردية بموجب البروتوكول الاختياري، عند إلزام الدول الأطراف بجبر الأضرار التي تلحق بالأفراد الذين انتُهكت حقوقهم التي ينص عليها العهد جبرا</w:t>
      </w:r>
      <w:r w:rsidR="003700AA">
        <w:rPr>
          <w:rFonts w:hint="cs"/>
          <w:rtl/>
        </w:rPr>
        <w:t>ً</w:t>
      </w:r>
      <w:r w:rsidRPr="00AC7038">
        <w:rPr>
          <w:rtl/>
        </w:rPr>
        <w:t xml:space="preserve"> تاما</w:t>
      </w:r>
      <w:r w:rsidR="003700AA">
        <w:rPr>
          <w:rFonts w:hint="cs"/>
          <w:rtl/>
        </w:rPr>
        <w:t>ً</w:t>
      </w:r>
      <w:r w:rsidRPr="00AC7038">
        <w:rPr>
          <w:rtl/>
          <w:lang w:val="en-GB"/>
        </w:rPr>
        <w:t>.</w:t>
      </w:r>
      <w:r w:rsidRPr="00AC7038">
        <w:rPr>
          <w:rtl/>
        </w:rPr>
        <w:t xml:space="preserve"> وتهدف المبادئ التوجيهية إلى مواءمة المعايير وتحقيق الاتساق لجعل سوابق اللجنة أكثر فاعلية، مع اتسامها بالمرونة عندما تحدث تطورات في </w:t>
      </w:r>
      <w:r w:rsidRPr="00AC7038">
        <w:rPr>
          <w:rFonts w:hint="cs"/>
          <w:rtl/>
        </w:rPr>
        <w:t>ذلك</w:t>
      </w:r>
      <w:r w:rsidRPr="00AC7038">
        <w:rPr>
          <w:rtl/>
        </w:rPr>
        <w:t xml:space="preserve"> المجال</w:t>
      </w:r>
      <w:r w:rsidRPr="00AC7038">
        <w:rPr>
          <w:rtl/>
          <w:lang w:val="en-GB"/>
        </w:rPr>
        <w:t>.</w:t>
      </w:r>
    </w:p>
    <w:p w:rsidR="00AC7038" w:rsidRPr="00AC7038" w:rsidRDefault="00AC7038" w:rsidP="00647EC7">
      <w:pPr>
        <w:pStyle w:val="SingleTxtGA"/>
        <w:rPr>
          <w:rtl/>
        </w:rPr>
      </w:pPr>
      <w:r w:rsidRPr="00AC7038">
        <w:rPr>
          <w:rtl/>
        </w:rPr>
        <w:t>٢</w:t>
      </w:r>
      <w:r>
        <w:rPr>
          <w:rFonts w:hint="cs"/>
          <w:rtl/>
        </w:rPr>
        <w:t>-</w:t>
      </w:r>
      <w:r>
        <w:rPr>
          <w:rFonts w:hint="cs"/>
          <w:rtl/>
        </w:rPr>
        <w:tab/>
      </w:r>
      <w:r w:rsidRPr="00AC7038">
        <w:rPr>
          <w:rtl/>
        </w:rPr>
        <w:t>فمتى رأت اللجنة أن بلاغا</w:t>
      </w:r>
      <w:r w:rsidR="003700AA">
        <w:rPr>
          <w:rFonts w:hint="cs"/>
          <w:rtl/>
        </w:rPr>
        <w:t>ً</w:t>
      </w:r>
      <w:r w:rsidRPr="00AC7038">
        <w:rPr>
          <w:rtl/>
        </w:rPr>
        <w:t xml:space="preserve"> فرديا</w:t>
      </w:r>
      <w:r w:rsidR="003700AA">
        <w:rPr>
          <w:rFonts w:hint="cs"/>
          <w:rtl/>
        </w:rPr>
        <w:t>ً</w:t>
      </w:r>
      <w:r w:rsidRPr="00AC7038">
        <w:rPr>
          <w:rtl/>
        </w:rPr>
        <w:t xml:space="preserve"> يكشف عن انتهاك للحقوق التي ينص عليها العهد، وضعت تدابير لجبر الضحايا جبرا</w:t>
      </w:r>
      <w:r w:rsidR="003700AA">
        <w:rPr>
          <w:rFonts w:hint="cs"/>
          <w:rtl/>
        </w:rPr>
        <w:t>ً</w:t>
      </w:r>
      <w:r w:rsidRPr="00AC7038">
        <w:rPr>
          <w:rtl/>
        </w:rPr>
        <w:t xml:space="preserve"> تاما</w:t>
      </w:r>
      <w:r w:rsidR="003700AA">
        <w:rPr>
          <w:rFonts w:hint="cs"/>
          <w:rtl/>
        </w:rPr>
        <w:t>ً</w:t>
      </w:r>
      <w:r w:rsidRPr="00AC7038">
        <w:rPr>
          <w:rtl/>
        </w:rPr>
        <w:t xml:space="preserve"> (الرد، والتعويض، وإعادة التأهيل، وتدابير الترضية)، إضافة إلى التدابير التي ترمي إلى منع تكرار انتهاكات مماثلة في المستقبل (ضمانات عدم التكرار)</w:t>
      </w:r>
      <w:r w:rsidR="00D76FFD" w:rsidRPr="00D76FFD">
        <w:rPr>
          <w:rFonts w:hint="cs"/>
          <w:vertAlign w:val="superscript"/>
          <w:rtl/>
        </w:rPr>
        <w:t>(</w:t>
      </w:r>
      <w:r w:rsidRPr="00D76FFD">
        <w:rPr>
          <w:vertAlign w:val="superscript"/>
          <w:rtl/>
        </w:rPr>
        <w:footnoteReference w:id="2"/>
      </w:r>
      <w:r w:rsidR="00D76FFD" w:rsidRPr="00D76FFD">
        <w:rPr>
          <w:rFonts w:hint="cs"/>
          <w:vertAlign w:val="superscript"/>
          <w:rtl/>
        </w:rPr>
        <w:t>)</w:t>
      </w:r>
      <w:r w:rsidRPr="00AC7038">
        <w:rPr>
          <w:rtl/>
          <w:lang w:val="en-GB"/>
        </w:rPr>
        <w:t>.</w:t>
      </w:r>
      <w:r w:rsidRPr="00AC7038">
        <w:rPr>
          <w:rtl/>
        </w:rPr>
        <w:t xml:space="preserve"> وعند تحديد اللجنة تلك التدابير، تسعى إلى أن تكون منسجمة مع نفسها، وتنتهج نهجا</w:t>
      </w:r>
      <w:r w:rsidR="003700AA">
        <w:rPr>
          <w:rFonts w:hint="cs"/>
          <w:rtl/>
        </w:rPr>
        <w:t>ً</w:t>
      </w:r>
      <w:r w:rsidRPr="00AC7038">
        <w:rPr>
          <w:rtl/>
        </w:rPr>
        <w:t xml:space="preserve"> مماثلا</w:t>
      </w:r>
      <w:r w:rsidR="003700AA">
        <w:rPr>
          <w:rFonts w:hint="cs"/>
          <w:rtl/>
        </w:rPr>
        <w:t>ً</w:t>
      </w:r>
      <w:r w:rsidRPr="00AC7038">
        <w:rPr>
          <w:rtl/>
        </w:rPr>
        <w:t xml:space="preserve"> في أنواع مماثلة من الحالات</w:t>
      </w:r>
      <w:r w:rsidRPr="00AC7038">
        <w:rPr>
          <w:rtl/>
          <w:lang w:val="en-GB"/>
        </w:rPr>
        <w:t>.</w:t>
      </w:r>
    </w:p>
    <w:p w:rsidR="00AC7038" w:rsidRPr="00836731" w:rsidRDefault="00AC7038" w:rsidP="00AC7038">
      <w:pPr>
        <w:pStyle w:val="SingleTxtGA"/>
        <w:rPr>
          <w:spacing w:val="-3"/>
          <w:rtl/>
        </w:rPr>
      </w:pPr>
      <w:r w:rsidRPr="00836731">
        <w:rPr>
          <w:spacing w:val="-3"/>
          <w:rtl/>
        </w:rPr>
        <w:t>٣</w:t>
      </w:r>
      <w:r w:rsidRPr="00836731">
        <w:rPr>
          <w:rFonts w:hint="cs"/>
          <w:spacing w:val="-3"/>
          <w:rtl/>
        </w:rPr>
        <w:t>-</w:t>
      </w:r>
      <w:r w:rsidRPr="00836731">
        <w:rPr>
          <w:rFonts w:hint="cs"/>
          <w:spacing w:val="-3"/>
          <w:rtl/>
        </w:rPr>
        <w:tab/>
      </w:r>
      <w:r w:rsidRPr="00836731">
        <w:rPr>
          <w:spacing w:val="-3"/>
          <w:rtl/>
        </w:rPr>
        <w:t>والأساس القانوني لاتخاذ تدابير الجبر في آراء اللجنة هو التزامات الدول الأطراف بمقتضى المادة</w:t>
      </w:r>
      <w:r w:rsidRPr="00836731">
        <w:rPr>
          <w:rFonts w:hint="cs"/>
          <w:spacing w:val="-3"/>
          <w:rtl/>
        </w:rPr>
        <w:t xml:space="preserve"> 2 </w:t>
      </w:r>
      <w:r w:rsidRPr="00836731">
        <w:rPr>
          <w:spacing w:val="-3"/>
          <w:rtl/>
        </w:rPr>
        <w:t>من العهد</w:t>
      </w:r>
      <w:r w:rsidR="00D76FFD" w:rsidRPr="00836731">
        <w:rPr>
          <w:rFonts w:hint="cs"/>
          <w:spacing w:val="-3"/>
          <w:vertAlign w:val="superscript"/>
          <w:rtl/>
        </w:rPr>
        <w:t>(</w:t>
      </w:r>
      <w:r w:rsidRPr="00836731">
        <w:rPr>
          <w:spacing w:val="-3"/>
          <w:vertAlign w:val="superscript"/>
          <w:rtl/>
        </w:rPr>
        <w:footnoteReference w:id="3"/>
      </w:r>
      <w:r w:rsidR="00D76FFD" w:rsidRPr="00836731">
        <w:rPr>
          <w:rFonts w:hint="cs"/>
          <w:spacing w:val="-3"/>
          <w:vertAlign w:val="superscript"/>
          <w:rtl/>
        </w:rPr>
        <w:t>)</w:t>
      </w:r>
      <w:r w:rsidRPr="00836731">
        <w:rPr>
          <w:spacing w:val="-3"/>
          <w:rtl/>
          <w:lang w:val="en-GB"/>
        </w:rPr>
        <w:t>.</w:t>
      </w:r>
      <w:r w:rsidRPr="00836731">
        <w:rPr>
          <w:spacing w:val="-3"/>
          <w:rtl/>
        </w:rPr>
        <w:t xml:space="preserve"> ولذلك تطلب اللجنة إلى الدول الأطراف أن تقدم معلومات عن الإجراءات </w:t>
      </w:r>
      <w:r w:rsidRPr="00836731">
        <w:rPr>
          <w:spacing w:val="-3"/>
          <w:rtl/>
        </w:rPr>
        <w:lastRenderedPageBreak/>
        <w:t>التي اتخذتها لوضع آراء اللجنة موضع التنفيذ في غضون</w:t>
      </w:r>
      <w:r w:rsidRPr="00836731">
        <w:rPr>
          <w:rFonts w:hint="cs"/>
          <w:spacing w:val="-3"/>
          <w:rtl/>
        </w:rPr>
        <w:t xml:space="preserve"> 180 </w:t>
      </w:r>
      <w:r w:rsidRPr="00836731">
        <w:rPr>
          <w:spacing w:val="-3"/>
          <w:rtl/>
        </w:rPr>
        <w:t>يوما</w:t>
      </w:r>
      <w:r w:rsidR="003700AA">
        <w:rPr>
          <w:rFonts w:hint="cs"/>
          <w:spacing w:val="-3"/>
          <w:rtl/>
        </w:rPr>
        <w:t>ً</w:t>
      </w:r>
      <w:r w:rsidRPr="00836731">
        <w:rPr>
          <w:spacing w:val="-3"/>
          <w:rtl/>
          <w:lang w:val="en-GB"/>
        </w:rPr>
        <w:t>.</w:t>
      </w:r>
      <w:r w:rsidRPr="00836731">
        <w:rPr>
          <w:spacing w:val="-3"/>
          <w:rtl/>
        </w:rPr>
        <w:t xml:space="preserve"> كما تطلب إليها أن تنشر آراء اللجنة في كل حالة؛ وعند الاقتضاء، تحدد اللغة أو اللغات التي ينبغي نشر الآراء بها</w:t>
      </w:r>
      <w:r w:rsidRPr="00836731">
        <w:rPr>
          <w:spacing w:val="-3"/>
          <w:rtl/>
          <w:lang w:val="en-GB"/>
        </w:rPr>
        <w:t>.</w:t>
      </w:r>
    </w:p>
    <w:p w:rsidR="00AC7038" w:rsidRPr="00AC7038" w:rsidRDefault="00AC7038" w:rsidP="00AC7038">
      <w:pPr>
        <w:pStyle w:val="SingleTxtGA"/>
        <w:rPr>
          <w:rtl/>
        </w:rPr>
      </w:pPr>
      <w:r w:rsidRPr="00AC7038">
        <w:rPr>
          <w:rtl/>
        </w:rPr>
        <w:t>٤</w:t>
      </w:r>
      <w:r>
        <w:rPr>
          <w:rFonts w:hint="cs"/>
          <w:rtl/>
        </w:rPr>
        <w:t>-</w:t>
      </w:r>
      <w:r>
        <w:rPr>
          <w:rFonts w:hint="cs"/>
          <w:rtl/>
        </w:rPr>
        <w:tab/>
      </w:r>
      <w:r w:rsidRPr="00AC7038">
        <w:rPr>
          <w:rtl/>
        </w:rPr>
        <w:t>وعند بت اللجنة في تدابير الجبر، من العناصر التي تراعيها موقف الأطراف في البلاغ المعني، مع تجنبها إخضاع نفسها لأي تقنين جامد</w:t>
      </w:r>
      <w:r w:rsidRPr="00AC7038">
        <w:rPr>
          <w:rtl/>
          <w:lang w:val="en-GB"/>
        </w:rPr>
        <w:t>.</w:t>
      </w:r>
      <w:r w:rsidRPr="00AC7038">
        <w:rPr>
          <w:rtl/>
        </w:rPr>
        <w:t xml:space="preserve"> وعند تجهيزها البلاغات، تنصح أصحاب البلاغات بأن يشيروا في بلاغاتهم إلى أنواع الجبر التي يلتمسونها</w:t>
      </w:r>
      <w:r w:rsidRPr="00AC7038">
        <w:rPr>
          <w:rtl/>
          <w:lang w:val="en-GB"/>
        </w:rPr>
        <w:t>.</w:t>
      </w:r>
      <w:r w:rsidRPr="00AC7038">
        <w:rPr>
          <w:rtl/>
        </w:rPr>
        <w:t xml:space="preserve"> ويُطلب إلى الدول الأطراف حينئذ أن تعلق تحديدا</w:t>
      </w:r>
      <w:r w:rsidR="003700AA">
        <w:rPr>
          <w:rFonts w:hint="cs"/>
          <w:rtl/>
        </w:rPr>
        <w:t>ً</w:t>
      </w:r>
      <w:r w:rsidRPr="00AC7038">
        <w:rPr>
          <w:rtl/>
        </w:rPr>
        <w:t xml:space="preserve"> على ذلك الجانب من البلاغات</w:t>
      </w:r>
      <w:r w:rsidRPr="00AC7038">
        <w:rPr>
          <w:rtl/>
          <w:lang w:val="en-GB"/>
        </w:rPr>
        <w:t>.</w:t>
      </w:r>
      <w:r w:rsidRPr="00AC7038">
        <w:rPr>
          <w:rtl/>
        </w:rPr>
        <w:t xml:space="preserve"> ولا تستعمل اللجنة المعلومات التي يقدمها أصحاب البلاغات والدول الأطراف في ذلك الصدد إلا لأغراض مرجعية فقط؛ واللجنة غير ملزمة أو مقيّدة بها</w:t>
      </w:r>
      <w:r w:rsidRPr="00AC7038">
        <w:rPr>
          <w:rtl/>
          <w:lang w:val="en-GB"/>
        </w:rPr>
        <w:t>.</w:t>
      </w:r>
    </w:p>
    <w:p w:rsidR="00AC7038" w:rsidRPr="00AC7038" w:rsidRDefault="00AC7038" w:rsidP="00AC7038">
      <w:pPr>
        <w:pStyle w:val="SingleTxtGA"/>
        <w:rPr>
          <w:rtl/>
        </w:rPr>
      </w:pPr>
      <w:r w:rsidRPr="00AC7038">
        <w:rPr>
          <w:rtl/>
        </w:rPr>
        <w:t>٥</w:t>
      </w:r>
      <w:r>
        <w:rPr>
          <w:rFonts w:hint="cs"/>
          <w:rtl/>
        </w:rPr>
        <w:t>-</w:t>
      </w:r>
      <w:r>
        <w:rPr>
          <w:rFonts w:hint="cs"/>
          <w:rtl/>
        </w:rPr>
        <w:tab/>
      </w:r>
      <w:r w:rsidRPr="00AC7038">
        <w:rPr>
          <w:rtl/>
        </w:rPr>
        <w:t>وينبغي للجنة، عند بتها في تدابير الجبر المناسبة، أن تأخذ في الاعتبار ظروف البلاغ الخاصة</w:t>
      </w:r>
      <w:r w:rsidRPr="00AC7038">
        <w:rPr>
          <w:rtl/>
          <w:lang w:val="en-GB"/>
        </w:rPr>
        <w:t>.</w:t>
      </w:r>
      <w:r w:rsidRPr="00AC7038">
        <w:rPr>
          <w:rtl/>
        </w:rPr>
        <w:t xml:space="preserve"> ففي بعض الحالات، على سبيل المثال، توصلت اللجنة إلى قرارات تأخذ في الحسبان وجود بُعد جنساني أو نظرة جماعة من الشعوب الأصلية إلى العالم</w:t>
      </w:r>
      <w:r w:rsidRPr="00AC7038">
        <w:rPr>
          <w:rtl/>
          <w:lang w:val="en-GB"/>
        </w:rPr>
        <w:t>.</w:t>
      </w:r>
    </w:p>
    <w:p w:rsidR="00AC7038" w:rsidRPr="00AC7038" w:rsidRDefault="00AC7038" w:rsidP="00AC7038">
      <w:pPr>
        <w:pStyle w:val="H1GA"/>
        <w:rPr>
          <w:rtl/>
        </w:rPr>
      </w:pPr>
      <w:r w:rsidRPr="00AC7038">
        <w:rPr>
          <w:rtl/>
        </w:rPr>
        <w:tab/>
      </w:r>
      <w:r w:rsidRPr="00AC7038">
        <w:rPr>
          <w:rtl/>
        </w:rPr>
        <w:tab/>
        <w:t>الرد</w:t>
      </w:r>
    </w:p>
    <w:p w:rsidR="00AC7038" w:rsidRPr="00AC7038" w:rsidRDefault="00AC7038" w:rsidP="00AC7038">
      <w:pPr>
        <w:pStyle w:val="SingleTxtGA"/>
        <w:rPr>
          <w:rtl/>
        </w:rPr>
      </w:pPr>
      <w:r w:rsidRPr="00AC7038">
        <w:rPr>
          <w:rtl/>
        </w:rPr>
        <w:t>٦</w:t>
      </w:r>
      <w:r w:rsidRPr="00AC7038">
        <w:rPr>
          <w:rtl/>
          <w:lang w:val="en-GB"/>
        </w:rPr>
        <w:t>-</w:t>
      </w:r>
      <w:r>
        <w:rPr>
          <w:rFonts w:hint="cs"/>
          <w:rtl/>
        </w:rPr>
        <w:tab/>
      </w:r>
      <w:r w:rsidRPr="00AC7038">
        <w:rPr>
          <w:rtl/>
        </w:rPr>
        <w:t>تطلب اللجنة أن توفر الدول الأطراف تدابير الرد بهدف إعادة الحقوق التي انتهكت</w:t>
      </w:r>
      <w:r w:rsidRPr="00AC7038">
        <w:rPr>
          <w:rFonts w:hint="cs"/>
          <w:rtl/>
        </w:rPr>
        <w:t xml:space="preserve"> إلى أهلها</w:t>
      </w:r>
      <w:r w:rsidRPr="00AC7038">
        <w:rPr>
          <w:rtl/>
          <w:lang w:val="en-GB"/>
        </w:rPr>
        <w:t>.</w:t>
      </w:r>
      <w:r w:rsidRPr="00AC7038">
        <w:rPr>
          <w:rtl/>
        </w:rPr>
        <w:t xml:space="preserve"> وقد تشمل هذه التدابير، على سبيل الاستدلال، إعادة الضحية إلى منصبه السابق الذي فُقد نتيجة الانتهاك المرتكب</w:t>
      </w:r>
      <w:r w:rsidRPr="00AC7038">
        <w:rPr>
          <w:rtl/>
          <w:lang w:val="en-GB"/>
        </w:rPr>
        <w:t>.</w:t>
      </w:r>
    </w:p>
    <w:p w:rsidR="00AC7038" w:rsidRPr="00AC7038" w:rsidRDefault="00AC7038" w:rsidP="00AC7038">
      <w:pPr>
        <w:pStyle w:val="SingleTxtGA"/>
        <w:rPr>
          <w:rtl/>
        </w:rPr>
      </w:pPr>
      <w:r w:rsidRPr="00AC7038">
        <w:rPr>
          <w:rtl/>
        </w:rPr>
        <w:t>٧</w:t>
      </w:r>
      <w:r w:rsidRPr="00AC7038">
        <w:rPr>
          <w:rtl/>
          <w:lang w:val="en-GB"/>
        </w:rPr>
        <w:t>-</w:t>
      </w:r>
      <w:r>
        <w:rPr>
          <w:rFonts w:hint="cs"/>
          <w:rtl/>
        </w:rPr>
        <w:tab/>
      </w:r>
      <w:r w:rsidRPr="00AC7038">
        <w:rPr>
          <w:rtl/>
        </w:rPr>
        <w:t>ويجوز للجنة في حالات سلب الحرية، عند الاقتضاء، أن تطلب الإفراج عن الشخص المعني أو إعادة السلطات الوطنية النظر في أسباب سلب الحرية أو توفير خيار إعادة المحاكمة أو الإفراج عن الشخص المقصود</w:t>
      </w:r>
      <w:r w:rsidRPr="00AC7038">
        <w:rPr>
          <w:rtl/>
          <w:lang w:val="en-GB"/>
        </w:rPr>
        <w:t>.</w:t>
      </w:r>
      <w:r w:rsidRPr="00AC7038">
        <w:rPr>
          <w:rtl/>
        </w:rPr>
        <w:t xml:space="preserve"> وتأخذ اللجنة بالمرونة في تلك حالات، وتتخذ قرارها على أساس كل حالة على حدة</w:t>
      </w:r>
      <w:r w:rsidRPr="00AC7038">
        <w:rPr>
          <w:rtl/>
          <w:lang w:val="en-GB"/>
        </w:rPr>
        <w:t>.</w:t>
      </w:r>
    </w:p>
    <w:p w:rsidR="00AC7038" w:rsidRPr="00AC7038" w:rsidRDefault="00AC7038" w:rsidP="00AC7038">
      <w:pPr>
        <w:pStyle w:val="H1GA"/>
        <w:rPr>
          <w:rtl/>
        </w:rPr>
      </w:pPr>
      <w:r w:rsidRPr="00AC7038">
        <w:rPr>
          <w:rtl/>
        </w:rPr>
        <w:tab/>
      </w:r>
      <w:r w:rsidRPr="00AC7038">
        <w:rPr>
          <w:rtl/>
        </w:rPr>
        <w:tab/>
        <w:t>إعادة التأهيل</w:t>
      </w:r>
    </w:p>
    <w:p w:rsidR="00AC7038" w:rsidRPr="00AC7038" w:rsidRDefault="00AC7038" w:rsidP="00AC7038">
      <w:pPr>
        <w:pStyle w:val="SingleTxtGA"/>
        <w:rPr>
          <w:rtl/>
        </w:rPr>
      </w:pPr>
      <w:r w:rsidRPr="00AC7038">
        <w:rPr>
          <w:rtl/>
        </w:rPr>
        <w:t>٨</w:t>
      </w:r>
      <w:r w:rsidRPr="00AC7038">
        <w:rPr>
          <w:rtl/>
          <w:lang w:val="en-GB"/>
        </w:rPr>
        <w:t>-</w:t>
      </w:r>
      <w:r>
        <w:rPr>
          <w:rFonts w:hint="cs"/>
          <w:rtl/>
        </w:rPr>
        <w:tab/>
      </w:r>
      <w:r w:rsidRPr="00AC7038">
        <w:rPr>
          <w:rtl/>
        </w:rPr>
        <w:t>تنظر اللجنة فيما إذا كان ينبغي أن يشمل الجبر وسائل إعادة التأهيل على أكمل وجه ممكن</w:t>
      </w:r>
      <w:r w:rsidRPr="00AC7038">
        <w:rPr>
          <w:rtl/>
          <w:lang w:val="en-GB"/>
        </w:rPr>
        <w:t>.</w:t>
      </w:r>
      <w:r w:rsidRPr="00AC7038">
        <w:rPr>
          <w:rtl/>
        </w:rPr>
        <w:t xml:space="preserve"> فإن كان الأمر كذلك، أشارت إلى أن على الدولة الطرف أن توفر للضحية أو أسرته، حسب الاقتضاء، علاجا</w:t>
      </w:r>
      <w:r w:rsidR="003700AA">
        <w:rPr>
          <w:rFonts w:hint="cs"/>
          <w:rtl/>
        </w:rPr>
        <w:t>ً</w:t>
      </w:r>
      <w:r w:rsidRPr="00AC7038">
        <w:rPr>
          <w:rtl/>
        </w:rPr>
        <w:t xml:space="preserve"> طبيا</w:t>
      </w:r>
      <w:r w:rsidR="003700AA">
        <w:rPr>
          <w:rFonts w:hint="cs"/>
          <w:rtl/>
        </w:rPr>
        <w:t>ً</w:t>
      </w:r>
      <w:r w:rsidRPr="00AC7038">
        <w:rPr>
          <w:rtl/>
        </w:rPr>
        <w:t xml:space="preserve"> أو نفسيا</w:t>
      </w:r>
      <w:r w:rsidR="003700AA">
        <w:rPr>
          <w:rFonts w:hint="cs"/>
          <w:rtl/>
        </w:rPr>
        <w:t>ً</w:t>
      </w:r>
      <w:r w:rsidRPr="00AC7038">
        <w:rPr>
          <w:rtl/>
        </w:rPr>
        <w:t xml:space="preserve"> أو ما يلزم من مال لدفع ثمن هذا العلاج</w:t>
      </w:r>
      <w:r w:rsidRPr="00AC7038">
        <w:rPr>
          <w:rtl/>
          <w:lang w:val="en-GB"/>
        </w:rPr>
        <w:t>.</w:t>
      </w:r>
    </w:p>
    <w:p w:rsidR="00AC7038" w:rsidRPr="00AC7038" w:rsidRDefault="00AC7038" w:rsidP="00AC7038">
      <w:pPr>
        <w:pStyle w:val="H1GA"/>
        <w:rPr>
          <w:rtl/>
        </w:rPr>
      </w:pPr>
      <w:r w:rsidRPr="00AC7038">
        <w:rPr>
          <w:rtl/>
        </w:rPr>
        <w:tab/>
      </w:r>
      <w:r w:rsidRPr="00AC7038">
        <w:rPr>
          <w:rtl/>
        </w:rPr>
        <w:tab/>
        <w:t>التعويض</w:t>
      </w:r>
    </w:p>
    <w:p w:rsidR="00AC7038" w:rsidRPr="00AC7038" w:rsidRDefault="00AC7038" w:rsidP="003700AA">
      <w:pPr>
        <w:pStyle w:val="SingleTxtGA"/>
        <w:rPr>
          <w:rtl/>
        </w:rPr>
      </w:pPr>
      <w:r w:rsidRPr="00AC7038">
        <w:rPr>
          <w:rtl/>
        </w:rPr>
        <w:t>٩</w:t>
      </w:r>
      <w:r w:rsidRPr="00AC7038">
        <w:rPr>
          <w:rtl/>
          <w:lang w:val="en-GB"/>
        </w:rPr>
        <w:t>-</w:t>
      </w:r>
      <w:r>
        <w:rPr>
          <w:rFonts w:hint="cs"/>
          <w:rtl/>
        </w:rPr>
        <w:tab/>
      </w:r>
      <w:r w:rsidRPr="00AC7038">
        <w:rPr>
          <w:rtl/>
        </w:rPr>
        <w:t>القاعدة العامة هي عدم تحديد اللجنة المبلغ المالي</w:t>
      </w:r>
      <w:r w:rsidRPr="00AC7038">
        <w:rPr>
          <w:rtl/>
          <w:lang w:val="en-GB"/>
        </w:rPr>
        <w:t>.</w:t>
      </w:r>
    </w:p>
    <w:p w:rsidR="00AC7038" w:rsidRPr="00AC7038" w:rsidRDefault="00AC7038" w:rsidP="003700AA">
      <w:pPr>
        <w:pStyle w:val="SingleTxtGA"/>
        <w:rPr>
          <w:rtl/>
        </w:rPr>
      </w:pPr>
      <w:r w:rsidRPr="00AC7038">
        <w:rPr>
          <w:rtl/>
        </w:rPr>
        <w:t>١٠</w:t>
      </w:r>
      <w:r w:rsidRPr="00AC7038">
        <w:rPr>
          <w:rtl/>
          <w:lang w:val="en-GB"/>
        </w:rPr>
        <w:t>-</w:t>
      </w:r>
      <w:r>
        <w:rPr>
          <w:rFonts w:hint="cs"/>
          <w:rtl/>
        </w:rPr>
        <w:tab/>
      </w:r>
      <w:r w:rsidRPr="00AC7038">
        <w:rPr>
          <w:rtl/>
        </w:rPr>
        <w:t>وينبغي للجنة، عند الاقتضاء، أن تشير صراحةً إلى أن التعويض ينبغي أن يشمل كلا</w:t>
      </w:r>
      <w:r w:rsidR="003700AA">
        <w:rPr>
          <w:rFonts w:hint="cs"/>
          <w:rtl/>
        </w:rPr>
        <w:t>ً</w:t>
      </w:r>
      <w:r w:rsidRPr="00AC7038">
        <w:rPr>
          <w:rtl/>
        </w:rPr>
        <w:t xml:space="preserve"> من الضرر المادي والمعنوي (أو غير</w:t>
      </w:r>
      <w:r w:rsidR="00836731">
        <w:rPr>
          <w:rtl/>
        </w:rPr>
        <w:t xml:space="preserve"> </w:t>
      </w:r>
      <w:r w:rsidRPr="00AC7038">
        <w:rPr>
          <w:rtl/>
        </w:rPr>
        <w:t>المادي)</w:t>
      </w:r>
      <w:r w:rsidRPr="00AC7038">
        <w:rPr>
          <w:rtl/>
          <w:lang w:val="en-GB"/>
        </w:rPr>
        <w:t>.</w:t>
      </w:r>
    </w:p>
    <w:p w:rsidR="00AC7038" w:rsidRPr="00AC7038" w:rsidRDefault="00AC7038" w:rsidP="00AC7038">
      <w:pPr>
        <w:pStyle w:val="H1GA"/>
        <w:rPr>
          <w:rtl/>
        </w:rPr>
      </w:pPr>
      <w:r w:rsidRPr="00AC7038">
        <w:rPr>
          <w:rtl/>
        </w:rPr>
        <w:lastRenderedPageBreak/>
        <w:tab/>
      </w:r>
      <w:r w:rsidRPr="00AC7038">
        <w:rPr>
          <w:rtl/>
        </w:rPr>
        <w:tab/>
        <w:t>تدابير الترضية</w:t>
      </w:r>
    </w:p>
    <w:p w:rsidR="00AC7038" w:rsidRPr="00AC7038" w:rsidRDefault="00AC7038" w:rsidP="00AC7038">
      <w:pPr>
        <w:pStyle w:val="SingleTxtGA"/>
        <w:rPr>
          <w:rtl/>
        </w:rPr>
      </w:pPr>
      <w:r w:rsidRPr="00AC7038">
        <w:rPr>
          <w:rtl/>
        </w:rPr>
        <w:t>١١</w:t>
      </w:r>
      <w:r w:rsidRPr="00AC7038">
        <w:rPr>
          <w:rtl/>
          <w:lang w:val="en-GB"/>
        </w:rPr>
        <w:t>-</w:t>
      </w:r>
      <w:r>
        <w:rPr>
          <w:rFonts w:hint="cs"/>
          <w:rtl/>
        </w:rPr>
        <w:tab/>
      </w:r>
      <w:r w:rsidRPr="00AC7038">
        <w:rPr>
          <w:rtl/>
        </w:rPr>
        <w:t>عندما تحدد اللجنة تدابير الترضية، تضع في اعتبارها العناصر التالية، في جملة أمور</w:t>
      </w:r>
      <w:r w:rsidRPr="00AC7038">
        <w:rPr>
          <w:rtl/>
          <w:lang w:val="en-GB"/>
        </w:rPr>
        <w:t>:</w:t>
      </w:r>
    </w:p>
    <w:p w:rsidR="00AC7038" w:rsidRPr="00AC7038" w:rsidRDefault="00AC7038" w:rsidP="00AC7038">
      <w:pPr>
        <w:pStyle w:val="SingleTxtGA"/>
        <w:rPr>
          <w:rtl/>
        </w:rPr>
      </w:pPr>
      <w:r>
        <w:rPr>
          <w:rFonts w:hint="cs"/>
          <w:rtl/>
        </w:rPr>
        <w:tab/>
      </w:r>
      <w:r>
        <w:rPr>
          <w:rtl/>
        </w:rPr>
        <w:t>(أ)</w:t>
      </w:r>
      <w:r>
        <w:rPr>
          <w:rFonts w:hint="cs"/>
          <w:rtl/>
        </w:rPr>
        <w:tab/>
      </w:r>
      <w:r w:rsidRPr="00AC7038">
        <w:rPr>
          <w:rtl/>
        </w:rPr>
        <w:t>قد تشير اللجنة، عند الاقتضاء، إلى كون آرائها تعلن أن انتهاكا</w:t>
      </w:r>
      <w:r w:rsidR="003700AA">
        <w:rPr>
          <w:rFonts w:hint="cs"/>
          <w:rtl/>
        </w:rPr>
        <w:t>ً</w:t>
      </w:r>
      <w:r w:rsidRPr="00AC7038">
        <w:rPr>
          <w:rtl/>
        </w:rPr>
        <w:t xml:space="preserve"> للعهد قد وقع يعدّ في حد ذاته شكلا</w:t>
      </w:r>
      <w:r w:rsidR="003700AA">
        <w:rPr>
          <w:rFonts w:hint="cs"/>
          <w:rtl/>
        </w:rPr>
        <w:t>ً</w:t>
      </w:r>
      <w:r w:rsidRPr="00AC7038">
        <w:rPr>
          <w:rtl/>
        </w:rPr>
        <w:t xml:space="preserve"> من أشكال الجبر</w:t>
      </w:r>
      <w:r w:rsidRPr="00AC7038">
        <w:rPr>
          <w:rtl/>
          <w:lang w:val="en-GB"/>
        </w:rPr>
        <w:t>.</w:t>
      </w:r>
      <w:r w:rsidRPr="00AC7038">
        <w:rPr>
          <w:rtl/>
        </w:rPr>
        <w:t xml:space="preserve"> وهذا لن يمنع اللجنة من الإشارة إلى تدابير إضافية من تدابير الجبر؛</w:t>
      </w:r>
    </w:p>
    <w:p w:rsidR="00AC7038" w:rsidRPr="00AC7038" w:rsidRDefault="00AC7038" w:rsidP="00AC7038">
      <w:pPr>
        <w:pStyle w:val="SingleTxtGA"/>
        <w:rPr>
          <w:rtl/>
        </w:rPr>
      </w:pPr>
      <w:r>
        <w:rPr>
          <w:rFonts w:hint="cs"/>
          <w:rtl/>
        </w:rPr>
        <w:tab/>
      </w:r>
      <w:r>
        <w:rPr>
          <w:rtl/>
        </w:rPr>
        <w:t>(ب)</w:t>
      </w:r>
      <w:r>
        <w:rPr>
          <w:rFonts w:hint="cs"/>
          <w:rtl/>
        </w:rPr>
        <w:tab/>
      </w:r>
      <w:r w:rsidRPr="00AC7038">
        <w:rPr>
          <w:rtl/>
        </w:rPr>
        <w:t>تطلب اللجنة في كثير من الحالات أن تجري الدولة الطرف تحقيقات في الأعمال التي تَبيّن أنها تعد انتهاكات للحقوق التي ينص عليها العهد، مثل الاختفاء القسري، والإعدام بغير محاكمة، والتعذيب</w:t>
      </w:r>
      <w:r w:rsidRPr="00AC7038">
        <w:rPr>
          <w:rtl/>
          <w:lang w:val="en-GB"/>
        </w:rPr>
        <w:t>.</w:t>
      </w:r>
      <w:r w:rsidRPr="00AC7038">
        <w:rPr>
          <w:rtl/>
        </w:rPr>
        <w:t xml:space="preserve"> وتَذكر أن هذه التحقيقات يجب أن تكون سريعة وشاملة ونزيهة، وأن يقدم الجناة إلى العدالة</w:t>
      </w:r>
      <w:r w:rsidRPr="00AC7038">
        <w:rPr>
          <w:rtl/>
          <w:lang w:val="en-GB"/>
        </w:rPr>
        <w:t>.</w:t>
      </w:r>
      <w:r w:rsidRPr="00AC7038">
        <w:rPr>
          <w:rtl/>
        </w:rPr>
        <w:t xml:space="preserve"> وتشير، خاصة في قضايا الاختفاء القسري، إلى أن الدولة الطرف ملزمة بإجراء التحقيقات اللازمة لتحديد أماكن وجود المختفين؛</w:t>
      </w:r>
    </w:p>
    <w:p w:rsidR="00AC7038" w:rsidRPr="00AC7038" w:rsidRDefault="00AC7038" w:rsidP="00AC7038">
      <w:pPr>
        <w:pStyle w:val="SingleTxtGA"/>
        <w:rPr>
          <w:rtl/>
        </w:rPr>
      </w:pPr>
      <w:r>
        <w:rPr>
          <w:rFonts w:hint="cs"/>
          <w:rtl/>
        </w:rPr>
        <w:tab/>
      </w:r>
      <w:r w:rsidRPr="00AC7038">
        <w:rPr>
          <w:rtl/>
        </w:rPr>
        <w:t>(ج)</w:t>
      </w:r>
      <w:r w:rsidRPr="00AC7038">
        <w:rPr>
          <w:rtl/>
        </w:rPr>
        <w:tab/>
        <w:t>تطلب اللجنة</w:t>
      </w:r>
      <w:r w:rsidRPr="00AC7038">
        <w:rPr>
          <w:rFonts w:hint="cs"/>
          <w:rtl/>
        </w:rPr>
        <w:t xml:space="preserve">، </w:t>
      </w:r>
      <w:r w:rsidRPr="00AC7038">
        <w:rPr>
          <w:rtl/>
        </w:rPr>
        <w:t>عند الاقتضاء،</w:t>
      </w:r>
      <w:r w:rsidRPr="00AC7038">
        <w:rPr>
          <w:rFonts w:hint="cs"/>
          <w:rtl/>
        </w:rPr>
        <w:t xml:space="preserve"> </w:t>
      </w:r>
      <w:r w:rsidRPr="00AC7038">
        <w:rPr>
          <w:rtl/>
        </w:rPr>
        <w:t xml:space="preserve">أن تتخذ الدول الأطراف تدابير لتخفيف الأحكام أو </w:t>
      </w:r>
      <w:r w:rsidRPr="00AC7038">
        <w:rPr>
          <w:rFonts w:hint="cs"/>
          <w:rtl/>
        </w:rPr>
        <w:t>إبطالها</w:t>
      </w:r>
      <w:r w:rsidRPr="00AC7038">
        <w:rPr>
          <w:rtl/>
        </w:rPr>
        <w:t xml:space="preserve"> أو عدم إنفاذها؛</w:t>
      </w:r>
    </w:p>
    <w:p w:rsidR="00AC7038" w:rsidRPr="00AC7038" w:rsidRDefault="00AC7038" w:rsidP="00AC7038">
      <w:pPr>
        <w:pStyle w:val="SingleTxtGA"/>
        <w:rPr>
          <w:rtl/>
        </w:rPr>
      </w:pPr>
      <w:r>
        <w:rPr>
          <w:rFonts w:hint="cs"/>
          <w:rtl/>
        </w:rPr>
        <w:tab/>
      </w:r>
      <w:r w:rsidRPr="00AC7038">
        <w:rPr>
          <w:rtl/>
        </w:rPr>
        <w:t>(د)</w:t>
      </w:r>
      <w:r w:rsidRPr="00AC7038">
        <w:rPr>
          <w:rtl/>
        </w:rPr>
        <w:tab/>
        <w:t>يجوز للجنة أن تطلب من الدول الأطراف أن تقدم معلومات عن أماكن دفن من حُكم عليهم بالإعدام وأعدموا؛</w:t>
      </w:r>
    </w:p>
    <w:p w:rsidR="00AC7038" w:rsidRPr="00AC7038" w:rsidRDefault="00AC7038" w:rsidP="00AC7038">
      <w:pPr>
        <w:pStyle w:val="SingleTxtGA"/>
        <w:rPr>
          <w:rtl/>
        </w:rPr>
      </w:pPr>
      <w:r>
        <w:rPr>
          <w:rFonts w:hint="cs"/>
          <w:rtl/>
        </w:rPr>
        <w:tab/>
      </w:r>
      <w:r>
        <w:rPr>
          <w:rtl/>
        </w:rPr>
        <w:t>(ه)</w:t>
      </w:r>
      <w:r>
        <w:rPr>
          <w:rFonts w:hint="cs"/>
          <w:rtl/>
        </w:rPr>
        <w:tab/>
      </w:r>
      <w:r w:rsidRPr="00AC7038">
        <w:rPr>
          <w:rtl/>
        </w:rPr>
        <w:t>يجوز للجنة أن تطلب من الدول الأطراف أن تصدر اعتذارا</w:t>
      </w:r>
      <w:r w:rsidR="003700AA">
        <w:rPr>
          <w:rFonts w:hint="cs"/>
          <w:rtl/>
        </w:rPr>
        <w:t>ً</w:t>
      </w:r>
      <w:r w:rsidRPr="00AC7038">
        <w:rPr>
          <w:rtl/>
        </w:rPr>
        <w:t xml:space="preserve"> علنيا</w:t>
      </w:r>
      <w:r w:rsidR="003700AA">
        <w:rPr>
          <w:rFonts w:hint="cs"/>
          <w:rtl/>
        </w:rPr>
        <w:t>ً</w:t>
      </w:r>
      <w:r w:rsidRPr="00AC7038">
        <w:rPr>
          <w:rtl/>
        </w:rPr>
        <w:t>، لا</w:t>
      </w:r>
      <w:r w:rsidR="003700AA">
        <w:rPr>
          <w:rFonts w:hint="cs"/>
          <w:rtl/>
        </w:rPr>
        <w:t xml:space="preserve"> </w:t>
      </w:r>
      <w:r w:rsidRPr="00AC7038">
        <w:rPr>
          <w:rtl/>
        </w:rPr>
        <w:t>سيما عند حدوث انتهاكات جسيمة أو ممنهجة لا يمكن جبر الأضرار الناجمة عنها على أكمل وجه عن طريق الرد أو التعويض فقط</w:t>
      </w:r>
      <w:r w:rsidRPr="00AC7038">
        <w:rPr>
          <w:rtl/>
          <w:lang w:val="en-GB"/>
        </w:rPr>
        <w:t>.</w:t>
      </w:r>
      <w:r w:rsidRPr="00AC7038">
        <w:rPr>
          <w:rtl/>
        </w:rPr>
        <w:t xml:space="preserve"> وينبغي للجنة أن تراعي هذا التدبير مراعاة خاصة عند تحديدها الجبر الذي يتعين توفيره في حالة بعينها؛</w:t>
      </w:r>
    </w:p>
    <w:p w:rsidR="00AC7038" w:rsidRPr="00AC7038" w:rsidRDefault="00AC7038" w:rsidP="00AC7038">
      <w:pPr>
        <w:pStyle w:val="SingleTxtGA"/>
        <w:rPr>
          <w:rtl/>
        </w:rPr>
      </w:pPr>
      <w:r>
        <w:rPr>
          <w:rFonts w:hint="cs"/>
          <w:rtl/>
        </w:rPr>
        <w:tab/>
      </w:r>
      <w:r>
        <w:rPr>
          <w:rtl/>
        </w:rPr>
        <w:t>(و)</w:t>
      </w:r>
      <w:r>
        <w:rPr>
          <w:rFonts w:hint="cs"/>
          <w:rtl/>
        </w:rPr>
        <w:tab/>
      </w:r>
      <w:r w:rsidRPr="00AC7038">
        <w:rPr>
          <w:rtl/>
        </w:rPr>
        <w:t>يجوز للجنة أن تطلب من الدول الأطراف أن توفر، حسب الاقتضاء، تدابير ترضية أخرى، مثل بناء نصب تذكاري أو وضع لوحة تذكارية أو تغيير اسم شارع أو أماكن عامة أخرى عند وقوع انتهاكات جسيمة أو ممنهجة</w:t>
      </w:r>
      <w:r w:rsidRPr="00AC7038">
        <w:rPr>
          <w:rtl/>
          <w:lang w:val="en-GB"/>
        </w:rPr>
        <w:t>.</w:t>
      </w:r>
    </w:p>
    <w:p w:rsidR="00AC7038" w:rsidRPr="00AC7038" w:rsidRDefault="00AC7038" w:rsidP="00AC7038">
      <w:pPr>
        <w:pStyle w:val="H1GA"/>
        <w:rPr>
          <w:rtl/>
        </w:rPr>
      </w:pPr>
      <w:r w:rsidRPr="00AC7038">
        <w:rPr>
          <w:rtl/>
        </w:rPr>
        <w:tab/>
      </w:r>
      <w:r w:rsidRPr="00AC7038">
        <w:rPr>
          <w:rtl/>
        </w:rPr>
        <w:tab/>
      </w:r>
      <w:dir w:val="rtl">
        <w:r w:rsidRPr="00AC7038">
          <w:rPr>
            <w:rFonts w:hint="cs"/>
            <w:rtl/>
          </w:rPr>
          <w:t>ضمانات</w:t>
        </w:r>
        <w:r w:rsidRPr="00AC7038">
          <w:rPr>
            <w:rtl/>
          </w:rPr>
          <w:t xml:space="preserve"> </w:t>
        </w:r>
        <w:r w:rsidRPr="00AC7038">
          <w:rPr>
            <w:rFonts w:hint="cs"/>
            <w:rtl/>
          </w:rPr>
          <w:t>عدم</w:t>
        </w:r>
        <w:r w:rsidRPr="00AC7038">
          <w:rPr>
            <w:rtl/>
          </w:rPr>
          <w:t xml:space="preserve"> </w:t>
        </w:r>
        <w:r w:rsidRPr="00AC7038">
          <w:rPr>
            <w:rFonts w:hint="cs"/>
            <w:rtl/>
          </w:rPr>
          <w:t>التكرار</w:t>
        </w:r>
        <w:r w:rsidRPr="00AC7038">
          <w:rPr>
            <w:rFonts w:cs="Times New Roman" w:hint="cs"/>
            <w:rtl/>
          </w:rPr>
          <w:t>‬</w:t>
        </w:r>
        <w:r w:rsidRPr="00AC7038">
          <w:rPr>
            <w:rFonts w:cs="Times New Roman" w:hint="cs"/>
            <w:rtl/>
            <w:lang w:val="en-GB"/>
          </w:rPr>
          <w:t>‬</w:t>
        </w:r>
        <w:r w:rsidR="003700AA">
          <w:t>‬</w:t>
        </w:r>
        <w:r w:rsidR="006D7DB8">
          <w:t>‬</w:t>
        </w:r>
      </w:dir>
    </w:p>
    <w:p w:rsidR="00AC7038" w:rsidRPr="00AC7038" w:rsidRDefault="00AC7038" w:rsidP="00AC7038">
      <w:pPr>
        <w:pStyle w:val="SingleTxtGA"/>
        <w:rPr>
          <w:rtl/>
        </w:rPr>
      </w:pPr>
      <w:r w:rsidRPr="00AC7038">
        <w:rPr>
          <w:rtl/>
        </w:rPr>
        <w:t>١٢</w:t>
      </w:r>
      <w:r w:rsidRPr="00AC7038">
        <w:rPr>
          <w:rtl/>
          <w:lang w:val="en-GB"/>
        </w:rPr>
        <w:t>-</w:t>
      </w:r>
      <w:r>
        <w:rPr>
          <w:rFonts w:hint="cs"/>
          <w:rtl/>
        </w:rPr>
        <w:tab/>
      </w:r>
      <w:r w:rsidRPr="00AC7038">
        <w:rPr>
          <w:rtl/>
        </w:rPr>
        <w:t>ضمانات عدم التكرار نطاقُها عام، وهي ضرورية لمنع انتهاكات مقبلة لحقوق الإنسان من النوع الذي أدى إلى البلاغ الذي نظرت فيه اللجنة</w:t>
      </w:r>
      <w:r w:rsidRPr="00AC7038">
        <w:rPr>
          <w:rtl/>
          <w:lang w:val="en-GB"/>
        </w:rPr>
        <w:t>.</w:t>
      </w:r>
      <w:r w:rsidRPr="00AC7038">
        <w:rPr>
          <w:rtl/>
        </w:rPr>
        <w:t xml:space="preserve"> وينبغي أن تكون اللجنة دقيقة في تحديد تلك التدابير والتوصية بها في آرائها قصد البلوغ بالجبر مداه في كل حالة</w:t>
      </w:r>
      <w:r w:rsidRPr="00AC7038">
        <w:rPr>
          <w:rtl/>
          <w:lang w:val="en-GB"/>
        </w:rPr>
        <w:t>.</w:t>
      </w:r>
    </w:p>
    <w:p w:rsidR="00AC7038" w:rsidRPr="00AC7038" w:rsidRDefault="00AC7038" w:rsidP="00AC7038">
      <w:pPr>
        <w:pStyle w:val="SingleTxtGA"/>
        <w:rPr>
          <w:rtl/>
        </w:rPr>
      </w:pPr>
      <w:r w:rsidRPr="00AC7038">
        <w:rPr>
          <w:rtl/>
        </w:rPr>
        <w:t>١٣</w:t>
      </w:r>
      <w:r w:rsidRPr="00AC7038">
        <w:rPr>
          <w:rtl/>
          <w:lang w:val="en-GB"/>
        </w:rPr>
        <w:t>-</w:t>
      </w:r>
      <w:r>
        <w:rPr>
          <w:rFonts w:hint="cs"/>
          <w:rtl/>
        </w:rPr>
        <w:tab/>
      </w:r>
      <w:r w:rsidRPr="00AC7038">
        <w:rPr>
          <w:rtl/>
        </w:rPr>
        <w:t>وفيما يلي أمثلة على ضمانات عدم التكرار</w:t>
      </w:r>
      <w:r w:rsidRPr="00AC7038">
        <w:rPr>
          <w:rtl/>
          <w:lang w:val="en-GB"/>
        </w:rPr>
        <w:t>:</w:t>
      </w:r>
    </w:p>
    <w:p w:rsidR="00AC7038" w:rsidRPr="00AC7038" w:rsidRDefault="00AC7038" w:rsidP="00AC7038">
      <w:pPr>
        <w:pStyle w:val="SingleTxtGA"/>
        <w:rPr>
          <w:rtl/>
        </w:rPr>
      </w:pPr>
      <w:r>
        <w:rPr>
          <w:rFonts w:hint="cs"/>
          <w:rtl/>
        </w:rPr>
        <w:tab/>
      </w:r>
      <w:r>
        <w:rPr>
          <w:rtl/>
        </w:rPr>
        <w:t>(أ)</w:t>
      </w:r>
      <w:r>
        <w:rPr>
          <w:rFonts w:hint="cs"/>
          <w:rtl/>
        </w:rPr>
        <w:tab/>
      </w:r>
      <w:r w:rsidRPr="00AC7038">
        <w:rPr>
          <w:rtl/>
        </w:rPr>
        <w:t>عندما يتبين أن القوانين أو اللوائح في الدولة الطرف تتعارض مع التزامات العهد، ينبغي للجنة أن تطلب إلغاءها أو تعديلها لتتوافق مع العهد</w:t>
      </w:r>
      <w:r w:rsidRPr="00AC7038">
        <w:rPr>
          <w:rtl/>
          <w:lang w:val="en-GB"/>
        </w:rPr>
        <w:t>.</w:t>
      </w:r>
      <w:r w:rsidRPr="00AC7038">
        <w:rPr>
          <w:rtl/>
        </w:rPr>
        <w:t xml:space="preserve"> وينبغي للجنة أيضا</w:t>
      </w:r>
      <w:r w:rsidR="003700AA">
        <w:rPr>
          <w:rFonts w:hint="cs"/>
          <w:rtl/>
        </w:rPr>
        <w:t>ً</w:t>
      </w:r>
      <w:r w:rsidRPr="00AC7038">
        <w:rPr>
          <w:rtl/>
        </w:rPr>
        <w:t xml:space="preserve"> أن تحدد القوانين أو اللوائح أو الأحكام الواردة في قانون أو لائحة التي ينبغي تعديلها، مع تحديد </w:t>
      </w:r>
      <w:r w:rsidRPr="00AC7038">
        <w:rPr>
          <w:rtl/>
        </w:rPr>
        <w:lastRenderedPageBreak/>
        <w:t>المعايير القانونية الدولية المناسبة القابلة للتطبيق</w:t>
      </w:r>
      <w:r w:rsidRPr="00AC7038">
        <w:rPr>
          <w:rtl/>
          <w:lang w:val="en-GB"/>
        </w:rPr>
        <w:t>.</w:t>
      </w:r>
      <w:r w:rsidRPr="00AC7038">
        <w:rPr>
          <w:rtl/>
        </w:rPr>
        <w:t xml:space="preserve"> فإن كان الانتهاك ناشئا</w:t>
      </w:r>
      <w:r w:rsidR="003700AA">
        <w:rPr>
          <w:rFonts w:hint="cs"/>
          <w:rtl/>
        </w:rPr>
        <w:t>ً</w:t>
      </w:r>
      <w:r w:rsidRPr="00AC7038">
        <w:rPr>
          <w:rtl/>
        </w:rPr>
        <w:t xml:space="preserve"> عن عدم وجود أحكام قانونية معينة، ينبغي أن تشمل تدابير الجبر اعتماد القوانين أو اللوائح اللازمة؛</w:t>
      </w:r>
    </w:p>
    <w:p w:rsidR="00AC7038" w:rsidRPr="00AC7038" w:rsidRDefault="00AC7038" w:rsidP="00AC7038">
      <w:pPr>
        <w:pStyle w:val="SingleTxtGA"/>
        <w:rPr>
          <w:rtl/>
        </w:rPr>
      </w:pPr>
      <w:r>
        <w:rPr>
          <w:rFonts w:hint="cs"/>
          <w:rtl/>
        </w:rPr>
        <w:tab/>
      </w:r>
      <w:r w:rsidRPr="00AC7038">
        <w:rPr>
          <w:rtl/>
        </w:rPr>
        <w:t>(ب)</w:t>
      </w:r>
      <w:r w:rsidRPr="00AC7038">
        <w:rPr>
          <w:rtl/>
        </w:rPr>
        <w:tab/>
        <w:t>تحسين الأوضاع في أماكن الاحتجاز وفقا</w:t>
      </w:r>
      <w:r w:rsidR="003700AA">
        <w:rPr>
          <w:rFonts w:hint="cs"/>
          <w:rtl/>
        </w:rPr>
        <w:t>ً</w:t>
      </w:r>
      <w:r w:rsidRPr="00AC7038">
        <w:rPr>
          <w:rtl/>
        </w:rPr>
        <w:t xml:space="preserve"> للمعايير الدولية؛</w:t>
      </w:r>
    </w:p>
    <w:p w:rsidR="00AC7038" w:rsidRPr="00AC7038" w:rsidRDefault="00AC7038" w:rsidP="00AC7038">
      <w:pPr>
        <w:pStyle w:val="SingleTxtGA"/>
        <w:rPr>
          <w:rtl/>
        </w:rPr>
      </w:pPr>
      <w:r>
        <w:rPr>
          <w:rFonts w:hint="cs"/>
          <w:rtl/>
        </w:rPr>
        <w:tab/>
      </w:r>
      <w:r>
        <w:rPr>
          <w:rtl/>
        </w:rPr>
        <w:t>(ج)</w:t>
      </w:r>
      <w:r>
        <w:rPr>
          <w:rFonts w:hint="cs"/>
          <w:rtl/>
        </w:rPr>
        <w:tab/>
      </w:r>
      <w:r w:rsidRPr="00AC7038">
        <w:rPr>
          <w:rtl/>
        </w:rPr>
        <w:t>التغييرات في الإجراءات والممارسات الرسمية</w:t>
      </w:r>
      <w:r w:rsidRPr="00AC7038">
        <w:rPr>
          <w:rtl/>
          <w:lang w:val="en-GB"/>
        </w:rPr>
        <w:t>.</w:t>
      </w:r>
      <w:r w:rsidRPr="00AC7038">
        <w:rPr>
          <w:rtl/>
        </w:rPr>
        <w:t xml:space="preserve"> وينبغي أن تكون اللجنة دقيقة قدر الإمكان عند تحديدها هذه التدابير؛</w:t>
      </w:r>
    </w:p>
    <w:p w:rsidR="00AC7038" w:rsidRDefault="00AC7038" w:rsidP="00AC7038">
      <w:pPr>
        <w:pStyle w:val="SingleTxtGA"/>
        <w:rPr>
          <w:rtl/>
        </w:rPr>
      </w:pPr>
      <w:r>
        <w:rPr>
          <w:rFonts w:hint="cs"/>
          <w:rtl/>
        </w:rPr>
        <w:tab/>
      </w:r>
      <w:r>
        <w:rPr>
          <w:rtl/>
        </w:rPr>
        <w:t>(د)</w:t>
      </w:r>
      <w:r>
        <w:rPr>
          <w:rFonts w:hint="cs"/>
          <w:rtl/>
        </w:rPr>
        <w:tab/>
      </w:r>
      <w:r w:rsidRPr="00AC7038">
        <w:rPr>
          <w:rtl/>
        </w:rPr>
        <w:t>ينبغي للجنة، عند الاقتضاء، أن تنظر في التوصية باتخاذ تدابير تدريب وتوعية السلطات المسؤولة عن الانتهاكات، بمن فيها موظفو إنفاذ القانون، وأعضاء السلطة القضائية، والموظفون الطبيون والإداريون، حسب الاقتضاء، من أجل تجنب تكرار الانتهاكات من قبيل تلك التي أدت إلى البلاغ المعني</w:t>
      </w:r>
      <w:r w:rsidRPr="00AC7038">
        <w:rPr>
          <w:rtl/>
          <w:lang w:val="en-GB"/>
        </w:rPr>
        <w:t>.</w:t>
      </w:r>
    </w:p>
    <w:p w:rsidR="00836731" w:rsidRPr="009A7E73" w:rsidRDefault="009A7E73" w:rsidP="009A7E73">
      <w:pPr>
        <w:spacing w:before="120"/>
        <w:jc w:val="center"/>
        <w:rPr>
          <w:u w:val="single"/>
          <w:rtl/>
        </w:rPr>
      </w:pPr>
      <w:r>
        <w:rPr>
          <w:u w:val="single"/>
          <w:rtl/>
        </w:rPr>
        <w:tab/>
      </w:r>
      <w:r>
        <w:rPr>
          <w:u w:val="single"/>
          <w:rtl/>
        </w:rPr>
        <w:tab/>
      </w:r>
      <w:r>
        <w:rPr>
          <w:u w:val="single"/>
          <w:rtl/>
        </w:rPr>
        <w:tab/>
      </w:r>
    </w:p>
    <w:sectPr w:rsidR="00836731" w:rsidRPr="009A7E73" w:rsidSect="009E1C0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D8E" w:rsidRPr="002901D9" w:rsidRDefault="00596D8E" w:rsidP="002901D9">
      <w:pPr>
        <w:spacing w:after="60" w:line="240" w:lineRule="auto"/>
        <w:rPr>
          <w:i/>
          <w:iCs/>
        </w:rPr>
      </w:pPr>
      <w:r>
        <w:rPr>
          <w:rFonts w:hint="cs"/>
          <w:i/>
          <w:iCs/>
          <w:rtl/>
        </w:rPr>
        <w:t>الحواشي</w:t>
      </w:r>
    </w:p>
  </w:endnote>
  <w:endnote w:type="continuationSeparator" w:id="0">
    <w:p w:rsidR="00596D8E" w:rsidRDefault="00596D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038" w:rsidRPr="00AC7038" w:rsidRDefault="00AC7038" w:rsidP="00AC7038">
    <w:pPr>
      <w:pStyle w:val="Footer"/>
      <w:tabs>
        <w:tab w:val="right" w:pos="9598"/>
      </w:tabs>
      <w:rPr>
        <w:sz w:val="17"/>
      </w:rPr>
    </w:pPr>
    <w:r>
      <w:rPr>
        <w:sz w:val="17"/>
      </w:rPr>
      <w:t>GE.16-21071</w:t>
    </w:r>
    <w:r>
      <w:rPr>
        <w:sz w:val="17"/>
      </w:rPr>
      <w:tab/>
    </w:r>
    <w:r w:rsidRPr="00AC7038">
      <w:rPr>
        <w:b/>
        <w:sz w:val="18"/>
      </w:rPr>
      <w:fldChar w:fldCharType="begin"/>
    </w:r>
    <w:r w:rsidRPr="00AC7038">
      <w:rPr>
        <w:b/>
        <w:sz w:val="18"/>
      </w:rPr>
      <w:instrText xml:space="preserve"> PAGE  \* MERGEFORMAT </w:instrText>
    </w:r>
    <w:r w:rsidRPr="00AC7038">
      <w:rPr>
        <w:b/>
        <w:sz w:val="18"/>
      </w:rPr>
      <w:fldChar w:fldCharType="separate"/>
    </w:r>
    <w:r w:rsidR="008F4092">
      <w:rPr>
        <w:b/>
        <w:noProof/>
        <w:sz w:val="18"/>
      </w:rPr>
      <w:t>4</w:t>
    </w:r>
    <w:r w:rsidRPr="00AC703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C7038" w:rsidRDefault="00AC7038" w:rsidP="006959B0">
    <w:pPr>
      <w:pStyle w:val="Footer"/>
      <w:tabs>
        <w:tab w:val="right" w:pos="9599"/>
      </w:tabs>
      <w:jc w:val="left"/>
      <w:rPr>
        <w:b/>
        <w:sz w:val="18"/>
        <w:lang w:val="en-US"/>
      </w:rPr>
    </w:pPr>
    <w:r w:rsidRPr="00AC7038">
      <w:rPr>
        <w:b/>
        <w:sz w:val="18"/>
        <w:lang w:val="en-US"/>
      </w:rPr>
      <w:fldChar w:fldCharType="begin"/>
    </w:r>
    <w:r w:rsidRPr="00AC7038">
      <w:rPr>
        <w:b/>
        <w:sz w:val="18"/>
        <w:lang w:val="en-US"/>
      </w:rPr>
      <w:instrText xml:space="preserve"> PAGE  \* MERGEFORMAT </w:instrText>
    </w:r>
    <w:r w:rsidRPr="00AC7038">
      <w:rPr>
        <w:b/>
        <w:sz w:val="18"/>
        <w:lang w:val="en-US"/>
      </w:rPr>
      <w:fldChar w:fldCharType="separate"/>
    </w:r>
    <w:r w:rsidR="008F4092">
      <w:rPr>
        <w:b/>
        <w:noProof/>
        <w:sz w:val="18"/>
        <w:lang w:val="en-US"/>
      </w:rPr>
      <w:t>3</w:t>
    </w:r>
    <w:r w:rsidRPr="00AC7038">
      <w:rPr>
        <w:b/>
        <w:sz w:val="18"/>
        <w:lang w:val="en-US"/>
      </w:rPr>
      <w:fldChar w:fldCharType="end"/>
    </w:r>
    <w:r>
      <w:rPr>
        <w:b/>
        <w:sz w:val="18"/>
        <w:lang w:val="en-US"/>
      </w:rPr>
      <w:tab/>
    </w:r>
    <w:r>
      <w:rPr>
        <w:sz w:val="17"/>
        <w:lang w:val="en-US"/>
      </w:rPr>
      <w:t>GE.16-21071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9E1C02" w:rsidP="00DE50B1">
    <w:pPr>
      <w:pStyle w:val="Footer"/>
      <w:jc w:val="right"/>
      <w:rPr>
        <w:sz w:val="20"/>
        <w:szCs w:val="20"/>
      </w:rPr>
    </w:pPr>
    <w:r>
      <w:rPr>
        <w:sz w:val="20"/>
        <w:szCs w:val="20"/>
      </w:rPr>
      <w:t>GE.16-21071</w:t>
    </w:r>
    <w:r w:rsidR="00DE50B1">
      <w:rPr>
        <w:noProof/>
        <w:lang w:val="en-US"/>
      </w:rPr>
      <w:drawing>
        <wp:anchor distT="0" distB="0" distL="114300" distR="114300" simplePos="0" relativeHeight="251659264" behindDoc="1" locked="1" layoutInCell="0" allowOverlap="1" wp14:anchorId="071130E1" wp14:editId="398CE6F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9E1C02" w:rsidRPr="009E1C02" w:rsidRDefault="009E1C02" w:rsidP="009E1C0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D85EA58" wp14:editId="457C36E4">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158&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58&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D8E" w:rsidRDefault="00596D8E" w:rsidP="000437B8">
      <w:pPr>
        <w:pStyle w:val="Footer"/>
        <w:bidi/>
        <w:spacing w:after="80" w:line="200" w:lineRule="exact"/>
        <w:ind w:left="680"/>
      </w:pPr>
      <w:r>
        <w:rPr>
          <w:rtl/>
        </w:rPr>
        <w:t>__________</w:t>
      </w:r>
    </w:p>
  </w:footnote>
  <w:footnote w:type="continuationSeparator" w:id="0">
    <w:p w:rsidR="00596D8E" w:rsidRDefault="00596D8E" w:rsidP="00656392">
      <w:pPr>
        <w:spacing w:line="240" w:lineRule="auto"/>
      </w:pPr>
      <w:r>
        <w:continuationSeparator/>
      </w:r>
    </w:p>
  </w:footnote>
  <w:footnote w:id="1">
    <w:p w:rsidR="00D76FFD" w:rsidRPr="00D76FFD" w:rsidRDefault="00D76FFD" w:rsidP="00D76FFD">
      <w:pPr>
        <w:pStyle w:val="FootnoteText1"/>
        <w:rPr>
          <w:rtl/>
        </w:rPr>
      </w:pPr>
      <w:r>
        <w:rPr>
          <w:rtl/>
        </w:rPr>
        <w:t>*</w:t>
      </w:r>
      <w:r>
        <w:rPr>
          <w:rtl/>
        </w:rPr>
        <w:tab/>
      </w:r>
      <w:r w:rsidRPr="00D76FFD">
        <w:rPr>
          <w:rtl/>
        </w:rPr>
        <w:t xml:space="preserve">اعتمدتها اللجنة في دورتها 118 (17 تشرين الأول/أكتوبر - 4 تشرين الثاني/نوفمبر 2016) عقب مناقشة اللجنة للتقرير الذي قدمه عضو اللجنة السيد فابيان عمر </w:t>
      </w:r>
      <w:proofErr w:type="spellStart"/>
      <w:r w:rsidRPr="00D76FFD">
        <w:rPr>
          <w:rtl/>
        </w:rPr>
        <w:t>سالفيولي</w:t>
      </w:r>
      <w:proofErr w:type="spellEnd"/>
      <w:r w:rsidRPr="00D76FFD">
        <w:rPr>
          <w:rtl/>
        </w:rPr>
        <w:t xml:space="preserve"> بشأن مواصفات تدابير الجبر ضمن نطاق البلاغات الفردية التي تنظر فيها اللجنة. انظر أيضا</w:t>
      </w:r>
      <w:r w:rsidR="003700AA">
        <w:rPr>
          <w:rFonts w:hint="cs"/>
          <w:rtl/>
        </w:rPr>
        <w:t>ً</w:t>
      </w:r>
      <w:r w:rsidRPr="00D76FFD">
        <w:rPr>
          <w:rtl/>
        </w:rPr>
        <w:t xml:space="preserve"> </w:t>
      </w:r>
      <w:r w:rsidRPr="00D76FFD">
        <w:t>A/69/40 (Vol. I)</w:t>
      </w:r>
      <w:r w:rsidRPr="00D76FFD">
        <w:rPr>
          <w:rtl/>
        </w:rPr>
        <w:t>، الفقرة 70.</w:t>
      </w:r>
      <w:r w:rsidR="004D30B7">
        <w:rPr>
          <w:rFonts w:hint="cs"/>
          <w:rtl/>
        </w:rPr>
        <w:t xml:space="preserve"> </w:t>
      </w:r>
    </w:p>
  </w:footnote>
  <w:footnote w:id="2">
    <w:p w:rsidR="00AC7038" w:rsidRPr="00C75DE0" w:rsidRDefault="00647EC7" w:rsidP="00647EC7">
      <w:pPr>
        <w:pStyle w:val="FootnoteText1"/>
        <w:textDirection w:val="tbRlV"/>
        <w:rPr>
          <w:rtl/>
        </w:rPr>
      </w:pPr>
      <w:r>
        <w:rPr>
          <w:rFonts w:hint="cs"/>
          <w:rtl/>
        </w:rPr>
        <w:t>(</w:t>
      </w:r>
      <w:r w:rsidR="00AC7038" w:rsidRPr="00647EC7">
        <w:rPr>
          <w:b/>
          <w:rtl/>
        </w:rPr>
        <w:footnoteRef/>
      </w:r>
      <w:r>
        <w:rPr>
          <w:rFonts w:hint="cs"/>
          <w:rtl/>
        </w:rPr>
        <w:t>)</w:t>
      </w:r>
      <w:r w:rsidR="00D76FFD" w:rsidRPr="00647EC7">
        <w:rPr>
          <w:rFonts w:hint="cs"/>
          <w:rtl/>
        </w:rPr>
        <w:tab/>
      </w:r>
      <w:r w:rsidR="00AC7038" w:rsidRPr="00647EC7">
        <w:rPr>
          <w:rFonts w:hint="cs"/>
          <w:rtl/>
        </w:rPr>
        <w:t>انظر</w:t>
      </w:r>
      <w:r w:rsidR="00AC7038" w:rsidRPr="00647EC7">
        <w:rPr>
          <w:rtl/>
        </w:rPr>
        <w:t xml:space="preserve"> </w:t>
      </w:r>
      <w:r w:rsidR="00AC7038" w:rsidRPr="00647EC7">
        <w:rPr>
          <w:rFonts w:hint="cs"/>
          <w:rtl/>
        </w:rPr>
        <w:t>المبادئ</w:t>
      </w:r>
      <w:r w:rsidR="00AC7038" w:rsidRPr="00647EC7">
        <w:rPr>
          <w:rtl/>
        </w:rPr>
        <w:t xml:space="preserve"> </w:t>
      </w:r>
      <w:r w:rsidR="00AC7038" w:rsidRPr="00647EC7">
        <w:rPr>
          <w:rFonts w:hint="cs"/>
          <w:rtl/>
        </w:rPr>
        <w:t>الأساسية</w:t>
      </w:r>
      <w:r w:rsidR="00AC7038" w:rsidRPr="00647EC7">
        <w:rPr>
          <w:rtl/>
        </w:rPr>
        <w:t xml:space="preserve"> </w:t>
      </w:r>
      <w:r w:rsidR="00AC7038" w:rsidRPr="00647EC7">
        <w:rPr>
          <w:rFonts w:hint="cs"/>
          <w:rtl/>
        </w:rPr>
        <w:t>والمبادئ</w:t>
      </w:r>
      <w:r w:rsidR="00AC7038" w:rsidRPr="00647EC7">
        <w:rPr>
          <w:rtl/>
        </w:rPr>
        <w:t xml:space="preserve"> </w:t>
      </w:r>
      <w:r w:rsidR="00AC7038" w:rsidRPr="00647EC7">
        <w:rPr>
          <w:rFonts w:hint="cs"/>
          <w:rtl/>
        </w:rPr>
        <w:t>التوجيهية</w:t>
      </w:r>
      <w:r w:rsidR="00AC7038" w:rsidRPr="00647EC7">
        <w:rPr>
          <w:rtl/>
        </w:rPr>
        <w:t xml:space="preserve"> </w:t>
      </w:r>
      <w:r w:rsidR="00AC7038" w:rsidRPr="00647EC7">
        <w:rPr>
          <w:rFonts w:hint="cs"/>
          <w:rtl/>
        </w:rPr>
        <w:t>بشأن</w:t>
      </w:r>
      <w:r w:rsidR="00AC7038" w:rsidRPr="00647EC7">
        <w:rPr>
          <w:rtl/>
        </w:rPr>
        <w:t xml:space="preserve"> </w:t>
      </w:r>
      <w:r w:rsidR="00AC7038" w:rsidRPr="00647EC7">
        <w:rPr>
          <w:rFonts w:hint="cs"/>
          <w:rtl/>
        </w:rPr>
        <w:t>الحق</w:t>
      </w:r>
      <w:r w:rsidR="00AC7038" w:rsidRPr="00647EC7">
        <w:rPr>
          <w:rtl/>
        </w:rPr>
        <w:t xml:space="preserve"> </w:t>
      </w:r>
      <w:r w:rsidR="00AC7038" w:rsidRPr="00647EC7">
        <w:rPr>
          <w:rFonts w:hint="cs"/>
          <w:rtl/>
        </w:rPr>
        <w:t>في</w:t>
      </w:r>
      <w:r w:rsidR="00AC7038" w:rsidRPr="00647EC7">
        <w:rPr>
          <w:rtl/>
        </w:rPr>
        <w:t xml:space="preserve"> </w:t>
      </w:r>
      <w:r w:rsidR="00AC7038" w:rsidRPr="00647EC7">
        <w:rPr>
          <w:rFonts w:hint="cs"/>
          <w:rtl/>
        </w:rPr>
        <w:t>الانتصاف</w:t>
      </w:r>
      <w:r w:rsidR="00AC7038" w:rsidRPr="00647EC7">
        <w:rPr>
          <w:rtl/>
        </w:rPr>
        <w:t xml:space="preserve"> </w:t>
      </w:r>
      <w:r w:rsidR="00AC7038" w:rsidRPr="00647EC7">
        <w:rPr>
          <w:rFonts w:hint="cs"/>
          <w:rtl/>
        </w:rPr>
        <w:t>والجبر</w:t>
      </w:r>
      <w:r w:rsidR="00AC7038" w:rsidRPr="00647EC7">
        <w:rPr>
          <w:rtl/>
        </w:rPr>
        <w:t xml:space="preserve"> </w:t>
      </w:r>
      <w:r w:rsidR="00AC7038" w:rsidRPr="00647EC7">
        <w:rPr>
          <w:rFonts w:hint="cs"/>
          <w:rtl/>
        </w:rPr>
        <w:t>لضحايا</w:t>
      </w:r>
      <w:r w:rsidR="00AC7038" w:rsidRPr="00647EC7">
        <w:rPr>
          <w:rtl/>
        </w:rPr>
        <w:t xml:space="preserve"> </w:t>
      </w:r>
      <w:r w:rsidR="00AC7038" w:rsidRPr="00647EC7">
        <w:rPr>
          <w:rFonts w:hint="cs"/>
          <w:rtl/>
        </w:rPr>
        <w:t>الانتهاكات</w:t>
      </w:r>
      <w:r w:rsidR="00AC7038" w:rsidRPr="00647EC7">
        <w:rPr>
          <w:rtl/>
        </w:rPr>
        <w:t xml:space="preserve"> </w:t>
      </w:r>
      <w:r w:rsidR="00AC7038" w:rsidRPr="00647EC7">
        <w:rPr>
          <w:rFonts w:hint="cs"/>
          <w:rtl/>
        </w:rPr>
        <w:t>الجسيمة</w:t>
      </w:r>
      <w:r w:rsidR="00AC7038" w:rsidRPr="00647EC7">
        <w:rPr>
          <w:rtl/>
        </w:rPr>
        <w:t xml:space="preserve"> </w:t>
      </w:r>
      <w:r w:rsidR="00AC7038" w:rsidRPr="00647EC7">
        <w:rPr>
          <w:rFonts w:hint="cs"/>
          <w:rtl/>
        </w:rPr>
        <w:t>للقانون</w:t>
      </w:r>
      <w:r w:rsidR="00AC7038" w:rsidRPr="00647EC7">
        <w:rPr>
          <w:rtl/>
        </w:rPr>
        <w:t xml:space="preserve"> </w:t>
      </w:r>
      <w:r w:rsidR="00AC7038" w:rsidRPr="00647EC7">
        <w:rPr>
          <w:rFonts w:hint="cs"/>
          <w:rtl/>
        </w:rPr>
        <w:t>الدولي</w:t>
      </w:r>
      <w:r w:rsidR="00AC7038" w:rsidRPr="00647EC7">
        <w:rPr>
          <w:rtl/>
        </w:rPr>
        <w:t xml:space="preserve"> </w:t>
      </w:r>
      <w:r w:rsidR="00AC7038" w:rsidRPr="00647EC7">
        <w:rPr>
          <w:rFonts w:hint="cs"/>
          <w:rtl/>
        </w:rPr>
        <w:t>لحقوق</w:t>
      </w:r>
      <w:r w:rsidR="00AC7038" w:rsidRPr="00647EC7">
        <w:rPr>
          <w:rtl/>
        </w:rPr>
        <w:t xml:space="preserve"> </w:t>
      </w:r>
      <w:r w:rsidR="00AC7038" w:rsidRPr="00647EC7">
        <w:rPr>
          <w:rFonts w:hint="cs"/>
          <w:rtl/>
        </w:rPr>
        <w:t>الإنسان</w:t>
      </w:r>
      <w:r w:rsidR="00AC7038" w:rsidRPr="00647EC7">
        <w:rPr>
          <w:rtl/>
        </w:rPr>
        <w:t xml:space="preserve"> </w:t>
      </w:r>
      <w:r w:rsidR="00AC7038" w:rsidRPr="00647EC7">
        <w:rPr>
          <w:rFonts w:hint="cs"/>
          <w:rtl/>
        </w:rPr>
        <w:t>والانتهاكات</w:t>
      </w:r>
      <w:r w:rsidR="00AC7038" w:rsidRPr="00647EC7">
        <w:rPr>
          <w:rtl/>
        </w:rPr>
        <w:t xml:space="preserve"> </w:t>
      </w:r>
      <w:r w:rsidR="00AC7038" w:rsidRPr="00647EC7">
        <w:rPr>
          <w:rFonts w:hint="cs"/>
          <w:rtl/>
        </w:rPr>
        <w:t>الخطيرة</w:t>
      </w:r>
      <w:r w:rsidR="00AC7038" w:rsidRPr="00647EC7">
        <w:rPr>
          <w:rtl/>
        </w:rPr>
        <w:t xml:space="preserve"> </w:t>
      </w:r>
      <w:r w:rsidR="00AC7038" w:rsidRPr="00647EC7">
        <w:rPr>
          <w:rFonts w:hint="cs"/>
          <w:rtl/>
        </w:rPr>
        <w:t>للقانون</w:t>
      </w:r>
      <w:r w:rsidR="00AC7038" w:rsidRPr="00647EC7">
        <w:rPr>
          <w:rtl/>
        </w:rPr>
        <w:t xml:space="preserve"> </w:t>
      </w:r>
      <w:r w:rsidR="00AC7038" w:rsidRPr="00647EC7">
        <w:rPr>
          <w:rFonts w:hint="cs"/>
          <w:rtl/>
        </w:rPr>
        <w:t>الدولي</w:t>
      </w:r>
      <w:r w:rsidR="00AC7038" w:rsidRPr="00647EC7">
        <w:rPr>
          <w:rtl/>
        </w:rPr>
        <w:t xml:space="preserve"> </w:t>
      </w:r>
      <w:r w:rsidR="00AC7038" w:rsidRPr="00647EC7">
        <w:rPr>
          <w:rFonts w:hint="cs"/>
          <w:rtl/>
        </w:rPr>
        <w:t>الإنساني،</w:t>
      </w:r>
      <w:r w:rsidR="00AC7038" w:rsidRPr="00647EC7">
        <w:rPr>
          <w:rtl/>
        </w:rPr>
        <w:t xml:space="preserve"> </w:t>
      </w:r>
      <w:r w:rsidR="00AC7038" w:rsidRPr="00647EC7">
        <w:rPr>
          <w:rFonts w:hint="cs"/>
          <w:rtl/>
        </w:rPr>
        <w:t>التي</w:t>
      </w:r>
      <w:r w:rsidR="00AC7038" w:rsidRPr="00647EC7">
        <w:rPr>
          <w:rtl/>
        </w:rPr>
        <w:t xml:space="preserve"> </w:t>
      </w:r>
      <w:r w:rsidR="00AC7038" w:rsidRPr="00647EC7">
        <w:rPr>
          <w:rFonts w:hint="cs"/>
          <w:rtl/>
        </w:rPr>
        <w:t>اعتمدتها</w:t>
      </w:r>
      <w:r w:rsidR="00AC7038" w:rsidRPr="00647EC7">
        <w:rPr>
          <w:rtl/>
        </w:rPr>
        <w:t xml:space="preserve"> </w:t>
      </w:r>
      <w:r w:rsidR="00AC7038" w:rsidRPr="00647EC7">
        <w:rPr>
          <w:rFonts w:hint="cs"/>
          <w:rtl/>
        </w:rPr>
        <w:t>الجمعية</w:t>
      </w:r>
      <w:r w:rsidR="00AC7038" w:rsidRPr="00647EC7">
        <w:rPr>
          <w:rtl/>
        </w:rPr>
        <w:t xml:space="preserve"> </w:t>
      </w:r>
      <w:r w:rsidR="00AC7038" w:rsidRPr="00647EC7">
        <w:rPr>
          <w:rFonts w:hint="cs"/>
          <w:rtl/>
        </w:rPr>
        <w:t>العامة</w:t>
      </w:r>
      <w:r w:rsidR="00AC7038" w:rsidRPr="00647EC7">
        <w:rPr>
          <w:rtl/>
        </w:rPr>
        <w:t xml:space="preserve"> </w:t>
      </w:r>
      <w:r w:rsidR="00AC7038" w:rsidRPr="00647EC7">
        <w:rPr>
          <w:rFonts w:hint="cs"/>
          <w:rtl/>
        </w:rPr>
        <w:t>في</w:t>
      </w:r>
      <w:r w:rsidR="00AC7038" w:rsidRPr="00647EC7">
        <w:rPr>
          <w:rtl/>
        </w:rPr>
        <w:t xml:space="preserve"> </w:t>
      </w:r>
      <w:r w:rsidR="00AC7038" w:rsidRPr="00647EC7">
        <w:rPr>
          <w:rFonts w:hint="cs"/>
          <w:rtl/>
        </w:rPr>
        <w:t>قرارها</w:t>
      </w:r>
      <w:r w:rsidR="00AC7038" w:rsidRPr="00647EC7">
        <w:rPr>
          <w:rtl/>
        </w:rPr>
        <w:t xml:space="preserve"> 60/147.</w:t>
      </w:r>
      <w:r w:rsidR="004D30B7">
        <w:rPr>
          <w:rFonts w:hint="cs"/>
          <w:rtl/>
        </w:rPr>
        <w:t xml:space="preserve"> </w:t>
      </w:r>
    </w:p>
  </w:footnote>
  <w:footnote w:id="3">
    <w:p w:rsidR="00AC7038" w:rsidRPr="00246AF4" w:rsidRDefault="00647EC7" w:rsidP="00647EC7">
      <w:pPr>
        <w:pStyle w:val="FootnoteText1"/>
        <w:textDirection w:val="tbRlV"/>
        <w:rPr>
          <w:rFonts w:ascii="Traditional Arabic" w:hAnsi="Traditional Arabic"/>
          <w:sz w:val="26"/>
          <w:rtl/>
          <w:lang w:eastAsia="zh-TW"/>
        </w:rPr>
      </w:pPr>
      <w:r>
        <w:rPr>
          <w:rFonts w:hint="cs"/>
          <w:rtl/>
        </w:rPr>
        <w:t>(</w:t>
      </w:r>
      <w:r w:rsidR="00AC7038" w:rsidRPr="00647EC7">
        <w:rPr>
          <w:b/>
          <w:rtl/>
        </w:rPr>
        <w:footnoteRef/>
      </w:r>
      <w:r>
        <w:rPr>
          <w:rFonts w:hint="cs"/>
          <w:rtl/>
        </w:rPr>
        <w:t>)</w:t>
      </w:r>
      <w:r w:rsidR="00D76FFD" w:rsidRPr="00647EC7">
        <w:rPr>
          <w:rFonts w:hint="cs"/>
          <w:rtl/>
        </w:rPr>
        <w:tab/>
      </w:r>
      <w:r w:rsidR="00AC7038" w:rsidRPr="00647EC7">
        <w:rPr>
          <w:rFonts w:hint="cs"/>
          <w:rtl/>
        </w:rPr>
        <w:t>انظر</w:t>
      </w:r>
      <w:r w:rsidR="00AC7038" w:rsidRPr="00647EC7">
        <w:rPr>
          <w:rtl/>
        </w:rPr>
        <w:t xml:space="preserve"> </w:t>
      </w:r>
      <w:r w:rsidR="00AC7038" w:rsidRPr="00647EC7">
        <w:rPr>
          <w:rFonts w:hint="cs"/>
          <w:rtl/>
        </w:rPr>
        <w:t>تعليق</w:t>
      </w:r>
      <w:r w:rsidR="00AC7038" w:rsidRPr="00647EC7">
        <w:rPr>
          <w:rtl/>
        </w:rPr>
        <w:t xml:space="preserve"> </w:t>
      </w:r>
      <w:r w:rsidR="00AC7038" w:rsidRPr="00647EC7">
        <w:rPr>
          <w:rFonts w:hint="cs"/>
          <w:rtl/>
        </w:rPr>
        <w:t>اللجنة</w:t>
      </w:r>
      <w:r w:rsidR="00AC7038" w:rsidRPr="00647EC7">
        <w:rPr>
          <w:rtl/>
        </w:rPr>
        <w:t xml:space="preserve"> </w:t>
      </w:r>
      <w:r w:rsidR="00AC7038" w:rsidRPr="00647EC7">
        <w:rPr>
          <w:rFonts w:hint="cs"/>
          <w:rtl/>
        </w:rPr>
        <w:t>العام</w:t>
      </w:r>
      <w:r w:rsidR="00AC7038" w:rsidRPr="00647EC7">
        <w:rPr>
          <w:rtl/>
        </w:rPr>
        <w:t xml:space="preserve"> </w:t>
      </w:r>
      <w:r w:rsidR="00AC7038" w:rsidRPr="00647EC7">
        <w:rPr>
          <w:rFonts w:hint="cs"/>
          <w:rtl/>
        </w:rPr>
        <w:t>رقم</w:t>
      </w:r>
      <w:r w:rsidR="00AC7038" w:rsidRPr="00647EC7">
        <w:rPr>
          <w:rtl/>
        </w:rPr>
        <w:t xml:space="preserve"> 31(2004) </w:t>
      </w:r>
      <w:r w:rsidR="00AC7038" w:rsidRPr="00647EC7">
        <w:rPr>
          <w:rFonts w:hint="cs"/>
          <w:rtl/>
        </w:rPr>
        <w:t>بشأن</w:t>
      </w:r>
      <w:r w:rsidR="00AC7038" w:rsidRPr="00647EC7">
        <w:rPr>
          <w:rtl/>
        </w:rPr>
        <w:t xml:space="preserve"> </w:t>
      </w:r>
      <w:r w:rsidR="00AC7038" w:rsidRPr="00647EC7">
        <w:rPr>
          <w:rFonts w:hint="cs"/>
          <w:rtl/>
        </w:rPr>
        <w:t>طبيعة</w:t>
      </w:r>
      <w:r w:rsidR="00AC7038" w:rsidRPr="00647EC7">
        <w:rPr>
          <w:rtl/>
        </w:rPr>
        <w:t xml:space="preserve"> </w:t>
      </w:r>
      <w:r w:rsidR="00AC7038" w:rsidRPr="00647EC7">
        <w:rPr>
          <w:rFonts w:hint="cs"/>
          <w:rtl/>
        </w:rPr>
        <w:t>الالتزام</w:t>
      </w:r>
      <w:r w:rsidR="00AC7038" w:rsidRPr="00647EC7">
        <w:rPr>
          <w:rtl/>
        </w:rPr>
        <w:t xml:space="preserve"> </w:t>
      </w:r>
      <w:r w:rsidR="00AC7038" w:rsidRPr="00647EC7">
        <w:rPr>
          <w:rFonts w:hint="cs"/>
          <w:rtl/>
        </w:rPr>
        <w:t>القانوني</w:t>
      </w:r>
      <w:r w:rsidR="00AC7038" w:rsidRPr="00647EC7">
        <w:rPr>
          <w:rtl/>
        </w:rPr>
        <w:t xml:space="preserve"> </w:t>
      </w:r>
      <w:r w:rsidR="00AC7038" w:rsidRPr="00647EC7">
        <w:rPr>
          <w:rFonts w:hint="cs"/>
          <w:rtl/>
        </w:rPr>
        <w:t>العام</w:t>
      </w:r>
      <w:r w:rsidR="00AC7038" w:rsidRPr="00647EC7">
        <w:rPr>
          <w:rtl/>
        </w:rPr>
        <w:t xml:space="preserve"> </w:t>
      </w:r>
      <w:r w:rsidR="00AC7038" w:rsidRPr="00647EC7">
        <w:rPr>
          <w:rFonts w:hint="cs"/>
          <w:rtl/>
        </w:rPr>
        <w:t>المفروض</w:t>
      </w:r>
      <w:r w:rsidR="00AC7038" w:rsidRPr="00647EC7">
        <w:rPr>
          <w:rtl/>
        </w:rPr>
        <w:t xml:space="preserve"> </w:t>
      </w:r>
      <w:r w:rsidR="00AC7038" w:rsidRPr="00647EC7">
        <w:rPr>
          <w:rFonts w:hint="cs"/>
          <w:rtl/>
        </w:rPr>
        <w:t>على</w:t>
      </w:r>
      <w:r w:rsidR="00AC7038" w:rsidRPr="00647EC7">
        <w:rPr>
          <w:rtl/>
        </w:rPr>
        <w:t xml:space="preserve"> </w:t>
      </w:r>
      <w:r w:rsidR="00AC7038" w:rsidRPr="00647EC7">
        <w:rPr>
          <w:rFonts w:hint="cs"/>
          <w:rtl/>
        </w:rPr>
        <w:t>الدول</w:t>
      </w:r>
      <w:r w:rsidR="00AC7038" w:rsidRPr="00647EC7">
        <w:rPr>
          <w:rtl/>
        </w:rPr>
        <w:t xml:space="preserve"> </w:t>
      </w:r>
      <w:r w:rsidR="00AC7038" w:rsidRPr="00647EC7">
        <w:rPr>
          <w:rFonts w:hint="cs"/>
          <w:rtl/>
        </w:rPr>
        <w:t>الأطراف</w:t>
      </w:r>
      <w:r w:rsidR="00AC7038" w:rsidRPr="00647EC7">
        <w:rPr>
          <w:rtl/>
        </w:rPr>
        <w:t xml:space="preserve"> </w:t>
      </w:r>
      <w:r w:rsidR="00AC7038" w:rsidRPr="00647EC7">
        <w:rPr>
          <w:rFonts w:hint="cs"/>
          <w:rtl/>
        </w:rPr>
        <w:t>في</w:t>
      </w:r>
      <w:r w:rsidR="00AC7038" w:rsidRPr="00647EC7">
        <w:rPr>
          <w:rtl/>
        </w:rPr>
        <w:t xml:space="preserve"> </w:t>
      </w:r>
      <w:r w:rsidR="00AC7038" w:rsidRPr="00647EC7">
        <w:rPr>
          <w:rFonts w:hint="cs"/>
          <w:rtl/>
        </w:rPr>
        <w:t>العهد،</w:t>
      </w:r>
      <w:r w:rsidR="00AC7038" w:rsidRPr="00647EC7">
        <w:rPr>
          <w:rtl/>
        </w:rPr>
        <w:t xml:space="preserve"> </w:t>
      </w:r>
      <w:r w:rsidR="00AC7038" w:rsidRPr="00647EC7">
        <w:rPr>
          <w:rFonts w:hint="cs"/>
          <w:rtl/>
        </w:rPr>
        <w:t>الفقرة</w:t>
      </w:r>
      <w:r w:rsidR="00AC7038" w:rsidRPr="00647EC7">
        <w:rPr>
          <w:rtl/>
        </w:rPr>
        <w:t xml:space="preserve"> 16.</w:t>
      </w:r>
      <w:r w:rsidR="004D30B7">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038" w:rsidRPr="00AC7038" w:rsidRDefault="00AC7038" w:rsidP="00AC7038">
    <w:pPr>
      <w:pStyle w:val="Header"/>
      <w:jc w:val="right"/>
    </w:pPr>
    <w:r w:rsidRPr="00AC7038">
      <w:t>CCPR/C/158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038" w:rsidRPr="00AC7038" w:rsidRDefault="00AC7038" w:rsidP="00AC7038">
    <w:pPr>
      <w:pStyle w:val="Header"/>
      <w:jc w:val="left"/>
    </w:pPr>
    <w:r w:rsidRPr="00AC7038">
      <w:t>CCPR/C/158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96D8E"/>
    <w:rsid w:val="000076D5"/>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00AA"/>
    <w:rsid w:val="00374341"/>
    <w:rsid w:val="003C2756"/>
    <w:rsid w:val="003D1062"/>
    <w:rsid w:val="00420D7B"/>
    <w:rsid w:val="00450B21"/>
    <w:rsid w:val="00453B63"/>
    <w:rsid w:val="00455780"/>
    <w:rsid w:val="004B0A1C"/>
    <w:rsid w:val="004D298E"/>
    <w:rsid w:val="004D30B7"/>
    <w:rsid w:val="00517BC9"/>
    <w:rsid w:val="005375E3"/>
    <w:rsid w:val="0054472E"/>
    <w:rsid w:val="005662A9"/>
    <w:rsid w:val="005827D4"/>
    <w:rsid w:val="0059622A"/>
    <w:rsid w:val="00596D8E"/>
    <w:rsid w:val="005C5878"/>
    <w:rsid w:val="005C7CEA"/>
    <w:rsid w:val="005D3C0B"/>
    <w:rsid w:val="005E5217"/>
    <w:rsid w:val="005F0FA4"/>
    <w:rsid w:val="005F30EE"/>
    <w:rsid w:val="0060473A"/>
    <w:rsid w:val="00647EC7"/>
    <w:rsid w:val="00656392"/>
    <w:rsid w:val="0068781D"/>
    <w:rsid w:val="006959B0"/>
    <w:rsid w:val="006B3E27"/>
    <w:rsid w:val="006B6507"/>
    <w:rsid w:val="006C104C"/>
    <w:rsid w:val="00733704"/>
    <w:rsid w:val="0078071A"/>
    <w:rsid w:val="00787E1E"/>
    <w:rsid w:val="00836731"/>
    <w:rsid w:val="00852A9A"/>
    <w:rsid w:val="008F4092"/>
    <w:rsid w:val="008F49E1"/>
    <w:rsid w:val="0090370F"/>
    <w:rsid w:val="009269D2"/>
    <w:rsid w:val="00942135"/>
    <w:rsid w:val="009521B0"/>
    <w:rsid w:val="009A7E73"/>
    <w:rsid w:val="009A7E9F"/>
    <w:rsid w:val="009E1C02"/>
    <w:rsid w:val="009E5018"/>
    <w:rsid w:val="00A12B37"/>
    <w:rsid w:val="00AB6758"/>
    <w:rsid w:val="00AC7038"/>
    <w:rsid w:val="00B13763"/>
    <w:rsid w:val="00B477A4"/>
    <w:rsid w:val="00B54045"/>
    <w:rsid w:val="00C438D7"/>
    <w:rsid w:val="00C81B50"/>
    <w:rsid w:val="00CB6622"/>
    <w:rsid w:val="00CD1801"/>
    <w:rsid w:val="00CF65C6"/>
    <w:rsid w:val="00D10EF1"/>
    <w:rsid w:val="00D42810"/>
    <w:rsid w:val="00D76FFD"/>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0E7FF-997A-42D0-98F6-D2092AAF8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823</Words>
  <Characters>4696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CCPR/C/158</vt:lpstr>
    </vt:vector>
  </TitlesOfParts>
  <Company>DCM</Company>
  <LinksUpToDate>false</LinksUpToDate>
  <CharactersWithSpaces>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CCPR/C/158</dc:title>
  <dc:subject>GE.1621071</dc:subject>
  <dc:creator>SALY - ASF</dc:creator>
  <cp:keywords>ODS No. 1626484</cp:keywords>
  <dc:description>Distribution: General_x000d_
Original: English_x000d_
Date: 30 November 2016</dc:description>
  <cp:lastModifiedBy>RKHO13</cp:lastModifiedBy>
  <cp:revision>2</cp:revision>
  <cp:lastPrinted>2016-12-14T15:37:00Z</cp:lastPrinted>
  <dcterms:created xsi:type="dcterms:W3CDTF">2016-12-15T11:39:00Z</dcterms:created>
  <dcterms:modified xsi:type="dcterms:W3CDTF">2016-12-15T11:39:00Z</dcterms:modified>
  <cp:category>Finale</cp:category>
</cp:coreProperties>
</file>