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B3D" w:rsidRDefault="00E21B3D" w:rsidP="00E21B3D">
      <w:pPr>
        <w:spacing w:line="60" w:lineRule="exact"/>
        <w:sectPr w:rsidR="00E21B3D" w:rsidSect="00E21B3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5 Size =1Lang = C"/>
            <w10:wrap anchorx="page" anchory="page"/>
          </v:shape>
        </w:pict>
      </w:r>
      <w:commentRangeEnd w:id="0"/>
      <w:r>
        <w:rPr>
          <w:rStyle w:val="CommentReference"/>
        </w:rPr>
        <w:commentReference w:id="0"/>
      </w:r>
    </w:p>
    <w:p w:rsidR="00E21B3D" w:rsidRDefault="00E21B3D" w:rsidP="00E21B3D">
      <w:pPr>
        <w:spacing w:line="60" w:lineRule="exact"/>
      </w:pPr>
    </w:p>
    <w:p w:rsidR="00ED065B" w:rsidRDefault="00ED065B" w:rsidP="003D1F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3D1F69" w:rsidRPr="003D1F69" w:rsidRDefault="003D1F69" w:rsidP="003D1F69">
      <w:pPr>
        <w:pStyle w:val="SingleTxt"/>
        <w:spacing w:after="0" w:line="120" w:lineRule="exact"/>
        <w:rPr>
          <w:sz w:val="10"/>
        </w:rPr>
      </w:pPr>
    </w:p>
    <w:p w:rsidR="0044174E" w:rsidRPr="0044174E" w:rsidRDefault="0044174E" w:rsidP="0044174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ED065B" w:rsidRPr="0044174E" w:rsidRDefault="0044174E" w:rsidP="0044174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44174E">
        <w:rPr>
          <w:rFonts w:ascii="Times New Roman"/>
        </w:rPr>
        <w:tab/>
      </w:r>
      <w:r w:rsidRPr="0044174E">
        <w:rPr>
          <w:rFonts w:ascii="Times New Roman"/>
        </w:rPr>
        <w:tab/>
      </w:r>
      <w:r w:rsidRPr="0044174E">
        <w:rPr>
          <w:rFonts w:hint="eastAsia"/>
        </w:rPr>
        <w:t>与中非共和国初次和第二至第五次合并定期报告有关的议题和问题清单</w:t>
      </w:r>
      <w:r w:rsidRPr="0044174E">
        <w:rPr>
          <w:rFonts w:hint="eastAsia"/>
          <w:vertAlign w:val="superscript"/>
        </w:rPr>
        <w:t>*</w:t>
      </w:r>
    </w:p>
    <w:p w:rsidR="003D1F69" w:rsidRPr="003D1F69" w:rsidRDefault="003D1F69" w:rsidP="003D1F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ascii="SimSun" w:eastAsia="SimSun"/>
          <w:spacing w:val="0"/>
          <w:sz w:val="10"/>
        </w:rPr>
      </w:pPr>
    </w:p>
    <w:p w:rsidR="003D1F69" w:rsidRPr="003D1F69" w:rsidRDefault="003D1F69" w:rsidP="003D1F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D065B" w:rsidRDefault="00ED065B" w:rsidP="003D1F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总体背景</w:t>
      </w:r>
    </w:p>
    <w:p w:rsidR="003D1F69" w:rsidRPr="003D1F69" w:rsidRDefault="003D1F69" w:rsidP="003D1F69">
      <w:pPr>
        <w:pStyle w:val="SingleTxt"/>
        <w:spacing w:after="0" w:line="120" w:lineRule="exact"/>
        <w:rPr>
          <w:rFonts w:hint="eastAsia"/>
          <w:sz w:val="10"/>
        </w:rPr>
      </w:pPr>
    </w:p>
    <w:p w:rsidR="00FB538E" w:rsidRPr="00FB538E" w:rsidRDefault="00FB538E" w:rsidP="00FB538E">
      <w:pPr>
        <w:framePr w:w="9792" w:h="432" w:hSpace="180" w:wrap="around" w:hAnchor="page" w:x="1210" w:yAlign="bottom"/>
        <w:spacing w:line="100" w:lineRule="exact"/>
        <w:rPr>
          <w:sz w:val="10"/>
        </w:rPr>
      </w:pPr>
    </w:p>
    <w:p w:rsidR="00FB538E" w:rsidRPr="00FB538E" w:rsidRDefault="00FB538E" w:rsidP="00FB538E">
      <w:pPr>
        <w:framePr w:w="9792" w:h="432" w:hSpace="180" w:wrap="around" w:hAnchor="page" w:x="1210" w:yAlign="bottom"/>
        <w:spacing w:line="60" w:lineRule="exact"/>
        <w:rPr>
          <w:sz w:val="6"/>
        </w:rPr>
      </w:pPr>
      <w:r w:rsidRPr="00FB538E">
        <w:rPr>
          <w:noProof/>
          <w:sz w:val="6"/>
        </w:rPr>
        <w:pict>
          <v:line id="_x0000_s1028" style="position:absolute;left:0;text-align:left;z-index:3;mso-position-horizontal-relative:page" from="108pt,-1pt" to="180pt,-1pt" strokeweight=".25pt">
            <w10:wrap anchorx="page"/>
          </v:line>
        </w:pict>
      </w:r>
    </w:p>
    <w:p w:rsidR="00FB538E" w:rsidRPr="005457B6" w:rsidRDefault="00FB538E" w:rsidP="00FB538E">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2E0513">
        <w:rPr>
          <w:rFonts w:hint="eastAsia"/>
          <w:sz w:val="18"/>
          <w:vertAlign w:val="superscript"/>
        </w:rPr>
        <w:t>*</w:t>
      </w:r>
      <w:r>
        <w:rPr>
          <w:rFonts w:hint="eastAsia"/>
          <w:sz w:val="18"/>
        </w:rPr>
        <w:tab/>
      </w:r>
      <w:r w:rsidR="005457B6" w:rsidRPr="005457B6">
        <w:rPr>
          <w:rFonts w:hint="eastAsia"/>
          <w:sz w:val="18"/>
        </w:rPr>
        <w:t>已获2013年10月21日至25日召开的第五十八届会议会前工作组通过。</w:t>
      </w:r>
    </w:p>
    <w:p w:rsidR="00ED065B" w:rsidRDefault="00ED065B" w:rsidP="00ED065B">
      <w:pPr>
        <w:pStyle w:val="SingleTxt"/>
        <w:rPr>
          <w:rFonts w:hint="eastAsia"/>
        </w:rPr>
      </w:pPr>
      <w:r>
        <w:rPr>
          <w:rFonts w:hint="eastAsia"/>
        </w:rPr>
        <w:t>1.</w:t>
      </w:r>
      <w:r>
        <w:rPr>
          <w:rFonts w:hint="eastAsia"/>
        </w:rPr>
        <w:tab/>
        <w:t>联合国人权事务高级专员在其2013年9月关于中非共和国人权状况的报告(</w:t>
      </w:r>
      <w:hyperlink r:id="rId14" w:history="1">
        <w:r w:rsidRPr="007F0A0C">
          <w:rPr>
            <w:rStyle w:val="Hyperlink"/>
            <w:rFonts w:hint="eastAsia"/>
          </w:rPr>
          <w:t>A/HRC/24/59</w:t>
        </w:r>
      </w:hyperlink>
      <w:r>
        <w:rPr>
          <w:rFonts w:hint="eastAsia"/>
        </w:rPr>
        <w:t>和</w:t>
      </w:r>
      <w:r w:rsidR="00350636">
        <w:t>C</w:t>
      </w:r>
      <w:r w:rsidR="003D1F69">
        <w:rPr>
          <w:rFonts w:hint="eastAsia"/>
        </w:rPr>
        <w:t>orr.1)</w:t>
      </w:r>
      <w:r>
        <w:rPr>
          <w:rFonts w:hint="eastAsia"/>
        </w:rPr>
        <w:t>中提到，由于全国各地缺乏民事行政管理、国防和警察部队，造成法律和秩序迅速崩溃，因而自2012年12月以来国家已陷入崩溃。她还指出，2012年12月塞勒卡联盟发动攻击之后，司法人员逃离其辖区，此后据报告塞勒卡士兵掠夺并占领了法院，在一些省份取代了法官和检察官的位置。鉴于这一信息，请说明缔约国计划如何建设各级和各省执法机构的能力，以及采取了什么措施在该缔约国境内执行法治，以确保妇女受到保护并享有自己的权利。</w:t>
      </w:r>
    </w:p>
    <w:p w:rsidR="00ED065B" w:rsidRDefault="00ED065B" w:rsidP="00ED065B">
      <w:pPr>
        <w:pStyle w:val="SingleTxt"/>
        <w:rPr>
          <w:rFonts w:hint="eastAsia"/>
        </w:rPr>
      </w:pPr>
      <w:r>
        <w:rPr>
          <w:rFonts w:hint="eastAsia"/>
        </w:rPr>
        <w:t>2.</w:t>
      </w:r>
      <w:r>
        <w:rPr>
          <w:rFonts w:hint="eastAsia"/>
        </w:rPr>
        <w:tab/>
        <w:t>高级专员建议根据国际标准，在整个解除武装、复员和重返社会进程中甄别并审查中非共和国武装部队和塞勒卡成员，以排除国家安全和国防部队中犯下违反国际人权和人道主义法的人。请提供资料，说明本建议的执行情况，尤其是排除犯下严重侵犯妇女人权行为者的情况。</w:t>
      </w:r>
    </w:p>
    <w:p w:rsidR="00ED065B" w:rsidRDefault="00ED065B" w:rsidP="00ED065B">
      <w:pPr>
        <w:pStyle w:val="SingleTxt"/>
        <w:rPr>
          <w:rFonts w:hint="eastAsia"/>
        </w:rPr>
      </w:pPr>
      <w:r>
        <w:rPr>
          <w:rFonts w:hint="eastAsia"/>
        </w:rPr>
        <w:t>3.</w:t>
      </w:r>
      <w:r>
        <w:rPr>
          <w:rFonts w:hint="eastAsia"/>
        </w:rPr>
        <w:tab/>
      </w:r>
      <w:r w:rsidRPr="00B008DE">
        <w:rPr>
          <w:rFonts w:hint="eastAsia"/>
          <w:spacing w:val="-4"/>
        </w:rPr>
        <w:t>请提供资料，说明妇女按照关于妇女与和平与安全的安全理事会第</w:t>
      </w:r>
      <w:hyperlink r:id="rId15" w:history="1">
        <w:r w:rsidRPr="007F0A0C">
          <w:rPr>
            <w:rStyle w:val="Hyperlink"/>
            <w:rFonts w:hint="eastAsia"/>
            <w:spacing w:val="-4"/>
          </w:rPr>
          <w:t>1325(2000)</w:t>
        </w:r>
      </w:hyperlink>
      <w:r w:rsidR="00B008DE">
        <w:br/>
      </w:r>
      <w:r>
        <w:rPr>
          <w:rFonts w:hint="eastAsia"/>
        </w:rPr>
        <w:t>号决议，在和平进程和建设和平过程中参与决策层的情况。也请说明缔约国打算如何依据关于预防冲突、冲突及冲突后局势中妇女的第30号一般性建议，将性别平等问题纳入建设和平项目，从而通过此类措施实施《公约》的规定。</w:t>
      </w:r>
    </w:p>
    <w:p w:rsidR="00456715" w:rsidRDefault="00ED065B" w:rsidP="00B008DE">
      <w:pPr>
        <w:pStyle w:val="SingleTxt"/>
        <w:rPr>
          <w:rFonts w:hint="eastAsia"/>
        </w:rPr>
      </w:pPr>
      <w:r>
        <w:rPr>
          <w:rFonts w:hint="eastAsia"/>
        </w:rPr>
        <w:t>4.</w:t>
      </w:r>
      <w:r>
        <w:rPr>
          <w:rFonts w:hint="eastAsia"/>
        </w:rPr>
        <w:tab/>
        <w:t>高级专员建议采取措施，提高妇女在决策一级的参与度。请说明缔约国如何保证妇女参与该国政治和经济重建。</w:t>
      </w:r>
    </w:p>
    <w:p w:rsidR="00ED065B" w:rsidRDefault="00ED065B" w:rsidP="00EA0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冲突中和冲突后局势中的暴力侵害妇女行为</w:t>
      </w:r>
    </w:p>
    <w:p w:rsidR="00456715" w:rsidRPr="00456715" w:rsidRDefault="00456715" w:rsidP="00456715">
      <w:pPr>
        <w:pStyle w:val="SingleTxt"/>
        <w:spacing w:after="0" w:line="120" w:lineRule="exact"/>
        <w:rPr>
          <w:rFonts w:hint="eastAsia"/>
          <w:sz w:val="10"/>
        </w:rPr>
      </w:pPr>
    </w:p>
    <w:p w:rsidR="00ED065B" w:rsidRDefault="00ED065B" w:rsidP="00ED065B">
      <w:pPr>
        <w:pStyle w:val="SingleTxt"/>
        <w:rPr>
          <w:rFonts w:hint="eastAsia"/>
        </w:rPr>
      </w:pPr>
      <w:r>
        <w:rPr>
          <w:rFonts w:hint="eastAsia"/>
        </w:rPr>
        <w:t>5.</w:t>
      </w:r>
      <w:r>
        <w:rPr>
          <w:rFonts w:hint="eastAsia"/>
        </w:rPr>
        <w:tab/>
        <w:t>高级专员提到，塞勒卡从2012年12月至2013年3月期间作为一个反叛团体组成的联盟、以及从2013年3月24日起承担了国防和安全部队作用之后，均犯下数百起强奸案和其他形式的性暴力行为。请对这一信息做出评论，说明已采取哪些措施来纠正这种状况。</w:t>
      </w:r>
    </w:p>
    <w:p w:rsidR="00ED065B" w:rsidRDefault="00ED065B" w:rsidP="00ED065B">
      <w:pPr>
        <w:pStyle w:val="SingleTxt"/>
        <w:rPr>
          <w:rFonts w:hint="eastAsia"/>
        </w:rPr>
      </w:pPr>
      <w:r>
        <w:rPr>
          <w:rFonts w:hint="eastAsia"/>
        </w:rPr>
        <w:t>6.</w:t>
      </w:r>
      <w:r>
        <w:rPr>
          <w:rFonts w:hint="eastAsia"/>
        </w:rPr>
        <w:tab/>
        <w:t>高级专员还提到普遍存在有罪不罚现象和司法系统的崩溃。鉴于这一情况，请说明已采取和设想采取哪些措施结束有罪不罚现象，特别是对于冲突期间暴力侵害妇女事件的有罪不罚现象。还请说明缔约国是否设想进行司法改革，以确保妇女有机会获得司法救助，包括在基于性别的暴力案件中获得司法救助。</w:t>
      </w:r>
    </w:p>
    <w:p w:rsidR="00ED065B" w:rsidRDefault="00ED065B" w:rsidP="00ED065B">
      <w:pPr>
        <w:pStyle w:val="SingleTxt"/>
        <w:rPr>
          <w:rFonts w:hint="eastAsia"/>
        </w:rPr>
      </w:pPr>
      <w:r>
        <w:rPr>
          <w:rFonts w:hint="eastAsia"/>
        </w:rPr>
        <w:t>7.</w:t>
      </w:r>
      <w:r>
        <w:rPr>
          <w:rFonts w:hint="eastAsia"/>
        </w:rPr>
        <w:tab/>
        <w:t>请提供资料，说明采取了哪些措施在冲突期间帮助性暴力受害者，并为其提供获得医疗、心理保健和心理社会支助的机会。</w:t>
      </w:r>
    </w:p>
    <w:p w:rsidR="00ED065B" w:rsidRDefault="00ED065B" w:rsidP="00ED065B">
      <w:pPr>
        <w:pStyle w:val="SingleTxt"/>
        <w:rPr>
          <w:rFonts w:hint="eastAsia"/>
        </w:rPr>
      </w:pPr>
      <w:r>
        <w:rPr>
          <w:rFonts w:hint="eastAsia"/>
        </w:rPr>
        <w:t>8.</w:t>
      </w:r>
      <w:r>
        <w:rPr>
          <w:rFonts w:hint="eastAsia"/>
        </w:rPr>
        <w:tab/>
        <w:t>高级专员指出，截至2013年6月，缔约国有206 000名境内流离失所者生活在极其动荡、不安全的状况中。请说明采取了什么措施支持境内流离失所的妇女，包括保护她们不受暴力侵害并确保她们可获得基本保健、教育、清洁饮水和卫生设施。</w:t>
      </w:r>
    </w:p>
    <w:p w:rsidR="00ED065B" w:rsidRDefault="00ED065B" w:rsidP="00EA0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暴力侵害妇女行为</w:t>
      </w:r>
    </w:p>
    <w:p w:rsidR="00EA0D93" w:rsidRPr="00EA0D93" w:rsidRDefault="00EA0D93" w:rsidP="00EA0D93">
      <w:pPr>
        <w:pStyle w:val="SingleTxt"/>
        <w:spacing w:after="0" w:line="120" w:lineRule="exact"/>
        <w:rPr>
          <w:rFonts w:hint="eastAsia"/>
          <w:sz w:val="10"/>
        </w:rPr>
      </w:pPr>
    </w:p>
    <w:p w:rsidR="00ED065B" w:rsidRDefault="00ED065B" w:rsidP="00ED065B">
      <w:pPr>
        <w:pStyle w:val="SingleTxt"/>
        <w:rPr>
          <w:rFonts w:hint="eastAsia"/>
        </w:rPr>
      </w:pPr>
      <w:r>
        <w:rPr>
          <w:rFonts w:hint="eastAsia"/>
        </w:rPr>
        <w:t>9.</w:t>
      </w:r>
      <w:r>
        <w:rPr>
          <w:rFonts w:hint="eastAsia"/>
        </w:rPr>
        <w:tab/>
        <w:t>委员会获悉，包括强奸在内的暴力侵害妇女行为在缔约国极为普遍，即便在未受冲突影响地区也是如此。请提供资料说明打算采取哪些措施来纠正这种状况。</w:t>
      </w:r>
    </w:p>
    <w:p w:rsidR="00ED065B" w:rsidRDefault="00ED065B" w:rsidP="00ED065B">
      <w:pPr>
        <w:pStyle w:val="SingleTxt"/>
        <w:rPr>
          <w:rFonts w:hint="eastAsia"/>
        </w:rPr>
      </w:pPr>
      <w:r>
        <w:rPr>
          <w:rFonts w:hint="eastAsia"/>
        </w:rPr>
        <w:t>10.</w:t>
      </w:r>
      <w:r>
        <w:rPr>
          <w:rFonts w:hint="eastAsia"/>
        </w:rPr>
        <w:tab/>
        <w:t>高级专员建议缔约国引入新的刑事罪并加重处罚，并扩大对性暴力受害者和基于性别的暴力受害者的保护和支助范围，从而进行法律改革，以打击性暴力和基于性别的暴力行为。请提供资料说明已采取哪些步骤执行这一建议，并说明缔约国是否设想采取一项全面战略和一部全面法律，以打击暴力侵害妇女行为。</w:t>
      </w:r>
    </w:p>
    <w:p w:rsidR="00ED065B" w:rsidRDefault="00ED065B" w:rsidP="00ED065B">
      <w:pPr>
        <w:pStyle w:val="SingleTxt"/>
        <w:rPr>
          <w:rFonts w:hint="eastAsia"/>
        </w:rPr>
      </w:pPr>
      <w:r>
        <w:rPr>
          <w:rFonts w:hint="eastAsia"/>
        </w:rPr>
        <w:t>11.</w:t>
      </w:r>
      <w:r>
        <w:rPr>
          <w:rFonts w:hint="eastAsia"/>
        </w:rPr>
        <w:tab/>
        <w:t>鉴于强奸受害者所面临的污名化导致经济、社会和家庭排斥、被配偶遗弃并被学校排斥，请提供资料，说明设想采取哪些措施消除这种污名化，并解决受害者无法获得包括心理支助在内的保健服务的问题。</w:t>
      </w:r>
    </w:p>
    <w:p w:rsidR="00ED065B" w:rsidRDefault="00ED065B" w:rsidP="00ED065B">
      <w:pPr>
        <w:pStyle w:val="SingleTxt"/>
        <w:rPr>
          <w:rFonts w:hint="eastAsia"/>
        </w:rPr>
      </w:pPr>
      <w:r>
        <w:rPr>
          <w:rFonts w:hint="eastAsia"/>
        </w:rPr>
        <w:t>12.</w:t>
      </w:r>
      <w:r>
        <w:rPr>
          <w:rFonts w:hint="eastAsia"/>
        </w:rPr>
        <w:tab/>
        <w:t>请提供资料，说明缔约国采取了哪些措施来解决暴力侵害被视为女巫的妇女和女孩行为。请说明缔约国是否设想将暴力行为进行刑事定罪，包括对被视为女巫的妇女进行的被称为“民众执法”的行为，并开展提高认识运动，以制止这种暴力行为。</w:t>
      </w:r>
    </w:p>
    <w:p w:rsidR="00ED065B" w:rsidRDefault="00ED065B" w:rsidP="00EA0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有害做法 </w:t>
      </w:r>
    </w:p>
    <w:p w:rsidR="00EA0D93" w:rsidRPr="00EA0D93" w:rsidRDefault="00EA0D93" w:rsidP="00EA0D93">
      <w:pPr>
        <w:pStyle w:val="SingleTxt"/>
        <w:spacing w:after="0" w:line="120" w:lineRule="exact"/>
        <w:rPr>
          <w:rFonts w:hint="eastAsia"/>
          <w:sz w:val="10"/>
        </w:rPr>
      </w:pPr>
    </w:p>
    <w:p w:rsidR="00ED065B" w:rsidRDefault="00ED065B" w:rsidP="00ED065B">
      <w:pPr>
        <w:pStyle w:val="SingleTxt"/>
        <w:rPr>
          <w:rFonts w:hint="eastAsia"/>
        </w:rPr>
      </w:pPr>
      <w:r>
        <w:rPr>
          <w:rFonts w:hint="eastAsia"/>
        </w:rPr>
        <w:t>13.</w:t>
      </w:r>
      <w:r>
        <w:rPr>
          <w:rFonts w:hint="eastAsia"/>
        </w:rPr>
        <w:tab/>
        <w:t>缔约国的报告</w:t>
      </w:r>
      <w:r w:rsidR="00587E43">
        <w:rPr>
          <w:rStyle w:val="FootnoteReference"/>
        </w:rPr>
        <w:footnoteReference w:id="1"/>
      </w:r>
      <w:r>
        <w:rPr>
          <w:rFonts w:hint="eastAsia"/>
        </w:rPr>
        <w:t xml:space="preserve"> 中指出，在世界卫生组织的支助下，已制订了一项打击有害妇女健康的作法和基于性别的暴力问题的国家行动计划(第132段)。请提供资料，说明该计划所涵盖的做法、打击这些做法的战略、这些战略的执行情况及其与冲突后局势的相关性。</w:t>
      </w:r>
    </w:p>
    <w:p w:rsidR="00ED065B" w:rsidRDefault="00ED065B" w:rsidP="00EA0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教育 </w:t>
      </w:r>
    </w:p>
    <w:p w:rsidR="00EA0D93" w:rsidRPr="00EA0D93" w:rsidRDefault="00EA0D93" w:rsidP="00EA0D93">
      <w:pPr>
        <w:pStyle w:val="SingleTxt"/>
        <w:spacing w:after="0" w:line="120" w:lineRule="exact"/>
        <w:rPr>
          <w:rFonts w:hint="eastAsia"/>
          <w:sz w:val="10"/>
        </w:rPr>
      </w:pPr>
    </w:p>
    <w:p w:rsidR="00ED065B" w:rsidRDefault="00ED065B" w:rsidP="00ED065B">
      <w:pPr>
        <w:pStyle w:val="SingleTxt"/>
        <w:rPr>
          <w:rFonts w:hint="eastAsia"/>
        </w:rPr>
      </w:pPr>
      <w:r>
        <w:rPr>
          <w:rFonts w:hint="eastAsia"/>
        </w:rPr>
        <w:t>14.</w:t>
      </w:r>
      <w:r>
        <w:rPr>
          <w:rFonts w:hint="eastAsia"/>
        </w:rPr>
        <w:tab/>
        <w:t>缔约国的报告指出，国内生产总值中分配用于教育的公共开支不超过1.45%(第305段)。报告还指出</w:t>
      </w:r>
      <w:r w:rsidR="005C37C9">
        <w:rPr>
          <w:rFonts w:hint="eastAsia"/>
        </w:rPr>
        <w:t>，</w:t>
      </w:r>
      <w:r>
        <w:rPr>
          <w:rFonts w:hint="eastAsia"/>
        </w:rPr>
        <w:t>缔约国教育系统的能力已十多年停滞不前(第70段)。此外，高级专员指出，在攻势期间该国各地的学校遭到系统地掠夺或被用于军事目的，这意味着只有少数几个私立学校保持开放，公立学校仍然关闭。请说明缔约国设想分配百分之多少的国家资源用于教育，以及预计至少恢复提供整个小学教育的公共教育的计划。</w:t>
      </w:r>
    </w:p>
    <w:p w:rsidR="00ED065B" w:rsidRDefault="00ED065B" w:rsidP="00EA0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健康 </w:t>
      </w:r>
    </w:p>
    <w:p w:rsidR="00EA0D93" w:rsidRPr="00EA0D93" w:rsidRDefault="00EA0D93" w:rsidP="00EA0D93">
      <w:pPr>
        <w:pStyle w:val="SingleTxt"/>
        <w:spacing w:after="0" w:line="120" w:lineRule="exact"/>
        <w:rPr>
          <w:rFonts w:hint="eastAsia"/>
          <w:sz w:val="10"/>
        </w:rPr>
      </w:pPr>
    </w:p>
    <w:p w:rsidR="00ED065B" w:rsidRDefault="00ED065B" w:rsidP="00ED065B">
      <w:pPr>
        <w:pStyle w:val="SingleTxt"/>
        <w:rPr>
          <w:rFonts w:hint="eastAsia"/>
        </w:rPr>
      </w:pPr>
      <w:r>
        <w:rPr>
          <w:rFonts w:hint="eastAsia"/>
        </w:rPr>
        <w:t>15.</w:t>
      </w:r>
      <w:r>
        <w:rPr>
          <w:rFonts w:hint="eastAsia"/>
        </w:rPr>
        <w:tab/>
        <w:t>高级专员指出，同学校一样，医院也在攻势期间遭到系统地掠夺或被用于军事目的。她进一步指出，这严重影响了人们获得保健的机会，特别是班吉的产科医院被摧毁，对于儿童和孕妇带来的后果尤其严重。请说明缔约国设想分配多少百分比的国家资源用于保健服务和预期恢复公共保健设施的计划，鉴于孕产妇死亡率极高，特别是分配多少国家资源用于恢复性健康和生殖健康服务方面的计划。</w:t>
      </w:r>
    </w:p>
    <w:p w:rsidR="00ED065B" w:rsidRDefault="00ED065B" w:rsidP="00EA0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弱势妇女群体</w:t>
      </w:r>
    </w:p>
    <w:p w:rsidR="00EA0D93" w:rsidRPr="00EA0D93" w:rsidRDefault="00EA0D93" w:rsidP="00EA0D93">
      <w:pPr>
        <w:pStyle w:val="SingleTxt"/>
        <w:spacing w:after="0" w:line="120" w:lineRule="exact"/>
        <w:rPr>
          <w:rFonts w:hint="eastAsia"/>
          <w:sz w:val="10"/>
        </w:rPr>
      </w:pPr>
    </w:p>
    <w:p w:rsidR="00ED065B" w:rsidRDefault="00ED065B" w:rsidP="00ED065B">
      <w:pPr>
        <w:pStyle w:val="SingleTxt"/>
        <w:rPr>
          <w:rFonts w:hint="eastAsia"/>
        </w:rPr>
      </w:pPr>
      <w:r>
        <w:rPr>
          <w:rFonts w:hint="eastAsia"/>
        </w:rPr>
        <w:t>16.</w:t>
      </w:r>
      <w:r>
        <w:rPr>
          <w:rFonts w:hint="eastAsia"/>
        </w:rPr>
        <w:tab/>
        <w:t>请提供资料说明目前关押在拘留设施的</w:t>
      </w:r>
      <w:r w:rsidR="005C37C9">
        <w:rPr>
          <w:rFonts w:hint="eastAsia"/>
        </w:rPr>
        <w:t>妇女的情况，特别是由于冲突被关押的妇女情况，以及被控使用巫术的妇女</w:t>
      </w:r>
      <w:r>
        <w:rPr>
          <w:rFonts w:hint="eastAsia"/>
        </w:rPr>
        <w:t>被拘留者所占比例。此外，请提供资料，说明妇女拘留中心在何种程度上达到《联合国女性囚犯待遇和女性罪犯非拘禁措施规则》中规定的基本国际要求。</w:t>
      </w:r>
    </w:p>
    <w:p w:rsidR="00ED065B" w:rsidRDefault="00ED065B" w:rsidP="00ED065B">
      <w:pPr>
        <w:pStyle w:val="SingleTxt"/>
        <w:rPr>
          <w:rFonts w:hint="eastAsia"/>
        </w:rPr>
      </w:pPr>
      <w:r>
        <w:rPr>
          <w:rFonts w:hint="eastAsia"/>
        </w:rPr>
        <w:t>17.</w:t>
      </w:r>
      <w:r>
        <w:rPr>
          <w:rFonts w:hint="eastAsia"/>
        </w:rPr>
        <w:tab/>
        <w:t>请说明缔约国采取或设想了哪些法律措施和其他措施，以停止奴役俾格米人的做法，并保护俾格米族妇女和女孩免遭此种做法。</w:t>
      </w:r>
    </w:p>
    <w:p w:rsidR="00ED065B" w:rsidRDefault="00ED065B" w:rsidP="008570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婚姻和家庭关系</w:t>
      </w:r>
    </w:p>
    <w:p w:rsidR="00EA0D93" w:rsidRPr="00EA0D93" w:rsidRDefault="00EA0D93" w:rsidP="00EA0D93">
      <w:pPr>
        <w:pStyle w:val="SingleTxt"/>
        <w:spacing w:after="0" w:line="120" w:lineRule="exact"/>
        <w:rPr>
          <w:rFonts w:hint="eastAsia"/>
          <w:sz w:val="10"/>
        </w:rPr>
      </w:pPr>
    </w:p>
    <w:p w:rsidR="00ED065B" w:rsidRDefault="00ED065B" w:rsidP="00ED065B">
      <w:pPr>
        <w:pStyle w:val="SingleTxt"/>
        <w:rPr>
          <w:rFonts w:hint="eastAsia"/>
        </w:rPr>
      </w:pPr>
      <w:r>
        <w:rPr>
          <w:rFonts w:hint="eastAsia"/>
        </w:rPr>
        <w:t>18.</w:t>
      </w:r>
      <w:r>
        <w:rPr>
          <w:rFonts w:hint="eastAsia"/>
        </w:rPr>
        <w:tab/>
        <w:t>请提供资料，说明采取哪些措施来消除童婚习俗，并说明缔约国是否正在考虑废除一夫多妻制。</w:t>
      </w:r>
    </w:p>
    <w:p w:rsidR="00ED065B" w:rsidRDefault="00ED065B" w:rsidP="008570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任择议定书和对《公约》第20⑴条的修正案</w:t>
      </w:r>
    </w:p>
    <w:p w:rsidR="00857092" w:rsidRPr="00857092" w:rsidRDefault="00857092" w:rsidP="00857092">
      <w:pPr>
        <w:pStyle w:val="SingleTxt"/>
        <w:spacing w:after="0" w:line="120" w:lineRule="exact"/>
        <w:rPr>
          <w:rFonts w:hint="eastAsia"/>
          <w:sz w:val="10"/>
        </w:rPr>
      </w:pPr>
    </w:p>
    <w:p w:rsidR="00EA31C3" w:rsidRDefault="00ED065B" w:rsidP="00ED065B">
      <w:pPr>
        <w:pStyle w:val="SingleTxt"/>
        <w:rPr>
          <w:rFonts w:hint="eastAsia"/>
        </w:rPr>
      </w:pPr>
      <w:r>
        <w:rPr>
          <w:rFonts w:hint="eastAsia"/>
        </w:rPr>
        <w:t>19.</w:t>
      </w:r>
      <w:r>
        <w:rPr>
          <w:rFonts w:hint="eastAsia"/>
        </w:rPr>
        <w:tab/>
        <w:t>请说明在批准《公约》任择议定书和接受对《公约》第20⑴条的修正案方面取得的进展。</w:t>
      </w:r>
    </w:p>
    <w:p w:rsidR="003B3EE5" w:rsidRPr="00857092" w:rsidRDefault="00857092" w:rsidP="00857092">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3B3EE5" w:rsidRPr="00857092" w:rsidSect="00E21B3D">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5T10:35:00Z" w:initials="Start">
    <w:p w:rsidR="00A80598" w:rsidRDefault="00A8059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NO&gt;&gt;N1353239C&lt;&lt;ODS JOB NO&gt;&gt;</w:t>
      </w:r>
    </w:p>
    <w:p w:rsidR="00A80598" w:rsidRDefault="00A80598">
      <w:pPr>
        <w:pStyle w:val="CommentText"/>
      </w:pPr>
      <w:r>
        <w:t>&lt;&lt;ODS DOC SYMBOL1&gt;&gt;CEDAW/C/CAF/Q/1-5&lt;&lt;ODS DOC SYMBOL1&gt;&gt;</w:t>
      </w:r>
    </w:p>
    <w:p w:rsidR="00A80598" w:rsidRDefault="00A8059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D93" w:rsidRDefault="00687D93">
      <w:r>
        <w:separator/>
      </w:r>
    </w:p>
  </w:endnote>
  <w:endnote w:type="continuationSeparator" w:id="0">
    <w:p w:rsidR="00687D93" w:rsidRDefault="00687D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0598" w:rsidTr="00E21B3D">
      <w:tblPrEx>
        <w:tblCellMar>
          <w:top w:w="0" w:type="dxa"/>
          <w:bottom w:w="0" w:type="dxa"/>
        </w:tblCellMar>
      </w:tblPrEx>
      <w:tc>
        <w:tcPr>
          <w:tcW w:w="5033" w:type="dxa"/>
          <w:shd w:val="clear" w:color="auto" w:fill="auto"/>
        </w:tcPr>
        <w:p w:rsidR="00A80598" w:rsidRPr="00E21B3D" w:rsidRDefault="00A80598" w:rsidP="00E21B3D">
          <w:pPr>
            <w:pStyle w:val="Footer"/>
            <w:jc w:val="right"/>
            <w:rPr>
              <w:b w:val="0"/>
              <w:w w:val="103"/>
              <w:sz w:val="14"/>
            </w:rPr>
          </w:pPr>
          <w:fldSimple w:instr=" DOCVARIABLE &quot;FooterJN&quot; \* MERGEFORMAT ">
            <w:r>
              <w:rPr>
                <w:b w:val="0"/>
                <w:w w:val="103"/>
                <w:sz w:val="14"/>
              </w:rPr>
              <w:t>13-53239 (C)</w:t>
            </w:r>
          </w:fldSimple>
        </w:p>
      </w:tc>
      <w:tc>
        <w:tcPr>
          <w:tcW w:w="5033" w:type="dxa"/>
          <w:shd w:val="clear" w:color="auto" w:fill="auto"/>
        </w:tcPr>
        <w:p w:rsidR="00A80598" w:rsidRPr="00E21B3D" w:rsidRDefault="00A80598" w:rsidP="00E21B3D">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3</w:t>
            </w:r>
          </w:fldSimple>
        </w:p>
      </w:tc>
    </w:tr>
  </w:tbl>
  <w:p w:rsidR="00A80598" w:rsidRPr="00E21B3D" w:rsidRDefault="00A80598" w:rsidP="00E21B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0598" w:rsidTr="00E21B3D">
      <w:tblPrEx>
        <w:tblCellMar>
          <w:top w:w="0" w:type="dxa"/>
          <w:bottom w:w="0" w:type="dxa"/>
        </w:tblCellMar>
      </w:tblPrEx>
      <w:tc>
        <w:tcPr>
          <w:tcW w:w="5033" w:type="dxa"/>
          <w:shd w:val="clear" w:color="auto" w:fill="auto"/>
        </w:tcPr>
        <w:p w:rsidR="00A80598" w:rsidRPr="00E21B3D" w:rsidRDefault="00A80598" w:rsidP="00E21B3D">
          <w:pPr>
            <w:pStyle w:val="Footer"/>
            <w:jc w:val="right"/>
          </w:pPr>
          <w:fldSimple w:instr=" PAGE  \* Arabic  \* MERGEFORMAT ">
            <w:r>
              <w:t>3</w:t>
            </w:r>
          </w:fldSimple>
          <w:r>
            <w:t>/</w:t>
          </w:r>
          <w:fldSimple w:instr=" NUMPAGES  \* Arabic  \* MERGEFORMAT ">
            <w:r>
              <w:t>3</w:t>
            </w:r>
          </w:fldSimple>
        </w:p>
      </w:tc>
      <w:tc>
        <w:tcPr>
          <w:tcW w:w="5033" w:type="dxa"/>
          <w:shd w:val="clear" w:color="auto" w:fill="auto"/>
        </w:tcPr>
        <w:p w:rsidR="00A80598" w:rsidRPr="00E21B3D" w:rsidRDefault="00A80598" w:rsidP="00E21B3D">
          <w:pPr>
            <w:pStyle w:val="Footer"/>
            <w:jc w:val="left"/>
            <w:rPr>
              <w:b w:val="0"/>
              <w:w w:val="103"/>
              <w:sz w:val="14"/>
            </w:rPr>
          </w:pPr>
          <w:fldSimple w:instr=" DOCVARIABLE &quot;FooterJN&quot; \* MERGEFORMAT ">
            <w:r>
              <w:rPr>
                <w:b w:val="0"/>
                <w:w w:val="103"/>
                <w:sz w:val="14"/>
              </w:rPr>
              <w:t>13-53239 (C)</w:t>
            </w:r>
          </w:fldSimple>
        </w:p>
      </w:tc>
    </w:tr>
  </w:tbl>
  <w:p w:rsidR="00A80598" w:rsidRPr="00E21B3D" w:rsidRDefault="00A80598" w:rsidP="00E21B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80598" w:rsidTr="00E21B3D">
      <w:tblPrEx>
        <w:tblCellMar>
          <w:top w:w="0" w:type="dxa"/>
          <w:bottom w:w="0" w:type="dxa"/>
        </w:tblCellMar>
      </w:tblPrEx>
      <w:tc>
        <w:tcPr>
          <w:tcW w:w="5033" w:type="dxa"/>
        </w:tcPr>
        <w:p w:rsidR="00A80598" w:rsidRDefault="00A80598" w:rsidP="00E21B3D">
          <w:pPr>
            <w:pStyle w:val="Footer"/>
            <w:rPr>
              <w:b w:val="0"/>
              <w:sz w:val="21"/>
            </w:rPr>
          </w:pPr>
          <w:fldSimple w:instr=" DOCVARIABLE &quot;jobn&quot; \* MERGEFORMAT ">
            <w:r>
              <w:rPr>
                <w:b w:val="0"/>
                <w:sz w:val="21"/>
              </w:rPr>
              <w:t>13-53239 (C)</w:t>
            </w:r>
          </w:fldSimple>
          <w:r>
            <w:rPr>
              <w:b w:val="0"/>
              <w:sz w:val="21"/>
            </w:rPr>
            <w:t xml:space="preserve">    041113    121113</w:t>
          </w:r>
        </w:p>
        <w:p w:rsidR="00A80598" w:rsidRPr="00E21B3D" w:rsidRDefault="00A80598" w:rsidP="00E21B3D">
          <w:pPr>
            <w:spacing w:before="80" w:line="210" w:lineRule="exact"/>
            <w:rPr>
              <w:rFonts w:ascii="Barcode 3 of 9 by request" w:hAnsi="Barcode 3 of 9 by request"/>
              <w:sz w:val="24"/>
            </w:rPr>
          </w:pPr>
          <w:r>
            <w:rPr>
              <w:rFonts w:ascii="Barcode 3 of 9 by request" w:hAnsi="Barcode 3 of 9 by request" w:hint="eastAsia"/>
              <w:sz w:val="24"/>
            </w:rPr>
            <w:t>*1353239C*</w:t>
          </w:r>
        </w:p>
      </w:tc>
      <w:tc>
        <w:tcPr>
          <w:tcW w:w="3686" w:type="dxa"/>
        </w:tcPr>
        <w:p w:rsidR="00A80598" w:rsidRDefault="00A80598" w:rsidP="00E21B3D">
          <w:pPr>
            <w:pStyle w:val="Footer"/>
            <w:jc w:val="right"/>
            <w:rPr>
              <w:b w:val="0"/>
              <w:sz w:val="21"/>
            </w:rPr>
          </w:pPr>
          <w:r w:rsidRPr="00E21B3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80598" w:rsidRPr="00E21B3D" w:rsidRDefault="00A80598" w:rsidP="00E21B3D">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D93" w:rsidRPr="00587E43" w:rsidRDefault="00687D93" w:rsidP="00587E43">
      <w:pPr>
        <w:pStyle w:val="Footer"/>
        <w:spacing w:after="80"/>
        <w:ind w:left="792"/>
        <w:rPr>
          <w:sz w:val="16"/>
        </w:rPr>
      </w:pPr>
      <w:r w:rsidRPr="00587E43">
        <w:rPr>
          <w:sz w:val="16"/>
        </w:rPr>
        <w:t>__________________</w:t>
      </w:r>
    </w:p>
  </w:footnote>
  <w:footnote w:type="continuationSeparator" w:id="0">
    <w:p w:rsidR="00687D93" w:rsidRPr="00587E43" w:rsidRDefault="00687D93" w:rsidP="00587E43">
      <w:pPr>
        <w:pStyle w:val="Footer"/>
        <w:spacing w:after="80"/>
        <w:ind w:left="792"/>
        <w:rPr>
          <w:sz w:val="16"/>
        </w:rPr>
      </w:pPr>
      <w:r w:rsidRPr="00587E43">
        <w:rPr>
          <w:sz w:val="16"/>
        </w:rPr>
        <w:t>__________________</w:t>
      </w:r>
    </w:p>
  </w:footnote>
  <w:footnote w:id="1">
    <w:p w:rsidR="00A80598" w:rsidRPr="00587E43" w:rsidRDefault="00A80598" w:rsidP="00587E4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87E43">
        <w:rPr>
          <w:rFonts w:hint="eastAsia"/>
          <w:spacing w:val="-4"/>
        </w:rPr>
        <w:t>除非另有说明，段号均为缔约国初次和第二至第五次合并定期报告</w:t>
      </w:r>
      <w:r w:rsidRPr="00587E43">
        <w:rPr>
          <w:spacing w:val="-4"/>
        </w:rPr>
        <w:t>(</w:t>
      </w:r>
      <w:r w:rsidRPr="00587E43">
        <w:rPr>
          <w:rFonts w:hint="eastAsia"/>
          <w:spacing w:val="-4"/>
        </w:rPr>
        <w:t>CEDAW/C/CAF/1-5</w:t>
      </w:r>
      <w:r w:rsidRPr="00587E43">
        <w:rPr>
          <w:spacing w:val="-4"/>
        </w:rPr>
        <w:t>)</w:t>
      </w:r>
      <w:r w:rsidRPr="00587E43">
        <w:rPr>
          <w:rFonts w:hint="eastAsia"/>
          <w:spacing w:val="-4"/>
        </w:rPr>
        <w:t>中的段号</w:t>
      </w:r>
      <w:r w:rsidRPr="00587E43">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80598" w:rsidTr="00E21B3D">
      <w:tblPrEx>
        <w:tblCellMar>
          <w:top w:w="0" w:type="dxa"/>
          <w:bottom w:w="0" w:type="dxa"/>
        </w:tblCellMar>
      </w:tblPrEx>
      <w:trPr>
        <w:trHeight w:hRule="exact" w:val="864"/>
      </w:trPr>
      <w:tc>
        <w:tcPr>
          <w:tcW w:w="4838" w:type="dxa"/>
          <w:shd w:val="clear" w:color="auto" w:fill="auto"/>
          <w:vAlign w:val="bottom"/>
        </w:tcPr>
        <w:p w:rsidR="00A80598" w:rsidRPr="00E21B3D" w:rsidRDefault="00A80598" w:rsidP="00E21B3D">
          <w:pPr>
            <w:pStyle w:val="Header"/>
            <w:spacing w:after="80"/>
            <w:jc w:val="left"/>
            <w:rPr>
              <w:b/>
              <w:sz w:val="17"/>
            </w:rPr>
          </w:pPr>
          <w:fldSimple w:instr=" DOCVARIABLE &quot;sss1&quot; \* MERGEFORMAT ">
            <w:r>
              <w:rPr>
                <w:b/>
                <w:sz w:val="17"/>
              </w:rPr>
              <w:t xml:space="preserve">CEDAW/C/CAF/Q/1-5 </w:t>
            </w:r>
          </w:fldSimple>
        </w:p>
      </w:tc>
      <w:tc>
        <w:tcPr>
          <w:tcW w:w="5033" w:type="dxa"/>
          <w:shd w:val="clear" w:color="auto" w:fill="auto"/>
          <w:vAlign w:val="bottom"/>
        </w:tcPr>
        <w:p w:rsidR="00A80598" w:rsidRDefault="00A80598" w:rsidP="00E21B3D">
          <w:pPr>
            <w:pStyle w:val="Header"/>
          </w:pPr>
        </w:p>
      </w:tc>
    </w:tr>
  </w:tbl>
  <w:p w:rsidR="00A80598" w:rsidRPr="00E21B3D" w:rsidRDefault="00A80598" w:rsidP="00E21B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80598" w:rsidTr="00E21B3D">
      <w:tblPrEx>
        <w:tblCellMar>
          <w:top w:w="0" w:type="dxa"/>
          <w:bottom w:w="0" w:type="dxa"/>
        </w:tblCellMar>
      </w:tblPrEx>
      <w:trPr>
        <w:trHeight w:hRule="exact" w:val="864"/>
      </w:trPr>
      <w:tc>
        <w:tcPr>
          <w:tcW w:w="4838" w:type="dxa"/>
          <w:shd w:val="clear" w:color="auto" w:fill="auto"/>
          <w:vAlign w:val="bottom"/>
        </w:tcPr>
        <w:p w:rsidR="00A80598" w:rsidRDefault="00A80598" w:rsidP="00E21B3D">
          <w:pPr>
            <w:pStyle w:val="Header"/>
          </w:pPr>
        </w:p>
      </w:tc>
      <w:tc>
        <w:tcPr>
          <w:tcW w:w="5033" w:type="dxa"/>
          <w:shd w:val="clear" w:color="auto" w:fill="auto"/>
          <w:vAlign w:val="bottom"/>
        </w:tcPr>
        <w:p w:rsidR="00A80598" w:rsidRPr="00E21B3D" w:rsidRDefault="00A80598" w:rsidP="00E21B3D">
          <w:pPr>
            <w:pStyle w:val="Header"/>
            <w:spacing w:after="80"/>
            <w:jc w:val="right"/>
            <w:rPr>
              <w:b/>
              <w:sz w:val="17"/>
            </w:rPr>
          </w:pPr>
          <w:fldSimple w:instr=" DOCVARIABLE &quot;sss1&quot; \* MERGEFORMAT ">
            <w:r>
              <w:rPr>
                <w:b/>
                <w:sz w:val="17"/>
              </w:rPr>
              <w:t xml:space="preserve">CEDAW/C/CAF/Q/1-5 </w:t>
            </w:r>
          </w:fldSimple>
        </w:p>
      </w:tc>
    </w:tr>
  </w:tbl>
  <w:p w:rsidR="00A80598" w:rsidRPr="00E21B3D" w:rsidRDefault="00A80598" w:rsidP="00E21B3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80598" w:rsidTr="00E21B3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80598" w:rsidRDefault="00A80598" w:rsidP="00E21B3D">
          <w:pPr>
            <w:pStyle w:val="Header"/>
            <w:spacing w:after="120"/>
          </w:pPr>
        </w:p>
      </w:tc>
      <w:tc>
        <w:tcPr>
          <w:tcW w:w="1872" w:type="dxa"/>
          <w:tcBorders>
            <w:bottom w:val="single" w:sz="4" w:space="0" w:color="auto"/>
          </w:tcBorders>
          <w:shd w:val="clear" w:color="auto" w:fill="auto"/>
          <w:vAlign w:val="bottom"/>
        </w:tcPr>
        <w:p w:rsidR="00A80598" w:rsidRPr="00E21B3D" w:rsidRDefault="00A80598" w:rsidP="00E21B3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80598" w:rsidRDefault="00A80598" w:rsidP="00E21B3D">
          <w:pPr>
            <w:pStyle w:val="Header"/>
            <w:spacing w:after="120"/>
          </w:pPr>
        </w:p>
      </w:tc>
      <w:tc>
        <w:tcPr>
          <w:tcW w:w="6523" w:type="dxa"/>
          <w:gridSpan w:val="3"/>
          <w:tcBorders>
            <w:bottom w:val="single" w:sz="4" w:space="0" w:color="auto"/>
          </w:tcBorders>
          <w:shd w:val="clear" w:color="auto" w:fill="auto"/>
          <w:vAlign w:val="bottom"/>
        </w:tcPr>
        <w:p w:rsidR="00A80598" w:rsidRPr="00E21B3D" w:rsidRDefault="00A80598" w:rsidP="00E21B3D">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/C/CAF/Q/1-5 </w:t>
          </w:r>
        </w:p>
      </w:tc>
    </w:tr>
    <w:tr w:rsidR="00A80598" w:rsidRPr="00E21B3D" w:rsidTr="00E21B3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80598" w:rsidRDefault="00A80598" w:rsidP="00E21B3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80598" w:rsidRPr="00E21B3D" w:rsidRDefault="00A80598" w:rsidP="00E21B3D">
          <w:pPr>
            <w:pStyle w:val="Header"/>
            <w:spacing w:before="109"/>
            <w:ind w:left="-72"/>
          </w:pPr>
        </w:p>
      </w:tc>
      <w:tc>
        <w:tcPr>
          <w:tcW w:w="5227" w:type="dxa"/>
          <w:gridSpan w:val="3"/>
          <w:tcBorders>
            <w:top w:val="single" w:sz="4" w:space="0" w:color="auto"/>
            <w:bottom w:val="single" w:sz="12" w:space="0" w:color="auto"/>
          </w:tcBorders>
          <w:shd w:val="clear" w:color="auto" w:fill="auto"/>
        </w:tcPr>
        <w:p w:rsidR="00A80598" w:rsidRPr="00E21B3D" w:rsidRDefault="00A80598" w:rsidP="00E21B3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80598" w:rsidRPr="00E21B3D" w:rsidRDefault="00A80598" w:rsidP="00E21B3D">
          <w:pPr>
            <w:pStyle w:val="Header"/>
            <w:spacing w:before="109"/>
          </w:pPr>
        </w:p>
      </w:tc>
      <w:tc>
        <w:tcPr>
          <w:tcW w:w="3180" w:type="dxa"/>
          <w:gridSpan w:val="2"/>
          <w:tcBorders>
            <w:top w:val="single" w:sz="4" w:space="0" w:color="auto"/>
            <w:bottom w:val="single" w:sz="12" w:space="0" w:color="auto"/>
          </w:tcBorders>
          <w:shd w:val="clear" w:color="auto" w:fill="auto"/>
        </w:tcPr>
        <w:p w:rsidR="00A80598" w:rsidRDefault="00A80598" w:rsidP="00E21B3D">
          <w:pPr>
            <w:spacing w:before="240" w:line="240" w:lineRule="exact"/>
            <w:rPr>
              <w:rFonts w:ascii="Times New Roman"/>
            </w:rPr>
          </w:pPr>
          <w:r>
            <w:rPr>
              <w:rFonts w:ascii="Times New Roman"/>
            </w:rPr>
            <w:t>Distr.: General</w:t>
          </w:r>
        </w:p>
        <w:p w:rsidR="00A80598" w:rsidRDefault="00A80598" w:rsidP="00E21B3D">
          <w:pPr>
            <w:spacing w:line="240" w:lineRule="exact"/>
            <w:rPr>
              <w:rFonts w:ascii="Times New Roman"/>
            </w:rPr>
          </w:pPr>
          <w:r>
            <w:rPr>
              <w:rFonts w:ascii="Times New Roman"/>
            </w:rPr>
            <w:t>28 October 2013</w:t>
          </w:r>
        </w:p>
        <w:p w:rsidR="00A80598" w:rsidRDefault="00A80598" w:rsidP="00E21B3D">
          <w:pPr>
            <w:spacing w:line="240" w:lineRule="exact"/>
            <w:rPr>
              <w:rFonts w:ascii="Times New Roman"/>
            </w:rPr>
          </w:pPr>
          <w:r>
            <w:rPr>
              <w:rFonts w:ascii="Times New Roman"/>
            </w:rPr>
            <w:t>Chinese</w:t>
          </w:r>
        </w:p>
        <w:p w:rsidR="00A80598" w:rsidRPr="00E21B3D" w:rsidRDefault="00A80598" w:rsidP="00E21B3D">
          <w:pPr>
            <w:spacing w:line="240" w:lineRule="exact"/>
            <w:rPr>
              <w:rFonts w:ascii="Times New Roman"/>
            </w:rPr>
          </w:pPr>
          <w:r>
            <w:rPr>
              <w:rFonts w:ascii="Times New Roman"/>
            </w:rPr>
            <w:t>Original: English</w:t>
          </w:r>
        </w:p>
      </w:tc>
    </w:tr>
  </w:tbl>
  <w:p w:rsidR="00A80598" w:rsidRPr="00E21B3D" w:rsidRDefault="00A80598" w:rsidP="00E21B3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39*"/>
    <w:docVar w:name="CreationDt" w:val="05/11/2013 09:42:05"/>
    <w:docVar w:name="DocCategory" w:val="Doc"/>
    <w:docVar w:name="DocType" w:val="Final"/>
    <w:docVar w:name="FooterJN" w:val="13-53239 (C)"/>
    <w:docVar w:name="jobn" w:val="13-53239 (C)"/>
    <w:docVar w:name="jobnDT" w:val="13-53239 (C)   051113"/>
    <w:docVar w:name="jobnDTDT" w:val="13-53239 (C)   051113   051113"/>
    <w:docVar w:name="JobNo" w:val="1353239C"/>
    <w:docVar w:name="OandT" w:val="zhang sb"/>
    <w:docVar w:name="sss1" w:val="CEDAW/C/CAF/Q/1-5 "/>
    <w:docVar w:name="sss2" w:val="-"/>
    <w:docVar w:name="Symbol1" w:val="CEDAW/C/CAF/Q/1-5 "/>
    <w:docVar w:name="Symbol2" w:val="-"/>
  </w:docVars>
  <w:rsids>
    <w:rsidRoot w:val="00671D42"/>
    <w:rsid w:val="0000347C"/>
    <w:rsid w:val="000125BC"/>
    <w:rsid w:val="0001645E"/>
    <w:rsid w:val="00021A2B"/>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46A8"/>
    <w:rsid w:val="0017506F"/>
    <w:rsid w:val="001B2814"/>
    <w:rsid w:val="001B4F95"/>
    <w:rsid w:val="001C3329"/>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0513"/>
    <w:rsid w:val="002E66D5"/>
    <w:rsid w:val="002F41E2"/>
    <w:rsid w:val="003063F6"/>
    <w:rsid w:val="00320C99"/>
    <w:rsid w:val="003274A9"/>
    <w:rsid w:val="00331221"/>
    <w:rsid w:val="00346223"/>
    <w:rsid w:val="00350636"/>
    <w:rsid w:val="00363610"/>
    <w:rsid w:val="003649EE"/>
    <w:rsid w:val="00371BC6"/>
    <w:rsid w:val="00373A15"/>
    <w:rsid w:val="00376C04"/>
    <w:rsid w:val="00383ACA"/>
    <w:rsid w:val="00384CB1"/>
    <w:rsid w:val="00394A02"/>
    <w:rsid w:val="003966E8"/>
    <w:rsid w:val="003B3EE5"/>
    <w:rsid w:val="003C065F"/>
    <w:rsid w:val="003C6CB5"/>
    <w:rsid w:val="003C7B20"/>
    <w:rsid w:val="003D075F"/>
    <w:rsid w:val="003D1F69"/>
    <w:rsid w:val="003E4565"/>
    <w:rsid w:val="003E748F"/>
    <w:rsid w:val="003E7612"/>
    <w:rsid w:val="00414423"/>
    <w:rsid w:val="00433853"/>
    <w:rsid w:val="00440B0D"/>
    <w:rsid w:val="004411AD"/>
    <w:rsid w:val="0044174E"/>
    <w:rsid w:val="004424EF"/>
    <w:rsid w:val="00453BB0"/>
    <w:rsid w:val="00456715"/>
    <w:rsid w:val="00460162"/>
    <w:rsid w:val="004620A8"/>
    <w:rsid w:val="00465E31"/>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111B"/>
    <w:rsid w:val="005335B9"/>
    <w:rsid w:val="00536CCE"/>
    <w:rsid w:val="005457B6"/>
    <w:rsid w:val="00552CE5"/>
    <w:rsid w:val="005541E4"/>
    <w:rsid w:val="00554F60"/>
    <w:rsid w:val="00562FE7"/>
    <w:rsid w:val="0057094A"/>
    <w:rsid w:val="00570BD4"/>
    <w:rsid w:val="0057450D"/>
    <w:rsid w:val="0058302A"/>
    <w:rsid w:val="00587E43"/>
    <w:rsid w:val="005A175A"/>
    <w:rsid w:val="005A692E"/>
    <w:rsid w:val="005B7338"/>
    <w:rsid w:val="005C02AB"/>
    <w:rsid w:val="005C37C9"/>
    <w:rsid w:val="005C5FC3"/>
    <w:rsid w:val="005D0F04"/>
    <w:rsid w:val="005D2204"/>
    <w:rsid w:val="005F12F0"/>
    <w:rsid w:val="005F1AAD"/>
    <w:rsid w:val="005F3273"/>
    <w:rsid w:val="005F34A3"/>
    <w:rsid w:val="00610CF2"/>
    <w:rsid w:val="006328DE"/>
    <w:rsid w:val="006353DE"/>
    <w:rsid w:val="006479F1"/>
    <w:rsid w:val="00650BEE"/>
    <w:rsid w:val="006520FA"/>
    <w:rsid w:val="0065377D"/>
    <w:rsid w:val="00666F57"/>
    <w:rsid w:val="00671D42"/>
    <w:rsid w:val="006740A7"/>
    <w:rsid w:val="00675776"/>
    <w:rsid w:val="006767D5"/>
    <w:rsid w:val="00687D93"/>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67C0D"/>
    <w:rsid w:val="00776537"/>
    <w:rsid w:val="00783A25"/>
    <w:rsid w:val="007843DB"/>
    <w:rsid w:val="007877F4"/>
    <w:rsid w:val="007B6BAE"/>
    <w:rsid w:val="007C74B9"/>
    <w:rsid w:val="007E1B5E"/>
    <w:rsid w:val="007E6253"/>
    <w:rsid w:val="007F0A0C"/>
    <w:rsid w:val="007F2278"/>
    <w:rsid w:val="00803014"/>
    <w:rsid w:val="00805783"/>
    <w:rsid w:val="00806F57"/>
    <w:rsid w:val="00806F90"/>
    <w:rsid w:val="008246FC"/>
    <w:rsid w:val="00824C19"/>
    <w:rsid w:val="00826250"/>
    <w:rsid w:val="0083056F"/>
    <w:rsid w:val="008378D1"/>
    <w:rsid w:val="00846462"/>
    <w:rsid w:val="00857092"/>
    <w:rsid w:val="00860742"/>
    <w:rsid w:val="0086691F"/>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344E1"/>
    <w:rsid w:val="0096193C"/>
    <w:rsid w:val="009769E1"/>
    <w:rsid w:val="00977E0D"/>
    <w:rsid w:val="00982D5C"/>
    <w:rsid w:val="00986132"/>
    <w:rsid w:val="00986C04"/>
    <w:rsid w:val="009932F9"/>
    <w:rsid w:val="009A11E3"/>
    <w:rsid w:val="009A2F76"/>
    <w:rsid w:val="009B0039"/>
    <w:rsid w:val="009B1250"/>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252DF"/>
    <w:rsid w:val="00A26C97"/>
    <w:rsid w:val="00A27E35"/>
    <w:rsid w:val="00A33D6D"/>
    <w:rsid w:val="00A37345"/>
    <w:rsid w:val="00A40AAE"/>
    <w:rsid w:val="00A40EA9"/>
    <w:rsid w:val="00A4532A"/>
    <w:rsid w:val="00A5206D"/>
    <w:rsid w:val="00A72E47"/>
    <w:rsid w:val="00A778F1"/>
    <w:rsid w:val="00A80598"/>
    <w:rsid w:val="00A90956"/>
    <w:rsid w:val="00A95404"/>
    <w:rsid w:val="00A968C5"/>
    <w:rsid w:val="00AA3C28"/>
    <w:rsid w:val="00AA759D"/>
    <w:rsid w:val="00AB2786"/>
    <w:rsid w:val="00AC550F"/>
    <w:rsid w:val="00AD4308"/>
    <w:rsid w:val="00AF2A33"/>
    <w:rsid w:val="00B008DE"/>
    <w:rsid w:val="00B03EFA"/>
    <w:rsid w:val="00B309DD"/>
    <w:rsid w:val="00B36621"/>
    <w:rsid w:val="00B36D64"/>
    <w:rsid w:val="00B41B48"/>
    <w:rsid w:val="00B55E1D"/>
    <w:rsid w:val="00B56194"/>
    <w:rsid w:val="00B60F41"/>
    <w:rsid w:val="00B61A34"/>
    <w:rsid w:val="00B64E8E"/>
    <w:rsid w:val="00B65E8B"/>
    <w:rsid w:val="00B8025A"/>
    <w:rsid w:val="00B827B1"/>
    <w:rsid w:val="00B90F38"/>
    <w:rsid w:val="00B9116F"/>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B2B1E"/>
    <w:rsid w:val="00CC053E"/>
    <w:rsid w:val="00CC1E2C"/>
    <w:rsid w:val="00CC3E8B"/>
    <w:rsid w:val="00CC4E84"/>
    <w:rsid w:val="00CD5641"/>
    <w:rsid w:val="00CE474E"/>
    <w:rsid w:val="00CE64AC"/>
    <w:rsid w:val="00CE7DFC"/>
    <w:rsid w:val="00CF49BA"/>
    <w:rsid w:val="00CF7718"/>
    <w:rsid w:val="00D177F1"/>
    <w:rsid w:val="00D323B5"/>
    <w:rsid w:val="00D42ACC"/>
    <w:rsid w:val="00D51DC5"/>
    <w:rsid w:val="00D676D7"/>
    <w:rsid w:val="00D71517"/>
    <w:rsid w:val="00D7168D"/>
    <w:rsid w:val="00D82845"/>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1726A"/>
    <w:rsid w:val="00E21B3D"/>
    <w:rsid w:val="00E25442"/>
    <w:rsid w:val="00E25A1F"/>
    <w:rsid w:val="00E35B72"/>
    <w:rsid w:val="00E37EEB"/>
    <w:rsid w:val="00E5153D"/>
    <w:rsid w:val="00E710FB"/>
    <w:rsid w:val="00E806D9"/>
    <w:rsid w:val="00E82CA2"/>
    <w:rsid w:val="00E94E5A"/>
    <w:rsid w:val="00E95594"/>
    <w:rsid w:val="00EA0D93"/>
    <w:rsid w:val="00EA31C3"/>
    <w:rsid w:val="00EB33AC"/>
    <w:rsid w:val="00EC669D"/>
    <w:rsid w:val="00EC6F21"/>
    <w:rsid w:val="00ED065B"/>
    <w:rsid w:val="00EE0913"/>
    <w:rsid w:val="00F01440"/>
    <w:rsid w:val="00F020E7"/>
    <w:rsid w:val="00F03676"/>
    <w:rsid w:val="00F04C64"/>
    <w:rsid w:val="00F13305"/>
    <w:rsid w:val="00F40463"/>
    <w:rsid w:val="00F50336"/>
    <w:rsid w:val="00F55E5B"/>
    <w:rsid w:val="00F569BC"/>
    <w:rsid w:val="00F62E3F"/>
    <w:rsid w:val="00F67F90"/>
    <w:rsid w:val="00F77B3E"/>
    <w:rsid w:val="00F833CB"/>
    <w:rsid w:val="00F87754"/>
    <w:rsid w:val="00F90A4B"/>
    <w:rsid w:val="00F90C56"/>
    <w:rsid w:val="00FB538E"/>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S/RES/1325(2000)"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A/HRC/24/59"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1</Pages>
  <Words>377</Words>
  <Characters>2150</Characters>
  <Application>Microsoft Office Outlook</Application>
  <DocSecurity>4</DocSecurity>
  <Lines>17</Lines>
  <Paragraphs>5</Paragraphs>
  <ScaleCrop>false</ScaleCrop>
  <Company>United Nations</Company>
  <LinksUpToDate>false</LinksUpToDate>
  <CharactersWithSpaces>2522</CharactersWithSpaces>
  <SharedDoc>false</SharedDoc>
  <HLinks>
    <vt:vector size="12" baseType="variant">
      <vt:variant>
        <vt:i4>1769566</vt:i4>
      </vt:variant>
      <vt:variant>
        <vt:i4>3</vt:i4>
      </vt:variant>
      <vt:variant>
        <vt:i4>0</vt:i4>
      </vt:variant>
      <vt:variant>
        <vt:i4>5</vt:i4>
      </vt:variant>
      <vt:variant>
        <vt:lpwstr>http://undocs.org/ch/S/RES/1325(2000)</vt:lpwstr>
      </vt:variant>
      <vt:variant>
        <vt:lpwstr/>
      </vt:variant>
      <vt:variant>
        <vt:i4>786508</vt:i4>
      </vt:variant>
      <vt:variant>
        <vt:i4>0</vt:i4>
      </vt:variant>
      <vt:variant>
        <vt:i4>0</vt:i4>
      </vt:variant>
      <vt:variant>
        <vt:i4>5</vt:i4>
      </vt:variant>
      <vt:variant>
        <vt:lpwstr>http://undocs.org/ch/A/HRC/24/59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ZAY</cp:lastModifiedBy>
  <cp:revision>32</cp:revision>
  <cp:lastPrinted>2013-11-05T09:42:00Z</cp:lastPrinted>
  <dcterms:created xsi:type="dcterms:W3CDTF">2013-11-05T08:39:00Z</dcterms:created>
  <dcterms:modified xsi:type="dcterms:W3CDTF">2013-11-12T10:35:00Z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1353239</vt:lpwstr>
  </property>
  <property fmtid="{D5CDD505-2E9C-101B-9397-08002B2CF9AE}" pid="3" name="Symbol1">
    <vt:lpwstr>CEDAW/C/CAF/Q/1-5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zhang sb</vt:lpwstr>
  </property>
</Properties>
</file>