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7BA5E" w14:textId="77777777" w:rsidR="00015A8E" w:rsidRPr="009C6B1C" w:rsidRDefault="00015A8E" w:rsidP="00015A8E">
      <w:pPr>
        <w:spacing w:line="60" w:lineRule="exact"/>
        <w:rPr>
          <w:sz w:val="2"/>
        </w:rPr>
        <w:sectPr w:rsidR="00015A8E" w:rsidRPr="009C6B1C" w:rsidSect="009C6B1C">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9C6B1C">
        <w:rPr>
          <w:rStyle w:val="ad"/>
        </w:rPr>
        <w:commentReference w:id="0"/>
      </w:r>
    </w:p>
    <w:tbl>
      <w:tblPr>
        <w:tblW w:w="9850" w:type="dxa"/>
        <w:tblLayout w:type="fixed"/>
        <w:tblCellMar>
          <w:left w:w="0" w:type="dxa"/>
          <w:right w:w="0" w:type="dxa"/>
        </w:tblCellMar>
        <w:tblLook w:val="0000" w:firstRow="0" w:lastRow="0" w:firstColumn="0" w:lastColumn="0" w:noHBand="0" w:noVBand="0"/>
      </w:tblPr>
      <w:tblGrid>
        <w:gridCol w:w="5472"/>
        <w:gridCol w:w="288"/>
        <w:gridCol w:w="4090"/>
      </w:tblGrid>
      <w:tr w:rsidR="00015A8E" w:rsidRPr="009C6B1C" w14:paraId="7A0B1031" w14:textId="77777777" w:rsidTr="00015A8E">
        <w:tc>
          <w:tcPr>
            <w:tcW w:w="5472" w:type="dxa"/>
            <w:shd w:val="clear" w:color="auto" w:fill="auto"/>
          </w:tcPr>
          <w:p w14:paraId="13E319C9" w14:textId="2CEEDFB4" w:rsidR="00015A8E" w:rsidRPr="009C6B1C" w:rsidRDefault="009C6B1C" w:rsidP="009C6B1C">
            <w:pPr>
              <w:pStyle w:val="H1"/>
            </w:pPr>
            <w:r w:rsidRPr="009C6B1C">
              <w:rPr>
                <w:rFonts w:hint="eastAsia"/>
              </w:rPr>
              <w:t>消除对妇女歧视委员会</w:t>
            </w:r>
          </w:p>
        </w:tc>
        <w:tc>
          <w:tcPr>
            <w:tcW w:w="288" w:type="dxa"/>
            <w:shd w:val="clear" w:color="auto" w:fill="auto"/>
          </w:tcPr>
          <w:p w14:paraId="0A60FC54" w14:textId="77777777" w:rsidR="00015A8E" w:rsidRPr="009C6B1C" w:rsidRDefault="00015A8E" w:rsidP="00015A8E">
            <w:pPr>
              <w:pStyle w:val="H23"/>
            </w:pPr>
          </w:p>
        </w:tc>
        <w:tc>
          <w:tcPr>
            <w:tcW w:w="4090" w:type="dxa"/>
            <w:shd w:val="clear" w:color="auto" w:fill="auto"/>
          </w:tcPr>
          <w:p w14:paraId="45BCE0DB" w14:textId="77777777" w:rsidR="00015A8E" w:rsidRPr="009C6B1C" w:rsidRDefault="00015A8E" w:rsidP="00015A8E">
            <w:pPr>
              <w:pStyle w:val="H23"/>
            </w:pPr>
          </w:p>
        </w:tc>
      </w:tr>
    </w:tbl>
    <w:p w14:paraId="2085D43C" w14:textId="241A0B25" w:rsidR="009E70B5" w:rsidRPr="009E70B5" w:rsidRDefault="009E70B5" w:rsidP="009E70B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61312" behindDoc="0" locked="0" layoutInCell="1" allowOverlap="1" wp14:anchorId="70BE7DCE" wp14:editId="6816D79F">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9255C6"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Pr>
          <w:sz w:val="18"/>
        </w:rPr>
        <w:tab/>
        <w:t>*</w:t>
      </w:r>
      <w:r>
        <w:rPr>
          <w:sz w:val="18"/>
        </w:rPr>
        <w:tab/>
      </w:r>
      <w:r w:rsidRPr="009E70B5">
        <w:rPr>
          <w:rFonts w:hint="eastAsia"/>
          <w:sz w:val="18"/>
        </w:rPr>
        <w:t>委员会第八十五届会议</w:t>
      </w:r>
      <w:r w:rsidRPr="009E70B5">
        <w:rPr>
          <w:rFonts w:hint="eastAsia"/>
          <w:sz w:val="18"/>
        </w:rPr>
        <w:t>(2023</w:t>
      </w:r>
      <w:r w:rsidRPr="009E70B5">
        <w:rPr>
          <w:rFonts w:hint="eastAsia"/>
          <w:sz w:val="18"/>
        </w:rPr>
        <w:t>年</w:t>
      </w:r>
      <w:r w:rsidRPr="009E70B5">
        <w:rPr>
          <w:rFonts w:hint="eastAsia"/>
          <w:sz w:val="18"/>
        </w:rPr>
        <w:t>5</w:t>
      </w:r>
      <w:r w:rsidRPr="009E70B5">
        <w:rPr>
          <w:rFonts w:hint="eastAsia"/>
          <w:sz w:val="18"/>
        </w:rPr>
        <w:t>月</w:t>
      </w:r>
      <w:r w:rsidRPr="009E70B5">
        <w:rPr>
          <w:rFonts w:hint="eastAsia"/>
          <w:sz w:val="18"/>
        </w:rPr>
        <w:t>8</w:t>
      </w:r>
      <w:r w:rsidRPr="009E70B5">
        <w:rPr>
          <w:rFonts w:hint="eastAsia"/>
          <w:sz w:val="18"/>
        </w:rPr>
        <w:t>日至</w:t>
      </w:r>
      <w:r w:rsidRPr="009E70B5">
        <w:rPr>
          <w:rFonts w:hint="eastAsia"/>
          <w:sz w:val="18"/>
        </w:rPr>
        <w:t>26</w:t>
      </w:r>
      <w:r w:rsidRPr="009E70B5">
        <w:rPr>
          <w:rFonts w:hint="eastAsia"/>
          <w:sz w:val="18"/>
        </w:rPr>
        <w:t>日</w:t>
      </w:r>
      <w:r w:rsidRPr="009E70B5">
        <w:rPr>
          <w:rFonts w:hint="eastAsia"/>
          <w:sz w:val="18"/>
        </w:rPr>
        <w:t>)</w:t>
      </w:r>
      <w:r w:rsidRPr="009E70B5">
        <w:rPr>
          <w:rFonts w:hint="eastAsia"/>
          <w:sz w:val="18"/>
        </w:rPr>
        <w:t>通过。</w:t>
      </w:r>
    </w:p>
    <w:p w14:paraId="0E947E45" w14:textId="2DC892F6" w:rsidR="009C6B1C" w:rsidRPr="009C6B1C" w:rsidRDefault="009C6B1C" w:rsidP="009C6B1C">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tab/>
      </w:r>
      <w:r>
        <w:tab/>
      </w:r>
      <w:r w:rsidRPr="009C6B1C">
        <w:rPr>
          <w:rFonts w:hint="eastAsia"/>
        </w:rPr>
        <w:t>关于斯洛伐克第七次定期报告的结论性意见</w:t>
      </w:r>
      <w:r w:rsidRPr="009C6B1C">
        <w:rPr>
          <w:rFonts w:hint="eastAsia"/>
        </w:rPr>
        <w:t>*</w:t>
      </w:r>
    </w:p>
    <w:p w14:paraId="71BCD0C4" w14:textId="39F9AA78" w:rsidR="009C6B1C" w:rsidRPr="009C6B1C" w:rsidRDefault="009C6B1C" w:rsidP="009C6B1C">
      <w:pPr>
        <w:pStyle w:val="SingleTxt"/>
      </w:pPr>
      <w:r w:rsidRPr="009C6B1C">
        <w:rPr>
          <w:rFonts w:hint="eastAsia"/>
        </w:rPr>
        <w:t>1.</w:t>
      </w:r>
      <w:r w:rsidRPr="009C6B1C">
        <w:rPr>
          <w:rFonts w:hint="eastAsia"/>
        </w:rPr>
        <w:tab/>
      </w:r>
      <w:r w:rsidRPr="009C6B1C">
        <w:rPr>
          <w:rFonts w:hint="eastAsia"/>
        </w:rPr>
        <w:t>委员会在</w:t>
      </w:r>
      <w:r w:rsidRPr="009C6B1C">
        <w:rPr>
          <w:rFonts w:hint="eastAsia"/>
        </w:rPr>
        <w:t>2023</w:t>
      </w:r>
      <w:r w:rsidRPr="009C6B1C">
        <w:rPr>
          <w:rFonts w:hint="eastAsia"/>
        </w:rPr>
        <w:t>年</w:t>
      </w:r>
      <w:r w:rsidRPr="009C6B1C">
        <w:rPr>
          <w:rFonts w:hint="eastAsia"/>
        </w:rPr>
        <w:t>5</w:t>
      </w:r>
      <w:r w:rsidRPr="009C6B1C">
        <w:rPr>
          <w:rFonts w:hint="eastAsia"/>
        </w:rPr>
        <w:t>月</w:t>
      </w:r>
      <w:r w:rsidRPr="009C6B1C">
        <w:rPr>
          <w:rFonts w:hint="eastAsia"/>
        </w:rPr>
        <w:t>17</w:t>
      </w:r>
      <w:r w:rsidRPr="009C6B1C">
        <w:rPr>
          <w:rFonts w:hint="eastAsia"/>
        </w:rPr>
        <w:t>日举行的第</w:t>
      </w:r>
      <w:r w:rsidRPr="009C6B1C">
        <w:rPr>
          <w:rFonts w:hint="eastAsia"/>
        </w:rPr>
        <w:t>1983</w:t>
      </w:r>
      <w:r w:rsidRPr="009C6B1C">
        <w:rPr>
          <w:rFonts w:hint="eastAsia"/>
        </w:rPr>
        <w:t>次和第</w:t>
      </w:r>
      <w:r w:rsidRPr="009C6B1C">
        <w:rPr>
          <w:rFonts w:hint="eastAsia"/>
        </w:rPr>
        <w:t>1984</w:t>
      </w:r>
      <w:r w:rsidRPr="009C6B1C">
        <w:rPr>
          <w:rFonts w:hint="eastAsia"/>
        </w:rPr>
        <w:t>次会议</w:t>
      </w:r>
      <w:r w:rsidRPr="009C6B1C">
        <w:rPr>
          <w:rFonts w:hint="eastAsia"/>
        </w:rPr>
        <w:t>(</w:t>
      </w:r>
      <w:r w:rsidRPr="009C6B1C">
        <w:rPr>
          <w:rFonts w:hint="eastAsia"/>
        </w:rPr>
        <w:t>见</w:t>
      </w:r>
      <w:hyperlink r:id="rId18" w:history="1">
        <w:r w:rsidRPr="009C6B1C">
          <w:rPr>
            <w:rStyle w:val="af4"/>
            <w:rFonts w:hint="eastAsia"/>
          </w:rPr>
          <w:t>CEDAW/C/SR.1983</w:t>
        </w:r>
      </w:hyperlink>
      <w:r w:rsidRPr="009C6B1C">
        <w:rPr>
          <w:rFonts w:hint="eastAsia"/>
        </w:rPr>
        <w:t>和</w:t>
      </w:r>
      <w:hyperlink r:id="rId19" w:history="1">
        <w:r w:rsidRPr="009C6B1C">
          <w:rPr>
            <w:rStyle w:val="af4"/>
            <w:rFonts w:hint="eastAsia"/>
          </w:rPr>
          <w:t>CEDAW/C/SR.1984</w:t>
        </w:r>
      </w:hyperlink>
      <w:r w:rsidRPr="009C6B1C">
        <w:rPr>
          <w:rFonts w:hint="eastAsia"/>
        </w:rPr>
        <w:t>)</w:t>
      </w:r>
      <w:r w:rsidRPr="009C6B1C">
        <w:rPr>
          <w:rFonts w:hint="eastAsia"/>
        </w:rPr>
        <w:t>上审议了斯洛伐克的第七次定期报告</w:t>
      </w:r>
      <w:r w:rsidRPr="009C6B1C">
        <w:rPr>
          <w:rFonts w:hint="eastAsia"/>
        </w:rPr>
        <w:t>(</w:t>
      </w:r>
      <w:hyperlink r:id="rId20" w:history="1">
        <w:r w:rsidRPr="009C6B1C">
          <w:rPr>
            <w:rStyle w:val="af4"/>
            <w:rFonts w:hint="eastAsia"/>
          </w:rPr>
          <w:t>CEDAW/C/SVK/7</w:t>
        </w:r>
      </w:hyperlink>
      <w:r w:rsidRPr="009C6B1C">
        <w:rPr>
          <w:rFonts w:hint="eastAsia"/>
        </w:rPr>
        <w:t>)</w:t>
      </w:r>
      <w:r w:rsidRPr="009C6B1C">
        <w:rPr>
          <w:rFonts w:hint="eastAsia"/>
        </w:rPr>
        <w:t>。</w:t>
      </w:r>
    </w:p>
    <w:p w14:paraId="73A1D5C7" w14:textId="77777777" w:rsidR="009C6B1C" w:rsidRPr="009C6B1C" w:rsidRDefault="009C6B1C" w:rsidP="009C6B1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C6B1C">
        <w:rPr>
          <w:rFonts w:hint="eastAsia"/>
        </w:rPr>
        <w:tab/>
        <w:t>A.</w:t>
      </w:r>
      <w:r w:rsidRPr="009C6B1C">
        <w:rPr>
          <w:rFonts w:hint="eastAsia"/>
        </w:rPr>
        <w:tab/>
      </w:r>
      <w:r w:rsidRPr="009C6B1C">
        <w:rPr>
          <w:rFonts w:hint="eastAsia"/>
        </w:rPr>
        <w:t>导言</w:t>
      </w:r>
    </w:p>
    <w:p w14:paraId="229326C2" w14:textId="7C936F07" w:rsidR="009C6B1C" w:rsidRPr="009C6B1C" w:rsidRDefault="009C6B1C" w:rsidP="009C6B1C">
      <w:pPr>
        <w:pStyle w:val="SingleTxt"/>
      </w:pPr>
      <w:r w:rsidRPr="009C6B1C">
        <w:rPr>
          <w:rFonts w:hint="eastAsia"/>
        </w:rPr>
        <w:t>2.</w:t>
      </w:r>
      <w:r w:rsidRPr="009C6B1C">
        <w:rPr>
          <w:rFonts w:hint="eastAsia"/>
        </w:rPr>
        <w:tab/>
      </w:r>
      <w:r w:rsidRPr="009C6B1C">
        <w:rPr>
          <w:rFonts w:hint="eastAsia"/>
        </w:rPr>
        <w:t>委员会感谢缔约国根据报告前问题清单</w:t>
      </w:r>
      <w:r w:rsidRPr="009C6B1C">
        <w:rPr>
          <w:rFonts w:hint="eastAsia"/>
        </w:rPr>
        <w:t>(</w:t>
      </w:r>
      <w:hyperlink r:id="rId21" w:history="1">
        <w:r w:rsidRPr="009C6B1C">
          <w:rPr>
            <w:rStyle w:val="af4"/>
            <w:rFonts w:hint="eastAsia"/>
          </w:rPr>
          <w:t>CEDAW/C/SVK/QPR/7</w:t>
        </w:r>
      </w:hyperlink>
      <w:r w:rsidRPr="009C6B1C">
        <w:rPr>
          <w:rFonts w:hint="eastAsia"/>
        </w:rPr>
        <w:t>)</w:t>
      </w:r>
      <w:r w:rsidRPr="009C6B1C">
        <w:rPr>
          <w:rFonts w:hint="eastAsia"/>
        </w:rPr>
        <w:t>提交第七次定期报告。委员会还感谢缔约国就委员会先前的结论性意见</w:t>
      </w:r>
      <w:r w:rsidRPr="009C6B1C">
        <w:rPr>
          <w:rFonts w:hint="eastAsia"/>
        </w:rPr>
        <w:t>(</w:t>
      </w:r>
      <w:hyperlink r:id="rId22" w:history="1">
        <w:r w:rsidRPr="009C6B1C">
          <w:rPr>
            <w:rStyle w:val="af4"/>
            <w:rFonts w:hint="eastAsia"/>
          </w:rPr>
          <w:t>CEDAW/C/SVK/CO/5-6/Add.1</w:t>
        </w:r>
      </w:hyperlink>
      <w:r w:rsidRPr="009C6B1C">
        <w:rPr>
          <w:rFonts w:hint="eastAsia"/>
        </w:rPr>
        <w:t>)</w:t>
      </w:r>
      <w:r w:rsidRPr="009C6B1C">
        <w:rPr>
          <w:rFonts w:hint="eastAsia"/>
        </w:rPr>
        <w:t>提交后续报告。委员会欢迎斯洛伐克代表团在对话期间所作的口头介绍及其对委员会口头提问作出的进一步说明。</w:t>
      </w:r>
    </w:p>
    <w:p w14:paraId="0242B6DF" w14:textId="29002BE7" w:rsidR="009C6B1C" w:rsidRPr="009C6B1C" w:rsidRDefault="009C6B1C" w:rsidP="009C6B1C">
      <w:pPr>
        <w:pStyle w:val="SingleTxt"/>
      </w:pPr>
      <w:r w:rsidRPr="009C6B1C">
        <w:rPr>
          <w:rFonts w:hint="eastAsia"/>
        </w:rPr>
        <w:t>3.</w:t>
      </w:r>
      <w:r w:rsidRPr="009C6B1C">
        <w:rPr>
          <w:rFonts w:hint="eastAsia"/>
        </w:rPr>
        <w:tab/>
      </w:r>
      <w:r w:rsidRPr="009C6B1C">
        <w:rPr>
          <w:rFonts w:hint="eastAsia"/>
        </w:rPr>
        <w:t>委员会赞扬缔约国派出由斯洛伐克常驻联合国日内瓦办事处和其他国际组织代表杜尚</w:t>
      </w:r>
      <w:r w:rsidR="009E70B5">
        <w:rPr>
          <w:rFonts w:hint="eastAsia"/>
        </w:rPr>
        <w:t>·</w:t>
      </w:r>
      <w:r w:rsidRPr="009C6B1C">
        <w:rPr>
          <w:rFonts w:hint="eastAsia"/>
        </w:rPr>
        <w:t>毛图洛伊大使率领的高级别代表团。代表团成员还包括来自劳动、社会事务和家庭部、卫生部、司法部、教育、科学、研究和体育部、外交和欧洲事务部、斯洛伐克共和国政府罗姆社区全权代表办公室和斯洛伐克常驻联合国日内瓦办事处和其他国际组织代表团的代表。</w:t>
      </w:r>
    </w:p>
    <w:p w14:paraId="546E4D0C" w14:textId="77777777" w:rsidR="009C6B1C" w:rsidRPr="009C6B1C" w:rsidRDefault="009C6B1C" w:rsidP="009C6B1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C6B1C">
        <w:rPr>
          <w:rFonts w:hint="eastAsia"/>
        </w:rPr>
        <w:tab/>
        <w:t>B.</w:t>
      </w:r>
      <w:r w:rsidRPr="009C6B1C">
        <w:rPr>
          <w:rFonts w:hint="eastAsia"/>
        </w:rPr>
        <w:tab/>
      </w:r>
      <w:r w:rsidRPr="009C6B1C">
        <w:rPr>
          <w:rFonts w:hint="eastAsia"/>
        </w:rPr>
        <w:t>积极方面</w:t>
      </w:r>
    </w:p>
    <w:p w14:paraId="268E9C81" w14:textId="30E65F8D" w:rsidR="009C6B1C" w:rsidRPr="009C6B1C" w:rsidRDefault="009C6B1C" w:rsidP="009C6B1C">
      <w:pPr>
        <w:pStyle w:val="SingleTxt"/>
      </w:pPr>
      <w:r w:rsidRPr="009C6B1C">
        <w:rPr>
          <w:rFonts w:hint="eastAsia"/>
        </w:rPr>
        <w:t>4.</w:t>
      </w:r>
      <w:r w:rsidRPr="009C6B1C">
        <w:rPr>
          <w:rFonts w:hint="eastAsia"/>
        </w:rPr>
        <w:tab/>
      </w:r>
      <w:r w:rsidRPr="009C6B1C">
        <w:rPr>
          <w:rFonts w:hint="eastAsia"/>
        </w:rPr>
        <w:t>委员会欢迎缔约国自</w:t>
      </w:r>
      <w:r w:rsidRPr="009C6B1C">
        <w:rPr>
          <w:rFonts w:hint="eastAsia"/>
        </w:rPr>
        <w:t>2015</w:t>
      </w:r>
      <w:r w:rsidRPr="009C6B1C">
        <w:rPr>
          <w:rFonts w:hint="eastAsia"/>
        </w:rPr>
        <w:t>年其第五次和第六次合并定期报告</w:t>
      </w:r>
      <w:r w:rsidRPr="009C6B1C">
        <w:rPr>
          <w:rFonts w:hint="eastAsia"/>
        </w:rPr>
        <w:t>(</w:t>
      </w:r>
      <w:hyperlink r:id="rId23" w:history="1">
        <w:r w:rsidRPr="009C6B1C">
          <w:rPr>
            <w:rStyle w:val="af4"/>
            <w:rFonts w:hint="eastAsia"/>
          </w:rPr>
          <w:t>CEDAW/C/SVK/5-6</w:t>
        </w:r>
      </w:hyperlink>
      <w:r w:rsidRPr="009C6B1C">
        <w:rPr>
          <w:rFonts w:hint="eastAsia"/>
        </w:rPr>
        <w:t>))</w:t>
      </w:r>
      <w:r w:rsidRPr="009C6B1C">
        <w:rPr>
          <w:rFonts w:hint="eastAsia"/>
        </w:rPr>
        <w:t>接受审议以来在开展立法改革方面取得的进展，特别是通过了下列法律：</w:t>
      </w:r>
    </w:p>
    <w:p w14:paraId="4816D4DC" w14:textId="77777777" w:rsidR="009C6B1C" w:rsidRPr="009C6B1C" w:rsidRDefault="009C6B1C" w:rsidP="009C6B1C">
      <w:pPr>
        <w:pStyle w:val="SingleTxt"/>
      </w:pPr>
      <w:r w:rsidRPr="009C6B1C">
        <w:rPr>
          <w:rFonts w:hint="eastAsia"/>
        </w:rPr>
        <w:tab/>
        <w:t>(a)</w:t>
      </w:r>
      <w:r w:rsidRPr="009C6B1C">
        <w:rPr>
          <w:rFonts w:hint="eastAsia"/>
        </w:rPr>
        <w:tab/>
        <w:t>2021</w:t>
      </w:r>
      <w:r w:rsidRPr="009C6B1C">
        <w:rPr>
          <w:rFonts w:hint="eastAsia"/>
        </w:rPr>
        <w:t>年生效的《警察部队法》修正案，加强了家庭暴力情况下的紧急禁止令；</w:t>
      </w:r>
    </w:p>
    <w:p w14:paraId="2EF0C727" w14:textId="03056960" w:rsidR="009C6B1C" w:rsidRPr="009C6B1C" w:rsidRDefault="009C6B1C" w:rsidP="009C6B1C">
      <w:pPr>
        <w:pStyle w:val="SingleTxt"/>
      </w:pPr>
      <w:r w:rsidRPr="009C6B1C">
        <w:rPr>
          <w:rFonts w:hint="eastAsia"/>
        </w:rPr>
        <w:tab/>
        <w:t>(b)</w:t>
      </w:r>
      <w:r w:rsidRPr="009C6B1C">
        <w:rPr>
          <w:rFonts w:hint="eastAsia"/>
        </w:rPr>
        <w:tab/>
        <w:t>2019</w:t>
      </w:r>
      <w:r w:rsidRPr="009C6B1C">
        <w:rPr>
          <w:rFonts w:hint="eastAsia"/>
        </w:rPr>
        <w:t>年生效的《第</w:t>
      </w:r>
      <w:r w:rsidRPr="009C6B1C">
        <w:rPr>
          <w:rFonts w:hint="eastAsia"/>
        </w:rPr>
        <w:t>376/2018</w:t>
      </w:r>
      <w:r w:rsidR="006A76AC" w:rsidRPr="006A76AC">
        <w:t xml:space="preserve"> </w:t>
      </w:r>
      <w:r w:rsidR="006A76AC">
        <w:t>Coll.</w:t>
      </w:r>
      <w:r w:rsidRPr="009C6B1C">
        <w:rPr>
          <w:rFonts w:hint="eastAsia"/>
        </w:rPr>
        <w:t>号劳动法》修正案，禁止薪</w:t>
      </w:r>
      <w:r w:rsidRPr="009C6B1C">
        <w:rPr>
          <w:rFonts w:hint="eastAsia"/>
        </w:rPr>
        <w:lastRenderedPageBreak/>
        <w:t>酬保密条款，并在工作场所不平等待遇的情况下改善了诉诸司法的机会；</w:t>
      </w:r>
    </w:p>
    <w:p w14:paraId="6614E4BA" w14:textId="289E220C" w:rsidR="009C6B1C" w:rsidRPr="009C6B1C" w:rsidRDefault="009C6B1C" w:rsidP="009C6B1C">
      <w:pPr>
        <w:pStyle w:val="SingleTxt"/>
      </w:pPr>
      <w:r w:rsidRPr="009C6B1C">
        <w:rPr>
          <w:rFonts w:hint="eastAsia"/>
        </w:rPr>
        <w:tab/>
        <w:t>(c)</w:t>
      </w:r>
      <w:r w:rsidRPr="009C6B1C">
        <w:rPr>
          <w:rFonts w:hint="eastAsia"/>
        </w:rPr>
        <w:tab/>
        <w:t>2019</w:t>
      </w:r>
      <w:r w:rsidRPr="009C6B1C">
        <w:rPr>
          <w:rFonts w:hint="eastAsia"/>
        </w:rPr>
        <w:t>年生效的《</w:t>
      </w:r>
      <w:r w:rsidR="006A76AC">
        <w:rPr>
          <w:rFonts w:hint="eastAsia"/>
        </w:rPr>
        <w:t>关于</w:t>
      </w:r>
      <w:r w:rsidRPr="009C6B1C">
        <w:rPr>
          <w:rFonts w:hint="eastAsia"/>
        </w:rPr>
        <w:t>罪行受害人</w:t>
      </w:r>
      <w:r w:rsidR="006A76AC">
        <w:rPr>
          <w:rFonts w:hint="eastAsia"/>
        </w:rPr>
        <w:t>以及</w:t>
      </w:r>
      <w:r w:rsidR="006A76AC" w:rsidRPr="006A76AC">
        <w:rPr>
          <w:rFonts w:hint="eastAsia"/>
        </w:rPr>
        <w:t>某些法案的修正和补充</w:t>
      </w:r>
      <w:r w:rsidR="006A76AC">
        <w:rPr>
          <w:rFonts w:hint="eastAsia"/>
        </w:rPr>
        <w:t>的第</w:t>
      </w:r>
      <w:r w:rsidR="006A76AC" w:rsidRPr="005A3373">
        <w:t>274/2017 Coll.</w:t>
      </w:r>
      <w:r w:rsidR="006A76AC">
        <w:rPr>
          <w:rFonts w:hint="eastAsia"/>
        </w:rPr>
        <w:t>号法</w:t>
      </w:r>
      <w:r w:rsidRPr="009C6B1C">
        <w:rPr>
          <w:rFonts w:hint="eastAsia"/>
        </w:rPr>
        <w:t>》以及</w:t>
      </w:r>
      <w:r w:rsidRPr="009C6B1C">
        <w:rPr>
          <w:rFonts w:hint="eastAsia"/>
        </w:rPr>
        <w:t>2021</w:t>
      </w:r>
      <w:r w:rsidRPr="009C6B1C">
        <w:rPr>
          <w:rFonts w:hint="eastAsia"/>
        </w:rPr>
        <w:t>年生效的修正案，简化了包括家庭虐待受害者在内的罪行受害人获得国家赔偿的途径；</w:t>
      </w:r>
    </w:p>
    <w:p w14:paraId="4A97B14D" w14:textId="77777777" w:rsidR="009C6B1C" w:rsidRPr="009C6B1C" w:rsidRDefault="009C6B1C" w:rsidP="009E70B5">
      <w:pPr>
        <w:pStyle w:val="SingleTxt"/>
      </w:pPr>
      <w:r w:rsidRPr="009E70B5">
        <w:rPr>
          <w:rFonts w:hint="eastAsia"/>
          <w:sz w:val="20"/>
        </w:rPr>
        <w:tab/>
      </w:r>
      <w:r w:rsidRPr="009C6B1C">
        <w:rPr>
          <w:rFonts w:hint="eastAsia"/>
        </w:rPr>
        <w:t>(d)</w:t>
      </w:r>
      <w:r w:rsidRPr="009C6B1C">
        <w:rPr>
          <w:rFonts w:hint="eastAsia"/>
        </w:rPr>
        <w:tab/>
        <w:t>2015</w:t>
      </w:r>
      <w:r w:rsidRPr="009C6B1C">
        <w:rPr>
          <w:rFonts w:hint="eastAsia"/>
        </w:rPr>
        <w:t>年和</w:t>
      </w:r>
      <w:r w:rsidRPr="009C6B1C">
        <w:rPr>
          <w:rFonts w:hint="eastAsia"/>
        </w:rPr>
        <w:t>2016</w:t>
      </w:r>
      <w:r w:rsidRPr="009C6B1C">
        <w:rPr>
          <w:rFonts w:hint="eastAsia"/>
        </w:rPr>
        <w:t>年的《反歧视法》修正案以及经修订的平等待遇原则的定义。</w:t>
      </w:r>
    </w:p>
    <w:p w14:paraId="3879A8DF" w14:textId="77777777" w:rsidR="009C6B1C" w:rsidRPr="009C6B1C" w:rsidRDefault="009C6B1C" w:rsidP="009C6B1C">
      <w:pPr>
        <w:pStyle w:val="SingleTxt"/>
      </w:pPr>
      <w:r w:rsidRPr="009C6B1C">
        <w:rPr>
          <w:rFonts w:hint="eastAsia"/>
        </w:rPr>
        <w:t>5.</w:t>
      </w:r>
      <w:r w:rsidRPr="009C6B1C">
        <w:rPr>
          <w:rFonts w:hint="eastAsia"/>
        </w:rPr>
        <w:tab/>
      </w:r>
      <w:r w:rsidRPr="009C6B1C">
        <w:rPr>
          <w:rFonts w:hint="eastAsia"/>
        </w:rPr>
        <w:t>委员会欢迎缔约国努力改进体制和政策框架，以加快消除对妇女的歧视，促进性别平等，例如通过了下列文书：</w:t>
      </w:r>
    </w:p>
    <w:p w14:paraId="2E503AF2" w14:textId="10EC82C9" w:rsidR="009C6B1C" w:rsidRPr="009C6B1C" w:rsidRDefault="009C6B1C" w:rsidP="009C6B1C">
      <w:pPr>
        <w:pStyle w:val="SingleTxt"/>
      </w:pPr>
      <w:r>
        <w:tab/>
      </w:r>
      <w:r w:rsidRPr="009C6B1C">
        <w:rPr>
          <w:rFonts w:hint="eastAsia"/>
        </w:rPr>
        <w:t>(a)</w:t>
      </w:r>
      <w:r w:rsidRPr="009C6B1C">
        <w:rPr>
          <w:rFonts w:hint="eastAsia"/>
        </w:rPr>
        <w:tab/>
        <w:t>2022-2030</w:t>
      </w:r>
      <w:r w:rsidRPr="009C6B1C">
        <w:rPr>
          <w:rFonts w:hint="eastAsia"/>
        </w:rPr>
        <w:t>年妇女就业国家行动计划；</w:t>
      </w:r>
    </w:p>
    <w:p w14:paraId="56F217C6" w14:textId="5C621556" w:rsidR="009C6B1C" w:rsidRPr="009C6B1C" w:rsidRDefault="009C6B1C" w:rsidP="009C6B1C">
      <w:pPr>
        <w:pStyle w:val="SingleTxt"/>
      </w:pPr>
      <w:r>
        <w:tab/>
      </w:r>
      <w:r w:rsidRPr="009C6B1C">
        <w:rPr>
          <w:rFonts w:hint="eastAsia"/>
        </w:rPr>
        <w:t>(b)</w:t>
      </w:r>
      <w:r w:rsidRPr="009C6B1C">
        <w:rPr>
          <w:rFonts w:hint="eastAsia"/>
        </w:rPr>
        <w:tab/>
        <w:t>2022-2027</w:t>
      </w:r>
      <w:r w:rsidRPr="009C6B1C">
        <w:rPr>
          <w:rFonts w:hint="eastAsia"/>
        </w:rPr>
        <w:t>年防止和消除暴力侵害妇女行为行动计划；</w:t>
      </w:r>
    </w:p>
    <w:p w14:paraId="2086FA2C" w14:textId="4C28BB5D" w:rsidR="009C6B1C" w:rsidRPr="006E6568" w:rsidRDefault="009C6B1C" w:rsidP="009C6B1C">
      <w:pPr>
        <w:pStyle w:val="SingleTxt"/>
        <w:rPr>
          <w:spacing w:val="2"/>
        </w:rPr>
      </w:pPr>
      <w:r w:rsidRPr="006E6568">
        <w:rPr>
          <w:spacing w:val="2"/>
        </w:rPr>
        <w:tab/>
      </w:r>
      <w:r w:rsidRPr="006E6568">
        <w:rPr>
          <w:rFonts w:hint="eastAsia"/>
          <w:spacing w:val="2"/>
        </w:rPr>
        <w:t>(c)</w:t>
      </w:r>
      <w:r w:rsidRPr="006E6568">
        <w:rPr>
          <w:rFonts w:hint="eastAsia"/>
          <w:spacing w:val="2"/>
        </w:rPr>
        <w:tab/>
      </w:r>
      <w:r w:rsidR="00F64E40" w:rsidRPr="006E6568">
        <w:rPr>
          <w:rFonts w:hint="eastAsia"/>
          <w:spacing w:val="2"/>
        </w:rPr>
        <w:t>《</w:t>
      </w:r>
      <w:r w:rsidR="00F64E40" w:rsidRPr="006E6568">
        <w:rPr>
          <w:rFonts w:hint="eastAsia"/>
          <w:spacing w:val="2"/>
        </w:rPr>
        <w:t>2030</w:t>
      </w:r>
      <w:r w:rsidR="00F64E40" w:rsidRPr="006E6568">
        <w:rPr>
          <w:rFonts w:hint="eastAsia"/>
          <w:spacing w:val="2"/>
        </w:rPr>
        <w:t>年前罗姆人平等、包容和参与战略》</w:t>
      </w:r>
      <w:r w:rsidRPr="006E6568">
        <w:rPr>
          <w:rFonts w:hint="eastAsia"/>
          <w:spacing w:val="2"/>
        </w:rPr>
        <w:t>及其</w:t>
      </w:r>
      <w:r w:rsidR="00F64E40" w:rsidRPr="006E6568">
        <w:rPr>
          <w:rFonts w:hint="eastAsia"/>
          <w:spacing w:val="2"/>
        </w:rPr>
        <w:t>《</w:t>
      </w:r>
      <w:r w:rsidR="00F64E40" w:rsidRPr="006E6568">
        <w:rPr>
          <w:rFonts w:hint="eastAsia"/>
          <w:spacing w:val="2"/>
        </w:rPr>
        <w:t>2022-2024</w:t>
      </w:r>
      <w:r w:rsidR="00F64E40" w:rsidRPr="006E6568">
        <w:rPr>
          <w:rFonts w:hint="eastAsia"/>
          <w:spacing w:val="2"/>
        </w:rPr>
        <w:t>年行动计划》</w:t>
      </w:r>
      <w:r w:rsidRPr="006E6568">
        <w:rPr>
          <w:rFonts w:hint="eastAsia"/>
          <w:spacing w:val="2"/>
        </w:rPr>
        <w:t>；</w:t>
      </w:r>
    </w:p>
    <w:p w14:paraId="75382B65" w14:textId="211DE774" w:rsidR="009C6B1C" w:rsidRPr="009C6B1C" w:rsidRDefault="009C6B1C" w:rsidP="009C6B1C">
      <w:pPr>
        <w:pStyle w:val="SingleTxt"/>
      </w:pPr>
      <w:r>
        <w:tab/>
      </w:r>
      <w:r w:rsidRPr="009C6B1C">
        <w:rPr>
          <w:rFonts w:hint="eastAsia"/>
        </w:rPr>
        <w:t>(d)</w:t>
      </w:r>
      <w:r w:rsidRPr="009C6B1C">
        <w:rPr>
          <w:rFonts w:hint="eastAsia"/>
        </w:rPr>
        <w:tab/>
      </w:r>
      <w:r w:rsidR="00F64E40">
        <w:rPr>
          <w:rFonts w:hint="eastAsia"/>
        </w:rPr>
        <w:t>《</w:t>
      </w:r>
      <w:r w:rsidR="00F64E40" w:rsidRPr="009C6B1C">
        <w:rPr>
          <w:rFonts w:hint="eastAsia"/>
        </w:rPr>
        <w:t>教育和培训中的包容性方法国家战略</w:t>
      </w:r>
      <w:r w:rsidR="00F64E40">
        <w:rPr>
          <w:rFonts w:hint="eastAsia"/>
        </w:rPr>
        <w:t>》</w:t>
      </w:r>
      <w:r w:rsidRPr="009C6B1C">
        <w:rPr>
          <w:rFonts w:hint="eastAsia"/>
        </w:rPr>
        <w:t>及其</w:t>
      </w:r>
      <w:r w:rsidR="00F64E40">
        <w:rPr>
          <w:rFonts w:hint="eastAsia"/>
        </w:rPr>
        <w:t>《</w:t>
      </w:r>
      <w:r w:rsidR="00F64E40" w:rsidRPr="009C6B1C">
        <w:rPr>
          <w:rFonts w:hint="eastAsia"/>
        </w:rPr>
        <w:t>2022-2024</w:t>
      </w:r>
      <w:r w:rsidR="00F64E40" w:rsidRPr="009C6B1C">
        <w:rPr>
          <w:rFonts w:hint="eastAsia"/>
        </w:rPr>
        <w:t>年第一个行动计划</w:t>
      </w:r>
      <w:r w:rsidR="00F64E40">
        <w:rPr>
          <w:rFonts w:hint="eastAsia"/>
        </w:rPr>
        <w:t>》</w:t>
      </w:r>
      <w:r w:rsidRPr="009C6B1C">
        <w:rPr>
          <w:rFonts w:hint="eastAsia"/>
        </w:rPr>
        <w:t>；</w:t>
      </w:r>
    </w:p>
    <w:p w14:paraId="06E5B17D" w14:textId="03B4AA03" w:rsidR="009C6B1C" w:rsidRPr="009C6B1C" w:rsidRDefault="009C6B1C" w:rsidP="009C6B1C">
      <w:pPr>
        <w:pStyle w:val="SingleTxt"/>
      </w:pPr>
      <w:r>
        <w:tab/>
      </w:r>
      <w:r w:rsidRPr="009C6B1C">
        <w:rPr>
          <w:rFonts w:hint="eastAsia"/>
        </w:rPr>
        <w:t>(e)</w:t>
      </w:r>
      <w:r w:rsidRPr="009C6B1C">
        <w:rPr>
          <w:rFonts w:hint="eastAsia"/>
        </w:rPr>
        <w:tab/>
        <w:t>2021-2027</w:t>
      </w:r>
      <w:r w:rsidRPr="009C6B1C">
        <w:rPr>
          <w:rFonts w:hint="eastAsia"/>
        </w:rPr>
        <w:t>年男女平等和机会均等国家战略和行动计划；</w:t>
      </w:r>
    </w:p>
    <w:p w14:paraId="34D6BC30" w14:textId="44EAE0EC" w:rsidR="009C6B1C" w:rsidRPr="009C6B1C" w:rsidRDefault="009C6B1C" w:rsidP="009C6B1C">
      <w:pPr>
        <w:pStyle w:val="SingleTxt"/>
      </w:pPr>
      <w:r>
        <w:tab/>
      </w:r>
      <w:r w:rsidRPr="009C6B1C">
        <w:rPr>
          <w:rFonts w:hint="eastAsia"/>
        </w:rPr>
        <w:t>(f)</w:t>
      </w:r>
      <w:r w:rsidRPr="009C6B1C">
        <w:rPr>
          <w:rFonts w:hint="eastAsia"/>
        </w:rPr>
        <w:tab/>
        <w:t>2021-2025</w:t>
      </w:r>
      <w:r w:rsidRPr="009C6B1C">
        <w:rPr>
          <w:rFonts w:hint="eastAsia"/>
        </w:rPr>
        <w:t>年执行安全理事会关于妇女与和平与安全的第</w:t>
      </w:r>
      <w:hyperlink r:id="rId24" w:history="1">
        <w:r w:rsidRPr="009C6B1C">
          <w:rPr>
            <w:rStyle w:val="af4"/>
            <w:rFonts w:hint="eastAsia"/>
          </w:rPr>
          <w:t>1325(2000)</w:t>
        </w:r>
      </w:hyperlink>
      <w:r w:rsidRPr="009C6B1C">
        <w:rPr>
          <w:rFonts w:hint="eastAsia"/>
        </w:rPr>
        <w:t>号决议的国家行动计划；</w:t>
      </w:r>
    </w:p>
    <w:p w14:paraId="2CFE449F" w14:textId="01C3A18B" w:rsidR="009C6B1C" w:rsidRPr="009C6B1C" w:rsidRDefault="009C6B1C" w:rsidP="009C6B1C">
      <w:pPr>
        <w:pStyle w:val="SingleTxt"/>
      </w:pPr>
      <w:r>
        <w:tab/>
      </w:r>
      <w:r w:rsidRPr="009C6B1C">
        <w:rPr>
          <w:rFonts w:hint="eastAsia"/>
        </w:rPr>
        <w:t>(g)</w:t>
      </w:r>
      <w:r w:rsidRPr="009C6B1C">
        <w:rPr>
          <w:rFonts w:hint="eastAsia"/>
        </w:rPr>
        <w:tab/>
        <w:t>2019-2023</w:t>
      </w:r>
      <w:r w:rsidRPr="009C6B1C">
        <w:rPr>
          <w:rFonts w:hint="eastAsia"/>
        </w:rPr>
        <w:t>年国家打击贩运人口方案；</w:t>
      </w:r>
    </w:p>
    <w:p w14:paraId="319B50AB" w14:textId="491902E0" w:rsidR="009C6B1C" w:rsidRPr="009C6B1C" w:rsidRDefault="009C6B1C" w:rsidP="009C6B1C">
      <w:pPr>
        <w:pStyle w:val="SingleTxt"/>
      </w:pPr>
      <w:r>
        <w:tab/>
      </w:r>
      <w:r w:rsidRPr="009C6B1C">
        <w:rPr>
          <w:rFonts w:hint="eastAsia"/>
        </w:rPr>
        <w:t>(h)</w:t>
      </w:r>
      <w:r w:rsidRPr="009C6B1C">
        <w:rPr>
          <w:rFonts w:hint="eastAsia"/>
        </w:rPr>
        <w:tab/>
        <w:t>2014-2019</w:t>
      </w:r>
      <w:r w:rsidRPr="009C6B1C">
        <w:rPr>
          <w:rFonts w:hint="eastAsia"/>
        </w:rPr>
        <w:t>年国家性别平等战略和行动计划。</w:t>
      </w:r>
    </w:p>
    <w:p w14:paraId="2E727FD9" w14:textId="77777777" w:rsidR="009C6B1C" w:rsidRPr="009C6B1C" w:rsidRDefault="009C6B1C" w:rsidP="009C6B1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C6B1C">
        <w:rPr>
          <w:rFonts w:hint="eastAsia"/>
        </w:rPr>
        <w:tab/>
        <w:t>C.</w:t>
      </w:r>
      <w:r w:rsidRPr="009C6B1C">
        <w:rPr>
          <w:rFonts w:hint="eastAsia"/>
        </w:rPr>
        <w:tab/>
      </w:r>
      <w:r w:rsidRPr="009C6B1C">
        <w:rPr>
          <w:rFonts w:hint="eastAsia"/>
        </w:rPr>
        <w:t>可持续发展目标</w:t>
      </w:r>
    </w:p>
    <w:p w14:paraId="799F657F" w14:textId="77777777" w:rsidR="009C6B1C" w:rsidRPr="009E70B5" w:rsidRDefault="009C6B1C" w:rsidP="009C6B1C">
      <w:pPr>
        <w:pStyle w:val="SingleTxt"/>
        <w:rPr>
          <w:rFonts w:eastAsia="黑体"/>
        </w:rPr>
      </w:pPr>
      <w:r w:rsidRPr="009C6B1C">
        <w:rPr>
          <w:rFonts w:hint="eastAsia"/>
        </w:rPr>
        <w:t>6.</w:t>
      </w:r>
      <w:r w:rsidRPr="009C6B1C">
        <w:rPr>
          <w:rFonts w:hint="eastAsia"/>
        </w:rPr>
        <w:tab/>
      </w:r>
      <w:r w:rsidRPr="009E70B5">
        <w:rPr>
          <w:rFonts w:eastAsia="黑体"/>
        </w:rPr>
        <w:t>委员会欢迎国际社会对可持续发展目标的支持，并呼吁在执行《</w:t>
      </w:r>
      <w:r w:rsidRPr="009E70B5">
        <w:rPr>
          <w:rFonts w:eastAsia="黑体"/>
        </w:rPr>
        <w:t>2030</w:t>
      </w:r>
      <w:r w:rsidRPr="009E70B5">
        <w:rPr>
          <w:rFonts w:eastAsia="黑体"/>
        </w:rPr>
        <w:t>年可持续发展议程》的整个进程中，根据《公约》条款实现法律上</w:t>
      </w:r>
      <w:r w:rsidRPr="009E70B5">
        <w:rPr>
          <w:rFonts w:eastAsia="黑体"/>
        </w:rPr>
        <w:t>(</w:t>
      </w:r>
      <w:r w:rsidRPr="009E70B5">
        <w:rPr>
          <w:rFonts w:eastAsia="黑体"/>
        </w:rPr>
        <w:t>依法</w:t>
      </w:r>
      <w:r w:rsidRPr="009E70B5">
        <w:rPr>
          <w:rFonts w:eastAsia="黑体"/>
        </w:rPr>
        <w:t>)</w:t>
      </w:r>
      <w:r w:rsidRPr="009E70B5">
        <w:rPr>
          <w:rFonts w:eastAsia="黑体"/>
        </w:rPr>
        <w:t>和事实上</w:t>
      </w:r>
      <w:r w:rsidRPr="009E70B5">
        <w:rPr>
          <w:rFonts w:eastAsia="黑体"/>
        </w:rPr>
        <w:t>(</w:t>
      </w:r>
      <w:r w:rsidRPr="009E70B5">
        <w:rPr>
          <w:rFonts w:eastAsia="黑体"/>
        </w:rPr>
        <w:t>实质性</w:t>
      </w:r>
      <w:r w:rsidRPr="009E70B5">
        <w:rPr>
          <w:rFonts w:eastAsia="黑体"/>
        </w:rPr>
        <w:t>)</w:t>
      </w:r>
      <w:r w:rsidRPr="009E70B5">
        <w:rPr>
          <w:rFonts w:eastAsia="黑体"/>
        </w:rPr>
        <w:t>的性别平等。委员会回顾了目标</w:t>
      </w:r>
      <w:r w:rsidRPr="009E70B5">
        <w:rPr>
          <w:rFonts w:eastAsia="黑体"/>
        </w:rPr>
        <w:t>5</w:t>
      </w:r>
      <w:r w:rsidRPr="009E70B5">
        <w:rPr>
          <w:rFonts w:eastAsia="黑体"/>
        </w:rPr>
        <w:t>的重要性，以及将平等和不歧视原则纳入所有</w:t>
      </w:r>
      <w:r w:rsidRPr="009E70B5">
        <w:rPr>
          <w:rFonts w:eastAsia="黑体"/>
        </w:rPr>
        <w:t>17</w:t>
      </w:r>
      <w:r w:rsidRPr="009E70B5">
        <w:rPr>
          <w:rFonts w:eastAsia="黑体"/>
        </w:rPr>
        <w:t>项目标主流的</w:t>
      </w:r>
      <w:r w:rsidRPr="009E70B5">
        <w:rPr>
          <w:rFonts w:eastAsia="黑体"/>
        </w:rPr>
        <w:lastRenderedPageBreak/>
        <w:t>重要性。委员会敦促缔约国承认妇女是缔约国实现可持续发展的推动力，并为此采取相关政策和战略。</w:t>
      </w:r>
    </w:p>
    <w:p w14:paraId="7305A5C8" w14:textId="77777777" w:rsidR="009C6B1C" w:rsidRPr="009C6B1C" w:rsidRDefault="009C6B1C" w:rsidP="009C6B1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C6B1C">
        <w:rPr>
          <w:rFonts w:hint="eastAsia"/>
        </w:rPr>
        <w:tab/>
        <w:t>D.</w:t>
      </w:r>
      <w:r w:rsidRPr="009C6B1C">
        <w:rPr>
          <w:rFonts w:hint="eastAsia"/>
        </w:rPr>
        <w:tab/>
      </w:r>
      <w:r w:rsidRPr="009C6B1C">
        <w:rPr>
          <w:rFonts w:hint="eastAsia"/>
        </w:rPr>
        <w:t>议会</w:t>
      </w:r>
      <w:r w:rsidRPr="009C6B1C">
        <w:rPr>
          <w:rFonts w:hint="eastAsia"/>
        </w:rPr>
        <w:t>(</w:t>
      </w:r>
      <w:r w:rsidRPr="009C6B1C">
        <w:rPr>
          <w:rFonts w:hint="eastAsia"/>
        </w:rPr>
        <w:t>国民议会</w:t>
      </w:r>
      <w:r w:rsidRPr="009C6B1C">
        <w:rPr>
          <w:rFonts w:hint="eastAsia"/>
        </w:rPr>
        <w:t>)</w:t>
      </w:r>
    </w:p>
    <w:p w14:paraId="3AB5D22F" w14:textId="4EF64627" w:rsidR="009C6B1C" w:rsidRPr="009E70B5" w:rsidRDefault="009C6B1C" w:rsidP="009C6B1C">
      <w:pPr>
        <w:pStyle w:val="SingleTxt"/>
        <w:rPr>
          <w:rFonts w:eastAsia="黑体"/>
        </w:rPr>
      </w:pPr>
      <w:r w:rsidRPr="009C6B1C">
        <w:rPr>
          <w:rFonts w:hint="eastAsia"/>
        </w:rPr>
        <w:t>7.</w:t>
      </w:r>
      <w:r w:rsidRPr="009C6B1C">
        <w:rPr>
          <w:rFonts w:hint="eastAsia"/>
        </w:rPr>
        <w:tab/>
      </w:r>
      <w:r w:rsidRPr="009E70B5">
        <w:rPr>
          <w:rFonts w:eastAsia="黑体"/>
        </w:rPr>
        <w:t>委员会强调立法权在确保《公约》得到充分执行方面的关键作用</w:t>
      </w:r>
      <w:r w:rsidRPr="009E70B5">
        <w:rPr>
          <w:rFonts w:eastAsia="黑体"/>
        </w:rPr>
        <w:t>(</w:t>
      </w:r>
      <w:r w:rsidRPr="009E70B5">
        <w:rPr>
          <w:rFonts w:eastAsia="黑体"/>
        </w:rPr>
        <w:t>见</w:t>
      </w:r>
      <w:hyperlink r:id="rId25" w:history="1">
        <w:r w:rsidRPr="009E70B5">
          <w:rPr>
            <w:rStyle w:val="af4"/>
            <w:rFonts w:eastAsia="黑体"/>
          </w:rPr>
          <w:t>A/65/38</w:t>
        </w:r>
      </w:hyperlink>
      <w:r w:rsidRPr="009E70B5">
        <w:rPr>
          <w:rFonts w:eastAsia="黑体"/>
        </w:rPr>
        <w:t>，第二部分，附件六</w:t>
      </w:r>
      <w:r w:rsidRPr="009E70B5">
        <w:rPr>
          <w:rFonts w:eastAsia="黑体"/>
        </w:rPr>
        <w:t>)</w:t>
      </w:r>
      <w:r w:rsidRPr="009E70B5">
        <w:rPr>
          <w:rFonts w:eastAsia="黑体"/>
        </w:rPr>
        <w:t>。委员会请议会依照其授权，为从现在起至按照《公约》规定提交下一份定期报告期间执行本结论性意见采取必要步骤。</w:t>
      </w:r>
    </w:p>
    <w:p w14:paraId="6C4D1789" w14:textId="77777777" w:rsidR="009C6B1C" w:rsidRPr="009C6B1C" w:rsidRDefault="009C6B1C" w:rsidP="009C6B1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C6B1C">
        <w:rPr>
          <w:rFonts w:hint="eastAsia"/>
        </w:rPr>
        <w:tab/>
        <w:t>E.</w:t>
      </w:r>
      <w:r w:rsidRPr="009C6B1C">
        <w:rPr>
          <w:rFonts w:hint="eastAsia"/>
        </w:rPr>
        <w:tab/>
      </w:r>
      <w:r w:rsidRPr="009C6B1C">
        <w:rPr>
          <w:rFonts w:hint="eastAsia"/>
        </w:rPr>
        <w:t>关注的主要领域和建议</w:t>
      </w:r>
    </w:p>
    <w:p w14:paraId="648CC107" w14:textId="77777777" w:rsidR="009C6B1C" w:rsidRPr="009C6B1C" w:rsidRDefault="009C6B1C" w:rsidP="009C6B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C6B1C">
        <w:rPr>
          <w:rFonts w:hint="eastAsia"/>
        </w:rPr>
        <w:tab/>
      </w:r>
      <w:r w:rsidRPr="009C6B1C">
        <w:rPr>
          <w:rFonts w:hint="eastAsia"/>
        </w:rPr>
        <w:tab/>
      </w:r>
      <w:r w:rsidRPr="009C6B1C">
        <w:rPr>
          <w:rFonts w:hint="eastAsia"/>
        </w:rPr>
        <w:t>与疫情和疫后恢复工作相关的妇女权利和性别平等</w:t>
      </w:r>
    </w:p>
    <w:p w14:paraId="06D616DE" w14:textId="1A13D0D2" w:rsidR="009C6B1C" w:rsidRPr="009C6B1C" w:rsidRDefault="009C6B1C" w:rsidP="009C6B1C">
      <w:pPr>
        <w:pStyle w:val="SingleTxt"/>
      </w:pPr>
      <w:r w:rsidRPr="009C6B1C">
        <w:rPr>
          <w:rFonts w:hint="eastAsia"/>
        </w:rPr>
        <w:t>8.</w:t>
      </w:r>
      <w:r w:rsidRPr="009C6B1C">
        <w:rPr>
          <w:rFonts w:hint="eastAsia"/>
        </w:rPr>
        <w:tab/>
      </w:r>
      <w:r w:rsidRPr="009C6B1C">
        <w:rPr>
          <w:rFonts w:hint="eastAsia"/>
        </w:rPr>
        <w:t>委员会欢迎在冠状病毒病</w:t>
      </w:r>
      <w:r w:rsidRPr="009C6B1C">
        <w:rPr>
          <w:rFonts w:hint="eastAsia"/>
        </w:rPr>
        <w:t>(COVID-19)</w:t>
      </w:r>
      <w:r w:rsidRPr="009C6B1C">
        <w:rPr>
          <w:rFonts w:hint="eastAsia"/>
        </w:rPr>
        <w:t>大流行期间为减轻疫情对妇女享有权利的影响而采取的措施和做法，其中包括以下措施，即打击对妇女的性别暴力，在危机期间保障对家长的持续财政支持，以及在学校和幼儿园关闭期间延长支付护理费用的时间。但委员会希望提请缔约国注意，</w:t>
      </w:r>
      <w:r w:rsidRPr="009C6B1C">
        <w:rPr>
          <w:rFonts w:hint="eastAsia"/>
        </w:rPr>
        <w:t>COVID-19</w:t>
      </w:r>
      <w:r w:rsidRPr="009C6B1C">
        <w:rPr>
          <w:rFonts w:hint="eastAsia"/>
        </w:rPr>
        <w:t>疫后恢复战略对妇女享有其权利十分重要。</w:t>
      </w:r>
    </w:p>
    <w:p w14:paraId="5E37F6A6" w14:textId="77777777" w:rsidR="009C6B1C" w:rsidRPr="009C6B1C" w:rsidRDefault="009C6B1C" w:rsidP="009C6B1C">
      <w:pPr>
        <w:pStyle w:val="SingleTxt"/>
        <w:rPr>
          <w:rFonts w:eastAsia="黑体"/>
        </w:rPr>
      </w:pPr>
      <w:r w:rsidRPr="009C6B1C">
        <w:rPr>
          <w:rFonts w:hint="eastAsia"/>
        </w:rPr>
        <w:t>9.</w:t>
      </w:r>
      <w:r w:rsidRPr="009C6B1C">
        <w:rPr>
          <w:rFonts w:hint="eastAsia"/>
        </w:rPr>
        <w:tab/>
      </w:r>
      <w:r w:rsidRPr="009C6B1C">
        <w:rPr>
          <w:rFonts w:eastAsia="黑体"/>
        </w:rPr>
        <w:t>委员会依照其</w:t>
      </w:r>
      <w:r w:rsidRPr="009C6B1C">
        <w:rPr>
          <w:rFonts w:eastAsia="黑体"/>
        </w:rPr>
        <w:t>2020</w:t>
      </w:r>
      <w:r w:rsidRPr="009C6B1C">
        <w:rPr>
          <w:rFonts w:eastAsia="黑体"/>
        </w:rPr>
        <w:t>年</w:t>
      </w:r>
      <w:r w:rsidRPr="009C6B1C">
        <w:rPr>
          <w:rFonts w:eastAsia="黑体"/>
        </w:rPr>
        <w:t>4</w:t>
      </w:r>
      <w:r w:rsidRPr="009C6B1C">
        <w:rPr>
          <w:rFonts w:eastAsia="黑体"/>
        </w:rPr>
        <w:t>月</w:t>
      </w:r>
      <w:r w:rsidRPr="009C6B1C">
        <w:rPr>
          <w:rFonts w:eastAsia="黑体"/>
        </w:rPr>
        <w:t>22</w:t>
      </w:r>
      <w:r w:rsidRPr="009C6B1C">
        <w:rPr>
          <w:rFonts w:eastAsia="黑体"/>
        </w:rPr>
        <w:t>日发布的对</w:t>
      </w:r>
      <w:r w:rsidRPr="009C6B1C">
        <w:rPr>
          <w:rFonts w:eastAsia="黑体"/>
        </w:rPr>
        <w:t>COVID-19</w:t>
      </w:r>
      <w:r w:rsidRPr="009C6B1C">
        <w:rPr>
          <w:rFonts w:eastAsia="黑体"/>
        </w:rPr>
        <w:t>背景下《公约》缔约国所承担义务的指导说明，建议缔约国：</w:t>
      </w:r>
    </w:p>
    <w:p w14:paraId="23FE1A65" w14:textId="08F14FEA" w:rsidR="009C6B1C" w:rsidRPr="009C6B1C" w:rsidRDefault="009C6B1C" w:rsidP="009C6B1C">
      <w:pPr>
        <w:pStyle w:val="SingleTxt"/>
        <w:rPr>
          <w:rFonts w:eastAsia="黑体"/>
        </w:rPr>
      </w:pPr>
      <w:r w:rsidRPr="009C6B1C">
        <w:rPr>
          <w:rFonts w:eastAsia="黑体"/>
        </w:rPr>
        <w:tab/>
        <w:t>(a)</w:t>
      </w:r>
      <w:r>
        <w:rPr>
          <w:rFonts w:eastAsia="黑体"/>
        </w:rPr>
        <w:tab/>
      </w:r>
      <w:r w:rsidRPr="009C6B1C">
        <w:rPr>
          <w:rFonts w:eastAsia="黑体"/>
        </w:rPr>
        <w:t>执行制度、立法和政策措施，纠正长期存在的男女不平等现象，并根据可持续发展目标，将妇女置于</w:t>
      </w:r>
      <w:r w:rsidRPr="009C6B1C">
        <w:rPr>
          <w:rFonts w:eastAsia="黑体"/>
        </w:rPr>
        <w:t>COVID-19</w:t>
      </w:r>
      <w:r w:rsidRPr="009C6B1C">
        <w:rPr>
          <w:rFonts w:eastAsia="黑体"/>
        </w:rPr>
        <w:t>疫后恢复战略的中心，并以此作为可持续变革的一项战略优先事项，以便为实现性别平等再次注入动力；</w:t>
      </w:r>
    </w:p>
    <w:p w14:paraId="6647513B" w14:textId="2C9369FF" w:rsidR="009C6B1C" w:rsidRPr="009C6B1C" w:rsidRDefault="009C6B1C" w:rsidP="009C6B1C">
      <w:pPr>
        <w:pStyle w:val="SingleTxt"/>
        <w:rPr>
          <w:rFonts w:eastAsia="黑体"/>
        </w:rPr>
      </w:pPr>
      <w:r w:rsidRPr="009C6B1C">
        <w:rPr>
          <w:rFonts w:eastAsia="黑体"/>
        </w:rPr>
        <w:tab/>
        <w:t>(b)</w:t>
      </w:r>
      <w:r>
        <w:rPr>
          <w:rFonts w:eastAsia="黑体"/>
        </w:rPr>
        <w:tab/>
      </w:r>
      <w:r w:rsidRPr="009C6B1C">
        <w:rPr>
          <w:rFonts w:eastAsia="黑体"/>
        </w:rPr>
        <w:t>确保在危机后恢复计划中，妇女和女童不会陷入陈规定型的性别角色；</w:t>
      </w:r>
    </w:p>
    <w:p w14:paraId="59043BA5" w14:textId="2E563900" w:rsidR="009C6B1C" w:rsidRPr="009C6B1C" w:rsidRDefault="009C6B1C" w:rsidP="009C6B1C">
      <w:pPr>
        <w:pStyle w:val="SingleTxt"/>
        <w:rPr>
          <w:rFonts w:eastAsia="黑体"/>
        </w:rPr>
      </w:pPr>
      <w:r w:rsidRPr="009C6B1C">
        <w:rPr>
          <w:rFonts w:eastAsia="黑体"/>
        </w:rPr>
        <w:tab/>
        <w:t>(c)</w:t>
      </w:r>
      <w:r>
        <w:rPr>
          <w:rFonts w:eastAsia="黑体"/>
        </w:rPr>
        <w:tab/>
      </w:r>
      <w:r w:rsidRPr="009C6B1C">
        <w:rPr>
          <w:rFonts w:eastAsia="黑体"/>
        </w:rPr>
        <w:t>确保妇女和女童受益于旨在减轻疫情的社会经济影响的刺激计划，包括为无酬照护工作提供财政支持；</w:t>
      </w:r>
    </w:p>
    <w:p w14:paraId="12710269" w14:textId="3CD574EA" w:rsidR="009C6B1C" w:rsidRPr="009C6B1C" w:rsidRDefault="009C6B1C" w:rsidP="009C6B1C">
      <w:pPr>
        <w:pStyle w:val="SingleTxt"/>
        <w:rPr>
          <w:rFonts w:eastAsia="黑体"/>
        </w:rPr>
      </w:pPr>
      <w:r w:rsidRPr="009C6B1C">
        <w:rPr>
          <w:rFonts w:eastAsia="黑体"/>
        </w:rPr>
        <w:lastRenderedPageBreak/>
        <w:tab/>
        <w:t>(d)</w:t>
      </w:r>
      <w:r>
        <w:rPr>
          <w:rFonts w:eastAsia="黑体"/>
        </w:rPr>
        <w:tab/>
      </w:r>
      <w:r w:rsidRPr="009C6B1C">
        <w:rPr>
          <w:rFonts w:eastAsia="黑体"/>
        </w:rPr>
        <w:t>确保性别平等和不歧视成为欧盟下一代复苏计划中资金配置的首要考虑因素。</w:t>
      </w:r>
    </w:p>
    <w:p w14:paraId="147624FA" w14:textId="77777777" w:rsidR="009C6B1C" w:rsidRPr="009C6B1C" w:rsidRDefault="009C6B1C" w:rsidP="009C6B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C6B1C">
        <w:rPr>
          <w:rFonts w:hint="eastAsia"/>
        </w:rPr>
        <w:tab/>
      </w:r>
      <w:r w:rsidRPr="009C6B1C">
        <w:rPr>
          <w:rFonts w:hint="eastAsia"/>
        </w:rPr>
        <w:tab/>
      </w:r>
      <w:r w:rsidRPr="009C6B1C">
        <w:rPr>
          <w:rFonts w:hint="eastAsia"/>
        </w:rPr>
        <w:t>性别歧视和性别平等的定义</w:t>
      </w:r>
    </w:p>
    <w:p w14:paraId="13755274" w14:textId="06718389" w:rsidR="009C6B1C" w:rsidRPr="009C6B1C" w:rsidRDefault="009C6B1C" w:rsidP="009C6B1C">
      <w:pPr>
        <w:pStyle w:val="SingleTxt"/>
      </w:pPr>
      <w:r w:rsidRPr="009C6B1C">
        <w:rPr>
          <w:rFonts w:hint="eastAsia"/>
        </w:rPr>
        <w:t>10.</w:t>
      </w:r>
      <w:r w:rsidRPr="009C6B1C">
        <w:rPr>
          <w:rFonts w:hint="eastAsia"/>
        </w:rPr>
        <w:tab/>
      </w:r>
      <w:r w:rsidRPr="009C6B1C">
        <w:rPr>
          <w:rFonts w:hint="eastAsia"/>
        </w:rPr>
        <w:t>委员会欢迎修正《反歧视法》，以扩大平等待遇原则的定义。但委员会仍感关切的是，该修正案没有按照先前的结论性意见</w:t>
      </w:r>
      <w:r w:rsidRPr="009C6B1C">
        <w:rPr>
          <w:rFonts w:hint="eastAsia"/>
        </w:rPr>
        <w:t>(</w:t>
      </w:r>
      <w:hyperlink r:id="rId26" w:history="1">
        <w:r w:rsidRPr="009C6B1C">
          <w:rPr>
            <w:rStyle w:val="af4"/>
            <w:rFonts w:hint="eastAsia"/>
          </w:rPr>
          <w:t>CEDAW/C/SVK/CO/5-6</w:t>
        </w:r>
      </w:hyperlink>
      <w:r w:rsidRPr="009C6B1C">
        <w:rPr>
          <w:rFonts w:hint="eastAsia"/>
        </w:rPr>
        <w:t>，第</w:t>
      </w:r>
      <w:r w:rsidRPr="009C6B1C">
        <w:rPr>
          <w:rFonts w:hint="eastAsia"/>
        </w:rPr>
        <w:t>9</w:t>
      </w:r>
      <w:r w:rsidRPr="009C6B1C">
        <w:rPr>
          <w:rFonts w:hint="eastAsia"/>
        </w:rPr>
        <w:t>段</w:t>
      </w:r>
      <w:r w:rsidRPr="009C6B1C">
        <w:rPr>
          <w:rFonts w:hint="eastAsia"/>
        </w:rPr>
        <w:t>)</w:t>
      </w:r>
      <w:r w:rsidRPr="009C6B1C">
        <w:rPr>
          <w:rFonts w:hint="eastAsia"/>
        </w:rPr>
        <w:t>所建议的那样，修订歧视的定义。目前对歧视的定义，即“导致某人受到不如他人的待遇的任何作为或不作为”，不符合实质性性别平等的原则和委员会关于缔约国在《公约》第二条之下核心义务的第</w:t>
      </w:r>
      <w:r w:rsidRPr="009C6B1C">
        <w:rPr>
          <w:rFonts w:hint="eastAsia"/>
        </w:rPr>
        <w:t>28</w:t>
      </w:r>
      <w:r w:rsidRPr="009C6B1C">
        <w:rPr>
          <w:rFonts w:hint="eastAsia"/>
        </w:rPr>
        <w:t>号一般性建议</w:t>
      </w:r>
      <w:r w:rsidRPr="009C6B1C">
        <w:rPr>
          <w:rFonts w:hint="eastAsia"/>
        </w:rPr>
        <w:t>(2010</w:t>
      </w:r>
      <w:r w:rsidRPr="009C6B1C">
        <w:rPr>
          <w:rFonts w:hint="eastAsia"/>
        </w:rPr>
        <w:t>年</w:t>
      </w:r>
      <w:r w:rsidRPr="009C6B1C">
        <w:rPr>
          <w:rFonts w:hint="eastAsia"/>
        </w:rPr>
        <w:t>)</w:t>
      </w:r>
      <w:r w:rsidRPr="009C6B1C">
        <w:rPr>
          <w:rFonts w:hint="eastAsia"/>
        </w:rPr>
        <w:t>。委员会还对国家司法系统缺乏对《公约》的认识且未予以适用表示关切。</w:t>
      </w:r>
    </w:p>
    <w:p w14:paraId="16E8F87F" w14:textId="77777777" w:rsidR="009C6B1C" w:rsidRPr="00D80938" w:rsidRDefault="009C6B1C" w:rsidP="009C6B1C">
      <w:pPr>
        <w:pStyle w:val="SingleTxt"/>
        <w:rPr>
          <w:rFonts w:ascii="黑体" w:eastAsia="黑体" w:hAnsi="黑体"/>
        </w:rPr>
      </w:pPr>
      <w:r w:rsidRPr="009C6B1C">
        <w:rPr>
          <w:rFonts w:hint="eastAsia"/>
        </w:rPr>
        <w:t>11.</w:t>
      </w:r>
      <w:r w:rsidRPr="009C6B1C">
        <w:rPr>
          <w:rFonts w:hint="eastAsia"/>
        </w:rPr>
        <w:tab/>
      </w:r>
      <w:r w:rsidRPr="00D80938">
        <w:rPr>
          <w:rFonts w:ascii="黑体" w:eastAsia="黑体" w:hAnsi="黑体" w:hint="eastAsia"/>
        </w:rPr>
        <w:t>委员会建议缔约国：</w:t>
      </w:r>
    </w:p>
    <w:p w14:paraId="0291D723" w14:textId="683362E6" w:rsidR="009C6B1C" w:rsidRPr="009C6B1C" w:rsidRDefault="009C6B1C" w:rsidP="009C6B1C">
      <w:pPr>
        <w:pStyle w:val="SingleTxt"/>
      </w:pPr>
      <w:r w:rsidRPr="009C6B1C">
        <w:rPr>
          <w:rFonts w:hint="eastAsia"/>
        </w:rPr>
        <w:tab/>
        <w:t>(a)</w:t>
      </w:r>
      <w:r w:rsidR="00D80938">
        <w:tab/>
      </w:r>
      <w:r w:rsidRPr="00D80938">
        <w:rPr>
          <w:rFonts w:eastAsia="黑体"/>
        </w:rPr>
        <w:t>根据委员会先前的结论性意见</w:t>
      </w:r>
      <w:r w:rsidRPr="00D80938">
        <w:rPr>
          <w:rFonts w:eastAsia="黑体"/>
        </w:rPr>
        <w:t>(</w:t>
      </w:r>
      <w:hyperlink r:id="rId27" w:history="1">
        <w:r w:rsidRPr="00D80938">
          <w:rPr>
            <w:rStyle w:val="af4"/>
            <w:rFonts w:eastAsia="黑体"/>
          </w:rPr>
          <w:t>CEDAW/C/SVK/CO/5-6</w:t>
        </w:r>
      </w:hyperlink>
      <w:r w:rsidRPr="00D80938">
        <w:rPr>
          <w:rFonts w:eastAsia="黑体"/>
        </w:rPr>
        <w:t>，第</w:t>
      </w:r>
      <w:r w:rsidRPr="00D80938">
        <w:rPr>
          <w:rFonts w:eastAsia="黑体"/>
        </w:rPr>
        <w:t>9</w:t>
      </w:r>
      <w:r w:rsidRPr="00D80938">
        <w:rPr>
          <w:rFonts w:eastAsia="黑体"/>
        </w:rPr>
        <w:t>段</w:t>
      </w:r>
      <w:r w:rsidRPr="00D80938">
        <w:rPr>
          <w:rFonts w:eastAsia="黑体"/>
        </w:rPr>
        <w:t>)</w:t>
      </w:r>
      <w:r w:rsidRPr="00D80938">
        <w:rPr>
          <w:rFonts w:eastAsia="黑体"/>
        </w:rPr>
        <w:t>中的建议，按照第</w:t>
      </w:r>
      <w:r w:rsidRPr="00D80938">
        <w:rPr>
          <w:rFonts w:eastAsia="黑体"/>
        </w:rPr>
        <w:t>28</w:t>
      </w:r>
      <w:r w:rsidRPr="00D80938">
        <w:rPr>
          <w:rFonts w:eastAsia="黑体"/>
        </w:rPr>
        <w:t>号一般性建议，修订《反歧视法》，以便在《公约》第二条涵盖的所有领域消除对妇女的一切形式歧视；</w:t>
      </w:r>
    </w:p>
    <w:p w14:paraId="2FF719A1" w14:textId="1665F91C" w:rsidR="009C6B1C" w:rsidRPr="00D80938" w:rsidRDefault="009C6B1C" w:rsidP="009C6B1C">
      <w:pPr>
        <w:pStyle w:val="SingleTxt"/>
        <w:rPr>
          <w:rFonts w:ascii="黑体" w:eastAsia="黑体" w:hAnsi="黑体"/>
        </w:rPr>
      </w:pPr>
      <w:r w:rsidRPr="009C6B1C">
        <w:rPr>
          <w:rFonts w:hint="eastAsia"/>
        </w:rPr>
        <w:tab/>
        <w:t>(b)</w:t>
      </w:r>
      <w:r w:rsidR="00D80938">
        <w:tab/>
      </w:r>
      <w:r w:rsidRPr="00D80938">
        <w:rPr>
          <w:rFonts w:ascii="黑体" w:eastAsia="黑体" w:hAnsi="黑体" w:hint="eastAsia"/>
        </w:rPr>
        <w:t>向政府官员、法官、检察官、警察、其他执法人员及律师系统地提供关于《公约》及其《任择议定书》和委员会一般性建议的能力建设和培训。</w:t>
      </w:r>
    </w:p>
    <w:p w14:paraId="359F0D02" w14:textId="77777777" w:rsidR="009C6B1C" w:rsidRPr="009C6B1C" w:rsidRDefault="009C6B1C" w:rsidP="00D8093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C6B1C">
        <w:rPr>
          <w:rFonts w:hint="eastAsia"/>
        </w:rPr>
        <w:tab/>
      </w:r>
      <w:r w:rsidRPr="009C6B1C">
        <w:rPr>
          <w:rFonts w:hint="eastAsia"/>
        </w:rPr>
        <w:tab/>
      </w:r>
      <w:r w:rsidRPr="009C6B1C">
        <w:rPr>
          <w:rFonts w:hint="eastAsia"/>
        </w:rPr>
        <w:t>诉诸司法和获得补救</w:t>
      </w:r>
    </w:p>
    <w:p w14:paraId="31C2D633" w14:textId="77777777" w:rsidR="009C6B1C" w:rsidRPr="009C6B1C" w:rsidRDefault="009C6B1C" w:rsidP="009C6B1C">
      <w:pPr>
        <w:pStyle w:val="SingleTxt"/>
      </w:pPr>
      <w:r w:rsidRPr="009C6B1C">
        <w:rPr>
          <w:rFonts w:hint="eastAsia"/>
        </w:rPr>
        <w:t>12.</w:t>
      </w:r>
      <w:r w:rsidRPr="009C6B1C">
        <w:rPr>
          <w:rFonts w:hint="eastAsia"/>
        </w:rPr>
        <w:tab/>
      </w:r>
      <w:r w:rsidRPr="009C6B1C">
        <w:rPr>
          <w:rFonts w:hint="eastAsia"/>
        </w:rPr>
        <w:t>委员会欢迎在对话期间提供资料，说明正在采取哪些措施，以改善司法并提高司法决定、包括有关性别歧视问题的决定的质量；欢迎修正《劳动法》，在工作场所的违反平等原则案件中，为诉诸司法提供便利。此外，委员会注意到为整合关于反歧视案件的数据收集及分析作出努力。委员会感到关切的是：</w:t>
      </w:r>
    </w:p>
    <w:p w14:paraId="1AA03F84" w14:textId="72CD3165" w:rsidR="009C6B1C" w:rsidRPr="009C6B1C" w:rsidRDefault="009C6B1C" w:rsidP="009C6B1C">
      <w:pPr>
        <w:pStyle w:val="SingleTxt"/>
      </w:pPr>
      <w:r w:rsidRPr="009C6B1C">
        <w:rPr>
          <w:rFonts w:hint="eastAsia"/>
        </w:rPr>
        <w:tab/>
        <w:t>(a)</w:t>
      </w:r>
      <w:r w:rsidR="005C3CB0">
        <w:tab/>
      </w:r>
      <w:r w:rsidRPr="009C6B1C">
        <w:rPr>
          <w:rFonts w:hint="eastAsia"/>
        </w:rPr>
        <w:t>在基于生理性别和社会性别的歧视案件中，存在司法上拒不合作和司法程序冗长的现象，以及缺乏为开展以下工作而采取措</w:t>
      </w:r>
      <w:r w:rsidRPr="009C6B1C">
        <w:rPr>
          <w:rFonts w:hint="eastAsia"/>
        </w:rPr>
        <w:lastRenderedPageBreak/>
        <w:t>施的资料，即法院落实举证责任转移；提供适当的司法补救，包括经济赔偿；消除受影响妇女对可能蒙受耻辱和受害的恐惧；</w:t>
      </w:r>
    </w:p>
    <w:p w14:paraId="10B16E64" w14:textId="44ECDB37" w:rsidR="009C6B1C" w:rsidRPr="009C6B1C" w:rsidRDefault="009C6B1C" w:rsidP="009C6B1C">
      <w:pPr>
        <w:pStyle w:val="SingleTxt"/>
      </w:pPr>
      <w:r w:rsidRPr="009C6B1C">
        <w:rPr>
          <w:rFonts w:hint="eastAsia"/>
        </w:rPr>
        <w:tab/>
        <w:t>(b)</w:t>
      </w:r>
      <w:r w:rsidR="005C3CB0">
        <w:tab/>
      </w:r>
      <w:r w:rsidRPr="009C6B1C">
        <w:rPr>
          <w:rFonts w:hint="eastAsia"/>
        </w:rPr>
        <w:t>没有提供资料说明为消除针对妇女的多种形式交叉歧视而采取的有针对性措施；</w:t>
      </w:r>
    </w:p>
    <w:p w14:paraId="01E4B817" w14:textId="4DA299A2" w:rsidR="009C6B1C" w:rsidRPr="009C6B1C" w:rsidRDefault="009C6B1C" w:rsidP="009C6B1C">
      <w:pPr>
        <w:pStyle w:val="SingleTxt"/>
      </w:pPr>
      <w:r w:rsidRPr="009C6B1C">
        <w:rPr>
          <w:rFonts w:hint="eastAsia"/>
        </w:rPr>
        <w:tab/>
        <w:t>(c)</w:t>
      </w:r>
      <w:r w:rsidR="005C3CB0">
        <w:tab/>
      </w:r>
      <w:r w:rsidRPr="009C6B1C">
        <w:rPr>
          <w:rFonts w:hint="eastAsia"/>
        </w:rPr>
        <w:t>国家法院判决中很少提及《公约》，而且为法官、检察官、警察和其他执法官员提供的关于《公约》所载权利的能力建设不足。</w:t>
      </w:r>
    </w:p>
    <w:p w14:paraId="3E7701F4" w14:textId="77777777" w:rsidR="009C6B1C" w:rsidRPr="005C3CB0" w:rsidRDefault="009C6B1C" w:rsidP="009C6B1C">
      <w:pPr>
        <w:pStyle w:val="SingleTxt"/>
        <w:rPr>
          <w:rFonts w:eastAsia="黑体"/>
        </w:rPr>
      </w:pPr>
      <w:r w:rsidRPr="009C6B1C">
        <w:rPr>
          <w:rFonts w:hint="eastAsia"/>
        </w:rPr>
        <w:t>13.</w:t>
      </w:r>
      <w:r w:rsidRPr="009C6B1C">
        <w:rPr>
          <w:rFonts w:hint="eastAsia"/>
        </w:rPr>
        <w:tab/>
      </w:r>
      <w:r w:rsidRPr="005C3CB0">
        <w:rPr>
          <w:rFonts w:eastAsia="黑体"/>
        </w:rPr>
        <w:t>委员会回顾关于妇女获得司法救助的第</w:t>
      </w:r>
      <w:r w:rsidRPr="005C3CB0">
        <w:rPr>
          <w:rFonts w:eastAsia="黑体"/>
        </w:rPr>
        <w:t>33</w:t>
      </w:r>
      <w:r w:rsidRPr="005C3CB0">
        <w:rPr>
          <w:rFonts w:eastAsia="黑体"/>
        </w:rPr>
        <w:t>号一般性建议</w:t>
      </w:r>
      <w:r w:rsidRPr="005C3CB0">
        <w:rPr>
          <w:rFonts w:eastAsia="黑体"/>
        </w:rPr>
        <w:t>(2015</w:t>
      </w:r>
      <w:r w:rsidRPr="005C3CB0">
        <w:rPr>
          <w:rFonts w:eastAsia="黑体"/>
        </w:rPr>
        <w:t>年</w:t>
      </w:r>
      <w:r w:rsidRPr="005C3CB0">
        <w:rPr>
          <w:rFonts w:eastAsia="黑体"/>
        </w:rPr>
        <w:t>)</w:t>
      </w:r>
      <w:r w:rsidRPr="005C3CB0">
        <w:rPr>
          <w:rFonts w:eastAsia="黑体"/>
        </w:rPr>
        <w:t>，建议缔约国：</w:t>
      </w:r>
    </w:p>
    <w:p w14:paraId="7692BEF0" w14:textId="71ECAEB8" w:rsidR="009C6B1C" w:rsidRPr="005C3CB0" w:rsidRDefault="009C6B1C" w:rsidP="009C6B1C">
      <w:pPr>
        <w:pStyle w:val="SingleTxt"/>
        <w:rPr>
          <w:rFonts w:eastAsia="黑体"/>
        </w:rPr>
      </w:pPr>
      <w:r w:rsidRPr="009C6B1C">
        <w:rPr>
          <w:rFonts w:hint="eastAsia"/>
        </w:rPr>
        <w:tab/>
      </w:r>
      <w:r w:rsidRPr="005C3CB0">
        <w:rPr>
          <w:rFonts w:eastAsia="黑体"/>
        </w:rPr>
        <w:t>(a)</w:t>
      </w:r>
      <w:r w:rsidR="005C3CB0" w:rsidRPr="005C3CB0">
        <w:rPr>
          <w:rFonts w:eastAsia="黑体"/>
        </w:rPr>
        <w:tab/>
      </w:r>
      <w:r w:rsidRPr="005C3CB0">
        <w:rPr>
          <w:rFonts w:eastAsia="黑体"/>
        </w:rPr>
        <w:t>采取一切必要措施，提高司法程序的效率和效力，确保在基于生理性别和社会性别的歧视案件中实行举证责任转移，提供充分和及时的司法救济，包括经济赔偿，消除受影响妇女对可能蒙受耻辱和受害的恐惧；</w:t>
      </w:r>
    </w:p>
    <w:p w14:paraId="76B3F119" w14:textId="1FF7C501" w:rsidR="009C6B1C" w:rsidRPr="005C3CB0" w:rsidRDefault="009C6B1C" w:rsidP="009C6B1C">
      <w:pPr>
        <w:pStyle w:val="SingleTxt"/>
        <w:rPr>
          <w:rFonts w:eastAsia="黑体"/>
        </w:rPr>
      </w:pPr>
      <w:r w:rsidRPr="005C3CB0">
        <w:rPr>
          <w:rFonts w:eastAsia="黑体"/>
        </w:rPr>
        <w:tab/>
        <w:t>(b)</w:t>
      </w:r>
      <w:r w:rsidR="005C3CB0" w:rsidRPr="005C3CB0">
        <w:rPr>
          <w:rFonts w:eastAsia="黑体"/>
        </w:rPr>
        <w:tab/>
      </w:r>
      <w:r w:rsidRPr="005C3CB0">
        <w:rPr>
          <w:rFonts w:eastAsia="黑体"/>
        </w:rPr>
        <w:t>采取一切必要措施，消除面临多种形式交叉歧视的妇女和女童、特别是罗姆妇女和其他弱势妇女群体在诉诸司法方面遇到的障碍；</w:t>
      </w:r>
    </w:p>
    <w:p w14:paraId="70354C48" w14:textId="4EC2E42F" w:rsidR="009C6B1C" w:rsidRPr="005C3CB0" w:rsidRDefault="009C6B1C" w:rsidP="009C6B1C">
      <w:pPr>
        <w:pStyle w:val="SingleTxt"/>
        <w:rPr>
          <w:rFonts w:eastAsia="黑体"/>
        </w:rPr>
      </w:pPr>
      <w:r w:rsidRPr="005C3CB0">
        <w:rPr>
          <w:rFonts w:eastAsia="黑体"/>
        </w:rPr>
        <w:tab/>
        <w:t>(c)</w:t>
      </w:r>
      <w:r w:rsidR="005C3CB0" w:rsidRPr="005C3CB0">
        <w:rPr>
          <w:rFonts w:eastAsia="黑体"/>
        </w:rPr>
        <w:tab/>
      </w:r>
      <w:r w:rsidRPr="005C3CB0">
        <w:rPr>
          <w:rFonts w:eastAsia="黑体"/>
        </w:rPr>
        <w:t>向法官、检察官、警察和其他执法官员提供关于基于生理性别和社会性别的歧视以及《公约》所载权利的能力建设，并确保警察对所有投诉进行适当登记，将受害者转介至专门机构，并起诉和惩罚犯罪行为。</w:t>
      </w:r>
    </w:p>
    <w:p w14:paraId="47BC5E44" w14:textId="77777777" w:rsidR="009C6B1C" w:rsidRPr="009C6B1C" w:rsidRDefault="009C6B1C" w:rsidP="005C3CB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C6B1C">
        <w:rPr>
          <w:rFonts w:hint="eastAsia"/>
        </w:rPr>
        <w:tab/>
      </w:r>
      <w:r w:rsidRPr="009C6B1C">
        <w:rPr>
          <w:rFonts w:hint="eastAsia"/>
        </w:rPr>
        <w:tab/>
      </w:r>
      <w:r w:rsidRPr="009C6B1C">
        <w:rPr>
          <w:rFonts w:hint="eastAsia"/>
        </w:rPr>
        <w:t>提高妇女地位的国家机构</w:t>
      </w:r>
    </w:p>
    <w:p w14:paraId="20793723" w14:textId="77777777" w:rsidR="009C6B1C" w:rsidRPr="009C6B1C" w:rsidRDefault="009C6B1C" w:rsidP="009C6B1C">
      <w:pPr>
        <w:pStyle w:val="SingleTxt"/>
      </w:pPr>
      <w:r w:rsidRPr="009C6B1C">
        <w:rPr>
          <w:rFonts w:hint="eastAsia"/>
        </w:rPr>
        <w:t>14.</w:t>
      </w:r>
      <w:r w:rsidRPr="009C6B1C">
        <w:rPr>
          <w:rFonts w:hint="eastAsia"/>
        </w:rPr>
        <w:tab/>
      </w:r>
      <w:r w:rsidRPr="009C6B1C">
        <w:rPr>
          <w:rFonts w:hint="eastAsia"/>
        </w:rPr>
        <w:t>委员会注意到，在履行任务，特别是执行</w:t>
      </w:r>
      <w:r w:rsidRPr="009C6B1C">
        <w:rPr>
          <w:rFonts w:hint="eastAsia"/>
        </w:rPr>
        <w:t>2021-2027</w:t>
      </w:r>
      <w:r w:rsidRPr="009C6B1C">
        <w:rPr>
          <w:rFonts w:hint="eastAsia"/>
        </w:rPr>
        <w:t>年男女平等和机会均等国家战略和行动计划方面，性别平等和机会均等司缺乏政治权威和协调能力。此外，委员会注意到，根据欧洲性别平等问题研究所的报告，只有支持家庭和反对堕胎的组织得到了司法部促进人权补贴计划的财政支持，从而使女权主义非政府组织被排除在外。</w:t>
      </w:r>
    </w:p>
    <w:p w14:paraId="65450AC9" w14:textId="77777777" w:rsidR="009C6B1C" w:rsidRPr="009C6B1C" w:rsidRDefault="009C6B1C" w:rsidP="009C6B1C">
      <w:pPr>
        <w:pStyle w:val="SingleTxt"/>
      </w:pPr>
      <w:r w:rsidRPr="009C6B1C">
        <w:rPr>
          <w:rFonts w:hint="eastAsia"/>
        </w:rPr>
        <w:t>15.</w:t>
      </w:r>
      <w:r w:rsidRPr="009C6B1C">
        <w:rPr>
          <w:rFonts w:hint="eastAsia"/>
        </w:rPr>
        <w:tab/>
      </w:r>
      <w:r w:rsidRPr="005C3CB0">
        <w:rPr>
          <w:rFonts w:ascii="黑体" w:eastAsia="黑体" w:hAnsi="黑体" w:hint="eastAsia"/>
        </w:rPr>
        <w:t>委员会建议缔约国：</w:t>
      </w:r>
    </w:p>
    <w:p w14:paraId="24BBAF64" w14:textId="5A34E8CB" w:rsidR="009C6B1C" w:rsidRPr="005C3CB0" w:rsidRDefault="009C6B1C" w:rsidP="009C6B1C">
      <w:pPr>
        <w:pStyle w:val="SingleTxt"/>
        <w:rPr>
          <w:rFonts w:eastAsia="黑体"/>
          <w:spacing w:val="-2"/>
        </w:rPr>
      </w:pPr>
      <w:r w:rsidRPr="005C3CB0">
        <w:rPr>
          <w:rFonts w:hint="eastAsia"/>
          <w:spacing w:val="-2"/>
        </w:rPr>
        <w:tab/>
      </w:r>
      <w:r w:rsidRPr="005C3CB0">
        <w:rPr>
          <w:rFonts w:eastAsia="黑体"/>
          <w:spacing w:val="-2"/>
        </w:rPr>
        <w:t>(a)</w:t>
      </w:r>
      <w:r w:rsidR="005C3CB0" w:rsidRPr="005C3CB0">
        <w:rPr>
          <w:rFonts w:eastAsia="黑体"/>
          <w:spacing w:val="-2"/>
        </w:rPr>
        <w:tab/>
      </w:r>
      <w:r w:rsidRPr="005C3CB0">
        <w:rPr>
          <w:rFonts w:eastAsia="黑体"/>
          <w:spacing w:val="-2"/>
        </w:rPr>
        <w:t>确保该司拥有协调和全面执行</w:t>
      </w:r>
      <w:r w:rsidRPr="005C3CB0">
        <w:rPr>
          <w:rFonts w:eastAsia="黑体"/>
          <w:spacing w:val="-2"/>
        </w:rPr>
        <w:t>2021-2027</w:t>
      </w:r>
      <w:r w:rsidRPr="005C3CB0">
        <w:rPr>
          <w:rFonts w:eastAsia="黑体"/>
          <w:spacing w:val="-2"/>
        </w:rPr>
        <w:t>年男女平等和机会均等国家战略和行动计划所需的决策能力和权威，包括为此划拨充足的技术、人力和财政资源；</w:t>
      </w:r>
    </w:p>
    <w:p w14:paraId="4F445828" w14:textId="3AD395AE" w:rsidR="009C6B1C" w:rsidRPr="005C3CB0" w:rsidRDefault="009C6B1C" w:rsidP="009C6B1C">
      <w:pPr>
        <w:pStyle w:val="SingleTxt"/>
        <w:rPr>
          <w:rFonts w:eastAsia="黑体"/>
        </w:rPr>
      </w:pPr>
      <w:r w:rsidRPr="005C3CB0">
        <w:rPr>
          <w:rFonts w:eastAsia="黑体"/>
        </w:rPr>
        <w:tab/>
        <w:t>(b)</w:t>
      </w:r>
      <w:r w:rsidR="005C3CB0" w:rsidRPr="005C3CB0">
        <w:rPr>
          <w:rFonts w:eastAsia="黑体"/>
        </w:rPr>
        <w:tab/>
      </w:r>
      <w:r w:rsidRPr="005C3CB0">
        <w:rPr>
          <w:rFonts w:eastAsia="黑体"/>
        </w:rPr>
        <w:t>如先前的结论性意见中所建议的那样</w:t>
      </w:r>
      <w:r w:rsidRPr="005C3CB0">
        <w:rPr>
          <w:rFonts w:eastAsia="黑体"/>
        </w:rPr>
        <w:t>(</w:t>
      </w:r>
      <w:hyperlink r:id="rId28" w:history="1">
        <w:r w:rsidRPr="005C3CB0">
          <w:rPr>
            <w:rStyle w:val="af4"/>
            <w:rFonts w:eastAsia="黑体"/>
          </w:rPr>
          <w:t>CEDAW/C/SVK/CO/5-6</w:t>
        </w:r>
      </w:hyperlink>
      <w:r w:rsidRPr="005C3CB0">
        <w:rPr>
          <w:rFonts w:eastAsia="黑体"/>
        </w:rPr>
        <w:t>，第</w:t>
      </w:r>
      <w:r w:rsidRPr="005C3CB0">
        <w:rPr>
          <w:rFonts w:eastAsia="黑体"/>
        </w:rPr>
        <w:t>15</w:t>
      </w:r>
      <w:r w:rsidRPr="005C3CB0">
        <w:rPr>
          <w:rFonts w:eastAsia="黑体"/>
        </w:rPr>
        <w:t>段</w:t>
      </w:r>
      <w:r w:rsidRPr="005C3CB0">
        <w:rPr>
          <w:rFonts w:eastAsia="黑体"/>
        </w:rPr>
        <w:t>)</w:t>
      </w:r>
      <w:r w:rsidRPr="005C3CB0">
        <w:rPr>
          <w:rFonts w:eastAsia="黑体"/>
        </w:rPr>
        <w:t>，根据包括《公约》在内的国际人权标准，制订关于资助非政府组织的明确和透明的资格标准，并监测其活动对促进性别平等和妇女享有权利的影响。</w:t>
      </w:r>
    </w:p>
    <w:p w14:paraId="0BF6E5A7" w14:textId="0AA2C21D" w:rsidR="009C6B1C" w:rsidRPr="009C6B1C" w:rsidRDefault="009C6B1C" w:rsidP="005C3CB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C6B1C">
        <w:rPr>
          <w:rFonts w:hint="eastAsia"/>
        </w:rPr>
        <w:tab/>
      </w:r>
      <w:r w:rsidRPr="009C6B1C">
        <w:rPr>
          <w:rFonts w:hint="eastAsia"/>
        </w:rPr>
        <w:tab/>
      </w:r>
      <w:r w:rsidRPr="009C6B1C">
        <w:rPr>
          <w:rFonts w:hint="eastAsia"/>
        </w:rPr>
        <w:t>国家人权机构</w:t>
      </w:r>
    </w:p>
    <w:p w14:paraId="19D4F975" w14:textId="77777777" w:rsidR="009C6B1C" w:rsidRPr="009C6B1C" w:rsidRDefault="009C6B1C" w:rsidP="009C6B1C">
      <w:pPr>
        <w:pStyle w:val="SingleTxt"/>
      </w:pPr>
      <w:r w:rsidRPr="009C6B1C">
        <w:rPr>
          <w:rFonts w:hint="eastAsia"/>
        </w:rPr>
        <w:t>16.</w:t>
      </w:r>
      <w:r w:rsidRPr="009C6B1C">
        <w:rPr>
          <w:rFonts w:hint="eastAsia"/>
        </w:rPr>
        <w:tab/>
      </w:r>
      <w:r w:rsidRPr="009C6B1C">
        <w:rPr>
          <w:rFonts w:hint="eastAsia"/>
        </w:rPr>
        <w:t>委员会注意到缔约国采取措施，加强国家人权中心提供免费法律服务和援助的能力，并注意到根据关于促进和保护人权的国家机构的地位的原则</w:t>
      </w:r>
      <w:r w:rsidRPr="009C6B1C">
        <w:rPr>
          <w:rFonts w:hint="eastAsia"/>
        </w:rPr>
        <w:t>(</w:t>
      </w:r>
      <w:r w:rsidRPr="009C6B1C">
        <w:rPr>
          <w:rFonts w:hint="eastAsia"/>
        </w:rPr>
        <w:t>《巴黎原则》</w:t>
      </w:r>
      <w:r w:rsidRPr="009C6B1C">
        <w:rPr>
          <w:rFonts w:hint="eastAsia"/>
        </w:rPr>
        <w:t>)</w:t>
      </w:r>
      <w:r w:rsidRPr="009C6B1C">
        <w:rPr>
          <w:rFonts w:hint="eastAsia"/>
        </w:rPr>
        <w:t>，该中心目前获得“</w:t>
      </w:r>
      <w:r w:rsidRPr="009C6B1C">
        <w:rPr>
          <w:rFonts w:hint="eastAsia"/>
        </w:rPr>
        <w:t>B</w:t>
      </w:r>
      <w:r w:rsidRPr="009C6B1C">
        <w:rPr>
          <w:rFonts w:hint="eastAsia"/>
        </w:rPr>
        <w:t>”级地位认证。但委员会感到关切的是，该中心的技术、人力和财政资源不足，其任务规定不够明确，独立履行任务的预算资源不足。</w:t>
      </w:r>
    </w:p>
    <w:p w14:paraId="1A72C36A" w14:textId="41701E12" w:rsidR="006E6568" w:rsidRDefault="009C6B1C" w:rsidP="009C6B1C">
      <w:pPr>
        <w:pStyle w:val="SingleTxt"/>
        <w:rPr>
          <w:rFonts w:ascii="黑体" w:eastAsia="黑体" w:hAnsi="黑体"/>
        </w:rPr>
      </w:pPr>
      <w:r w:rsidRPr="009C6B1C">
        <w:rPr>
          <w:rFonts w:hint="eastAsia"/>
        </w:rPr>
        <w:t>17.</w:t>
      </w:r>
      <w:r w:rsidRPr="009C6B1C">
        <w:rPr>
          <w:rFonts w:hint="eastAsia"/>
        </w:rPr>
        <w:tab/>
      </w:r>
      <w:r w:rsidRPr="005C3CB0">
        <w:rPr>
          <w:rFonts w:ascii="黑体" w:eastAsia="黑体" w:hAnsi="黑体" w:hint="eastAsia"/>
        </w:rPr>
        <w:t>委员会建议缔约国加强努力，为该中心划拨充足的技术、人力和财政资源，并确保充分遵守《巴黎原则》，特别是为此采取措施，保障该中心的政治和预算独立性。</w:t>
      </w:r>
    </w:p>
    <w:p w14:paraId="053E760E" w14:textId="77777777" w:rsidR="006E6568" w:rsidRDefault="006E6568">
      <w:pPr>
        <w:spacing w:line="240" w:lineRule="auto"/>
        <w:jc w:val="left"/>
        <w:rPr>
          <w:rFonts w:ascii="黑体" w:eastAsia="黑体" w:hAnsi="黑体"/>
        </w:rPr>
      </w:pPr>
      <w:r>
        <w:rPr>
          <w:rFonts w:ascii="黑体" w:eastAsia="黑体" w:hAnsi="黑体"/>
        </w:rPr>
        <w:br w:type="page"/>
      </w:r>
    </w:p>
    <w:p w14:paraId="3FBF7F0B" w14:textId="77777777" w:rsidR="009C6B1C" w:rsidRPr="009C6B1C" w:rsidRDefault="009C6B1C" w:rsidP="005C3CB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C6B1C">
        <w:rPr>
          <w:rFonts w:hint="eastAsia"/>
        </w:rPr>
        <w:tab/>
      </w:r>
      <w:r w:rsidRPr="009C6B1C">
        <w:rPr>
          <w:rFonts w:hint="eastAsia"/>
        </w:rPr>
        <w:tab/>
      </w:r>
      <w:r w:rsidRPr="009C6B1C">
        <w:rPr>
          <w:rFonts w:hint="eastAsia"/>
        </w:rPr>
        <w:t>暂行特别措施</w:t>
      </w:r>
    </w:p>
    <w:p w14:paraId="3079920D" w14:textId="77777777" w:rsidR="009C6B1C" w:rsidRPr="009C6B1C" w:rsidRDefault="009C6B1C" w:rsidP="009C6B1C">
      <w:pPr>
        <w:pStyle w:val="SingleTxt"/>
      </w:pPr>
      <w:r w:rsidRPr="009C6B1C">
        <w:rPr>
          <w:rFonts w:hint="eastAsia"/>
        </w:rPr>
        <w:t>18.</w:t>
      </w:r>
      <w:r w:rsidRPr="009C6B1C">
        <w:rPr>
          <w:rFonts w:hint="eastAsia"/>
        </w:rPr>
        <w:tab/>
      </w:r>
      <w:r w:rsidRPr="009C6B1C">
        <w:rPr>
          <w:rFonts w:hint="eastAsia"/>
        </w:rPr>
        <w:t>委员会欢迎缔约国执行名为“支持边缘化罗姆社区儿童的学前教育”和“你也有机会！”的国家项目，其目的是加快实现罗姆妇女事实上的平等或实质平等，改善妇女的工作与家庭生活平衡。但委员会关切地注意到，在“家庭与工作”项目下采取的行动反映出对暂行特别措施这一概念的适用有限，其侧重点是妇女的福祉，而不一定是促进实质平等。委员会还感到关切的是，根据</w:t>
      </w:r>
      <w:r w:rsidRPr="009C6B1C">
        <w:rPr>
          <w:rFonts w:hint="eastAsia"/>
        </w:rPr>
        <w:t>2022</w:t>
      </w:r>
      <w:r w:rsidRPr="009C6B1C">
        <w:rPr>
          <w:rFonts w:hint="eastAsia"/>
        </w:rPr>
        <w:t>年《全球性别差距报告》，缔约国在经济参与和机会方面的性别差距指数非常低。</w:t>
      </w:r>
    </w:p>
    <w:p w14:paraId="42E4DA62" w14:textId="77777777" w:rsidR="009C6B1C" w:rsidRPr="005C3CB0" w:rsidRDefault="009C6B1C" w:rsidP="009C6B1C">
      <w:pPr>
        <w:pStyle w:val="SingleTxt"/>
        <w:rPr>
          <w:rFonts w:eastAsia="黑体"/>
        </w:rPr>
      </w:pPr>
      <w:r w:rsidRPr="009C6B1C">
        <w:rPr>
          <w:rFonts w:hint="eastAsia"/>
        </w:rPr>
        <w:t>19.</w:t>
      </w:r>
      <w:r w:rsidRPr="009C6B1C">
        <w:rPr>
          <w:rFonts w:hint="eastAsia"/>
        </w:rPr>
        <w:tab/>
      </w:r>
      <w:r w:rsidRPr="005C3CB0">
        <w:rPr>
          <w:rFonts w:eastAsia="黑体"/>
        </w:rPr>
        <w:t>委员会回顾《公约》第四条第</w:t>
      </w:r>
      <w:r w:rsidRPr="005C3CB0">
        <w:rPr>
          <w:rFonts w:eastAsia="黑体"/>
        </w:rPr>
        <w:t>1</w:t>
      </w:r>
      <w:r w:rsidRPr="005C3CB0">
        <w:rPr>
          <w:rFonts w:eastAsia="黑体"/>
        </w:rPr>
        <w:t>款及其关于暂行特别措施的第</w:t>
      </w:r>
      <w:r w:rsidRPr="005C3CB0">
        <w:rPr>
          <w:rFonts w:eastAsia="黑体"/>
        </w:rPr>
        <w:t>25</w:t>
      </w:r>
      <w:r w:rsidRPr="005C3CB0">
        <w:rPr>
          <w:rFonts w:eastAsia="黑体"/>
        </w:rPr>
        <w:t>号一般性建议</w:t>
      </w:r>
      <w:r w:rsidRPr="005C3CB0">
        <w:rPr>
          <w:rFonts w:eastAsia="黑体"/>
        </w:rPr>
        <w:t>(2004</w:t>
      </w:r>
      <w:r w:rsidRPr="005C3CB0">
        <w:rPr>
          <w:rFonts w:eastAsia="黑体"/>
        </w:rPr>
        <w:t>年</w:t>
      </w:r>
      <w:r w:rsidRPr="005C3CB0">
        <w:rPr>
          <w:rFonts w:eastAsia="黑体"/>
        </w:rPr>
        <w:t>)</w:t>
      </w:r>
      <w:r w:rsidRPr="005C3CB0">
        <w:rPr>
          <w:rFonts w:eastAsia="黑体"/>
        </w:rPr>
        <w:t>，建议缔约国采取暂行特别措施，在妇女代表性不足或处于不利地位的领域，特别是在政治和经济生活中的决策和领导职位方面，实现男女实质平等，纠正性别工资差距，并对此设定有时限的具体目标和基准，同时惩处不遵守规定的行为。</w:t>
      </w:r>
    </w:p>
    <w:p w14:paraId="609ABD63" w14:textId="77777777" w:rsidR="009C6B1C" w:rsidRPr="009C6B1C" w:rsidRDefault="009C6B1C" w:rsidP="005C3CB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C6B1C">
        <w:rPr>
          <w:rFonts w:hint="eastAsia"/>
        </w:rPr>
        <w:tab/>
      </w:r>
      <w:r w:rsidRPr="009C6B1C">
        <w:rPr>
          <w:rFonts w:hint="eastAsia"/>
        </w:rPr>
        <w:tab/>
      </w:r>
      <w:r w:rsidRPr="009C6B1C">
        <w:rPr>
          <w:rFonts w:hint="eastAsia"/>
        </w:rPr>
        <w:t>性别成见</w:t>
      </w:r>
    </w:p>
    <w:p w14:paraId="2B606C5D" w14:textId="77777777" w:rsidR="009C6B1C" w:rsidRPr="009C6B1C" w:rsidRDefault="009C6B1C" w:rsidP="009C6B1C">
      <w:pPr>
        <w:pStyle w:val="SingleTxt"/>
      </w:pPr>
      <w:r w:rsidRPr="009C6B1C">
        <w:rPr>
          <w:rFonts w:hint="eastAsia"/>
        </w:rPr>
        <w:t>20.</w:t>
      </w:r>
      <w:r w:rsidRPr="009C6B1C">
        <w:rPr>
          <w:rFonts w:hint="eastAsia"/>
        </w:rPr>
        <w:tab/>
      </w:r>
      <w:r w:rsidRPr="009C6B1C">
        <w:rPr>
          <w:rFonts w:hint="eastAsia"/>
        </w:rPr>
        <w:t>委员会感到关切的是：</w:t>
      </w:r>
    </w:p>
    <w:p w14:paraId="2D29E6C1" w14:textId="77777777" w:rsidR="009C6B1C" w:rsidRPr="009C6B1C" w:rsidRDefault="009C6B1C" w:rsidP="009C6B1C">
      <w:pPr>
        <w:pStyle w:val="SingleTxt"/>
      </w:pPr>
      <w:r w:rsidRPr="009C6B1C">
        <w:rPr>
          <w:rFonts w:hint="eastAsia"/>
        </w:rPr>
        <w:tab/>
        <w:t>(a)</w:t>
      </w:r>
      <w:r w:rsidRPr="009C6B1C">
        <w:rPr>
          <w:rFonts w:hint="eastAsia"/>
        </w:rPr>
        <w:tab/>
      </w:r>
      <w:r w:rsidRPr="009C6B1C">
        <w:rPr>
          <w:rFonts w:hint="eastAsia"/>
        </w:rPr>
        <w:t>对男女在社会和家庭中的作用和责任的重男轻女的定型观念，以及妇女仍在承担过高比例的家庭和家务责任；</w:t>
      </w:r>
    </w:p>
    <w:p w14:paraId="3B865214" w14:textId="77777777" w:rsidR="009C6B1C" w:rsidRPr="009C6B1C" w:rsidRDefault="009C6B1C" w:rsidP="009C6B1C">
      <w:pPr>
        <w:pStyle w:val="SingleTxt"/>
      </w:pPr>
      <w:r w:rsidRPr="009C6B1C">
        <w:rPr>
          <w:rFonts w:hint="eastAsia"/>
        </w:rPr>
        <w:tab/>
        <w:t>(b)</w:t>
      </w:r>
      <w:r w:rsidRPr="009C6B1C">
        <w:rPr>
          <w:rFonts w:hint="eastAsia"/>
        </w:rPr>
        <w:tab/>
      </w:r>
      <w:r w:rsidRPr="009C6B1C">
        <w:rPr>
          <w:rFonts w:hint="eastAsia"/>
        </w:rPr>
        <w:t>以下方面的宣传运动，特别是通过社交媒体开展的此类宣传运动大幅增加，即宣传重男轻女的家庭价值观，过分强调妇女作为母亲和照顾者的作用，以及为性别平等措施贴上“性别意识形态”的标签，从而破坏了这些措施；</w:t>
      </w:r>
    </w:p>
    <w:p w14:paraId="2B07AC8C" w14:textId="77777777" w:rsidR="009C6B1C" w:rsidRPr="009C6B1C" w:rsidRDefault="009C6B1C" w:rsidP="009C6B1C">
      <w:pPr>
        <w:pStyle w:val="SingleTxt"/>
      </w:pPr>
      <w:r w:rsidRPr="009C6B1C">
        <w:rPr>
          <w:rFonts w:hint="eastAsia"/>
        </w:rPr>
        <w:tab/>
        <w:t>(c)</w:t>
      </w:r>
      <w:r w:rsidRPr="009C6B1C">
        <w:rPr>
          <w:rFonts w:hint="eastAsia"/>
        </w:rPr>
        <w:tab/>
      </w:r>
      <w:r w:rsidRPr="009C6B1C">
        <w:rPr>
          <w:rFonts w:hint="eastAsia"/>
        </w:rPr>
        <w:t>与性别有关的仇恨言论，特别是针对罗姆妇女、女跨性别者和女政治家的仇恨言论高发。</w:t>
      </w:r>
    </w:p>
    <w:p w14:paraId="6073442F" w14:textId="77777777" w:rsidR="009C6B1C" w:rsidRPr="005C3CB0" w:rsidRDefault="009C6B1C" w:rsidP="009C6B1C">
      <w:pPr>
        <w:pStyle w:val="SingleTxt"/>
        <w:rPr>
          <w:rFonts w:ascii="黑体" w:eastAsia="黑体" w:hAnsi="黑体"/>
        </w:rPr>
      </w:pPr>
      <w:r w:rsidRPr="009C6B1C">
        <w:rPr>
          <w:rFonts w:hint="eastAsia"/>
        </w:rPr>
        <w:t>21.</w:t>
      </w:r>
      <w:r w:rsidRPr="009C6B1C">
        <w:rPr>
          <w:rFonts w:hint="eastAsia"/>
        </w:rPr>
        <w:tab/>
      </w:r>
      <w:r w:rsidRPr="005C3CB0">
        <w:rPr>
          <w:rFonts w:ascii="黑体" w:eastAsia="黑体" w:hAnsi="黑体" w:hint="eastAsia"/>
        </w:rPr>
        <w:t>委员会敦促缔约国：</w:t>
      </w:r>
    </w:p>
    <w:p w14:paraId="410BAA4C" w14:textId="77777777" w:rsidR="009C6B1C" w:rsidRPr="005C3CB0" w:rsidRDefault="009C6B1C" w:rsidP="009C6B1C">
      <w:pPr>
        <w:pStyle w:val="SingleTxt"/>
        <w:rPr>
          <w:rFonts w:eastAsia="黑体"/>
        </w:rPr>
      </w:pPr>
      <w:r w:rsidRPr="005C3CB0">
        <w:rPr>
          <w:rFonts w:eastAsia="黑体"/>
        </w:rPr>
        <w:tab/>
        <w:t>(a)</w:t>
      </w:r>
      <w:r w:rsidRPr="005C3CB0">
        <w:rPr>
          <w:rFonts w:eastAsia="黑体"/>
        </w:rPr>
        <w:tab/>
      </w:r>
      <w:r w:rsidRPr="005C3CB0">
        <w:rPr>
          <w:rFonts w:eastAsia="黑体"/>
        </w:rPr>
        <w:t>拟订并执行一项有专项预算、并设定了有时限的具体目标和目标的全面战略，旨在消除对男女在家庭和社会中的角色和责任的歧视性陈规定型观念，内容包括宣传运动和教育举措；</w:t>
      </w:r>
    </w:p>
    <w:p w14:paraId="7790FCAC" w14:textId="77777777" w:rsidR="009C6B1C" w:rsidRPr="005C3CB0" w:rsidRDefault="009C6B1C" w:rsidP="009C6B1C">
      <w:pPr>
        <w:pStyle w:val="SingleTxt"/>
        <w:rPr>
          <w:rFonts w:eastAsia="黑体"/>
        </w:rPr>
      </w:pPr>
      <w:r w:rsidRPr="005C3CB0">
        <w:rPr>
          <w:rFonts w:eastAsia="黑体"/>
        </w:rPr>
        <w:tab/>
        <w:t>(b)</w:t>
      </w:r>
      <w:r w:rsidRPr="005C3CB0">
        <w:rPr>
          <w:rFonts w:eastAsia="黑体"/>
        </w:rPr>
        <w:tab/>
      </w:r>
      <w:r w:rsidRPr="005C3CB0">
        <w:rPr>
          <w:rFonts w:eastAsia="黑体"/>
        </w:rPr>
        <w:t>采取有效措施，根据包括《公约》在内的国际人权标准促进对性别平等的认识，抵制那些对追求性别平等进行贬低或诋毁的态度，并通过立法以加强国家标准，防止社交媒体中的仇恨言论和性别歧视；</w:t>
      </w:r>
    </w:p>
    <w:p w14:paraId="103A553D" w14:textId="74975F79" w:rsidR="009C6B1C" w:rsidRPr="005C3CB0" w:rsidRDefault="005C3CB0" w:rsidP="009C6B1C">
      <w:pPr>
        <w:pStyle w:val="SingleTxt"/>
        <w:rPr>
          <w:rFonts w:eastAsia="黑体"/>
        </w:rPr>
      </w:pPr>
      <w:r w:rsidRPr="005C3CB0">
        <w:rPr>
          <w:rFonts w:eastAsia="黑体"/>
        </w:rPr>
        <w:tab/>
      </w:r>
      <w:r w:rsidR="009C6B1C" w:rsidRPr="005C3CB0">
        <w:rPr>
          <w:rFonts w:eastAsia="黑体"/>
        </w:rPr>
        <w:t>(c)</w:t>
      </w:r>
      <w:r w:rsidR="009C6B1C" w:rsidRPr="005C3CB0">
        <w:rPr>
          <w:rFonts w:eastAsia="黑体"/>
        </w:rPr>
        <w:tab/>
      </w:r>
      <w:r w:rsidR="009C6B1C" w:rsidRPr="005C3CB0">
        <w:rPr>
          <w:rFonts w:eastAsia="黑体"/>
        </w:rPr>
        <w:t>采取步骤，将性别歧视、厌恶女性和其他形式的与性别有关的仇恨言论，包括针对罗姆妇女、女跨性别者和女政治家的仇恨言论定为刑事犯罪。</w:t>
      </w:r>
    </w:p>
    <w:p w14:paraId="28E4B74A" w14:textId="77777777" w:rsidR="009C6B1C" w:rsidRPr="005C3CB0" w:rsidRDefault="009C6B1C" w:rsidP="005C3CB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C3CB0">
        <w:tab/>
      </w:r>
      <w:r w:rsidRPr="005C3CB0">
        <w:tab/>
      </w:r>
      <w:r w:rsidRPr="005C3CB0">
        <w:t>对妇女的性别暴力</w:t>
      </w:r>
    </w:p>
    <w:p w14:paraId="69585936" w14:textId="77777777" w:rsidR="009C6B1C" w:rsidRPr="009C6B1C" w:rsidRDefault="009C6B1C" w:rsidP="009C6B1C">
      <w:pPr>
        <w:pStyle w:val="SingleTxt"/>
      </w:pPr>
      <w:r w:rsidRPr="009C6B1C">
        <w:rPr>
          <w:rFonts w:hint="eastAsia"/>
        </w:rPr>
        <w:t>22.</w:t>
      </w:r>
      <w:r w:rsidRPr="009C6B1C">
        <w:rPr>
          <w:rFonts w:hint="eastAsia"/>
        </w:rPr>
        <w:tab/>
      </w:r>
      <w:r w:rsidRPr="009C6B1C">
        <w:rPr>
          <w:rFonts w:hint="eastAsia"/>
        </w:rPr>
        <w:t>委员会感到关切的是：</w:t>
      </w:r>
    </w:p>
    <w:p w14:paraId="7D6369D2" w14:textId="77777777" w:rsidR="009C6B1C" w:rsidRPr="009C6B1C" w:rsidRDefault="009C6B1C" w:rsidP="009C6B1C">
      <w:pPr>
        <w:pStyle w:val="SingleTxt"/>
      </w:pPr>
      <w:r w:rsidRPr="009C6B1C">
        <w:rPr>
          <w:rFonts w:hint="eastAsia"/>
        </w:rPr>
        <w:tab/>
        <w:t>(a)</w:t>
      </w:r>
      <w:r w:rsidRPr="009C6B1C">
        <w:rPr>
          <w:rFonts w:hint="eastAsia"/>
        </w:rPr>
        <w:tab/>
      </w:r>
      <w:r w:rsidRPr="009C6B1C">
        <w:rPr>
          <w:rFonts w:hint="eastAsia"/>
        </w:rPr>
        <w:t>《刑法典》中没有对家庭暴力这一罪行的具体定义，对亲密伴侣间暴力和杀害女性行为的施害者的惩罚不足；</w:t>
      </w:r>
    </w:p>
    <w:p w14:paraId="69DF8B22" w14:textId="77777777" w:rsidR="009C6B1C" w:rsidRPr="009C6B1C" w:rsidRDefault="009C6B1C" w:rsidP="009C6B1C">
      <w:pPr>
        <w:pStyle w:val="SingleTxt"/>
      </w:pPr>
      <w:r w:rsidRPr="009C6B1C">
        <w:rPr>
          <w:rFonts w:hint="eastAsia"/>
        </w:rPr>
        <w:tab/>
        <w:t>(b)</w:t>
      </w:r>
      <w:r w:rsidRPr="009C6B1C">
        <w:rPr>
          <w:rFonts w:hint="eastAsia"/>
        </w:rPr>
        <w:tab/>
      </w:r>
      <w:r w:rsidRPr="009C6B1C">
        <w:rPr>
          <w:rFonts w:hint="eastAsia"/>
        </w:rPr>
        <w:t>举报的案件中包括以下案件，即未将施虐者赶出家庭，暴力事件被淡化为轻罪，未被当作犯罪处理，或施暴者仅受到口头警告；</w:t>
      </w:r>
    </w:p>
    <w:p w14:paraId="3FE97C48" w14:textId="77777777" w:rsidR="009C6B1C" w:rsidRPr="009C6B1C" w:rsidRDefault="009C6B1C" w:rsidP="009C6B1C">
      <w:pPr>
        <w:pStyle w:val="SingleTxt"/>
      </w:pPr>
      <w:r w:rsidRPr="009C6B1C">
        <w:rPr>
          <w:rFonts w:hint="eastAsia"/>
        </w:rPr>
        <w:tab/>
        <w:t>(c)</w:t>
      </w:r>
      <w:r w:rsidRPr="009C6B1C">
        <w:rPr>
          <w:rFonts w:hint="eastAsia"/>
        </w:rPr>
        <w:tab/>
      </w:r>
      <w:r w:rsidRPr="009C6B1C">
        <w:rPr>
          <w:rFonts w:hint="eastAsia"/>
        </w:rPr>
        <w:t>全国各地，特别是农村地区的庇护所分布不均，缺乏负担得起的公共住房或租金受管制的住房，从而使家庭暴力受害者被迫返回有虐待行为的家庭，以及没有面向身体暴力和性暴力幸存受害者的、负担得起且易于获得的保健服务和康复方案；</w:t>
      </w:r>
    </w:p>
    <w:p w14:paraId="7B51A354" w14:textId="77777777" w:rsidR="009C6B1C" w:rsidRPr="009C6B1C" w:rsidRDefault="009C6B1C" w:rsidP="009C6B1C">
      <w:pPr>
        <w:pStyle w:val="SingleTxt"/>
      </w:pPr>
      <w:r w:rsidRPr="009C6B1C">
        <w:rPr>
          <w:rFonts w:hint="eastAsia"/>
        </w:rPr>
        <w:tab/>
        <w:t>(d)</w:t>
      </w:r>
      <w:r w:rsidRPr="009C6B1C">
        <w:rPr>
          <w:rFonts w:hint="eastAsia"/>
        </w:rPr>
        <w:tab/>
      </w:r>
      <w:r w:rsidRPr="009C6B1C">
        <w:rPr>
          <w:rFonts w:hint="eastAsia"/>
        </w:rPr>
        <w:t>在儿童监护权和探视权诉讼中，要求家庭暴力中的受害妇女进行参与，以达成和解办法并改善与其前伴侣的沟通，从而使她们面临遭到更多暴力和二次受害的风险。</w:t>
      </w:r>
    </w:p>
    <w:p w14:paraId="05F3D12B" w14:textId="77777777" w:rsidR="009C6B1C" w:rsidRPr="005C3CB0" w:rsidRDefault="009C6B1C" w:rsidP="009C6B1C">
      <w:pPr>
        <w:pStyle w:val="SingleTxt"/>
        <w:rPr>
          <w:rFonts w:eastAsia="黑体"/>
        </w:rPr>
      </w:pPr>
      <w:r w:rsidRPr="009C6B1C">
        <w:rPr>
          <w:rFonts w:hint="eastAsia"/>
        </w:rPr>
        <w:t>23.</w:t>
      </w:r>
      <w:r w:rsidRPr="009C6B1C">
        <w:rPr>
          <w:rFonts w:hint="eastAsia"/>
        </w:rPr>
        <w:tab/>
      </w:r>
      <w:r w:rsidRPr="005C3CB0">
        <w:rPr>
          <w:rFonts w:eastAsia="黑体"/>
        </w:rPr>
        <w:t>委员会回顾其关于基于性别的暴力侵害妇女行为的第</w:t>
      </w:r>
      <w:r w:rsidRPr="005C3CB0">
        <w:rPr>
          <w:rFonts w:eastAsia="黑体"/>
        </w:rPr>
        <w:t>35</w:t>
      </w:r>
      <w:r w:rsidRPr="005C3CB0">
        <w:rPr>
          <w:rFonts w:eastAsia="黑体"/>
        </w:rPr>
        <w:t>号一般性建议</w:t>
      </w:r>
      <w:r w:rsidRPr="005C3CB0">
        <w:rPr>
          <w:rFonts w:eastAsia="黑体"/>
        </w:rPr>
        <w:t>(2017</w:t>
      </w:r>
      <w:r w:rsidRPr="005C3CB0">
        <w:rPr>
          <w:rFonts w:eastAsia="黑体"/>
        </w:rPr>
        <w:t>年，更新第</w:t>
      </w:r>
      <w:r w:rsidRPr="005C3CB0">
        <w:rPr>
          <w:rFonts w:eastAsia="黑体"/>
        </w:rPr>
        <w:t>19</w:t>
      </w:r>
      <w:r w:rsidRPr="005C3CB0">
        <w:rPr>
          <w:rFonts w:eastAsia="黑体"/>
        </w:rPr>
        <w:t>号一般性建议</w:t>
      </w:r>
      <w:r w:rsidRPr="005C3CB0">
        <w:rPr>
          <w:rFonts w:eastAsia="黑体"/>
        </w:rPr>
        <w:t>)</w:t>
      </w:r>
      <w:r w:rsidRPr="005C3CB0">
        <w:rPr>
          <w:rFonts w:eastAsia="黑体"/>
        </w:rPr>
        <w:t>，敦促缔约国：</w:t>
      </w:r>
    </w:p>
    <w:p w14:paraId="75AC17A3" w14:textId="77777777" w:rsidR="009C6B1C" w:rsidRPr="005C3CB0" w:rsidRDefault="009C6B1C" w:rsidP="009C6B1C">
      <w:pPr>
        <w:pStyle w:val="SingleTxt"/>
        <w:rPr>
          <w:rFonts w:eastAsia="黑体"/>
        </w:rPr>
      </w:pPr>
      <w:r w:rsidRPr="005C3CB0">
        <w:rPr>
          <w:rFonts w:eastAsia="黑体"/>
        </w:rPr>
        <w:tab/>
        <w:t>(a)</w:t>
      </w:r>
      <w:r w:rsidRPr="005C3CB0">
        <w:rPr>
          <w:rFonts w:eastAsia="黑体"/>
        </w:rPr>
        <w:tab/>
      </w:r>
      <w:r w:rsidRPr="005C3CB0">
        <w:rPr>
          <w:rFonts w:eastAsia="黑体"/>
        </w:rPr>
        <w:t>加快颁布关于防止和消除暴力侵害妇女行为的全面立法，并加快修正《刑法典》，以便将家庭暴力列入暴力犯罪类别，并加大对亲密伴侣间暴力和杀害女性行为的惩罚力度；</w:t>
      </w:r>
    </w:p>
    <w:p w14:paraId="6613D12F" w14:textId="77777777" w:rsidR="009C6B1C" w:rsidRPr="005C3CB0" w:rsidRDefault="009C6B1C" w:rsidP="009C6B1C">
      <w:pPr>
        <w:pStyle w:val="SingleTxt"/>
        <w:rPr>
          <w:rFonts w:eastAsia="黑体"/>
        </w:rPr>
      </w:pPr>
      <w:r w:rsidRPr="005C3CB0">
        <w:rPr>
          <w:rFonts w:eastAsia="黑体"/>
        </w:rPr>
        <w:tab/>
        <w:t>(b)</w:t>
      </w:r>
      <w:r w:rsidRPr="005C3CB0">
        <w:rPr>
          <w:rFonts w:eastAsia="黑体"/>
        </w:rPr>
        <w:tab/>
      </w:r>
      <w:r w:rsidRPr="005C3CB0">
        <w:rPr>
          <w:rFonts w:eastAsia="黑体"/>
        </w:rPr>
        <w:t>为法官、检察官、警察和其他执法官员开展强制性的持续能力建设，确保有效调查和起诉性别暴力，包括对妇女的性暴力，并确保施害者受到适当惩罚，以及受害人保护令得到适当执行；</w:t>
      </w:r>
    </w:p>
    <w:p w14:paraId="214CD36A" w14:textId="77777777" w:rsidR="009C6B1C" w:rsidRPr="005C3CB0" w:rsidRDefault="009C6B1C" w:rsidP="009C6B1C">
      <w:pPr>
        <w:pStyle w:val="SingleTxt"/>
        <w:rPr>
          <w:rFonts w:eastAsia="黑体"/>
        </w:rPr>
      </w:pPr>
      <w:r w:rsidRPr="005C3CB0">
        <w:rPr>
          <w:rFonts w:eastAsia="黑体"/>
        </w:rPr>
        <w:tab/>
        <w:t>(c)</w:t>
      </w:r>
      <w:r w:rsidRPr="005C3CB0">
        <w:rPr>
          <w:rFonts w:eastAsia="黑体"/>
        </w:rPr>
        <w:tab/>
      </w:r>
      <w:r w:rsidRPr="005C3CB0">
        <w:rPr>
          <w:rFonts w:eastAsia="黑体"/>
        </w:rPr>
        <w:t>确保在缔约国全境为遭受性别暴力的妇女和女童提供庇护所并为庇护所提供适足资金；统一庇护所的登记程序；向所有遭受身体暴力和性暴力的受害者提供法律、医疗和心理援助，并提供技能培训和教育；</w:t>
      </w:r>
    </w:p>
    <w:p w14:paraId="1B574D18" w14:textId="77777777" w:rsidR="009C6B1C" w:rsidRPr="005C3CB0" w:rsidRDefault="009C6B1C" w:rsidP="009C6B1C">
      <w:pPr>
        <w:pStyle w:val="SingleTxt"/>
        <w:rPr>
          <w:rFonts w:eastAsia="黑体"/>
        </w:rPr>
      </w:pPr>
      <w:r w:rsidRPr="005C3CB0">
        <w:rPr>
          <w:rFonts w:eastAsia="黑体"/>
        </w:rPr>
        <w:tab/>
        <w:t>(d)</w:t>
      </w:r>
      <w:r w:rsidRPr="005C3CB0">
        <w:rPr>
          <w:rFonts w:eastAsia="黑体"/>
        </w:rPr>
        <w:tab/>
      </w:r>
      <w:r w:rsidRPr="005C3CB0">
        <w:rPr>
          <w:rFonts w:eastAsia="黑体"/>
        </w:rPr>
        <w:t>确保在儿童监护权和探视权诉讼中充分考虑到家庭暴力问题，以防止受害者进一步面临风险。</w:t>
      </w:r>
    </w:p>
    <w:p w14:paraId="7F356569" w14:textId="3B197C05" w:rsidR="009C6B1C" w:rsidRPr="009C6B1C" w:rsidRDefault="009C6B1C" w:rsidP="005C3CB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C6B1C">
        <w:rPr>
          <w:rFonts w:hint="eastAsia"/>
        </w:rPr>
        <w:tab/>
      </w:r>
      <w:r w:rsidRPr="009C6B1C">
        <w:rPr>
          <w:rFonts w:hint="eastAsia"/>
        </w:rPr>
        <w:tab/>
      </w:r>
      <w:r w:rsidRPr="009C6B1C">
        <w:rPr>
          <w:rFonts w:hint="eastAsia"/>
        </w:rPr>
        <w:t>贩运人口和利用卖淫营利</w:t>
      </w:r>
    </w:p>
    <w:p w14:paraId="3E80693A" w14:textId="77777777" w:rsidR="009C6B1C" w:rsidRPr="009C6B1C" w:rsidRDefault="009C6B1C" w:rsidP="009C6B1C">
      <w:pPr>
        <w:pStyle w:val="SingleTxt"/>
      </w:pPr>
      <w:r w:rsidRPr="009C6B1C">
        <w:rPr>
          <w:rFonts w:hint="eastAsia"/>
        </w:rPr>
        <w:t>24.</w:t>
      </w:r>
      <w:r w:rsidRPr="009C6B1C">
        <w:rPr>
          <w:rFonts w:hint="eastAsia"/>
        </w:rPr>
        <w:tab/>
      </w:r>
      <w:r w:rsidRPr="009C6B1C">
        <w:rPr>
          <w:rFonts w:hint="eastAsia"/>
        </w:rPr>
        <w:t>委员会注意到支持和保护人口贩运受害者的方案仍在继续，打击人口贩运和预防犯罪信息中心仍在运行。但委员会关切地注意到：</w:t>
      </w:r>
    </w:p>
    <w:p w14:paraId="5F51A81D" w14:textId="77777777" w:rsidR="009C6B1C" w:rsidRPr="009C6B1C" w:rsidRDefault="009C6B1C" w:rsidP="009C6B1C">
      <w:pPr>
        <w:pStyle w:val="SingleTxt"/>
      </w:pPr>
      <w:r w:rsidRPr="009C6B1C">
        <w:rPr>
          <w:rFonts w:hint="eastAsia"/>
        </w:rPr>
        <w:tab/>
        <w:t>(a)</w:t>
      </w:r>
      <w:r w:rsidRPr="009C6B1C">
        <w:rPr>
          <w:rFonts w:hint="eastAsia"/>
        </w:rPr>
        <w:tab/>
      </w:r>
      <w:r w:rsidRPr="009C6B1C">
        <w:rPr>
          <w:rFonts w:hint="eastAsia"/>
        </w:rPr>
        <w:t>没有提供资料说明以下法律修正案草案的现状，即拟议加重对贩运人口行为的处罚以及将向被贩卖者购买性服务定为刑事犯罪；</w:t>
      </w:r>
    </w:p>
    <w:p w14:paraId="5AAB5CC4" w14:textId="77777777" w:rsidR="009C6B1C" w:rsidRPr="009C6B1C" w:rsidRDefault="009C6B1C" w:rsidP="009C6B1C">
      <w:pPr>
        <w:pStyle w:val="SingleTxt"/>
      </w:pPr>
      <w:r w:rsidRPr="009C6B1C">
        <w:rPr>
          <w:rFonts w:hint="eastAsia"/>
        </w:rPr>
        <w:tab/>
        <w:t>(b)</w:t>
      </w:r>
      <w:r w:rsidRPr="009C6B1C">
        <w:rPr>
          <w:rFonts w:hint="eastAsia"/>
        </w:rPr>
        <w:tab/>
      </w:r>
      <w:r w:rsidRPr="009C6B1C">
        <w:rPr>
          <w:rFonts w:hint="eastAsia"/>
        </w:rPr>
        <w:t>没有采取措施查明卖淫妇女中的被贩卖者，而且没有采取措施确保受害者能向执法当局举报此类案件而不担心遭到报复；</w:t>
      </w:r>
    </w:p>
    <w:p w14:paraId="7B12AB2F" w14:textId="77777777" w:rsidR="009C6B1C" w:rsidRPr="009C6B1C" w:rsidRDefault="009C6B1C" w:rsidP="009C6B1C">
      <w:pPr>
        <w:pStyle w:val="SingleTxt"/>
      </w:pPr>
      <w:r w:rsidRPr="009C6B1C">
        <w:rPr>
          <w:rFonts w:hint="eastAsia"/>
        </w:rPr>
        <w:tab/>
        <w:t>(c)</w:t>
      </w:r>
      <w:r w:rsidRPr="009C6B1C">
        <w:rPr>
          <w:rFonts w:hint="eastAsia"/>
        </w:rPr>
        <w:tab/>
      </w:r>
      <w:r w:rsidRPr="009C6B1C">
        <w:rPr>
          <w:rFonts w:hint="eastAsia"/>
        </w:rPr>
        <w:t>没有提供资料说明为实现以下目标采取了哪些措施，即改进贩运案件的调查技巧，以便不完全依赖证词，并确保起诉和充分惩处贩运相关罪行的犯罪人；</w:t>
      </w:r>
    </w:p>
    <w:p w14:paraId="163E1E11" w14:textId="77777777" w:rsidR="009C6B1C" w:rsidRPr="009C6B1C" w:rsidRDefault="009C6B1C" w:rsidP="009C6B1C">
      <w:pPr>
        <w:pStyle w:val="SingleTxt"/>
      </w:pPr>
      <w:r w:rsidRPr="009C6B1C">
        <w:rPr>
          <w:rFonts w:hint="eastAsia"/>
        </w:rPr>
        <w:tab/>
        <w:t>(d)</w:t>
      </w:r>
      <w:r w:rsidRPr="009C6B1C">
        <w:rPr>
          <w:rFonts w:hint="eastAsia"/>
        </w:rPr>
        <w:tab/>
      </w:r>
      <w:r w:rsidRPr="009C6B1C">
        <w:rPr>
          <w:rFonts w:hint="eastAsia"/>
        </w:rPr>
        <w:t>罗姆妇女和女童的强迫婚姻被确认为贩运人口罪，但却未被当作贩运人口罪起诉。</w:t>
      </w:r>
    </w:p>
    <w:p w14:paraId="68142C8B" w14:textId="77777777" w:rsidR="009C6B1C" w:rsidRPr="00C635CC" w:rsidRDefault="009C6B1C" w:rsidP="009C6B1C">
      <w:pPr>
        <w:pStyle w:val="SingleTxt"/>
        <w:rPr>
          <w:rFonts w:eastAsia="黑体"/>
        </w:rPr>
      </w:pPr>
      <w:r w:rsidRPr="009C6B1C">
        <w:rPr>
          <w:rFonts w:hint="eastAsia"/>
        </w:rPr>
        <w:t>25.</w:t>
      </w:r>
      <w:r w:rsidRPr="009C6B1C">
        <w:rPr>
          <w:rFonts w:hint="eastAsia"/>
        </w:rPr>
        <w:tab/>
      </w:r>
      <w:r w:rsidRPr="00C635CC">
        <w:rPr>
          <w:rFonts w:eastAsia="黑体"/>
        </w:rPr>
        <w:t>委员会回顾关于全球移民背景下贩运妇女和女童问题的第</w:t>
      </w:r>
      <w:r w:rsidRPr="00C635CC">
        <w:rPr>
          <w:rFonts w:eastAsia="黑体"/>
        </w:rPr>
        <w:t>38</w:t>
      </w:r>
      <w:r w:rsidRPr="00C635CC">
        <w:rPr>
          <w:rFonts w:eastAsia="黑体"/>
        </w:rPr>
        <w:t>号一般性建议</w:t>
      </w:r>
      <w:r w:rsidRPr="00C635CC">
        <w:rPr>
          <w:rFonts w:eastAsia="黑体"/>
        </w:rPr>
        <w:t>(2020</w:t>
      </w:r>
      <w:r w:rsidRPr="00C635CC">
        <w:rPr>
          <w:rFonts w:eastAsia="黑体"/>
        </w:rPr>
        <w:t>年</w:t>
      </w:r>
      <w:r w:rsidRPr="00C635CC">
        <w:rPr>
          <w:rFonts w:eastAsia="黑体"/>
        </w:rPr>
        <w:t>)</w:t>
      </w:r>
      <w:r w:rsidRPr="00C635CC">
        <w:rPr>
          <w:rFonts w:eastAsia="黑体"/>
        </w:rPr>
        <w:t>，建议缔约国：</w:t>
      </w:r>
    </w:p>
    <w:p w14:paraId="68FDBD71" w14:textId="77777777" w:rsidR="009C6B1C" w:rsidRPr="00C635CC" w:rsidRDefault="009C6B1C" w:rsidP="009C6B1C">
      <w:pPr>
        <w:pStyle w:val="SingleTxt"/>
        <w:rPr>
          <w:rFonts w:eastAsia="黑体"/>
        </w:rPr>
      </w:pPr>
      <w:r w:rsidRPr="00C635CC">
        <w:rPr>
          <w:rFonts w:eastAsia="黑体"/>
        </w:rPr>
        <w:tab/>
        <w:t>(a)</w:t>
      </w:r>
      <w:r w:rsidRPr="00C635CC">
        <w:rPr>
          <w:rFonts w:eastAsia="黑体"/>
        </w:rPr>
        <w:tab/>
      </w:r>
      <w:r w:rsidRPr="00C635CC">
        <w:rPr>
          <w:rFonts w:eastAsia="黑体"/>
        </w:rPr>
        <w:t>加快修正《刑法典》，以加重对贩运人口的处罚，并将向被贩卖者购买性服务定为刑事犯罪；</w:t>
      </w:r>
    </w:p>
    <w:p w14:paraId="695975EF" w14:textId="77777777" w:rsidR="009C6B1C" w:rsidRPr="00C635CC" w:rsidRDefault="009C6B1C" w:rsidP="009C6B1C">
      <w:pPr>
        <w:pStyle w:val="SingleTxt"/>
        <w:rPr>
          <w:rFonts w:eastAsia="黑体"/>
        </w:rPr>
      </w:pPr>
      <w:r w:rsidRPr="00C635CC">
        <w:rPr>
          <w:rFonts w:eastAsia="黑体"/>
        </w:rPr>
        <w:tab/>
        <w:t>(b)</w:t>
      </w:r>
      <w:r w:rsidRPr="00C635CC">
        <w:rPr>
          <w:rFonts w:eastAsia="黑体"/>
        </w:rPr>
        <w:tab/>
      </w:r>
      <w:r w:rsidRPr="00C635CC">
        <w:rPr>
          <w:rFonts w:eastAsia="黑体"/>
        </w:rPr>
        <w:t>向法官、检察官、警察和其他执法官员、边境管制人员、保健提供者和其他应急响应人员提供能力建设，以确保查明被贩卖者，包括卖淫妇女中的被贩卖者，并将其转介给适当的保护和康复机构，确保对所有案件进行有效调查和起诉并惩罚犯罪人；</w:t>
      </w:r>
    </w:p>
    <w:p w14:paraId="280E4285" w14:textId="77777777" w:rsidR="009C6B1C" w:rsidRPr="00C635CC" w:rsidRDefault="009C6B1C" w:rsidP="009C6B1C">
      <w:pPr>
        <w:pStyle w:val="SingleTxt"/>
        <w:rPr>
          <w:rFonts w:eastAsia="黑体"/>
        </w:rPr>
      </w:pPr>
      <w:r w:rsidRPr="00C635CC">
        <w:rPr>
          <w:rFonts w:eastAsia="黑体"/>
        </w:rPr>
        <w:tab/>
        <w:t>(c)</w:t>
      </w:r>
      <w:r w:rsidRPr="00C635CC">
        <w:rPr>
          <w:rFonts w:eastAsia="黑体"/>
        </w:rPr>
        <w:tab/>
      </w:r>
      <w:r w:rsidRPr="00C635CC">
        <w:rPr>
          <w:rFonts w:eastAsia="黑体"/>
        </w:rPr>
        <w:t>采取目标明确的措施，以防止贩运罗姆人社区的妇女和女童的行为，包括系统地开展公共认识运动，并确保所有案件都作为贩运罪起诉。</w:t>
      </w:r>
    </w:p>
    <w:p w14:paraId="461AA2FC" w14:textId="77777777" w:rsidR="009C6B1C" w:rsidRPr="00C635CC" w:rsidRDefault="009C6B1C" w:rsidP="00C635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635CC">
        <w:tab/>
      </w:r>
      <w:r w:rsidRPr="00C635CC">
        <w:tab/>
      </w:r>
      <w:r w:rsidRPr="00C635CC">
        <w:t>平等参与政治和公共生活</w:t>
      </w:r>
    </w:p>
    <w:p w14:paraId="06EB8002" w14:textId="77777777" w:rsidR="009C6B1C" w:rsidRPr="009C6B1C" w:rsidRDefault="009C6B1C" w:rsidP="009C6B1C">
      <w:pPr>
        <w:pStyle w:val="SingleTxt"/>
      </w:pPr>
      <w:r w:rsidRPr="009C6B1C">
        <w:rPr>
          <w:rFonts w:hint="eastAsia"/>
        </w:rPr>
        <w:t>26.</w:t>
      </w:r>
      <w:r w:rsidRPr="009C6B1C">
        <w:rPr>
          <w:rFonts w:hint="eastAsia"/>
        </w:rPr>
        <w:tab/>
      </w:r>
      <w:r w:rsidRPr="009C6B1C">
        <w:rPr>
          <w:rFonts w:hint="eastAsia"/>
        </w:rPr>
        <w:t>委员会欢迎妇女在司法系统中的任职人数较多。然而，委员会仍感关切的是，妇女在议会和政府中的任职人数较低，而且在外交部门高级职位、国有和私营企业高级和管理职位以及董事会中，妇女的任职人数不足。</w:t>
      </w:r>
    </w:p>
    <w:p w14:paraId="139A73C4" w14:textId="427D424A" w:rsidR="009C6B1C" w:rsidRPr="00C635CC" w:rsidRDefault="009C6B1C" w:rsidP="009C6B1C">
      <w:pPr>
        <w:pStyle w:val="SingleTxt"/>
        <w:rPr>
          <w:rFonts w:eastAsia="黑体"/>
          <w:spacing w:val="2"/>
        </w:rPr>
      </w:pPr>
      <w:r w:rsidRPr="00C635CC">
        <w:rPr>
          <w:rFonts w:hint="eastAsia"/>
          <w:spacing w:val="2"/>
        </w:rPr>
        <w:t>27.</w:t>
      </w:r>
      <w:r w:rsidRPr="00C635CC">
        <w:rPr>
          <w:rFonts w:hint="eastAsia"/>
          <w:spacing w:val="2"/>
        </w:rPr>
        <w:tab/>
      </w:r>
      <w:r w:rsidRPr="00C635CC">
        <w:rPr>
          <w:rFonts w:eastAsia="黑体"/>
          <w:spacing w:val="2"/>
        </w:rPr>
        <w:t>委员会重申其先前的结论性意见中的建议</w:t>
      </w:r>
      <w:r w:rsidRPr="00C635CC">
        <w:rPr>
          <w:rFonts w:eastAsia="黑体"/>
          <w:spacing w:val="2"/>
        </w:rPr>
        <w:t>(</w:t>
      </w:r>
      <w:hyperlink r:id="rId29" w:history="1">
        <w:r w:rsidRPr="00C635CC">
          <w:rPr>
            <w:rStyle w:val="af4"/>
            <w:rFonts w:eastAsia="黑体"/>
            <w:spacing w:val="2"/>
          </w:rPr>
          <w:t>CEDAW/C/SVK/CO/5-6</w:t>
        </w:r>
      </w:hyperlink>
      <w:r w:rsidRPr="00C635CC">
        <w:rPr>
          <w:rFonts w:eastAsia="黑体"/>
          <w:spacing w:val="2"/>
        </w:rPr>
        <w:t>，第</w:t>
      </w:r>
      <w:r w:rsidRPr="00C635CC">
        <w:rPr>
          <w:rFonts w:eastAsia="黑体"/>
          <w:spacing w:val="2"/>
        </w:rPr>
        <w:t>25</w:t>
      </w:r>
      <w:r w:rsidRPr="00C635CC">
        <w:rPr>
          <w:rFonts w:eastAsia="黑体"/>
          <w:spacing w:val="2"/>
        </w:rPr>
        <w:t>段</w:t>
      </w:r>
      <w:r w:rsidRPr="00C635CC">
        <w:rPr>
          <w:rFonts w:eastAsia="黑体"/>
          <w:spacing w:val="2"/>
        </w:rPr>
        <w:t>)</w:t>
      </w:r>
      <w:r w:rsidRPr="00C635CC">
        <w:rPr>
          <w:rFonts w:eastAsia="黑体"/>
          <w:spacing w:val="2"/>
        </w:rPr>
        <w:t>，即缔约国：</w:t>
      </w:r>
    </w:p>
    <w:p w14:paraId="2757F208" w14:textId="77777777" w:rsidR="009C6B1C" w:rsidRPr="00C635CC" w:rsidRDefault="009C6B1C" w:rsidP="009C6B1C">
      <w:pPr>
        <w:pStyle w:val="SingleTxt"/>
        <w:rPr>
          <w:rFonts w:eastAsia="黑体"/>
        </w:rPr>
      </w:pPr>
      <w:r w:rsidRPr="00C635CC">
        <w:rPr>
          <w:rFonts w:eastAsia="黑体"/>
        </w:rPr>
        <w:tab/>
        <w:t>(a)</w:t>
      </w:r>
      <w:r w:rsidRPr="00C635CC">
        <w:rPr>
          <w:rFonts w:eastAsia="黑体"/>
        </w:rPr>
        <w:tab/>
      </w:r>
      <w:r w:rsidRPr="00C635CC">
        <w:rPr>
          <w:rFonts w:eastAsia="黑体"/>
        </w:rPr>
        <w:t>采取各种措施，包括暂行特别措施，例如增加配额、政党选举名单拉链制以及对女性候选人的有针对性竞选资助，以实现联邦、地区、社区议会和政党民选职位中男女代表的均等；</w:t>
      </w:r>
    </w:p>
    <w:p w14:paraId="73ECEFD9" w14:textId="77777777" w:rsidR="009C6B1C" w:rsidRPr="00C635CC" w:rsidRDefault="009C6B1C" w:rsidP="009C6B1C">
      <w:pPr>
        <w:pStyle w:val="SingleTxt"/>
        <w:rPr>
          <w:rFonts w:eastAsia="黑体"/>
        </w:rPr>
      </w:pPr>
      <w:r w:rsidRPr="00C635CC">
        <w:rPr>
          <w:rFonts w:eastAsia="黑体"/>
        </w:rPr>
        <w:tab/>
        <w:t>(b)</w:t>
      </w:r>
      <w:r w:rsidRPr="00C635CC">
        <w:rPr>
          <w:rFonts w:eastAsia="黑体"/>
        </w:rPr>
        <w:tab/>
      </w:r>
      <w:r w:rsidRPr="00C635CC">
        <w:rPr>
          <w:rFonts w:eastAsia="黑体"/>
        </w:rPr>
        <w:t>采取目标明确的措施，包括暂行特别措施，例如优先征聘和晋升女申请人，以便在公共职位的任命，包括公共行政和外交部门职位，特别是决策一级职位的任命中实现性别均等；</w:t>
      </w:r>
    </w:p>
    <w:p w14:paraId="63BA5AF4" w14:textId="77777777" w:rsidR="009C6B1C" w:rsidRPr="00C635CC" w:rsidRDefault="009C6B1C" w:rsidP="009C6B1C">
      <w:pPr>
        <w:pStyle w:val="SingleTxt"/>
        <w:rPr>
          <w:rFonts w:eastAsia="黑体"/>
        </w:rPr>
      </w:pPr>
      <w:r w:rsidRPr="00C635CC">
        <w:rPr>
          <w:rFonts w:eastAsia="黑体"/>
        </w:rPr>
        <w:tab/>
        <w:t>(c)</w:t>
      </w:r>
      <w:r w:rsidRPr="00C635CC">
        <w:rPr>
          <w:rFonts w:eastAsia="黑体"/>
        </w:rPr>
        <w:tab/>
      </w:r>
      <w:r w:rsidRPr="00C635CC">
        <w:rPr>
          <w:rFonts w:eastAsia="黑体"/>
        </w:rPr>
        <w:t>采取措施确保遵守关于改善上市公司董事，特别是国有企业董事的性别均衡的</w:t>
      </w:r>
      <w:r w:rsidRPr="00C635CC">
        <w:rPr>
          <w:rFonts w:eastAsia="黑体"/>
        </w:rPr>
        <w:t>(EU)</w:t>
      </w:r>
      <w:r w:rsidRPr="00C635CC">
        <w:rPr>
          <w:rFonts w:eastAsia="黑体"/>
        </w:rPr>
        <w:t>第</w:t>
      </w:r>
      <w:r w:rsidRPr="00C635CC">
        <w:rPr>
          <w:rFonts w:eastAsia="黑体"/>
        </w:rPr>
        <w:t>2022/2381</w:t>
      </w:r>
      <w:r w:rsidRPr="00C635CC">
        <w:rPr>
          <w:rFonts w:eastAsia="黑体"/>
        </w:rPr>
        <w:t>号指令。</w:t>
      </w:r>
    </w:p>
    <w:p w14:paraId="7F403E0B" w14:textId="77777777" w:rsidR="009C6B1C" w:rsidRPr="00C635CC" w:rsidRDefault="009C6B1C" w:rsidP="00C635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635CC">
        <w:tab/>
      </w:r>
      <w:r w:rsidRPr="00C635CC">
        <w:tab/>
      </w:r>
      <w:r w:rsidRPr="00C635CC">
        <w:t>妇女与和平与安全</w:t>
      </w:r>
    </w:p>
    <w:p w14:paraId="5E99326A" w14:textId="5EA3ECD8" w:rsidR="009C6B1C" w:rsidRPr="009C6B1C" w:rsidRDefault="009C6B1C" w:rsidP="009C6B1C">
      <w:pPr>
        <w:pStyle w:val="SingleTxt"/>
      </w:pPr>
      <w:r w:rsidRPr="009C6B1C">
        <w:rPr>
          <w:rFonts w:hint="eastAsia"/>
        </w:rPr>
        <w:t>28.</w:t>
      </w:r>
      <w:r w:rsidRPr="009C6B1C">
        <w:rPr>
          <w:rFonts w:hint="eastAsia"/>
        </w:rPr>
        <w:tab/>
      </w:r>
      <w:r w:rsidRPr="009C6B1C">
        <w:rPr>
          <w:rFonts w:hint="eastAsia"/>
        </w:rPr>
        <w:t>委员会欢迎通过了</w:t>
      </w:r>
      <w:r w:rsidRPr="009C6B1C">
        <w:rPr>
          <w:rFonts w:hint="eastAsia"/>
        </w:rPr>
        <w:t>2021-2025</w:t>
      </w:r>
      <w:r w:rsidRPr="009C6B1C">
        <w:rPr>
          <w:rFonts w:hint="eastAsia"/>
        </w:rPr>
        <w:t>年期间执行安全理事会关于妇女与和平与安全的第</w:t>
      </w:r>
      <w:hyperlink r:id="rId30" w:history="1">
        <w:r w:rsidRPr="009C6B1C">
          <w:rPr>
            <w:rStyle w:val="af4"/>
            <w:rFonts w:hint="eastAsia"/>
          </w:rPr>
          <w:t>1325(2000)</w:t>
        </w:r>
      </w:hyperlink>
      <w:r w:rsidRPr="009C6B1C">
        <w:rPr>
          <w:rFonts w:hint="eastAsia"/>
        </w:rPr>
        <w:t>号决议的第一个国家行动计划。但委员会感到关切的是，缺乏关于民间社会参与发展进程以及国家行动计划的执行、监测和评估框架的资料。</w:t>
      </w:r>
    </w:p>
    <w:p w14:paraId="3630079E" w14:textId="57B8141F" w:rsidR="009C6B1C" w:rsidRPr="00C635CC" w:rsidRDefault="009C6B1C" w:rsidP="009C6B1C">
      <w:pPr>
        <w:pStyle w:val="SingleTxt"/>
        <w:rPr>
          <w:rFonts w:eastAsia="黑体"/>
          <w:spacing w:val="-2"/>
        </w:rPr>
      </w:pPr>
      <w:r w:rsidRPr="009C6B1C">
        <w:rPr>
          <w:rFonts w:hint="eastAsia"/>
        </w:rPr>
        <w:t>29.</w:t>
      </w:r>
      <w:r w:rsidRPr="009C6B1C">
        <w:rPr>
          <w:rFonts w:hint="eastAsia"/>
        </w:rPr>
        <w:tab/>
      </w:r>
      <w:r w:rsidRPr="00C635CC">
        <w:rPr>
          <w:rFonts w:eastAsia="黑体"/>
          <w:spacing w:val="-2"/>
        </w:rPr>
        <w:t>委员会回顾其关于妇女在预防冲突、冲突及冲突后局势中的作用的第</w:t>
      </w:r>
      <w:r w:rsidRPr="00C635CC">
        <w:rPr>
          <w:rFonts w:eastAsia="黑体"/>
          <w:spacing w:val="-2"/>
        </w:rPr>
        <w:t>30</w:t>
      </w:r>
      <w:r w:rsidRPr="00C635CC">
        <w:rPr>
          <w:rFonts w:eastAsia="黑体"/>
          <w:spacing w:val="-2"/>
        </w:rPr>
        <w:t>号一般性建议</w:t>
      </w:r>
      <w:r w:rsidRPr="00C635CC">
        <w:rPr>
          <w:rFonts w:eastAsia="黑体"/>
          <w:spacing w:val="-2"/>
        </w:rPr>
        <w:t>(2013</w:t>
      </w:r>
      <w:r w:rsidRPr="00C635CC">
        <w:rPr>
          <w:rFonts w:eastAsia="黑体"/>
          <w:spacing w:val="-2"/>
        </w:rPr>
        <w:t>年</w:t>
      </w:r>
      <w:r w:rsidRPr="00C635CC">
        <w:rPr>
          <w:rFonts w:eastAsia="黑体"/>
          <w:spacing w:val="-2"/>
        </w:rPr>
        <w:t>)</w:t>
      </w:r>
      <w:r w:rsidRPr="00C635CC">
        <w:rPr>
          <w:rFonts w:eastAsia="黑体"/>
          <w:spacing w:val="-2"/>
        </w:rPr>
        <w:t>，建议缔约国确保妇女组织能切实参与拟订和执行</w:t>
      </w:r>
      <w:r w:rsidRPr="00C635CC">
        <w:rPr>
          <w:rFonts w:eastAsia="黑体"/>
          <w:spacing w:val="-2"/>
        </w:rPr>
        <w:t>2026</w:t>
      </w:r>
      <w:r w:rsidR="009E70B5">
        <w:rPr>
          <w:rFonts w:eastAsia="黑体"/>
          <w:spacing w:val="-2"/>
        </w:rPr>
        <w:t>-</w:t>
      </w:r>
      <w:r w:rsidRPr="00C635CC">
        <w:rPr>
          <w:rFonts w:eastAsia="黑体"/>
          <w:spacing w:val="-2"/>
        </w:rPr>
        <w:t>2030</w:t>
      </w:r>
      <w:r w:rsidRPr="00C635CC">
        <w:rPr>
          <w:rFonts w:eastAsia="黑体"/>
          <w:spacing w:val="-2"/>
        </w:rPr>
        <w:t>年的第二个国家行动计划，以执行安全理事会关于妇女与和平与安全的第</w:t>
      </w:r>
      <w:hyperlink r:id="rId31" w:history="1">
        <w:r w:rsidRPr="00C635CC">
          <w:rPr>
            <w:rStyle w:val="af4"/>
            <w:rFonts w:eastAsia="黑体"/>
            <w:spacing w:val="-2"/>
          </w:rPr>
          <w:t>1325(2000)</w:t>
        </w:r>
      </w:hyperlink>
      <w:r w:rsidRPr="00C635CC">
        <w:rPr>
          <w:rFonts w:eastAsia="黑体"/>
          <w:spacing w:val="-2"/>
        </w:rPr>
        <w:t>号决议，并建议缔约国考虑到安全理事会第</w:t>
      </w:r>
      <w:hyperlink r:id="rId32" w:history="1">
        <w:r w:rsidRPr="00C635CC">
          <w:rPr>
            <w:rStyle w:val="af4"/>
            <w:rFonts w:eastAsia="黑体"/>
            <w:spacing w:val="-2"/>
          </w:rPr>
          <w:t>1325(2000)</w:t>
        </w:r>
      </w:hyperlink>
      <w:r w:rsidRPr="00C635CC">
        <w:rPr>
          <w:rFonts w:eastAsia="黑体"/>
          <w:spacing w:val="-2"/>
        </w:rPr>
        <w:t>、</w:t>
      </w:r>
      <w:hyperlink r:id="rId33" w:history="1">
        <w:r w:rsidRPr="00C635CC">
          <w:rPr>
            <w:rStyle w:val="af4"/>
            <w:rFonts w:eastAsia="黑体"/>
            <w:spacing w:val="-2"/>
          </w:rPr>
          <w:t>1820(2008)</w:t>
        </w:r>
      </w:hyperlink>
      <w:r w:rsidRPr="00C635CC">
        <w:rPr>
          <w:rFonts w:eastAsia="黑体"/>
          <w:spacing w:val="-2"/>
        </w:rPr>
        <w:t>、</w:t>
      </w:r>
      <w:hyperlink r:id="rId34" w:history="1">
        <w:r w:rsidRPr="00C635CC">
          <w:rPr>
            <w:rStyle w:val="af4"/>
            <w:rFonts w:eastAsia="黑体"/>
            <w:spacing w:val="-2"/>
          </w:rPr>
          <w:t>1888(2009)</w:t>
        </w:r>
      </w:hyperlink>
      <w:r w:rsidRPr="00C635CC">
        <w:rPr>
          <w:rFonts w:eastAsia="黑体"/>
          <w:spacing w:val="-2"/>
        </w:rPr>
        <w:t>、</w:t>
      </w:r>
      <w:hyperlink r:id="rId35" w:history="1">
        <w:r w:rsidRPr="00C635CC">
          <w:rPr>
            <w:rStyle w:val="af4"/>
            <w:rFonts w:eastAsia="黑体"/>
            <w:spacing w:val="-2"/>
          </w:rPr>
          <w:t>1889(2009)</w:t>
        </w:r>
      </w:hyperlink>
      <w:r w:rsidRPr="00C635CC">
        <w:rPr>
          <w:rFonts w:eastAsia="黑体"/>
          <w:spacing w:val="-2"/>
        </w:rPr>
        <w:t>、</w:t>
      </w:r>
      <w:hyperlink r:id="rId36" w:history="1">
        <w:r w:rsidRPr="00C635CC">
          <w:rPr>
            <w:rStyle w:val="af4"/>
            <w:rFonts w:eastAsia="黑体"/>
            <w:spacing w:val="-2"/>
          </w:rPr>
          <w:t>1960(2010)</w:t>
        </w:r>
      </w:hyperlink>
      <w:r w:rsidRPr="00C635CC">
        <w:rPr>
          <w:rFonts w:eastAsia="黑体"/>
          <w:spacing w:val="-2"/>
        </w:rPr>
        <w:t>、</w:t>
      </w:r>
      <w:hyperlink r:id="rId37" w:history="1">
        <w:r w:rsidRPr="00C635CC">
          <w:rPr>
            <w:rStyle w:val="af4"/>
            <w:rFonts w:eastAsia="黑体"/>
            <w:spacing w:val="-2"/>
          </w:rPr>
          <w:t>2106(2013)</w:t>
        </w:r>
      </w:hyperlink>
      <w:r w:rsidRPr="00C635CC">
        <w:rPr>
          <w:rFonts w:eastAsia="黑体"/>
          <w:spacing w:val="-2"/>
        </w:rPr>
        <w:t>、</w:t>
      </w:r>
      <w:hyperlink r:id="rId38" w:history="1">
        <w:r w:rsidRPr="00C635CC">
          <w:rPr>
            <w:rStyle w:val="af4"/>
            <w:rFonts w:eastAsia="黑体"/>
            <w:spacing w:val="-2"/>
          </w:rPr>
          <w:t>2122(2013)</w:t>
        </w:r>
      </w:hyperlink>
      <w:r w:rsidRPr="00C635CC">
        <w:rPr>
          <w:rFonts w:eastAsia="黑体"/>
          <w:spacing w:val="-2"/>
        </w:rPr>
        <w:t>、</w:t>
      </w:r>
      <w:hyperlink r:id="rId39" w:history="1">
        <w:r w:rsidRPr="00C635CC">
          <w:rPr>
            <w:rStyle w:val="af4"/>
            <w:rFonts w:eastAsia="黑体"/>
            <w:spacing w:val="-2"/>
          </w:rPr>
          <w:t>2242(2015)</w:t>
        </w:r>
      </w:hyperlink>
      <w:r w:rsidRPr="00C635CC">
        <w:rPr>
          <w:rFonts w:eastAsia="黑体"/>
          <w:spacing w:val="-2"/>
        </w:rPr>
        <w:t>、</w:t>
      </w:r>
      <w:hyperlink r:id="rId40" w:history="1">
        <w:r w:rsidRPr="00C635CC">
          <w:rPr>
            <w:rStyle w:val="af4"/>
            <w:rFonts w:eastAsia="黑体"/>
            <w:spacing w:val="-2"/>
          </w:rPr>
          <w:t>2467(2019)</w:t>
        </w:r>
      </w:hyperlink>
      <w:r w:rsidRPr="00C635CC">
        <w:rPr>
          <w:rFonts w:eastAsia="黑体"/>
          <w:spacing w:val="-2"/>
        </w:rPr>
        <w:t>和</w:t>
      </w:r>
      <w:hyperlink r:id="rId41" w:history="1">
        <w:r w:rsidRPr="00C635CC">
          <w:rPr>
            <w:rStyle w:val="af4"/>
            <w:rFonts w:eastAsia="黑体"/>
            <w:spacing w:val="-2"/>
          </w:rPr>
          <w:t>2493(2019)</w:t>
        </w:r>
      </w:hyperlink>
      <w:r w:rsidRPr="00C635CC">
        <w:rPr>
          <w:rFonts w:eastAsia="黑体"/>
          <w:spacing w:val="-2"/>
        </w:rPr>
        <w:t>号决议所反映的安理会妇女与和平与安全议程的所有方面。</w:t>
      </w:r>
    </w:p>
    <w:p w14:paraId="6BA0FC95" w14:textId="77777777" w:rsidR="009C6B1C" w:rsidRPr="009C6B1C" w:rsidRDefault="009C6B1C" w:rsidP="009C6B1C">
      <w:pPr>
        <w:pStyle w:val="SingleTxt"/>
      </w:pPr>
      <w:r w:rsidRPr="009C6B1C">
        <w:rPr>
          <w:rFonts w:hint="eastAsia"/>
        </w:rPr>
        <w:t>30.</w:t>
      </w:r>
      <w:r w:rsidRPr="009C6B1C">
        <w:rPr>
          <w:rFonts w:hint="eastAsia"/>
        </w:rPr>
        <w:tab/>
      </w:r>
      <w:r w:rsidRPr="009C6B1C">
        <w:rPr>
          <w:rFonts w:hint="eastAsia"/>
        </w:rPr>
        <w:t>委员会欢迎缔约国通过了三套法律，旨在促进乌克兰难民，特别是妇女的融入；内容涉及居留和临时保护、进入劳动力市场的机会、教育、交通、住宿、社会保障和保健。但委员会对这些法律的落实程度感到关切，特别是在难民妇女获得住宿、食物、托儿设施和就业的机会方面。此外，委员会感到关切的是：</w:t>
      </w:r>
    </w:p>
    <w:p w14:paraId="1A06C536" w14:textId="77777777" w:rsidR="009C6B1C" w:rsidRPr="009C6B1C" w:rsidRDefault="009C6B1C" w:rsidP="009C6B1C">
      <w:pPr>
        <w:pStyle w:val="SingleTxt"/>
      </w:pPr>
      <w:r w:rsidRPr="009C6B1C">
        <w:rPr>
          <w:rFonts w:hint="eastAsia"/>
        </w:rPr>
        <w:tab/>
        <w:t>(a)</w:t>
      </w:r>
      <w:r w:rsidRPr="009C6B1C">
        <w:rPr>
          <w:rFonts w:hint="eastAsia"/>
        </w:rPr>
        <w:tab/>
      </w:r>
      <w:r w:rsidRPr="009C6B1C">
        <w:rPr>
          <w:rFonts w:hint="eastAsia"/>
        </w:rPr>
        <w:t>缺乏关于一揽子法律的落实情况及其对乌克兰难民妇女融入的影响的资料，这些妇女约占抵达该国的难民的</w:t>
      </w:r>
      <w:r w:rsidRPr="009C6B1C">
        <w:rPr>
          <w:rFonts w:hint="eastAsia"/>
        </w:rPr>
        <w:t>86%</w:t>
      </w:r>
      <w:r w:rsidRPr="009C6B1C">
        <w:rPr>
          <w:rFonts w:hint="eastAsia"/>
        </w:rPr>
        <w:t>，特别是缺乏关于妇女的物质和粮食需求以及托儿设施和就业机会的提供情况及其可获得性的资料；</w:t>
      </w:r>
    </w:p>
    <w:p w14:paraId="10C85D72" w14:textId="77777777" w:rsidR="009C6B1C" w:rsidRPr="009C6B1C" w:rsidRDefault="009C6B1C" w:rsidP="009C6B1C">
      <w:pPr>
        <w:pStyle w:val="SingleTxt"/>
      </w:pPr>
      <w:r w:rsidRPr="009C6B1C">
        <w:rPr>
          <w:rFonts w:hint="eastAsia"/>
        </w:rPr>
        <w:tab/>
        <w:t>(b)</w:t>
      </w:r>
      <w:r w:rsidRPr="009C6B1C">
        <w:rPr>
          <w:rFonts w:hint="eastAsia"/>
        </w:rPr>
        <w:tab/>
      </w:r>
      <w:r w:rsidRPr="009C6B1C">
        <w:rPr>
          <w:rFonts w:hint="eastAsia"/>
        </w:rPr>
        <w:t>有报告称，在应对针对难民妇女和寻求庇护妇女的性别暴力时，缺乏识别包括残疾妇女在内的弱势群体并进行转介的程序。</w:t>
      </w:r>
    </w:p>
    <w:p w14:paraId="71B5940F" w14:textId="77777777" w:rsidR="009C6B1C" w:rsidRPr="00C635CC" w:rsidRDefault="009C6B1C" w:rsidP="009C6B1C">
      <w:pPr>
        <w:pStyle w:val="SingleTxt"/>
        <w:rPr>
          <w:rFonts w:eastAsia="黑体"/>
        </w:rPr>
      </w:pPr>
      <w:r w:rsidRPr="009C6B1C">
        <w:rPr>
          <w:rFonts w:hint="eastAsia"/>
        </w:rPr>
        <w:t>31.</w:t>
      </w:r>
      <w:r w:rsidRPr="009C6B1C">
        <w:rPr>
          <w:rFonts w:hint="eastAsia"/>
        </w:rPr>
        <w:tab/>
      </w:r>
      <w:r w:rsidRPr="00C635CC">
        <w:rPr>
          <w:rFonts w:eastAsia="黑体"/>
        </w:rPr>
        <w:t>委员会建议缔约国：</w:t>
      </w:r>
    </w:p>
    <w:p w14:paraId="5DFE05BF" w14:textId="77777777" w:rsidR="009C6B1C" w:rsidRPr="00C635CC" w:rsidRDefault="009C6B1C" w:rsidP="009C6B1C">
      <w:pPr>
        <w:pStyle w:val="SingleTxt"/>
        <w:rPr>
          <w:rFonts w:eastAsia="黑体"/>
        </w:rPr>
      </w:pPr>
      <w:r w:rsidRPr="00C635CC">
        <w:rPr>
          <w:rFonts w:eastAsia="黑体"/>
        </w:rPr>
        <w:tab/>
        <w:t>(a)</w:t>
      </w:r>
      <w:r w:rsidRPr="00C635CC">
        <w:rPr>
          <w:rFonts w:eastAsia="黑体"/>
        </w:rPr>
        <w:tab/>
      </w:r>
      <w:r w:rsidRPr="00C635CC">
        <w:rPr>
          <w:rFonts w:eastAsia="黑体"/>
        </w:rPr>
        <w:t>采取目标明确的措施，包括暂行特别措施，以便能够充分执行一揽子法律，确保乌克兰难民妇女有机会获得就业、住宿、托儿设施和食物；</w:t>
      </w:r>
    </w:p>
    <w:p w14:paraId="752F6BCA" w14:textId="77777777" w:rsidR="009C6B1C" w:rsidRPr="00C635CC" w:rsidRDefault="009C6B1C" w:rsidP="009C6B1C">
      <w:pPr>
        <w:pStyle w:val="SingleTxt"/>
        <w:rPr>
          <w:rFonts w:eastAsia="黑体"/>
        </w:rPr>
      </w:pPr>
      <w:r w:rsidRPr="00C635CC">
        <w:rPr>
          <w:rFonts w:eastAsia="黑体"/>
        </w:rPr>
        <w:tab/>
        <w:t>(b)</w:t>
      </w:r>
      <w:r w:rsidRPr="00C635CC">
        <w:rPr>
          <w:rFonts w:eastAsia="黑体"/>
        </w:rPr>
        <w:tab/>
      </w:r>
      <w:r w:rsidRPr="00C635CC">
        <w:rPr>
          <w:rFonts w:eastAsia="黑体"/>
        </w:rPr>
        <w:t>采取目标明确的措施，保护特别容易遭受性别暴力的难民妇女和女童以及寻求庇护者，并确保对暴力行为进行调查、起诉和惩处。</w:t>
      </w:r>
    </w:p>
    <w:p w14:paraId="37472ACE" w14:textId="77777777" w:rsidR="009C6B1C" w:rsidRPr="00C635CC" w:rsidRDefault="009C6B1C" w:rsidP="00C635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635CC">
        <w:tab/>
      </w:r>
      <w:r w:rsidRPr="00C635CC">
        <w:tab/>
      </w:r>
      <w:r w:rsidRPr="00C635CC">
        <w:t>教育</w:t>
      </w:r>
    </w:p>
    <w:p w14:paraId="4041F595" w14:textId="77777777" w:rsidR="009C6B1C" w:rsidRPr="009C6B1C" w:rsidRDefault="009C6B1C" w:rsidP="009C6B1C">
      <w:pPr>
        <w:pStyle w:val="SingleTxt"/>
      </w:pPr>
      <w:r w:rsidRPr="009C6B1C">
        <w:rPr>
          <w:rFonts w:hint="eastAsia"/>
        </w:rPr>
        <w:t>32.</w:t>
      </w:r>
      <w:r w:rsidRPr="009C6B1C">
        <w:rPr>
          <w:rFonts w:hint="eastAsia"/>
        </w:rPr>
        <w:tab/>
      </w:r>
      <w:r w:rsidRPr="009C6B1C">
        <w:rPr>
          <w:rFonts w:hint="eastAsia"/>
        </w:rPr>
        <w:t>委员会注意到缔约国根据教育和培训中的包容性办法国家战略采取的措施，以及相应的</w:t>
      </w:r>
      <w:r w:rsidRPr="009C6B1C">
        <w:rPr>
          <w:rFonts w:hint="eastAsia"/>
        </w:rPr>
        <w:t>2022-2024</w:t>
      </w:r>
      <w:r w:rsidRPr="009C6B1C">
        <w:rPr>
          <w:rFonts w:hint="eastAsia"/>
        </w:rPr>
        <w:t>年第一个行动计划，其目标是促进各级教育和培训的包容性。委员会还注意到，缔约国努力改善教育基础设施，以消除对罗姆儿童的隔离，并通过向受影响者提供临时补偿，促进实施国家项目，以支持罗姆社区内的学前教育。但委员会感到关切的是：</w:t>
      </w:r>
    </w:p>
    <w:p w14:paraId="3D771950" w14:textId="77777777" w:rsidR="009C6B1C" w:rsidRPr="009C6B1C" w:rsidRDefault="009C6B1C" w:rsidP="009C6B1C">
      <w:pPr>
        <w:pStyle w:val="SingleTxt"/>
      </w:pPr>
      <w:r w:rsidRPr="009C6B1C">
        <w:rPr>
          <w:rFonts w:hint="eastAsia"/>
        </w:rPr>
        <w:tab/>
        <w:t>(a)</w:t>
      </w:r>
      <w:r w:rsidRPr="009C6B1C">
        <w:rPr>
          <w:rFonts w:hint="eastAsia"/>
        </w:rPr>
        <w:tab/>
      </w:r>
      <w:r w:rsidRPr="009C6B1C">
        <w:rPr>
          <w:rFonts w:hint="eastAsia"/>
        </w:rPr>
        <w:t>在以下方面出现拖延，即在学校课程中引入全面的性健康和生殖健康教育以及为教学专业人员制定专门的能力建设方案；</w:t>
      </w:r>
    </w:p>
    <w:p w14:paraId="1D12F725" w14:textId="77777777" w:rsidR="009C6B1C" w:rsidRPr="009C6B1C" w:rsidRDefault="009C6B1C" w:rsidP="009C6B1C">
      <w:pPr>
        <w:pStyle w:val="SingleTxt"/>
      </w:pPr>
      <w:r w:rsidRPr="009C6B1C">
        <w:rPr>
          <w:rFonts w:hint="eastAsia"/>
        </w:rPr>
        <w:tab/>
        <w:t>(b)</w:t>
      </w:r>
      <w:r w:rsidRPr="009C6B1C">
        <w:rPr>
          <w:rFonts w:hint="eastAsia"/>
        </w:rPr>
        <w:tab/>
      </w:r>
      <w:r w:rsidRPr="009C6B1C">
        <w:rPr>
          <w:rFonts w:hint="eastAsia"/>
        </w:rPr>
        <w:t>妇女和女童参与数学、科学和技术研究和学习的人数较少，高等教育中担任教师职务的妇女人数较少；</w:t>
      </w:r>
    </w:p>
    <w:p w14:paraId="7B9FFB30" w14:textId="77777777" w:rsidR="009C6B1C" w:rsidRPr="009C6B1C" w:rsidRDefault="009C6B1C" w:rsidP="009C6B1C">
      <w:pPr>
        <w:pStyle w:val="SingleTxt"/>
      </w:pPr>
      <w:r w:rsidRPr="009C6B1C">
        <w:rPr>
          <w:rFonts w:hint="eastAsia"/>
        </w:rPr>
        <w:tab/>
        <w:t>(c)</w:t>
      </w:r>
      <w:r w:rsidRPr="009C6B1C">
        <w:rPr>
          <w:rFonts w:hint="eastAsia"/>
        </w:rPr>
        <w:tab/>
      </w:r>
      <w:r w:rsidRPr="009C6B1C">
        <w:rPr>
          <w:rFonts w:hint="eastAsia"/>
        </w:rPr>
        <w:t>罗姆儿童长期被隔离在特殊学校和</w:t>
      </w:r>
      <w:r w:rsidRPr="009C6B1C">
        <w:rPr>
          <w:rFonts w:hint="eastAsia"/>
        </w:rPr>
        <w:t>(</w:t>
      </w:r>
      <w:r w:rsidRPr="009C6B1C">
        <w:rPr>
          <w:rFonts w:hint="eastAsia"/>
        </w:rPr>
        <w:t>或</w:t>
      </w:r>
      <w:r w:rsidRPr="009C6B1C">
        <w:rPr>
          <w:rFonts w:hint="eastAsia"/>
        </w:rPr>
        <w:t>)</w:t>
      </w:r>
      <w:r w:rsidRPr="009C6B1C">
        <w:rPr>
          <w:rFonts w:hint="eastAsia"/>
        </w:rPr>
        <w:t>主流学校的特殊班级，残疾儿童，包括女童被隔离在特殊学校和</w:t>
      </w:r>
      <w:r w:rsidRPr="009C6B1C">
        <w:rPr>
          <w:rFonts w:hint="eastAsia"/>
        </w:rPr>
        <w:t>(</w:t>
      </w:r>
      <w:r w:rsidRPr="009C6B1C">
        <w:rPr>
          <w:rFonts w:hint="eastAsia"/>
        </w:rPr>
        <w:t>或</w:t>
      </w:r>
      <w:r w:rsidRPr="009C6B1C">
        <w:rPr>
          <w:rFonts w:hint="eastAsia"/>
        </w:rPr>
        <w:t>)</w:t>
      </w:r>
      <w:r w:rsidRPr="009C6B1C">
        <w:rPr>
          <w:rFonts w:hint="eastAsia"/>
        </w:rPr>
        <w:t>特殊班级。</w:t>
      </w:r>
    </w:p>
    <w:p w14:paraId="43745BD8" w14:textId="77777777" w:rsidR="009C6B1C" w:rsidRPr="00C635CC" w:rsidRDefault="009C6B1C" w:rsidP="009C6B1C">
      <w:pPr>
        <w:pStyle w:val="SingleTxt"/>
        <w:rPr>
          <w:rFonts w:eastAsia="黑体"/>
        </w:rPr>
      </w:pPr>
      <w:r w:rsidRPr="009C6B1C">
        <w:rPr>
          <w:rFonts w:hint="eastAsia"/>
        </w:rPr>
        <w:t>33.</w:t>
      </w:r>
      <w:r w:rsidRPr="009C6B1C">
        <w:rPr>
          <w:rFonts w:hint="eastAsia"/>
        </w:rPr>
        <w:tab/>
      </w:r>
      <w:r w:rsidRPr="00C635CC">
        <w:rPr>
          <w:rFonts w:eastAsia="黑体"/>
        </w:rPr>
        <w:t>委员会建议缔约国：</w:t>
      </w:r>
    </w:p>
    <w:p w14:paraId="61F44D9A" w14:textId="77777777" w:rsidR="009C6B1C" w:rsidRPr="00C635CC" w:rsidRDefault="009C6B1C" w:rsidP="009C6B1C">
      <w:pPr>
        <w:pStyle w:val="SingleTxt"/>
        <w:rPr>
          <w:rFonts w:eastAsia="黑体"/>
        </w:rPr>
      </w:pPr>
      <w:r w:rsidRPr="00C635CC">
        <w:rPr>
          <w:rFonts w:eastAsia="黑体"/>
        </w:rPr>
        <w:tab/>
        <w:t>(a)</w:t>
      </w:r>
      <w:r w:rsidRPr="00C635CC">
        <w:rPr>
          <w:rFonts w:eastAsia="黑体"/>
        </w:rPr>
        <w:tab/>
      </w:r>
      <w:r w:rsidRPr="00C635CC">
        <w:rPr>
          <w:rFonts w:eastAsia="黑体"/>
        </w:rPr>
        <w:t>作为正规学校课程的一部分，向女童和男童提供以科学证据和国际人权标准为依据且适合其年龄的、性和生殖健康及权利教育，包括为此利用数字技术；在此类课程中纳入关于负责任的性行为和预防早孕及性传播感染的信息，并建设教学人员提供此种教育的能力；</w:t>
      </w:r>
    </w:p>
    <w:p w14:paraId="7451E881" w14:textId="77777777" w:rsidR="009C6B1C" w:rsidRPr="00C635CC" w:rsidRDefault="009C6B1C" w:rsidP="009C6B1C">
      <w:pPr>
        <w:pStyle w:val="SingleTxt"/>
        <w:rPr>
          <w:rFonts w:eastAsia="黑体"/>
        </w:rPr>
      </w:pPr>
      <w:r w:rsidRPr="00C635CC">
        <w:rPr>
          <w:rFonts w:eastAsia="黑体"/>
        </w:rPr>
        <w:tab/>
        <w:t>(b)</w:t>
      </w:r>
      <w:r w:rsidRPr="00C635CC">
        <w:rPr>
          <w:rFonts w:eastAsia="黑体"/>
        </w:rPr>
        <w:tab/>
      </w:r>
      <w:r w:rsidRPr="00C635CC">
        <w:rPr>
          <w:rFonts w:eastAsia="黑体"/>
        </w:rPr>
        <w:t>采取措施，包括暂行特别措施，消除教育中的性别隔离，促进妇女和女童在数学、科学和技术等领域的非传统教育选择，并考虑采取暂行特别措施，如法定配额，以确保妇女和男子在高级学术职位上的平等代表性；</w:t>
      </w:r>
    </w:p>
    <w:p w14:paraId="05519BB9" w14:textId="45D24F4A" w:rsidR="00C635CC" w:rsidRDefault="009C6B1C" w:rsidP="009C6B1C">
      <w:pPr>
        <w:pStyle w:val="SingleTxt"/>
        <w:rPr>
          <w:rFonts w:eastAsia="黑体"/>
        </w:rPr>
      </w:pPr>
      <w:r w:rsidRPr="00C635CC">
        <w:rPr>
          <w:rFonts w:eastAsia="黑体"/>
        </w:rPr>
        <w:tab/>
        <w:t>(c)</w:t>
      </w:r>
      <w:r w:rsidRPr="00C635CC">
        <w:rPr>
          <w:rFonts w:eastAsia="黑体"/>
        </w:rPr>
        <w:tab/>
      </w:r>
      <w:r w:rsidRPr="00C635CC">
        <w:rPr>
          <w:rFonts w:eastAsia="黑体"/>
        </w:rPr>
        <w:t>加强努力，消除教育系统中对罗姆女童的隔离，为她们提供接受各级优质教育的平等机会，并采取有效措施，通过暂行特别措施和支助来提高她们的小学和中学入学率。</w:t>
      </w:r>
    </w:p>
    <w:p w14:paraId="3038B5B5" w14:textId="77777777" w:rsidR="00C635CC" w:rsidRDefault="00C635CC">
      <w:pPr>
        <w:spacing w:line="240" w:lineRule="auto"/>
        <w:jc w:val="left"/>
        <w:rPr>
          <w:rFonts w:eastAsia="黑体"/>
        </w:rPr>
      </w:pPr>
      <w:r>
        <w:rPr>
          <w:rFonts w:eastAsia="黑体"/>
        </w:rPr>
        <w:br w:type="page"/>
      </w:r>
    </w:p>
    <w:p w14:paraId="26CFA941" w14:textId="77777777" w:rsidR="009C6B1C" w:rsidRPr="00C635CC" w:rsidRDefault="009C6B1C" w:rsidP="00C635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635CC">
        <w:tab/>
      </w:r>
      <w:r w:rsidRPr="00C635CC">
        <w:tab/>
      </w:r>
      <w:r w:rsidRPr="00C635CC">
        <w:t>就业</w:t>
      </w:r>
    </w:p>
    <w:p w14:paraId="079CDA10" w14:textId="77777777" w:rsidR="009C6B1C" w:rsidRPr="009C6B1C" w:rsidRDefault="009C6B1C" w:rsidP="009C6B1C">
      <w:pPr>
        <w:pStyle w:val="SingleTxt"/>
      </w:pPr>
      <w:r w:rsidRPr="009C6B1C">
        <w:rPr>
          <w:rFonts w:hint="eastAsia"/>
        </w:rPr>
        <w:t>34.</w:t>
      </w:r>
      <w:r w:rsidRPr="009C6B1C">
        <w:rPr>
          <w:rFonts w:hint="eastAsia"/>
        </w:rPr>
        <w:tab/>
      </w:r>
      <w:r w:rsidRPr="009C6B1C">
        <w:rPr>
          <w:rFonts w:hint="eastAsia"/>
        </w:rPr>
        <w:t>委员会欢迎缔约国实行为期两周的陪产假，并注意到缔约国努力将为</w:t>
      </w:r>
      <w:r w:rsidRPr="009C6B1C">
        <w:rPr>
          <w:rFonts w:hint="eastAsia"/>
        </w:rPr>
        <w:t>3</w:t>
      </w:r>
      <w:r w:rsidRPr="009C6B1C">
        <w:rPr>
          <w:rFonts w:hint="eastAsia"/>
        </w:rPr>
        <w:t>岁以下儿童提供照护的能力提高</w:t>
      </w:r>
      <w:r w:rsidRPr="009C6B1C">
        <w:rPr>
          <w:rFonts w:hint="eastAsia"/>
        </w:rPr>
        <w:t>10%</w:t>
      </w:r>
      <w:r w:rsidRPr="009C6B1C">
        <w:rPr>
          <w:rFonts w:hint="eastAsia"/>
        </w:rPr>
        <w:t>，并加快母亲在产假后获得就业的速度。此外，委员会注意到为促进工作场所的性别平等而编写的材料，以及为消除劳动力市场的性别隔离和缩小性别工资差距而采取的措施。但委员会关切地注意到：</w:t>
      </w:r>
    </w:p>
    <w:p w14:paraId="27665B2D" w14:textId="77777777" w:rsidR="009C6B1C" w:rsidRPr="009C6B1C" w:rsidRDefault="009C6B1C" w:rsidP="009C6B1C">
      <w:pPr>
        <w:pStyle w:val="SingleTxt"/>
      </w:pPr>
      <w:r w:rsidRPr="009C6B1C">
        <w:rPr>
          <w:rFonts w:hint="eastAsia"/>
        </w:rPr>
        <w:tab/>
        <w:t>(a)</w:t>
      </w:r>
      <w:r w:rsidRPr="009C6B1C">
        <w:rPr>
          <w:rFonts w:hint="eastAsia"/>
        </w:rPr>
        <w:tab/>
      </w:r>
      <w:r w:rsidRPr="009C6B1C">
        <w:rPr>
          <w:rFonts w:hint="eastAsia"/>
        </w:rPr>
        <w:t>尽管妇女的教育水平较高，但缔约国持续存在性别工资差距，而且在劳动力市场上存在纵向和横向隔离；</w:t>
      </w:r>
    </w:p>
    <w:p w14:paraId="1CC48C24" w14:textId="77777777" w:rsidR="009C6B1C" w:rsidRPr="009C6B1C" w:rsidRDefault="009C6B1C" w:rsidP="009C6B1C">
      <w:pPr>
        <w:pStyle w:val="SingleTxt"/>
      </w:pPr>
      <w:r w:rsidRPr="009C6B1C">
        <w:rPr>
          <w:rFonts w:hint="eastAsia"/>
        </w:rPr>
        <w:tab/>
        <w:t>(b)</w:t>
      </w:r>
      <w:r w:rsidRPr="009C6B1C">
        <w:rPr>
          <w:rFonts w:hint="eastAsia"/>
        </w:rPr>
        <w:tab/>
      </w:r>
      <w:r w:rsidRPr="009C6B1C">
        <w:rPr>
          <w:rFonts w:hint="eastAsia"/>
        </w:rPr>
        <w:t>缺乏适当和负担得起的托儿设施以及确保平等分担父母责任的灵活工作安排和机制，从而严重阻碍了妇女的就业机会，特别是产假之后的就业机会；</w:t>
      </w:r>
    </w:p>
    <w:p w14:paraId="3B40FCCC" w14:textId="77777777" w:rsidR="009C6B1C" w:rsidRPr="009C6B1C" w:rsidRDefault="009C6B1C" w:rsidP="009C6B1C">
      <w:pPr>
        <w:pStyle w:val="SingleTxt"/>
      </w:pPr>
      <w:r w:rsidRPr="009C6B1C">
        <w:rPr>
          <w:rFonts w:hint="eastAsia"/>
        </w:rPr>
        <w:tab/>
        <w:t>(c)</w:t>
      </w:r>
      <w:r w:rsidRPr="009C6B1C">
        <w:rPr>
          <w:rFonts w:hint="eastAsia"/>
        </w:rPr>
        <w:tab/>
      </w:r>
      <w:r w:rsidRPr="009C6B1C">
        <w:rPr>
          <w:rFonts w:hint="eastAsia"/>
        </w:rPr>
        <w:t>罗姆妇女、残疾妇女和移民妇女，包括难民和寻求庇护者在获得有保障的全职工作方面面临困难；</w:t>
      </w:r>
    </w:p>
    <w:p w14:paraId="472EEF08" w14:textId="77777777" w:rsidR="009C6B1C" w:rsidRPr="009C6B1C" w:rsidRDefault="009C6B1C" w:rsidP="009C6B1C">
      <w:pPr>
        <w:pStyle w:val="SingleTxt"/>
      </w:pPr>
      <w:r w:rsidRPr="009C6B1C">
        <w:rPr>
          <w:rFonts w:hint="eastAsia"/>
        </w:rPr>
        <w:tab/>
        <w:t>(d)</w:t>
      </w:r>
      <w:r w:rsidRPr="009C6B1C">
        <w:rPr>
          <w:rFonts w:hint="eastAsia"/>
        </w:rPr>
        <w:tab/>
      </w:r>
      <w:r w:rsidRPr="009C6B1C">
        <w:rPr>
          <w:rFonts w:hint="eastAsia"/>
        </w:rPr>
        <w:t>缔约国未批准国际劳工组织《</w:t>
      </w:r>
      <w:r w:rsidRPr="009C6B1C">
        <w:rPr>
          <w:rFonts w:hint="eastAsia"/>
        </w:rPr>
        <w:t>2019</w:t>
      </w:r>
      <w:r w:rsidRPr="009C6B1C">
        <w:rPr>
          <w:rFonts w:hint="eastAsia"/>
        </w:rPr>
        <w:t>年暴力和骚扰公约》</w:t>
      </w:r>
      <w:r w:rsidRPr="009C6B1C">
        <w:rPr>
          <w:rFonts w:hint="eastAsia"/>
        </w:rPr>
        <w:t>(</w:t>
      </w:r>
      <w:r w:rsidRPr="009C6B1C">
        <w:rPr>
          <w:rFonts w:hint="eastAsia"/>
        </w:rPr>
        <w:t>第</w:t>
      </w:r>
      <w:r w:rsidRPr="009C6B1C">
        <w:rPr>
          <w:rFonts w:hint="eastAsia"/>
        </w:rPr>
        <w:t>190</w:t>
      </w:r>
      <w:r w:rsidRPr="009C6B1C">
        <w:rPr>
          <w:rFonts w:hint="eastAsia"/>
        </w:rPr>
        <w:t>号</w:t>
      </w:r>
      <w:r w:rsidRPr="009C6B1C">
        <w:rPr>
          <w:rFonts w:hint="eastAsia"/>
        </w:rPr>
        <w:t>)</w:t>
      </w:r>
      <w:r w:rsidRPr="009C6B1C">
        <w:rPr>
          <w:rFonts w:hint="eastAsia"/>
        </w:rPr>
        <w:t>。</w:t>
      </w:r>
    </w:p>
    <w:p w14:paraId="6E94E656" w14:textId="77777777" w:rsidR="009C6B1C" w:rsidRPr="00C635CC" w:rsidRDefault="009C6B1C" w:rsidP="009C6B1C">
      <w:pPr>
        <w:pStyle w:val="SingleTxt"/>
        <w:rPr>
          <w:rFonts w:eastAsia="黑体"/>
        </w:rPr>
      </w:pPr>
      <w:r w:rsidRPr="009C6B1C">
        <w:rPr>
          <w:rFonts w:hint="eastAsia"/>
        </w:rPr>
        <w:t>35.</w:t>
      </w:r>
      <w:r w:rsidRPr="009C6B1C">
        <w:rPr>
          <w:rFonts w:hint="eastAsia"/>
        </w:rPr>
        <w:tab/>
      </w:r>
      <w:r w:rsidRPr="00C635CC">
        <w:rPr>
          <w:rFonts w:eastAsia="黑体"/>
        </w:rPr>
        <w:t>委员会回顾其关于同工同酬的第</w:t>
      </w:r>
      <w:r w:rsidRPr="00C635CC">
        <w:rPr>
          <w:rFonts w:eastAsia="黑体"/>
        </w:rPr>
        <w:t>13</w:t>
      </w:r>
      <w:r w:rsidRPr="00C635CC">
        <w:rPr>
          <w:rFonts w:eastAsia="黑体"/>
        </w:rPr>
        <w:t>号一般性建议</w:t>
      </w:r>
      <w:r w:rsidRPr="00C635CC">
        <w:rPr>
          <w:rFonts w:eastAsia="黑体"/>
        </w:rPr>
        <w:t>(1989</w:t>
      </w:r>
      <w:r w:rsidRPr="00C635CC">
        <w:rPr>
          <w:rFonts w:eastAsia="黑体"/>
        </w:rPr>
        <w:t>年</w:t>
      </w:r>
      <w:r w:rsidRPr="00C635CC">
        <w:rPr>
          <w:rFonts w:eastAsia="黑体"/>
        </w:rPr>
        <w:t>)</w:t>
      </w:r>
      <w:r w:rsidRPr="00C635CC">
        <w:rPr>
          <w:rFonts w:eastAsia="黑体"/>
        </w:rPr>
        <w:t>和可持续发展目标的具体目标</w:t>
      </w:r>
      <w:r w:rsidRPr="00C635CC">
        <w:rPr>
          <w:rFonts w:eastAsia="黑体"/>
        </w:rPr>
        <w:t>8.5(</w:t>
      </w:r>
      <w:r w:rsidRPr="00C635CC">
        <w:rPr>
          <w:rFonts w:eastAsia="黑体"/>
        </w:rPr>
        <w:t>到</w:t>
      </w:r>
      <w:r w:rsidRPr="00C635CC">
        <w:rPr>
          <w:rFonts w:eastAsia="黑体"/>
        </w:rPr>
        <w:t>2030</w:t>
      </w:r>
      <w:r w:rsidRPr="00C635CC">
        <w:rPr>
          <w:rFonts w:eastAsia="黑体"/>
        </w:rPr>
        <w:t>年，所有男女，包括青年和残疾人实现充分和生产性就业，有体面工作，并做到同工同酬</w:t>
      </w:r>
      <w:r w:rsidRPr="00C635CC">
        <w:rPr>
          <w:rFonts w:eastAsia="黑体"/>
        </w:rPr>
        <w:t>)</w:t>
      </w:r>
      <w:r w:rsidRPr="00C635CC">
        <w:rPr>
          <w:rFonts w:eastAsia="黑体"/>
        </w:rPr>
        <w:t>，建议缔约国：</w:t>
      </w:r>
    </w:p>
    <w:p w14:paraId="615568AD" w14:textId="77777777" w:rsidR="009C6B1C" w:rsidRPr="00C635CC" w:rsidRDefault="009C6B1C" w:rsidP="009C6B1C">
      <w:pPr>
        <w:pStyle w:val="SingleTxt"/>
        <w:rPr>
          <w:rFonts w:eastAsia="黑体"/>
        </w:rPr>
      </w:pPr>
      <w:r w:rsidRPr="00C635CC">
        <w:rPr>
          <w:rFonts w:eastAsia="黑体"/>
        </w:rPr>
        <w:tab/>
        <w:t>(a)</w:t>
      </w:r>
      <w:r w:rsidRPr="00C635CC">
        <w:rPr>
          <w:rFonts w:eastAsia="黑体"/>
        </w:rPr>
        <w:tab/>
      </w:r>
      <w:r w:rsidRPr="00C635CC">
        <w:rPr>
          <w:rFonts w:eastAsia="黑体"/>
        </w:rPr>
        <w:t>加强努力，消除劳动力市场上男女之间的横向和纵向隔离，消除性别工资差距，包括为此审查所有部门的工资情况，采用对性别问题有敏感认识的分析性职务分类及评价方法，定期开展工资调查，并鼓励雇主公布有关性别工资差距数据的说明，以便更好地了解性别工资差距背后的原因，严格执行同工同酬原则；</w:t>
      </w:r>
    </w:p>
    <w:p w14:paraId="249DA35E" w14:textId="77777777" w:rsidR="009C6B1C" w:rsidRPr="00C635CC" w:rsidRDefault="009C6B1C" w:rsidP="009C6B1C">
      <w:pPr>
        <w:pStyle w:val="SingleTxt"/>
        <w:rPr>
          <w:rFonts w:eastAsia="黑体"/>
        </w:rPr>
      </w:pPr>
      <w:r w:rsidRPr="00C635CC">
        <w:rPr>
          <w:rFonts w:eastAsia="黑体"/>
        </w:rPr>
        <w:tab/>
        <w:t>(b)</w:t>
      </w:r>
      <w:r w:rsidRPr="00C635CC">
        <w:rPr>
          <w:rFonts w:eastAsia="黑体"/>
        </w:rPr>
        <w:tab/>
      </w:r>
      <w:r w:rsidRPr="00C635CC">
        <w:rPr>
          <w:rFonts w:eastAsia="黑体"/>
        </w:rPr>
        <w:t>采取措施，包括修订劳动和社会保障法，以促进男女平等分担父母的责任，鼓励公共和私营公司为父母提供灵活的工作安排，并在缔约国全境提供更多的、合适且负担得起的托儿设施；</w:t>
      </w:r>
    </w:p>
    <w:p w14:paraId="4E9123EA" w14:textId="77777777" w:rsidR="009C6B1C" w:rsidRPr="00C635CC" w:rsidRDefault="009C6B1C" w:rsidP="009C6B1C">
      <w:pPr>
        <w:pStyle w:val="SingleTxt"/>
        <w:rPr>
          <w:rFonts w:eastAsia="黑体"/>
        </w:rPr>
      </w:pPr>
      <w:r w:rsidRPr="00C635CC">
        <w:rPr>
          <w:rFonts w:eastAsia="黑体"/>
        </w:rPr>
        <w:tab/>
        <w:t>(c)</w:t>
      </w:r>
      <w:r w:rsidRPr="00C635CC">
        <w:rPr>
          <w:rFonts w:eastAsia="黑体"/>
        </w:rPr>
        <w:tab/>
      </w:r>
      <w:r w:rsidRPr="00C635CC">
        <w:rPr>
          <w:rFonts w:eastAsia="黑体"/>
        </w:rPr>
        <w:t>采取一切必要措施，包括采取暂行特别措施，以消除弱势群体中的妇女，尤其是罗姆妇女、残疾妇女以及包括难民和寻求庇护者在内的移民妇女所面临的结构性障碍，以确保充分和生产性就业、体面工作和同工同酬；</w:t>
      </w:r>
    </w:p>
    <w:p w14:paraId="311BAEE3" w14:textId="77777777" w:rsidR="009C6B1C" w:rsidRPr="00C635CC" w:rsidRDefault="009C6B1C" w:rsidP="009C6B1C">
      <w:pPr>
        <w:pStyle w:val="SingleTxt"/>
        <w:rPr>
          <w:rFonts w:eastAsia="黑体"/>
        </w:rPr>
      </w:pPr>
      <w:r w:rsidRPr="00C635CC">
        <w:rPr>
          <w:rFonts w:eastAsia="黑体"/>
        </w:rPr>
        <w:tab/>
        <w:t>(d)</w:t>
      </w:r>
      <w:r w:rsidRPr="00C635CC">
        <w:rPr>
          <w:rFonts w:eastAsia="黑体"/>
        </w:rPr>
        <w:tab/>
      </w:r>
      <w:r w:rsidRPr="00C635CC">
        <w:rPr>
          <w:rFonts w:eastAsia="黑体"/>
        </w:rPr>
        <w:t>批准《</w:t>
      </w:r>
      <w:r w:rsidRPr="00C635CC">
        <w:rPr>
          <w:rFonts w:eastAsia="黑体"/>
        </w:rPr>
        <w:t>2019</w:t>
      </w:r>
      <w:r w:rsidRPr="00C635CC">
        <w:rPr>
          <w:rFonts w:eastAsia="黑体"/>
        </w:rPr>
        <w:t>年暴力和骚扰公约》</w:t>
      </w:r>
      <w:r w:rsidRPr="00C635CC">
        <w:rPr>
          <w:rFonts w:eastAsia="黑体"/>
        </w:rPr>
        <w:t>(</w:t>
      </w:r>
      <w:r w:rsidRPr="00C635CC">
        <w:rPr>
          <w:rFonts w:eastAsia="黑体"/>
        </w:rPr>
        <w:t>第</w:t>
      </w:r>
      <w:r w:rsidRPr="00C635CC">
        <w:rPr>
          <w:rFonts w:eastAsia="黑体"/>
        </w:rPr>
        <w:t>190</w:t>
      </w:r>
      <w:r w:rsidRPr="00C635CC">
        <w:rPr>
          <w:rFonts w:eastAsia="黑体"/>
        </w:rPr>
        <w:t>号</w:t>
      </w:r>
      <w:r w:rsidRPr="00C635CC">
        <w:rPr>
          <w:rFonts w:eastAsia="黑体"/>
        </w:rPr>
        <w:t>)</w:t>
      </w:r>
      <w:r w:rsidRPr="00C635CC">
        <w:rPr>
          <w:rFonts w:eastAsia="黑体"/>
        </w:rPr>
        <w:t>。</w:t>
      </w:r>
    </w:p>
    <w:p w14:paraId="0E10FD01" w14:textId="77777777" w:rsidR="009C6B1C" w:rsidRPr="00C635CC" w:rsidRDefault="009C6B1C" w:rsidP="00C635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635CC">
        <w:tab/>
      </w:r>
      <w:r w:rsidRPr="00C635CC">
        <w:tab/>
      </w:r>
      <w:r w:rsidRPr="00C635CC">
        <w:t>健康</w:t>
      </w:r>
    </w:p>
    <w:p w14:paraId="3CC6CE3B" w14:textId="77777777" w:rsidR="009C6B1C" w:rsidRPr="00C635CC" w:rsidRDefault="009C6B1C" w:rsidP="009C6B1C">
      <w:pPr>
        <w:pStyle w:val="SingleTxt"/>
        <w:rPr>
          <w:spacing w:val="-2"/>
        </w:rPr>
      </w:pPr>
      <w:r w:rsidRPr="00C635CC">
        <w:rPr>
          <w:rFonts w:hint="eastAsia"/>
          <w:spacing w:val="-2"/>
        </w:rPr>
        <w:t>36.</w:t>
      </w:r>
      <w:r w:rsidRPr="00C635CC">
        <w:rPr>
          <w:rFonts w:hint="eastAsia"/>
          <w:spacing w:val="-2"/>
        </w:rPr>
        <w:tab/>
      </w:r>
      <w:r w:rsidRPr="00C635CC">
        <w:rPr>
          <w:rFonts w:hint="eastAsia"/>
          <w:spacing w:val="-2"/>
        </w:rPr>
        <w:t>委员会注意到“健康社区：在医院环境中提供保健支助助理”项目，以改善罗姆人中包括妇女在内的弱势群体获得常规保健服务的机会。委员会感到关切的是：</w:t>
      </w:r>
    </w:p>
    <w:p w14:paraId="31E2701F" w14:textId="77777777" w:rsidR="009C6B1C" w:rsidRPr="009C6B1C" w:rsidRDefault="009C6B1C" w:rsidP="009C6B1C">
      <w:pPr>
        <w:pStyle w:val="SingleTxt"/>
      </w:pPr>
      <w:r w:rsidRPr="009C6B1C">
        <w:rPr>
          <w:rFonts w:hint="eastAsia"/>
        </w:rPr>
        <w:tab/>
        <w:t>(a)</w:t>
      </w:r>
      <w:r w:rsidRPr="009C6B1C">
        <w:rPr>
          <w:rFonts w:hint="eastAsia"/>
        </w:rPr>
        <w:tab/>
      </w:r>
      <w:r w:rsidRPr="009C6B1C">
        <w:rPr>
          <w:rFonts w:hint="eastAsia"/>
        </w:rPr>
        <w:t>尽管少女怀孕率和婴儿死亡率较高，而且性传播感染增加，但迟迟未能通过一项关于性和生殖健康及权利的综合方案；</w:t>
      </w:r>
    </w:p>
    <w:p w14:paraId="56F42210" w14:textId="77777777" w:rsidR="009C6B1C" w:rsidRPr="009C6B1C" w:rsidRDefault="009C6B1C" w:rsidP="009C6B1C">
      <w:pPr>
        <w:pStyle w:val="SingleTxt"/>
      </w:pPr>
      <w:r w:rsidRPr="009C6B1C">
        <w:rPr>
          <w:rFonts w:hint="eastAsia"/>
        </w:rPr>
        <w:tab/>
        <w:t>(b)</w:t>
      </w:r>
      <w:r w:rsidRPr="009C6B1C">
        <w:rPr>
          <w:rFonts w:hint="eastAsia"/>
        </w:rPr>
        <w:tab/>
      </w:r>
      <w:r w:rsidRPr="009C6B1C">
        <w:rPr>
          <w:rFonts w:hint="eastAsia"/>
        </w:rPr>
        <w:t>公共卫生保险仍不包括现代形式的避孕和应要求堕胎，紧急避孕药仍被禁止；</w:t>
      </w:r>
    </w:p>
    <w:p w14:paraId="6ECBA09E" w14:textId="77777777" w:rsidR="009C6B1C" w:rsidRPr="009C6B1C" w:rsidRDefault="009C6B1C" w:rsidP="009C6B1C">
      <w:pPr>
        <w:pStyle w:val="SingleTxt"/>
      </w:pPr>
      <w:r w:rsidRPr="009C6B1C">
        <w:rPr>
          <w:rFonts w:hint="eastAsia"/>
        </w:rPr>
        <w:tab/>
        <w:t>(c)</w:t>
      </w:r>
      <w:r w:rsidRPr="009C6B1C">
        <w:rPr>
          <w:rFonts w:hint="eastAsia"/>
        </w:rPr>
        <w:tab/>
      </w:r>
      <w:r w:rsidRPr="009C6B1C">
        <w:rPr>
          <w:rFonts w:hint="eastAsia"/>
        </w:rPr>
        <w:t>妇女和女童在获得合法和安全堕胎方面面临障碍，例如有关以下方面的规定，即强制辅导、医疗上不必要的等待期以及</w:t>
      </w:r>
      <w:r w:rsidRPr="009C6B1C">
        <w:rPr>
          <w:rFonts w:hint="eastAsia"/>
        </w:rPr>
        <w:t>18</w:t>
      </w:r>
      <w:r w:rsidRPr="009C6B1C">
        <w:rPr>
          <w:rFonts w:hint="eastAsia"/>
        </w:rPr>
        <w:t>岁以下女童，包括弱势和处境不利妇女群体的父母同意。</w:t>
      </w:r>
    </w:p>
    <w:p w14:paraId="14DDC151" w14:textId="77777777" w:rsidR="009C6B1C" w:rsidRPr="00C635CC" w:rsidRDefault="009C6B1C" w:rsidP="009C6B1C">
      <w:pPr>
        <w:pStyle w:val="SingleTxt"/>
        <w:rPr>
          <w:rFonts w:eastAsia="黑体"/>
        </w:rPr>
      </w:pPr>
      <w:r w:rsidRPr="009C6B1C">
        <w:rPr>
          <w:rFonts w:hint="eastAsia"/>
        </w:rPr>
        <w:t>37.</w:t>
      </w:r>
      <w:r w:rsidRPr="009C6B1C">
        <w:rPr>
          <w:rFonts w:hint="eastAsia"/>
        </w:rPr>
        <w:tab/>
      </w:r>
      <w:r w:rsidRPr="00C635CC">
        <w:rPr>
          <w:rFonts w:eastAsia="黑体"/>
        </w:rPr>
        <w:t>委员会建议缔约国：</w:t>
      </w:r>
    </w:p>
    <w:p w14:paraId="1A4DF3E7" w14:textId="77777777" w:rsidR="009C6B1C" w:rsidRPr="00C635CC" w:rsidRDefault="009C6B1C" w:rsidP="009C6B1C">
      <w:pPr>
        <w:pStyle w:val="SingleTxt"/>
        <w:rPr>
          <w:rFonts w:eastAsia="黑体"/>
        </w:rPr>
      </w:pPr>
      <w:r w:rsidRPr="00C635CC">
        <w:rPr>
          <w:rFonts w:eastAsia="黑体"/>
        </w:rPr>
        <w:tab/>
        <w:t>(a)</w:t>
      </w:r>
      <w:r w:rsidRPr="00C635CC">
        <w:rPr>
          <w:rFonts w:eastAsia="黑体"/>
        </w:rPr>
        <w:tab/>
      </w:r>
      <w:r w:rsidRPr="00C635CC">
        <w:rPr>
          <w:rFonts w:eastAsia="黑体"/>
        </w:rPr>
        <w:t>根据国际人权标准，包括《公约》以及委员会关于妇女和保健的第</w:t>
      </w:r>
      <w:r w:rsidRPr="00C635CC">
        <w:rPr>
          <w:rFonts w:eastAsia="黑体"/>
        </w:rPr>
        <w:t>24</w:t>
      </w:r>
      <w:r w:rsidRPr="00C635CC">
        <w:rPr>
          <w:rFonts w:eastAsia="黑体"/>
        </w:rPr>
        <w:t>号一般性建议</w:t>
      </w:r>
      <w:r w:rsidRPr="00C635CC">
        <w:rPr>
          <w:rFonts w:eastAsia="黑体"/>
        </w:rPr>
        <w:t>(1999</w:t>
      </w:r>
      <w:r w:rsidRPr="00C635CC">
        <w:rPr>
          <w:rFonts w:eastAsia="黑体"/>
        </w:rPr>
        <w:t>年</w:t>
      </w:r>
      <w:r w:rsidRPr="00C635CC">
        <w:rPr>
          <w:rFonts w:eastAsia="黑体"/>
        </w:rPr>
        <w:t>)</w:t>
      </w:r>
      <w:r w:rsidRPr="00C635CC">
        <w:rPr>
          <w:rFonts w:eastAsia="黑体"/>
        </w:rPr>
        <w:t>和世界卫生组织标准，加快通过一项关于性和生殖健康及权利的综合方案；</w:t>
      </w:r>
    </w:p>
    <w:p w14:paraId="3B92B697" w14:textId="77777777" w:rsidR="009C6B1C" w:rsidRPr="00C635CC" w:rsidRDefault="009C6B1C" w:rsidP="009C6B1C">
      <w:pPr>
        <w:pStyle w:val="SingleTxt"/>
        <w:rPr>
          <w:rFonts w:eastAsia="黑体"/>
        </w:rPr>
      </w:pPr>
      <w:r w:rsidRPr="00C635CC">
        <w:rPr>
          <w:rFonts w:eastAsia="黑体"/>
        </w:rPr>
        <w:tab/>
        <w:t>(b)</w:t>
      </w:r>
      <w:r w:rsidRPr="00C635CC">
        <w:rPr>
          <w:rFonts w:eastAsia="黑体"/>
        </w:rPr>
        <w:tab/>
      </w:r>
      <w:r w:rsidRPr="00C635CC">
        <w:rPr>
          <w:rFonts w:eastAsia="黑体"/>
        </w:rPr>
        <w:t>确保合法堕胎，包括应要求堕胎，并将现代避孕药具纳入公共卫生保险；</w:t>
      </w:r>
    </w:p>
    <w:p w14:paraId="06739840" w14:textId="77777777" w:rsidR="009C6B1C" w:rsidRPr="00C635CC" w:rsidRDefault="009C6B1C" w:rsidP="009C6B1C">
      <w:pPr>
        <w:pStyle w:val="SingleTxt"/>
        <w:rPr>
          <w:rFonts w:eastAsia="黑体"/>
        </w:rPr>
      </w:pPr>
      <w:r w:rsidRPr="00C635CC">
        <w:rPr>
          <w:rFonts w:eastAsia="黑体"/>
        </w:rPr>
        <w:tab/>
        <w:t>(c)</w:t>
      </w:r>
      <w:r w:rsidRPr="00C635CC">
        <w:rPr>
          <w:rFonts w:eastAsia="黑体"/>
        </w:rPr>
        <w:tab/>
      </w:r>
      <w:r w:rsidRPr="00C635CC">
        <w:rPr>
          <w:rFonts w:eastAsia="黑体"/>
        </w:rPr>
        <w:t>根据世界卫生组织的建议，取消对获得安全堕胎服务的限制，例如有关强制辅导、医疗上不必要的等待期和第三方授权的规定。</w:t>
      </w:r>
    </w:p>
    <w:p w14:paraId="1BA4771D" w14:textId="1380CE06" w:rsidR="009C6B1C" w:rsidRPr="00C635CC" w:rsidRDefault="009C6B1C" w:rsidP="00C635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635CC">
        <w:tab/>
      </w:r>
      <w:r w:rsidRPr="00C635CC">
        <w:tab/>
      </w:r>
      <w:r w:rsidRPr="00C635CC">
        <w:t>增强妇女经济权能</w:t>
      </w:r>
    </w:p>
    <w:p w14:paraId="0F7A5F4A" w14:textId="77777777" w:rsidR="009C6B1C" w:rsidRPr="009C6B1C" w:rsidRDefault="009C6B1C" w:rsidP="009C6B1C">
      <w:pPr>
        <w:pStyle w:val="SingleTxt"/>
      </w:pPr>
      <w:r w:rsidRPr="009C6B1C">
        <w:rPr>
          <w:rFonts w:hint="eastAsia"/>
        </w:rPr>
        <w:t>38.</w:t>
      </w:r>
      <w:r w:rsidRPr="009C6B1C">
        <w:rPr>
          <w:rFonts w:hint="eastAsia"/>
        </w:rPr>
        <w:tab/>
      </w:r>
      <w:r w:rsidRPr="009C6B1C">
        <w:rPr>
          <w:rFonts w:hint="eastAsia"/>
        </w:rPr>
        <w:t>委员会注意到，对话期间提供的资料表明，缔约国已实行怀孕津贴，为怀孕期间的妇女提供经济支助。但委员会仍感关切的是：</w:t>
      </w:r>
    </w:p>
    <w:p w14:paraId="64A665DC" w14:textId="77777777" w:rsidR="009C6B1C" w:rsidRPr="009C6B1C" w:rsidRDefault="009C6B1C" w:rsidP="009C6B1C">
      <w:pPr>
        <w:pStyle w:val="SingleTxt"/>
      </w:pPr>
      <w:r w:rsidRPr="009C6B1C">
        <w:rPr>
          <w:rFonts w:hint="eastAsia"/>
        </w:rPr>
        <w:tab/>
        <w:t>(a)</w:t>
      </w:r>
      <w:r w:rsidRPr="009C6B1C">
        <w:rPr>
          <w:rFonts w:hint="eastAsia"/>
        </w:rPr>
        <w:tab/>
      </w:r>
      <w:r w:rsidRPr="009C6B1C">
        <w:rPr>
          <w:rFonts w:hint="eastAsia"/>
        </w:rPr>
        <w:t>弱势妇女很容易陷入贫困，原因是她们无法获得适足的社会福利、津贴和养老金，也没有如何获取的相关信息；</w:t>
      </w:r>
    </w:p>
    <w:p w14:paraId="5E9E89CD" w14:textId="77777777" w:rsidR="009C6B1C" w:rsidRPr="009C6B1C" w:rsidRDefault="009C6B1C" w:rsidP="009C6B1C">
      <w:pPr>
        <w:pStyle w:val="SingleTxt"/>
      </w:pPr>
      <w:r w:rsidRPr="009C6B1C">
        <w:rPr>
          <w:rFonts w:hint="eastAsia"/>
        </w:rPr>
        <w:tab/>
        <w:t>(b)</w:t>
      </w:r>
      <w:r w:rsidRPr="009C6B1C">
        <w:rPr>
          <w:rFonts w:hint="eastAsia"/>
        </w:rPr>
        <w:tab/>
      </w:r>
      <w:r w:rsidRPr="009C6B1C">
        <w:rPr>
          <w:rFonts w:hint="eastAsia"/>
        </w:rPr>
        <w:t>关于面向妇女的贷款计划、抵押贷款和其他形式的金融信贷或关于创业的具体培训的信息不足。</w:t>
      </w:r>
    </w:p>
    <w:p w14:paraId="0319785C" w14:textId="77777777" w:rsidR="009C6B1C" w:rsidRPr="00C635CC" w:rsidRDefault="009C6B1C" w:rsidP="009C6B1C">
      <w:pPr>
        <w:pStyle w:val="SingleTxt"/>
        <w:rPr>
          <w:rFonts w:eastAsia="黑体"/>
        </w:rPr>
      </w:pPr>
      <w:r w:rsidRPr="009C6B1C">
        <w:rPr>
          <w:rFonts w:hint="eastAsia"/>
        </w:rPr>
        <w:t>39.</w:t>
      </w:r>
      <w:r w:rsidRPr="009C6B1C">
        <w:rPr>
          <w:rFonts w:hint="eastAsia"/>
        </w:rPr>
        <w:tab/>
      </w:r>
      <w:r w:rsidRPr="00C635CC">
        <w:rPr>
          <w:rFonts w:eastAsia="黑体"/>
        </w:rPr>
        <w:t>委员会建议缔约国：</w:t>
      </w:r>
    </w:p>
    <w:p w14:paraId="032B10B5" w14:textId="2FDD86C9" w:rsidR="009C6B1C" w:rsidRPr="00C635CC" w:rsidRDefault="009C6B1C" w:rsidP="009C6B1C">
      <w:pPr>
        <w:pStyle w:val="SingleTxt"/>
        <w:rPr>
          <w:rFonts w:eastAsia="黑体"/>
        </w:rPr>
      </w:pPr>
      <w:r w:rsidRPr="00C635CC">
        <w:rPr>
          <w:rFonts w:eastAsia="黑体"/>
        </w:rPr>
        <w:tab/>
        <w:t>(a)</w:t>
      </w:r>
      <w:r w:rsidRPr="00C635CC">
        <w:rPr>
          <w:rFonts w:eastAsia="黑体"/>
        </w:rPr>
        <w:tab/>
      </w:r>
      <w:r w:rsidRPr="00C635CC">
        <w:rPr>
          <w:rFonts w:eastAsia="黑体"/>
        </w:rPr>
        <w:t>审查其养恤金和社会福利计划，以确保养恤金和其他福利的数额和领取时长，足以有效保护所有妇女不至陷入贫困，并按照委员会先前的结论性意见</w:t>
      </w:r>
      <w:r w:rsidRPr="00C635CC">
        <w:rPr>
          <w:rFonts w:eastAsia="黑体"/>
        </w:rPr>
        <w:t>(</w:t>
      </w:r>
      <w:hyperlink r:id="rId42" w:history="1">
        <w:r w:rsidRPr="00C635CC">
          <w:rPr>
            <w:rStyle w:val="af4"/>
            <w:rFonts w:eastAsia="黑体"/>
          </w:rPr>
          <w:t>CEDAW/C/SVK/CO/5-6</w:t>
        </w:r>
      </w:hyperlink>
      <w:r w:rsidRPr="00C635CC">
        <w:rPr>
          <w:rFonts w:eastAsia="黑体"/>
        </w:rPr>
        <w:t>，第</w:t>
      </w:r>
      <w:r w:rsidRPr="00C635CC">
        <w:rPr>
          <w:rFonts w:eastAsia="黑体"/>
        </w:rPr>
        <w:t>35</w:t>
      </w:r>
      <w:r w:rsidRPr="00C635CC">
        <w:rPr>
          <w:rFonts w:eastAsia="黑体"/>
        </w:rPr>
        <w:t>段</w:t>
      </w:r>
      <w:r w:rsidRPr="00C635CC">
        <w:rPr>
          <w:rFonts w:eastAsia="黑体"/>
        </w:rPr>
        <w:t>)</w:t>
      </w:r>
      <w:r w:rsidRPr="00C635CC">
        <w:rPr>
          <w:rFonts w:eastAsia="黑体"/>
        </w:rPr>
        <w:t>中的建议，采取具体措施，提高弱势妇女群体的经济地位；</w:t>
      </w:r>
    </w:p>
    <w:p w14:paraId="262C9479" w14:textId="77777777" w:rsidR="009C6B1C" w:rsidRPr="00C635CC" w:rsidRDefault="009C6B1C" w:rsidP="009C6B1C">
      <w:pPr>
        <w:pStyle w:val="SingleTxt"/>
        <w:rPr>
          <w:rFonts w:eastAsia="黑体"/>
        </w:rPr>
      </w:pPr>
      <w:r w:rsidRPr="00C635CC">
        <w:rPr>
          <w:rFonts w:eastAsia="黑体"/>
        </w:rPr>
        <w:tab/>
        <w:t>(b)</w:t>
      </w:r>
      <w:r w:rsidRPr="00C635CC">
        <w:rPr>
          <w:rFonts w:eastAsia="黑体"/>
        </w:rPr>
        <w:tab/>
      </w:r>
      <w:r w:rsidRPr="00C635CC">
        <w:rPr>
          <w:rFonts w:eastAsia="黑体"/>
        </w:rPr>
        <w:t>采取措施，确保妇女在获得银行贷款、抵押贷款和其他形式的金融信贷方面与男子平等，并在下次定期报告中提供详细资料，说明这些措施的影响。</w:t>
      </w:r>
    </w:p>
    <w:p w14:paraId="1748B095" w14:textId="11DBA4E8" w:rsidR="009C6B1C" w:rsidRPr="00C635CC" w:rsidRDefault="009C6B1C" w:rsidP="00C635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635CC">
        <w:tab/>
      </w:r>
      <w:r w:rsidRPr="00C635CC">
        <w:tab/>
      </w:r>
      <w:r w:rsidRPr="00C635CC">
        <w:t>农村妇女</w:t>
      </w:r>
    </w:p>
    <w:p w14:paraId="5AAB1307" w14:textId="77777777" w:rsidR="009C6B1C" w:rsidRPr="009C6B1C" w:rsidRDefault="009C6B1C" w:rsidP="009C6B1C">
      <w:pPr>
        <w:pStyle w:val="SingleTxt"/>
      </w:pPr>
      <w:r w:rsidRPr="009C6B1C">
        <w:rPr>
          <w:rFonts w:hint="eastAsia"/>
        </w:rPr>
        <w:t>40.</w:t>
      </w:r>
      <w:r w:rsidRPr="009C6B1C">
        <w:rPr>
          <w:rFonts w:hint="eastAsia"/>
        </w:rPr>
        <w:tab/>
      </w:r>
      <w:r w:rsidRPr="009C6B1C">
        <w:rPr>
          <w:rFonts w:hint="eastAsia"/>
        </w:rPr>
        <w:t>委员会感到关切的是，气候变化以及生物多样性和文化遗产保护举措中没有纳入农村妇女。</w:t>
      </w:r>
    </w:p>
    <w:p w14:paraId="7005D7A5" w14:textId="77777777" w:rsidR="009C6B1C" w:rsidRPr="00C635CC" w:rsidRDefault="009C6B1C" w:rsidP="009C6B1C">
      <w:pPr>
        <w:pStyle w:val="SingleTxt"/>
        <w:rPr>
          <w:rFonts w:ascii="黑体" w:eastAsia="黑体" w:hAnsi="黑体"/>
        </w:rPr>
      </w:pPr>
      <w:r w:rsidRPr="009C6B1C">
        <w:rPr>
          <w:rFonts w:hint="eastAsia"/>
        </w:rPr>
        <w:t>41.</w:t>
      </w:r>
      <w:r w:rsidRPr="009C6B1C">
        <w:rPr>
          <w:rFonts w:hint="eastAsia"/>
        </w:rPr>
        <w:tab/>
      </w:r>
      <w:r w:rsidRPr="00C635CC">
        <w:rPr>
          <w:rFonts w:ascii="黑体" w:eastAsia="黑体" w:hAnsi="黑体" w:hint="eastAsia"/>
        </w:rPr>
        <w:t>委员会建议缔约国确保农村妇女参与制定和执行与气候变化以及生物多样性和文化遗产保护有关的国家政策、方案和举措。</w:t>
      </w:r>
    </w:p>
    <w:p w14:paraId="2B2EC88F" w14:textId="77777777" w:rsidR="009C6B1C" w:rsidRPr="009C6B1C" w:rsidRDefault="009C6B1C" w:rsidP="00C635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C6B1C">
        <w:rPr>
          <w:rFonts w:hint="eastAsia"/>
        </w:rPr>
        <w:tab/>
      </w:r>
      <w:r w:rsidRPr="009C6B1C">
        <w:rPr>
          <w:rFonts w:hint="eastAsia"/>
        </w:rPr>
        <w:tab/>
      </w:r>
      <w:r w:rsidRPr="009C6B1C">
        <w:rPr>
          <w:rFonts w:hint="eastAsia"/>
        </w:rPr>
        <w:t>处境不利和边缘化妇女群体</w:t>
      </w:r>
    </w:p>
    <w:p w14:paraId="3CD0D3EA" w14:textId="77777777" w:rsidR="009C6B1C" w:rsidRPr="009C6B1C" w:rsidRDefault="009C6B1C" w:rsidP="00C635CC">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C6B1C">
        <w:rPr>
          <w:rFonts w:hint="eastAsia"/>
        </w:rPr>
        <w:tab/>
      </w:r>
      <w:r w:rsidRPr="009C6B1C">
        <w:rPr>
          <w:rFonts w:hint="eastAsia"/>
        </w:rPr>
        <w:tab/>
      </w:r>
      <w:r w:rsidRPr="009C6B1C">
        <w:rPr>
          <w:rFonts w:hint="eastAsia"/>
        </w:rPr>
        <w:t>罗姆妇女</w:t>
      </w:r>
    </w:p>
    <w:p w14:paraId="325E9A2A" w14:textId="77777777" w:rsidR="009C6B1C" w:rsidRPr="009C6B1C" w:rsidRDefault="009C6B1C" w:rsidP="009C6B1C">
      <w:pPr>
        <w:pStyle w:val="SingleTxt"/>
      </w:pPr>
      <w:r w:rsidRPr="009C6B1C">
        <w:rPr>
          <w:rFonts w:hint="eastAsia"/>
        </w:rPr>
        <w:t>42.</w:t>
      </w:r>
      <w:r w:rsidRPr="009C6B1C">
        <w:rPr>
          <w:rFonts w:hint="eastAsia"/>
        </w:rPr>
        <w:tab/>
      </w:r>
      <w:r w:rsidRPr="009C6B1C">
        <w:rPr>
          <w:rFonts w:hint="eastAsia"/>
        </w:rPr>
        <w:t>委员会欢迎缔约国分别于</w:t>
      </w:r>
      <w:r w:rsidRPr="009C6B1C">
        <w:rPr>
          <w:rFonts w:hint="eastAsia"/>
        </w:rPr>
        <w:t>2021</w:t>
      </w:r>
      <w:r w:rsidRPr="009C6B1C">
        <w:rPr>
          <w:rFonts w:hint="eastAsia"/>
        </w:rPr>
        <w:t>年</w:t>
      </w:r>
      <w:r w:rsidRPr="009C6B1C">
        <w:rPr>
          <w:rFonts w:hint="eastAsia"/>
        </w:rPr>
        <w:t>6</w:t>
      </w:r>
      <w:r w:rsidRPr="009C6B1C">
        <w:rPr>
          <w:rFonts w:hint="eastAsia"/>
        </w:rPr>
        <w:t>月和</w:t>
      </w:r>
      <w:r w:rsidRPr="009C6B1C">
        <w:rPr>
          <w:rFonts w:hint="eastAsia"/>
        </w:rPr>
        <w:t>2021</w:t>
      </w:r>
      <w:r w:rsidRPr="009C6B1C">
        <w:rPr>
          <w:rFonts w:hint="eastAsia"/>
        </w:rPr>
        <w:t>年</w:t>
      </w:r>
      <w:r w:rsidRPr="009C6B1C">
        <w:rPr>
          <w:rFonts w:hint="eastAsia"/>
        </w:rPr>
        <w:t>11</w:t>
      </w:r>
      <w:r w:rsidRPr="009C6B1C">
        <w:rPr>
          <w:rFonts w:hint="eastAsia"/>
        </w:rPr>
        <w:t>月发表声明，就</w:t>
      </w:r>
      <w:r w:rsidRPr="009C6B1C">
        <w:rPr>
          <w:rFonts w:hint="eastAsia"/>
        </w:rPr>
        <w:t>2013</w:t>
      </w:r>
      <w:r w:rsidRPr="009C6B1C">
        <w:rPr>
          <w:rFonts w:hint="eastAsia"/>
        </w:rPr>
        <w:t>年国家警察部队在博德瓦河畔摩尔达瓦的干预行为以及</w:t>
      </w:r>
      <w:r w:rsidRPr="009C6B1C">
        <w:rPr>
          <w:rFonts w:hint="eastAsia"/>
        </w:rPr>
        <w:t>1966-2004</w:t>
      </w:r>
      <w:r w:rsidRPr="009C6B1C">
        <w:rPr>
          <w:rFonts w:hint="eastAsia"/>
        </w:rPr>
        <w:t>年期间罗姆妇女被非法绝育的案件向罗姆人道歉。委员会注意到缔约国通过了修正《第</w:t>
      </w:r>
      <w:r w:rsidRPr="009C6B1C">
        <w:rPr>
          <w:rFonts w:hint="eastAsia"/>
        </w:rPr>
        <w:t>330/1991</w:t>
      </w:r>
      <w:r w:rsidRPr="009C6B1C">
        <w:rPr>
          <w:rFonts w:hint="eastAsia"/>
        </w:rPr>
        <w:t>号法》的《第</w:t>
      </w:r>
      <w:r w:rsidRPr="009C6B1C">
        <w:rPr>
          <w:rFonts w:hint="eastAsia"/>
        </w:rPr>
        <w:t>153/2017</w:t>
      </w:r>
      <w:r w:rsidRPr="009C6B1C">
        <w:rPr>
          <w:rFonts w:hint="eastAsia"/>
        </w:rPr>
        <w:t>号法》，内容涉及土地转换、土地所有权的解决办法、土地登记处、全国土地基金和土地社区，简化了罗姆人住房的土地转换问题。此外，委员会注意到缔约国通过了到</w:t>
      </w:r>
      <w:r w:rsidRPr="009C6B1C">
        <w:rPr>
          <w:rFonts w:hint="eastAsia"/>
        </w:rPr>
        <w:t>2030</w:t>
      </w:r>
      <w:r w:rsidRPr="009C6B1C">
        <w:rPr>
          <w:rFonts w:hint="eastAsia"/>
        </w:rPr>
        <w:t>年实现罗姆人平等、融入和参与的国家战略，并实施了各种项目，在公共卫生、社会援助和包容、居住点和学前教育等领域支持边缘化的罗姆妇女及其社区并增强其权能。此外，委员会注意到向</w:t>
      </w:r>
      <w:r w:rsidRPr="009C6B1C">
        <w:rPr>
          <w:rFonts w:hint="eastAsia"/>
        </w:rPr>
        <w:t>1966-2004</w:t>
      </w:r>
      <w:r w:rsidRPr="009C6B1C">
        <w:rPr>
          <w:rFonts w:hint="eastAsia"/>
        </w:rPr>
        <w:t>年期间被非法绝育的罗姆妇女提供</w:t>
      </w:r>
      <w:r w:rsidRPr="009C6B1C">
        <w:rPr>
          <w:rFonts w:hint="eastAsia"/>
        </w:rPr>
        <w:t>5 000</w:t>
      </w:r>
      <w:r w:rsidRPr="009C6B1C">
        <w:rPr>
          <w:rFonts w:hint="eastAsia"/>
        </w:rPr>
        <w:t>欧元赔偿的立法举措。但委员会关切地注意到：</w:t>
      </w:r>
    </w:p>
    <w:p w14:paraId="724D1525" w14:textId="77777777" w:rsidR="009C6B1C" w:rsidRPr="009C6B1C" w:rsidRDefault="009C6B1C" w:rsidP="009C6B1C">
      <w:pPr>
        <w:pStyle w:val="SingleTxt"/>
      </w:pPr>
      <w:r w:rsidRPr="009C6B1C">
        <w:rPr>
          <w:rFonts w:hint="eastAsia"/>
        </w:rPr>
        <w:tab/>
        <w:t>(a)</w:t>
      </w:r>
      <w:r w:rsidRPr="009C6B1C">
        <w:rPr>
          <w:rFonts w:hint="eastAsia"/>
        </w:rPr>
        <w:tab/>
      </w:r>
      <w:r w:rsidRPr="009C6B1C">
        <w:rPr>
          <w:rFonts w:hint="eastAsia"/>
        </w:rPr>
        <w:t>按基尼系数衡量，罗姆人的贫困率比非罗姆人高六倍，而且没有采取措施降低贫困率并让罗姆妇女参与拟订此方面的计划；</w:t>
      </w:r>
    </w:p>
    <w:p w14:paraId="12312F1F" w14:textId="77777777" w:rsidR="009C6B1C" w:rsidRPr="009C6B1C" w:rsidRDefault="009C6B1C" w:rsidP="009C6B1C">
      <w:pPr>
        <w:pStyle w:val="SingleTxt"/>
      </w:pPr>
      <w:r w:rsidRPr="009C6B1C">
        <w:rPr>
          <w:rFonts w:hint="eastAsia"/>
        </w:rPr>
        <w:tab/>
        <w:t>(b)</w:t>
      </w:r>
      <w:r w:rsidRPr="009C6B1C">
        <w:rPr>
          <w:rFonts w:hint="eastAsia"/>
        </w:rPr>
        <w:tab/>
      </w:r>
      <w:r w:rsidRPr="009C6B1C">
        <w:rPr>
          <w:rFonts w:hint="eastAsia"/>
        </w:rPr>
        <w:t>罗姆妇女在医院产科病房中长期被隔离，医务人员不尊重罗姆妇女，而且这些妇女在整个怀孕和分娩期间都缺乏适当的保健服务；</w:t>
      </w:r>
    </w:p>
    <w:p w14:paraId="03E96359" w14:textId="77777777" w:rsidR="009C6B1C" w:rsidRPr="009C6B1C" w:rsidRDefault="009C6B1C" w:rsidP="009C6B1C">
      <w:pPr>
        <w:pStyle w:val="SingleTxt"/>
      </w:pPr>
      <w:r w:rsidRPr="009C6B1C">
        <w:rPr>
          <w:rFonts w:hint="eastAsia"/>
        </w:rPr>
        <w:tab/>
        <w:t>(c)</w:t>
      </w:r>
      <w:r w:rsidRPr="009C6B1C">
        <w:rPr>
          <w:rFonts w:hint="eastAsia"/>
        </w:rPr>
        <w:tab/>
      </w:r>
      <w:r w:rsidRPr="009C6B1C">
        <w:rPr>
          <w:rFonts w:hint="eastAsia"/>
        </w:rPr>
        <w:t>最近发生罗姆妇女在被迫同意或未经知情同意的情况下非自愿绝育的案件；无法获得医疗记录以及缺乏审前证据披露和促进诉诸司法和公平赔偿的有效机制。</w:t>
      </w:r>
    </w:p>
    <w:p w14:paraId="2B9511D1" w14:textId="77777777" w:rsidR="009C6B1C" w:rsidRPr="00C635CC" w:rsidRDefault="009C6B1C" w:rsidP="009C6B1C">
      <w:pPr>
        <w:pStyle w:val="SingleTxt"/>
        <w:rPr>
          <w:rFonts w:eastAsia="黑体"/>
        </w:rPr>
      </w:pPr>
      <w:r w:rsidRPr="009C6B1C">
        <w:rPr>
          <w:rFonts w:hint="eastAsia"/>
        </w:rPr>
        <w:t>43.</w:t>
      </w:r>
      <w:r w:rsidRPr="009C6B1C">
        <w:rPr>
          <w:rFonts w:hint="eastAsia"/>
        </w:rPr>
        <w:tab/>
      </w:r>
      <w:r w:rsidRPr="00C635CC">
        <w:rPr>
          <w:rFonts w:eastAsia="黑体"/>
        </w:rPr>
        <w:t>委员会建议缔约国：</w:t>
      </w:r>
    </w:p>
    <w:p w14:paraId="10D95984" w14:textId="77777777" w:rsidR="009C6B1C" w:rsidRPr="00C635CC" w:rsidRDefault="009C6B1C" w:rsidP="009C6B1C">
      <w:pPr>
        <w:pStyle w:val="SingleTxt"/>
        <w:rPr>
          <w:rFonts w:eastAsia="黑体"/>
        </w:rPr>
      </w:pPr>
      <w:r w:rsidRPr="00C635CC">
        <w:rPr>
          <w:rFonts w:eastAsia="黑体"/>
        </w:rPr>
        <w:tab/>
        <w:t>(a)</w:t>
      </w:r>
      <w:r w:rsidRPr="00C635CC">
        <w:rPr>
          <w:rFonts w:eastAsia="黑体"/>
        </w:rPr>
        <w:tab/>
      </w:r>
      <w:r w:rsidRPr="00C635CC">
        <w:rPr>
          <w:rFonts w:eastAsia="黑体"/>
        </w:rPr>
        <w:t>采取有效且目标明确的措施，减少罗姆人中的贫困现象；</w:t>
      </w:r>
    </w:p>
    <w:p w14:paraId="7D4BE794" w14:textId="77777777" w:rsidR="009C6B1C" w:rsidRPr="00C635CC" w:rsidRDefault="009C6B1C" w:rsidP="009C6B1C">
      <w:pPr>
        <w:pStyle w:val="SingleTxt"/>
        <w:rPr>
          <w:rFonts w:eastAsia="黑体"/>
        </w:rPr>
      </w:pPr>
      <w:r w:rsidRPr="00C635CC">
        <w:rPr>
          <w:rFonts w:eastAsia="黑体"/>
        </w:rPr>
        <w:tab/>
        <w:t>(b)</w:t>
      </w:r>
      <w:r w:rsidRPr="00C635CC">
        <w:rPr>
          <w:rFonts w:eastAsia="黑体"/>
        </w:rPr>
        <w:tab/>
      </w:r>
      <w:r w:rsidRPr="00C635CC">
        <w:rPr>
          <w:rFonts w:eastAsia="黑体"/>
        </w:rPr>
        <w:t>加强努力，消除在医院产科病房隔离罗姆妇女的行为以及医务人员的口头和身体虐待并惩处上述行为，确保罗姆妇女获得适当的保健服务；</w:t>
      </w:r>
    </w:p>
    <w:p w14:paraId="640015AB" w14:textId="77777777" w:rsidR="009C6B1C" w:rsidRPr="00C635CC" w:rsidRDefault="009C6B1C" w:rsidP="009C6B1C">
      <w:pPr>
        <w:pStyle w:val="SingleTxt"/>
        <w:rPr>
          <w:rFonts w:eastAsia="黑体"/>
        </w:rPr>
      </w:pPr>
      <w:r w:rsidRPr="00C635CC">
        <w:rPr>
          <w:rFonts w:eastAsia="黑体"/>
        </w:rPr>
        <w:tab/>
        <w:t>(c)</w:t>
      </w:r>
      <w:r w:rsidRPr="00C635CC">
        <w:rPr>
          <w:rFonts w:eastAsia="黑体"/>
        </w:rPr>
        <w:tab/>
      </w:r>
      <w:r w:rsidRPr="00C635CC">
        <w:rPr>
          <w:rFonts w:eastAsia="黑体"/>
        </w:rPr>
        <w:t>确保罗姆妇女不被非自愿绝育，并为受害者诉诸司法提供便利，包括为此提高认识，消除经济障碍，延长提出申诉的时间，并为她们获得医疗记录和披露审前证据提供便利，以支持其主张。</w:t>
      </w:r>
    </w:p>
    <w:p w14:paraId="724C3987" w14:textId="77777777" w:rsidR="009C6B1C" w:rsidRPr="00C635CC" w:rsidRDefault="009C6B1C" w:rsidP="00C635CC">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635CC">
        <w:tab/>
      </w:r>
      <w:r w:rsidRPr="00C635CC">
        <w:tab/>
      </w:r>
      <w:r w:rsidRPr="00C635CC">
        <w:t>女同性恋、女双性恋、女跨性别者和间性妇女</w:t>
      </w:r>
    </w:p>
    <w:p w14:paraId="7147EC45" w14:textId="77777777" w:rsidR="009C6B1C" w:rsidRPr="009C6B1C" w:rsidRDefault="009C6B1C" w:rsidP="009C6B1C">
      <w:pPr>
        <w:pStyle w:val="SingleTxt"/>
      </w:pPr>
      <w:r w:rsidRPr="009C6B1C">
        <w:rPr>
          <w:rFonts w:hint="eastAsia"/>
        </w:rPr>
        <w:t>44.</w:t>
      </w:r>
      <w:r w:rsidRPr="009C6B1C">
        <w:rPr>
          <w:rFonts w:hint="eastAsia"/>
        </w:rPr>
        <w:tab/>
      </w:r>
      <w:r w:rsidRPr="009C6B1C">
        <w:rPr>
          <w:rFonts w:hint="eastAsia"/>
        </w:rPr>
        <w:t>委员会关切地注意到，交叉形式的歧视对女同性恋、女双性恋、女跨性别者和间性妇女的影响。委员会尤其对以下方面感到关切：</w:t>
      </w:r>
    </w:p>
    <w:p w14:paraId="6F40198F" w14:textId="77777777" w:rsidR="009C6B1C" w:rsidRPr="009C6B1C" w:rsidRDefault="009C6B1C" w:rsidP="009C6B1C">
      <w:pPr>
        <w:pStyle w:val="SingleTxt"/>
      </w:pPr>
      <w:r w:rsidRPr="009C6B1C">
        <w:rPr>
          <w:rFonts w:hint="eastAsia"/>
        </w:rPr>
        <w:tab/>
        <w:t>(a)</w:t>
      </w:r>
      <w:r w:rsidRPr="009C6B1C">
        <w:rPr>
          <w:rFonts w:hint="eastAsia"/>
        </w:rPr>
        <w:tab/>
      </w:r>
      <w:r w:rsidRPr="009C6B1C">
        <w:rPr>
          <w:rFonts w:hint="eastAsia"/>
        </w:rPr>
        <w:t>民间社会所提供的资料，即女跨性别者的非自愿绝育被当作对性别的法律承认的先决条件；</w:t>
      </w:r>
    </w:p>
    <w:p w14:paraId="092184F4" w14:textId="77777777" w:rsidR="009C6B1C" w:rsidRPr="009C6B1C" w:rsidRDefault="009C6B1C" w:rsidP="009C6B1C">
      <w:pPr>
        <w:pStyle w:val="SingleTxt"/>
      </w:pPr>
      <w:r w:rsidRPr="009C6B1C">
        <w:rPr>
          <w:rFonts w:hint="eastAsia"/>
        </w:rPr>
        <w:tab/>
        <w:t>(b)</w:t>
      </w:r>
      <w:r w:rsidRPr="009C6B1C">
        <w:rPr>
          <w:rFonts w:hint="eastAsia"/>
        </w:rPr>
        <w:tab/>
      </w:r>
      <w:r w:rsidRPr="009C6B1C">
        <w:rPr>
          <w:rFonts w:hint="eastAsia"/>
        </w:rPr>
        <w:t>对女跨性别者越来越不利的环境。</w:t>
      </w:r>
    </w:p>
    <w:p w14:paraId="65F63DCF" w14:textId="77777777" w:rsidR="009C6B1C" w:rsidRPr="00C635CC" w:rsidRDefault="009C6B1C" w:rsidP="009C6B1C">
      <w:pPr>
        <w:pStyle w:val="SingleTxt"/>
        <w:rPr>
          <w:rFonts w:eastAsia="黑体"/>
        </w:rPr>
      </w:pPr>
      <w:r w:rsidRPr="009C6B1C">
        <w:rPr>
          <w:rFonts w:hint="eastAsia"/>
        </w:rPr>
        <w:t>45.</w:t>
      </w:r>
      <w:r w:rsidRPr="009C6B1C">
        <w:rPr>
          <w:rFonts w:hint="eastAsia"/>
        </w:rPr>
        <w:tab/>
      </w:r>
      <w:r w:rsidRPr="00C635CC">
        <w:rPr>
          <w:rFonts w:eastAsia="黑体"/>
        </w:rPr>
        <w:t>委员会建议缔约国：</w:t>
      </w:r>
    </w:p>
    <w:p w14:paraId="32AE1EBE" w14:textId="77777777" w:rsidR="009C6B1C" w:rsidRPr="00C635CC" w:rsidRDefault="009C6B1C" w:rsidP="009C6B1C">
      <w:pPr>
        <w:pStyle w:val="SingleTxt"/>
        <w:rPr>
          <w:rFonts w:eastAsia="黑体"/>
        </w:rPr>
      </w:pPr>
      <w:r w:rsidRPr="00C635CC">
        <w:rPr>
          <w:rFonts w:eastAsia="黑体"/>
        </w:rPr>
        <w:tab/>
        <w:t>(a)</w:t>
      </w:r>
      <w:r w:rsidRPr="00C635CC">
        <w:rPr>
          <w:rFonts w:eastAsia="黑体"/>
        </w:rPr>
        <w:tab/>
      </w:r>
      <w:r w:rsidRPr="00C635CC">
        <w:rPr>
          <w:rFonts w:eastAsia="黑体"/>
        </w:rPr>
        <w:t>确保女跨性别者能继续获得对其性别的法律承认并能在民事登记中更改姓名，而无需进行非自愿绝育；承诺不通过关于强制绝育的立法；</w:t>
      </w:r>
    </w:p>
    <w:p w14:paraId="5CDE321E" w14:textId="2475C86F" w:rsidR="00C635CC" w:rsidRDefault="009C6B1C" w:rsidP="009C6B1C">
      <w:pPr>
        <w:pStyle w:val="SingleTxt"/>
        <w:rPr>
          <w:rFonts w:eastAsia="黑体"/>
        </w:rPr>
      </w:pPr>
      <w:r w:rsidRPr="00C635CC">
        <w:rPr>
          <w:rFonts w:eastAsia="黑体"/>
        </w:rPr>
        <w:tab/>
        <w:t>(b)</w:t>
      </w:r>
      <w:r w:rsidRPr="00C635CC">
        <w:rPr>
          <w:rFonts w:eastAsia="黑体"/>
        </w:rPr>
        <w:tab/>
      </w:r>
      <w:r w:rsidRPr="00C635CC">
        <w:rPr>
          <w:rFonts w:eastAsia="黑体"/>
        </w:rPr>
        <w:t>公开谴责恐惧同性恋的言论以及暴力侵害女同性恋、女双性恋、女跨性别者和间性妇女的行为，并通过对法官、检察官、警察和其他执法官员进行强制性的持续能力建设，确保有关禁止仇恨犯罪和仇恨言论的法律规定得到执行。</w:t>
      </w:r>
    </w:p>
    <w:p w14:paraId="55971481" w14:textId="77777777" w:rsidR="00C635CC" w:rsidRDefault="00C635CC">
      <w:pPr>
        <w:spacing w:line="240" w:lineRule="auto"/>
        <w:jc w:val="left"/>
        <w:rPr>
          <w:rFonts w:eastAsia="黑体"/>
        </w:rPr>
      </w:pPr>
      <w:r>
        <w:rPr>
          <w:rFonts w:eastAsia="黑体"/>
        </w:rPr>
        <w:br w:type="page"/>
      </w:r>
    </w:p>
    <w:p w14:paraId="53359398" w14:textId="778E620A" w:rsidR="009C6B1C" w:rsidRPr="00C635CC" w:rsidRDefault="009C6B1C" w:rsidP="00F1367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635CC">
        <w:tab/>
      </w:r>
      <w:r w:rsidRPr="00C635CC">
        <w:tab/>
      </w:r>
      <w:r w:rsidRPr="00C635CC">
        <w:t>婚姻和家庭关系</w:t>
      </w:r>
    </w:p>
    <w:p w14:paraId="496C213C" w14:textId="77777777" w:rsidR="009C6B1C" w:rsidRPr="009C6B1C" w:rsidRDefault="009C6B1C" w:rsidP="00F13673">
      <w:pPr>
        <w:pStyle w:val="SingleTxt"/>
      </w:pPr>
      <w:r w:rsidRPr="009C6B1C">
        <w:rPr>
          <w:rFonts w:hint="eastAsia"/>
        </w:rPr>
        <w:t>46.</w:t>
      </w:r>
      <w:r w:rsidRPr="009C6B1C">
        <w:rPr>
          <w:rFonts w:hint="eastAsia"/>
        </w:rPr>
        <w:tab/>
      </w:r>
      <w:r w:rsidRPr="009C6B1C">
        <w:rPr>
          <w:rFonts w:hint="eastAsia"/>
        </w:rPr>
        <w:t>委员会感到关切的是，没有任何采取立法措施来保护事实上的结合中的妇女的权利，特别是此种关系解除之时妇女的权利。</w:t>
      </w:r>
    </w:p>
    <w:p w14:paraId="5443CDAB" w14:textId="3CBBF52C" w:rsidR="009C6B1C" w:rsidRPr="00C635CC" w:rsidRDefault="009C6B1C" w:rsidP="00F13673">
      <w:pPr>
        <w:pStyle w:val="SingleTxt"/>
        <w:rPr>
          <w:rFonts w:eastAsia="黑体"/>
        </w:rPr>
      </w:pPr>
      <w:r w:rsidRPr="009C6B1C">
        <w:rPr>
          <w:rFonts w:hint="eastAsia"/>
        </w:rPr>
        <w:t>47.</w:t>
      </w:r>
      <w:r w:rsidRPr="009C6B1C">
        <w:rPr>
          <w:rFonts w:hint="eastAsia"/>
        </w:rPr>
        <w:tab/>
      </w:r>
      <w:r w:rsidRPr="00C635CC">
        <w:rPr>
          <w:rFonts w:eastAsia="黑体"/>
        </w:rPr>
        <w:t>委员会重申其先前的建议</w:t>
      </w:r>
      <w:r w:rsidRPr="00C635CC">
        <w:rPr>
          <w:rFonts w:eastAsia="黑体"/>
        </w:rPr>
        <w:t>(</w:t>
      </w:r>
      <w:hyperlink r:id="rId43" w:history="1">
        <w:r w:rsidRPr="00C635CC">
          <w:rPr>
            <w:rStyle w:val="af4"/>
            <w:rFonts w:eastAsia="黑体"/>
          </w:rPr>
          <w:t>CEDAW/C/SVK/CO/5-6</w:t>
        </w:r>
      </w:hyperlink>
      <w:r w:rsidR="00D77C5A">
        <w:rPr>
          <w:rFonts w:eastAsia="黑体" w:hint="eastAsia"/>
        </w:rPr>
        <w:t>，</w:t>
      </w:r>
      <w:r w:rsidRPr="00C635CC">
        <w:rPr>
          <w:rFonts w:eastAsia="黑体"/>
        </w:rPr>
        <w:t>第</w:t>
      </w:r>
      <w:r w:rsidRPr="00C635CC">
        <w:rPr>
          <w:rFonts w:eastAsia="黑体"/>
        </w:rPr>
        <w:t>42</w:t>
      </w:r>
      <w:r w:rsidRPr="00C635CC">
        <w:rPr>
          <w:rFonts w:eastAsia="黑体"/>
        </w:rPr>
        <w:t>段</w:t>
      </w:r>
      <w:r w:rsidRPr="00C635CC">
        <w:rPr>
          <w:rFonts w:eastAsia="黑体"/>
        </w:rPr>
        <w:t>)</w:t>
      </w:r>
      <w:r w:rsidRPr="00C635CC">
        <w:rPr>
          <w:rFonts w:eastAsia="黑体"/>
        </w:rPr>
        <w:t>，建议缔约国根据委员会关于婚姻、家庭关系及其解除的经济后果的第</w:t>
      </w:r>
      <w:r w:rsidRPr="00C635CC">
        <w:rPr>
          <w:rFonts w:eastAsia="黑体"/>
        </w:rPr>
        <w:t>29</w:t>
      </w:r>
      <w:r w:rsidRPr="00C635CC">
        <w:rPr>
          <w:rFonts w:eastAsia="黑体"/>
        </w:rPr>
        <w:t>号一般性建议</w:t>
      </w:r>
      <w:r w:rsidRPr="00C635CC">
        <w:rPr>
          <w:rFonts w:eastAsia="黑体"/>
        </w:rPr>
        <w:t>(2013</w:t>
      </w:r>
      <w:r w:rsidRPr="00C635CC">
        <w:rPr>
          <w:rFonts w:eastAsia="黑体"/>
        </w:rPr>
        <w:t>年</w:t>
      </w:r>
      <w:r w:rsidRPr="00C635CC">
        <w:rPr>
          <w:rFonts w:eastAsia="黑体"/>
        </w:rPr>
        <w:t>)</w:t>
      </w:r>
      <w:r w:rsidRPr="00C635CC">
        <w:rPr>
          <w:rFonts w:eastAsia="黑体"/>
        </w:rPr>
        <w:t>，规定所有婚姻都要进行民事登记，并进行立法改革，以保护未登记婚姻和事实上的结合中的妇女的权利以及此种结合中所生子女的权利。</w:t>
      </w:r>
    </w:p>
    <w:p w14:paraId="4835EEEA" w14:textId="77777777" w:rsidR="009C6B1C" w:rsidRPr="00C635CC" w:rsidRDefault="009C6B1C" w:rsidP="00F1367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635CC">
        <w:tab/>
      </w:r>
      <w:r w:rsidRPr="00C635CC">
        <w:tab/>
      </w:r>
      <w:r w:rsidRPr="00C635CC">
        <w:t>《公约》第二十条第</w:t>
      </w:r>
      <w:r w:rsidRPr="00C635CC">
        <w:t>1</w:t>
      </w:r>
      <w:r w:rsidRPr="00C635CC">
        <w:t>款修正案</w:t>
      </w:r>
    </w:p>
    <w:p w14:paraId="581B6005" w14:textId="77777777" w:rsidR="009C6B1C" w:rsidRPr="00C635CC" w:rsidRDefault="009C6B1C" w:rsidP="00F13673">
      <w:pPr>
        <w:pStyle w:val="SingleTxt"/>
        <w:rPr>
          <w:rFonts w:eastAsia="黑体"/>
        </w:rPr>
      </w:pPr>
      <w:r w:rsidRPr="00C635CC">
        <w:rPr>
          <w:rFonts w:eastAsia="黑体"/>
        </w:rPr>
        <w:t>48.</w:t>
      </w:r>
      <w:r w:rsidRPr="00C635CC">
        <w:rPr>
          <w:rFonts w:eastAsia="黑体"/>
        </w:rPr>
        <w:tab/>
      </w:r>
      <w:r w:rsidRPr="00C635CC">
        <w:rPr>
          <w:rFonts w:eastAsia="黑体"/>
        </w:rPr>
        <w:t>委员会鼓励缔约国尽快接受关于委员会会议时间的《公约》第二十条第</w:t>
      </w:r>
      <w:r w:rsidRPr="00C635CC">
        <w:rPr>
          <w:rFonts w:eastAsia="黑体"/>
        </w:rPr>
        <w:t>1</w:t>
      </w:r>
      <w:r w:rsidRPr="00C635CC">
        <w:rPr>
          <w:rFonts w:eastAsia="黑体"/>
        </w:rPr>
        <w:t>款修正案。</w:t>
      </w:r>
    </w:p>
    <w:p w14:paraId="2D3F97EE" w14:textId="77777777" w:rsidR="009C6B1C" w:rsidRPr="00C635CC" w:rsidRDefault="009C6B1C" w:rsidP="00F1367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635CC">
        <w:tab/>
      </w:r>
      <w:r w:rsidRPr="00C635CC">
        <w:tab/>
      </w:r>
      <w:r w:rsidRPr="00C635CC">
        <w:t>《北京宣言》和《行动纲要》</w:t>
      </w:r>
    </w:p>
    <w:p w14:paraId="7BB43F74" w14:textId="1B6EAEC3" w:rsidR="009C6B1C" w:rsidRPr="00C635CC" w:rsidRDefault="009C6B1C" w:rsidP="00F13673">
      <w:pPr>
        <w:pStyle w:val="SingleTxt"/>
        <w:rPr>
          <w:rFonts w:eastAsia="黑体"/>
        </w:rPr>
      </w:pPr>
      <w:r w:rsidRPr="00C635CC">
        <w:rPr>
          <w:rFonts w:eastAsia="黑体"/>
        </w:rPr>
        <w:t>49.</w:t>
      </w:r>
      <w:r w:rsidRPr="00C635CC">
        <w:rPr>
          <w:rFonts w:eastAsia="黑体"/>
        </w:rPr>
        <w:tab/>
      </w:r>
      <w:r w:rsidRPr="00C635CC">
        <w:rPr>
          <w:rFonts w:eastAsia="黑体"/>
        </w:rPr>
        <w:t>委员会促请缔约国使用《北京宣言》和《行动纲要》，并促请其进一步评估《公约》</w:t>
      </w:r>
      <w:r w:rsidR="00574BFC">
        <w:rPr>
          <w:rFonts w:eastAsia="黑体" w:hint="eastAsia"/>
        </w:rPr>
        <w:t>所载权利</w:t>
      </w:r>
      <w:r w:rsidRPr="00C635CC">
        <w:rPr>
          <w:rFonts w:eastAsia="黑体"/>
        </w:rPr>
        <w:t>的</w:t>
      </w:r>
      <w:r w:rsidR="00574BFC">
        <w:rPr>
          <w:rFonts w:eastAsia="黑体" w:hint="eastAsia"/>
        </w:rPr>
        <w:t>落实</w:t>
      </w:r>
      <w:r w:rsidRPr="00C635CC">
        <w:rPr>
          <w:rFonts w:eastAsia="黑体"/>
        </w:rPr>
        <w:t>情况，以实现男女实质平等。</w:t>
      </w:r>
    </w:p>
    <w:p w14:paraId="4CF3359C" w14:textId="77777777" w:rsidR="009C6B1C" w:rsidRPr="00C635CC" w:rsidRDefault="009C6B1C" w:rsidP="00F1367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635CC">
        <w:tab/>
      </w:r>
      <w:r w:rsidRPr="00C635CC">
        <w:tab/>
      </w:r>
      <w:r w:rsidRPr="00C635CC">
        <w:t>传播</w:t>
      </w:r>
    </w:p>
    <w:p w14:paraId="295C6DE0" w14:textId="77777777" w:rsidR="009C6B1C" w:rsidRPr="00C635CC" w:rsidRDefault="009C6B1C" w:rsidP="00F13673">
      <w:pPr>
        <w:pStyle w:val="SingleTxt"/>
        <w:rPr>
          <w:rFonts w:eastAsia="黑体"/>
          <w:spacing w:val="-2"/>
        </w:rPr>
      </w:pPr>
      <w:r w:rsidRPr="00C635CC">
        <w:rPr>
          <w:rFonts w:hint="eastAsia"/>
          <w:spacing w:val="-2"/>
        </w:rPr>
        <w:t>50.</w:t>
      </w:r>
      <w:r w:rsidRPr="00C635CC">
        <w:rPr>
          <w:rFonts w:hint="eastAsia"/>
          <w:spacing w:val="-2"/>
        </w:rPr>
        <w:tab/>
      </w:r>
      <w:r w:rsidRPr="00C635CC">
        <w:rPr>
          <w:rFonts w:eastAsia="黑体"/>
          <w:spacing w:val="-2"/>
        </w:rPr>
        <w:t>委员会请缔约国确保以缔约国官方语言向</w:t>
      </w:r>
      <w:r w:rsidRPr="00C635CC">
        <w:rPr>
          <w:rFonts w:eastAsia="黑体"/>
          <w:spacing w:val="-2"/>
        </w:rPr>
        <w:t>(</w:t>
      </w:r>
      <w:r w:rsidRPr="00C635CC">
        <w:rPr>
          <w:rFonts w:eastAsia="黑体"/>
          <w:spacing w:val="-2"/>
        </w:rPr>
        <w:t>国家、地区和地方</w:t>
      </w:r>
      <w:r w:rsidRPr="00C635CC">
        <w:rPr>
          <w:rFonts w:eastAsia="黑体"/>
          <w:spacing w:val="-2"/>
        </w:rPr>
        <w:t>)</w:t>
      </w:r>
      <w:r w:rsidRPr="00C635CC">
        <w:rPr>
          <w:rFonts w:eastAsia="黑体"/>
          <w:spacing w:val="-2"/>
        </w:rPr>
        <w:t>各级相关国家机构，尤其是向政府、议会和司法部门及时传播本结论性意见，使之得到充分落实。</w:t>
      </w:r>
    </w:p>
    <w:p w14:paraId="59EFF9CC" w14:textId="77777777" w:rsidR="009C6B1C" w:rsidRPr="00C635CC" w:rsidRDefault="009C6B1C" w:rsidP="00F1367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635CC">
        <w:tab/>
      </w:r>
      <w:r w:rsidRPr="00C635CC">
        <w:tab/>
      </w:r>
      <w:r w:rsidRPr="00C635CC">
        <w:t>技术援助</w:t>
      </w:r>
    </w:p>
    <w:p w14:paraId="664EF5A0" w14:textId="77777777" w:rsidR="009C6B1C" w:rsidRPr="00C635CC" w:rsidRDefault="009C6B1C" w:rsidP="00F13673">
      <w:pPr>
        <w:pStyle w:val="SingleTxt"/>
        <w:rPr>
          <w:rFonts w:eastAsia="黑体"/>
        </w:rPr>
      </w:pPr>
      <w:r w:rsidRPr="00C635CC">
        <w:rPr>
          <w:rFonts w:eastAsia="黑体"/>
        </w:rPr>
        <w:t>51.</w:t>
      </w:r>
      <w:r w:rsidRPr="00C635CC">
        <w:rPr>
          <w:rFonts w:eastAsia="黑体"/>
        </w:rPr>
        <w:tab/>
      </w:r>
      <w:r w:rsidRPr="00C635CC">
        <w:rPr>
          <w:rFonts w:eastAsia="黑体"/>
        </w:rPr>
        <w:t>委员会建议缔约国将《公约》的执行工作与本国的发展努力联系起来，并利用这方面的区域或国际技术援助。</w:t>
      </w:r>
    </w:p>
    <w:p w14:paraId="7E31F840" w14:textId="77777777" w:rsidR="009C6B1C" w:rsidRPr="00C635CC" w:rsidRDefault="009C6B1C" w:rsidP="00F1367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635CC">
        <w:tab/>
      </w:r>
      <w:r w:rsidRPr="00C635CC">
        <w:tab/>
      </w:r>
      <w:r w:rsidRPr="00C635CC">
        <w:t>批准其他条约</w:t>
      </w:r>
    </w:p>
    <w:p w14:paraId="5E0DBC7D" w14:textId="2BE3B33B" w:rsidR="009C6B1C" w:rsidRPr="00C635CC" w:rsidRDefault="009C6B1C" w:rsidP="00F13673">
      <w:pPr>
        <w:pStyle w:val="SingleTxt"/>
        <w:rPr>
          <w:rFonts w:eastAsia="黑体"/>
        </w:rPr>
      </w:pPr>
      <w:r w:rsidRPr="00C635CC">
        <w:rPr>
          <w:rFonts w:eastAsia="黑体"/>
        </w:rPr>
        <w:t>52.</w:t>
      </w:r>
      <w:r w:rsidRPr="00C635CC">
        <w:rPr>
          <w:rFonts w:eastAsia="黑体"/>
        </w:rPr>
        <w:tab/>
      </w:r>
      <w:r w:rsidRPr="00C635CC">
        <w:rPr>
          <w:rFonts w:eastAsia="黑体"/>
        </w:rPr>
        <w:t>委员会指出，缔约国如能遵守九大国际人权文书，</w:t>
      </w:r>
      <w:r w:rsidR="00F13673">
        <w:rPr>
          <w:rStyle w:val="a3"/>
          <w:rFonts w:eastAsia="黑体"/>
        </w:rPr>
        <w:footnoteReference w:id="1"/>
      </w:r>
      <w:r w:rsidR="005448F6">
        <w:rPr>
          <w:rFonts w:eastAsia="黑体" w:hint="eastAsia"/>
        </w:rPr>
        <w:t xml:space="preserve"> </w:t>
      </w:r>
      <w:r w:rsidRPr="00C635CC">
        <w:rPr>
          <w:rFonts w:eastAsia="黑体"/>
        </w:rPr>
        <w:t>便可以促进妇女在生活各个方面享受人权和基本自由。因此，委员会鼓励缔约国考虑批准其尚未加入的《保护所有移徙工人及其家庭成员权利国际公约》和《禁止酷刑和其他残忍、不人道或有辱人格的待遇或处罚公约任择议定书》。</w:t>
      </w:r>
    </w:p>
    <w:p w14:paraId="5004F062" w14:textId="77777777" w:rsidR="009C6B1C" w:rsidRPr="00C635CC" w:rsidRDefault="009C6B1C" w:rsidP="00F1367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635CC">
        <w:tab/>
      </w:r>
      <w:r w:rsidRPr="00C635CC">
        <w:tab/>
      </w:r>
      <w:r w:rsidRPr="00C635CC">
        <w:t>后续落实结论性意见</w:t>
      </w:r>
    </w:p>
    <w:p w14:paraId="6886CBCC" w14:textId="401249D3" w:rsidR="00F13673" w:rsidRDefault="009C6B1C" w:rsidP="00F13673">
      <w:pPr>
        <w:pStyle w:val="SingleTxt"/>
        <w:rPr>
          <w:rFonts w:eastAsia="黑体"/>
        </w:rPr>
      </w:pPr>
      <w:r w:rsidRPr="00C635CC">
        <w:rPr>
          <w:rFonts w:eastAsia="黑体"/>
        </w:rPr>
        <w:t>53.</w:t>
      </w:r>
      <w:r w:rsidRPr="00C635CC">
        <w:rPr>
          <w:rFonts w:eastAsia="黑体"/>
        </w:rPr>
        <w:tab/>
      </w:r>
      <w:r w:rsidRPr="00C635CC">
        <w:rPr>
          <w:rFonts w:eastAsia="黑体"/>
        </w:rPr>
        <w:t>委员会请缔约国在两年内提供书面资料，说明为落实上文第</w:t>
      </w:r>
      <w:r w:rsidRPr="00C635CC">
        <w:rPr>
          <w:rFonts w:eastAsia="黑体"/>
        </w:rPr>
        <w:t>17</w:t>
      </w:r>
      <w:r w:rsidRPr="00C635CC">
        <w:rPr>
          <w:rFonts w:eastAsia="黑体"/>
        </w:rPr>
        <w:t>、</w:t>
      </w:r>
      <w:r w:rsidRPr="00C635CC">
        <w:rPr>
          <w:rFonts w:eastAsia="黑体"/>
        </w:rPr>
        <w:t>21(c)</w:t>
      </w:r>
      <w:r w:rsidRPr="00C635CC">
        <w:rPr>
          <w:rFonts w:eastAsia="黑体"/>
        </w:rPr>
        <w:t>、</w:t>
      </w:r>
      <w:r w:rsidRPr="00C635CC">
        <w:rPr>
          <w:rFonts w:eastAsia="黑体"/>
        </w:rPr>
        <w:t>23(a)</w:t>
      </w:r>
      <w:r w:rsidRPr="00C635CC">
        <w:rPr>
          <w:rFonts w:eastAsia="黑体"/>
        </w:rPr>
        <w:t>和</w:t>
      </w:r>
      <w:r w:rsidRPr="00C635CC">
        <w:rPr>
          <w:rFonts w:eastAsia="黑体"/>
        </w:rPr>
        <w:t>37(c)</w:t>
      </w:r>
      <w:r w:rsidRPr="00C635CC">
        <w:rPr>
          <w:rFonts w:eastAsia="黑体"/>
        </w:rPr>
        <w:t>段所载建议而采取的步骤。</w:t>
      </w:r>
    </w:p>
    <w:p w14:paraId="5FDCBD15" w14:textId="77777777" w:rsidR="00F13673" w:rsidRDefault="00F13673">
      <w:pPr>
        <w:spacing w:line="240" w:lineRule="auto"/>
        <w:jc w:val="left"/>
        <w:rPr>
          <w:rFonts w:eastAsia="黑体"/>
        </w:rPr>
      </w:pPr>
      <w:r>
        <w:rPr>
          <w:rFonts w:eastAsia="黑体"/>
        </w:rPr>
        <w:br w:type="page"/>
      </w:r>
    </w:p>
    <w:p w14:paraId="1645360A" w14:textId="77777777" w:rsidR="009C6B1C" w:rsidRPr="00C635CC" w:rsidRDefault="009C6B1C" w:rsidP="00F1367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C635CC">
        <w:tab/>
      </w:r>
      <w:r w:rsidRPr="00C635CC">
        <w:tab/>
      </w:r>
      <w:r w:rsidRPr="00C635CC">
        <w:t>编写下次报告</w:t>
      </w:r>
    </w:p>
    <w:p w14:paraId="7836EACE" w14:textId="77777777" w:rsidR="009C6B1C" w:rsidRPr="00C635CC" w:rsidRDefault="009C6B1C" w:rsidP="00F13673">
      <w:pPr>
        <w:pStyle w:val="SingleTxt"/>
        <w:rPr>
          <w:rFonts w:eastAsia="黑体"/>
        </w:rPr>
      </w:pPr>
      <w:r w:rsidRPr="00C635CC">
        <w:rPr>
          <w:rFonts w:eastAsia="黑体"/>
        </w:rPr>
        <w:t>54.</w:t>
      </w:r>
      <w:r w:rsidRPr="00C635CC">
        <w:rPr>
          <w:rFonts w:eastAsia="黑体"/>
        </w:rPr>
        <w:tab/>
      </w:r>
      <w:r w:rsidRPr="00C635CC">
        <w:rPr>
          <w:rFonts w:eastAsia="黑体"/>
        </w:rPr>
        <w:t>委员会请缔约国于</w:t>
      </w:r>
      <w:r w:rsidRPr="00C635CC">
        <w:rPr>
          <w:rFonts w:eastAsia="黑体"/>
        </w:rPr>
        <w:t>2027</w:t>
      </w:r>
      <w:r w:rsidRPr="00C635CC">
        <w:rPr>
          <w:rFonts w:eastAsia="黑体"/>
        </w:rPr>
        <w:t>年</w:t>
      </w:r>
      <w:r w:rsidRPr="00C635CC">
        <w:rPr>
          <w:rFonts w:eastAsia="黑体"/>
        </w:rPr>
        <w:t>5</w:t>
      </w:r>
      <w:r w:rsidRPr="00C635CC">
        <w:rPr>
          <w:rFonts w:eastAsia="黑体"/>
        </w:rPr>
        <w:t>月提交其第八次定期报告。该报告应及时提交，并涵盖截至提交之时的整个时段。</w:t>
      </w:r>
    </w:p>
    <w:p w14:paraId="1E67F010" w14:textId="536FBC5D" w:rsidR="009C6B1C" w:rsidRPr="00C635CC" w:rsidRDefault="009C6B1C" w:rsidP="00F13673">
      <w:pPr>
        <w:pStyle w:val="SingleTxt"/>
        <w:rPr>
          <w:rFonts w:eastAsia="黑体"/>
        </w:rPr>
      </w:pPr>
      <w:r w:rsidRPr="00C635CC">
        <w:rPr>
          <w:rFonts w:eastAsia="黑体"/>
        </w:rPr>
        <w:t>55.</w:t>
      </w:r>
      <w:r w:rsidRPr="00C635CC">
        <w:rPr>
          <w:rFonts w:eastAsia="黑体"/>
        </w:rPr>
        <w:tab/>
      </w:r>
      <w:r w:rsidRPr="00C635CC">
        <w:rPr>
          <w:rFonts w:eastAsia="黑体"/>
        </w:rPr>
        <w:t>委员会请缔约国遵守《包括共同核心文件和条约专要文件准则在内的根据国际人权条约提交报告的协调准则》</w:t>
      </w:r>
      <w:r w:rsidRPr="00C635CC">
        <w:rPr>
          <w:rFonts w:eastAsia="黑体"/>
        </w:rPr>
        <w:t>(</w:t>
      </w:r>
      <w:r w:rsidRPr="00C635CC">
        <w:rPr>
          <w:rFonts w:eastAsia="黑体"/>
        </w:rPr>
        <w:t>见</w:t>
      </w:r>
      <w:hyperlink r:id="rId44" w:history="1">
        <w:r w:rsidRPr="00C635CC">
          <w:rPr>
            <w:rStyle w:val="af4"/>
            <w:rFonts w:eastAsia="黑体"/>
          </w:rPr>
          <w:t>HRI/GEN/2/Rev.6</w:t>
        </w:r>
      </w:hyperlink>
      <w:r w:rsidRPr="00C635CC">
        <w:rPr>
          <w:rFonts w:eastAsia="黑体"/>
        </w:rPr>
        <w:t>，第一章</w:t>
      </w:r>
      <w:r w:rsidRPr="00C635CC">
        <w:rPr>
          <w:rFonts w:eastAsia="黑体"/>
        </w:rPr>
        <w:t>)</w:t>
      </w:r>
      <w:r w:rsidRPr="00C635CC">
        <w:rPr>
          <w:rFonts w:eastAsia="黑体"/>
        </w:rPr>
        <w:t>。</w:t>
      </w:r>
    </w:p>
    <w:p w14:paraId="4952193D" w14:textId="17F386A5" w:rsidR="00B31E9D" w:rsidRPr="009C6B1C" w:rsidRDefault="009C6B1C" w:rsidP="00F13673">
      <w:pPr>
        <w:pStyle w:val="SingleTxt"/>
        <w:spacing w:after="0"/>
        <w:rPr>
          <w:sz w:val="20"/>
        </w:rPr>
      </w:pPr>
      <w:r w:rsidRPr="009C6B1C">
        <w:rPr>
          <w:noProof/>
          <w:sz w:val="20"/>
        </w:rPr>
        <mc:AlternateContent>
          <mc:Choice Requires="wps">
            <w:drawing>
              <wp:anchor distT="0" distB="0" distL="114300" distR="114300" simplePos="0" relativeHeight="251659264" behindDoc="0" locked="0" layoutInCell="1" allowOverlap="1" wp14:anchorId="748123E2" wp14:editId="6A99CF11">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25AAB4"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sectPr w:rsidR="00B31E9D" w:rsidRPr="009C6B1C" w:rsidSect="009E70B5">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15T16:55:00Z" w:initials="Start">
    <w:p w14:paraId="742B5BB4" w14:textId="77777777" w:rsidR="00015A8E" w:rsidRDefault="00015A8E">
      <w:pPr>
        <w:pStyle w:val="a9"/>
      </w:pPr>
      <w:r>
        <w:rPr>
          <w:rStyle w:val="ad"/>
        </w:rPr>
        <w:annotationRef/>
      </w:r>
      <w:r>
        <w:t>&lt;&lt;ODS JOB NO&gt;&gt;N2315304C&lt;&lt;ODS JOB NO&gt;&gt;</w:t>
      </w:r>
    </w:p>
    <w:p w14:paraId="05BB96D4" w14:textId="77777777" w:rsidR="00015A8E" w:rsidRDefault="00015A8E">
      <w:pPr>
        <w:pStyle w:val="a9"/>
      </w:pPr>
      <w:r>
        <w:t>&lt;&lt;ODS DOC SYMBOL1&gt;&gt;CEDAW/C/SVK/CO/7&lt;&lt;ODS DOC SYMBOL1&gt;&gt;</w:t>
      </w:r>
    </w:p>
    <w:p w14:paraId="168492D4" w14:textId="0895F153" w:rsidR="00015A8E" w:rsidRDefault="00015A8E">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68492D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5C0ED" w16cex:dateUtc="2023-06-15T20: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68492D4" w16cid:durableId="2835C0E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E4E10" w14:textId="77777777" w:rsidR="00AB13D8" w:rsidRDefault="00AB13D8">
      <w:r>
        <w:separator/>
      </w:r>
    </w:p>
  </w:endnote>
  <w:endnote w:type="continuationSeparator" w:id="0">
    <w:p w14:paraId="0E263CC3" w14:textId="77777777" w:rsidR="00AB13D8" w:rsidRDefault="00AB1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015A8E" w14:paraId="42A34D1A" w14:textId="77777777" w:rsidTr="00015A8E">
      <w:tc>
        <w:tcPr>
          <w:tcW w:w="4921" w:type="dxa"/>
          <w:shd w:val="clear" w:color="auto" w:fill="auto"/>
        </w:tcPr>
        <w:p w14:paraId="24272902" w14:textId="29F45CB5" w:rsidR="00015A8E" w:rsidRPr="00015A8E" w:rsidRDefault="00015A8E" w:rsidP="00015A8E">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5260F">
            <w:rPr>
              <w:b w:val="0"/>
              <w:w w:val="103"/>
              <w:sz w:val="14"/>
            </w:rPr>
            <w:t>23-10258</w:t>
          </w:r>
          <w:r>
            <w:rPr>
              <w:b w:val="0"/>
              <w:w w:val="103"/>
              <w:sz w:val="14"/>
            </w:rPr>
            <w:fldChar w:fldCharType="end"/>
          </w:r>
        </w:p>
      </w:tc>
      <w:tc>
        <w:tcPr>
          <w:tcW w:w="4921" w:type="dxa"/>
          <w:shd w:val="clear" w:color="auto" w:fill="auto"/>
        </w:tcPr>
        <w:p w14:paraId="0D5CF803" w14:textId="77777777" w:rsidR="00015A8E" w:rsidRPr="00015A8E" w:rsidRDefault="00015A8E" w:rsidP="00015A8E">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DD1B943" w14:textId="77777777" w:rsidR="00015A8E" w:rsidRPr="00015A8E" w:rsidRDefault="00015A8E" w:rsidP="00015A8E">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015A8E" w14:paraId="257C1118" w14:textId="77777777" w:rsidTr="00015A8E">
      <w:tc>
        <w:tcPr>
          <w:tcW w:w="4921" w:type="dxa"/>
          <w:shd w:val="clear" w:color="auto" w:fill="auto"/>
        </w:tcPr>
        <w:p w14:paraId="099683C6" w14:textId="77777777" w:rsidR="00015A8E" w:rsidRPr="00015A8E" w:rsidRDefault="00015A8E" w:rsidP="00015A8E">
          <w:pPr>
            <w:pStyle w:val="af2"/>
            <w:jc w:val="right"/>
          </w:pPr>
          <w:r>
            <w:fldChar w:fldCharType="begin"/>
          </w:r>
          <w:r>
            <w:instrText xml:space="preserve"> PAGE  \* Arabic  \* MERGEFORMAT </w:instrText>
          </w:r>
          <w:r>
            <w:fldChar w:fldCharType="separate"/>
          </w:r>
          <w:r>
            <w:t>2</w:t>
          </w:r>
          <w:r>
            <w:fldChar w:fldCharType="end"/>
          </w:r>
          <w:r>
            <w:t>/</w:t>
          </w:r>
          <w:r w:rsidR="00C5260F">
            <w:fldChar w:fldCharType="begin"/>
          </w:r>
          <w:r w:rsidR="00C5260F">
            <w:instrText xml:space="preserve"> NUMPAGES  \* Arabic  \* MERGEFORMAT </w:instrText>
          </w:r>
          <w:r w:rsidR="00C5260F">
            <w:fldChar w:fldCharType="separate"/>
          </w:r>
          <w:r>
            <w:t>4</w:t>
          </w:r>
          <w:r w:rsidR="00C5260F">
            <w:fldChar w:fldCharType="end"/>
          </w:r>
        </w:p>
      </w:tc>
      <w:tc>
        <w:tcPr>
          <w:tcW w:w="4921" w:type="dxa"/>
          <w:shd w:val="clear" w:color="auto" w:fill="auto"/>
        </w:tcPr>
        <w:p w14:paraId="6E49EFA9" w14:textId="6261E12B" w:rsidR="00015A8E" w:rsidRPr="00015A8E" w:rsidRDefault="00015A8E" w:rsidP="00015A8E">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5260F">
            <w:rPr>
              <w:b w:val="0"/>
              <w:w w:val="103"/>
              <w:sz w:val="14"/>
            </w:rPr>
            <w:t>23-10258</w:t>
          </w:r>
          <w:r>
            <w:rPr>
              <w:b w:val="0"/>
              <w:w w:val="103"/>
              <w:sz w:val="14"/>
            </w:rPr>
            <w:fldChar w:fldCharType="end"/>
          </w:r>
        </w:p>
      </w:tc>
    </w:tr>
  </w:tbl>
  <w:p w14:paraId="23A8925F" w14:textId="77777777" w:rsidR="00015A8E" w:rsidRPr="00015A8E" w:rsidRDefault="00015A8E" w:rsidP="00015A8E">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015A8E" w14:paraId="31E17749" w14:textId="77777777" w:rsidTr="00015A8E">
      <w:tc>
        <w:tcPr>
          <w:tcW w:w="3744" w:type="dxa"/>
          <w:shd w:val="clear" w:color="auto" w:fill="auto"/>
        </w:tcPr>
        <w:p w14:paraId="7518A360" w14:textId="31169312" w:rsidR="00015A8E" w:rsidRDefault="00015A8E" w:rsidP="00015A8E">
          <w:pPr>
            <w:pStyle w:val="Release"/>
          </w:pPr>
          <w:r>
            <w:rPr>
              <w:noProof/>
            </w:rPr>
            <w:drawing>
              <wp:anchor distT="0" distB="0" distL="114300" distR="114300" simplePos="0" relativeHeight="251658240" behindDoc="0" locked="0" layoutInCell="1" allowOverlap="1" wp14:anchorId="25CDFB23" wp14:editId="6A2834E5">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C5260F">
            <w:fldChar w:fldCharType="begin"/>
          </w:r>
          <w:r w:rsidR="00C5260F">
            <w:instrText xml:space="preserve"> DOCVARIABLE "jobn" \* MERGEFORMAT </w:instrText>
          </w:r>
          <w:r w:rsidR="00C5260F">
            <w:fldChar w:fldCharType="separate"/>
          </w:r>
          <w:r w:rsidR="00C5260F">
            <w:t>23-10258 (C)</w:t>
          </w:r>
          <w:r w:rsidR="00C5260F">
            <w:fldChar w:fldCharType="end"/>
          </w:r>
          <w:r>
            <w:t xml:space="preserve">    150623    </w:t>
          </w:r>
          <w:r w:rsidR="009E70B5">
            <w:t>26</w:t>
          </w:r>
          <w:r>
            <w:t>0623</w:t>
          </w:r>
        </w:p>
        <w:p w14:paraId="4D408E8A" w14:textId="77777777" w:rsidR="00015A8E" w:rsidRPr="00015A8E" w:rsidRDefault="00015A8E" w:rsidP="00015A8E">
          <w:pPr>
            <w:spacing w:before="80" w:line="210" w:lineRule="exact"/>
            <w:rPr>
              <w:rFonts w:ascii="Barcode 3 of 9 by request" w:hAnsi="Barcode 3 of 9 by request"/>
              <w:sz w:val="24"/>
            </w:rPr>
          </w:pPr>
          <w:r>
            <w:rPr>
              <w:rFonts w:ascii="Barcode 3 of 9 by request" w:hAnsi="Barcode 3 of 9 by request"/>
              <w:b/>
              <w:sz w:val="24"/>
            </w:rPr>
            <w:t>*2310258*</w:t>
          </w:r>
        </w:p>
      </w:tc>
      <w:tc>
        <w:tcPr>
          <w:tcW w:w="4921" w:type="dxa"/>
          <w:shd w:val="clear" w:color="auto" w:fill="auto"/>
        </w:tcPr>
        <w:p w14:paraId="40A916EE" w14:textId="77777777" w:rsidR="00015A8E" w:rsidRDefault="00015A8E" w:rsidP="00015A8E">
          <w:pPr>
            <w:pStyle w:val="af2"/>
            <w:jc w:val="right"/>
            <w:rPr>
              <w:b w:val="0"/>
              <w:sz w:val="21"/>
            </w:rPr>
          </w:pPr>
          <w:r>
            <w:rPr>
              <w:b w:val="0"/>
              <w:sz w:val="21"/>
            </w:rPr>
            <w:drawing>
              <wp:inline distT="0" distB="0" distL="0" distR="0" wp14:anchorId="23822476" wp14:editId="52BD9297">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31AA08A8" w14:textId="77777777" w:rsidR="00015A8E" w:rsidRPr="00015A8E" w:rsidRDefault="00015A8E" w:rsidP="00015A8E">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70D50" w14:textId="77777777" w:rsidR="00AB13D8" w:rsidRPr="00F13673" w:rsidRDefault="00AB13D8" w:rsidP="00F13673">
      <w:pPr>
        <w:pStyle w:val="af2"/>
        <w:spacing w:after="80"/>
        <w:ind w:left="792"/>
        <w:rPr>
          <w:sz w:val="16"/>
        </w:rPr>
      </w:pPr>
      <w:r w:rsidRPr="00F13673">
        <w:rPr>
          <w:sz w:val="16"/>
        </w:rPr>
        <w:t>__________________</w:t>
      </w:r>
    </w:p>
  </w:footnote>
  <w:footnote w:type="continuationSeparator" w:id="0">
    <w:p w14:paraId="074C555A" w14:textId="77777777" w:rsidR="00AB13D8" w:rsidRPr="00F13673" w:rsidRDefault="00AB13D8" w:rsidP="00F13673">
      <w:pPr>
        <w:pStyle w:val="af2"/>
        <w:spacing w:after="80"/>
        <w:ind w:left="792"/>
        <w:rPr>
          <w:sz w:val="16"/>
        </w:rPr>
      </w:pPr>
      <w:r w:rsidRPr="00F13673">
        <w:rPr>
          <w:sz w:val="16"/>
        </w:rPr>
        <w:t>__________________</w:t>
      </w:r>
    </w:p>
  </w:footnote>
  <w:footnote w:id="1">
    <w:p w14:paraId="4ED5C72E" w14:textId="7B6C80DA" w:rsidR="00F13673" w:rsidRPr="00F13673" w:rsidRDefault="00F13673" w:rsidP="00F13673">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F13673">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015A8E" w14:paraId="1C0B9789" w14:textId="77777777" w:rsidTr="00015A8E">
      <w:trPr>
        <w:trHeight w:hRule="exact" w:val="864"/>
      </w:trPr>
      <w:tc>
        <w:tcPr>
          <w:tcW w:w="4925" w:type="dxa"/>
          <w:shd w:val="clear" w:color="auto" w:fill="auto"/>
          <w:vAlign w:val="bottom"/>
        </w:tcPr>
        <w:p w14:paraId="4190CB56" w14:textId="2E364B37" w:rsidR="00015A8E" w:rsidRPr="00015A8E" w:rsidRDefault="00015A8E" w:rsidP="00015A8E">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C5260F">
            <w:rPr>
              <w:b/>
              <w:sz w:val="17"/>
            </w:rPr>
            <w:t>CEDAW/C/SVK/CO/7</w:t>
          </w:r>
          <w:r>
            <w:rPr>
              <w:b/>
              <w:sz w:val="17"/>
            </w:rPr>
            <w:fldChar w:fldCharType="end"/>
          </w:r>
        </w:p>
      </w:tc>
      <w:tc>
        <w:tcPr>
          <w:tcW w:w="4921" w:type="dxa"/>
          <w:shd w:val="clear" w:color="auto" w:fill="auto"/>
          <w:vAlign w:val="bottom"/>
        </w:tcPr>
        <w:p w14:paraId="6AD582E6" w14:textId="77777777" w:rsidR="00015A8E" w:rsidRDefault="00015A8E" w:rsidP="00015A8E">
          <w:pPr>
            <w:pStyle w:val="af0"/>
          </w:pPr>
        </w:p>
      </w:tc>
    </w:tr>
  </w:tbl>
  <w:p w14:paraId="03C11E7E" w14:textId="77777777" w:rsidR="00015A8E" w:rsidRPr="00015A8E" w:rsidRDefault="00015A8E" w:rsidP="00015A8E">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015A8E" w14:paraId="09675BB9" w14:textId="77777777" w:rsidTr="00015A8E">
      <w:trPr>
        <w:trHeight w:hRule="exact" w:val="864"/>
      </w:trPr>
      <w:tc>
        <w:tcPr>
          <w:tcW w:w="4925" w:type="dxa"/>
          <w:shd w:val="clear" w:color="auto" w:fill="auto"/>
          <w:vAlign w:val="bottom"/>
        </w:tcPr>
        <w:p w14:paraId="0C1E0751" w14:textId="77777777" w:rsidR="00015A8E" w:rsidRDefault="00015A8E" w:rsidP="00015A8E">
          <w:pPr>
            <w:pStyle w:val="af0"/>
          </w:pPr>
        </w:p>
      </w:tc>
      <w:tc>
        <w:tcPr>
          <w:tcW w:w="4921" w:type="dxa"/>
          <w:shd w:val="clear" w:color="auto" w:fill="auto"/>
          <w:vAlign w:val="bottom"/>
        </w:tcPr>
        <w:p w14:paraId="770B5922" w14:textId="638AC720" w:rsidR="00015A8E" w:rsidRPr="00015A8E" w:rsidRDefault="00015A8E" w:rsidP="00015A8E">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C5260F">
            <w:rPr>
              <w:b/>
              <w:sz w:val="17"/>
            </w:rPr>
            <w:t>CEDAW/C/SVK/CO/7</w:t>
          </w:r>
          <w:r>
            <w:rPr>
              <w:b/>
              <w:sz w:val="17"/>
            </w:rPr>
            <w:fldChar w:fldCharType="end"/>
          </w:r>
        </w:p>
      </w:tc>
    </w:tr>
  </w:tbl>
  <w:p w14:paraId="5D36911C" w14:textId="77777777" w:rsidR="00015A8E" w:rsidRPr="00015A8E" w:rsidRDefault="00015A8E" w:rsidP="00015A8E">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015A8E" w14:paraId="63F5B206" w14:textId="77777777" w:rsidTr="00015A8E">
      <w:trPr>
        <w:trHeight w:hRule="exact" w:val="864"/>
      </w:trPr>
      <w:tc>
        <w:tcPr>
          <w:tcW w:w="1267" w:type="dxa"/>
          <w:tcBorders>
            <w:bottom w:val="single" w:sz="4" w:space="0" w:color="auto"/>
          </w:tcBorders>
          <w:shd w:val="clear" w:color="auto" w:fill="auto"/>
          <w:vAlign w:val="bottom"/>
        </w:tcPr>
        <w:p w14:paraId="594E9A65" w14:textId="77777777" w:rsidR="00015A8E" w:rsidRDefault="00015A8E" w:rsidP="00015A8E">
          <w:pPr>
            <w:pStyle w:val="af0"/>
            <w:spacing w:after="120"/>
          </w:pPr>
        </w:p>
      </w:tc>
      <w:tc>
        <w:tcPr>
          <w:tcW w:w="1872" w:type="dxa"/>
          <w:tcBorders>
            <w:bottom w:val="single" w:sz="4" w:space="0" w:color="auto"/>
          </w:tcBorders>
          <w:shd w:val="clear" w:color="auto" w:fill="auto"/>
          <w:vAlign w:val="bottom"/>
        </w:tcPr>
        <w:p w14:paraId="3785EDB5" w14:textId="77777777" w:rsidR="00015A8E" w:rsidRPr="00015A8E" w:rsidRDefault="00015A8E" w:rsidP="00015A8E">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27FD0A81" w14:textId="77777777" w:rsidR="00015A8E" w:rsidRDefault="00015A8E" w:rsidP="00015A8E">
          <w:pPr>
            <w:pStyle w:val="af0"/>
            <w:spacing w:after="120"/>
          </w:pPr>
        </w:p>
      </w:tc>
      <w:tc>
        <w:tcPr>
          <w:tcW w:w="6437" w:type="dxa"/>
          <w:gridSpan w:val="3"/>
          <w:tcBorders>
            <w:bottom w:val="single" w:sz="4" w:space="0" w:color="auto"/>
          </w:tcBorders>
          <w:shd w:val="clear" w:color="auto" w:fill="auto"/>
          <w:vAlign w:val="bottom"/>
        </w:tcPr>
        <w:p w14:paraId="3188B0DC" w14:textId="77777777" w:rsidR="00015A8E" w:rsidRPr="00015A8E" w:rsidRDefault="00015A8E" w:rsidP="00015A8E">
          <w:pPr>
            <w:spacing w:after="80" w:line="240" w:lineRule="auto"/>
            <w:jc w:val="right"/>
            <w:rPr>
              <w:position w:val="-4"/>
            </w:rPr>
          </w:pPr>
          <w:r>
            <w:rPr>
              <w:position w:val="-4"/>
              <w:sz w:val="40"/>
            </w:rPr>
            <w:t>CEDAW</w:t>
          </w:r>
          <w:r>
            <w:rPr>
              <w:position w:val="-4"/>
            </w:rPr>
            <w:t>/C/SVK/CO/7</w:t>
          </w:r>
        </w:p>
      </w:tc>
    </w:tr>
    <w:tr w:rsidR="00015A8E" w:rsidRPr="00015A8E" w14:paraId="151DD46D" w14:textId="77777777" w:rsidTr="00015A8E">
      <w:trPr>
        <w:trHeight w:hRule="exact" w:val="2880"/>
      </w:trPr>
      <w:tc>
        <w:tcPr>
          <w:tcW w:w="1267" w:type="dxa"/>
          <w:tcBorders>
            <w:top w:val="single" w:sz="4" w:space="0" w:color="auto"/>
            <w:bottom w:val="single" w:sz="12" w:space="0" w:color="auto"/>
          </w:tcBorders>
          <w:shd w:val="clear" w:color="auto" w:fill="auto"/>
        </w:tcPr>
        <w:p w14:paraId="63BB82AB" w14:textId="77777777" w:rsidR="00015A8E" w:rsidRPr="00015A8E" w:rsidRDefault="00015A8E" w:rsidP="00015A8E">
          <w:pPr>
            <w:pStyle w:val="af0"/>
            <w:spacing w:before="109"/>
            <w:ind w:left="-72"/>
          </w:pPr>
          <w:r>
            <w:t xml:space="preserve"> </w:t>
          </w:r>
          <w:r>
            <w:drawing>
              <wp:inline distT="0" distB="0" distL="0" distR="0" wp14:anchorId="6EA0FF51" wp14:editId="316FB70B">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B90C8F1" w14:textId="77777777" w:rsidR="00015A8E" w:rsidRPr="00015A8E" w:rsidRDefault="00015A8E" w:rsidP="00015A8E">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6C7991D3" w14:textId="77777777" w:rsidR="00015A8E" w:rsidRPr="00015A8E" w:rsidRDefault="00015A8E" w:rsidP="00015A8E">
          <w:pPr>
            <w:pStyle w:val="af0"/>
            <w:spacing w:before="109"/>
          </w:pPr>
        </w:p>
      </w:tc>
      <w:tc>
        <w:tcPr>
          <w:tcW w:w="3080" w:type="dxa"/>
          <w:tcBorders>
            <w:top w:val="single" w:sz="4" w:space="0" w:color="auto"/>
            <w:bottom w:val="single" w:sz="12" w:space="0" w:color="auto"/>
          </w:tcBorders>
          <w:shd w:val="clear" w:color="auto" w:fill="auto"/>
        </w:tcPr>
        <w:p w14:paraId="0EDC4869" w14:textId="77777777" w:rsidR="00015A8E" w:rsidRDefault="00015A8E" w:rsidP="00015A8E">
          <w:pPr>
            <w:pStyle w:val="Distr"/>
          </w:pPr>
          <w:r>
            <w:t>Distr.: General</w:t>
          </w:r>
        </w:p>
        <w:p w14:paraId="33D2A841" w14:textId="77777777" w:rsidR="00015A8E" w:rsidRDefault="00015A8E" w:rsidP="00015A8E">
          <w:pPr>
            <w:pStyle w:val="Publication"/>
          </w:pPr>
          <w:r>
            <w:t>31 May 2023</w:t>
          </w:r>
        </w:p>
        <w:p w14:paraId="338DA3B9" w14:textId="77777777" w:rsidR="00015A8E" w:rsidRDefault="00015A8E" w:rsidP="00015A8E">
          <w:pPr>
            <w:spacing w:line="240" w:lineRule="exact"/>
          </w:pPr>
          <w:r>
            <w:t>Chinese</w:t>
          </w:r>
        </w:p>
        <w:p w14:paraId="5BCECF71" w14:textId="77777777" w:rsidR="00015A8E" w:rsidRDefault="00015A8E" w:rsidP="00015A8E">
          <w:pPr>
            <w:pStyle w:val="Original"/>
          </w:pPr>
          <w:r>
            <w:t>Original: English</w:t>
          </w:r>
        </w:p>
        <w:p w14:paraId="27F8F6B9" w14:textId="77777777" w:rsidR="00015A8E" w:rsidRPr="00015A8E" w:rsidRDefault="00015A8E" w:rsidP="00015A8E"/>
      </w:tc>
    </w:tr>
  </w:tbl>
  <w:p w14:paraId="346B1C6F" w14:textId="77777777" w:rsidR="00015A8E" w:rsidRPr="00015A8E" w:rsidRDefault="00015A8E" w:rsidP="00015A8E">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16cid:durableId="867448336">
    <w:abstractNumId w:val="0"/>
  </w:num>
  <w:num w:numId="2" w16cid:durableId="634143814">
    <w:abstractNumId w:val="1"/>
  </w:num>
  <w:num w:numId="3" w16cid:durableId="1532500215">
    <w:abstractNumId w:val="2"/>
  </w:num>
  <w:num w:numId="4" w16cid:durableId="1130972949">
    <w:abstractNumId w:val="4"/>
  </w:num>
  <w:num w:numId="5" w16cid:durableId="298921021">
    <w:abstractNumId w:val="5"/>
  </w:num>
  <w:num w:numId="6" w16cid:durableId="1741555973">
    <w:abstractNumId w:val="3"/>
  </w:num>
  <w:num w:numId="7" w16cid:durableId="169151338">
    <w:abstractNumId w:val="6"/>
  </w:num>
  <w:num w:numId="8" w16cid:durableId="1466045581">
    <w:abstractNumId w:val="2"/>
  </w:num>
  <w:num w:numId="9" w16cid:durableId="2056348665">
    <w:abstractNumId w:val="4"/>
  </w:num>
  <w:num w:numId="10" w16cid:durableId="503476639">
    <w:abstractNumId w:val="5"/>
  </w:num>
  <w:num w:numId="11" w16cid:durableId="1675648386">
    <w:abstractNumId w:val="2"/>
  </w:num>
  <w:num w:numId="12" w16cid:durableId="1940524055">
    <w:abstractNumId w:val="4"/>
  </w:num>
  <w:num w:numId="13" w16cid:durableId="1570725592">
    <w:abstractNumId w:val="5"/>
  </w:num>
  <w:num w:numId="14" w16cid:durableId="1829326116">
    <w:abstractNumId w:val="2"/>
  </w:num>
  <w:num w:numId="15" w16cid:durableId="2031761815">
    <w:abstractNumId w:val="4"/>
  </w:num>
  <w:num w:numId="16" w16cid:durableId="664011998">
    <w:abstractNumId w:val="5"/>
  </w:num>
  <w:num w:numId="17" w16cid:durableId="1071925905">
    <w:abstractNumId w:val="2"/>
  </w:num>
  <w:num w:numId="18" w16cid:durableId="440488752">
    <w:abstractNumId w:val="4"/>
  </w:num>
  <w:num w:numId="19" w16cid:durableId="2007979082">
    <w:abstractNumId w:val="5"/>
  </w:num>
  <w:num w:numId="20" w16cid:durableId="1355227248">
    <w:abstractNumId w:val="2"/>
  </w:num>
  <w:num w:numId="21" w16cid:durableId="12583148">
    <w:abstractNumId w:val="4"/>
  </w:num>
  <w:num w:numId="22" w16cid:durableId="16524424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258*"/>
    <w:docVar w:name="CreationDt" w:val="15/06/2023 16:55:05"/>
    <w:docVar w:name="DocCategory" w:val="Doc"/>
    <w:docVar w:name="DocType" w:val="Final"/>
    <w:docVar w:name="DutyStation" w:val="New York"/>
    <w:docVar w:name="FooterJN" w:val="23-10258"/>
    <w:docVar w:name="jobn" w:val="23-10258 (C)"/>
    <w:docVar w:name="jobnDT" w:val="23-10258 (C)   150623"/>
    <w:docVar w:name="jobnDTDT" w:val="23-10258 (C)   150623   150623"/>
    <w:docVar w:name="JobNo" w:val="2310258C"/>
    <w:docVar w:name="LocalDrive" w:val="-1"/>
    <w:docVar w:name="OandT" w:val="bb"/>
    <w:docVar w:name="sss1" w:val="CEDAW/C/SVK/CO/7"/>
    <w:docVar w:name="sss2" w:val="-"/>
    <w:docVar w:name="Symbol1" w:val="CEDAW/C/SVK/CO/7"/>
    <w:docVar w:name="Symbol2" w:val="-"/>
    <w:docVar w:name="Title1" w:val="_x0009__x0009_关于斯洛伐克第七次定期报告的结论性意见*_x000d_"/>
  </w:docVars>
  <w:rsids>
    <w:rsidRoot w:val="00CC497F"/>
    <w:rsid w:val="00000689"/>
    <w:rsid w:val="0000347C"/>
    <w:rsid w:val="0000715A"/>
    <w:rsid w:val="000074E0"/>
    <w:rsid w:val="000101C8"/>
    <w:rsid w:val="0001169E"/>
    <w:rsid w:val="000125BC"/>
    <w:rsid w:val="00012C27"/>
    <w:rsid w:val="00013CD2"/>
    <w:rsid w:val="00015A8E"/>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1F5C"/>
    <w:rsid w:val="000A31F9"/>
    <w:rsid w:val="000B04CB"/>
    <w:rsid w:val="000C0B81"/>
    <w:rsid w:val="000C1786"/>
    <w:rsid w:val="000C4C08"/>
    <w:rsid w:val="000C4DDE"/>
    <w:rsid w:val="000C5208"/>
    <w:rsid w:val="000D1910"/>
    <w:rsid w:val="000D2BF1"/>
    <w:rsid w:val="000D32BA"/>
    <w:rsid w:val="000E240F"/>
    <w:rsid w:val="000E49A4"/>
    <w:rsid w:val="000E4FFB"/>
    <w:rsid w:val="000F1058"/>
    <w:rsid w:val="000F55DC"/>
    <w:rsid w:val="000F6985"/>
    <w:rsid w:val="001015E4"/>
    <w:rsid w:val="00101C4E"/>
    <w:rsid w:val="00101D5B"/>
    <w:rsid w:val="00101F86"/>
    <w:rsid w:val="00104A7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2727"/>
    <w:rsid w:val="001E340C"/>
    <w:rsid w:val="001E4442"/>
    <w:rsid w:val="001E5A51"/>
    <w:rsid w:val="001F03A7"/>
    <w:rsid w:val="001F0442"/>
    <w:rsid w:val="001F24BA"/>
    <w:rsid w:val="001F2F76"/>
    <w:rsid w:val="001F4108"/>
    <w:rsid w:val="001F5793"/>
    <w:rsid w:val="001F595B"/>
    <w:rsid w:val="001F6F25"/>
    <w:rsid w:val="001F75E0"/>
    <w:rsid w:val="002000B5"/>
    <w:rsid w:val="00200734"/>
    <w:rsid w:val="00201543"/>
    <w:rsid w:val="00201C2E"/>
    <w:rsid w:val="0020284C"/>
    <w:rsid w:val="00203760"/>
    <w:rsid w:val="002046D7"/>
    <w:rsid w:val="00207135"/>
    <w:rsid w:val="00212008"/>
    <w:rsid w:val="002145EA"/>
    <w:rsid w:val="002155F8"/>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C66"/>
    <w:rsid w:val="003A4D87"/>
    <w:rsid w:val="003A7A9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149C"/>
    <w:rsid w:val="004044EF"/>
    <w:rsid w:val="00405CAD"/>
    <w:rsid w:val="00413FBC"/>
    <w:rsid w:val="00414423"/>
    <w:rsid w:val="0041733F"/>
    <w:rsid w:val="00420761"/>
    <w:rsid w:val="004268CB"/>
    <w:rsid w:val="004310A7"/>
    <w:rsid w:val="00431680"/>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178E"/>
    <w:rsid w:val="0052216F"/>
    <w:rsid w:val="00523247"/>
    <w:rsid w:val="005232CA"/>
    <w:rsid w:val="00523636"/>
    <w:rsid w:val="00524EE6"/>
    <w:rsid w:val="00530CBB"/>
    <w:rsid w:val="0053111B"/>
    <w:rsid w:val="005335B9"/>
    <w:rsid w:val="00536CCE"/>
    <w:rsid w:val="00537F92"/>
    <w:rsid w:val="00542636"/>
    <w:rsid w:val="005448F6"/>
    <w:rsid w:val="00545A99"/>
    <w:rsid w:val="00546CC5"/>
    <w:rsid w:val="00547EC6"/>
    <w:rsid w:val="00552CE5"/>
    <w:rsid w:val="005541E4"/>
    <w:rsid w:val="00554D49"/>
    <w:rsid w:val="00554F60"/>
    <w:rsid w:val="00562B21"/>
    <w:rsid w:val="00562FE7"/>
    <w:rsid w:val="00564EAA"/>
    <w:rsid w:val="00566CD2"/>
    <w:rsid w:val="0057094A"/>
    <w:rsid w:val="00570BD4"/>
    <w:rsid w:val="00572790"/>
    <w:rsid w:val="00572961"/>
    <w:rsid w:val="00574270"/>
    <w:rsid w:val="0057450D"/>
    <w:rsid w:val="00574A2F"/>
    <w:rsid w:val="00574BFC"/>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3CB0"/>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62B"/>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A76AC"/>
    <w:rsid w:val="006A7A84"/>
    <w:rsid w:val="006B02CF"/>
    <w:rsid w:val="006B769C"/>
    <w:rsid w:val="006C2998"/>
    <w:rsid w:val="006C3DC0"/>
    <w:rsid w:val="006C4BB3"/>
    <w:rsid w:val="006C7138"/>
    <w:rsid w:val="006D4068"/>
    <w:rsid w:val="006E0E32"/>
    <w:rsid w:val="006E2924"/>
    <w:rsid w:val="006E45BF"/>
    <w:rsid w:val="006E4E7C"/>
    <w:rsid w:val="006E6568"/>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238"/>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6B1C"/>
    <w:rsid w:val="009C7B18"/>
    <w:rsid w:val="009D00AA"/>
    <w:rsid w:val="009D0B10"/>
    <w:rsid w:val="009D2AC2"/>
    <w:rsid w:val="009E1774"/>
    <w:rsid w:val="009E2668"/>
    <w:rsid w:val="009E40A3"/>
    <w:rsid w:val="009E5C8C"/>
    <w:rsid w:val="009E70B5"/>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0EE"/>
    <w:rsid w:val="00A46BEE"/>
    <w:rsid w:val="00A46E28"/>
    <w:rsid w:val="00A5206D"/>
    <w:rsid w:val="00A55E9E"/>
    <w:rsid w:val="00A622D4"/>
    <w:rsid w:val="00A635A7"/>
    <w:rsid w:val="00A6477B"/>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3D8"/>
    <w:rsid w:val="00AB1592"/>
    <w:rsid w:val="00AB2786"/>
    <w:rsid w:val="00AB5BEE"/>
    <w:rsid w:val="00AB6C15"/>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47C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60F"/>
    <w:rsid w:val="00C52DB6"/>
    <w:rsid w:val="00C53A40"/>
    <w:rsid w:val="00C53B91"/>
    <w:rsid w:val="00C60D8E"/>
    <w:rsid w:val="00C62EF9"/>
    <w:rsid w:val="00C635CC"/>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97F"/>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699A"/>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77C5A"/>
    <w:rsid w:val="00D80938"/>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3673"/>
    <w:rsid w:val="00F1516C"/>
    <w:rsid w:val="00F170F1"/>
    <w:rsid w:val="00F26864"/>
    <w:rsid w:val="00F26F00"/>
    <w:rsid w:val="00F27454"/>
    <w:rsid w:val="00F313F7"/>
    <w:rsid w:val="00F32339"/>
    <w:rsid w:val="00F3596A"/>
    <w:rsid w:val="00F36446"/>
    <w:rsid w:val="00F40463"/>
    <w:rsid w:val="00F44A01"/>
    <w:rsid w:val="00F50336"/>
    <w:rsid w:val="00F50D76"/>
    <w:rsid w:val="00F55E5B"/>
    <w:rsid w:val="00F569BC"/>
    <w:rsid w:val="00F6174D"/>
    <w:rsid w:val="00F62E3F"/>
    <w:rsid w:val="00F64E40"/>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3F69"/>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8315E2C"/>
  <w15:chartTrackingRefBased/>
  <w15:docId w15:val="{2186E21C-F86F-495D-861A-E239009F0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SingleTxt"/>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uiPriority w:val="99"/>
    <w:rsid w:val="0093128A"/>
  </w:style>
  <w:style w:type="paragraph" w:styleId="ab">
    <w:name w:val="annotation subject"/>
    <w:basedOn w:val="a9"/>
    <w:next w:val="a9"/>
    <w:link w:val="ac"/>
    <w:semiHidden/>
    <w:rsid w:val="0093128A"/>
    <w:rPr>
      <w:b/>
      <w:bCs/>
    </w:rPr>
  </w:style>
  <w:style w:type="character" w:styleId="ad">
    <w:name w:val="annotation reference"/>
    <w:basedOn w:val="a0"/>
    <w:uiPriority w:val="99"/>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uiPriority w:val="99"/>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9C6B1C"/>
    <w:rPr>
      <w:color w:val="605E5C"/>
      <w:shd w:val="clear" w:color="auto" w:fill="E1DFDD"/>
    </w:rPr>
  </w:style>
  <w:style w:type="paragraph" w:styleId="af8">
    <w:name w:val="Revision"/>
    <w:hidden/>
    <w:uiPriority w:val="99"/>
    <w:semiHidden/>
    <w:rsid w:val="006A76AC"/>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ch/CEDAW/C/SR.1983" TargetMode="External"/><Relationship Id="rId26" Type="http://schemas.openxmlformats.org/officeDocument/2006/relationships/hyperlink" Target="https://undocs.org/ch/CEDAW/C/SVK/CO/5-6" TargetMode="External"/><Relationship Id="rId39" Type="http://schemas.openxmlformats.org/officeDocument/2006/relationships/hyperlink" Target="https://undocs.org/ch/S/RES/2242(2015)" TargetMode="External"/><Relationship Id="rId21" Type="http://schemas.openxmlformats.org/officeDocument/2006/relationships/hyperlink" Target="https://undocs.org/ch/CEDAW/C/SVK/QPR/7" TargetMode="External"/><Relationship Id="rId34" Type="http://schemas.openxmlformats.org/officeDocument/2006/relationships/hyperlink" Target="https://undocs.org/ch/S/RES/1888(2009)" TargetMode="External"/><Relationship Id="rId42" Type="http://schemas.openxmlformats.org/officeDocument/2006/relationships/hyperlink" Target="https://undocs.org/ch/CEDAW/C/SVK/CO/5-6" TargetMode="Externa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9" Type="http://schemas.openxmlformats.org/officeDocument/2006/relationships/hyperlink" Target="https://undocs.org/ch/CEDAW/C/SVK/CO/5-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S/RES/1325(2000)" TargetMode="External"/><Relationship Id="rId32" Type="http://schemas.openxmlformats.org/officeDocument/2006/relationships/hyperlink" Target="https://undocs.org/ch/S/RES/1325(2000)" TargetMode="External"/><Relationship Id="rId37" Type="http://schemas.openxmlformats.org/officeDocument/2006/relationships/hyperlink" Target="https://undocs.org/ch/S/RES/2106(2013)" TargetMode="External"/><Relationship Id="rId40" Type="http://schemas.openxmlformats.org/officeDocument/2006/relationships/hyperlink" Target="https://undocs.org/ch/S/RES/2467(2019)"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SVK/5-6" TargetMode="External"/><Relationship Id="rId28" Type="http://schemas.openxmlformats.org/officeDocument/2006/relationships/hyperlink" Target="https://undocs.org/ch/CEDAW/C/SVK/CO/5-6" TargetMode="External"/><Relationship Id="rId36" Type="http://schemas.openxmlformats.org/officeDocument/2006/relationships/hyperlink" Target="https://undocs.org/ch/S/RES/1960(2010)" TargetMode="External"/><Relationship Id="rId10" Type="http://schemas.openxmlformats.org/officeDocument/2006/relationships/footer" Target="footer1.xml"/><Relationship Id="rId19" Type="http://schemas.openxmlformats.org/officeDocument/2006/relationships/hyperlink" Target="https://undocs.org/ch/CEDAW/C/SR.1984" TargetMode="External"/><Relationship Id="rId31" Type="http://schemas.openxmlformats.org/officeDocument/2006/relationships/hyperlink" Target="https://undocs.org/ch/S/RES/1325(2000)" TargetMode="External"/><Relationship Id="rId44" Type="http://schemas.openxmlformats.org/officeDocument/2006/relationships/hyperlink" Target="https://undocs.org/ch/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SVK/CO/5-6/Add.1" TargetMode="External"/><Relationship Id="rId27" Type="http://schemas.openxmlformats.org/officeDocument/2006/relationships/hyperlink" Target="https://undocs.org/ch/CEDAW/C/SVK/CO/5-6" TargetMode="External"/><Relationship Id="rId30" Type="http://schemas.openxmlformats.org/officeDocument/2006/relationships/hyperlink" Target="https://undocs.org/ch/S/RES/1325(2000)" TargetMode="External"/><Relationship Id="rId35" Type="http://schemas.openxmlformats.org/officeDocument/2006/relationships/hyperlink" Target="https://undocs.org/ch/S/RES/1889(2009)" TargetMode="External"/><Relationship Id="rId43" Type="http://schemas.openxmlformats.org/officeDocument/2006/relationships/hyperlink" Target="https://undocs.org/ch/CEDAW/C/SVK/CO/5-6" TargetMode="Externa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A/65/38" TargetMode="External"/><Relationship Id="rId33" Type="http://schemas.openxmlformats.org/officeDocument/2006/relationships/hyperlink" Target="https://undocs.org/ch/S/RES/1820(2008)" TargetMode="External"/><Relationship Id="rId38" Type="http://schemas.openxmlformats.org/officeDocument/2006/relationships/hyperlink" Target="https://undocs.org/ch/S/RES/2122(2013)" TargetMode="External"/><Relationship Id="rId46" Type="http://schemas.openxmlformats.org/officeDocument/2006/relationships/theme" Target="theme/theme1.xml"/><Relationship Id="rId20" Type="http://schemas.openxmlformats.org/officeDocument/2006/relationships/hyperlink" Target="https://undocs.org/ch/CEDAW/C/SVK/7" TargetMode="External"/><Relationship Id="rId41" Type="http://schemas.openxmlformats.org/officeDocument/2006/relationships/hyperlink" Target="https://undocs.org/ch/S/RES/2493(201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6198</Words>
  <Characters>6756</Characters>
  <Application>Microsoft Office Word</Application>
  <DocSecurity>0</DocSecurity>
  <Lines>250</Lines>
  <Paragraphs>208</Paragraphs>
  <ScaleCrop>false</ScaleCrop>
  <Company/>
  <LinksUpToDate>false</LinksUpToDate>
  <CharactersWithSpaces>12746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Bing Bai</dc:creator>
  <cp:keywords/>
  <dc:description/>
  <cp:lastModifiedBy>Heng Tan</cp:lastModifiedBy>
  <cp:revision>3</cp:revision>
  <cp:lastPrinted>2023-06-26T16:55:00Z</cp:lastPrinted>
  <dcterms:created xsi:type="dcterms:W3CDTF">2023-06-26T16:55:00Z</dcterms:created>
  <dcterms:modified xsi:type="dcterms:W3CDTF">2023-06-26T16:55:00Z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2310258</vt:lpwstr>
  </property>
  <property fmtid="{D5CDD505-2E9C-101B-9397-08002B2CF9AE}" pid="3" name="ODSRefJobNo">
    <vt:lpwstr>2315304C</vt:lpwstr>
  </property>
  <property fmtid="{D5CDD505-2E9C-101B-9397-08002B2CF9AE}" pid="4" name="Symbol1">
    <vt:lpwstr>CEDAW/C/SVK/CO/7</vt:lpwstr>
  </property>
  <property fmtid="{D5CDD505-2E9C-101B-9397-08002B2CF9AE}" pid="5" name="Symbol2">
    <vt:lpwstr/>
  </property>
  <property fmtid="{D5CDD505-2E9C-101B-9397-08002B2CF9AE}" pid="6" name="Translator">
    <vt:lpwstr/>
  </property>
  <property fmtid="{D5CDD505-2E9C-101B-9397-08002B2CF9AE}" pid="7" name="Operator">
    <vt:lpwstr>bb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31 May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关于斯洛伐克第七次定期报告的结论性意见*_x000d_</vt:lpwstr>
  </property>
</Properties>
</file>