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75B05" w14:textId="77777777" w:rsidR="00D342DF" w:rsidRDefault="00D342DF" w:rsidP="00D342DF">
      <w:pPr>
        <w:spacing w:line="240" w:lineRule="auto"/>
        <w:rPr>
          <w:sz w:val="2"/>
        </w:rPr>
        <w:sectPr w:rsidR="00D342DF" w:rsidSect="007F4A4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12272242" w14:textId="77777777" w:rsidR="007F4A4B" w:rsidRPr="007F4A4B" w:rsidRDefault="007F4A4B" w:rsidP="00AE5C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F4A4B">
        <w:rPr>
          <w:lang w:val="fr-FR"/>
        </w:rPr>
        <w:t>Comité pour l’élimination de la discrimination à l’égard des femmes</w:t>
      </w:r>
    </w:p>
    <w:p w14:paraId="0259FFD8" w14:textId="77777777" w:rsidR="007F4A4B" w:rsidRPr="007F4A4B" w:rsidRDefault="007F4A4B" w:rsidP="007F4A4B">
      <w:pPr>
        <w:pStyle w:val="Session"/>
        <w:rPr>
          <w:lang w:val="fr-FR"/>
        </w:rPr>
      </w:pPr>
      <w:r w:rsidRPr="007F4A4B">
        <w:rPr>
          <w:lang w:val="fr-FR"/>
        </w:rPr>
        <w:t>Quatre-vingt-douzième session</w:t>
      </w:r>
    </w:p>
    <w:p w14:paraId="51B8A7FB" w14:textId="77777777" w:rsidR="007F4A4B" w:rsidRPr="007F4A4B" w:rsidRDefault="007F4A4B" w:rsidP="007F4A4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4A4B">
        <w:rPr>
          <w:lang w:val="fr-FR"/>
        </w:rPr>
        <w:t>Genève, 2-20 février 2026</w:t>
      </w:r>
    </w:p>
    <w:p w14:paraId="34112FF6" w14:textId="77777777" w:rsidR="007F4A4B" w:rsidRPr="006A4EEF" w:rsidRDefault="007F4A4B" w:rsidP="007F4A4B">
      <w:pPr>
        <w:pStyle w:val="AgendaItemNormal"/>
        <w:rPr>
          <w:lang w:val="fr-FR"/>
        </w:rPr>
      </w:pPr>
      <w:r w:rsidRPr="006A4EEF">
        <w:rPr>
          <w:lang w:val="fr-FR"/>
        </w:rPr>
        <w:t>Point 2 de l’ordre du jour provisoire</w:t>
      </w:r>
    </w:p>
    <w:p w14:paraId="1269D0CE" w14:textId="77777777" w:rsidR="007F4A4B" w:rsidRPr="007F4A4B" w:rsidRDefault="007F4A4B" w:rsidP="00AE5C84">
      <w:pPr>
        <w:pStyle w:val="AgendaTitleH2"/>
        <w:rPr>
          <w:lang w:val="fr-FR"/>
        </w:rPr>
      </w:pPr>
      <w:r w:rsidRPr="007F4A4B">
        <w:rPr>
          <w:lang w:val="fr-FR"/>
        </w:rPr>
        <w:t>Adoption de l’ordre du jour et organisation des travaux</w:t>
      </w:r>
    </w:p>
    <w:p w14:paraId="007C198D" w14:textId="77777777" w:rsidR="007F4A4B" w:rsidRPr="007F4A4B" w:rsidRDefault="007F4A4B" w:rsidP="007F4A4B">
      <w:pPr>
        <w:pStyle w:val="SingleTxt"/>
        <w:spacing w:after="0" w:line="120" w:lineRule="exact"/>
        <w:rPr>
          <w:sz w:val="10"/>
          <w:lang w:val="fr-FR"/>
        </w:rPr>
      </w:pPr>
    </w:p>
    <w:p w14:paraId="693E544D" w14:textId="77777777" w:rsidR="007F4A4B" w:rsidRPr="007F4A4B" w:rsidRDefault="007F4A4B" w:rsidP="007F4A4B">
      <w:pPr>
        <w:pStyle w:val="SingleTxt"/>
        <w:spacing w:after="0" w:line="120" w:lineRule="exact"/>
        <w:rPr>
          <w:sz w:val="10"/>
          <w:lang w:val="fr-FR"/>
        </w:rPr>
      </w:pPr>
    </w:p>
    <w:p w14:paraId="69A19019" w14:textId="77777777" w:rsidR="007F4A4B" w:rsidRPr="007F4A4B" w:rsidRDefault="007F4A4B" w:rsidP="007F4A4B">
      <w:pPr>
        <w:pStyle w:val="SingleTxt"/>
        <w:spacing w:after="0" w:line="120" w:lineRule="exact"/>
        <w:rPr>
          <w:sz w:val="10"/>
          <w:lang w:val="fr-FR"/>
        </w:rPr>
      </w:pPr>
    </w:p>
    <w:p w14:paraId="63B14FFC" w14:textId="15B288D3" w:rsidR="007F4A4B" w:rsidRPr="007F4A4B" w:rsidRDefault="007F4A4B" w:rsidP="007F4A4B">
      <w:pPr>
        <w:pStyle w:val="TitleHCH"/>
        <w:ind w:right="1260"/>
        <w:rPr>
          <w:lang w:val="fr-FR"/>
        </w:rPr>
      </w:pPr>
      <w:r>
        <w:rPr>
          <w:lang w:val="fr-FR"/>
        </w:rPr>
        <w:tab/>
      </w:r>
      <w:r>
        <w:rPr>
          <w:lang w:val="fr-FR"/>
        </w:rPr>
        <w:tab/>
      </w:r>
      <w:r w:rsidRPr="007F4A4B">
        <w:rPr>
          <w:lang w:val="fr-FR"/>
        </w:rPr>
        <w:t>Ordre du jour provisoire annoté</w:t>
      </w:r>
    </w:p>
    <w:p w14:paraId="24566332" w14:textId="77777777" w:rsidR="007F4A4B" w:rsidRPr="007F4A4B" w:rsidRDefault="007F4A4B" w:rsidP="007F4A4B">
      <w:pPr>
        <w:pStyle w:val="SingleTxt"/>
        <w:spacing w:after="0" w:line="120" w:lineRule="exact"/>
        <w:rPr>
          <w:sz w:val="10"/>
          <w:lang w:val="fr-FR"/>
        </w:rPr>
      </w:pPr>
    </w:p>
    <w:p w14:paraId="59ECB79C" w14:textId="77777777" w:rsidR="007F4A4B" w:rsidRPr="007F4A4B" w:rsidRDefault="007F4A4B" w:rsidP="007F4A4B">
      <w:pPr>
        <w:pStyle w:val="SingleTxt"/>
        <w:spacing w:after="0" w:line="120" w:lineRule="exact"/>
        <w:rPr>
          <w:sz w:val="10"/>
          <w:lang w:val="fr-FR"/>
        </w:rPr>
      </w:pPr>
    </w:p>
    <w:p w14:paraId="1ED9942A" w14:textId="2238375E" w:rsidR="007F4A4B" w:rsidRPr="007F4A4B" w:rsidRDefault="007F4A4B" w:rsidP="007F4A4B">
      <w:pPr>
        <w:pStyle w:val="TitleH1"/>
        <w:rPr>
          <w:lang w:val="fr-FR"/>
        </w:rPr>
      </w:pPr>
      <w:r>
        <w:rPr>
          <w:lang w:val="fr-FR"/>
        </w:rPr>
        <w:tab/>
      </w:r>
      <w:r w:rsidRPr="007F4A4B">
        <w:rPr>
          <w:lang w:val="fr-FR"/>
        </w:rPr>
        <w:tab/>
        <w:t>Ordre du jour provisoire</w:t>
      </w:r>
    </w:p>
    <w:p w14:paraId="1C15C86E" w14:textId="77777777" w:rsidR="007F4A4B" w:rsidRPr="007F4A4B" w:rsidRDefault="007F4A4B" w:rsidP="007F4A4B">
      <w:pPr>
        <w:pStyle w:val="SingleTxt"/>
        <w:spacing w:after="0" w:line="120" w:lineRule="exact"/>
        <w:rPr>
          <w:sz w:val="10"/>
          <w:lang w:val="fr-FR"/>
        </w:rPr>
      </w:pPr>
    </w:p>
    <w:p w14:paraId="58D538DE" w14:textId="77777777" w:rsidR="007F4A4B" w:rsidRPr="007F4A4B" w:rsidRDefault="007F4A4B" w:rsidP="007F4A4B">
      <w:pPr>
        <w:pStyle w:val="SingleTxt"/>
        <w:spacing w:after="0" w:line="120" w:lineRule="exact"/>
        <w:rPr>
          <w:sz w:val="10"/>
          <w:lang w:val="fr-FR"/>
        </w:rPr>
      </w:pPr>
    </w:p>
    <w:p w14:paraId="26DAAE2D" w14:textId="77777777" w:rsidR="007F4A4B" w:rsidRPr="007F4A4B" w:rsidRDefault="007F4A4B" w:rsidP="007F4A4B">
      <w:pPr>
        <w:pStyle w:val="SingleTxt"/>
        <w:jc w:val="left"/>
        <w:rPr>
          <w:lang w:val="fr-FR"/>
        </w:rPr>
      </w:pPr>
      <w:r w:rsidRPr="007F4A4B">
        <w:rPr>
          <w:lang w:val="fr-FR"/>
        </w:rPr>
        <w:t>1.</w:t>
      </w:r>
      <w:r w:rsidRPr="007F4A4B">
        <w:rPr>
          <w:lang w:val="fr-FR"/>
        </w:rPr>
        <w:tab/>
        <w:t>Ouverture de la session.</w:t>
      </w:r>
    </w:p>
    <w:p w14:paraId="2E58B8AF" w14:textId="77777777" w:rsidR="007F4A4B" w:rsidRPr="007F4A4B" w:rsidRDefault="007F4A4B" w:rsidP="007F4A4B">
      <w:pPr>
        <w:pStyle w:val="SingleTxt"/>
        <w:jc w:val="left"/>
        <w:rPr>
          <w:lang w:val="fr-FR"/>
        </w:rPr>
      </w:pPr>
      <w:r w:rsidRPr="007F4A4B">
        <w:rPr>
          <w:lang w:val="fr-FR"/>
        </w:rPr>
        <w:t>2.</w:t>
      </w:r>
      <w:r w:rsidRPr="007F4A4B">
        <w:rPr>
          <w:lang w:val="fr-FR"/>
        </w:rPr>
        <w:tab/>
        <w:t>Adoption de l’ordre du jour et organisation des travaux.</w:t>
      </w:r>
    </w:p>
    <w:p w14:paraId="1CB1DE3A" w14:textId="77777777" w:rsidR="007F4A4B" w:rsidRPr="007F4A4B" w:rsidRDefault="007F4A4B" w:rsidP="007F4A4B">
      <w:pPr>
        <w:pStyle w:val="SingleTxt"/>
        <w:ind w:left="1742" w:hanging="475"/>
        <w:jc w:val="left"/>
        <w:rPr>
          <w:lang w:val="fr-FR"/>
        </w:rPr>
      </w:pPr>
      <w:r w:rsidRPr="007F4A4B">
        <w:rPr>
          <w:lang w:val="fr-FR"/>
        </w:rPr>
        <w:t>3.</w:t>
      </w:r>
      <w:r w:rsidRPr="007F4A4B">
        <w:rPr>
          <w:lang w:val="fr-FR"/>
        </w:rPr>
        <w:tab/>
        <w:t>Rapport de la Présidente sur les activités menées entre la quatre-vingt-onzième et la quatre-vingt-douzième session du Comité.</w:t>
      </w:r>
    </w:p>
    <w:p w14:paraId="6EA729F0" w14:textId="77777777" w:rsidR="007F4A4B" w:rsidRPr="007F4A4B" w:rsidRDefault="007F4A4B" w:rsidP="007F4A4B">
      <w:pPr>
        <w:pStyle w:val="SingleTxt"/>
        <w:ind w:left="1742" w:hanging="475"/>
        <w:jc w:val="left"/>
        <w:rPr>
          <w:lang w:val="fr-FR"/>
        </w:rPr>
      </w:pPr>
      <w:r w:rsidRPr="007F4A4B">
        <w:rPr>
          <w:lang w:val="fr-FR"/>
        </w:rPr>
        <w:t>4.</w:t>
      </w:r>
      <w:r w:rsidRPr="007F4A4B">
        <w:rPr>
          <w:lang w:val="fr-FR"/>
        </w:rPr>
        <w:tab/>
        <w:t>Examen des rapports soumis par les États Parties en application de l’article 18 de la Convention sur l’élimination de toutes les formes de discrimination à l’égard des femmes.</w:t>
      </w:r>
    </w:p>
    <w:p w14:paraId="1E00D859" w14:textId="77777777" w:rsidR="007F4A4B" w:rsidRPr="007F4A4B" w:rsidRDefault="007F4A4B" w:rsidP="007F4A4B">
      <w:pPr>
        <w:pStyle w:val="SingleTxt"/>
        <w:ind w:left="1742" w:hanging="475"/>
        <w:jc w:val="left"/>
        <w:rPr>
          <w:lang w:val="fr-FR"/>
        </w:rPr>
      </w:pPr>
      <w:r w:rsidRPr="007F4A4B">
        <w:rPr>
          <w:lang w:val="fr-FR"/>
        </w:rPr>
        <w:t>5.</w:t>
      </w:r>
      <w:r w:rsidRPr="007F4A4B">
        <w:rPr>
          <w:lang w:val="fr-FR"/>
        </w:rPr>
        <w:tab/>
        <w:t>Suite donnée à l’examen des rapports soumis par les États Parties en application de l’article 18 de la Convention.</w:t>
      </w:r>
    </w:p>
    <w:p w14:paraId="21788110" w14:textId="77777777" w:rsidR="007F4A4B" w:rsidRPr="007F4A4B" w:rsidRDefault="007F4A4B" w:rsidP="007F4A4B">
      <w:pPr>
        <w:pStyle w:val="SingleTxt"/>
        <w:jc w:val="left"/>
        <w:rPr>
          <w:lang w:val="fr-FR"/>
        </w:rPr>
      </w:pPr>
      <w:r w:rsidRPr="007F4A4B">
        <w:rPr>
          <w:lang w:val="fr-FR"/>
        </w:rPr>
        <w:t>6.</w:t>
      </w:r>
      <w:r w:rsidRPr="007F4A4B">
        <w:rPr>
          <w:lang w:val="fr-FR"/>
        </w:rPr>
        <w:tab/>
        <w:t>Application des articles 21 et 22 de la Convention.</w:t>
      </w:r>
    </w:p>
    <w:p w14:paraId="26FBF52B" w14:textId="77777777" w:rsidR="007F4A4B" w:rsidRPr="007F4A4B" w:rsidRDefault="007F4A4B" w:rsidP="007F4A4B">
      <w:pPr>
        <w:pStyle w:val="SingleTxt"/>
        <w:jc w:val="left"/>
        <w:rPr>
          <w:lang w:val="fr-FR"/>
        </w:rPr>
      </w:pPr>
      <w:r w:rsidRPr="007F4A4B">
        <w:rPr>
          <w:lang w:val="fr-FR"/>
        </w:rPr>
        <w:t>7.</w:t>
      </w:r>
      <w:r w:rsidRPr="007F4A4B">
        <w:rPr>
          <w:lang w:val="fr-FR"/>
        </w:rPr>
        <w:tab/>
        <w:t>Moyens d’accélérer les travaux du Comité.</w:t>
      </w:r>
    </w:p>
    <w:p w14:paraId="2AF9287F" w14:textId="77777777" w:rsidR="007F4A4B" w:rsidRPr="007F4A4B" w:rsidRDefault="007F4A4B" w:rsidP="007F4A4B">
      <w:pPr>
        <w:pStyle w:val="SingleTxt"/>
        <w:ind w:left="1742" w:hanging="475"/>
        <w:jc w:val="left"/>
        <w:rPr>
          <w:lang w:val="fr-FR"/>
        </w:rPr>
      </w:pPr>
      <w:r w:rsidRPr="007F4A4B">
        <w:rPr>
          <w:lang w:val="fr-FR"/>
        </w:rPr>
        <w:t>8.</w:t>
      </w:r>
      <w:r w:rsidRPr="007F4A4B">
        <w:rPr>
          <w:lang w:val="fr-FR"/>
        </w:rPr>
        <w:tab/>
        <w:t>Activités menées par le Comité au titre du Protocole facultatif à la Convention.</w:t>
      </w:r>
    </w:p>
    <w:p w14:paraId="33935A9E" w14:textId="77777777" w:rsidR="007F4A4B" w:rsidRPr="007F4A4B" w:rsidRDefault="007F4A4B" w:rsidP="007F4A4B">
      <w:pPr>
        <w:pStyle w:val="SingleTxt"/>
        <w:jc w:val="left"/>
        <w:rPr>
          <w:lang w:val="fr-FR"/>
        </w:rPr>
      </w:pPr>
      <w:r w:rsidRPr="007F4A4B">
        <w:rPr>
          <w:lang w:val="fr-FR"/>
        </w:rPr>
        <w:t>9.</w:t>
      </w:r>
      <w:r w:rsidRPr="007F4A4B">
        <w:rPr>
          <w:lang w:val="fr-FR"/>
        </w:rPr>
        <w:tab/>
        <w:t>Ordre du jour provisoire de la quatre-vingt-treizième session du Comité.</w:t>
      </w:r>
    </w:p>
    <w:p w14:paraId="37082801" w14:textId="77777777" w:rsidR="007F4A4B" w:rsidRPr="007F4A4B" w:rsidRDefault="007F4A4B" w:rsidP="007F4A4B">
      <w:pPr>
        <w:pStyle w:val="SingleTxt"/>
        <w:ind w:left="1742" w:hanging="475"/>
        <w:jc w:val="left"/>
        <w:rPr>
          <w:lang w:val="fr-FR"/>
        </w:rPr>
      </w:pPr>
      <w:r w:rsidRPr="007F4A4B">
        <w:rPr>
          <w:lang w:val="fr-FR"/>
        </w:rPr>
        <w:t>10.</w:t>
      </w:r>
      <w:r w:rsidRPr="007F4A4B">
        <w:rPr>
          <w:lang w:val="fr-FR"/>
        </w:rPr>
        <w:tab/>
        <w:t>Adoption du rapport du Comité sur les travaux de sa quatre-vingt-douzième session.</w:t>
      </w:r>
    </w:p>
    <w:p w14:paraId="4EF38894" w14:textId="77777777" w:rsidR="007F4A4B" w:rsidRPr="007F4A4B" w:rsidRDefault="007F4A4B" w:rsidP="007F4A4B">
      <w:pPr>
        <w:pStyle w:val="SingleTxt"/>
        <w:spacing w:after="0" w:line="120" w:lineRule="exact"/>
        <w:rPr>
          <w:sz w:val="10"/>
          <w:lang w:val="fr-FR"/>
        </w:rPr>
      </w:pPr>
    </w:p>
    <w:p w14:paraId="7F82F4B1" w14:textId="77777777" w:rsidR="007F4A4B" w:rsidRPr="007F4A4B" w:rsidRDefault="007F4A4B" w:rsidP="007F4A4B">
      <w:pPr>
        <w:pStyle w:val="SingleTxt"/>
        <w:spacing w:after="0" w:line="120" w:lineRule="exact"/>
        <w:rPr>
          <w:sz w:val="10"/>
          <w:lang w:val="fr-FR"/>
        </w:rPr>
      </w:pPr>
    </w:p>
    <w:p w14:paraId="68C4F327" w14:textId="77777777" w:rsidR="007F4A4B" w:rsidRPr="007F4A4B" w:rsidRDefault="007F4A4B" w:rsidP="001E10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4A4B">
        <w:rPr>
          <w:lang w:val="fr-FR"/>
        </w:rPr>
        <w:tab/>
      </w:r>
      <w:r w:rsidRPr="007F4A4B">
        <w:rPr>
          <w:lang w:val="fr-FR"/>
        </w:rPr>
        <w:tab/>
        <w:t>Annotations</w:t>
      </w:r>
    </w:p>
    <w:p w14:paraId="66B115C7" w14:textId="77777777" w:rsidR="007F4A4B" w:rsidRPr="007F4A4B" w:rsidRDefault="007F4A4B" w:rsidP="007F4A4B">
      <w:pPr>
        <w:pStyle w:val="SingleTxt"/>
        <w:spacing w:after="0" w:line="120" w:lineRule="exact"/>
        <w:rPr>
          <w:sz w:val="10"/>
          <w:lang w:val="fr-FR"/>
        </w:rPr>
      </w:pPr>
    </w:p>
    <w:p w14:paraId="5981C09C" w14:textId="77777777" w:rsidR="007F4A4B" w:rsidRPr="007F4A4B" w:rsidRDefault="007F4A4B" w:rsidP="007F4A4B">
      <w:pPr>
        <w:pStyle w:val="SingleTxt"/>
        <w:spacing w:after="0" w:line="120" w:lineRule="exact"/>
        <w:rPr>
          <w:sz w:val="10"/>
          <w:lang w:val="fr-FR"/>
        </w:rPr>
      </w:pPr>
    </w:p>
    <w:p w14:paraId="5ABB5F75" w14:textId="5AA31D61" w:rsidR="007F4A4B" w:rsidRPr="007F4A4B" w:rsidRDefault="007F4A4B" w:rsidP="007F4A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F4A4B">
        <w:rPr>
          <w:lang w:val="fr-FR"/>
        </w:rPr>
        <w:t>1.</w:t>
      </w:r>
      <w:r w:rsidRPr="007F4A4B">
        <w:rPr>
          <w:lang w:val="fr-FR"/>
        </w:rPr>
        <w:tab/>
        <w:t>Ouverture de la session</w:t>
      </w:r>
    </w:p>
    <w:p w14:paraId="6149F680" w14:textId="77777777" w:rsidR="007F4A4B" w:rsidRPr="007F4A4B" w:rsidRDefault="007F4A4B" w:rsidP="007F4A4B">
      <w:pPr>
        <w:pStyle w:val="SingleTxt"/>
        <w:spacing w:after="0" w:line="120" w:lineRule="exact"/>
        <w:rPr>
          <w:sz w:val="10"/>
          <w:lang w:val="fr-FR"/>
        </w:rPr>
      </w:pPr>
    </w:p>
    <w:p w14:paraId="6D827506" w14:textId="77777777" w:rsidR="007F4A4B" w:rsidRPr="007F4A4B" w:rsidRDefault="007F4A4B" w:rsidP="007F4A4B">
      <w:pPr>
        <w:pStyle w:val="SingleTxt"/>
        <w:rPr>
          <w:lang w:val="fr-FR"/>
        </w:rPr>
      </w:pPr>
      <w:r w:rsidRPr="007F4A4B">
        <w:rPr>
          <w:lang w:val="fr-FR"/>
        </w:rPr>
        <w:t>La quatre-vingt-douzième session du Comité pour l’élimination de la discrimination à l’égard des femmes sera ouverte par la Présidente du Comité le 2 février 2026.</w:t>
      </w:r>
    </w:p>
    <w:p w14:paraId="40D04FEE" w14:textId="77777777" w:rsidR="007F4A4B" w:rsidRPr="007F4A4B" w:rsidRDefault="007F4A4B" w:rsidP="007F4A4B">
      <w:pPr>
        <w:pStyle w:val="SingleTxt"/>
        <w:spacing w:after="0" w:line="120" w:lineRule="exact"/>
        <w:rPr>
          <w:sz w:val="10"/>
          <w:lang w:val="fr-FR"/>
        </w:rPr>
      </w:pPr>
    </w:p>
    <w:p w14:paraId="129734E8" w14:textId="0228DC21" w:rsidR="007F4A4B" w:rsidRPr="007F4A4B" w:rsidRDefault="007F4A4B" w:rsidP="007F4A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7F4A4B">
        <w:rPr>
          <w:lang w:val="fr-FR"/>
        </w:rPr>
        <w:t>2.</w:t>
      </w:r>
      <w:r w:rsidRPr="007F4A4B">
        <w:rPr>
          <w:lang w:val="fr-FR"/>
        </w:rPr>
        <w:tab/>
        <w:t>Adoption de l’ordre du jour et organisation des travaux</w:t>
      </w:r>
    </w:p>
    <w:p w14:paraId="4DD55AC8" w14:textId="77777777" w:rsidR="007F4A4B" w:rsidRPr="007F4A4B" w:rsidRDefault="007F4A4B" w:rsidP="007F4A4B">
      <w:pPr>
        <w:pStyle w:val="SingleTxt"/>
        <w:spacing w:after="0" w:line="120" w:lineRule="exact"/>
        <w:rPr>
          <w:sz w:val="10"/>
          <w:lang w:val="fr-FR"/>
        </w:rPr>
      </w:pPr>
    </w:p>
    <w:p w14:paraId="0D0894D5" w14:textId="77777777" w:rsidR="007F4A4B" w:rsidRPr="007F4A4B" w:rsidRDefault="007F4A4B" w:rsidP="007F4A4B">
      <w:pPr>
        <w:pStyle w:val="SingleTxt"/>
        <w:rPr>
          <w:lang w:val="fr-FR"/>
        </w:rPr>
      </w:pPr>
      <w:r w:rsidRPr="007F4A4B">
        <w:rPr>
          <w:lang w:val="fr-FR"/>
        </w:rPr>
        <w:t>Aux termes de l’article 9 du règlement intérieur, la première question inscrite à l’ordre du jour provisoire de chaque session est l’adoption de l’ordre du jour. Aux termes de son article 7, l’ordre du jour provisoire de chaque session est établi par le Secrétaire général en consultation avec la présidence du Comité, conformément aux dispositions pertinentes des articles 17 à 22 de la Convention.</w:t>
      </w:r>
    </w:p>
    <w:p w14:paraId="1D42719E" w14:textId="77777777" w:rsidR="007F4A4B" w:rsidRPr="007F4A4B" w:rsidRDefault="007F4A4B" w:rsidP="007F4A4B">
      <w:pPr>
        <w:pStyle w:val="SingleTxt"/>
        <w:rPr>
          <w:lang w:val="fr-FR"/>
        </w:rPr>
      </w:pPr>
      <w:r w:rsidRPr="007F4A4B">
        <w:rPr>
          <w:lang w:val="fr-FR"/>
        </w:rPr>
        <w:t>À sa quatre-vingt-onzième session, le Comité a approuvé l’ordre du jour provisoire de la quatre-vingt-douzième session.</w:t>
      </w:r>
    </w:p>
    <w:p w14:paraId="190D83C2" w14:textId="77777777" w:rsidR="007F4A4B" w:rsidRPr="007F4A4B" w:rsidRDefault="007F4A4B" w:rsidP="007F4A4B">
      <w:pPr>
        <w:pStyle w:val="SingleTxt"/>
        <w:spacing w:after="0" w:line="120" w:lineRule="exact"/>
        <w:rPr>
          <w:sz w:val="10"/>
          <w:lang w:val="fr-FR"/>
        </w:rPr>
      </w:pPr>
    </w:p>
    <w:p w14:paraId="36845649" w14:textId="1E1B2F59" w:rsidR="007F4A4B" w:rsidRPr="007F4A4B" w:rsidRDefault="007F4A4B" w:rsidP="007F4A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7F4A4B">
        <w:rPr>
          <w:lang w:val="fr-FR"/>
        </w:rPr>
        <w:t>3.</w:t>
      </w:r>
      <w:r w:rsidRPr="007F4A4B">
        <w:rPr>
          <w:lang w:val="fr-FR"/>
        </w:rPr>
        <w:tab/>
        <w:t xml:space="preserve">Rapport de la Présidente sur les activités menées entre la quatre-vingt-onzième </w:t>
      </w:r>
      <w:r w:rsidR="00E40AF7" w:rsidRPr="007F4A4B">
        <w:rPr>
          <w:lang w:val="fr-FR"/>
        </w:rPr>
        <w:t>et</w:t>
      </w:r>
      <w:r w:rsidR="00E40AF7">
        <w:rPr>
          <w:lang w:val="fr-FR"/>
        </w:rPr>
        <w:t> </w:t>
      </w:r>
      <w:r w:rsidRPr="007F4A4B">
        <w:rPr>
          <w:lang w:val="fr-FR"/>
        </w:rPr>
        <w:t>la quatre-vingt-douzième session du Comité.</w:t>
      </w:r>
    </w:p>
    <w:p w14:paraId="0DEEF9D3" w14:textId="77777777" w:rsidR="007F4A4B" w:rsidRPr="007F4A4B" w:rsidRDefault="007F4A4B" w:rsidP="007F4A4B">
      <w:pPr>
        <w:pStyle w:val="SingleTxt"/>
        <w:spacing w:after="0" w:line="120" w:lineRule="exact"/>
        <w:rPr>
          <w:sz w:val="10"/>
          <w:lang w:val="fr-FR"/>
        </w:rPr>
      </w:pPr>
    </w:p>
    <w:p w14:paraId="23F2DC2F" w14:textId="77777777" w:rsidR="007F4A4B" w:rsidRPr="007F4A4B" w:rsidRDefault="007F4A4B" w:rsidP="007F4A4B">
      <w:pPr>
        <w:pStyle w:val="SingleTxt"/>
        <w:rPr>
          <w:lang w:val="fr-FR"/>
        </w:rPr>
      </w:pPr>
      <w:r w:rsidRPr="007F4A4B">
        <w:rPr>
          <w:lang w:val="fr-FR"/>
        </w:rPr>
        <w:t>La Présidente rendra compte au Comité de sa participation aux activités et des faits nouveaux survenus depuis la session précédente qui ont eu une incidence sur les travaux du Comité.</w:t>
      </w:r>
    </w:p>
    <w:p w14:paraId="36F5CA52" w14:textId="77777777" w:rsidR="007F4A4B" w:rsidRPr="007F4A4B" w:rsidRDefault="007F4A4B" w:rsidP="007F4A4B">
      <w:pPr>
        <w:pStyle w:val="SingleTxt"/>
        <w:spacing w:after="0" w:line="120" w:lineRule="exact"/>
        <w:rPr>
          <w:sz w:val="10"/>
          <w:lang w:val="fr-FR"/>
        </w:rPr>
      </w:pPr>
    </w:p>
    <w:p w14:paraId="0E5F7E10" w14:textId="77777777" w:rsidR="007F4A4B" w:rsidRPr="007F4A4B" w:rsidRDefault="007F4A4B" w:rsidP="007F4A4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4A4B">
        <w:rPr>
          <w:lang w:val="fr-FR"/>
        </w:rPr>
        <w:tab/>
      </w:r>
      <w:r w:rsidRPr="007F4A4B">
        <w:rPr>
          <w:lang w:val="fr-FR"/>
        </w:rPr>
        <w:tab/>
        <w:t>Documentation</w:t>
      </w:r>
    </w:p>
    <w:p w14:paraId="0073F03A" w14:textId="77777777" w:rsidR="007F4A4B" w:rsidRPr="007F4A4B" w:rsidRDefault="007F4A4B" w:rsidP="007F4A4B">
      <w:pPr>
        <w:pStyle w:val="SingleTxt"/>
        <w:spacing w:after="0" w:line="120" w:lineRule="exact"/>
        <w:rPr>
          <w:sz w:val="10"/>
          <w:lang w:val="fr-FR"/>
        </w:rPr>
      </w:pPr>
    </w:p>
    <w:p w14:paraId="7AD38E53" w14:textId="13F43982" w:rsidR="007F4A4B" w:rsidRPr="007F4A4B" w:rsidRDefault="007F4A4B" w:rsidP="007F4A4B">
      <w:pPr>
        <w:pStyle w:val="SingleTxt"/>
        <w:rPr>
          <w:lang w:val="fr-FR"/>
        </w:rPr>
      </w:pPr>
      <w:r w:rsidRPr="007F4A4B">
        <w:rPr>
          <w:lang w:val="fr-FR"/>
        </w:rPr>
        <w:t>Ordre du jour provisoire annoté (</w:t>
      </w:r>
      <w:r w:rsidR="00E40AF7" w:rsidRPr="00905A83">
        <w:rPr>
          <w:lang w:val="fr-FR"/>
        </w:rPr>
        <w:t>CEDAW/C/92/1</w:t>
      </w:r>
      <w:r w:rsidRPr="007F4A4B">
        <w:rPr>
          <w:lang w:val="fr-FR"/>
        </w:rPr>
        <w:t>)</w:t>
      </w:r>
      <w:bookmarkStart w:id="1" w:name="bmv0"/>
      <w:bookmarkEnd w:id="1"/>
    </w:p>
    <w:p w14:paraId="2107FB45" w14:textId="77777777" w:rsidR="007F4A4B" w:rsidRPr="007F4A4B" w:rsidRDefault="007F4A4B" w:rsidP="007F4A4B">
      <w:pPr>
        <w:pStyle w:val="SingleTxt"/>
        <w:spacing w:after="0" w:line="120" w:lineRule="exact"/>
        <w:rPr>
          <w:sz w:val="10"/>
          <w:lang w:val="fr-FR"/>
        </w:rPr>
      </w:pPr>
    </w:p>
    <w:p w14:paraId="4A3F417C" w14:textId="698A4768" w:rsidR="007F4A4B" w:rsidRPr="007F4A4B" w:rsidRDefault="007F4A4B" w:rsidP="007F4A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lang w:val="fr-FR"/>
        </w:rPr>
      </w:pPr>
      <w:r>
        <w:rPr>
          <w:lang w:val="fr-FR"/>
        </w:rPr>
        <w:tab/>
      </w:r>
      <w:r w:rsidRPr="007F4A4B">
        <w:rPr>
          <w:lang w:val="fr-FR"/>
        </w:rPr>
        <w:t>4.</w:t>
      </w:r>
      <w:r w:rsidRPr="007F4A4B">
        <w:rPr>
          <w:lang w:val="fr-FR"/>
        </w:rPr>
        <w:tab/>
        <w:t>Examen des rapports soumis par les États Parties en application de l’article 18 de la Convention sur l’élimination de toutes les formes de discrimination à l’égard des femmes</w:t>
      </w:r>
    </w:p>
    <w:p w14:paraId="77C00D75" w14:textId="77777777" w:rsidR="007F4A4B" w:rsidRPr="007F4A4B" w:rsidRDefault="007F4A4B" w:rsidP="007F4A4B">
      <w:pPr>
        <w:pStyle w:val="SingleTxt"/>
        <w:spacing w:after="0" w:line="120" w:lineRule="exact"/>
        <w:rPr>
          <w:sz w:val="10"/>
          <w:lang w:val="fr-FR"/>
        </w:rPr>
      </w:pPr>
    </w:p>
    <w:p w14:paraId="1DD1326C" w14:textId="77777777" w:rsidR="007F4A4B" w:rsidRPr="007F4A4B" w:rsidRDefault="007F4A4B" w:rsidP="007F4A4B">
      <w:pPr>
        <w:pStyle w:val="SingleTxt"/>
        <w:rPr>
          <w:lang w:val="fr-FR"/>
        </w:rPr>
      </w:pPr>
      <w:r w:rsidRPr="007F4A4B">
        <w:rPr>
          <w:lang w:val="fr-FR"/>
        </w:rPr>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7D8828E1" w14:textId="77777777" w:rsidR="007F4A4B" w:rsidRPr="007F4A4B" w:rsidRDefault="007F4A4B" w:rsidP="007F4A4B">
      <w:pPr>
        <w:pStyle w:val="SingleTxt"/>
        <w:rPr>
          <w:lang w:val="fr-FR"/>
        </w:rPr>
      </w:pPr>
      <w:r w:rsidRPr="00905A83">
        <w:rPr>
          <w:w w:val="101"/>
          <w:lang w:val="fr-FR"/>
        </w:rPr>
        <w:t>À sa quatre-vingt-douzième session, le Comité examinera les rapports des États Parties suivants : Argentine, El Salvador, Iraq, Lesotho, Lituanie, Pays-Bas (Royaume des),</w:t>
      </w:r>
      <w:r w:rsidRPr="007F4A4B">
        <w:rPr>
          <w:lang w:val="fr-FR"/>
        </w:rPr>
        <w:t xml:space="preserve"> Tchéquie et Viet Nam.</w:t>
      </w:r>
    </w:p>
    <w:p w14:paraId="6B954329" w14:textId="77777777" w:rsidR="007F4A4B" w:rsidRPr="007F4A4B" w:rsidRDefault="007F4A4B" w:rsidP="007F4A4B">
      <w:pPr>
        <w:pStyle w:val="SingleTxt"/>
        <w:rPr>
          <w:lang w:val="fr-FR"/>
        </w:rPr>
      </w:pPr>
      <w:r w:rsidRPr="007F4A4B">
        <w:rPr>
          <w:lang w:val="fr-FR"/>
        </w:rPr>
        <w:t>Au titre de l’article 51 du règlement intérieur, les États Parties sont représentés aux réunions du Comité au cours desquelles leurs rapports sont examinés ; leurs représentant(e)s participent aux débats et répondent aux questions ayant trait aux rapports.</w:t>
      </w:r>
    </w:p>
    <w:p w14:paraId="583E6CCF" w14:textId="77777777" w:rsidR="007F4A4B" w:rsidRPr="007F4A4B" w:rsidRDefault="007F4A4B" w:rsidP="007F4A4B">
      <w:pPr>
        <w:pStyle w:val="SingleTxt"/>
        <w:rPr>
          <w:lang w:val="fr-FR"/>
        </w:rPr>
      </w:pPr>
      <w:r w:rsidRPr="007F4A4B">
        <w:rPr>
          <w:lang w:val="fr-FR"/>
        </w:rPr>
        <w:t>En application de l’article 49 du règlement intérieur, à chaque session, le Secrétaire général fait savoir au Comité quels sont les États Parties qui n’ont pas soumis les rapports prévus par l’article 18 de la Convention. En outre, il lui fournit périodiquement une liste des rapports soumis par les États Parties, ainsi qu’une liste des rapports soumis par les États Parties qui n’ont pas encore été examinés par le Comité.</w:t>
      </w:r>
    </w:p>
    <w:p w14:paraId="6DE13735" w14:textId="5436C4DC" w:rsidR="007F4A4B" w:rsidRPr="007F4A4B" w:rsidRDefault="007F4A4B" w:rsidP="007F4A4B">
      <w:pPr>
        <w:pStyle w:val="SingleTxt"/>
        <w:rPr>
          <w:lang w:val="fr-FR"/>
        </w:rPr>
      </w:pPr>
      <w:r w:rsidRPr="007F4A4B">
        <w:rPr>
          <w:lang w:val="fr-FR"/>
        </w:rPr>
        <w:t>Avant chaque session, un groupe de travail de présession établit des listes de points et de questions concernant les rapports, qui sont transmises aux États Parties avant les réunions au cours desquelles leurs rapports doivent être examinés. Le groupe de travail de présession de la quatre-vingt-douzième session s’est réuni du 24 au 28 février 2025. Le Comité sera saisi de son rapport (</w:t>
      </w:r>
      <w:hyperlink r:id="rId20" w:history="1">
        <w:r w:rsidRPr="007F4A4B">
          <w:rPr>
            <w:rStyle w:val="Hyperlink"/>
            <w:lang w:val="fr-FR"/>
          </w:rPr>
          <w:t>CEDAW/C/PSWG/92/1</w:t>
        </w:r>
      </w:hyperlink>
      <w:r w:rsidRPr="007F4A4B">
        <w:rPr>
          <w:lang w:val="fr-FR"/>
        </w:rPr>
        <w:t>).</w:t>
      </w:r>
      <w:hyperlink r:id="rId21" w:history="1"/>
    </w:p>
    <w:p w14:paraId="740FEFAD" w14:textId="77777777" w:rsidR="007F4A4B" w:rsidRPr="007F4A4B" w:rsidRDefault="007F4A4B" w:rsidP="007F4A4B">
      <w:pPr>
        <w:pStyle w:val="SingleTxt"/>
        <w:spacing w:after="0" w:line="120" w:lineRule="exact"/>
        <w:rPr>
          <w:sz w:val="10"/>
          <w:lang w:val="fr-FR"/>
        </w:rPr>
      </w:pPr>
    </w:p>
    <w:p w14:paraId="226AB0C4" w14:textId="77777777" w:rsidR="007F4A4B" w:rsidRPr="007F4A4B" w:rsidRDefault="007F4A4B" w:rsidP="007F4A4B">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4A4B">
        <w:rPr>
          <w:lang w:val="fr-FR"/>
        </w:rPr>
        <w:lastRenderedPageBreak/>
        <w:tab/>
      </w:r>
      <w:r w:rsidRPr="007F4A4B">
        <w:rPr>
          <w:lang w:val="fr-FR"/>
        </w:rPr>
        <w:tab/>
        <w:t>Documentation</w:t>
      </w:r>
    </w:p>
    <w:p w14:paraId="720C1ED9" w14:textId="77777777" w:rsidR="007F4A4B" w:rsidRPr="007F4A4B" w:rsidRDefault="007F4A4B" w:rsidP="007F4A4B">
      <w:pPr>
        <w:pStyle w:val="SingleTxt"/>
        <w:keepNext/>
        <w:spacing w:after="0" w:line="120" w:lineRule="exact"/>
        <w:rPr>
          <w:sz w:val="10"/>
          <w:lang w:val="fr-FR"/>
        </w:rPr>
      </w:pPr>
    </w:p>
    <w:p w14:paraId="56086E41" w14:textId="77777777" w:rsidR="007F4A4B" w:rsidRPr="007F4A4B" w:rsidRDefault="007F4A4B" w:rsidP="007F4A4B">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4A4B">
        <w:rPr>
          <w:lang w:val="fr-FR"/>
        </w:rPr>
        <w:tab/>
      </w:r>
      <w:r w:rsidRPr="007F4A4B">
        <w:rPr>
          <w:lang w:val="fr-FR"/>
        </w:rPr>
        <w:tab/>
        <w:t>Rapports</w:t>
      </w:r>
    </w:p>
    <w:p w14:paraId="1C7AA488" w14:textId="77777777" w:rsidR="007F4A4B" w:rsidRPr="007F4A4B" w:rsidRDefault="007F4A4B" w:rsidP="007F4A4B">
      <w:pPr>
        <w:pStyle w:val="SingleTxt"/>
        <w:keepNext/>
        <w:spacing w:after="0" w:line="120" w:lineRule="exact"/>
        <w:rPr>
          <w:sz w:val="10"/>
          <w:lang w:val="fr-FR"/>
        </w:rPr>
      </w:pPr>
    </w:p>
    <w:p w14:paraId="2806C4FB" w14:textId="5DF26FAB" w:rsidR="007F4A4B" w:rsidRPr="007F4A4B" w:rsidRDefault="007F4A4B" w:rsidP="007F4A4B">
      <w:pPr>
        <w:pStyle w:val="SingleTxt"/>
        <w:keepNext/>
        <w:rPr>
          <w:lang w:val="fr-FR"/>
        </w:rPr>
      </w:pPr>
      <w:r w:rsidRPr="007F4A4B">
        <w:rPr>
          <w:lang w:val="fr-FR"/>
        </w:rPr>
        <w:t>Huitième rapport périodique de l’Argentine, soumis selon la procédure simplifiée d’établissement des rapports (</w:t>
      </w:r>
      <w:hyperlink r:id="rId22" w:history="1">
        <w:r w:rsidRPr="007F4A4B">
          <w:rPr>
            <w:rStyle w:val="Hyperlink"/>
            <w:lang w:val="fr-FR"/>
          </w:rPr>
          <w:t>CEDAW/C/ARG/8</w:t>
        </w:r>
      </w:hyperlink>
      <w:r w:rsidRPr="007F4A4B">
        <w:rPr>
          <w:lang w:val="fr-FR"/>
        </w:rPr>
        <w:t>)</w:t>
      </w:r>
    </w:p>
    <w:p w14:paraId="26BFA747" w14:textId="3E96D101" w:rsidR="007F4A4B" w:rsidRPr="007F4A4B" w:rsidRDefault="007F4A4B" w:rsidP="007F4A4B">
      <w:pPr>
        <w:pStyle w:val="SingleTxt"/>
        <w:rPr>
          <w:lang w:val="fr-FR"/>
        </w:rPr>
      </w:pPr>
      <w:r w:rsidRPr="007F4A4B">
        <w:rPr>
          <w:lang w:val="fr-FR"/>
        </w:rPr>
        <w:t>Dixième rapport périodique d’El Salvador (</w:t>
      </w:r>
      <w:hyperlink r:id="rId23" w:history="1">
        <w:r w:rsidRPr="007F4A4B">
          <w:rPr>
            <w:rStyle w:val="Hyperlink"/>
            <w:lang w:val="fr-FR"/>
          </w:rPr>
          <w:t>CEDAW/C/SLV/10</w:t>
        </w:r>
      </w:hyperlink>
      <w:r w:rsidRPr="007F4A4B">
        <w:rPr>
          <w:lang w:val="fr-FR"/>
        </w:rPr>
        <w:t>)</w:t>
      </w:r>
      <w:hyperlink r:id="rId24" w:history="1"/>
    </w:p>
    <w:p w14:paraId="21811D52" w14:textId="536409AC" w:rsidR="007F4A4B" w:rsidRPr="007F4A4B" w:rsidRDefault="007F4A4B" w:rsidP="007F4A4B">
      <w:pPr>
        <w:pStyle w:val="SingleTxt"/>
        <w:rPr>
          <w:lang w:val="fr-FR"/>
        </w:rPr>
      </w:pPr>
      <w:r w:rsidRPr="007F4A4B">
        <w:rPr>
          <w:lang w:val="fr-FR"/>
        </w:rPr>
        <w:t>Huitième rapport périodique de l’Iraq (</w:t>
      </w:r>
      <w:hyperlink r:id="rId25" w:history="1">
        <w:r w:rsidRPr="007F4A4B">
          <w:rPr>
            <w:rStyle w:val="Hyperlink"/>
            <w:lang w:val="fr-FR"/>
          </w:rPr>
          <w:t>CEDAW/C/IRQ/8</w:t>
        </w:r>
      </w:hyperlink>
      <w:r w:rsidRPr="007F4A4B">
        <w:rPr>
          <w:lang w:val="fr-FR"/>
        </w:rPr>
        <w:t>)</w:t>
      </w:r>
      <w:hyperlink r:id="rId26" w:history="1"/>
    </w:p>
    <w:p w14:paraId="714E940D" w14:textId="10E57A84" w:rsidR="007F4A4B" w:rsidRPr="007F4A4B" w:rsidRDefault="007F4A4B" w:rsidP="007F4A4B">
      <w:pPr>
        <w:pStyle w:val="SingleTxt"/>
        <w:rPr>
          <w:spacing w:val="-2"/>
          <w:w w:val="101"/>
          <w:lang w:val="fr-FR"/>
        </w:rPr>
      </w:pPr>
      <w:r w:rsidRPr="007F4A4B">
        <w:rPr>
          <w:spacing w:val="-2"/>
          <w:w w:val="101"/>
          <w:lang w:val="fr-FR"/>
        </w:rPr>
        <w:t>Rapport du Lesotho valant cinquième à septième rapports périodiques (</w:t>
      </w:r>
      <w:hyperlink r:id="rId27" w:history="1">
        <w:r w:rsidRPr="007F4A4B">
          <w:rPr>
            <w:rStyle w:val="Hyperlink"/>
            <w:spacing w:val="-2"/>
            <w:w w:val="101"/>
            <w:lang w:val="fr-FR"/>
          </w:rPr>
          <w:t>CEDAW/C/LSO/5-7</w:t>
        </w:r>
      </w:hyperlink>
      <w:r w:rsidRPr="007F4A4B">
        <w:rPr>
          <w:spacing w:val="-2"/>
          <w:w w:val="101"/>
          <w:lang w:val="fr-FR"/>
        </w:rPr>
        <w:t>)</w:t>
      </w:r>
      <w:hyperlink r:id="rId28" w:history="1"/>
    </w:p>
    <w:p w14:paraId="6E929894" w14:textId="674915E7" w:rsidR="007F4A4B" w:rsidRPr="007F4A4B" w:rsidRDefault="007F4A4B" w:rsidP="007F4A4B">
      <w:pPr>
        <w:pStyle w:val="SingleTxt"/>
        <w:rPr>
          <w:lang w:val="fr-FR"/>
        </w:rPr>
      </w:pPr>
      <w:r w:rsidRPr="007F4A4B">
        <w:rPr>
          <w:lang w:val="fr-FR"/>
        </w:rPr>
        <w:t>Septième rapport périodique de la Lituanie (</w:t>
      </w:r>
      <w:hyperlink r:id="rId29" w:history="1">
        <w:r w:rsidRPr="007F4A4B">
          <w:rPr>
            <w:rStyle w:val="Hyperlink"/>
            <w:lang w:val="fr-FR"/>
          </w:rPr>
          <w:t>CEDAW/C/LTU/7</w:t>
        </w:r>
      </w:hyperlink>
      <w:r w:rsidRPr="007F4A4B">
        <w:rPr>
          <w:lang w:val="fr-FR"/>
        </w:rPr>
        <w:t>)</w:t>
      </w:r>
      <w:hyperlink r:id="rId30" w:history="1"/>
    </w:p>
    <w:p w14:paraId="08F4484D" w14:textId="7E238D4F" w:rsidR="007F4A4B" w:rsidRPr="007F4A4B" w:rsidRDefault="007F4A4B" w:rsidP="007F4A4B">
      <w:pPr>
        <w:pStyle w:val="SingleTxt"/>
        <w:rPr>
          <w:lang w:val="fr-FR"/>
        </w:rPr>
      </w:pPr>
      <w:r w:rsidRPr="007F4A4B">
        <w:rPr>
          <w:lang w:val="fr-FR"/>
        </w:rPr>
        <w:t>Septième rapport périodique du Royaume des Pays-Bas, soumis selon la procédure simplifiée d’établissement des rapports (</w:t>
      </w:r>
      <w:hyperlink r:id="rId31" w:history="1">
        <w:r w:rsidRPr="007F4A4B">
          <w:rPr>
            <w:rStyle w:val="Hyperlink"/>
            <w:lang w:val="fr-FR"/>
          </w:rPr>
          <w:t>CEDAW/C/NLD/7</w:t>
        </w:r>
      </w:hyperlink>
      <w:r w:rsidRPr="007F4A4B">
        <w:rPr>
          <w:lang w:val="fr-FR"/>
        </w:rPr>
        <w:t>)</w:t>
      </w:r>
      <w:hyperlink r:id="rId32" w:history="1"/>
    </w:p>
    <w:p w14:paraId="1E86600E" w14:textId="550AEB9C" w:rsidR="007F4A4B" w:rsidRPr="007F4A4B" w:rsidRDefault="007F4A4B" w:rsidP="007F4A4B">
      <w:pPr>
        <w:pStyle w:val="SingleTxt"/>
        <w:rPr>
          <w:lang w:val="fr-FR"/>
        </w:rPr>
      </w:pPr>
      <w:r w:rsidRPr="007F4A4B">
        <w:rPr>
          <w:lang w:val="fr-FR"/>
        </w:rPr>
        <w:t>Septième rapport périodique de la Tchéquie (</w:t>
      </w:r>
      <w:hyperlink r:id="rId33" w:history="1">
        <w:r w:rsidRPr="007F4A4B">
          <w:rPr>
            <w:rStyle w:val="Hyperlink"/>
            <w:lang w:val="fr-FR"/>
          </w:rPr>
          <w:t>CEDAW/C/CZE/7</w:t>
        </w:r>
      </w:hyperlink>
      <w:r w:rsidRPr="007F4A4B">
        <w:rPr>
          <w:lang w:val="fr-FR"/>
        </w:rPr>
        <w:t>)</w:t>
      </w:r>
      <w:hyperlink r:id="rId34" w:history="1"/>
    </w:p>
    <w:p w14:paraId="241FC7C3" w14:textId="304DE239" w:rsidR="007F4A4B" w:rsidRPr="007F4A4B" w:rsidRDefault="007F4A4B" w:rsidP="007F4A4B">
      <w:pPr>
        <w:pStyle w:val="SingleTxt"/>
        <w:rPr>
          <w:lang w:val="fr-FR"/>
        </w:rPr>
      </w:pPr>
      <w:r w:rsidRPr="007F4A4B">
        <w:rPr>
          <w:lang w:val="fr-FR"/>
        </w:rPr>
        <w:t>Neuvième rapport périodique du Viet Nam (</w:t>
      </w:r>
      <w:hyperlink r:id="rId35" w:history="1">
        <w:r w:rsidRPr="007F4A4B">
          <w:rPr>
            <w:rStyle w:val="Hyperlink"/>
            <w:lang w:val="fr-FR"/>
          </w:rPr>
          <w:t>CEDAW/C/VNM/9</w:t>
        </w:r>
      </w:hyperlink>
      <w:r w:rsidRPr="007F4A4B">
        <w:rPr>
          <w:lang w:val="fr-FR"/>
        </w:rPr>
        <w:t>)</w:t>
      </w:r>
      <w:hyperlink r:id="rId36" w:history="1"/>
    </w:p>
    <w:p w14:paraId="723F5309" w14:textId="77777777" w:rsidR="007F4A4B" w:rsidRPr="00AE5C84" w:rsidRDefault="007F4A4B" w:rsidP="00AE5C84">
      <w:pPr>
        <w:pStyle w:val="SingleTxt"/>
        <w:spacing w:after="0" w:line="120" w:lineRule="exact"/>
        <w:rPr>
          <w:sz w:val="10"/>
          <w:lang w:val="fr-FR"/>
        </w:rPr>
      </w:pPr>
    </w:p>
    <w:p w14:paraId="02618040" w14:textId="77777777" w:rsidR="007F4A4B" w:rsidRPr="007F4A4B" w:rsidRDefault="007F4A4B" w:rsidP="00AE5C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4A4B">
        <w:rPr>
          <w:lang w:val="fr-FR"/>
        </w:rPr>
        <w:tab/>
      </w:r>
      <w:r w:rsidRPr="007F4A4B">
        <w:rPr>
          <w:lang w:val="fr-FR"/>
        </w:rPr>
        <w:tab/>
        <w:t>Listes de points et de questions</w:t>
      </w:r>
    </w:p>
    <w:p w14:paraId="7181D404" w14:textId="77777777" w:rsidR="007F4A4B" w:rsidRPr="00AE5C84" w:rsidRDefault="007F4A4B" w:rsidP="00AE5C84">
      <w:pPr>
        <w:pStyle w:val="SingleTxt"/>
        <w:spacing w:after="0" w:line="120" w:lineRule="exact"/>
        <w:rPr>
          <w:sz w:val="10"/>
          <w:lang w:val="fr-FR"/>
        </w:rPr>
      </w:pPr>
    </w:p>
    <w:p w14:paraId="1CAF8336" w14:textId="7B9058F7" w:rsidR="007F4A4B" w:rsidRPr="007F4A4B" w:rsidRDefault="007F4A4B" w:rsidP="007F4A4B">
      <w:pPr>
        <w:pStyle w:val="SingleTxt"/>
        <w:rPr>
          <w:lang w:val="fr-FR"/>
        </w:rPr>
      </w:pPr>
      <w:r w:rsidRPr="007F4A4B">
        <w:rPr>
          <w:lang w:val="fr-FR"/>
        </w:rPr>
        <w:t>Argentine (</w:t>
      </w:r>
      <w:hyperlink r:id="rId37" w:history="1">
        <w:r w:rsidRPr="007F4A4B">
          <w:rPr>
            <w:rStyle w:val="Hyperlink"/>
            <w:lang w:val="fr-FR"/>
          </w:rPr>
          <w:t>CEDAW/C/ARG/QPR/8</w:t>
        </w:r>
      </w:hyperlink>
      <w:r w:rsidRPr="007F4A4B">
        <w:rPr>
          <w:lang w:val="fr-FR"/>
        </w:rPr>
        <w:t>)</w:t>
      </w:r>
      <w:bookmarkStart w:id="2" w:name="bmv10"/>
      <w:bookmarkEnd w:id="2"/>
    </w:p>
    <w:p w14:paraId="14496C70" w14:textId="0CEBFCD0" w:rsidR="007F4A4B" w:rsidRPr="007F4A4B" w:rsidRDefault="007F4A4B" w:rsidP="007F4A4B">
      <w:pPr>
        <w:pStyle w:val="SingleTxt"/>
        <w:rPr>
          <w:lang w:val="fr-FR"/>
        </w:rPr>
      </w:pPr>
      <w:r w:rsidRPr="007F4A4B">
        <w:rPr>
          <w:lang w:val="fr-FR"/>
        </w:rPr>
        <w:t>El Salvador (</w:t>
      </w:r>
      <w:hyperlink r:id="rId38" w:history="1">
        <w:r w:rsidRPr="007F4A4B">
          <w:rPr>
            <w:rStyle w:val="Hyperlink"/>
            <w:lang w:val="fr-FR"/>
          </w:rPr>
          <w:t>CEDAW/C/SLV/Q/10</w:t>
        </w:r>
      </w:hyperlink>
      <w:r w:rsidRPr="007F4A4B">
        <w:rPr>
          <w:lang w:val="fr-FR"/>
        </w:rPr>
        <w:t>)</w:t>
      </w:r>
      <w:hyperlink r:id="rId39" w:history="1"/>
    </w:p>
    <w:p w14:paraId="5FD1B28B" w14:textId="0B46364C" w:rsidR="007F4A4B" w:rsidRPr="007F4A4B" w:rsidRDefault="007F4A4B" w:rsidP="007F4A4B">
      <w:pPr>
        <w:pStyle w:val="SingleTxt"/>
        <w:rPr>
          <w:lang w:val="fr-FR"/>
        </w:rPr>
      </w:pPr>
      <w:r w:rsidRPr="007F4A4B">
        <w:rPr>
          <w:lang w:val="fr-FR"/>
        </w:rPr>
        <w:t>Iraq (</w:t>
      </w:r>
      <w:hyperlink r:id="rId40" w:history="1">
        <w:r w:rsidRPr="007F4A4B">
          <w:rPr>
            <w:rStyle w:val="Hyperlink"/>
            <w:lang w:val="fr-FR"/>
          </w:rPr>
          <w:t>CEDAW/C/IRQ/Q/8</w:t>
        </w:r>
      </w:hyperlink>
      <w:r w:rsidRPr="007F4A4B">
        <w:rPr>
          <w:lang w:val="fr-FR"/>
        </w:rPr>
        <w:t>)</w:t>
      </w:r>
      <w:hyperlink r:id="rId41" w:history="1"/>
    </w:p>
    <w:p w14:paraId="0ABB5EA2" w14:textId="5DA7C2C3" w:rsidR="007F4A4B" w:rsidRPr="007F4A4B" w:rsidRDefault="007F4A4B" w:rsidP="007F4A4B">
      <w:pPr>
        <w:pStyle w:val="SingleTxt"/>
        <w:rPr>
          <w:lang w:val="fr-FR"/>
        </w:rPr>
      </w:pPr>
      <w:r w:rsidRPr="007F4A4B">
        <w:rPr>
          <w:lang w:val="fr-FR"/>
        </w:rPr>
        <w:t>Lesotho (</w:t>
      </w:r>
      <w:hyperlink r:id="rId42" w:history="1">
        <w:r w:rsidRPr="007F4A4B">
          <w:rPr>
            <w:rStyle w:val="Hyperlink"/>
            <w:lang w:val="fr-FR"/>
          </w:rPr>
          <w:t>CEDAW/C/LSO/Q/5-7</w:t>
        </w:r>
      </w:hyperlink>
      <w:r w:rsidRPr="007F4A4B">
        <w:rPr>
          <w:lang w:val="fr-FR"/>
        </w:rPr>
        <w:t>)</w:t>
      </w:r>
      <w:hyperlink r:id="rId43" w:history="1"/>
    </w:p>
    <w:p w14:paraId="512A220D" w14:textId="52FF2834" w:rsidR="007F4A4B" w:rsidRPr="007F4A4B" w:rsidRDefault="007F4A4B" w:rsidP="007F4A4B">
      <w:pPr>
        <w:pStyle w:val="SingleTxt"/>
        <w:rPr>
          <w:lang w:val="fr-FR"/>
        </w:rPr>
      </w:pPr>
      <w:r w:rsidRPr="007F4A4B">
        <w:rPr>
          <w:lang w:val="fr-FR"/>
        </w:rPr>
        <w:t>Lituanie (</w:t>
      </w:r>
      <w:hyperlink r:id="rId44" w:history="1">
        <w:r w:rsidRPr="007F4A4B">
          <w:rPr>
            <w:rStyle w:val="Hyperlink"/>
            <w:lang w:val="fr-FR"/>
          </w:rPr>
          <w:t>CEDAW/C/LTU/Q/7</w:t>
        </w:r>
      </w:hyperlink>
      <w:r w:rsidRPr="007F4A4B">
        <w:rPr>
          <w:lang w:val="fr-FR"/>
        </w:rPr>
        <w:t>)</w:t>
      </w:r>
      <w:hyperlink r:id="rId45" w:history="1"/>
    </w:p>
    <w:p w14:paraId="58692536" w14:textId="693C3279" w:rsidR="007F4A4B" w:rsidRPr="007F4A4B" w:rsidRDefault="007F4A4B" w:rsidP="007F4A4B">
      <w:pPr>
        <w:pStyle w:val="SingleTxt"/>
        <w:rPr>
          <w:lang w:val="fr-FR"/>
        </w:rPr>
      </w:pPr>
      <w:r w:rsidRPr="007F4A4B">
        <w:rPr>
          <w:lang w:val="fr-FR"/>
        </w:rPr>
        <w:t>Pays-Bas (Royaume des) (</w:t>
      </w:r>
      <w:hyperlink r:id="rId46" w:history="1">
        <w:r w:rsidRPr="007F4A4B">
          <w:rPr>
            <w:rStyle w:val="Hyperlink"/>
            <w:lang w:val="fr-FR"/>
          </w:rPr>
          <w:t>CEDAW/C/NLD/QPR/7</w:t>
        </w:r>
      </w:hyperlink>
      <w:r w:rsidRPr="007F4A4B">
        <w:rPr>
          <w:lang w:val="fr-FR"/>
        </w:rPr>
        <w:t>)</w:t>
      </w:r>
      <w:hyperlink r:id="rId47" w:history="1"/>
    </w:p>
    <w:p w14:paraId="54C57650" w14:textId="2965D756" w:rsidR="007F4A4B" w:rsidRPr="007F4A4B" w:rsidRDefault="007F4A4B" w:rsidP="007F4A4B">
      <w:pPr>
        <w:pStyle w:val="SingleTxt"/>
        <w:rPr>
          <w:lang w:val="fr-FR"/>
        </w:rPr>
      </w:pPr>
      <w:r w:rsidRPr="007F4A4B">
        <w:rPr>
          <w:lang w:val="fr-FR"/>
        </w:rPr>
        <w:t>Tchéquie (</w:t>
      </w:r>
      <w:hyperlink r:id="rId48" w:history="1">
        <w:r w:rsidRPr="007F4A4B">
          <w:rPr>
            <w:rStyle w:val="Hyperlink"/>
            <w:lang w:val="fr-FR"/>
          </w:rPr>
          <w:t>CEDAW/C/CZE/Q/7</w:t>
        </w:r>
      </w:hyperlink>
      <w:r w:rsidRPr="007F4A4B">
        <w:rPr>
          <w:lang w:val="fr-FR"/>
        </w:rPr>
        <w:t>)</w:t>
      </w:r>
      <w:hyperlink r:id="rId49" w:history="1"/>
    </w:p>
    <w:p w14:paraId="3658B1E8" w14:textId="50A37282" w:rsidR="007F4A4B" w:rsidRPr="007F4A4B" w:rsidRDefault="007F4A4B" w:rsidP="007F4A4B">
      <w:pPr>
        <w:pStyle w:val="SingleTxt"/>
        <w:rPr>
          <w:lang w:val="en-GB"/>
        </w:rPr>
      </w:pPr>
      <w:r w:rsidRPr="007F4A4B">
        <w:rPr>
          <w:lang w:val="en-US"/>
        </w:rPr>
        <w:t>Viet Nam (</w:t>
      </w:r>
      <w:hyperlink r:id="rId50" w:history="1">
        <w:r w:rsidRPr="007F4A4B">
          <w:rPr>
            <w:rStyle w:val="Hyperlink"/>
            <w:lang w:val="en-US"/>
          </w:rPr>
          <w:t>CEDAW/C/VNM/Q/9</w:t>
        </w:r>
      </w:hyperlink>
      <w:r w:rsidRPr="007F4A4B">
        <w:rPr>
          <w:lang w:val="en-US"/>
        </w:rPr>
        <w:t>)</w:t>
      </w:r>
      <w:hyperlink r:id="rId51" w:history="1"/>
    </w:p>
    <w:p w14:paraId="03ADD8C4" w14:textId="77777777" w:rsidR="007F4A4B" w:rsidRPr="00AE5C84" w:rsidRDefault="007F4A4B" w:rsidP="00AE5C84">
      <w:pPr>
        <w:pStyle w:val="SingleTxt"/>
        <w:spacing w:after="0" w:line="120" w:lineRule="exact"/>
        <w:rPr>
          <w:sz w:val="10"/>
          <w:lang w:val="en-US"/>
        </w:rPr>
      </w:pPr>
    </w:p>
    <w:p w14:paraId="3F61959E" w14:textId="77777777" w:rsidR="007F4A4B" w:rsidRPr="007F4A4B" w:rsidRDefault="007F4A4B" w:rsidP="00AE5C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4A4B">
        <w:rPr>
          <w:lang w:val="en-US"/>
        </w:rPr>
        <w:tab/>
      </w:r>
      <w:r w:rsidRPr="007F4A4B">
        <w:rPr>
          <w:lang w:val="en-US"/>
        </w:rPr>
        <w:tab/>
      </w:r>
      <w:r w:rsidRPr="007F4A4B">
        <w:rPr>
          <w:lang w:val="fr-FR"/>
        </w:rPr>
        <w:t>Réponses aux listes de points et de questions</w:t>
      </w:r>
    </w:p>
    <w:p w14:paraId="1DB5B401" w14:textId="77777777" w:rsidR="007F4A4B" w:rsidRPr="00AE5C84" w:rsidRDefault="007F4A4B" w:rsidP="00AE5C84">
      <w:pPr>
        <w:pStyle w:val="SingleTxt"/>
        <w:spacing w:after="0" w:line="120" w:lineRule="exact"/>
        <w:rPr>
          <w:sz w:val="10"/>
          <w:lang w:val="fr-FR"/>
        </w:rPr>
      </w:pPr>
    </w:p>
    <w:p w14:paraId="5EC74987" w14:textId="0DB11165" w:rsidR="007F4A4B" w:rsidRPr="007F4A4B" w:rsidRDefault="007F4A4B" w:rsidP="007F4A4B">
      <w:pPr>
        <w:pStyle w:val="SingleTxt"/>
        <w:rPr>
          <w:lang w:val="es-ES"/>
        </w:rPr>
      </w:pPr>
      <w:r w:rsidRPr="007F4A4B">
        <w:rPr>
          <w:lang w:val="es-ES"/>
        </w:rPr>
        <w:t>El Salvador (</w:t>
      </w:r>
      <w:hyperlink r:id="rId52" w:history="1">
        <w:r w:rsidRPr="007F4A4B">
          <w:rPr>
            <w:rStyle w:val="Hyperlink"/>
            <w:lang w:val="es-ES"/>
          </w:rPr>
          <w:t>CEDAW/C/SLV/RQ/10</w:t>
        </w:r>
      </w:hyperlink>
      <w:r w:rsidRPr="007F4A4B">
        <w:rPr>
          <w:lang w:val="es-ES"/>
        </w:rPr>
        <w:t>)</w:t>
      </w:r>
      <w:hyperlink r:id="rId53" w:history="1"/>
    </w:p>
    <w:p w14:paraId="1E5C9E9B" w14:textId="605BA3DC" w:rsidR="007F4A4B" w:rsidRPr="007F4A4B" w:rsidRDefault="007F4A4B" w:rsidP="007F4A4B">
      <w:pPr>
        <w:pStyle w:val="SingleTxt"/>
        <w:rPr>
          <w:lang w:val="pt-PT"/>
        </w:rPr>
      </w:pPr>
      <w:r w:rsidRPr="007F4A4B">
        <w:rPr>
          <w:lang w:val="pt-PT"/>
        </w:rPr>
        <w:t>Iraq (</w:t>
      </w:r>
      <w:hyperlink r:id="rId54" w:history="1">
        <w:r w:rsidRPr="007F4A4B">
          <w:rPr>
            <w:rStyle w:val="Hyperlink"/>
            <w:lang w:val="pt-PT"/>
          </w:rPr>
          <w:t>CEDAW/C/IRQ/RQ/8</w:t>
        </w:r>
      </w:hyperlink>
      <w:r w:rsidRPr="007F4A4B">
        <w:rPr>
          <w:lang w:val="pt-PT"/>
        </w:rPr>
        <w:t>)</w:t>
      </w:r>
    </w:p>
    <w:p w14:paraId="623D5CA0" w14:textId="36AA26E2" w:rsidR="007F4A4B" w:rsidRPr="007F4A4B" w:rsidRDefault="007F4A4B" w:rsidP="007F4A4B">
      <w:pPr>
        <w:pStyle w:val="SingleTxt"/>
        <w:rPr>
          <w:lang w:val="pt-PT"/>
        </w:rPr>
      </w:pPr>
      <w:r w:rsidRPr="007F4A4B">
        <w:rPr>
          <w:lang w:val="pt-PT"/>
        </w:rPr>
        <w:t>Lesotho (</w:t>
      </w:r>
      <w:hyperlink r:id="rId55" w:history="1">
        <w:r w:rsidRPr="007F4A4B">
          <w:rPr>
            <w:rStyle w:val="Hyperlink"/>
            <w:lang w:val="pt-PT"/>
          </w:rPr>
          <w:t>CEDAW/C/LSO/RQ/5-7</w:t>
        </w:r>
      </w:hyperlink>
      <w:r w:rsidRPr="007F4A4B">
        <w:rPr>
          <w:lang w:val="pt-PT"/>
        </w:rPr>
        <w:t>)</w:t>
      </w:r>
      <w:hyperlink r:id="rId56" w:history="1"/>
    </w:p>
    <w:p w14:paraId="6717486E" w14:textId="38A27E86" w:rsidR="007F4A4B" w:rsidRPr="007F4A4B" w:rsidRDefault="007F4A4B" w:rsidP="007F4A4B">
      <w:pPr>
        <w:pStyle w:val="SingleTxt"/>
        <w:rPr>
          <w:lang w:val="pt-PT"/>
        </w:rPr>
      </w:pPr>
      <w:r w:rsidRPr="007F4A4B">
        <w:rPr>
          <w:lang w:val="pt-PT"/>
        </w:rPr>
        <w:t>Lituanie (</w:t>
      </w:r>
      <w:hyperlink r:id="rId57" w:history="1">
        <w:r w:rsidRPr="007F4A4B">
          <w:rPr>
            <w:rStyle w:val="Hyperlink"/>
            <w:lang w:val="pt-PT"/>
          </w:rPr>
          <w:t>CEDAW/C/LTU/RQ/7</w:t>
        </w:r>
      </w:hyperlink>
      <w:r w:rsidRPr="007F4A4B">
        <w:rPr>
          <w:lang w:val="pt-PT"/>
        </w:rPr>
        <w:t>)</w:t>
      </w:r>
    </w:p>
    <w:p w14:paraId="034289CB" w14:textId="78577BA4" w:rsidR="007F4A4B" w:rsidRPr="007F4A4B" w:rsidRDefault="007F4A4B" w:rsidP="007F4A4B">
      <w:pPr>
        <w:pStyle w:val="SingleTxt"/>
        <w:rPr>
          <w:lang w:val="pt-PT"/>
        </w:rPr>
      </w:pPr>
      <w:r w:rsidRPr="007F4A4B">
        <w:rPr>
          <w:lang w:val="pt-PT"/>
        </w:rPr>
        <w:t>Tchéquie (</w:t>
      </w:r>
      <w:hyperlink r:id="rId58" w:history="1">
        <w:r w:rsidRPr="007F4A4B">
          <w:rPr>
            <w:rStyle w:val="Hyperlink"/>
            <w:lang w:val="pt-PT"/>
          </w:rPr>
          <w:t>CEDAW/C/CZE/RQ/7</w:t>
        </w:r>
      </w:hyperlink>
      <w:r w:rsidRPr="007F4A4B">
        <w:rPr>
          <w:lang w:val="pt-PT"/>
        </w:rPr>
        <w:t>)</w:t>
      </w:r>
      <w:bookmarkStart w:id="3" w:name="bmv18"/>
      <w:bookmarkEnd w:id="3"/>
      <w:r w:rsidRPr="007F4A4B">
        <w:rPr>
          <w:lang w:val="en-GB"/>
        </w:rPr>
        <w:fldChar w:fldCharType="begin"/>
      </w:r>
      <w:r w:rsidRPr="007F4A4B">
        <w:rPr>
          <w:lang w:val="pt-PT"/>
        </w:rPr>
        <w:instrText>HYPERLINK "https://undocs.org/en/CEDAW/C/TCD/RQ/5"</w:instrText>
      </w:r>
      <w:r w:rsidRPr="007F4A4B">
        <w:rPr>
          <w:lang w:val="en-GB"/>
        </w:rPr>
      </w:r>
      <w:r w:rsidRPr="007F4A4B">
        <w:rPr>
          <w:lang w:val="en-GB"/>
        </w:rPr>
        <w:fldChar w:fldCharType="separate"/>
      </w:r>
      <w:r w:rsidRPr="007F4A4B">
        <w:fldChar w:fldCharType="end"/>
      </w:r>
    </w:p>
    <w:p w14:paraId="2AACDE74" w14:textId="4CDCAD07" w:rsidR="007F4A4B" w:rsidRPr="007F4A4B" w:rsidRDefault="007F4A4B" w:rsidP="007F4A4B">
      <w:pPr>
        <w:pStyle w:val="SingleTxt"/>
        <w:rPr>
          <w:lang w:val="en-GB"/>
        </w:rPr>
      </w:pPr>
      <w:r w:rsidRPr="007F4A4B">
        <w:rPr>
          <w:lang w:val="en-US"/>
        </w:rPr>
        <w:t>Viet Nam (</w:t>
      </w:r>
      <w:hyperlink r:id="rId59" w:history="1">
        <w:r w:rsidRPr="007F4A4B">
          <w:rPr>
            <w:rStyle w:val="Hyperlink"/>
            <w:lang w:val="en-US"/>
          </w:rPr>
          <w:t>CEDAW/C/VNM/RQ/9</w:t>
        </w:r>
      </w:hyperlink>
      <w:r w:rsidRPr="007F4A4B">
        <w:rPr>
          <w:lang w:val="en-US"/>
        </w:rPr>
        <w:t>)</w:t>
      </w:r>
      <w:hyperlink r:id="rId60" w:history="1"/>
    </w:p>
    <w:p w14:paraId="44DEDA57" w14:textId="77777777" w:rsidR="007F4A4B" w:rsidRPr="00AE5C84" w:rsidRDefault="007F4A4B" w:rsidP="00AE5C84">
      <w:pPr>
        <w:pStyle w:val="SingleTxt"/>
        <w:spacing w:after="0" w:line="120" w:lineRule="exact"/>
        <w:rPr>
          <w:sz w:val="10"/>
          <w:lang w:val="en-GB"/>
        </w:rPr>
      </w:pPr>
    </w:p>
    <w:p w14:paraId="346B100D" w14:textId="7F5455EB" w:rsidR="007F4A4B" w:rsidRPr="007F4A4B" w:rsidRDefault="00AE5C84" w:rsidP="00AE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A4EEF">
        <w:rPr>
          <w:lang w:val="en-US"/>
        </w:rPr>
        <w:tab/>
      </w:r>
      <w:r w:rsidR="007F4A4B" w:rsidRPr="007F4A4B">
        <w:rPr>
          <w:lang w:val="fr-FR"/>
        </w:rPr>
        <w:t>5.</w:t>
      </w:r>
      <w:r w:rsidR="007F4A4B" w:rsidRPr="007F4A4B">
        <w:rPr>
          <w:lang w:val="fr-FR"/>
        </w:rPr>
        <w:tab/>
        <w:t>Suite donnée à l’examen des rapports soumis par les États Parties en application de l’article 18 de la Convention</w:t>
      </w:r>
    </w:p>
    <w:p w14:paraId="0A539167" w14:textId="77777777" w:rsidR="007F4A4B" w:rsidRPr="00AE5C84" w:rsidRDefault="007F4A4B" w:rsidP="00AE5C84">
      <w:pPr>
        <w:pStyle w:val="SingleTxt"/>
        <w:spacing w:after="0" w:line="120" w:lineRule="exact"/>
        <w:rPr>
          <w:sz w:val="10"/>
          <w:lang w:val="fr-FR"/>
        </w:rPr>
      </w:pPr>
    </w:p>
    <w:p w14:paraId="42FDC541" w14:textId="77777777" w:rsidR="007F4A4B" w:rsidRPr="007F4A4B" w:rsidRDefault="007F4A4B" w:rsidP="007F4A4B">
      <w:pPr>
        <w:pStyle w:val="SingleTxt"/>
        <w:rPr>
          <w:lang w:val="fr-FR"/>
        </w:rPr>
      </w:pPr>
      <w:r w:rsidRPr="007F4A4B">
        <w:rPr>
          <w:lang w:val="fr-FR"/>
        </w:rPr>
        <w:t>Le Comité examinera les questions se rapportant à la suite donnée à ses observations finales.</w:t>
      </w:r>
    </w:p>
    <w:p w14:paraId="1C85283B" w14:textId="77777777" w:rsidR="007F4A4B" w:rsidRPr="00AE5C84" w:rsidRDefault="007F4A4B" w:rsidP="00AE5C84">
      <w:pPr>
        <w:pStyle w:val="SingleTxt"/>
        <w:spacing w:after="0" w:line="120" w:lineRule="exact"/>
        <w:rPr>
          <w:sz w:val="10"/>
          <w:lang w:val="fr-FR"/>
        </w:rPr>
      </w:pPr>
    </w:p>
    <w:p w14:paraId="3B651C33" w14:textId="7C3031CE" w:rsidR="007F4A4B" w:rsidRPr="007F4A4B" w:rsidRDefault="00AE5C84" w:rsidP="00AE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F4A4B" w:rsidRPr="007F4A4B">
        <w:rPr>
          <w:lang w:val="fr-FR"/>
        </w:rPr>
        <w:t>6.</w:t>
      </w:r>
      <w:r w:rsidR="007F4A4B" w:rsidRPr="007F4A4B">
        <w:rPr>
          <w:lang w:val="fr-FR"/>
        </w:rPr>
        <w:tab/>
        <w:t>Application des articles 21 et 22 de la Convention</w:t>
      </w:r>
    </w:p>
    <w:p w14:paraId="30F7B648" w14:textId="77777777" w:rsidR="007F4A4B" w:rsidRPr="00AE5C84" w:rsidRDefault="007F4A4B" w:rsidP="00AE5C84">
      <w:pPr>
        <w:pStyle w:val="SingleTxt"/>
        <w:spacing w:after="0" w:line="120" w:lineRule="exact"/>
        <w:rPr>
          <w:sz w:val="10"/>
          <w:lang w:val="fr-FR"/>
        </w:rPr>
      </w:pPr>
    </w:p>
    <w:p w14:paraId="2A18B542" w14:textId="77777777" w:rsidR="007F4A4B" w:rsidRPr="00905A83" w:rsidRDefault="007F4A4B" w:rsidP="007F4A4B">
      <w:pPr>
        <w:pStyle w:val="SingleTxt"/>
        <w:rPr>
          <w:spacing w:val="0"/>
          <w:lang w:val="fr-FR"/>
        </w:rPr>
      </w:pPr>
      <w:r w:rsidRPr="00905A83">
        <w:rPr>
          <w:spacing w:val="0"/>
          <w:lang w:val="fr-FR"/>
        </w:rP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10EE7B4C" w14:textId="77777777" w:rsidR="007F4A4B" w:rsidRPr="007F4A4B" w:rsidRDefault="007F4A4B" w:rsidP="007F4A4B">
      <w:pPr>
        <w:pStyle w:val="SingleTxt"/>
        <w:rPr>
          <w:lang w:val="fr-FR"/>
        </w:rPr>
      </w:pPr>
      <w:r w:rsidRPr="007F4A4B">
        <w:rPr>
          <w:lang w:val="fr-FR"/>
        </w:rPr>
        <w:lastRenderedPageBreak/>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les domaines qui entrent dans le cadre de leurs activités.</w:t>
      </w:r>
    </w:p>
    <w:p w14:paraId="27FCCFAD" w14:textId="77777777" w:rsidR="007F4A4B" w:rsidRPr="00AE5C84" w:rsidRDefault="007F4A4B" w:rsidP="00AE5C84">
      <w:pPr>
        <w:pStyle w:val="SingleTxt"/>
        <w:spacing w:after="0" w:line="120" w:lineRule="exact"/>
        <w:rPr>
          <w:sz w:val="10"/>
          <w:lang w:val="fr-FR"/>
        </w:rPr>
      </w:pPr>
    </w:p>
    <w:p w14:paraId="28B7FB1D" w14:textId="77777777" w:rsidR="007F4A4B" w:rsidRPr="007F4A4B" w:rsidRDefault="007F4A4B" w:rsidP="00905A8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4A4B">
        <w:rPr>
          <w:lang w:val="fr-FR"/>
        </w:rPr>
        <w:tab/>
      </w:r>
      <w:r w:rsidRPr="007F4A4B">
        <w:rPr>
          <w:lang w:val="fr-FR"/>
        </w:rPr>
        <w:tab/>
        <w:t>Documentation</w:t>
      </w:r>
    </w:p>
    <w:p w14:paraId="35294427" w14:textId="77777777" w:rsidR="007F4A4B" w:rsidRPr="00AE5C84" w:rsidRDefault="007F4A4B" w:rsidP="00AE5C84">
      <w:pPr>
        <w:pStyle w:val="SingleTxt"/>
        <w:spacing w:after="0" w:line="120" w:lineRule="exact"/>
        <w:rPr>
          <w:sz w:val="10"/>
          <w:lang w:val="fr-FR"/>
        </w:rPr>
      </w:pPr>
    </w:p>
    <w:p w14:paraId="0B2863FD" w14:textId="77777777" w:rsidR="007F4A4B" w:rsidRPr="007F4A4B" w:rsidRDefault="007F4A4B" w:rsidP="007F4A4B">
      <w:pPr>
        <w:pStyle w:val="SingleTxt"/>
        <w:rPr>
          <w:lang w:val="fr-FR"/>
        </w:rPr>
      </w:pPr>
      <w:r w:rsidRPr="007F4A4B">
        <w:rPr>
          <w:lang w:val="fr-FR"/>
        </w:rPr>
        <w:t>Rapports présentés par les institutions spécialisées des Nations Unies sur l’application de la Convention dans les domaines qui entrent dans le cadre de leurs activités</w:t>
      </w:r>
    </w:p>
    <w:p w14:paraId="27908FE4" w14:textId="77777777" w:rsidR="007F4A4B" w:rsidRPr="00AE5C84" w:rsidRDefault="007F4A4B" w:rsidP="00AE5C84">
      <w:pPr>
        <w:pStyle w:val="SingleTxt"/>
        <w:spacing w:after="0" w:line="120" w:lineRule="exact"/>
        <w:rPr>
          <w:sz w:val="10"/>
          <w:lang w:val="fr-FR"/>
        </w:rPr>
      </w:pPr>
    </w:p>
    <w:p w14:paraId="6FECF365" w14:textId="77402F20" w:rsidR="007F4A4B" w:rsidRPr="007F4A4B" w:rsidRDefault="00AE5C84" w:rsidP="00AE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F4A4B" w:rsidRPr="007F4A4B">
        <w:rPr>
          <w:lang w:val="fr-FR"/>
        </w:rPr>
        <w:t>7.</w:t>
      </w:r>
      <w:r w:rsidR="007F4A4B" w:rsidRPr="007F4A4B">
        <w:rPr>
          <w:lang w:val="fr-FR"/>
        </w:rPr>
        <w:tab/>
        <w:t>Moyens d’accélérer les travaux du Comité</w:t>
      </w:r>
    </w:p>
    <w:p w14:paraId="70425429" w14:textId="77777777" w:rsidR="007F4A4B" w:rsidRPr="00AE5C84" w:rsidRDefault="007F4A4B" w:rsidP="00AE5C84">
      <w:pPr>
        <w:pStyle w:val="SingleTxt"/>
        <w:spacing w:after="0" w:line="120" w:lineRule="exact"/>
        <w:rPr>
          <w:sz w:val="10"/>
          <w:lang w:val="fr-FR"/>
        </w:rPr>
      </w:pPr>
    </w:p>
    <w:p w14:paraId="3BA3AD71" w14:textId="77777777" w:rsidR="007F4A4B" w:rsidRPr="007F4A4B" w:rsidRDefault="007F4A4B" w:rsidP="007F4A4B">
      <w:pPr>
        <w:pStyle w:val="SingleTxt"/>
        <w:rPr>
          <w:lang w:val="fr-FR"/>
        </w:rPr>
      </w:pPr>
      <w:r w:rsidRPr="007F4A4B">
        <w:rPr>
          <w:lang w:val="fr-FR"/>
        </w:rPr>
        <w:t>Le Comité examinera les questions se rapportant à ses méthodes de travail.</w:t>
      </w:r>
    </w:p>
    <w:p w14:paraId="1141AE55" w14:textId="77777777" w:rsidR="007F4A4B" w:rsidRPr="00AE5C84" w:rsidRDefault="007F4A4B" w:rsidP="00AE5C84">
      <w:pPr>
        <w:pStyle w:val="SingleTxt"/>
        <w:spacing w:after="0" w:line="120" w:lineRule="exact"/>
        <w:rPr>
          <w:sz w:val="10"/>
          <w:lang w:val="fr-FR"/>
        </w:rPr>
      </w:pPr>
    </w:p>
    <w:p w14:paraId="1FC9A409" w14:textId="20A20F45" w:rsidR="007F4A4B" w:rsidRPr="007F4A4B" w:rsidRDefault="00AE5C84" w:rsidP="00AE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F4A4B" w:rsidRPr="007F4A4B">
        <w:rPr>
          <w:lang w:val="fr-FR"/>
        </w:rPr>
        <w:t>8.</w:t>
      </w:r>
      <w:r w:rsidR="007F4A4B" w:rsidRPr="007F4A4B">
        <w:rPr>
          <w:lang w:val="fr-FR"/>
        </w:rPr>
        <w:tab/>
        <w:t>Activités menées par le Comité au titre du Protocole facultatif à la Convention</w:t>
      </w:r>
    </w:p>
    <w:p w14:paraId="15A6A6BE" w14:textId="77777777" w:rsidR="007F4A4B" w:rsidRPr="00AE5C84" w:rsidRDefault="007F4A4B" w:rsidP="00AE5C84">
      <w:pPr>
        <w:pStyle w:val="SingleTxt"/>
        <w:spacing w:after="0" w:line="120" w:lineRule="exact"/>
        <w:rPr>
          <w:sz w:val="10"/>
          <w:lang w:val="fr-FR"/>
        </w:rPr>
      </w:pPr>
    </w:p>
    <w:p w14:paraId="355786B7" w14:textId="1B4EF158" w:rsidR="007F4A4B" w:rsidRPr="007F4A4B" w:rsidRDefault="007F4A4B" w:rsidP="007F4A4B">
      <w:pPr>
        <w:pStyle w:val="SingleTxt"/>
        <w:rPr>
          <w:lang w:val="fr-FR"/>
        </w:rPr>
      </w:pPr>
      <w:r w:rsidRPr="007F4A4B">
        <w:rPr>
          <w:lang w:val="fr-FR"/>
        </w:rPr>
        <w:t xml:space="preserve">La soixante-troisième session du Groupe de travail des communications soumises au titre du Protocole facultatif à la Convention et la trente-deuxième session du Groupe de travail chargé des enquêtes menées au titre du Protocole facultatif, qui devaient se tenir à Genève les 29 et 30 janvier 2026, ont été annulées du fait de la crise de liquidités qui touche actuellement </w:t>
      </w:r>
      <w:r w:rsidR="00E40AF7">
        <w:rPr>
          <w:lang w:val="fr-FR"/>
        </w:rPr>
        <w:t>l</w:t>
      </w:r>
      <w:r w:rsidRPr="007F4A4B">
        <w:rPr>
          <w:lang w:val="fr-FR"/>
        </w:rPr>
        <w:t>e Secrétariat de l’Organisation des Nations Unies et des mesures de gestion des liquidités correspondantes.</w:t>
      </w:r>
    </w:p>
    <w:p w14:paraId="79D7DD17" w14:textId="77777777" w:rsidR="007F4A4B" w:rsidRPr="007F4A4B" w:rsidRDefault="007F4A4B" w:rsidP="007F4A4B">
      <w:pPr>
        <w:pStyle w:val="SingleTxt"/>
        <w:rPr>
          <w:lang w:val="fr-FR"/>
        </w:rPr>
      </w:pPr>
      <w:r w:rsidRPr="007F4A4B">
        <w:rPr>
          <w:lang w:val="fr-FR"/>
        </w:rPr>
        <w:t>À sa quatre-vingt-douzième session, le Comité continuera de s’acquitter du mandat qu’il tient des articles 2 et 8 du Protocole facultatif à la Convention.</w:t>
      </w:r>
    </w:p>
    <w:p w14:paraId="6949A78D" w14:textId="77777777" w:rsidR="007F4A4B" w:rsidRPr="00AE5C84" w:rsidRDefault="007F4A4B" w:rsidP="00AE5C84">
      <w:pPr>
        <w:pStyle w:val="SingleTxt"/>
        <w:spacing w:after="0" w:line="120" w:lineRule="exact"/>
        <w:rPr>
          <w:sz w:val="10"/>
          <w:lang w:val="fr-FR"/>
        </w:rPr>
      </w:pPr>
    </w:p>
    <w:p w14:paraId="49ADB127" w14:textId="3E737390" w:rsidR="007F4A4B" w:rsidRPr="007F4A4B" w:rsidRDefault="00AE5C84" w:rsidP="00AE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F4A4B" w:rsidRPr="007F4A4B">
        <w:rPr>
          <w:lang w:val="fr-FR"/>
        </w:rPr>
        <w:t>9.</w:t>
      </w:r>
      <w:r>
        <w:rPr>
          <w:lang w:val="fr-FR"/>
        </w:rPr>
        <w:tab/>
      </w:r>
      <w:r w:rsidR="007F4A4B" w:rsidRPr="007F4A4B">
        <w:rPr>
          <w:lang w:val="fr-FR"/>
        </w:rPr>
        <w:t>Ordre du jour provisoire de la quatre-vingt-treizième session du Comité</w:t>
      </w:r>
    </w:p>
    <w:p w14:paraId="2771F259" w14:textId="77777777" w:rsidR="007F4A4B" w:rsidRPr="00AE5C84" w:rsidRDefault="007F4A4B" w:rsidP="00AE5C84">
      <w:pPr>
        <w:pStyle w:val="SingleTxt"/>
        <w:spacing w:after="0" w:line="120" w:lineRule="exact"/>
        <w:rPr>
          <w:sz w:val="10"/>
          <w:lang w:val="fr-FR"/>
        </w:rPr>
      </w:pPr>
    </w:p>
    <w:p w14:paraId="596AF741" w14:textId="77777777" w:rsidR="007F4A4B" w:rsidRPr="007F4A4B" w:rsidRDefault="007F4A4B" w:rsidP="00AE5C8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F4A4B">
        <w:rPr>
          <w:lang w:val="fr-FR"/>
        </w:rPr>
        <w:tab/>
      </w:r>
      <w:r w:rsidRPr="007F4A4B">
        <w:rPr>
          <w:lang w:val="fr-FR"/>
        </w:rPr>
        <w:tab/>
        <w:t>Documentation</w:t>
      </w:r>
    </w:p>
    <w:p w14:paraId="779C57EB" w14:textId="77777777" w:rsidR="007F4A4B" w:rsidRPr="00AE5C84" w:rsidRDefault="007F4A4B" w:rsidP="00AE5C84">
      <w:pPr>
        <w:pStyle w:val="SingleTxt"/>
        <w:spacing w:after="0" w:line="120" w:lineRule="exact"/>
        <w:rPr>
          <w:sz w:val="10"/>
          <w:lang w:val="fr-FR"/>
        </w:rPr>
      </w:pPr>
    </w:p>
    <w:p w14:paraId="43E5D45F" w14:textId="3B29709D" w:rsidR="007F4A4B" w:rsidRPr="007F4A4B" w:rsidRDefault="007F4A4B" w:rsidP="007F4A4B">
      <w:pPr>
        <w:pStyle w:val="SingleTxt"/>
        <w:rPr>
          <w:spacing w:val="0"/>
          <w:w w:val="101"/>
          <w:lang w:val="fr-FR"/>
        </w:rPr>
      </w:pPr>
      <w:r w:rsidRPr="007F4A4B">
        <w:rPr>
          <w:spacing w:val="0"/>
          <w:w w:val="101"/>
          <w:lang w:val="fr-FR"/>
        </w:rPr>
        <w:t>Ordre du jour provisoire annoté de la quatre-vingt-treizième session (</w:t>
      </w:r>
      <w:hyperlink r:id="rId61" w:history="1">
        <w:r w:rsidRPr="007F4A4B">
          <w:rPr>
            <w:rStyle w:val="Hyperlink"/>
            <w:spacing w:val="0"/>
            <w:w w:val="101"/>
            <w:lang w:val="fr-FR"/>
          </w:rPr>
          <w:t>CEDAW/C/93/1</w:t>
        </w:r>
      </w:hyperlink>
      <w:r w:rsidRPr="007F4A4B">
        <w:rPr>
          <w:spacing w:val="0"/>
          <w:w w:val="101"/>
          <w:lang w:val="fr-FR"/>
        </w:rPr>
        <w:t>)</w:t>
      </w:r>
      <w:bookmarkStart w:id="4" w:name="bmv21"/>
      <w:bookmarkEnd w:id="4"/>
    </w:p>
    <w:p w14:paraId="793D0EC7" w14:textId="77777777" w:rsidR="00AE5C84" w:rsidRPr="00AE5C84" w:rsidRDefault="00AE5C84" w:rsidP="00AE5C84">
      <w:pPr>
        <w:pStyle w:val="SingleTxt"/>
        <w:spacing w:after="0" w:line="120" w:lineRule="exact"/>
        <w:rPr>
          <w:bCs/>
          <w:sz w:val="10"/>
          <w:lang w:val="fr-FR"/>
        </w:rPr>
      </w:pPr>
    </w:p>
    <w:p w14:paraId="1C6C4280" w14:textId="366CD324" w:rsidR="007F4A4B" w:rsidRDefault="00AE5C84" w:rsidP="00AE5C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F4A4B" w:rsidRPr="007F4A4B">
        <w:rPr>
          <w:lang w:val="fr-FR"/>
        </w:rPr>
        <w:t>10.</w:t>
      </w:r>
      <w:r w:rsidR="007F4A4B" w:rsidRPr="007F4A4B">
        <w:rPr>
          <w:lang w:val="fr-FR"/>
        </w:rPr>
        <w:tab/>
        <w:t>Adoption du rapport du Comité sur les travaux de sa quatre-vingt-douzième session</w:t>
      </w:r>
    </w:p>
    <w:p w14:paraId="42FF6A7E" w14:textId="77777777" w:rsidR="00AE5C84" w:rsidRPr="00AE5C84" w:rsidRDefault="00AE5C84" w:rsidP="00AE5C84">
      <w:pPr>
        <w:pStyle w:val="SingleTxt"/>
        <w:spacing w:after="0" w:line="120" w:lineRule="exact"/>
        <w:rPr>
          <w:sz w:val="10"/>
          <w:lang w:val="fr-FR"/>
        </w:rPr>
      </w:pPr>
    </w:p>
    <w:p w14:paraId="6A2BA4E2" w14:textId="5BDBE083" w:rsidR="00AE5C84" w:rsidRPr="00AE5C84" w:rsidRDefault="00AE5C84" w:rsidP="00AE5C84">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1D40F282" wp14:editId="77FC0E55">
                <wp:simplePos x="0" y="0"/>
                <wp:positionH relativeFrom="page">
                  <wp:posOffset>3429000</wp:posOffset>
                </wp:positionH>
                <wp:positionV relativeFrom="paragraph">
                  <wp:posOffset>304800</wp:posOffset>
                </wp:positionV>
                <wp:extent cx="914400" cy="0"/>
                <wp:effectExtent l="0" t="0" r="0" b="0"/>
                <wp:wrapNone/>
                <wp:docPr id="37702082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D9CE2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AE5C84" w:rsidRPr="00AE5C84" w:rsidSect="007F4A4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05T13:32:00Z" w:initials="Start">
    <w:p w14:paraId="35DBD25C" w14:textId="77777777" w:rsidR="00D342DF" w:rsidRPr="00905A83" w:rsidRDefault="00D342DF">
      <w:pPr>
        <w:pStyle w:val="CommentText"/>
        <w:rPr>
          <w:lang w:val="en-US"/>
        </w:rPr>
      </w:pPr>
      <w:r>
        <w:rPr>
          <w:rStyle w:val="CommentReference"/>
        </w:rPr>
        <w:annotationRef/>
      </w:r>
      <w:r w:rsidRPr="00905A83">
        <w:rPr>
          <w:lang w:val="en-US"/>
        </w:rPr>
        <w:t>&lt;&lt;ODS JOB NO&gt;&gt;N2533084F&lt;&lt;ODS JOB NO&gt;&gt;</w:t>
      </w:r>
    </w:p>
    <w:p w14:paraId="26D4D4D4" w14:textId="77777777" w:rsidR="00D342DF" w:rsidRDefault="00D342DF">
      <w:pPr>
        <w:pStyle w:val="CommentText"/>
      </w:pPr>
      <w:r>
        <w:t>&lt;&lt;ODS DOC SYMBOL1&gt;&gt;CEDAW/C/92/1&lt;&lt;ODS DOC SYMBOL1&gt;&gt;</w:t>
      </w:r>
    </w:p>
    <w:p w14:paraId="7B35EC30" w14:textId="4DF58C60" w:rsidR="00D342DF" w:rsidRDefault="00D342D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B35EC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315D167" w16cex:dateUtc="2025-12-05T18: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35EC30" w16cid:durableId="4315D1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43EF6" w14:textId="77777777" w:rsidR="00DA4A72" w:rsidRDefault="00DA4A72" w:rsidP="00331D20">
      <w:r>
        <w:separator/>
      </w:r>
    </w:p>
  </w:endnote>
  <w:endnote w:type="continuationSeparator" w:id="0">
    <w:p w14:paraId="56E1154F" w14:textId="77777777" w:rsidR="00DA4A72" w:rsidRDefault="00DA4A7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42DF" w14:paraId="1B0DCF78" w14:textId="77777777" w:rsidTr="00D342DF">
      <w:tc>
        <w:tcPr>
          <w:tcW w:w="4920" w:type="dxa"/>
        </w:tcPr>
        <w:p w14:paraId="1B81D9AE" w14:textId="2C6637FE" w:rsidR="00D342DF" w:rsidRPr="00D342DF" w:rsidRDefault="00D342DF" w:rsidP="00D342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0676">
            <w:rPr>
              <w:b w:val="0"/>
              <w:w w:val="103"/>
              <w:sz w:val="14"/>
            </w:rPr>
            <w:t>25-19676</w:t>
          </w:r>
          <w:r>
            <w:rPr>
              <w:b w:val="0"/>
              <w:w w:val="103"/>
              <w:sz w:val="14"/>
            </w:rPr>
            <w:fldChar w:fldCharType="end"/>
          </w:r>
        </w:p>
      </w:tc>
      <w:tc>
        <w:tcPr>
          <w:tcW w:w="4920" w:type="dxa"/>
        </w:tcPr>
        <w:p w14:paraId="5F88B828" w14:textId="6F4EAD5E" w:rsidR="00D342DF" w:rsidRPr="00D342DF" w:rsidRDefault="00D342DF" w:rsidP="00D342D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E6B5C75" w14:textId="77777777" w:rsidR="00D342DF" w:rsidRPr="00D342DF" w:rsidRDefault="00D342DF" w:rsidP="00D342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342DF" w14:paraId="364BFF9B" w14:textId="77777777" w:rsidTr="00D342DF">
      <w:tc>
        <w:tcPr>
          <w:tcW w:w="4920" w:type="dxa"/>
        </w:tcPr>
        <w:p w14:paraId="280CE851" w14:textId="3D6699A3" w:rsidR="00D342DF" w:rsidRPr="00D342DF" w:rsidRDefault="00D342DF" w:rsidP="00D342D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12392BA4" w14:textId="64BE5703" w:rsidR="00D342DF" w:rsidRPr="00D342DF" w:rsidRDefault="00D342DF" w:rsidP="00D342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0676">
            <w:rPr>
              <w:b w:val="0"/>
              <w:w w:val="103"/>
              <w:sz w:val="14"/>
            </w:rPr>
            <w:t>25-19676</w:t>
          </w:r>
          <w:r>
            <w:rPr>
              <w:b w:val="0"/>
              <w:w w:val="103"/>
              <w:sz w:val="14"/>
            </w:rPr>
            <w:fldChar w:fldCharType="end"/>
          </w:r>
        </w:p>
      </w:tc>
    </w:tr>
  </w:tbl>
  <w:p w14:paraId="6F20458C" w14:textId="77777777" w:rsidR="00D342DF" w:rsidRPr="00D342DF" w:rsidRDefault="00D342DF" w:rsidP="00D342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7E09A" w14:textId="6A3C427B" w:rsidR="00D342DF" w:rsidRDefault="00D342DF">
    <w:pPr>
      <w:pStyle w:val="Footer"/>
    </w:pPr>
    <w:r>
      <w:drawing>
        <wp:anchor distT="0" distB="0" distL="114300" distR="114300" simplePos="0" relativeHeight="251658240" behindDoc="0" locked="0" layoutInCell="1" allowOverlap="1" wp14:anchorId="7EE7984C" wp14:editId="282DAC40">
          <wp:simplePos x="0" y="0"/>
          <wp:positionH relativeFrom="column">
            <wp:posOffset>5532120</wp:posOffset>
          </wp:positionH>
          <wp:positionV relativeFrom="paragraph">
            <wp:posOffset>-228600</wp:posOffset>
          </wp:positionV>
          <wp:extent cx="694690" cy="694690"/>
          <wp:effectExtent l="0" t="0" r="0" b="0"/>
          <wp:wrapNone/>
          <wp:docPr id="16580224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342DF" w14:paraId="68ABE49A" w14:textId="77777777" w:rsidTr="00D342DF">
      <w:tc>
        <w:tcPr>
          <w:tcW w:w="3758" w:type="dxa"/>
        </w:tcPr>
        <w:p w14:paraId="65DE439B" w14:textId="71760192" w:rsidR="00D342DF" w:rsidRDefault="00D342DF" w:rsidP="00D342D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00676">
            <w:rPr>
              <w:b w:val="0"/>
              <w:sz w:val="20"/>
            </w:rPr>
            <w:t>25-19676 (F)</w:t>
          </w:r>
          <w:r>
            <w:rPr>
              <w:b w:val="0"/>
              <w:sz w:val="20"/>
            </w:rPr>
            <w:fldChar w:fldCharType="end"/>
          </w:r>
          <w:r>
            <w:rPr>
              <w:b w:val="0"/>
              <w:sz w:val="20"/>
            </w:rPr>
            <w:t xml:space="preserve">    0</w:t>
          </w:r>
          <w:r w:rsidR="007F4A4B">
            <w:rPr>
              <w:b w:val="0"/>
              <w:sz w:val="20"/>
            </w:rPr>
            <w:t>3</w:t>
          </w:r>
          <w:r>
            <w:rPr>
              <w:b w:val="0"/>
              <w:sz w:val="20"/>
            </w:rPr>
            <w:t xml:space="preserve">1225    </w:t>
          </w:r>
          <w:r w:rsidR="007F4A4B">
            <w:rPr>
              <w:b w:val="0"/>
              <w:sz w:val="20"/>
            </w:rPr>
            <w:t>26</w:t>
          </w:r>
          <w:r>
            <w:rPr>
              <w:b w:val="0"/>
              <w:sz w:val="20"/>
            </w:rPr>
            <w:t>1225</w:t>
          </w:r>
        </w:p>
        <w:p w14:paraId="18440D8A" w14:textId="13EE0BEB" w:rsidR="00D342DF" w:rsidRPr="00D342DF" w:rsidRDefault="00D342DF" w:rsidP="00D342DF">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00676">
            <w:rPr>
              <w:rFonts w:ascii="Barcode 3 of 9 by request" w:hAnsi="Barcode 3 of 9 by request"/>
              <w:sz w:val="24"/>
            </w:rPr>
            <w:t>*2519676*</w:t>
          </w:r>
          <w:r>
            <w:rPr>
              <w:rFonts w:ascii="Barcode 3 of 9 by request" w:hAnsi="Barcode 3 of 9 by request"/>
              <w:sz w:val="24"/>
            </w:rPr>
            <w:fldChar w:fldCharType="end"/>
          </w:r>
        </w:p>
      </w:tc>
      <w:tc>
        <w:tcPr>
          <w:tcW w:w="4920" w:type="dxa"/>
        </w:tcPr>
        <w:p w14:paraId="05C81A76" w14:textId="7072FBFC" w:rsidR="00D342DF" w:rsidRDefault="00D342DF" w:rsidP="00D342DF">
          <w:pPr>
            <w:pStyle w:val="Footer"/>
            <w:spacing w:line="240" w:lineRule="atLeast"/>
            <w:jc w:val="right"/>
            <w:rPr>
              <w:b w:val="0"/>
              <w:sz w:val="20"/>
            </w:rPr>
          </w:pPr>
          <w:r>
            <w:rPr>
              <w:b w:val="0"/>
              <w:sz w:val="20"/>
            </w:rPr>
            <w:drawing>
              <wp:inline distT="0" distB="0" distL="0" distR="0" wp14:anchorId="0639EDA8" wp14:editId="141AA4EF">
                <wp:extent cx="1109474" cy="231648"/>
                <wp:effectExtent l="0" t="0" r="0" b="0"/>
                <wp:docPr id="918834126" name="Picture 2"/>
                <wp:cNvGraphicFramePr/>
                <a:graphic xmlns:a="http://schemas.openxmlformats.org/drawingml/2006/main">
                  <a:graphicData uri="http://schemas.openxmlformats.org/drawingml/2006/picture">
                    <pic:pic xmlns:pic="http://schemas.openxmlformats.org/drawingml/2006/picture">
                      <pic:nvPicPr>
                        <pic:cNvPr id="918834126"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28A0BF2" w14:textId="77777777" w:rsidR="00D342DF" w:rsidRPr="00D342DF" w:rsidRDefault="00D342DF" w:rsidP="00D342D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82D60" w14:textId="77777777" w:rsidR="00DA4A72" w:rsidRDefault="00DA4A72" w:rsidP="00331D20">
      <w:r>
        <w:separator/>
      </w:r>
    </w:p>
  </w:footnote>
  <w:footnote w:type="continuationSeparator" w:id="0">
    <w:p w14:paraId="6E4BC8CB" w14:textId="77777777" w:rsidR="00DA4A72" w:rsidRDefault="00DA4A72"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342DF" w14:paraId="52EF0AEE" w14:textId="77777777" w:rsidTr="00D342DF">
      <w:trPr>
        <w:trHeight w:hRule="exact" w:val="864"/>
      </w:trPr>
      <w:tc>
        <w:tcPr>
          <w:tcW w:w="4920" w:type="dxa"/>
          <w:vAlign w:val="bottom"/>
        </w:tcPr>
        <w:p w14:paraId="6BDF1BF1" w14:textId="4A103099" w:rsidR="00D342DF" w:rsidRPr="00D342DF" w:rsidRDefault="00D342DF" w:rsidP="00D342D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0676">
            <w:rPr>
              <w:b/>
              <w:color w:val="000000"/>
            </w:rPr>
            <w:t>CEDAW/C/92/1</w:t>
          </w:r>
          <w:r>
            <w:rPr>
              <w:b/>
              <w:color w:val="000000"/>
            </w:rPr>
            <w:fldChar w:fldCharType="end"/>
          </w:r>
        </w:p>
      </w:tc>
      <w:tc>
        <w:tcPr>
          <w:tcW w:w="4920" w:type="dxa"/>
          <w:vAlign w:val="bottom"/>
        </w:tcPr>
        <w:p w14:paraId="693FE2DC" w14:textId="77777777" w:rsidR="00D342DF" w:rsidRDefault="00D342DF" w:rsidP="00D342DF">
          <w:pPr>
            <w:pStyle w:val="Header"/>
          </w:pPr>
        </w:p>
      </w:tc>
    </w:tr>
  </w:tbl>
  <w:p w14:paraId="203EE17D" w14:textId="77777777" w:rsidR="00D342DF" w:rsidRPr="00D342DF" w:rsidRDefault="00D342DF" w:rsidP="00D342D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342DF" w14:paraId="3C032A8B" w14:textId="77777777" w:rsidTr="00D342DF">
      <w:trPr>
        <w:trHeight w:hRule="exact" w:val="864"/>
      </w:trPr>
      <w:tc>
        <w:tcPr>
          <w:tcW w:w="4920" w:type="dxa"/>
          <w:vAlign w:val="bottom"/>
        </w:tcPr>
        <w:p w14:paraId="4A14BAFC" w14:textId="77777777" w:rsidR="00D342DF" w:rsidRDefault="00D342DF" w:rsidP="00D342DF">
          <w:pPr>
            <w:pStyle w:val="Header"/>
          </w:pPr>
        </w:p>
      </w:tc>
      <w:tc>
        <w:tcPr>
          <w:tcW w:w="4920" w:type="dxa"/>
          <w:vAlign w:val="bottom"/>
        </w:tcPr>
        <w:p w14:paraId="1856262C" w14:textId="30506178" w:rsidR="00D342DF" w:rsidRPr="00D342DF" w:rsidRDefault="00D342DF" w:rsidP="00D342D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0676">
            <w:rPr>
              <w:b/>
              <w:color w:val="000000"/>
            </w:rPr>
            <w:t>CEDAW/C/92/1</w:t>
          </w:r>
          <w:r>
            <w:rPr>
              <w:b/>
              <w:color w:val="000000"/>
            </w:rPr>
            <w:fldChar w:fldCharType="end"/>
          </w:r>
        </w:p>
      </w:tc>
    </w:tr>
  </w:tbl>
  <w:p w14:paraId="763EF7B8" w14:textId="77777777" w:rsidR="00D342DF" w:rsidRPr="00D342DF" w:rsidRDefault="00D342DF" w:rsidP="00D342D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342DF" w14:paraId="79FD54A1" w14:textId="77777777" w:rsidTr="00D342DF">
      <w:trPr>
        <w:trHeight w:hRule="exact" w:val="864"/>
      </w:trPr>
      <w:tc>
        <w:tcPr>
          <w:tcW w:w="1267" w:type="dxa"/>
          <w:tcBorders>
            <w:bottom w:val="single" w:sz="4" w:space="0" w:color="auto"/>
          </w:tcBorders>
          <w:vAlign w:val="bottom"/>
        </w:tcPr>
        <w:p w14:paraId="093F5493" w14:textId="77777777" w:rsidR="00D342DF" w:rsidRDefault="00D342DF" w:rsidP="00D342DF">
          <w:pPr>
            <w:pStyle w:val="Header"/>
            <w:spacing w:after="120"/>
          </w:pPr>
        </w:p>
      </w:tc>
      <w:tc>
        <w:tcPr>
          <w:tcW w:w="2059" w:type="dxa"/>
          <w:tcBorders>
            <w:bottom w:val="single" w:sz="4" w:space="0" w:color="auto"/>
          </w:tcBorders>
          <w:vAlign w:val="bottom"/>
        </w:tcPr>
        <w:p w14:paraId="5D9C2F97" w14:textId="6E305AB4" w:rsidR="00D342DF" w:rsidRPr="00D342DF" w:rsidRDefault="00D342DF" w:rsidP="00D342D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4BDAA9CB" w14:textId="77777777" w:rsidR="00D342DF" w:rsidRDefault="00D342DF" w:rsidP="00D342DF">
          <w:pPr>
            <w:pStyle w:val="Header"/>
            <w:spacing w:after="120"/>
          </w:pPr>
        </w:p>
      </w:tc>
      <w:tc>
        <w:tcPr>
          <w:tcW w:w="6466" w:type="dxa"/>
          <w:gridSpan w:val="3"/>
          <w:tcBorders>
            <w:bottom w:val="single" w:sz="4" w:space="0" w:color="auto"/>
          </w:tcBorders>
          <w:vAlign w:val="bottom"/>
        </w:tcPr>
        <w:p w14:paraId="1EB0A6D7" w14:textId="42052F0A" w:rsidR="00D342DF" w:rsidRPr="00D342DF" w:rsidRDefault="00D342DF" w:rsidP="00D342DF">
          <w:pPr>
            <w:spacing w:after="80" w:line="240" w:lineRule="auto"/>
            <w:jc w:val="right"/>
            <w:rPr>
              <w:position w:val="-4"/>
            </w:rPr>
          </w:pPr>
          <w:r>
            <w:rPr>
              <w:position w:val="-4"/>
              <w:sz w:val="40"/>
            </w:rPr>
            <w:t>CEDAW</w:t>
          </w:r>
          <w:r>
            <w:rPr>
              <w:position w:val="-4"/>
            </w:rPr>
            <w:t>/C/92/1</w:t>
          </w:r>
        </w:p>
      </w:tc>
    </w:tr>
    <w:tr w:rsidR="00D342DF" w:rsidRPr="00D342DF" w14:paraId="56E0191D" w14:textId="77777777" w:rsidTr="00D342DF">
      <w:trPr>
        <w:trHeight w:hRule="exact" w:val="2880"/>
      </w:trPr>
      <w:tc>
        <w:tcPr>
          <w:tcW w:w="1267" w:type="dxa"/>
          <w:tcBorders>
            <w:top w:val="single" w:sz="4" w:space="0" w:color="auto"/>
            <w:bottom w:val="single" w:sz="12" w:space="0" w:color="auto"/>
          </w:tcBorders>
        </w:tcPr>
        <w:p w14:paraId="06A48C1E" w14:textId="4851A878" w:rsidR="00D342DF" w:rsidRPr="00D342DF" w:rsidRDefault="00D342DF" w:rsidP="00D342DF">
          <w:pPr>
            <w:pStyle w:val="Header"/>
            <w:spacing w:before="120"/>
            <w:ind w:left="-72"/>
            <w:jc w:val="center"/>
          </w:pPr>
          <w:r>
            <w:t xml:space="preserve">  </w:t>
          </w:r>
          <w:r>
            <w:drawing>
              <wp:inline distT="0" distB="0" distL="0" distR="0" wp14:anchorId="7FB8EE70" wp14:editId="2EEC18DF">
                <wp:extent cx="713232" cy="594360"/>
                <wp:effectExtent l="0" t="0" r="0" b="0"/>
                <wp:docPr id="18226276" name="Picture 1"/>
                <wp:cNvGraphicFramePr/>
                <a:graphic xmlns:a="http://schemas.openxmlformats.org/drawingml/2006/main">
                  <a:graphicData uri="http://schemas.openxmlformats.org/drawingml/2006/picture">
                    <pic:pic xmlns:pic="http://schemas.openxmlformats.org/drawingml/2006/picture">
                      <pic:nvPicPr>
                        <pic:cNvPr id="1822627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71A01677" w14:textId="3282F97B" w:rsidR="00D342DF" w:rsidRPr="00D342DF" w:rsidRDefault="00D342DF" w:rsidP="00D342D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258ABC95" w14:textId="77777777" w:rsidR="00D342DF" w:rsidRPr="007F4A4B" w:rsidRDefault="00D342DF" w:rsidP="00D342DF">
          <w:pPr>
            <w:pStyle w:val="Header"/>
            <w:spacing w:before="109"/>
            <w:rPr>
              <w:lang w:val="fr-FR"/>
            </w:rPr>
          </w:pPr>
        </w:p>
      </w:tc>
      <w:tc>
        <w:tcPr>
          <w:tcW w:w="3110" w:type="dxa"/>
          <w:tcBorders>
            <w:top w:val="single" w:sz="4" w:space="0" w:color="auto"/>
            <w:bottom w:val="single" w:sz="12" w:space="0" w:color="auto"/>
          </w:tcBorders>
        </w:tcPr>
        <w:p w14:paraId="5EFA9711" w14:textId="77777777" w:rsidR="00D342DF" w:rsidRPr="007F4A4B" w:rsidRDefault="00D342DF" w:rsidP="00D342DF">
          <w:pPr>
            <w:pStyle w:val="Distribution"/>
            <w:spacing w:before="240"/>
            <w:rPr>
              <w:color w:val="000000"/>
              <w:lang w:val="fr-FR"/>
            </w:rPr>
          </w:pPr>
          <w:r w:rsidRPr="007F4A4B">
            <w:rPr>
              <w:color w:val="000000"/>
              <w:lang w:val="fr-FR"/>
            </w:rPr>
            <w:t>Distr. générale</w:t>
          </w:r>
        </w:p>
        <w:p w14:paraId="0FF4CBC1" w14:textId="77777777" w:rsidR="00D342DF" w:rsidRPr="007F4A4B" w:rsidRDefault="00D342DF" w:rsidP="00D342DF">
          <w:pPr>
            <w:pStyle w:val="Publication"/>
            <w:rPr>
              <w:color w:val="000000"/>
              <w:lang w:val="fr-FR"/>
            </w:rPr>
          </w:pPr>
          <w:r w:rsidRPr="007F4A4B">
            <w:rPr>
              <w:color w:val="000000"/>
              <w:lang w:val="fr-FR"/>
            </w:rPr>
            <w:t>2 décembre 2025</w:t>
          </w:r>
        </w:p>
        <w:p w14:paraId="6C0FB2DD" w14:textId="77777777" w:rsidR="00D342DF" w:rsidRPr="007F4A4B" w:rsidRDefault="00D342DF" w:rsidP="00D342DF">
          <w:pPr>
            <w:rPr>
              <w:lang w:val="fr-FR"/>
            </w:rPr>
          </w:pPr>
          <w:r w:rsidRPr="007F4A4B">
            <w:rPr>
              <w:lang w:val="fr-FR"/>
            </w:rPr>
            <w:t>Français</w:t>
          </w:r>
        </w:p>
        <w:p w14:paraId="3FA7439E" w14:textId="78694B07" w:rsidR="001E1047" w:rsidRDefault="00D342DF" w:rsidP="00D342DF">
          <w:pPr>
            <w:pStyle w:val="Original"/>
            <w:rPr>
              <w:color w:val="000000"/>
              <w:lang w:val="fr-FR"/>
            </w:rPr>
          </w:pPr>
          <w:r w:rsidRPr="007F4A4B">
            <w:rPr>
              <w:color w:val="000000"/>
              <w:lang w:val="fr-FR"/>
            </w:rPr>
            <w:t xml:space="preserve">Original : </w:t>
          </w:r>
          <w:r w:rsidR="001E1047">
            <w:rPr>
              <w:color w:val="000000"/>
              <w:lang w:val="fr-FR"/>
            </w:rPr>
            <w:t>anglais</w:t>
          </w:r>
        </w:p>
        <w:p w14:paraId="56716297" w14:textId="76395304" w:rsidR="00D342DF" w:rsidRPr="007F4A4B" w:rsidRDefault="001E1047" w:rsidP="00D342DF">
          <w:pPr>
            <w:pStyle w:val="Original"/>
            <w:rPr>
              <w:color w:val="000000"/>
              <w:lang w:val="fr-FR"/>
            </w:rPr>
          </w:pPr>
          <w:r>
            <w:rPr>
              <w:color w:val="000000"/>
              <w:lang w:val="fr-FR"/>
            </w:rPr>
            <w:t>A</w:t>
          </w:r>
          <w:r w:rsidR="00D342DF" w:rsidRPr="007F4A4B">
            <w:rPr>
              <w:color w:val="000000"/>
              <w:lang w:val="fr-FR"/>
            </w:rPr>
            <w:t>nglais</w:t>
          </w:r>
          <w:r>
            <w:rPr>
              <w:color w:val="000000"/>
              <w:lang w:val="fr-FR"/>
            </w:rPr>
            <w:t xml:space="preserve">, </w:t>
          </w:r>
          <w:r w:rsidR="00D342DF" w:rsidRPr="007F4A4B">
            <w:rPr>
              <w:color w:val="000000"/>
              <w:lang w:val="fr-FR"/>
            </w:rPr>
            <w:t>espagnol</w:t>
          </w:r>
          <w:r>
            <w:rPr>
              <w:color w:val="000000"/>
              <w:lang w:val="fr-FR"/>
            </w:rPr>
            <w:t xml:space="preserve"> et </w:t>
          </w:r>
          <w:r w:rsidR="00D342DF" w:rsidRPr="007F4A4B">
            <w:rPr>
              <w:color w:val="000000"/>
              <w:lang w:val="fr-FR"/>
            </w:rPr>
            <w:t>français</w:t>
          </w:r>
          <w:r>
            <w:rPr>
              <w:color w:val="000000"/>
              <w:lang w:val="fr-FR"/>
            </w:rPr>
            <w:t xml:space="preserve"> seulement</w:t>
          </w:r>
        </w:p>
      </w:tc>
    </w:tr>
  </w:tbl>
  <w:p w14:paraId="6FBD45FD" w14:textId="77777777" w:rsidR="00D342DF" w:rsidRPr="007F4A4B" w:rsidRDefault="00D342DF" w:rsidP="00D342DF">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519676*"/>
    <w:docVar w:name="CreationDt" w:val="05/12/2025 1:31: PM"/>
    <w:docVar w:name="DocCategory" w:val="Doc"/>
    <w:docVar w:name="DocType" w:val="Final"/>
    <w:docVar w:name="DutyStation" w:val="New York"/>
    <w:docVar w:name="FooterJN" w:val="25-19676"/>
    <w:docVar w:name="jobn" w:val="25-19676 (F)"/>
    <w:docVar w:name="jobnDT" w:val="25-19676 (F)   051225"/>
    <w:docVar w:name="jobnDTDT" w:val="25-19676 (F)   051225   051225"/>
    <w:docVar w:name="JobNo" w:val="2519676F"/>
    <w:docVar w:name="JobNo2" w:val="2533084F"/>
    <w:docVar w:name="LocalDrive" w:val="-1"/>
    <w:docVar w:name="OandT" w:val="Ago"/>
    <w:docVar w:name="Session1" w:val="Quatre-vingt-douzième session_x000d_"/>
    <w:docVar w:name="sss1" w:val="CEDAW/C/92/1"/>
    <w:docVar w:name="sss2" w:val="-"/>
    <w:docVar w:name="Symbol1" w:val="CEDAW/C/92/1"/>
    <w:docVar w:name="Symbol2" w:val="-"/>
    <w:docVar w:name="Title1" w:val="_x0009__x0009_Ordre du jour provisoire annoté_x000d_"/>
    <w:docVar w:name="Title2" w:val="_x0009__x0009_Ordre du jour provisoire_x000d_"/>
  </w:docVars>
  <w:rsids>
    <w:rsidRoot w:val="00DA4A72"/>
    <w:rsid w:val="00001169"/>
    <w:rsid w:val="00001967"/>
    <w:rsid w:val="00065FC5"/>
    <w:rsid w:val="00104DBF"/>
    <w:rsid w:val="00105618"/>
    <w:rsid w:val="001325B0"/>
    <w:rsid w:val="0014172A"/>
    <w:rsid w:val="00142021"/>
    <w:rsid w:val="00151F81"/>
    <w:rsid w:val="00171CDD"/>
    <w:rsid w:val="00194664"/>
    <w:rsid w:val="001978D5"/>
    <w:rsid w:val="001E1047"/>
    <w:rsid w:val="00247400"/>
    <w:rsid w:val="0027492E"/>
    <w:rsid w:val="0028725E"/>
    <w:rsid w:val="002B0604"/>
    <w:rsid w:val="002E304D"/>
    <w:rsid w:val="002E5447"/>
    <w:rsid w:val="002E6B7E"/>
    <w:rsid w:val="002F6D89"/>
    <w:rsid w:val="00326100"/>
    <w:rsid w:val="00331D20"/>
    <w:rsid w:val="0033558A"/>
    <w:rsid w:val="00365FD7"/>
    <w:rsid w:val="00373732"/>
    <w:rsid w:val="003852E4"/>
    <w:rsid w:val="003854F2"/>
    <w:rsid w:val="003B1D1B"/>
    <w:rsid w:val="003E5E54"/>
    <w:rsid w:val="003F75F8"/>
    <w:rsid w:val="004200C7"/>
    <w:rsid w:val="00443AE6"/>
    <w:rsid w:val="004536CE"/>
    <w:rsid w:val="0047638E"/>
    <w:rsid w:val="00492A32"/>
    <w:rsid w:val="00495E7B"/>
    <w:rsid w:val="0049669D"/>
    <w:rsid w:val="004C520B"/>
    <w:rsid w:val="004F5722"/>
    <w:rsid w:val="0054211F"/>
    <w:rsid w:val="005610B1"/>
    <w:rsid w:val="005D4F00"/>
    <w:rsid w:val="005E67A9"/>
    <w:rsid w:val="00601E1E"/>
    <w:rsid w:val="00665001"/>
    <w:rsid w:val="00684C11"/>
    <w:rsid w:val="006A1127"/>
    <w:rsid w:val="006A31AA"/>
    <w:rsid w:val="006A4EEF"/>
    <w:rsid w:val="006B474D"/>
    <w:rsid w:val="006C7738"/>
    <w:rsid w:val="006D7290"/>
    <w:rsid w:val="00704CC6"/>
    <w:rsid w:val="00727155"/>
    <w:rsid w:val="00734CBA"/>
    <w:rsid w:val="007633C9"/>
    <w:rsid w:val="0078108F"/>
    <w:rsid w:val="0079784A"/>
    <w:rsid w:val="007B304F"/>
    <w:rsid w:val="007B4CD6"/>
    <w:rsid w:val="007C3668"/>
    <w:rsid w:val="007E475E"/>
    <w:rsid w:val="007F4A4B"/>
    <w:rsid w:val="008138CB"/>
    <w:rsid w:val="00863195"/>
    <w:rsid w:val="00871053"/>
    <w:rsid w:val="00872F86"/>
    <w:rsid w:val="00877270"/>
    <w:rsid w:val="0088056D"/>
    <w:rsid w:val="008A2590"/>
    <w:rsid w:val="008D0FBA"/>
    <w:rsid w:val="008E606D"/>
    <w:rsid w:val="008F11CA"/>
    <w:rsid w:val="00905A83"/>
    <w:rsid w:val="00911D71"/>
    <w:rsid w:val="00976519"/>
    <w:rsid w:val="009A7E7A"/>
    <w:rsid w:val="009B00E9"/>
    <w:rsid w:val="009B6168"/>
    <w:rsid w:val="009D56BA"/>
    <w:rsid w:val="00A72797"/>
    <w:rsid w:val="00A84EFD"/>
    <w:rsid w:val="00AA29EE"/>
    <w:rsid w:val="00AB7235"/>
    <w:rsid w:val="00AC7755"/>
    <w:rsid w:val="00AE5C84"/>
    <w:rsid w:val="00AF3F1B"/>
    <w:rsid w:val="00B125A0"/>
    <w:rsid w:val="00B272FA"/>
    <w:rsid w:val="00B27698"/>
    <w:rsid w:val="00B30A24"/>
    <w:rsid w:val="00B43769"/>
    <w:rsid w:val="00B7299C"/>
    <w:rsid w:val="00B901FD"/>
    <w:rsid w:val="00BC00BF"/>
    <w:rsid w:val="00BC2C8A"/>
    <w:rsid w:val="00BE7E3C"/>
    <w:rsid w:val="00BF5ECC"/>
    <w:rsid w:val="00C0690E"/>
    <w:rsid w:val="00C16A02"/>
    <w:rsid w:val="00C16D72"/>
    <w:rsid w:val="00C174A0"/>
    <w:rsid w:val="00C60123"/>
    <w:rsid w:val="00C6119A"/>
    <w:rsid w:val="00C64247"/>
    <w:rsid w:val="00C75CAB"/>
    <w:rsid w:val="00CC2D86"/>
    <w:rsid w:val="00CE35F9"/>
    <w:rsid w:val="00D23FFB"/>
    <w:rsid w:val="00D342DF"/>
    <w:rsid w:val="00D409D0"/>
    <w:rsid w:val="00DA4A72"/>
    <w:rsid w:val="00DA7690"/>
    <w:rsid w:val="00DB0712"/>
    <w:rsid w:val="00DB652C"/>
    <w:rsid w:val="00DC5B69"/>
    <w:rsid w:val="00DE254A"/>
    <w:rsid w:val="00E16CEC"/>
    <w:rsid w:val="00E40AF7"/>
    <w:rsid w:val="00E53294"/>
    <w:rsid w:val="00E548DF"/>
    <w:rsid w:val="00E56A0F"/>
    <w:rsid w:val="00E8036E"/>
    <w:rsid w:val="00E9043A"/>
    <w:rsid w:val="00EA1709"/>
    <w:rsid w:val="00EF45C0"/>
    <w:rsid w:val="00F003B9"/>
    <w:rsid w:val="00F00676"/>
    <w:rsid w:val="00F05AC4"/>
    <w:rsid w:val="00F23A81"/>
    <w:rsid w:val="00F53CB4"/>
    <w:rsid w:val="00F65F4F"/>
    <w:rsid w:val="00F95E56"/>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0665B"/>
  <w15:chartTrackingRefBased/>
  <w15:docId w15:val="{36D8B51F-8028-4370-A2F5-E5DD1A29B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E5C84"/>
    <w:pPr>
      <w:keepNext/>
      <w:keepLines/>
      <w:spacing w:line="240" w:lineRule="exact"/>
      <w:ind w:left="0" w:right="44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DA4A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A72"/>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DA4A7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A72"/>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DA4A7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4A72"/>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DA4A72"/>
    <w:pPr>
      <w:ind w:left="720"/>
      <w:contextualSpacing/>
    </w:pPr>
  </w:style>
  <w:style w:type="character" w:styleId="IntenseEmphasis">
    <w:name w:val="Intense Emphasis"/>
    <w:basedOn w:val="DefaultParagraphFont"/>
    <w:uiPriority w:val="21"/>
    <w:qFormat/>
    <w:rsid w:val="00DA4A72"/>
    <w:rPr>
      <w:i/>
      <w:iCs/>
      <w:color w:val="2F5496" w:themeColor="accent1" w:themeShade="BF"/>
    </w:rPr>
  </w:style>
  <w:style w:type="paragraph" w:styleId="IntenseQuote">
    <w:name w:val="Intense Quote"/>
    <w:basedOn w:val="Normal"/>
    <w:next w:val="Normal"/>
    <w:link w:val="IntenseQuoteChar"/>
    <w:uiPriority w:val="30"/>
    <w:qFormat/>
    <w:rsid w:val="00DA4A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4A72"/>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DA4A72"/>
    <w:rPr>
      <w:b/>
      <w:bCs/>
      <w:smallCaps/>
      <w:color w:val="2F5496" w:themeColor="accent1" w:themeShade="BF"/>
      <w:spacing w:val="5"/>
    </w:rPr>
  </w:style>
  <w:style w:type="paragraph" w:styleId="CommentText">
    <w:name w:val="annotation text"/>
    <w:basedOn w:val="Normal"/>
    <w:link w:val="CommentTextChar"/>
    <w:uiPriority w:val="99"/>
    <w:semiHidden/>
    <w:unhideWhenUsed/>
    <w:rsid w:val="00D342DF"/>
    <w:pPr>
      <w:spacing w:line="240" w:lineRule="auto"/>
    </w:pPr>
    <w:rPr>
      <w:szCs w:val="20"/>
    </w:rPr>
  </w:style>
  <w:style w:type="character" w:customStyle="1" w:styleId="CommentTextChar">
    <w:name w:val="Comment Text Char"/>
    <w:basedOn w:val="DefaultParagraphFont"/>
    <w:link w:val="CommentText"/>
    <w:uiPriority w:val="99"/>
    <w:semiHidden/>
    <w:rsid w:val="00D342DF"/>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D342DF"/>
    <w:rPr>
      <w:b/>
      <w:bCs/>
    </w:rPr>
  </w:style>
  <w:style w:type="character" w:customStyle="1" w:styleId="CommentSubjectChar">
    <w:name w:val="Comment Subject Char"/>
    <w:basedOn w:val="CommentTextChar"/>
    <w:link w:val="CommentSubject"/>
    <w:uiPriority w:val="99"/>
    <w:semiHidden/>
    <w:rsid w:val="00D342DF"/>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1E1047"/>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MEX/10" TargetMode="External"/><Relationship Id="rId39" Type="http://schemas.openxmlformats.org/officeDocument/2006/relationships/hyperlink" Target="https://undocs.org/en/CEDAW/C/MEX/QPR/10" TargetMode="External"/><Relationship Id="rId21" Type="http://schemas.openxmlformats.org/officeDocument/2006/relationships/hyperlink" Target="https://undocs.org/en/CEDAW/C/PSWG/92/1" TargetMode="External"/><Relationship Id="rId34" Type="http://schemas.openxmlformats.org/officeDocument/2006/relationships/hyperlink" Target="https://undocs.org/en/CEDAW/C/FJI/6" TargetMode="External"/><Relationship Id="rId42" Type="http://schemas.openxmlformats.org/officeDocument/2006/relationships/hyperlink" Target="https://docs.un.org/fr/CEDAW/C/LSO/Q/5-7" TargetMode="External"/><Relationship Id="rId47" Type="http://schemas.openxmlformats.org/officeDocument/2006/relationships/hyperlink" Target="https://undocs.org/en/CEDAW/C/TUV/QPR/5-6" TargetMode="External"/><Relationship Id="rId50" Type="http://schemas.openxmlformats.org/officeDocument/2006/relationships/hyperlink" Target="https://docs.un.org/fr/CEDAW/C/VNM/Q/9" TargetMode="External"/><Relationship Id="rId55" Type="http://schemas.openxmlformats.org/officeDocument/2006/relationships/hyperlink" Target="https://docs.un.org/fr/CEDAW/C/LSO/RQ/5-7" TargetMode="External"/><Relationship Id="rId63"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9" Type="http://schemas.openxmlformats.org/officeDocument/2006/relationships/hyperlink" Target="https://docs.un.org/fr/CEDAW/C/LTU/7" TargetMode="External"/><Relationship Id="rId11" Type="http://schemas.openxmlformats.org/officeDocument/2006/relationships/header" Target="header2.xml"/><Relationship Id="rId24" Type="http://schemas.openxmlformats.org/officeDocument/2006/relationships/hyperlink" Target="https://undocs.org/en/CEDAW/C/IRL/8" TargetMode="External"/><Relationship Id="rId32" Type="http://schemas.openxmlformats.org/officeDocument/2006/relationships/hyperlink" Target="https://undocs.org/en/CEDAW/C/THA/8" TargetMode="External"/><Relationship Id="rId37" Type="http://schemas.openxmlformats.org/officeDocument/2006/relationships/hyperlink" Target="https://docs.un.org/fr/CEDAW/C/ARG/QPR/8" TargetMode="External"/><Relationship Id="rId40" Type="http://schemas.openxmlformats.org/officeDocument/2006/relationships/hyperlink" Target="https://docs.un.org/fr/CEDAW/C/IRQ/Q/8" TargetMode="External"/><Relationship Id="rId45" Type="http://schemas.openxmlformats.org/officeDocument/2006/relationships/hyperlink" Target="https://undocs.org/en/CEDAW/C/THA/QPR/8" TargetMode="External"/><Relationship Id="rId53" Type="http://schemas.openxmlformats.org/officeDocument/2006/relationships/hyperlink" Target="https://undocs.org/en/CEDAW/C/TCD/RQ/5" TargetMode="External"/><Relationship Id="rId58" Type="http://schemas.openxmlformats.org/officeDocument/2006/relationships/hyperlink" Target="https://docs.un.org/fr/CEDAW/C/CZE/RQ/7" TargetMode="External"/><Relationship Id="rId5" Type="http://schemas.openxmlformats.org/officeDocument/2006/relationships/styles" Target="styles.xml"/><Relationship Id="rId61" Type="http://schemas.openxmlformats.org/officeDocument/2006/relationships/hyperlink" Target="https://docs.un.org/fr/CEDAW/C/93/1" TargetMode="External"/><Relationship Id="rId19" Type="http://schemas.microsoft.com/office/2018/08/relationships/commentsExtensible" Target="commentsExtensible.xml"/><Relationship Id="rId14" Type="http://schemas.openxmlformats.org/officeDocument/2006/relationships/header" Target="header3.xml"/><Relationship Id="rId22" Type="http://schemas.openxmlformats.org/officeDocument/2006/relationships/hyperlink" Target="https://docs.un.org/fr/CEDAW/C/ARG/8" TargetMode="External"/><Relationship Id="rId27" Type="http://schemas.openxmlformats.org/officeDocument/2006/relationships/hyperlink" Target="https://docs.un.org/fr/CEDAW/C/LSO/5-7" TargetMode="External"/><Relationship Id="rId30" Type="http://schemas.openxmlformats.org/officeDocument/2006/relationships/hyperlink" Target="https://undocs.org/en/CEDAW/C/SLB/4-5" TargetMode="External"/><Relationship Id="rId35" Type="http://schemas.openxmlformats.org/officeDocument/2006/relationships/hyperlink" Target="https://docs.un.org/fr/CEDAW/C/VNM/9" TargetMode="External"/><Relationship Id="rId43" Type="http://schemas.openxmlformats.org/officeDocument/2006/relationships/hyperlink" Target="https://undocs.org/en/CEDAW/C/SLB/QPR/4-5" TargetMode="External"/><Relationship Id="rId48" Type="http://schemas.openxmlformats.org/officeDocument/2006/relationships/hyperlink" Target="https://docs.un.org/fr/CEDAW/C/CZE/Q/7" TargetMode="External"/><Relationship Id="rId56" Type="http://schemas.openxmlformats.org/officeDocument/2006/relationships/hyperlink" Target="https://undocs.org/en/CEDAW/C/TCD/RQ/5" TargetMode="Externa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undocs.org/en/CEDAW/C/TUV/QPR/5-6" TargetMode="Externa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IRQ/8" TargetMode="External"/><Relationship Id="rId33" Type="http://schemas.openxmlformats.org/officeDocument/2006/relationships/hyperlink" Target="https://docs.un.org/fr/CEDAW/C/CZE/7" TargetMode="External"/><Relationship Id="rId38" Type="http://schemas.openxmlformats.org/officeDocument/2006/relationships/hyperlink" Target="https://docs.un.org/fr/CEDAW/C/SLV/Q/10" TargetMode="External"/><Relationship Id="rId46" Type="http://schemas.openxmlformats.org/officeDocument/2006/relationships/hyperlink" Target="https://docs.un.org/fr/CEDAW/C/NLD/QPR/7" TargetMode="External"/><Relationship Id="rId59" Type="http://schemas.openxmlformats.org/officeDocument/2006/relationships/hyperlink" Target="https://docs.un.org/fr/CEDAW/C/VNM/RQ/9" TargetMode="External"/><Relationship Id="rId20" Type="http://schemas.openxmlformats.org/officeDocument/2006/relationships/hyperlink" Target="https://docs.un.org/fr/CEDAW/C/PSWG/92/1" TargetMode="External"/><Relationship Id="rId41" Type="http://schemas.openxmlformats.org/officeDocument/2006/relationships/hyperlink" Target="https://undocs.org/en/CEDAW/C/SMR/QPR/1-5" TargetMode="External"/><Relationship Id="rId54" Type="http://schemas.openxmlformats.org/officeDocument/2006/relationships/hyperlink" Target="https://docs.un.org/fr/CEDAW/C/IRQ/RQ/8"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docs.un.org/fr/CEDAW/C/SLV/10" TargetMode="External"/><Relationship Id="rId28" Type="http://schemas.openxmlformats.org/officeDocument/2006/relationships/hyperlink" Target="https://undocs.org/en/CEDAW/C/SMR/1-5" TargetMode="External"/><Relationship Id="rId36" Type="http://schemas.openxmlformats.org/officeDocument/2006/relationships/hyperlink" Target="https://undocs.org/en/CEDAW/C/TUV/5-6" TargetMode="External"/><Relationship Id="rId49" Type="http://schemas.openxmlformats.org/officeDocument/2006/relationships/hyperlink" Target="https://undocs.org/en/CEDAW/C/IRL/QPR/8" TargetMode="External"/><Relationship Id="rId57" Type="http://schemas.openxmlformats.org/officeDocument/2006/relationships/hyperlink" Target="https://docs.un.org/fr/CEDAW/C/LTU/RQ/7" TargetMode="External"/><Relationship Id="rId10" Type="http://schemas.openxmlformats.org/officeDocument/2006/relationships/header" Target="header1.xml"/><Relationship Id="rId31" Type="http://schemas.openxmlformats.org/officeDocument/2006/relationships/hyperlink" Target="https://docs.un.org/fr/CEDAW/C/NLD/7" TargetMode="External"/><Relationship Id="rId44" Type="http://schemas.openxmlformats.org/officeDocument/2006/relationships/hyperlink" Target="https://docs.un.org/fr/CEDAW/C/LTU/Q/7" TargetMode="External"/><Relationship Id="rId52" Type="http://schemas.openxmlformats.org/officeDocument/2006/relationships/hyperlink" Target="https://docs.un.org/fr/CEDAW/C/SLV/RQ/10" TargetMode="External"/><Relationship Id="rId60" Type="http://schemas.openxmlformats.org/officeDocument/2006/relationships/hyperlink" Target="https://undocs.org/en/CEDAW/C/TCD/RQ/5" TargetMode="External"/><Relationship Id="rId4" Type="http://schemas.openxmlformats.org/officeDocument/2006/relationships/numbering" Target="numbering.xml"/><Relationship Id="rId9"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1553</Words>
  <Characters>8543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Ivonete Leal Dias</cp:lastModifiedBy>
  <cp:revision>3</cp:revision>
  <cp:lastPrinted>2025-12-23T20:48:00Z</cp:lastPrinted>
  <dcterms:created xsi:type="dcterms:W3CDTF">2025-12-23T20:48:00Z</dcterms:created>
  <dcterms:modified xsi:type="dcterms:W3CDTF">2025-12-23T20:48:00Z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2519676F</vt:lpwstr>
  </property>
  <property fmtid="{D5CDD505-2E9C-101B-9397-08002B2CF9AE}" pid="3" name="ODSRefJobNo">
    <vt:lpwstr>2533084F</vt:lpwstr>
  </property>
  <property fmtid="{D5CDD505-2E9C-101B-9397-08002B2CF9AE}" pid="4" name="Symbol1">
    <vt:lpwstr>CEDAW/C/92/1</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Quatre-vingt-douzième session_x000d_</vt:lpwstr>
  </property>
  <property fmtid="{D5CDD505-2E9C-101B-9397-08002B2CF9AE}" pid="15" name="Agenda1">
    <vt:lpwstr>Point 2 de l’ordre du jour provisoire_x000d_</vt:lpwstr>
  </property>
  <property fmtid="{D5CDD505-2E9C-101B-9397-08002B2CF9AE}" pid="16" name="Agenda Title1">
    <vt:lpwstr>Adoption de l’ordre du jour et organisation des travaux_x000d_</vt:lpwstr>
  </property>
  <property fmtid="{D5CDD505-2E9C-101B-9397-08002B2CF9AE}" pid="17" name="Title1">
    <vt:lpwstr>		Ordre du jour provisoire annoté_x000d_</vt:lpwstr>
  </property>
  <property fmtid="{D5CDD505-2E9C-101B-9397-08002B2CF9AE}" pid="18" name="Title2">
    <vt:lpwstr>		Ordre du jour provisoire_x000d_</vt:lpwstr>
  </property>
</Properties>
</file>