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6AA9" w14:paraId="7261794C" w14:textId="77777777">
        <w:trPr>
          <w:cantSplit/>
          <w:trHeight w:hRule="exact" w:val="851"/>
        </w:trPr>
        <w:tc>
          <w:tcPr>
            <w:tcW w:w="1276" w:type="dxa"/>
            <w:tcBorders>
              <w:bottom w:val="single" w:sz="4" w:space="0" w:color="auto"/>
            </w:tcBorders>
            <w:vAlign w:val="bottom"/>
          </w:tcPr>
          <w:p w14:paraId="7B76996C" w14:textId="77777777" w:rsidR="009D6AA9" w:rsidRDefault="009D6AA9">
            <w:pPr>
              <w:spacing w:after="80"/>
            </w:pPr>
          </w:p>
        </w:tc>
        <w:tc>
          <w:tcPr>
            <w:tcW w:w="2268" w:type="dxa"/>
            <w:tcBorders>
              <w:bottom w:val="single" w:sz="4" w:space="0" w:color="auto"/>
            </w:tcBorders>
            <w:vAlign w:val="bottom"/>
          </w:tcPr>
          <w:p w14:paraId="0FE8B90D" w14:textId="77777777" w:rsidR="009D6AA9" w:rsidRDefault="00E4287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6E0FE217" w14:textId="38AC0CAF" w:rsidR="009D6AA9" w:rsidRPr="00344A53" w:rsidRDefault="00344A53" w:rsidP="00344A53">
            <w:pPr>
              <w:suppressAutoHyphens w:val="0"/>
              <w:jc w:val="right"/>
            </w:pPr>
            <w:r w:rsidRPr="00344A53">
              <w:rPr>
                <w:sz w:val="40"/>
              </w:rPr>
              <w:t>CERD</w:t>
            </w:r>
            <w:r>
              <w:t>/C/BEN/Q/1-9</w:t>
            </w:r>
          </w:p>
        </w:tc>
      </w:tr>
      <w:tr w:rsidR="009D6AA9" w14:paraId="76A53A50" w14:textId="77777777">
        <w:trPr>
          <w:cantSplit/>
          <w:trHeight w:hRule="exact" w:val="2835"/>
        </w:trPr>
        <w:tc>
          <w:tcPr>
            <w:tcW w:w="1276" w:type="dxa"/>
            <w:tcBorders>
              <w:top w:val="single" w:sz="4" w:space="0" w:color="auto"/>
              <w:bottom w:val="single" w:sz="12" w:space="0" w:color="auto"/>
            </w:tcBorders>
          </w:tcPr>
          <w:p w14:paraId="20775D03" w14:textId="77777777" w:rsidR="009D6AA9" w:rsidRDefault="00E42871">
            <w:pPr>
              <w:spacing w:before="120"/>
              <w:jc w:val="center"/>
            </w:pPr>
            <w:r>
              <w:rPr>
                <w:noProof/>
                <w:lang w:val="en-GB" w:eastAsia="en-GB"/>
              </w:rPr>
              <w:drawing>
                <wp:inline distT="0" distB="0" distL="0" distR="0" wp14:anchorId="1544E646" wp14:editId="0F42C8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37EE12" w14:textId="77777777" w:rsidR="009D6AA9" w:rsidRDefault="00E42871">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2B4E1EF" w14:textId="4FE1E3C2" w:rsidR="009D6AA9" w:rsidRDefault="00E42871">
            <w:pPr>
              <w:suppressAutoHyphens w:val="0"/>
              <w:spacing w:before="240" w:line="240" w:lineRule="exact"/>
            </w:pPr>
            <w:proofErr w:type="spellStart"/>
            <w:r>
              <w:t>Distr</w:t>
            </w:r>
            <w:proofErr w:type="spellEnd"/>
            <w:r>
              <w:t xml:space="preserve">. </w:t>
            </w:r>
            <w:r w:rsidR="00A02A86">
              <w:t>générale</w:t>
            </w:r>
          </w:p>
          <w:p w14:paraId="504C6CE8" w14:textId="0B22F98D" w:rsidR="009D6AA9" w:rsidRDefault="00A02A86" w:rsidP="00A866B1">
            <w:pPr>
              <w:suppressAutoHyphens w:val="0"/>
            </w:pPr>
            <w:r>
              <w:t>1</w:t>
            </w:r>
            <w:r w:rsidR="009625BA">
              <w:t>4</w:t>
            </w:r>
            <w:r w:rsidR="005B6F16">
              <w:t xml:space="preserve"> </w:t>
            </w:r>
            <w:r w:rsidR="002E1FC4">
              <w:t>juillet</w:t>
            </w:r>
            <w:r w:rsidR="001E4037">
              <w:t xml:space="preserve"> 2022</w:t>
            </w:r>
          </w:p>
          <w:p w14:paraId="1EFAED61" w14:textId="77777777" w:rsidR="00C24F60" w:rsidRDefault="00C24F60">
            <w:pPr>
              <w:suppressAutoHyphens w:val="0"/>
            </w:pPr>
          </w:p>
          <w:p w14:paraId="1B7167B3" w14:textId="107BECBF" w:rsidR="00EE30BF" w:rsidRDefault="002E1FC4">
            <w:pPr>
              <w:suppressAutoHyphens w:val="0"/>
            </w:pPr>
            <w:r>
              <w:t>Original</w:t>
            </w:r>
            <w:r w:rsidR="00A02A86">
              <w:t> </w:t>
            </w:r>
            <w:r>
              <w:t>:</w:t>
            </w:r>
            <w:r w:rsidR="00EE30BF">
              <w:t xml:space="preserve"> français</w:t>
            </w:r>
          </w:p>
          <w:p w14:paraId="68A4001D" w14:textId="57CC4FD7" w:rsidR="009D6AA9" w:rsidRDefault="00A02A86">
            <w:pPr>
              <w:suppressAutoHyphens w:val="0"/>
            </w:pPr>
            <w:r>
              <w:t>Anglais, espagnol et français seulement</w:t>
            </w:r>
          </w:p>
        </w:tc>
      </w:tr>
    </w:tbl>
    <w:p w14:paraId="3BBB10D7" w14:textId="77777777" w:rsidR="009D6AA9" w:rsidRDefault="00E42871">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1281D2AA" w14:textId="616A307D" w:rsidR="009D6AA9" w:rsidRDefault="00335048">
      <w:pPr>
        <w:rPr>
          <w:b/>
        </w:rPr>
      </w:pPr>
      <w:r>
        <w:rPr>
          <w:b/>
        </w:rPr>
        <w:t>107</w:t>
      </w:r>
      <w:r w:rsidRPr="00335048">
        <w:rPr>
          <w:b/>
          <w:vertAlign w:val="superscript"/>
        </w:rPr>
        <w:t>e</w:t>
      </w:r>
      <w:r>
        <w:rPr>
          <w:b/>
        </w:rPr>
        <w:t xml:space="preserve"> </w:t>
      </w:r>
      <w:r w:rsidR="00E42871">
        <w:rPr>
          <w:b/>
        </w:rPr>
        <w:t>session</w:t>
      </w:r>
    </w:p>
    <w:p w14:paraId="197B6CF9" w14:textId="541FDF18" w:rsidR="009D6AA9" w:rsidRDefault="006B5194">
      <w:r>
        <w:t>8</w:t>
      </w:r>
      <w:r w:rsidR="00E65E0D">
        <w:t>-</w:t>
      </w:r>
      <w:r>
        <w:t xml:space="preserve">30 </w:t>
      </w:r>
      <w:r w:rsidR="00335048">
        <w:t>a</w:t>
      </w:r>
      <w:r w:rsidRPr="006B5194">
        <w:t>oût</w:t>
      </w:r>
      <w:r>
        <w:t xml:space="preserve"> 2022</w:t>
      </w:r>
    </w:p>
    <w:p w14:paraId="2F103C30" w14:textId="486EE567" w:rsidR="009D6AA9" w:rsidRDefault="00E42871" w:rsidP="00756A35">
      <w:r>
        <w:t xml:space="preserve">Point </w:t>
      </w:r>
      <w:r w:rsidR="00335048" w:rsidRPr="00D82157">
        <w:t>4</w:t>
      </w:r>
      <w:r>
        <w:t xml:space="preserve"> de l’ordre du jour provisoire</w:t>
      </w:r>
    </w:p>
    <w:p w14:paraId="1CE1CBF7" w14:textId="1C4A0C23" w:rsidR="00A5383D" w:rsidRPr="007159D6" w:rsidRDefault="00A5383D" w:rsidP="00896CDF">
      <w:pPr>
        <w:rPr>
          <w:rFonts w:ascii="Times" w:eastAsia="Times New Roman" w:hAnsi="Times"/>
          <w:color w:val="000000"/>
          <w:sz w:val="27"/>
          <w:szCs w:val="27"/>
          <w:lang w:val="fr-FR"/>
        </w:rPr>
      </w:pPr>
      <w:r w:rsidRPr="007159D6">
        <w:rPr>
          <w:rFonts w:eastAsia="Times New Roman"/>
          <w:b/>
          <w:bCs/>
          <w:color w:val="000000"/>
          <w:lang w:val="fr-FR"/>
        </w:rPr>
        <w:t xml:space="preserve">Examen des rapports, observations et </w:t>
      </w:r>
      <w:r w:rsidR="00896CDF">
        <w:rPr>
          <w:rFonts w:eastAsia="Times New Roman"/>
          <w:b/>
          <w:bCs/>
          <w:color w:val="000000"/>
          <w:lang w:val="fr-FR"/>
        </w:rPr>
        <w:t>renseignements</w:t>
      </w:r>
      <w:r w:rsidRPr="007159D6">
        <w:rPr>
          <w:rFonts w:eastAsia="Times New Roman"/>
          <w:b/>
          <w:bCs/>
          <w:color w:val="000000"/>
          <w:lang w:val="fr-FR"/>
        </w:rPr>
        <w:t xml:space="preserve"> soumis </w:t>
      </w:r>
      <w:r w:rsidRPr="007159D6">
        <w:rPr>
          <w:rFonts w:ascii="Times" w:eastAsia="Times New Roman" w:hAnsi="Times"/>
          <w:color w:val="000000"/>
          <w:sz w:val="27"/>
          <w:szCs w:val="27"/>
          <w:lang w:val="fr-FR"/>
        </w:rPr>
        <w:br/>
      </w:r>
      <w:r w:rsidRPr="007159D6">
        <w:rPr>
          <w:rFonts w:eastAsia="Times New Roman"/>
          <w:b/>
          <w:bCs/>
          <w:color w:val="000000"/>
          <w:lang w:val="fr-FR"/>
        </w:rPr>
        <w:t xml:space="preserve">par les États parties </w:t>
      </w:r>
      <w:r w:rsidR="00896CDF">
        <w:rPr>
          <w:rFonts w:eastAsia="Times New Roman"/>
          <w:b/>
          <w:bCs/>
          <w:color w:val="000000"/>
          <w:lang w:val="fr-FR"/>
        </w:rPr>
        <w:t>en application de</w:t>
      </w:r>
      <w:r w:rsidRPr="007159D6">
        <w:rPr>
          <w:rFonts w:eastAsia="Times New Roman"/>
          <w:b/>
          <w:bCs/>
          <w:color w:val="000000"/>
          <w:lang w:val="fr-FR"/>
        </w:rPr>
        <w:t xml:space="preserve"> l</w:t>
      </w:r>
      <w:r w:rsidR="0076449C">
        <w:rPr>
          <w:rFonts w:eastAsia="Times New Roman"/>
          <w:b/>
          <w:bCs/>
          <w:color w:val="000000"/>
          <w:lang w:val="fr-FR"/>
        </w:rPr>
        <w:t>’</w:t>
      </w:r>
      <w:r w:rsidRPr="007159D6">
        <w:rPr>
          <w:rFonts w:eastAsia="Times New Roman"/>
          <w:b/>
          <w:bCs/>
          <w:color w:val="000000"/>
          <w:lang w:val="fr-FR"/>
        </w:rPr>
        <w:t>article 9 de la Convention</w:t>
      </w:r>
    </w:p>
    <w:p w14:paraId="1D5A83FF" w14:textId="57B934B9" w:rsidR="009D6AA9" w:rsidRDefault="00E42871">
      <w:pPr>
        <w:pStyle w:val="HChG"/>
      </w:pPr>
      <w:r>
        <w:tab/>
      </w:r>
      <w:r>
        <w:tab/>
        <w:t xml:space="preserve">Liste de </w:t>
      </w:r>
      <w:r w:rsidR="00A5383D">
        <w:t>thèmes</w:t>
      </w:r>
      <w:r>
        <w:t xml:space="preserve"> concernant le </w:t>
      </w:r>
      <w:r w:rsidR="00D904B2">
        <w:t>rapport du Bénin valant rapport initial et deuxième à neuvième rapports périodiques</w:t>
      </w:r>
    </w:p>
    <w:p w14:paraId="34868921" w14:textId="77287B17" w:rsidR="009D6AA9" w:rsidRDefault="00E42871">
      <w:pPr>
        <w:pStyle w:val="H1G"/>
      </w:pPr>
      <w:r>
        <w:tab/>
      </w:r>
      <w:r>
        <w:tab/>
        <w:t xml:space="preserve">Note du rapporteur </w:t>
      </w:r>
      <w:r w:rsidR="00F050D1">
        <w:t>pour le</w:t>
      </w:r>
      <w:r>
        <w:t xml:space="preserve"> pays</w:t>
      </w:r>
      <w:r w:rsidR="003E65F0" w:rsidRPr="00425735">
        <w:rPr>
          <w:rStyle w:val="Appelnotedebasdep"/>
          <w:b w:val="0"/>
          <w:bCs/>
          <w:sz w:val="20"/>
          <w:vertAlign w:val="baseline"/>
        </w:rPr>
        <w:footnoteReference w:customMarkFollows="1" w:id="2"/>
        <w:t>*</w:t>
      </w:r>
    </w:p>
    <w:p w14:paraId="7D413A1B" w14:textId="2095E4EE" w:rsidR="006B5194" w:rsidRDefault="00C540CB" w:rsidP="00C540CB">
      <w:pPr>
        <w:pStyle w:val="SingleTxtG"/>
      </w:pPr>
      <w:r>
        <w:t>1.</w:t>
      </w:r>
      <w:r>
        <w:tab/>
      </w:r>
      <w:r w:rsidR="00E42871">
        <w:t>À sa soixante-seizième session</w:t>
      </w:r>
      <w:r w:rsidR="00DA1B22">
        <w:rPr>
          <w:rStyle w:val="Appelnotedebasdep"/>
        </w:rPr>
        <w:footnoteReference w:id="3"/>
      </w:r>
      <w:r w:rsidR="00E42871">
        <w:t xml:space="preserve">, le Comité pour l’élimination de la discrimination raciale a décidé que le rapporteur </w:t>
      </w:r>
      <w:r w:rsidR="00442F66">
        <w:t>pour le</w:t>
      </w:r>
      <w:r w:rsidR="00E42871">
        <w:t xml:space="preserve"> pays ferait parvenir à l’État partie concerné une courte liste de thèmes en vue de guider et de structurer le dialogue entre la délégation de l’État partie et le Comité pendant l’examen du rapport de l’État partie. On</w:t>
      </w:r>
      <w:r w:rsidR="003C655A">
        <w:t> </w:t>
      </w:r>
      <w:r w:rsidR="00E42871">
        <w:t>trouvera ci-après une liste de thèmes non exhaustive, d’autres questions pouvant être traitées au cours du dialogue. Cette liste n’appelle pas de réponses écrites.</w:t>
      </w:r>
    </w:p>
    <w:p w14:paraId="6CFEC2CD" w14:textId="27F5D9C9" w:rsidR="009E114E" w:rsidRPr="009E114E" w:rsidRDefault="009E114E" w:rsidP="00C540CB">
      <w:pPr>
        <w:pStyle w:val="H23G"/>
      </w:pPr>
      <w:r>
        <w:tab/>
      </w:r>
      <w:r>
        <w:tab/>
      </w:r>
      <w:r w:rsidRPr="009E114E">
        <w:t xml:space="preserve">La Convention dans le droit interne et le cadre institutionnel et politique </w:t>
      </w:r>
      <w:r w:rsidR="009625BA">
        <w:br/>
      </w:r>
      <w:r w:rsidRPr="009E114E">
        <w:t>de sa mise en œuvre (art. </w:t>
      </w:r>
      <w:r w:rsidR="008B68D5" w:rsidRPr="00D94988">
        <w:t>1</w:t>
      </w:r>
      <w:r w:rsidR="007420DA" w:rsidRPr="00C540CB">
        <w:rPr>
          <w:vertAlign w:val="superscript"/>
        </w:rPr>
        <w:t>er</w:t>
      </w:r>
      <w:r w:rsidR="008B68D5" w:rsidRPr="00D94988">
        <w:t xml:space="preserve">, 2, </w:t>
      </w:r>
      <w:r w:rsidR="00E8436A">
        <w:t xml:space="preserve">3, </w:t>
      </w:r>
      <w:r w:rsidR="008B68D5" w:rsidRPr="00D94988">
        <w:t>4</w:t>
      </w:r>
      <w:r w:rsidR="007420DA">
        <w:t xml:space="preserve"> et</w:t>
      </w:r>
      <w:r w:rsidR="008B68D5" w:rsidRPr="00D94988">
        <w:t xml:space="preserve"> 6)</w:t>
      </w:r>
    </w:p>
    <w:p w14:paraId="66C5A06E" w14:textId="7C0D2D75" w:rsidR="008B68D5" w:rsidRDefault="00C540CB" w:rsidP="00C540CB">
      <w:pPr>
        <w:pStyle w:val="SingleTxtG"/>
      </w:pPr>
      <w:r>
        <w:t>2.</w:t>
      </w:r>
      <w:r>
        <w:tab/>
      </w:r>
      <w:r w:rsidR="003C259A">
        <w:t>Données statistiques sur le nombre de réfugiés et de</w:t>
      </w:r>
      <w:r w:rsidR="003C259A" w:rsidRPr="00D94988">
        <w:t xml:space="preserve"> demandeurs d’asile</w:t>
      </w:r>
      <w:r w:rsidR="003C259A">
        <w:t xml:space="preserve"> résidant sur le territoire de l’</w:t>
      </w:r>
      <w:r w:rsidR="00661223">
        <w:t>État</w:t>
      </w:r>
      <w:r w:rsidR="003C259A">
        <w:t xml:space="preserve"> partie</w:t>
      </w:r>
      <w:r w:rsidR="003C259A" w:rsidRPr="009A1EC9">
        <w:rPr>
          <w:vertAlign w:val="superscript"/>
        </w:rPr>
        <w:footnoteReference w:id="4"/>
      </w:r>
      <w:r w:rsidR="003C259A">
        <w:t>.</w:t>
      </w:r>
      <w:r w:rsidR="002B7E10">
        <w:t xml:space="preserve"> Mise à jour des </w:t>
      </w:r>
      <w:r w:rsidR="006C6074">
        <w:t>i</w:t>
      </w:r>
      <w:r w:rsidR="00E269E7" w:rsidRPr="00D94988">
        <w:t>ndicateurs économiques et sociaux des différents groupes vivant sur son territoire, ventilés par origine ethnique, sexe et âge, en particulier sur les groupes minorit</w:t>
      </w:r>
      <w:r w:rsidR="00E269E7">
        <w:t xml:space="preserve">aires et les </w:t>
      </w:r>
      <w:r w:rsidR="006C6074">
        <w:t>non-nationaux</w:t>
      </w:r>
      <w:r w:rsidR="00E269E7">
        <w:t xml:space="preserve">, notamment </w:t>
      </w:r>
      <w:r w:rsidR="003F2A67">
        <w:t>les</w:t>
      </w:r>
      <w:r w:rsidR="00E269E7">
        <w:t xml:space="preserve"> réfugiés et demandeurs d’asile</w:t>
      </w:r>
      <w:r w:rsidR="00754EC1" w:rsidRPr="009A1EC9">
        <w:rPr>
          <w:vertAlign w:val="superscript"/>
        </w:rPr>
        <w:footnoteReference w:id="5"/>
      </w:r>
      <w:r w:rsidR="00E269E7">
        <w:t xml:space="preserve">. </w:t>
      </w:r>
    </w:p>
    <w:p w14:paraId="48CC46FC" w14:textId="0A265811" w:rsidR="00E8436A" w:rsidRPr="005B6F16" w:rsidRDefault="00C540CB" w:rsidP="00C540CB">
      <w:pPr>
        <w:pStyle w:val="SingleTxtG"/>
      </w:pPr>
      <w:r w:rsidRPr="005B6F16">
        <w:t>3.</w:t>
      </w:r>
      <w:r w:rsidRPr="005B6F16">
        <w:tab/>
      </w:r>
      <w:r w:rsidR="00E8436A" w:rsidRPr="005B6F16">
        <w:t xml:space="preserve">Exemples d’affaires dans lesquelles les dispositions de la Convention ont été invoquées et directement appliquées par les tribunaux nationaux ; informations détaillées sur les mesures prises pour faire mieux connaître la Convention auprès des juges, </w:t>
      </w:r>
      <w:r w:rsidR="00DC0262">
        <w:t xml:space="preserve">des </w:t>
      </w:r>
      <w:r w:rsidR="00E8436A" w:rsidRPr="005B6F16">
        <w:t xml:space="preserve">magistrats, </w:t>
      </w:r>
      <w:r w:rsidR="00DC0262">
        <w:t xml:space="preserve">des </w:t>
      </w:r>
      <w:r w:rsidR="00E8436A" w:rsidRPr="005B6F16">
        <w:t xml:space="preserve">forces de l’ordre, </w:t>
      </w:r>
      <w:r w:rsidR="00DC0262">
        <w:t xml:space="preserve">des </w:t>
      </w:r>
      <w:r w:rsidR="00E8436A" w:rsidRPr="005B6F16">
        <w:t>fonctionnaires publics</w:t>
      </w:r>
      <w:r w:rsidR="00B34344">
        <w:t xml:space="preserve"> et</w:t>
      </w:r>
      <w:r w:rsidR="00E8436A" w:rsidRPr="005B6F16">
        <w:t xml:space="preserve"> </w:t>
      </w:r>
      <w:r w:rsidR="00B34344">
        <w:t xml:space="preserve">des </w:t>
      </w:r>
      <w:r w:rsidR="00E8436A" w:rsidRPr="005B6F16">
        <w:t>avocats ainsi qu’auprès de la population</w:t>
      </w:r>
      <w:r w:rsidR="005D135F">
        <w:t>,</w:t>
      </w:r>
      <w:r w:rsidR="00E8436A" w:rsidRPr="005B6F16">
        <w:t xml:space="preserve"> </w:t>
      </w:r>
      <w:r w:rsidR="005D135F">
        <w:t>et renseignements</w:t>
      </w:r>
      <w:r w:rsidR="00E8436A" w:rsidRPr="005B6F16">
        <w:t xml:space="preserve"> sur les recours utiles</w:t>
      </w:r>
      <w:r w:rsidR="005D135F">
        <w:rPr>
          <w:rStyle w:val="Appelnotedebasdep"/>
        </w:rPr>
        <w:footnoteReference w:id="6"/>
      </w:r>
      <w:r w:rsidR="00E8436A">
        <w:t xml:space="preserve">. </w:t>
      </w:r>
    </w:p>
    <w:p w14:paraId="7FDDDAD0" w14:textId="0B099859" w:rsidR="00C175C6" w:rsidRPr="005B6F16" w:rsidRDefault="00C540CB" w:rsidP="00C540CB">
      <w:pPr>
        <w:pStyle w:val="SingleTxtG"/>
      </w:pPr>
      <w:r w:rsidRPr="005B6F16">
        <w:t>4.</w:t>
      </w:r>
      <w:r w:rsidRPr="005B6F16">
        <w:tab/>
      </w:r>
      <w:r w:rsidR="00C175C6" w:rsidRPr="005B6F16">
        <w:t xml:space="preserve">Mesures prises pour faire en sorte que tous les motifs énoncés à l’article premier de la Convention soient pleinement couverts par les dispositions de la Constitution relatives à la </w:t>
      </w:r>
      <w:r w:rsidR="00C175C6" w:rsidRPr="005B6F16">
        <w:lastRenderedPageBreak/>
        <w:t>non-discrimination et à l’égalité</w:t>
      </w:r>
      <w:r w:rsidR="006C6074" w:rsidRPr="005B6F16">
        <w:t>,</w:t>
      </w:r>
      <w:r w:rsidR="00C175C6" w:rsidRPr="005B6F16">
        <w:t xml:space="preserve"> ainsi que dans tous les autres textes de l’ordonnancement juridique de l’</w:t>
      </w:r>
      <w:r w:rsidR="00661223">
        <w:t>État</w:t>
      </w:r>
      <w:r w:rsidR="00C175C6" w:rsidRPr="005B6F16">
        <w:t xml:space="preserve"> partie</w:t>
      </w:r>
      <w:r w:rsidR="00653584">
        <w:rPr>
          <w:rStyle w:val="Appelnotedebasdep"/>
        </w:rPr>
        <w:footnoteReference w:id="7"/>
      </w:r>
      <w:r w:rsidR="00C175C6">
        <w:t>.</w:t>
      </w:r>
      <w:r w:rsidR="00C175C6" w:rsidRPr="005B6F16">
        <w:t xml:space="preserve"> </w:t>
      </w:r>
    </w:p>
    <w:p w14:paraId="16D673BB" w14:textId="643CC976" w:rsidR="00C175C6" w:rsidRDefault="00C540CB" w:rsidP="00C540CB">
      <w:pPr>
        <w:pStyle w:val="SingleTxtG"/>
      </w:pPr>
      <w:r>
        <w:t>5.</w:t>
      </w:r>
      <w:r>
        <w:tab/>
      </w:r>
      <w:r w:rsidR="00C175C6" w:rsidRPr="005B6F16">
        <w:t>Mesures prises pour introduire dans la législation de l’</w:t>
      </w:r>
      <w:r w:rsidR="00661223">
        <w:t>État</w:t>
      </w:r>
      <w:r w:rsidR="00C175C6" w:rsidRPr="005B6F16">
        <w:t xml:space="preserve"> partie une définition de la discrimination raciale </w:t>
      </w:r>
      <w:r w:rsidR="00511AE7">
        <w:t xml:space="preserve">conforme aux </w:t>
      </w:r>
      <w:r w:rsidR="00C175C6" w:rsidRPr="005B6F16">
        <w:t>article</w:t>
      </w:r>
      <w:r w:rsidR="00511AE7">
        <w:t>s</w:t>
      </w:r>
      <w:r w:rsidR="00C175C6" w:rsidRPr="005B6F16">
        <w:t xml:space="preserve"> 1</w:t>
      </w:r>
      <w:r w:rsidR="00511AE7" w:rsidRPr="00C540CB">
        <w:rPr>
          <w:vertAlign w:val="superscript"/>
        </w:rPr>
        <w:t>er</w:t>
      </w:r>
      <w:r w:rsidR="00C175C6" w:rsidRPr="005B6F16">
        <w:t xml:space="preserve">, 2 et 4 de la Convention, </w:t>
      </w:r>
      <w:r w:rsidR="00433A3F">
        <w:t>incluant notamment les notions de</w:t>
      </w:r>
      <w:r w:rsidR="00C175C6" w:rsidRPr="005B6F16">
        <w:t xml:space="preserve"> discrimination directe et indirecte</w:t>
      </w:r>
      <w:r w:rsidR="00FE76EC">
        <w:rPr>
          <w:rStyle w:val="Appelnotedebasdep"/>
        </w:rPr>
        <w:footnoteReference w:id="8"/>
      </w:r>
      <w:r w:rsidR="00C175C6">
        <w:t>.</w:t>
      </w:r>
    </w:p>
    <w:p w14:paraId="6A246EEB" w14:textId="6B70DF8B" w:rsidR="00C175C6" w:rsidRDefault="00C540CB" w:rsidP="00C540CB">
      <w:pPr>
        <w:pStyle w:val="SingleTxtG"/>
      </w:pPr>
      <w:r>
        <w:t>6.</w:t>
      </w:r>
      <w:r>
        <w:tab/>
      </w:r>
      <w:r w:rsidR="00C175C6">
        <w:t>Informations sur l’introduction de mesures spéciales dans le droit interne de l’</w:t>
      </w:r>
      <w:r w:rsidR="00661223">
        <w:t>État</w:t>
      </w:r>
      <w:r w:rsidR="00C175C6">
        <w:t xml:space="preserve"> partie en conformité </w:t>
      </w:r>
      <w:r w:rsidR="00FE76EC">
        <w:t xml:space="preserve">avec les </w:t>
      </w:r>
      <w:r w:rsidR="00C175C6">
        <w:t>article</w:t>
      </w:r>
      <w:r w:rsidR="00FE76EC">
        <w:t>s</w:t>
      </w:r>
      <w:r w:rsidR="00C175C6">
        <w:t xml:space="preserve"> 1</w:t>
      </w:r>
      <w:r w:rsidR="00FE76EC" w:rsidRPr="00C540CB">
        <w:rPr>
          <w:vertAlign w:val="superscript"/>
        </w:rPr>
        <w:t>er</w:t>
      </w:r>
      <w:r w:rsidR="00C175C6">
        <w:t xml:space="preserve"> </w:t>
      </w:r>
      <w:r w:rsidR="00FE76EC">
        <w:t>(</w:t>
      </w:r>
      <w:r w:rsidR="00C175C6">
        <w:t>par</w:t>
      </w:r>
      <w:r w:rsidR="00FE76EC">
        <w:t>. </w:t>
      </w:r>
      <w:r w:rsidR="00C175C6">
        <w:t>4</w:t>
      </w:r>
      <w:r w:rsidR="00FE76EC">
        <w:t>)</w:t>
      </w:r>
      <w:r w:rsidR="00C175C6">
        <w:t xml:space="preserve"> et 2 </w:t>
      </w:r>
      <w:r w:rsidR="00FE76EC">
        <w:t>(</w:t>
      </w:r>
      <w:r w:rsidR="00C175C6">
        <w:t>par</w:t>
      </w:r>
      <w:r w:rsidR="00FE76EC">
        <w:t>. </w:t>
      </w:r>
      <w:r w:rsidR="00C175C6">
        <w:t>2</w:t>
      </w:r>
      <w:r w:rsidR="00FE76EC">
        <w:t>)</w:t>
      </w:r>
      <w:r w:rsidR="00C175C6">
        <w:t xml:space="preserve"> de la Convention.</w:t>
      </w:r>
    </w:p>
    <w:p w14:paraId="721ED45D" w14:textId="5B767B9B" w:rsidR="005F298F" w:rsidRDefault="00C540CB" w:rsidP="00C540CB">
      <w:pPr>
        <w:pStyle w:val="SingleTxtG"/>
      </w:pPr>
      <w:r>
        <w:t>7.</w:t>
      </w:r>
      <w:r>
        <w:tab/>
      </w:r>
      <w:r w:rsidR="00D71D8E">
        <w:t xml:space="preserve">Informations sur l’introduction en droit interne des dispositions de l’article 4 de la Convention. </w:t>
      </w:r>
      <w:r w:rsidR="004F297F">
        <w:t xml:space="preserve">Informations et données statistiques sur les plaintes enregistrées devant les tribunaux </w:t>
      </w:r>
      <w:r w:rsidR="00E8436A">
        <w:t xml:space="preserve">et la Commission béninoise des droits de l’homme </w:t>
      </w:r>
      <w:r w:rsidR="004F297F">
        <w:t xml:space="preserve">pour des actes de discrimination raciale </w:t>
      </w:r>
      <w:r w:rsidR="00705437">
        <w:t xml:space="preserve">ainsi que </w:t>
      </w:r>
      <w:r w:rsidR="004F297F">
        <w:t xml:space="preserve">des discours </w:t>
      </w:r>
      <w:r w:rsidR="006C6074">
        <w:t xml:space="preserve">et crimes </w:t>
      </w:r>
      <w:r w:rsidR="004F297F">
        <w:t>de haine raciste, y compris sur Internet et d</w:t>
      </w:r>
      <w:r w:rsidR="00D462EA">
        <w:t>ans l</w:t>
      </w:r>
      <w:r w:rsidR="004F297F">
        <w:t>es médias</w:t>
      </w:r>
      <w:r w:rsidR="00AD3B2C">
        <w:t>,</w:t>
      </w:r>
      <w:r w:rsidR="004F297F">
        <w:t xml:space="preserve"> et sur le nombre d</w:t>
      </w:r>
      <w:r w:rsidR="009625BA">
        <w:t>’</w:t>
      </w:r>
      <w:r w:rsidR="004F297F">
        <w:t>enquêtes, de poursuites et de condamnations des auteurs en application notamment d</w:t>
      </w:r>
      <w:r w:rsidR="00D71D8E">
        <w:t xml:space="preserve">es dispositions relatives à la </w:t>
      </w:r>
      <w:r w:rsidR="0077751A">
        <w:t>l</w:t>
      </w:r>
      <w:r w:rsidR="00D71D8E">
        <w:t>oi n</w:t>
      </w:r>
      <w:r w:rsidR="00D71D8E" w:rsidRPr="00C540CB">
        <w:rPr>
          <w:vertAlign w:val="superscript"/>
        </w:rPr>
        <w:t>o</w:t>
      </w:r>
      <w:r w:rsidR="0077751A">
        <w:t> </w:t>
      </w:r>
      <w:r w:rsidR="00D71D8E">
        <w:t>2015-07 du 20 mars 2015 portant code de l’information et de la communication</w:t>
      </w:r>
      <w:r w:rsidR="006C6074">
        <w:t xml:space="preserve">, </w:t>
      </w:r>
      <w:r w:rsidR="00E47DD6">
        <w:t xml:space="preserve">à </w:t>
      </w:r>
      <w:r w:rsidR="00D71D8E">
        <w:t xml:space="preserve">la </w:t>
      </w:r>
      <w:r w:rsidR="00E47DD6">
        <w:t>l</w:t>
      </w:r>
      <w:r w:rsidR="00D71D8E">
        <w:t>oi n</w:t>
      </w:r>
      <w:r w:rsidR="00D71D8E" w:rsidRPr="00C540CB">
        <w:rPr>
          <w:vertAlign w:val="superscript"/>
        </w:rPr>
        <w:t>o</w:t>
      </w:r>
      <w:r w:rsidR="00E47DD6">
        <w:t> </w:t>
      </w:r>
      <w:r w:rsidR="00D71D8E">
        <w:t xml:space="preserve">2017-20 du 13 juin 2017 portant code du numérique, </w:t>
      </w:r>
      <w:r w:rsidR="00C40B22">
        <w:t xml:space="preserve">à </w:t>
      </w:r>
      <w:r w:rsidR="00D71D8E">
        <w:t xml:space="preserve">l’article 281 du Code pénal, </w:t>
      </w:r>
      <w:r w:rsidR="00C40B22">
        <w:t xml:space="preserve">à </w:t>
      </w:r>
      <w:r w:rsidR="00D71D8E">
        <w:t xml:space="preserve">la </w:t>
      </w:r>
      <w:r w:rsidR="00C40B22">
        <w:t>l</w:t>
      </w:r>
      <w:r w:rsidR="00D71D8E">
        <w:t>oi n</w:t>
      </w:r>
      <w:r w:rsidR="00D71D8E" w:rsidRPr="00C540CB">
        <w:rPr>
          <w:vertAlign w:val="superscript"/>
        </w:rPr>
        <w:t>o</w:t>
      </w:r>
      <w:r w:rsidR="00C40B22">
        <w:t> </w:t>
      </w:r>
      <w:r w:rsidR="00D71D8E">
        <w:t xml:space="preserve">2018-31 du 9 octobre 2018 portant code électoral et </w:t>
      </w:r>
      <w:r w:rsidR="00DF6378">
        <w:t xml:space="preserve">à </w:t>
      </w:r>
      <w:r w:rsidR="00D71D8E">
        <w:t>l</w:t>
      </w:r>
      <w:r w:rsidR="004F297F">
        <w:t>’</w:t>
      </w:r>
      <w:r w:rsidR="00D71D8E">
        <w:t xml:space="preserve">article 5 de la </w:t>
      </w:r>
      <w:r w:rsidR="00832BD7">
        <w:t>l</w:t>
      </w:r>
      <w:r w:rsidR="00D71D8E">
        <w:t>oi n</w:t>
      </w:r>
      <w:r w:rsidR="00D71D8E" w:rsidRPr="00C540CB">
        <w:rPr>
          <w:vertAlign w:val="superscript"/>
        </w:rPr>
        <w:t>o</w:t>
      </w:r>
      <w:r w:rsidR="00832BD7">
        <w:t> </w:t>
      </w:r>
      <w:r w:rsidR="00D71D8E">
        <w:t>2018-23 du 17 septembre 2018 portant charte des partis politiques</w:t>
      </w:r>
      <w:r w:rsidR="00832BD7">
        <w:rPr>
          <w:rStyle w:val="Appelnotedebasdep"/>
        </w:rPr>
        <w:footnoteReference w:id="9"/>
      </w:r>
      <w:r w:rsidR="00A22156">
        <w:t xml:space="preserve">. </w:t>
      </w:r>
    </w:p>
    <w:p w14:paraId="1EB8111F" w14:textId="16F54C22" w:rsidR="00A60230" w:rsidRPr="00D82157" w:rsidRDefault="00C540CB" w:rsidP="00C540CB">
      <w:pPr>
        <w:pStyle w:val="SingleTxtG"/>
      </w:pPr>
      <w:r w:rsidRPr="00D82157">
        <w:t>8.</w:t>
      </w:r>
      <w:r w:rsidRPr="00D82157">
        <w:tab/>
      </w:r>
      <w:r w:rsidR="00537143" w:rsidRPr="004F66AF">
        <w:t xml:space="preserve">Mesures concrètes prises </w:t>
      </w:r>
      <w:r w:rsidR="007571C2">
        <w:t>pour</w:t>
      </w:r>
      <w:r w:rsidR="00537143">
        <w:t xml:space="preserve"> prévenir le profilage racial</w:t>
      </w:r>
      <w:r w:rsidR="00537143" w:rsidRPr="004F66AF">
        <w:t xml:space="preserve"> par des agents de police et </w:t>
      </w:r>
      <w:r w:rsidR="00537143">
        <w:t>lutter contre celui-ci. Mesures disciplinaires et correctionnelles spécifiques pour enquêter sur les cas de profilage racial et les sanctionner en pratique.</w:t>
      </w:r>
      <w:r w:rsidR="003079C1">
        <w:t xml:space="preserve"> Mesures visant à faire de la motivation raciste une circonstance aggravante pour les infractions visées par le Code pénal. Exemples de cas où la motivation raciste a été prise en compte dans la fixation de la peine</w:t>
      </w:r>
      <w:r w:rsidR="003079C1" w:rsidRPr="009A1EC9">
        <w:rPr>
          <w:vertAlign w:val="superscript"/>
        </w:rPr>
        <w:footnoteReference w:id="10"/>
      </w:r>
      <w:r w:rsidR="003079C1">
        <w:t>.</w:t>
      </w:r>
    </w:p>
    <w:p w14:paraId="59090423" w14:textId="6D454F04" w:rsidR="008B68D5" w:rsidRPr="005B6F16" w:rsidRDefault="00C540CB" w:rsidP="00C540CB">
      <w:pPr>
        <w:pStyle w:val="SingleTxtG"/>
      </w:pPr>
      <w:r w:rsidRPr="005B6F16">
        <w:t>9.</w:t>
      </w:r>
      <w:r w:rsidRPr="005B6F16">
        <w:tab/>
      </w:r>
      <w:r w:rsidR="00E8436A">
        <w:t xml:space="preserve">Informations sur l’accès à l’aide juridictionnelle </w:t>
      </w:r>
      <w:r w:rsidR="00F85369">
        <w:t>pour les</w:t>
      </w:r>
      <w:r w:rsidR="00E8436A">
        <w:t xml:space="preserve"> non-nationaux, en particulier </w:t>
      </w:r>
      <w:r w:rsidR="00F85369">
        <w:t>les</w:t>
      </w:r>
      <w:r w:rsidR="00E8436A">
        <w:t xml:space="preserve"> réfugiés et demandeurs d’asile</w:t>
      </w:r>
      <w:r w:rsidR="00F85369">
        <w:rPr>
          <w:rStyle w:val="Appelnotedebasdep"/>
        </w:rPr>
        <w:footnoteReference w:id="11"/>
      </w:r>
      <w:r w:rsidR="00E8436A">
        <w:t>.</w:t>
      </w:r>
      <w:r w:rsidR="009625BA">
        <w:t xml:space="preserve"> </w:t>
      </w:r>
    </w:p>
    <w:p w14:paraId="410230AD" w14:textId="5754DA3E" w:rsidR="00537143" w:rsidRDefault="00C540CB" w:rsidP="00C540CB">
      <w:pPr>
        <w:pStyle w:val="SingleTxtG"/>
      </w:pPr>
      <w:r>
        <w:t>10.</w:t>
      </w:r>
      <w:r>
        <w:tab/>
      </w:r>
      <w:r w:rsidR="00483174" w:rsidRPr="00D82157">
        <w:t>Mesures pour</w:t>
      </w:r>
      <w:r w:rsidR="00483174" w:rsidRPr="005B6F16">
        <w:t xml:space="preserve"> </w:t>
      </w:r>
      <w:r w:rsidR="00483174">
        <w:t>prévenir et combattre toute autre forme de ségrégation</w:t>
      </w:r>
      <w:r w:rsidR="00E571FD">
        <w:t>,</w:t>
      </w:r>
      <w:r w:rsidR="00483174">
        <w:t xml:space="preserve"> en particulier dans les domaines de l’habitat et de l’éducation, concernant </w:t>
      </w:r>
      <w:r w:rsidR="00C642E2">
        <w:t xml:space="preserve">spécifiquement </w:t>
      </w:r>
      <w:r w:rsidR="00483174">
        <w:t>les minorités ou populations vulnérables</w:t>
      </w:r>
      <w:r w:rsidR="00C642E2">
        <w:rPr>
          <w:rStyle w:val="Appelnotedebasdep"/>
        </w:rPr>
        <w:footnoteReference w:id="12"/>
      </w:r>
      <w:r w:rsidR="00483174">
        <w:t xml:space="preserve">. </w:t>
      </w:r>
    </w:p>
    <w:p w14:paraId="3E54B396" w14:textId="1B95A7D8" w:rsidR="00CB0CDA" w:rsidRDefault="00C540CB" w:rsidP="00C540CB">
      <w:pPr>
        <w:pStyle w:val="SingleTxtG"/>
      </w:pPr>
      <w:r>
        <w:t>11.</w:t>
      </w:r>
      <w:r>
        <w:tab/>
      </w:r>
      <w:r w:rsidR="002227EE">
        <w:t>I</w:t>
      </w:r>
      <w:r w:rsidR="0079328C">
        <w:t>nformations sur l’i</w:t>
      </w:r>
      <w:r w:rsidR="002227EE">
        <w:t xml:space="preserve">ndépendance de la Commission </w:t>
      </w:r>
      <w:r w:rsidR="008E6982">
        <w:t xml:space="preserve">béninoise des droits de l’homme </w:t>
      </w:r>
      <w:r w:rsidR="002227EE">
        <w:t xml:space="preserve">et </w:t>
      </w:r>
      <w:r w:rsidR="00C71873">
        <w:t xml:space="preserve">les </w:t>
      </w:r>
      <w:r w:rsidR="002227EE">
        <w:t>ressources humaines et financières qui lui sont allouées. Activités de la Commission en matière de discrimination raciale</w:t>
      </w:r>
      <w:r w:rsidR="00754EC1" w:rsidRPr="009A1EC9">
        <w:rPr>
          <w:vertAlign w:val="superscript"/>
        </w:rPr>
        <w:footnoteReference w:id="13"/>
      </w:r>
      <w:r w:rsidR="008E6982">
        <w:t xml:space="preserve">. </w:t>
      </w:r>
      <w:r w:rsidR="008A42A4">
        <w:t>Renseignements sur les a</w:t>
      </w:r>
      <w:r w:rsidR="008E6982">
        <w:t>ctivités du Médiateur en matière de lutte contre la discrimination raciale</w:t>
      </w:r>
      <w:r w:rsidR="008A42A4">
        <w:t>,</w:t>
      </w:r>
      <w:r w:rsidR="008E6982">
        <w:t xml:space="preserve"> et ressources humaines et financières qui lui sont allouées</w:t>
      </w:r>
      <w:r w:rsidR="008A42A4">
        <w:rPr>
          <w:rStyle w:val="Appelnotedebasdep"/>
        </w:rPr>
        <w:footnoteReference w:id="14"/>
      </w:r>
      <w:r w:rsidR="008E6982">
        <w:t xml:space="preserve">. </w:t>
      </w:r>
    </w:p>
    <w:p w14:paraId="068C8B0C" w14:textId="58ADB8C1" w:rsidR="008E6982" w:rsidRPr="00D82157" w:rsidRDefault="00C540CB" w:rsidP="00C540CB">
      <w:pPr>
        <w:pStyle w:val="SingleTxtG"/>
      </w:pPr>
      <w:r w:rsidRPr="00D82157">
        <w:t>12.</w:t>
      </w:r>
      <w:r w:rsidRPr="00D82157">
        <w:tab/>
      </w:r>
      <w:r w:rsidR="000B4A77">
        <w:t>Renseignements sur la m</w:t>
      </w:r>
      <w:r w:rsidR="008E6982">
        <w:t>ise en œuvre</w:t>
      </w:r>
      <w:r w:rsidR="003E36BB">
        <w:t xml:space="preserve">, </w:t>
      </w:r>
      <w:r w:rsidR="000B4A77">
        <w:t>l’</w:t>
      </w:r>
      <w:r w:rsidR="003E36BB">
        <w:t>évaluation</w:t>
      </w:r>
      <w:r w:rsidR="008E6982">
        <w:t xml:space="preserve"> et </w:t>
      </w:r>
      <w:r w:rsidR="000B4A77">
        <w:t xml:space="preserve">les </w:t>
      </w:r>
      <w:r w:rsidR="008E6982">
        <w:t xml:space="preserve">résultats des </w:t>
      </w:r>
      <w:r w:rsidR="00021243">
        <w:t>p</w:t>
      </w:r>
      <w:r w:rsidR="008E6982">
        <w:t>lans d’action contre la discrimination raciale, la xénophobie et l’intolérance</w:t>
      </w:r>
      <w:r w:rsidR="00021243">
        <w:rPr>
          <w:rStyle w:val="Appelnotedebasdep"/>
        </w:rPr>
        <w:footnoteReference w:id="15"/>
      </w:r>
      <w:r w:rsidR="003E36BB">
        <w:t xml:space="preserve">. </w:t>
      </w:r>
    </w:p>
    <w:p w14:paraId="7B0D55B3" w14:textId="0E038FD6" w:rsidR="008B68D5" w:rsidRPr="00815353" w:rsidRDefault="005B6F16" w:rsidP="005B6F16">
      <w:pPr>
        <w:pStyle w:val="H23G"/>
      </w:pPr>
      <w:r>
        <w:tab/>
      </w:r>
      <w:r>
        <w:tab/>
      </w:r>
      <w:r w:rsidR="00815353" w:rsidRPr="00D82157">
        <w:t>Situation des minorités et des non-ressortissants, notamment des réfugiés, des</w:t>
      </w:r>
      <w:r w:rsidR="009625BA">
        <w:t> </w:t>
      </w:r>
      <w:r w:rsidR="00815353" w:rsidRPr="00D82157">
        <w:t xml:space="preserve">demandeurs d’asile, des apatrides et des migrants </w:t>
      </w:r>
      <w:r w:rsidR="00815353" w:rsidRPr="00D82157">
        <w:rPr>
          <w:lang w:val="fr-FR"/>
        </w:rPr>
        <w:t>(art. 5)</w:t>
      </w:r>
    </w:p>
    <w:p w14:paraId="1C4F9708" w14:textId="3F8B28EC" w:rsidR="00815353" w:rsidRDefault="00C540CB" w:rsidP="00C540CB">
      <w:pPr>
        <w:pStyle w:val="SingleTxtG"/>
      </w:pPr>
      <w:r>
        <w:t>13.</w:t>
      </w:r>
      <w:r>
        <w:tab/>
      </w:r>
      <w:r w:rsidR="000B4A77">
        <w:t>M</w:t>
      </w:r>
      <w:r w:rsidR="00815353">
        <w:t xml:space="preserve">esures prises pour permettre à la femme béninoise de transmettre sa nationalité à son époux étranger ou à son enfant né d’un père étranger, à égalité avec l’homme béninois. Mise à jour quant à l’adoption d’un nouveau </w:t>
      </w:r>
      <w:r w:rsidR="000B4A77">
        <w:t>c</w:t>
      </w:r>
      <w:r w:rsidR="00815353">
        <w:t xml:space="preserve">ode de </w:t>
      </w:r>
      <w:r w:rsidR="004C0562">
        <w:t xml:space="preserve">la </w:t>
      </w:r>
      <w:r w:rsidR="00815353">
        <w:t>nationalité</w:t>
      </w:r>
      <w:r w:rsidR="00A534C8" w:rsidRPr="009A1EC9">
        <w:rPr>
          <w:vertAlign w:val="superscript"/>
        </w:rPr>
        <w:footnoteReference w:id="16"/>
      </w:r>
      <w:r w:rsidR="00815353">
        <w:t xml:space="preserve">. </w:t>
      </w:r>
    </w:p>
    <w:p w14:paraId="3BA169DA" w14:textId="408EC0E7" w:rsidR="00A534C8" w:rsidRDefault="00C540CB" w:rsidP="00C540CB">
      <w:pPr>
        <w:pStyle w:val="SingleTxtG"/>
      </w:pPr>
      <w:r>
        <w:t>14.</w:t>
      </w:r>
      <w:r>
        <w:tab/>
      </w:r>
      <w:r w:rsidR="004C0562">
        <w:t>Renseignements sur les p</w:t>
      </w:r>
      <w:r w:rsidR="00A534C8">
        <w:t>ossibilité</w:t>
      </w:r>
      <w:r w:rsidR="00577E5A">
        <w:t>s</w:t>
      </w:r>
      <w:r w:rsidR="00A534C8">
        <w:t xml:space="preserve"> et conditions </w:t>
      </w:r>
      <w:r w:rsidR="008C4179">
        <w:t xml:space="preserve">d’accès à la propriété et de détention d’une propriété </w:t>
      </w:r>
      <w:r w:rsidR="00A534C8">
        <w:t>pour des non-nationaux</w:t>
      </w:r>
      <w:r w:rsidR="00577E5A">
        <w:t>, sans discrimination</w:t>
      </w:r>
      <w:r w:rsidR="00777079">
        <w:t>, et sur les</w:t>
      </w:r>
      <w:r w:rsidR="00CA002A">
        <w:t xml:space="preserve"> </w:t>
      </w:r>
      <w:r w:rsidR="00777079">
        <w:t>c</w:t>
      </w:r>
      <w:r w:rsidR="00CA002A">
        <w:t xml:space="preserve">onditions d’accès des non-nationaux, notamment des réfugiés </w:t>
      </w:r>
      <w:r w:rsidR="006C6074">
        <w:t xml:space="preserve">et </w:t>
      </w:r>
      <w:r w:rsidR="00777079">
        <w:t xml:space="preserve">des </w:t>
      </w:r>
      <w:r w:rsidR="006C6074">
        <w:t xml:space="preserve">demandeurs d’asile, </w:t>
      </w:r>
      <w:r w:rsidR="00CA002A">
        <w:t>aux logements sociaux</w:t>
      </w:r>
      <w:r w:rsidR="00777079">
        <w:rPr>
          <w:rStyle w:val="Appelnotedebasdep"/>
        </w:rPr>
        <w:footnoteReference w:id="17"/>
      </w:r>
      <w:r w:rsidR="00A534C8">
        <w:t xml:space="preserve">. </w:t>
      </w:r>
      <w:r w:rsidR="008754F9">
        <w:lastRenderedPageBreak/>
        <w:t>Informations sur les p</w:t>
      </w:r>
      <w:r w:rsidR="00577E5A">
        <w:t>ossibilités pour les non-nationaux de créer des associations ou des syndicats</w:t>
      </w:r>
      <w:r w:rsidR="003C1755">
        <w:t>,</w:t>
      </w:r>
      <w:r w:rsidR="00C733B7">
        <w:t xml:space="preserve"> de s’y affilier</w:t>
      </w:r>
      <w:r w:rsidR="00E8436A">
        <w:t xml:space="preserve"> et </w:t>
      </w:r>
      <w:r w:rsidR="003C1755">
        <w:t>d’</w:t>
      </w:r>
      <w:r w:rsidR="00577E5A">
        <w:t xml:space="preserve">y occuper des postes </w:t>
      </w:r>
      <w:r w:rsidR="00E8436A">
        <w:t>à</w:t>
      </w:r>
      <w:r w:rsidR="00577E5A">
        <w:t xml:space="preserve"> responsabilité</w:t>
      </w:r>
      <w:r w:rsidR="003C1755">
        <w:t>, et conditions requises à cet égard</w:t>
      </w:r>
      <w:r w:rsidR="006A6BF8">
        <w:rPr>
          <w:rStyle w:val="Appelnotedebasdep"/>
        </w:rPr>
        <w:footnoteReference w:id="18"/>
      </w:r>
      <w:r w:rsidR="00C733B7">
        <w:t>.</w:t>
      </w:r>
    </w:p>
    <w:p w14:paraId="4B71A2A9" w14:textId="721C3E4B" w:rsidR="00AB119A" w:rsidRDefault="00C540CB" w:rsidP="00C540CB">
      <w:pPr>
        <w:pStyle w:val="SingleTxtG"/>
      </w:pPr>
      <w:r>
        <w:t>15.</w:t>
      </w:r>
      <w:r>
        <w:tab/>
      </w:r>
      <w:r w:rsidR="00AB119A">
        <w:t>Informations sur l’accès des non-nationaux</w:t>
      </w:r>
      <w:r w:rsidR="00A95FF2">
        <w:t>,</w:t>
      </w:r>
      <w:r w:rsidR="00AB119A">
        <w:t xml:space="preserve"> notamment </w:t>
      </w:r>
      <w:r w:rsidR="00A95FF2">
        <w:t>les</w:t>
      </w:r>
      <w:r w:rsidR="00AB119A">
        <w:t xml:space="preserve"> réfugiés et demandeurs d’asile</w:t>
      </w:r>
      <w:r w:rsidR="00A95FF2">
        <w:t>,</w:t>
      </w:r>
      <w:r w:rsidR="00AB119A">
        <w:t xml:space="preserve"> au système de sécurité sociale, en particulier à l’assuranc</w:t>
      </w:r>
      <w:r w:rsidR="00F57338">
        <w:t>e maladie universelle, ainsi qu’aux soins de santé de manière générale</w:t>
      </w:r>
      <w:r w:rsidR="00A95FF2">
        <w:rPr>
          <w:rStyle w:val="Appelnotedebasdep"/>
        </w:rPr>
        <w:footnoteReference w:id="19"/>
      </w:r>
      <w:r w:rsidR="00F57338">
        <w:t xml:space="preserve">. </w:t>
      </w:r>
      <w:r w:rsidR="00BE2CAB">
        <w:t>Renseignements sur l</w:t>
      </w:r>
      <w:r w:rsidR="00D6112A">
        <w:t>’a</w:t>
      </w:r>
      <w:r w:rsidR="00F57338">
        <w:t>ccès à l’éducation et à la formation professionnelle pour ces mêmes catégories</w:t>
      </w:r>
      <w:r w:rsidR="00D6112A">
        <w:t>,</w:t>
      </w:r>
      <w:r w:rsidR="00F57338">
        <w:t xml:space="preserve"> statistiques à </w:t>
      </w:r>
      <w:r w:rsidR="00D6112A">
        <w:t>l’appui</w:t>
      </w:r>
      <w:r w:rsidR="00D6112A">
        <w:rPr>
          <w:rStyle w:val="Appelnotedebasdep"/>
        </w:rPr>
        <w:footnoteReference w:id="20"/>
      </w:r>
      <w:r w:rsidR="00F57338">
        <w:t xml:space="preserve">. </w:t>
      </w:r>
    </w:p>
    <w:p w14:paraId="6F7D1BED" w14:textId="7F68CA0D" w:rsidR="001975FB" w:rsidRPr="005B6F16" w:rsidRDefault="00C540CB" w:rsidP="00C540CB">
      <w:pPr>
        <w:pStyle w:val="SingleTxtG"/>
      </w:pPr>
      <w:r w:rsidRPr="005B6F16">
        <w:t>16.</w:t>
      </w:r>
      <w:r w:rsidRPr="005B6F16">
        <w:tab/>
      </w:r>
      <w:r w:rsidR="001975FB" w:rsidRPr="00231C9B">
        <w:t>Renseignements</w:t>
      </w:r>
      <w:r w:rsidR="001975FB">
        <w:t xml:space="preserve"> sur l’incidence de la pandémie de maladie à coronavirus (COVID-19) sur les personnes les plus vulnérables à la discrimination et sur les différents groupes protégés par la Convention, y compris les non-ressortissants, notamment </w:t>
      </w:r>
      <w:r w:rsidR="00662D5E">
        <w:t>les</w:t>
      </w:r>
      <w:r w:rsidR="001975FB">
        <w:t xml:space="preserve"> réfugiés, demandeurs d’asile, apatrides et migrants. Mesures prises pour</w:t>
      </w:r>
      <w:r w:rsidR="00662D5E">
        <w:t> </w:t>
      </w:r>
      <w:r w:rsidR="001975FB">
        <w:t>: a) les protéger contre les effets de la pandémie de COVID-19</w:t>
      </w:r>
      <w:r w:rsidR="00662D5E">
        <w:t> </w:t>
      </w:r>
      <w:r w:rsidR="001975FB">
        <w:t>; b) les protéger contre les actes discriminatoires</w:t>
      </w:r>
      <w:r w:rsidR="00662D5E">
        <w:t>,</w:t>
      </w:r>
      <w:r w:rsidR="001975FB">
        <w:t xml:space="preserve"> et combattre les discours de haine et la stigmatisation liés à la pandémie</w:t>
      </w:r>
      <w:r w:rsidR="00662D5E">
        <w:t> </w:t>
      </w:r>
      <w:r w:rsidR="001975FB">
        <w:t>;</w:t>
      </w:r>
      <w:r w:rsidR="00662D5E">
        <w:t xml:space="preserve"> et</w:t>
      </w:r>
      <w:r w:rsidR="001975FB">
        <w:t xml:space="preserve"> c) atténuer les répercussions socioéconomiques de la pandémie sur ces personnes et groupes</w:t>
      </w:r>
      <w:r w:rsidR="00341DEF">
        <w:t>.</w:t>
      </w:r>
      <w:r w:rsidR="009625BA">
        <w:t xml:space="preserve"> </w:t>
      </w:r>
    </w:p>
    <w:p w14:paraId="657BCBC5" w14:textId="5D14BB78" w:rsidR="00972438" w:rsidRPr="005B6F16" w:rsidRDefault="00C540CB" w:rsidP="00C540CB">
      <w:pPr>
        <w:pStyle w:val="SingleTxtG"/>
      </w:pPr>
      <w:r w:rsidRPr="005B6F16">
        <w:t>17.</w:t>
      </w:r>
      <w:r w:rsidRPr="005B6F16">
        <w:tab/>
      </w:r>
      <w:r w:rsidR="00972438" w:rsidRPr="005B6F16">
        <w:t>Mesures pour promouvoir et protéger les droits culturels des différents groupes ethniques</w:t>
      </w:r>
      <w:r w:rsidR="00772C6F">
        <w:t>,</w:t>
      </w:r>
      <w:r w:rsidR="00972438" w:rsidRPr="005B6F16">
        <w:t xml:space="preserve"> y compris l’enseignement des langues nationales dans les programmes scolaires</w:t>
      </w:r>
      <w:r w:rsidR="00972438" w:rsidRPr="009A1EC9">
        <w:rPr>
          <w:vertAlign w:val="superscript"/>
        </w:rPr>
        <w:footnoteReference w:id="21"/>
      </w:r>
      <w:r w:rsidR="00972438" w:rsidRPr="005B6F16">
        <w:t>.</w:t>
      </w:r>
    </w:p>
    <w:p w14:paraId="61BD1F5E" w14:textId="46F917D9" w:rsidR="0057310B" w:rsidRPr="005B6F16" w:rsidRDefault="00C540CB" w:rsidP="00C540CB">
      <w:pPr>
        <w:pStyle w:val="SingleTxtG"/>
      </w:pPr>
      <w:r w:rsidRPr="005B6F16">
        <w:t>18.</w:t>
      </w:r>
      <w:r w:rsidRPr="005B6F16">
        <w:tab/>
      </w:r>
      <w:r w:rsidR="0057310B" w:rsidRPr="005B6F16">
        <w:t>Mesures prises pour prévenir la traite des personnes et toutes le</w:t>
      </w:r>
      <w:r w:rsidR="00B565AD">
        <w:t>s</w:t>
      </w:r>
      <w:r w:rsidR="0057310B" w:rsidRPr="005B6F16">
        <w:t xml:space="preserve"> formes d’exploitation</w:t>
      </w:r>
      <w:r w:rsidR="00B565AD">
        <w:t>,</w:t>
      </w:r>
      <w:r w:rsidR="0057310B" w:rsidRPr="005B6F16">
        <w:t xml:space="preserve"> notamment des femmes réfugiées et demandeuses d’asile</w:t>
      </w:r>
      <w:r w:rsidR="00B565AD">
        <w:t xml:space="preserve">, et lutter contre </w:t>
      </w:r>
      <w:r w:rsidR="00AE2D7E">
        <w:t>de tels actes</w:t>
      </w:r>
      <w:r w:rsidR="0057310B" w:rsidRPr="005B6F16">
        <w:t xml:space="preserve">. </w:t>
      </w:r>
      <w:r w:rsidR="0007388C">
        <w:t>Informations sur les i</w:t>
      </w:r>
      <w:r w:rsidR="0057310B" w:rsidRPr="005B6F16">
        <w:t>nvestigations et poursuites engagées contre les respon</w:t>
      </w:r>
      <w:r w:rsidR="00D82157" w:rsidRPr="005B6F16">
        <w:t>s</w:t>
      </w:r>
      <w:r w:rsidR="0057310B" w:rsidRPr="005B6F16">
        <w:t>ables</w:t>
      </w:r>
      <w:r w:rsidR="005B50BD">
        <w:t>, et m</w:t>
      </w:r>
      <w:r w:rsidR="00E8436A" w:rsidRPr="005B6F16">
        <w:t>esures de protection offertes aux victimes</w:t>
      </w:r>
      <w:r w:rsidR="0057310B" w:rsidRPr="009A1EC9">
        <w:rPr>
          <w:vertAlign w:val="superscript"/>
        </w:rPr>
        <w:footnoteReference w:id="22"/>
      </w:r>
      <w:r w:rsidR="0057310B" w:rsidRPr="005B6F16">
        <w:t xml:space="preserve">. </w:t>
      </w:r>
    </w:p>
    <w:p w14:paraId="40D9D011" w14:textId="6B41CD8A" w:rsidR="00502DB1" w:rsidRPr="00D82157" w:rsidRDefault="005B6F16" w:rsidP="005B6F16">
      <w:pPr>
        <w:pStyle w:val="H23G"/>
        <w:rPr>
          <w:lang w:val="fr-FR"/>
        </w:rPr>
      </w:pPr>
      <w:r>
        <w:tab/>
      </w:r>
      <w:r>
        <w:tab/>
      </w:r>
      <w:r w:rsidR="00502DB1" w:rsidRPr="00D82157">
        <w:t xml:space="preserve">Éducation pour lutter contre les préjugés et promouvoir la compréhension </w:t>
      </w:r>
      <w:r w:rsidR="00502DB1" w:rsidRPr="00D82157">
        <w:rPr>
          <w:lang w:val="fr-FR"/>
        </w:rPr>
        <w:t>(art.</w:t>
      </w:r>
      <w:r w:rsidR="009625BA">
        <w:rPr>
          <w:lang w:val="fr-FR"/>
        </w:rPr>
        <w:t> </w:t>
      </w:r>
      <w:r w:rsidR="00502DB1" w:rsidRPr="00D82157">
        <w:rPr>
          <w:lang w:val="fr-FR"/>
        </w:rPr>
        <w:t>7)</w:t>
      </w:r>
    </w:p>
    <w:p w14:paraId="2F8CCA80" w14:textId="652B3E12" w:rsidR="00502DB1" w:rsidRPr="005B6F16" w:rsidRDefault="00C540CB" w:rsidP="00C540CB">
      <w:pPr>
        <w:pStyle w:val="SingleTxtG"/>
      </w:pPr>
      <w:r w:rsidRPr="005B6F16">
        <w:t>19.</w:t>
      </w:r>
      <w:r w:rsidRPr="005B6F16">
        <w:tab/>
      </w:r>
      <w:r w:rsidR="00E8436A" w:rsidRPr="005B6F16">
        <w:t>M</w:t>
      </w:r>
      <w:r w:rsidR="00502DB1" w:rsidRPr="005B6F16">
        <w:t xml:space="preserve">esures prises pour promouvoir l’éducation aux droits </w:t>
      </w:r>
      <w:r w:rsidR="006B4E47">
        <w:t>humains</w:t>
      </w:r>
      <w:r w:rsidR="00502DB1" w:rsidRPr="005B6F16">
        <w:t>, concrètement</w:t>
      </w:r>
      <w:r w:rsidR="006B4E47">
        <w:t>,</w:t>
      </w:r>
      <w:r w:rsidR="00502DB1" w:rsidRPr="005B6F16">
        <w:t xml:space="preserve"> sur les questions de discrimination raciale, dans tous les programmes scolaires et dans la formation des enseignants</w:t>
      </w:r>
      <w:r w:rsidR="006B4E47">
        <w:t>, et</w:t>
      </w:r>
      <w:r w:rsidR="00502DB1" w:rsidRPr="005B6F16">
        <w:t xml:space="preserve"> informations sur l’impact de ces mesures</w:t>
      </w:r>
      <w:r w:rsidR="00502DB1" w:rsidRPr="009A1EC9">
        <w:rPr>
          <w:vertAlign w:val="superscript"/>
        </w:rPr>
        <w:footnoteReference w:id="23"/>
      </w:r>
      <w:r w:rsidR="00502DB1" w:rsidRPr="005B6F16">
        <w:t xml:space="preserve">. Initiatives destinées à promouvoir la bonne entente </w:t>
      </w:r>
      <w:r w:rsidR="0081490D" w:rsidRPr="005B6F16">
        <w:t xml:space="preserve">et la tolérance </w:t>
      </w:r>
      <w:r w:rsidR="00502DB1" w:rsidRPr="005B6F16">
        <w:t xml:space="preserve">entre les différents groupes ethniques </w:t>
      </w:r>
      <w:r w:rsidR="0081490D" w:rsidRPr="005B6F16">
        <w:t>vivant sur le territoire de l’</w:t>
      </w:r>
      <w:r w:rsidR="00661223">
        <w:t>État</w:t>
      </w:r>
      <w:r w:rsidR="0081490D" w:rsidRPr="005B6F16">
        <w:t xml:space="preserve"> partie</w:t>
      </w:r>
      <w:r w:rsidR="004B7377">
        <w:rPr>
          <w:rStyle w:val="Appelnotedebasdep"/>
        </w:rPr>
        <w:footnoteReference w:id="24"/>
      </w:r>
      <w:r w:rsidR="00502DB1">
        <w:t xml:space="preserve">. </w:t>
      </w:r>
    </w:p>
    <w:p w14:paraId="4F0F33D9" w14:textId="044E9DD9" w:rsidR="00C24F60" w:rsidRPr="00C540CB" w:rsidRDefault="006B5194" w:rsidP="006B5194">
      <w:pPr>
        <w:pStyle w:val="SingleTxtG"/>
        <w:spacing w:before="240" w:after="0"/>
        <w:jc w:val="center"/>
        <w:rPr>
          <w:u w:val="single"/>
        </w:rPr>
      </w:pPr>
      <w:r w:rsidRPr="00C540CB">
        <w:rPr>
          <w:u w:val="single"/>
        </w:rPr>
        <w:tab/>
      </w:r>
      <w:r w:rsidRPr="00C540CB">
        <w:rPr>
          <w:u w:val="single"/>
        </w:rPr>
        <w:tab/>
      </w:r>
      <w:r w:rsidRPr="00C540CB">
        <w:rPr>
          <w:u w:val="single"/>
        </w:rPr>
        <w:tab/>
      </w:r>
      <w:r w:rsidR="00425735" w:rsidRPr="00C540CB">
        <w:rPr>
          <w:u w:val="single"/>
        </w:rPr>
        <w:tab/>
      </w:r>
    </w:p>
    <w:sectPr w:rsidR="00C24F60" w:rsidRPr="00C540CB" w:rsidSect="009625B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014A2" w14:textId="77777777" w:rsidR="00E43962" w:rsidRDefault="00E43962">
      <w:pPr>
        <w:spacing w:line="240" w:lineRule="auto"/>
      </w:pPr>
    </w:p>
  </w:endnote>
  <w:endnote w:type="continuationSeparator" w:id="0">
    <w:p w14:paraId="72C7C0C6" w14:textId="77777777" w:rsidR="00E43962" w:rsidRDefault="00E43962">
      <w:pPr>
        <w:pStyle w:val="Pieddepage"/>
      </w:pPr>
    </w:p>
  </w:endnote>
  <w:endnote w:type="continuationNotice" w:id="1">
    <w:p w14:paraId="27511EDC" w14:textId="77777777" w:rsidR="00E43962" w:rsidRDefault="00E439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47C92" w14:textId="0BFDB840" w:rsidR="007D24F1" w:rsidRDefault="007D24F1">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341DEF">
      <w:rPr>
        <w:b/>
        <w:noProof/>
        <w:sz w:val="18"/>
      </w:rPr>
      <w:t>4</w:t>
    </w:r>
    <w:r>
      <w:rPr>
        <w:b/>
        <w:sz w:val="18"/>
      </w:rPr>
      <w:fldChar w:fldCharType="end"/>
    </w:r>
    <w:r>
      <w:tab/>
    </w:r>
    <w:r w:rsidR="00F420A7">
      <w:fldChar w:fldCharType="begin"/>
    </w:r>
    <w:r w:rsidR="00F420A7">
      <w:instrText xml:space="preserve"> DOCPROPERTY  gdocf  \* MERGEFORMAT </w:instrText>
    </w:r>
    <w:r w:rsidR="00F420A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13312" w14:textId="4561DEB3" w:rsidR="007D24F1" w:rsidRDefault="00F420A7">
    <w:pPr>
      <w:pStyle w:val="Pieddepage"/>
      <w:tabs>
        <w:tab w:val="right" w:pos="9639"/>
      </w:tabs>
      <w:rPr>
        <w:sz w:val="20"/>
      </w:rPr>
    </w:pPr>
    <w:r>
      <w:fldChar w:fldCharType="begin"/>
    </w:r>
    <w:r>
      <w:instrText xml:space="preserve"> DOCPROPERTY  gdocf  \* MERGEFORMAT </w:instrText>
    </w:r>
    <w:r>
      <w:fldChar w:fldCharType="end"/>
    </w:r>
    <w:r w:rsidR="007D24F1">
      <w:tab/>
    </w:r>
    <w:r w:rsidR="007D24F1">
      <w:rPr>
        <w:b/>
        <w:sz w:val="18"/>
      </w:rPr>
      <w:fldChar w:fldCharType="begin"/>
    </w:r>
    <w:r w:rsidR="007D24F1">
      <w:rPr>
        <w:b/>
        <w:sz w:val="18"/>
      </w:rPr>
      <w:instrText xml:space="preserve"> PAGE  \* MERGEFORMAT </w:instrText>
    </w:r>
    <w:r w:rsidR="007D24F1">
      <w:rPr>
        <w:b/>
        <w:sz w:val="18"/>
      </w:rPr>
      <w:fldChar w:fldCharType="separate"/>
    </w:r>
    <w:r w:rsidR="00341DEF">
      <w:rPr>
        <w:b/>
        <w:noProof/>
        <w:sz w:val="18"/>
      </w:rPr>
      <w:t>3</w:t>
    </w:r>
    <w:r w:rsidR="007D24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1F57" w14:textId="65437329" w:rsidR="00344A53" w:rsidRPr="00344A53" w:rsidRDefault="00344A53" w:rsidP="00344A53">
    <w:pPr>
      <w:pStyle w:val="Pieddepage"/>
      <w:tabs>
        <w:tab w:val="left" w:pos="6520"/>
        <w:tab w:val="right" w:pos="9638"/>
      </w:tabs>
      <w:spacing w:before="120"/>
      <w:rPr>
        <w:sz w:val="20"/>
      </w:rPr>
    </w:pPr>
    <w:r>
      <w:rPr>
        <w:sz w:val="20"/>
      </w:rPr>
      <w:t>GE.22-11099  (F)</w:t>
    </w:r>
    <w:bookmarkStart w:id="0" w:name="_GoBack"/>
    <w:bookmarkEnd w:id="0"/>
    <w:r>
      <w:rPr>
        <w:sz w:val="20"/>
      </w:rPr>
      <w:tab/>
    </w:r>
    <w:r w:rsidRPr="00344A53">
      <w:rPr>
        <w:noProof/>
        <w:sz w:val="20"/>
        <w:lang w:eastAsia="fr-CH"/>
      </w:rPr>
      <w:drawing>
        <wp:inline distT="0" distB="0" distL="0" distR="0" wp14:anchorId="03369F68" wp14:editId="618E01FD">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9889569" wp14:editId="0A9E3EA3">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A9B44" w14:textId="77777777" w:rsidR="00E43962" w:rsidRDefault="00E43962">
      <w:pPr>
        <w:pStyle w:val="Pieddepage"/>
        <w:tabs>
          <w:tab w:val="right" w:pos="2155"/>
        </w:tabs>
        <w:spacing w:after="80" w:line="240" w:lineRule="atLeast"/>
        <w:ind w:left="680"/>
        <w:rPr>
          <w:u w:val="single"/>
        </w:rPr>
      </w:pPr>
      <w:r>
        <w:rPr>
          <w:u w:val="single"/>
        </w:rPr>
        <w:tab/>
      </w:r>
    </w:p>
  </w:footnote>
  <w:footnote w:type="continuationSeparator" w:id="0">
    <w:p w14:paraId="25255E8C" w14:textId="77777777" w:rsidR="00E43962" w:rsidRDefault="00E43962">
      <w:pPr>
        <w:pStyle w:val="Pieddepage"/>
        <w:tabs>
          <w:tab w:val="right" w:pos="2155"/>
        </w:tabs>
        <w:spacing w:after="80" w:line="240" w:lineRule="atLeast"/>
        <w:ind w:left="680"/>
        <w:rPr>
          <w:u w:val="single"/>
        </w:rPr>
      </w:pPr>
      <w:r>
        <w:rPr>
          <w:u w:val="single"/>
        </w:rPr>
        <w:tab/>
      </w:r>
    </w:p>
  </w:footnote>
  <w:footnote w:type="continuationNotice" w:id="1">
    <w:p w14:paraId="5E67398B" w14:textId="77777777" w:rsidR="00E43962" w:rsidRDefault="00E43962">
      <w:pPr>
        <w:spacing w:line="240" w:lineRule="auto"/>
        <w:rPr>
          <w:sz w:val="2"/>
          <w:szCs w:val="2"/>
        </w:rPr>
      </w:pPr>
    </w:p>
  </w:footnote>
  <w:footnote w:id="2">
    <w:p w14:paraId="0F07EBF4" w14:textId="73656268" w:rsidR="003E65F0" w:rsidRPr="00425735" w:rsidRDefault="003E65F0" w:rsidP="003E65F0">
      <w:pPr>
        <w:pStyle w:val="Notedebasdepage"/>
        <w:rPr>
          <w:lang w:val="fr-BE"/>
        </w:rPr>
      </w:pPr>
      <w:r w:rsidRPr="00C540CB">
        <w:rPr>
          <w:rStyle w:val="Appelnotedebasdep"/>
          <w:sz w:val="20"/>
        </w:rPr>
        <w:tab/>
      </w:r>
      <w:r w:rsidRPr="00C540CB">
        <w:rPr>
          <w:rStyle w:val="Appelnotedebasdep"/>
          <w:sz w:val="20"/>
          <w:vertAlign w:val="baseline"/>
        </w:rPr>
        <w:t>*</w:t>
      </w:r>
      <w:r>
        <w:rPr>
          <w:rStyle w:val="Appelnotedebasdep"/>
          <w:sz w:val="20"/>
          <w:vertAlign w:val="baseline"/>
        </w:rPr>
        <w:tab/>
      </w:r>
      <w:r>
        <w:rPr>
          <w:szCs w:val="18"/>
        </w:rPr>
        <w:t xml:space="preserve">Le présent </w:t>
      </w:r>
      <w:r w:rsidR="0086431A">
        <w:rPr>
          <w:szCs w:val="18"/>
        </w:rPr>
        <w:t>document</w:t>
      </w:r>
      <w:r w:rsidRPr="008A041C">
        <w:rPr>
          <w:szCs w:val="18"/>
        </w:rPr>
        <w:t xml:space="preserve"> a été soumis après la date limite afin de refléter les informations</w:t>
      </w:r>
      <w:r w:rsidR="00535E2A">
        <w:rPr>
          <w:szCs w:val="18"/>
        </w:rPr>
        <w:br/>
      </w:r>
      <w:r w:rsidRPr="008A041C">
        <w:rPr>
          <w:szCs w:val="18"/>
        </w:rPr>
        <w:t>les plus récentes.</w:t>
      </w:r>
    </w:p>
  </w:footnote>
  <w:footnote w:id="3">
    <w:p w14:paraId="4764A586" w14:textId="56A9424E" w:rsidR="00DA1B22" w:rsidRDefault="00DA1B22">
      <w:pPr>
        <w:pStyle w:val="Notedebasdepage"/>
      </w:pPr>
      <w:r>
        <w:tab/>
      </w:r>
      <w:r>
        <w:rPr>
          <w:rStyle w:val="Appelnotedebasdep"/>
        </w:rPr>
        <w:footnoteRef/>
      </w:r>
      <w:r>
        <w:tab/>
      </w:r>
      <w:hyperlink r:id="rId1" w:history="1">
        <w:r w:rsidRPr="00C540CB">
          <w:rPr>
            <w:rStyle w:val="Lienhypertexte"/>
          </w:rPr>
          <w:t>A/65/18</w:t>
        </w:r>
      </w:hyperlink>
      <w:r>
        <w:t>, par. 85.</w:t>
      </w:r>
    </w:p>
  </w:footnote>
  <w:footnote w:id="4">
    <w:p w14:paraId="5D74279C" w14:textId="36619CE7" w:rsidR="003C259A" w:rsidRPr="00425735" w:rsidRDefault="009A1EC9">
      <w:pPr>
        <w:pStyle w:val="Notedebasdepage"/>
        <w:rPr>
          <w:lang w:val="fr-BE"/>
        </w:rPr>
      </w:pPr>
      <w:r>
        <w:tab/>
      </w:r>
      <w:r w:rsidR="003C259A">
        <w:rPr>
          <w:rStyle w:val="Appelnotedebasdep"/>
        </w:rPr>
        <w:footnoteRef/>
      </w:r>
      <w:r>
        <w:tab/>
      </w:r>
      <w:hyperlink r:id="rId2" w:history="1">
        <w:r w:rsidR="00661223" w:rsidRPr="00C540CB">
          <w:rPr>
            <w:rStyle w:val="Lienhypertexte"/>
          </w:rPr>
          <w:t>CERD/C/BEN/1-9</w:t>
        </w:r>
      </w:hyperlink>
      <w:r w:rsidR="00661223">
        <w:t>, par. 10</w:t>
      </w:r>
      <w:r w:rsidR="003C259A">
        <w:t xml:space="preserve"> </w:t>
      </w:r>
      <w:r w:rsidR="00172E82">
        <w:t>(</w:t>
      </w:r>
      <w:r w:rsidR="003C259A">
        <w:t>tableau 4</w:t>
      </w:r>
      <w:r w:rsidR="00172E82">
        <w:t>)</w:t>
      </w:r>
      <w:r w:rsidR="003C259A">
        <w:t>.</w:t>
      </w:r>
    </w:p>
  </w:footnote>
  <w:footnote w:id="5">
    <w:p w14:paraId="2E9B5CB2" w14:textId="59CD1957" w:rsidR="00754EC1" w:rsidRPr="00425735" w:rsidRDefault="009A1EC9">
      <w:pPr>
        <w:pStyle w:val="Notedebasdepage"/>
        <w:rPr>
          <w:lang w:val="fr-BE"/>
        </w:rPr>
      </w:pPr>
      <w:r>
        <w:tab/>
      </w:r>
      <w:r w:rsidR="00754EC1">
        <w:rPr>
          <w:rStyle w:val="Appelnotedebasdep"/>
        </w:rPr>
        <w:footnoteRef/>
      </w:r>
      <w:r>
        <w:tab/>
      </w:r>
      <w:r w:rsidR="003F2A67">
        <w:t>Ibid., p</w:t>
      </w:r>
      <w:r w:rsidR="000C4243">
        <w:t>ar. 128</w:t>
      </w:r>
      <w:r w:rsidR="00C74883">
        <w:t xml:space="preserve"> à </w:t>
      </w:r>
      <w:r w:rsidR="000C4243">
        <w:t>134.</w:t>
      </w:r>
      <w:r w:rsidR="003F2A67">
        <w:t xml:space="preserve"> Voir également </w:t>
      </w:r>
      <w:hyperlink r:id="rId3" w:history="1">
        <w:r w:rsidR="00754EC1" w:rsidRPr="00C540CB">
          <w:rPr>
            <w:rStyle w:val="Lienhypertexte"/>
          </w:rPr>
          <w:t>E/C.12/BEN/CO/3</w:t>
        </w:r>
      </w:hyperlink>
      <w:r w:rsidR="00754EC1">
        <w:t>, par.</w:t>
      </w:r>
      <w:r w:rsidR="008A041C">
        <w:t> </w:t>
      </w:r>
      <w:r w:rsidR="00754EC1">
        <w:t>5</w:t>
      </w:r>
      <w:r w:rsidR="005A5F6E">
        <w:t xml:space="preserve"> et </w:t>
      </w:r>
      <w:r w:rsidR="00754EC1">
        <w:t>6.</w:t>
      </w:r>
    </w:p>
  </w:footnote>
  <w:footnote w:id="6">
    <w:p w14:paraId="607A71C1" w14:textId="2C520D20" w:rsidR="005D135F" w:rsidRDefault="005D135F">
      <w:pPr>
        <w:pStyle w:val="Notedebasdepage"/>
      </w:pPr>
      <w:r>
        <w:tab/>
      </w:r>
      <w:r>
        <w:rPr>
          <w:rStyle w:val="Appelnotedebasdep"/>
        </w:rPr>
        <w:footnoteRef/>
      </w:r>
      <w:r>
        <w:tab/>
      </w:r>
      <w:hyperlink r:id="rId4" w:history="1">
        <w:r w:rsidRPr="00C540CB">
          <w:rPr>
            <w:rStyle w:val="Lienhypertexte"/>
          </w:rPr>
          <w:t>CERD/C/BEN/1-9</w:t>
        </w:r>
      </w:hyperlink>
      <w:r>
        <w:t>, par. 47.</w:t>
      </w:r>
    </w:p>
  </w:footnote>
  <w:footnote w:id="7">
    <w:p w14:paraId="61DBCC1E" w14:textId="2876B6D3" w:rsidR="00653584" w:rsidRDefault="00653584">
      <w:pPr>
        <w:pStyle w:val="Notedebasdepage"/>
      </w:pPr>
      <w:r>
        <w:tab/>
      </w:r>
      <w:r>
        <w:rPr>
          <w:rStyle w:val="Appelnotedebasdep"/>
        </w:rPr>
        <w:footnoteRef/>
      </w:r>
      <w:r>
        <w:tab/>
        <w:t>Ibid.,</w:t>
      </w:r>
      <w:r w:rsidRPr="00653584">
        <w:t xml:space="preserve"> </w:t>
      </w:r>
      <w:r>
        <w:t>par. 63 à 65 et 74 à 77.</w:t>
      </w:r>
    </w:p>
  </w:footnote>
  <w:footnote w:id="8">
    <w:p w14:paraId="4D76AF17" w14:textId="58C7FA81" w:rsidR="00FE76EC" w:rsidRDefault="00FE76EC">
      <w:pPr>
        <w:pStyle w:val="Notedebasdepage"/>
      </w:pPr>
      <w:r>
        <w:tab/>
      </w:r>
      <w:r>
        <w:rPr>
          <w:rStyle w:val="Appelnotedebasdep"/>
        </w:rPr>
        <w:footnoteRef/>
      </w:r>
      <w:r>
        <w:tab/>
        <w:t>Ibid., par. 63.</w:t>
      </w:r>
    </w:p>
  </w:footnote>
  <w:footnote w:id="9">
    <w:p w14:paraId="54924D62" w14:textId="01BFFA3E" w:rsidR="00832BD7" w:rsidRDefault="00832BD7">
      <w:pPr>
        <w:pStyle w:val="Notedebasdepage"/>
      </w:pPr>
      <w:r>
        <w:tab/>
      </w:r>
      <w:r>
        <w:rPr>
          <w:rStyle w:val="Appelnotedebasdep"/>
        </w:rPr>
        <w:footnoteRef/>
      </w:r>
      <w:r>
        <w:tab/>
      </w:r>
      <w:r w:rsidR="002F0A0A">
        <w:t>Ibid.</w:t>
      </w:r>
      <w:r>
        <w:t>, par. 86 à</w:t>
      </w:r>
      <w:r w:rsidR="00E533AE">
        <w:t xml:space="preserve"> </w:t>
      </w:r>
      <w:r>
        <w:t>90</w:t>
      </w:r>
      <w:r w:rsidR="00E533AE">
        <w:t xml:space="preserve"> et</w:t>
      </w:r>
      <w:r>
        <w:t xml:space="preserve"> 188</w:t>
      </w:r>
      <w:r w:rsidR="00E533AE">
        <w:t xml:space="preserve"> à </w:t>
      </w:r>
      <w:r>
        <w:t>195</w:t>
      </w:r>
      <w:r w:rsidR="00E533AE">
        <w:t>.</w:t>
      </w:r>
    </w:p>
  </w:footnote>
  <w:footnote w:id="10">
    <w:p w14:paraId="7A97CB58" w14:textId="7A627CB8" w:rsidR="003079C1" w:rsidRPr="00425735" w:rsidRDefault="009A1EC9">
      <w:pPr>
        <w:pStyle w:val="Notedebasdepage"/>
        <w:rPr>
          <w:lang w:val="fr-BE"/>
        </w:rPr>
      </w:pPr>
      <w:r>
        <w:tab/>
      </w:r>
      <w:r w:rsidR="003079C1">
        <w:rPr>
          <w:rStyle w:val="Appelnotedebasdep"/>
        </w:rPr>
        <w:footnoteRef/>
      </w:r>
      <w:r>
        <w:tab/>
      </w:r>
      <w:r w:rsidR="003079C1" w:rsidRPr="00425735">
        <w:rPr>
          <w:lang w:val="fr-BE"/>
        </w:rPr>
        <w:t>L’</w:t>
      </w:r>
      <w:r w:rsidR="00661223">
        <w:rPr>
          <w:lang w:val="fr-BE"/>
        </w:rPr>
        <w:t>État</w:t>
      </w:r>
      <w:r w:rsidR="003079C1" w:rsidRPr="00425735">
        <w:rPr>
          <w:lang w:val="fr-BE"/>
        </w:rPr>
        <w:t xml:space="preserve"> partie ne donne aucune information à ce sujet</w:t>
      </w:r>
      <w:r w:rsidR="004B7377">
        <w:rPr>
          <w:lang w:val="fr-BE"/>
        </w:rPr>
        <w:t xml:space="preserve"> dans son rapport</w:t>
      </w:r>
      <w:r w:rsidR="003079C1" w:rsidRPr="00425735">
        <w:rPr>
          <w:lang w:val="fr-BE"/>
        </w:rPr>
        <w:t xml:space="preserve">. </w:t>
      </w:r>
    </w:p>
  </w:footnote>
  <w:footnote w:id="11">
    <w:p w14:paraId="37D9054A" w14:textId="62CE5B64" w:rsidR="00F85369" w:rsidRDefault="00F85369">
      <w:pPr>
        <w:pStyle w:val="Notedebasdepage"/>
      </w:pPr>
      <w:r>
        <w:tab/>
      </w:r>
      <w:r>
        <w:rPr>
          <w:rStyle w:val="Appelnotedebasdep"/>
        </w:rPr>
        <w:footnoteRef/>
      </w:r>
      <w:r>
        <w:tab/>
      </w:r>
      <w:hyperlink r:id="rId5" w:history="1">
        <w:r w:rsidRPr="00C540CB">
          <w:rPr>
            <w:rStyle w:val="Lienhypertexte"/>
          </w:rPr>
          <w:t>CERD/C/BEN/1-9</w:t>
        </w:r>
      </w:hyperlink>
      <w:r>
        <w:t>, par. 196.</w:t>
      </w:r>
    </w:p>
  </w:footnote>
  <w:footnote w:id="12">
    <w:p w14:paraId="6315F5A6" w14:textId="240A0456" w:rsidR="00C642E2" w:rsidRDefault="00C642E2">
      <w:pPr>
        <w:pStyle w:val="Notedebasdepage"/>
      </w:pPr>
      <w:r>
        <w:tab/>
      </w:r>
      <w:r>
        <w:rPr>
          <w:rStyle w:val="Appelnotedebasdep"/>
        </w:rPr>
        <w:footnoteRef/>
      </w:r>
      <w:r>
        <w:tab/>
        <w:t>Ibid., par. 82 et 83.</w:t>
      </w:r>
    </w:p>
  </w:footnote>
  <w:footnote w:id="13">
    <w:p w14:paraId="23DF1CA3" w14:textId="6A1C9DCA" w:rsidR="00754EC1" w:rsidRPr="00425735" w:rsidRDefault="009A1EC9">
      <w:pPr>
        <w:pStyle w:val="Notedebasdepage"/>
        <w:rPr>
          <w:lang w:val="fr-BE"/>
        </w:rPr>
      </w:pPr>
      <w:r>
        <w:tab/>
      </w:r>
      <w:r w:rsidR="00754EC1">
        <w:rPr>
          <w:rStyle w:val="Appelnotedebasdep"/>
        </w:rPr>
        <w:footnoteRef/>
      </w:r>
      <w:r>
        <w:tab/>
      </w:r>
      <w:r w:rsidR="004A44E7">
        <w:t>Ibid., par. 54. Voir également</w:t>
      </w:r>
      <w:r w:rsidR="00754EC1">
        <w:t xml:space="preserve"> </w:t>
      </w:r>
      <w:hyperlink r:id="rId6" w:history="1">
        <w:r w:rsidR="00754EC1" w:rsidRPr="00C540CB">
          <w:rPr>
            <w:rStyle w:val="Lienhypertexte"/>
          </w:rPr>
          <w:t>E/C.</w:t>
        </w:r>
        <w:r w:rsidR="00A50DAC" w:rsidRPr="00C540CB">
          <w:rPr>
            <w:rStyle w:val="Lienhypertexte"/>
          </w:rPr>
          <w:t>12/BEN/CO/3</w:t>
        </w:r>
      </w:hyperlink>
      <w:r w:rsidR="00A50DAC">
        <w:t>, par. 7</w:t>
      </w:r>
      <w:r w:rsidR="004A44E7">
        <w:t xml:space="preserve"> et </w:t>
      </w:r>
      <w:r w:rsidR="00A50DAC">
        <w:t>8</w:t>
      </w:r>
      <w:r w:rsidR="004A44E7">
        <w:t> </w:t>
      </w:r>
      <w:r w:rsidR="00A50DAC">
        <w:t>;</w:t>
      </w:r>
      <w:r w:rsidR="004A44E7">
        <w:t xml:space="preserve"> et</w:t>
      </w:r>
      <w:r w:rsidR="00A50DAC">
        <w:t xml:space="preserve"> </w:t>
      </w:r>
      <w:hyperlink r:id="rId7" w:history="1">
        <w:r w:rsidR="00A50DAC" w:rsidRPr="00C540CB">
          <w:rPr>
            <w:rStyle w:val="Lienhypertexte"/>
          </w:rPr>
          <w:t>CAT/C/BEN/CO</w:t>
        </w:r>
        <w:r w:rsidR="00757C20" w:rsidRPr="00C540CB">
          <w:rPr>
            <w:rStyle w:val="Lienhypertexte"/>
          </w:rPr>
          <w:t>/</w:t>
        </w:r>
        <w:r w:rsidR="00A50DAC" w:rsidRPr="00C540CB">
          <w:rPr>
            <w:rStyle w:val="Lienhypertexte"/>
          </w:rPr>
          <w:t>3</w:t>
        </w:r>
      </w:hyperlink>
      <w:r w:rsidR="00A50DAC">
        <w:t>, par. 28</w:t>
      </w:r>
      <w:r w:rsidR="00757C20">
        <w:t xml:space="preserve"> et </w:t>
      </w:r>
      <w:r w:rsidR="00A50DAC">
        <w:t>29.</w:t>
      </w:r>
      <w:r w:rsidR="00754EC1">
        <w:t xml:space="preserve"> </w:t>
      </w:r>
    </w:p>
  </w:footnote>
  <w:footnote w:id="14">
    <w:p w14:paraId="50225F74" w14:textId="66DE339C" w:rsidR="008A42A4" w:rsidRDefault="008A42A4">
      <w:pPr>
        <w:pStyle w:val="Notedebasdepage"/>
      </w:pPr>
      <w:r>
        <w:tab/>
      </w:r>
      <w:r>
        <w:rPr>
          <w:rStyle w:val="Appelnotedebasdep"/>
        </w:rPr>
        <w:footnoteRef/>
      </w:r>
      <w:r>
        <w:tab/>
      </w:r>
      <w:hyperlink r:id="rId8" w:history="1">
        <w:r w:rsidR="00446E08" w:rsidRPr="00C540CB">
          <w:rPr>
            <w:rStyle w:val="Lienhypertexte"/>
          </w:rPr>
          <w:t>CERD/C/BEN/1-9</w:t>
        </w:r>
      </w:hyperlink>
      <w:r>
        <w:t xml:space="preserve">, </w:t>
      </w:r>
      <w:r w:rsidR="00021243">
        <w:t>par. 43 et 44.</w:t>
      </w:r>
    </w:p>
  </w:footnote>
  <w:footnote w:id="15">
    <w:p w14:paraId="28C91B70" w14:textId="6B29C1D1" w:rsidR="00021243" w:rsidRDefault="00021243">
      <w:pPr>
        <w:pStyle w:val="Notedebasdepage"/>
      </w:pPr>
      <w:r>
        <w:tab/>
      </w:r>
      <w:r>
        <w:rPr>
          <w:rStyle w:val="Appelnotedebasdep"/>
        </w:rPr>
        <w:footnoteRef/>
      </w:r>
      <w:r>
        <w:tab/>
        <w:t>Ibid., par. 58.</w:t>
      </w:r>
    </w:p>
  </w:footnote>
  <w:footnote w:id="16">
    <w:p w14:paraId="7EDA770B" w14:textId="756ED0B8" w:rsidR="00A534C8" w:rsidRPr="00425735" w:rsidRDefault="009A1EC9">
      <w:pPr>
        <w:pStyle w:val="Notedebasdepage"/>
        <w:rPr>
          <w:lang w:val="fr-BE"/>
        </w:rPr>
      </w:pPr>
      <w:r>
        <w:tab/>
      </w:r>
      <w:r w:rsidR="00A534C8">
        <w:rPr>
          <w:rStyle w:val="Appelnotedebasdep"/>
        </w:rPr>
        <w:footnoteRef/>
      </w:r>
      <w:r>
        <w:tab/>
      </w:r>
      <w:r w:rsidR="000B4A77">
        <w:t xml:space="preserve">Ibid., par. 104 à 108. Voir également </w:t>
      </w:r>
      <w:hyperlink r:id="rId9" w:history="1">
        <w:r w:rsidR="0057310B" w:rsidRPr="00C540CB">
          <w:rPr>
            <w:rStyle w:val="Lienhypertexte"/>
            <w:lang w:val="fr-BE"/>
          </w:rPr>
          <w:t>A/HRC/WG.6/28/BEN/1</w:t>
        </w:r>
      </w:hyperlink>
      <w:r w:rsidR="0057310B" w:rsidRPr="00425735">
        <w:rPr>
          <w:lang w:val="fr-BE"/>
        </w:rPr>
        <w:t>, par.</w:t>
      </w:r>
      <w:r w:rsidR="00341E35">
        <w:rPr>
          <w:lang w:val="fr-BE"/>
        </w:rPr>
        <w:t> </w:t>
      </w:r>
      <w:r w:rsidR="0057310B" w:rsidRPr="00425735">
        <w:rPr>
          <w:lang w:val="fr-BE"/>
        </w:rPr>
        <w:t>35.</w:t>
      </w:r>
    </w:p>
  </w:footnote>
  <w:footnote w:id="17">
    <w:p w14:paraId="5F367697" w14:textId="374A1602" w:rsidR="00777079" w:rsidRDefault="00777079">
      <w:pPr>
        <w:pStyle w:val="Notedebasdepage"/>
      </w:pPr>
      <w:r>
        <w:tab/>
      </w:r>
      <w:r>
        <w:rPr>
          <w:rStyle w:val="Appelnotedebasdep"/>
        </w:rPr>
        <w:footnoteRef/>
      </w:r>
      <w:r>
        <w:tab/>
      </w:r>
      <w:hyperlink r:id="rId10" w:history="1">
        <w:r w:rsidRPr="00C540CB">
          <w:rPr>
            <w:rStyle w:val="Lienhypertexte"/>
          </w:rPr>
          <w:t>CERD/C/BEN/1-9</w:t>
        </w:r>
      </w:hyperlink>
      <w:r>
        <w:t>, par. 112 à 114, 150 et 151.</w:t>
      </w:r>
    </w:p>
  </w:footnote>
  <w:footnote w:id="18">
    <w:p w14:paraId="6247B7DE" w14:textId="1587B33D" w:rsidR="006A6BF8" w:rsidRDefault="006A6BF8">
      <w:pPr>
        <w:pStyle w:val="Notedebasdepage"/>
      </w:pPr>
      <w:r>
        <w:tab/>
      </w:r>
      <w:r>
        <w:rPr>
          <w:rStyle w:val="Appelnotedebasdep"/>
        </w:rPr>
        <w:footnoteRef/>
      </w:r>
      <w:r>
        <w:tab/>
        <w:t>Ibid.,</w:t>
      </w:r>
      <w:r w:rsidRPr="006A6BF8">
        <w:t xml:space="preserve"> </w:t>
      </w:r>
      <w:r>
        <w:t>par. 123 à 125 et 147.</w:t>
      </w:r>
    </w:p>
  </w:footnote>
  <w:footnote w:id="19">
    <w:p w14:paraId="0A6DA2E8" w14:textId="40978B5D" w:rsidR="00A95FF2" w:rsidRDefault="00A95FF2">
      <w:pPr>
        <w:pStyle w:val="Notedebasdepage"/>
      </w:pPr>
      <w:r>
        <w:tab/>
      </w:r>
      <w:r>
        <w:rPr>
          <w:rStyle w:val="Appelnotedebasdep"/>
        </w:rPr>
        <w:footnoteRef/>
      </w:r>
      <w:r>
        <w:tab/>
        <w:t>Ibid., par.</w:t>
      </w:r>
      <w:r w:rsidR="00BE2CAB">
        <w:t> 144 et 169.</w:t>
      </w:r>
    </w:p>
  </w:footnote>
  <w:footnote w:id="20">
    <w:p w14:paraId="11989F4C" w14:textId="4A475910" w:rsidR="00D6112A" w:rsidRDefault="00D6112A">
      <w:pPr>
        <w:pStyle w:val="Notedebasdepage"/>
      </w:pPr>
      <w:r>
        <w:tab/>
      </w:r>
      <w:r>
        <w:rPr>
          <w:rStyle w:val="Appelnotedebasdep"/>
        </w:rPr>
        <w:footnoteRef/>
      </w:r>
      <w:r>
        <w:tab/>
        <w:t>Ibid., par. 172 à 187.</w:t>
      </w:r>
    </w:p>
  </w:footnote>
  <w:footnote w:id="21">
    <w:p w14:paraId="52D590C4" w14:textId="303B2B9C" w:rsidR="00972438" w:rsidRPr="00425735" w:rsidRDefault="009A1EC9">
      <w:pPr>
        <w:pStyle w:val="Notedebasdepage"/>
        <w:rPr>
          <w:lang w:val="fr-BE"/>
        </w:rPr>
      </w:pPr>
      <w:r>
        <w:tab/>
      </w:r>
      <w:r w:rsidR="00972438">
        <w:rPr>
          <w:rStyle w:val="Appelnotedebasdep"/>
        </w:rPr>
        <w:footnoteRef/>
      </w:r>
      <w:r>
        <w:tab/>
      </w:r>
      <w:hyperlink r:id="rId11" w:history="1">
        <w:r w:rsidR="00972438" w:rsidRPr="00C540CB">
          <w:rPr>
            <w:rStyle w:val="Lienhypertexte"/>
          </w:rPr>
          <w:t>E/C.12/BEN/CO/3</w:t>
        </w:r>
      </w:hyperlink>
      <w:r w:rsidR="00972438">
        <w:t>, par. 47</w:t>
      </w:r>
      <w:r w:rsidR="00772C6F">
        <w:t xml:space="preserve"> et </w:t>
      </w:r>
      <w:r w:rsidR="00972438">
        <w:t>48.</w:t>
      </w:r>
    </w:p>
  </w:footnote>
  <w:footnote w:id="22">
    <w:p w14:paraId="5DBD4EDC" w14:textId="6904D430" w:rsidR="0057310B" w:rsidRPr="00425735" w:rsidRDefault="009A1EC9">
      <w:pPr>
        <w:pStyle w:val="Notedebasdepage"/>
        <w:rPr>
          <w:lang w:val="fr-BE"/>
        </w:rPr>
      </w:pPr>
      <w:r>
        <w:tab/>
      </w:r>
      <w:r w:rsidR="0057310B">
        <w:rPr>
          <w:rStyle w:val="Appelnotedebasdep"/>
        </w:rPr>
        <w:footnoteRef/>
      </w:r>
      <w:r>
        <w:tab/>
      </w:r>
      <w:hyperlink r:id="rId12" w:history="1">
        <w:r w:rsidR="0057310B" w:rsidRPr="00C540CB">
          <w:rPr>
            <w:rStyle w:val="Lienhypertexte"/>
            <w:lang w:val="fr-BE"/>
          </w:rPr>
          <w:t>A/HRC/WG.6/28/BEN/2</w:t>
        </w:r>
      </w:hyperlink>
      <w:r w:rsidR="0057310B" w:rsidRPr="00425735">
        <w:rPr>
          <w:lang w:val="fr-BE"/>
        </w:rPr>
        <w:t xml:space="preserve">, par. 34. </w:t>
      </w:r>
    </w:p>
  </w:footnote>
  <w:footnote w:id="23">
    <w:p w14:paraId="0DA44A4D" w14:textId="6C4DEAF3" w:rsidR="00502DB1" w:rsidRPr="00425735" w:rsidRDefault="009A1EC9">
      <w:pPr>
        <w:pStyle w:val="Notedebasdepage"/>
        <w:rPr>
          <w:lang w:val="fr-BE"/>
        </w:rPr>
      </w:pPr>
      <w:r>
        <w:tab/>
      </w:r>
      <w:r w:rsidR="00502DB1">
        <w:rPr>
          <w:rStyle w:val="Appelnotedebasdep"/>
        </w:rPr>
        <w:footnoteRef/>
      </w:r>
      <w:r>
        <w:tab/>
      </w:r>
      <w:r w:rsidR="00502DB1" w:rsidRPr="00425735">
        <w:rPr>
          <w:lang w:val="fr-BE"/>
        </w:rPr>
        <w:t>L’</w:t>
      </w:r>
      <w:r w:rsidR="00661223">
        <w:rPr>
          <w:lang w:val="fr-BE"/>
        </w:rPr>
        <w:t>État</w:t>
      </w:r>
      <w:r w:rsidR="00502DB1" w:rsidRPr="00425735">
        <w:rPr>
          <w:lang w:val="fr-BE"/>
        </w:rPr>
        <w:t xml:space="preserve"> partie ne fournit pas cette information dans son rapport. </w:t>
      </w:r>
    </w:p>
  </w:footnote>
  <w:footnote w:id="24">
    <w:p w14:paraId="540D438B" w14:textId="794D3171" w:rsidR="004B7377" w:rsidRDefault="004B7377">
      <w:pPr>
        <w:pStyle w:val="Notedebasdepage"/>
      </w:pPr>
      <w:r>
        <w:tab/>
      </w:r>
      <w:r>
        <w:rPr>
          <w:rStyle w:val="Appelnotedebasdep"/>
        </w:rPr>
        <w:footnoteRef/>
      </w:r>
      <w:r>
        <w:tab/>
      </w:r>
      <w:hyperlink r:id="rId13" w:history="1">
        <w:r w:rsidR="00E94CFF" w:rsidRPr="00C540CB">
          <w:rPr>
            <w:rStyle w:val="Lienhypertexte"/>
          </w:rPr>
          <w:t>CERD/C/BEN/1-9</w:t>
        </w:r>
      </w:hyperlink>
      <w:r>
        <w:t>, par. 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5CFEB" w14:textId="4C7C9448" w:rsidR="007D24F1" w:rsidRPr="006B5194" w:rsidRDefault="006B5194" w:rsidP="006B5194">
    <w:pPr>
      <w:pStyle w:val="En-tte"/>
    </w:pPr>
    <w:r>
      <w:rPr>
        <w:lang w:val="en-GB"/>
      </w:rPr>
      <w:t>CERD/C/BEN/Q/1-9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5081" w14:textId="41EBB40E" w:rsidR="007D24F1" w:rsidRPr="006B5194" w:rsidRDefault="006B5194" w:rsidP="006B5194">
    <w:pPr>
      <w:pStyle w:val="En-tte"/>
      <w:jc w:val="right"/>
      <w:rPr>
        <w:lang w:val="en-GB"/>
      </w:rPr>
    </w:pPr>
    <w:r>
      <w:rPr>
        <w:lang w:val="en-GB"/>
      </w:rPr>
      <w:t>CERD/C/BEN/Q/1-9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70739"/>
    <w:multiLevelType w:val="multilevel"/>
    <w:tmpl w:val="9DE62C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A16A95"/>
    <w:multiLevelType w:val="multilevel"/>
    <w:tmpl w:val="625CDD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755464"/>
    <w:multiLevelType w:val="hybridMultilevel"/>
    <w:tmpl w:val="AF8AE7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6DD4AD1"/>
    <w:multiLevelType w:val="multilevel"/>
    <w:tmpl w:val="DB668FF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264941"/>
    <w:multiLevelType w:val="multilevel"/>
    <w:tmpl w:val="1412797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26729F"/>
    <w:multiLevelType w:val="multilevel"/>
    <w:tmpl w:val="07DCF9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C20CB5"/>
    <w:multiLevelType w:val="hybridMultilevel"/>
    <w:tmpl w:val="4F946F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3D9439F"/>
    <w:multiLevelType w:val="multilevel"/>
    <w:tmpl w:val="CC603BE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0851F0"/>
    <w:multiLevelType w:val="multilevel"/>
    <w:tmpl w:val="69E6F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945B54"/>
    <w:multiLevelType w:val="hybridMultilevel"/>
    <w:tmpl w:val="C7045F9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9C2075C"/>
    <w:multiLevelType w:val="multilevel"/>
    <w:tmpl w:val="297A82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C6506D4"/>
    <w:multiLevelType w:val="multilevel"/>
    <w:tmpl w:val="23D28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3078F1"/>
    <w:multiLevelType w:val="hybridMultilevel"/>
    <w:tmpl w:val="0A246FAA"/>
    <w:lvl w:ilvl="0" w:tplc="1988BF50">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A0A0275"/>
    <w:multiLevelType w:val="multilevel"/>
    <w:tmpl w:val="EC04FB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E047E8"/>
    <w:multiLevelType w:val="multilevel"/>
    <w:tmpl w:val="C4F8D5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557C3F"/>
    <w:multiLevelType w:val="multilevel"/>
    <w:tmpl w:val="7E2CC9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DD6382"/>
    <w:multiLevelType w:val="multilevel"/>
    <w:tmpl w:val="90B6017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4D17E9"/>
    <w:multiLevelType w:val="hybridMultilevel"/>
    <w:tmpl w:val="59CC419E"/>
    <w:lvl w:ilvl="0" w:tplc="A03A418C">
      <w:start w:val="1"/>
      <w:numFmt w:val="decimal"/>
      <w:lvlText w:val="%1."/>
      <w:lvlJc w:val="left"/>
      <w:pPr>
        <w:ind w:left="720" w:hanging="360"/>
      </w:pPr>
      <w:rPr>
        <w:sz w:val="20"/>
        <w:szCs w:val="2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650839"/>
    <w:multiLevelType w:val="multilevel"/>
    <w:tmpl w:val="683A16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C24077"/>
    <w:multiLevelType w:val="hybridMultilevel"/>
    <w:tmpl w:val="E860592C"/>
    <w:lvl w:ilvl="0" w:tplc="9CB2E8A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8"/>
  </w:num>
  <w:num w:numId="2">
    <w:abstractNumId w:val="22"/>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2"/>
  </w:num>
  <w:num w:numId="16">
    <w:abstractNumId w:val="12"/>
  </w:num>
  <w:num w:numId="17">
    <w:abstractNumId w:val="19"/>
  </w:num>
  <w:num w:numId="18">
    <w:abstractNumId w:val="31"/>
  </w:num>
  <w:num w:numId="19">
    <w:abstractNumId w:val="23"/>
  </w:num>
  <w:num w:numId="20">
    <w:abstractNumId w:val="21"/>
  </w:num>
  <w:num w:numId="21">
    <w:abstractNumId w:val="27"/>
  </w:num>
  <w:num w:numId="22">
    <w:abstractNumId w:val="18"/>
  </w:num>
  <w:num w:numId="23">
    <w:abstractNumId w:val="11"/>
  </w:num>
  <w:num w:numId="24">
    <w:abstractNumId w:val="26"/>
  </w:num>
  <w:num w:numId="25">
    <w:abstractNumId w:val="16"/>
  </w:num>
  <w:num w:numId="26">
    <w:abstractNumId w:val="10"/>
  </w:num>
  <w:num w:numId="27">
    <w:abstractNumId w:val="25"/>
  </w:num>
  <w:num w:numId="28">
    <w:abstractNumId w:val="15"/>
  </w:num>
  <w:num w:numId="29">
    <w:abstractNumId w:val="14"/>
  </w:num>
  <w:num w:numId="30">
    <w:abstractNumId w:val="29"/>
  </w:num>
  <w:num w:numId="31">
    <w:abstractNumId w:val="13"/>
  </w:num>
  <w:num w:numId="32">
    <w:abstractNumId w:val="30"/>
  </w:num>
  <w:num w:numId="33">
    <w:abstractNumId w:val="32"/>
  </w:num>
  <w:num w:numId="34">
    <w:abstractNumId w:val="17"/>
  </w:num>
  <w:num w:numId="35">
    <w:abstractNumId w:val="20"/>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en-GB" w:vendorID="64" w:dllVersion="0" w:nlCheck="1" w:checkStyle="0"/>
  <w:activeWritingStyle w:appName="MSWord" w:lang="fr-FR" w:vendorID="64" w:dllVersion="0" w:nlCheck="1" w:checkStyle="0"/>
  <w:activeWritingStyle w:appName="MSWord" w:lang="en-GB" w:vendorID="64" w:dllVersion="6" w:nlCheck="1" w:checkStyle="0"/>
  <w:activeWritingStyle w:appName="MSWord" w:lang="fr-BE" w:vendorID="64" w:dllVersion="0" w:nlCheck="1" w:checkStyle="0"/>
  <w:activeWritingStyle w:appName="MSWord" w:lang="fr-BE" w:vendorID="64" w:dllVersion="6" w:nlCheck="1" w:checkStyle="0"/>
  <w:proofState w:spelling="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AA9"/>
    <w:rsid w:val="00012992"/>
    <w:rsid w:val="00021243"/>
    <w:rsid w:val="00044ADC"/>
    <w:rsid w:val="00061915"/>
    <w:rsid w:val="0007388C"/>
    <w:rsid w:val="000A7D7F"/>
    <w:rsid w:val="000B4A77"/>
    <w:rsid w:val="000B62D9"/>
    <w:rsid w:val="000C4243"/>
    <w:rsid w:val="000C7785"/>
    <w:rsid w:val="000E10C5"/>
    <w:rsid w:val="000E1169"/>
    <w:rsid w:val="000E65F5"/>
    <w:rsid w:val="001313EE"/>
    <w:rsid w:val="00136896"/>
    <w:rsid w:val="00151270"/>
    <w:rsid w:val="00172E82"/>
    <w:rsid w:val="001975FB"/>
    <w:rsid w:val="001B1418"/>
    <w:rsid w:val="001C6DDA"/>
    <w:rsid w:val="001D07BE"/>
    <w:rsid w:val="001D6586"/>
    <w:rsid w:val="001D6DA8"/>
    <w:rsid w:val="001E4037"/>
    <w:rsid w:val="002227EE"/>
    <w:rsid w:val="00247814"/>
    <w:rsid w:val="00286CC5"/>
    <w:rsid w:val="002B7E10"/>
    <w:rsid w:val="002C7007"/>
    <w:rsid w:val="002E1FC4"/>
    <w:rsid w:val="002F0A0A"/>
    <w:rsid w:val="003079C1"/>
    <w:rsid w:val="00335048"/>
    <w:rsid w:val="003366CB"/>
    <w:rsid w:val="00341DEF"/>
    <w:rsid w:val="00341E35"/>
    <w:rsid w:val="00342D18"/>
    <w:rsid w:val="00344A53"/>
    <w:rsid w:val="003574FC"/>
    <w:rsid w:val="00375281"/>
    <w:rsid w:val="003B5139"/>
    <w:rsid w:val="003C1755"/>
    <w:rsid w:val="003C259A"/>
    <w:rsid w:val="003C655A"/>
    <w:rsid w:val="003E36BB"/>
    <w:rsid w:val="003E65F0"/>
    <w:rsid w:val="003F2A67"/>
    <w:rsid w:val="00407ADA"/>
    <w:rsid w:val="00425735"/>
    <w:rsid w:val="00431CBC"/>
    <w:rsid w:val="00433A3F"/>
    <w:rsid w:val="00442F66"/>
    <w:rsid w:val="00446E08"/>
    <w:rsid w:val="00483174"/>
    <w:rsid w:val="0048612C"/>
    <w:rsid w:val="0049558D"/>
    <w:rsid w:val="004A44E7"/>
    <w:rsid w:val="004B5A2C"/>
    <w:rsid w:val="004B7377"/>
    <w:rsid w:val="004C0562"/>
    <w:rsid w:val="004F297F"/>
    <w:rsid w:val="00502DB1"/>
    <w:rsid w:val="00511AE7"/>
    <w:rsid w:val="00535E2A"/>
    <w:rsid w:val="00537143"/>
    <w:rsid w:val="00537D65"/>
    <w:rsid w:val="005523DD"/>
    <w:rsid w:val="0057310B"/>
    <w:rsid w:val="00577E5A"/>
    <w:rsid w:val="005A5F6E"/>
    <w:rsid w:val="005B50BD"/>
    <w:rsid w:val="005B6F16"/>
    <w:rsid w:val="005C651F"/>
    <w:rsid w:val="005D135F"/>
    <w:rsid w:val="005E5537"/>
    <w:rsid w:val="005F298F"/>
    <w:rsid w:val="005F599E"/>
    <w:rsid w:val="006027E8"/>
    <w:rsid w:val="0060391F"/>
    <w:rsid w:val="00615015"/>
    <w:rsid w:val="00625454"/>
    <w:rsid w:val="00653584"/>
    <w:rsid w:val="00661223"/>
    <w:rsid w:val="00661512"/>
    <w:rsid w:val="00662D5E"/>
    <w:rsid w:val="00665777"/>
    <w:rsid w:val="006A6BF8"/>
    <w:rsid w:val="006B2396"/>
    <w:rsid w:val="006B4E47"/>
    <w:rsid w:val="006B5194"/>
    <w:rsid w:val="006C6074"/>
    <w:rsid w:val="006F45DD"/>
    <w:rsid w:val="00702C14"/>
    <w:rsid w:val="00705437"/>
    <w:rsid w:val="0071738A"/>
    <w:rsid w:val="007420DA"/>
    <w:rsid w:val="00754EC1"/>
    <w:rsid w:val="00756A35"/>
    <w:rsid w:val="007571C2"/>
    <w:rsid w:val="00757C20"/>
    <w:rsid w:val="0076449C"/>
    <w:rsid w:val="00767466"/>
    <w:rsid w:val="00772C6F"/>
    <w:rsid w:val="00777079"/>
    <w:rsid w:val="0077751A"/>
    <w:rsid w:val="0079328C"/>
    <w:rsid w:val="007C5877"/>
    <w:rsid w:val="007D24F1"/>
    <w:rsid w:val="007D3BB7"/>
    <w:rsid w:val="007D53CC"/>
    <w:rsid w:val="00802D1E"/>
    <w:rsid w:val="0081490D"/>
    <w:rsid w:val="00815334"/>
    <w:rsid w:val="00815353"/>
    <w:rsid w:val="00832BD7"/>
    <w:rsid w:val="008362BB"/>
    <w:rsid w:val="00863312"/>
    <w:rsid w:val="0086431A"/>
    <w:rsid w:val="00870F88"/>
    <w:rsid w:val="008754F9"/>
    <w:rsid w:val="00896CDF"/>
    <w:rsid w:val="008A041C"/>
    <w:rsid w:val="008A42A4"/>
    <w:rsid w:val="008B68D5"/>
    <w:rsid w:val="008C4179"/>
    <w:rsid w:val="008E6982"/>
    <w:rsid w:val="008F5B69"/>
    <w:rsid w:val="00943263"/>
    <w:rsid w:val="009625BA"/>
    <w:rsid w:val="00972438"/>
    <w:rsid w:val="009A1EC9"/>
    <w:rsid w:val="009C78E1"/>
    <w:rsid w:val="009D6AA9"/>
    <w:rsid w:val="009E114E"/>
    <w:rsid w:val="00A02A86"/>
    <w:rsid w:val="00A0625C"/>
    <w:rsid w:val="00A22156"/>
    <w:rsid w:val="00A4388E"/>
    <w:rsid w:val="00A50DAC"/>
    <w:rsid w:val="00A52C63"/>
    <w:rsid w:val="00A534C8"/>
    <w:rsid w:val="00A5383D"/>
    <w:rsid w:val="00A60230"/>
    <w:rsid w:val="00A7245E"/>
    <w:rsid w:val="00A75DE2"/>
    <w:rsid w:val="00A866B1"/>
    <w:rsid w:val="00A95FF2"/>
    <w:rsid w:val="00AB119A"/>
    <w:rsid w:val="00AD3B2C"/>
    <w:rsid w:val="00AE2D7E"/>
    <w:rsid w:val="00AE34F3"/>
    <w:rsid w:val="00B25CB0"/>
    <w:rsid w:val="00B34344"/>
    <w:rsid w:val="00B565AD"/>
    <w:rsid w:val="00B634D7"/>
    <w:rsid w:val="00BB1FC5"/>
    <w:rsid w:val="00BE2CAB"/>
    <w:rsid w:val="00C175C6"/>
    <w:rsid w:val="00C24F60"/>
    <w:rsid w:val="00C332A6"/>
    <w:rsid w:val="00C40B22"/>
    <w:rsid w:val="00C540CB"/>
    <w:rsid w:val="00C642E2"/>
    <w:rsid w:val="00C71873"/>
    <w:rsid w:val="00C733B7"/>
    <w:rsid w:val="00C74883"/>
    <w:rsid w:val="00C865C0"/>
    <w:rsid w:val="00CA002A"/>
    <w:rsid w:val="00CB0CDA"/>
    <w:rsid w:val="00CB70E9"/>
    <w:rsid w:val="00CC1AB2"/>
    <w:rsid w:val="00CD5F03"/>
    <w:rsid w:val="00CE03FE"/>
    <w:rsid w:val="00CF530A"/>
    <w:rsid w:val="00CF6DAB"/>
    <w:rsid w:val="00D15832"/>
    <w:rsid w:val="00D20D67"/>
    <w:rsid w:val="00D35AE6"/>
    <w:rsid w:val="00D41E2E"/>
    <w:rsid w:val="00D4426D"/>
    <w:rsid w:val="00D462EA"/>
    <w:rsid w:val="00D6112A"/>
    <w:rsid w:val="00D71D8E"/>
    <w:rsid w:val="00D723B0"/>
    <w:rsid w:val="00D76EC9"/>
    <w:rsid w:val="00D82157"/>
    <w:rsid w:val="00D904B2"/>
    <w:rsid w:val="00DA1B22"/>
    <w:rsid w:val="00DC0262"/>
    <w:rsid w:val="00DD4DE8"/>
    <w:rsid w:val="00DF6378"/>
    <w:rsid w:val="00E269E7"/>
    <w:rsid w:val="00E3023D"/>
    <w:rsid w:val="00E42871"/>
    <w:rsid w:val="00E43962"/>
    <w:rsid w:val="00E47DD6"/>
    <w:rsid w:val="00E533AE"/>
    <w:rsid w:val="00E571FD"/>
    <w:rsid w:val="00E65E0D"/>
    <w:rsid w:val="00E70405"/>
    <w:rsid w:val="00E82BE2"/>
    <w:rsid w:val="00E8436A"/>
    <w:rsid w:val="00E94CFF"/>
    <w:rsid w:val="00E95790"/>
    <w:rsid w:val="00EA7701"/>
    <w:rsid w:val="00ED729B"/>
    <w:rsid w:val="00EE30BF"/>
    <w:rsid w:val="00EE462E"/>
    <w:rsid w:val="00F02C2E"/>
    <w:rsid w:val="00F050D1"/>
    <w:rsid w:val="00F2087E"/>
    <w:rsid w:val="00F32758"/>
    <w:rsid w:val="00F374FA"/>
    <w:rsid w:val="00F420A7"/>
    <w:rsid w:val="00F52071"/>
    <w:rsid w:val="00F57338"/>
    <w:rsid w:val="00F74149"/>
    <w:rsid w:val="00F85369"/>
    <w:rsid w:val="00FC4120"/>
    <w:rsid w:val="00FD1610"/>
    <w:rsid w:val="00FE0EBA"/>
    <w:rsid w:val="00FE76E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EA559FF"/>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character" w:styleId="Marquedecommentaire">
    <w:name w:val="annotation reference"/>
    <w:basedOn w:val="Policepardfaut"/>
    <w:uiPriority w:val="99"/>
    <w:semiHidden/>
    <w:unhideWhenUsed/>
    <w:rsid w:val="00E95790"/>
    <w:rPr>
      <w:sz w:val="16"/>
      <w:szCs w:val="16"/>
    </w:rPr>
  </w:style>
  <w:style w:type="paragraph" w:styleId="Commentaire">
    <w:name w:val="annotation text"/>
    <w:basedOn w:val="Normal"/>
    <w:link w:val="CommentaireCar"/>
    <w:uiPriority w:val="99"/>
    <w:semiHidden/>
    <w:unhideWhenUsed/>
    <w:rsid w:val="00E95790"/>
    <w:pPr>
      <w:spacing w:line="240" w:lineRule="auto"/>
    </w:pPr>
  </w:style>
  <w:style w:type="character" w:customStyle="1" w:styleId="CommentaireCar">
    <w:name w:val="Commentaire Car"/>
    <w:basedOn w:val="Policepardfaut"/>
    <w:link w:val="Commentaire"/>
    <w:uiPriority w:val="99"/>
    <w:semiHidden/>
    <w:rsid w:val="00E95790"/>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E95790"/>
    <w:rPr>
      <w:b/>
      <w:bCs/>
    </w:rPr>
  </w:style>
  <w:style w:type="character" w:customStyle="1" w:styleId="ObjetducommentaireCar">
    <w:name w:val="Objet du commentaire Car"/>
    <w:basedOn w:val="CommentaireCar"/>
    <w:link w:val="Objetducommentaire"/>
    <w:uiPriority w:val="99"/>
    <w:semiHidden/>
    <w:rsid w:val="00E95790"/>
    <w:rPr>
      <w:rFonts w:ascii="Times New Roman" w:hAnsi="Times New Roman" w:cs="Times New Roman"/>
      <w:b/>
      <w:bCs/>
      <w:sz w:val="20"/>
      <w:szCs w:val="20"/>
    </w:rPr>
  </w:style>
  <w:style w:type="character" w:customStyle="1" w:styleId="Mentionnonrsolue1">
    <w:name w:val="Mention non résolue1"/>
    <w:basedOn w:val="Policepardfaut"/>
    <w:uiPriority w:val="99"/>
    <w:semiHidden/>
    <w:unhideWhenUsed/>
    <w:rsid w:val="00772C6F"/>
    <w:rPr>
      <w:color w:val="605E5C"/>
      <w:shd w:val="clear" w:color="auto" w:fill="E1DFDD"/>
    </w:rPr>
  </w:style>
  <w:style w:type="character" w:styleId="Mentionnonrsolue">
    <w:name w:val="Unresolved Mention"/>
    <w:basedOn w:val="Policepardfaut"/>
    <w:uiPriority w:val="99"/>
    <w:semiHidden/>
    <w:unhideWhenUsed/>
    <w:rsid w:val="00C540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599880">
      <w:bodyDiv w:val="1"/>
      <w:marLeft w:val="0"/>
      <w:marRight w:val="0"/>
      <w:marTop w:val="0"/>
      <w:marBottom w:val="0"/>
      <w:divBdr>
        <w:top w:val="none" w:sz="0" w:space="0" w:color="auto"/>
        <w:left w:val="none" w:sz="0" w:space="0" w:color="auto"/>
        <w:bottom w:val="none" w:sz="0" w:space="0" w:color="auto"/>
        <w:right w:val="none" w:sz="0" w:space="0" w:color="auto"/>
      </w:divBdr>
    </w:div>
    <w:div w:id="104602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BEN/1" TargetMode="External"/><Relationship Id="rId13" Type="http://schemas.openxmlformats.org/officeDocument/2006/relationships/hyperlink" Target="http://undocs.org/fr/CERD/C/BEN/1" TargetMode="External"/><Relationship Id="rId3" Type="http://schemas.openxmlformats.org/officeDocument/2006/relationships/hyperlink" Target="http://undocs.org/fr/E/C.12/BEN/CO/3" TargetMode="External"/><Relationship Id="rId7" Type="http://schemas.openxmlformats.org/officeDocument/2006/relationships/hyperlink" Target="http://undocs.org/fr/CAT/C/BEN/CO/3" TargetMode="External"/><Relationship Id="rId12" Type="http://schemas.openxmlformats.org/officeDocument/2006/relationships/hyperlink" Target="http://undocs.org/fr/A/HRC/WG.6/28/BEN/2" TargetMode="External"/><Relationship Id="rId2" Type="http://schemas.openxmlformats.org/officeDocument/2006/relationships/hyperlink" Target="http://undocs.org/fr/CERD/C/BEN/1" TargetMode="External"/><Relationship Id="rId1" Type="http://schemas.openxmlformats.org/officeDocument/2006/relationships/hyperlink" Target="http://undocs.org/fr/A/65/18" TargetMode="External"/><Relationship Id="rId6" Type="http://schemas.openxmlformats.org/officeDocument/2006/relationships/hyperlink" Target="http://undocs.org/fr/E/C.12/BEN/CO/3" TargetMode="External"/><Relationship Id="rId11" Type="http://schemas.openxmlformats.org/officeDocument/2006/relationships/hyperlink" Target="http://undocs.org/fr/E/C.12/BEN/CO/3" TargetMode="External"/><Relationship Id="rId5" Type="http://schemas.openxmlformats.org/officeDocument/2006/relationships/hyperlink" Target="http://undocs.org/fr/CERD/C/BEN/1" TargetMode="External"/><Relationship Id="rId10" Type="http://schemas.openxmlformats.org/officeDocument/2006/relationships/hyperlink" Target="http://undocs.org/fr/CERD/C/BEN/1" TargetMode="External"/><Relationship Id="rId4" Type="http://schemas.openxmlformats.org/officeDocument/2006/relationships/hyperlink" Target="http://undocs.org/fr/CERD/C/BEN/1" TargetMode="External"/><Relationship Id="rId9" Type="http://schemas.openxmlformats.org/officeDocument/2006/relationships/hyperlink" Target="http://undocs.org/fr/A/HRC/WG.6/28/BE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4A93D-A9EA-4CC8-ABE6-5001657B6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1186</Words>
  <Characters>6572</Characters>
  <Application>Microsoft Office Word</Application>
  <DocSecurity>0</DocSecurity>
  <Lines>111</Lines>
  <Paragraphs>42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CERD/C/LBN/Q/23-24</vt:lpstr>
      <vt:lpstr>CERD/C/LBN/Q/23-24</vt:lpstr>
      <vt:lpstr>a/hthhhh</vt:lpstr>
    </vt:vector>
  </TitlesOfParts>
  <Company>DCM</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CERD/C/BEN/Q/1-9</dc:title>
  <dc:subject>Valérie BERTIN</dc:subject>
  <dc:creator>QR Codes</dc:creator>
  <cp:keywords/>
  <dc:description/>
  <cp:lastModifiedBy>Corinne Robert</cp:lastModifiedBy>
  <cp:revision>3</cp:revision>
  <cp:lastPrinted>2022-07-14T10:59:00Z</cp:lastPrinted>
  <dcterms:created xsi:type="dcterms:W3CDTF">2022-07-14T10:59:00Z</dcterms:created>
  <dcterms:modified xsi:type="dcterms:W3CDTF">2022-07-14T11:02:00Z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C/LBN/Q/23-24</vt:lpwstr>
  </property>
  <property fmtid="{D5CDD505-2E9C-101B-9397-08002B2CF9AE}" pid="3" name="symh">
    <vt:lpwstr>CERD/C/LBN/Q/23-24</vt:lpwstr>
  </property>
  <property fmtid="{D5CDD505-2E9C-101B-9397-08002B2CF9AE}" pid="4" name="dist">
    <vt:lpwstr>générale</vt:lpwstr>
  </property>
  <property fmtid="{D5CDD505-2E9C-101B-9397-08002B2CF9AE}" pid="5" name="date">
    <vt:lpwstr>03 juillet 2019</vt:lpwstr>
  </property>
  <property fmtid="{D5CDD505-2E9C-101B-9397-08002B2CF9AE}" pid="6" name="sdate">
    <vt:lpwstr>20 avril-08 mai 2020</vt:lpwstr>
  </property>
  <property fmtid="{D5CDD505-2E9C-101B-9397-08002B2CF9AE}" pid="7" name="virs">
    <vt:lpwstr>Anglais, arabe, espagnol et français seulement</vt:lpwstr>
  </property>
  <property fmtid="{D5CDD505-2E9C-101B-9397-08002B2CF9AE}" pid="8" name="snum">
    <vt:lpwstr>101ᵉ</vt:lpwstr>
  </property>
  <property fmtid="{D5CDD505-2E9C-101B-9397-08002B2CF9AE}" pid="9" name="anum">
    <vt:lpwstr>[NUMBER]</vt:lpwstr>
  </property>
  <property fmtid="{D5CDD505-2E9C-101B-9397-08002B2CF9AE}" pid="10" name="count">
    <vt:lpwstr>du Liban </vt:lpwstr>
  </property>
  <property fmtid="{D5CDD505-2E9C-101B-9397-08002B2CF9AE}" pid="11" name="countw">
    <vt:lpwstr>Liban </vt:lpwstr>
  </property>
  <property fmtid="{D5CDD505-2E9C-101B-9397-08002B2CF9AE}" pid="12" name="countwd">
    <vt:lpwstr>le Liban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Liban  valant vingt-troisième et vingt-quatrième rapports périodiques</vt:lpwstr>
  </property>
  <property fmtid="{D5CDD505-2E9C-101B-9397-08002B2CF9AE}" pid="19" name="preps">
    <vt:lpwstr>rapport du Liban  valant vingt-troisième et vingt-quatrième rapports périodiques</vt:lpwstr>
  </property>
  <property fmtid="{D5CDD505-2E9C-101B-9397-08002B2CF9AE}" pid="20" name="prepw">
    <vt:lpwstr>rapport valant vingt-troisième et vingt-quatrième rapports périodiques</vt:lpwstr>
  </property>
  <property fmtid="{D5CDD505-2E9C-101B-9397-08002B2CF9AE}" pid="21" name="prepws">
    <vt:lpwstr>rapport valant vingt-troisième et vingt-quatrième rapports périodiques</vt:lpwstr>
  </property>
  <property fmtid="{D5CDD505-2E9C-101B-9397-08002B2CF9AE}" pid="22" name="prepwc">
    <vt:lpwstr>Rapport valant vingt-troisième et vingt-quatrième rapports périodiques</vt:lpwstr>
  </property>
  <property fmtid="{D5CDD505-2E9C-101B-9397-08002B2CF9AE}" pid="23" name="olang">
    <vt:lpwstr>français</vt:lpwstr>
  </property>
  <property fmtid="{D5CDD505-2E9C-101B-9397-08002B2CF9AE}" pid="24" name="Date-Generated">
    <vt:filetime>2019-07-03T13:28:29Z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themes</vt:lpwstr>
  </property>
  <property fmtid="{D5CDD505-2E9C-101B-9397-08002B2CF9AE}" pid="29" name="doctype">
    <vt:lpwstr>Final</vt:lpwstr>
  </property>
  <property fmtid="{D5CDD505-2E9C-101B-9397-08002B2CF9AE}" pid="30" name="category">
    <vt:lpwstr>CERD</vt:lpwstr>
  </property>
</Properties>
</file>