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8"/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0" type="#_x0000_t202" style="position:absolute;margin-left:0;margin-top:680.4pt;width:171pt;height:28.35pt;z-index:1;mso-position-horizontal-relative:margin" o:allowincell="f" filled="f" stroked="f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t>45801</w:t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  <w:r>
                          <w:t xml:space="preserve">   </w:t>
                        </w:r>
                        <w:r>
                          <w:rPr>
                            <w:lang w:val="en-US"/>
                          </w:rPr>
                          <w:t xml:space="preserve">  201102</w:t>
                        </w:r>
                      </w:p>
                    </w:txbxContent>
                  </v:textbox>
                  <w10:wrap anchorx="margin"/>
                  <w10:anchorlock/>
                </v:shape>
              </w:pict>
            </w:r>
            <w: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</w:t>
            </w:r>
            <w:proofErr w:type="spellStart"/>
            <w:r>
              <w:rPr>
                <w:sz w:val="22"/>
                <w:lang w:val="en-US"/>
              </w:rPr>
              <w:t>SR.4</w:t>
            </w:r>
            <w:r>
              <w:rPr>
                <w:sz w:val="22"/>
              </w:rPr>
              <w:fldChar w:fldCharType="end"/>
            </w:r>
            <w:r>
              <w:rPr>
                <w:sz w:val="22"/>
                <w:lang w:val="en-US"/>
              </w:rPr>
              <w:t>40</w:t>
            </w:r>
            <w:proofErr w:type="spellEnd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20 November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 xml:space="preserve"> 2002 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ENGLISH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spacing w:line="240" w:lineRule="auto"/>
        <w:jc w:val="center"/>
        <w:outlineLvl w:val="0"/>
      </w:pPr>
      <w:r>
        <w:t>КОМИТЕТ ПРОТИВ ПЫТОК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outlineLvl w:val="0"/>
      </w:pPr>
      <w:r>
        <w:t>Двадцать пятая сессия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outlineLvl w:val="0"/>
      </w:pPr>
      <w:r>
        <w:t>КРАТКИЙ ОТЧЕТ О 440-м ЗАСЕДАНИИ,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состоявшемся во Дворце Вильсон в Женеве во вторник,</w:t>
      </w:r>
    </w:p>
    <w:p w:rsidR="00000000" w:rsidRDefault="00000000">
      <w:pPr>
        <w:spacing w:line="240" w:lineRule="auto"/>
        <w:jc w:val="center"/>
      </w:pPr>
      <w:r>
        <w:t>14 ноября 2000 года, в 10 час. 00 мин.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outlineLvl w:val="0"/>
      </w:pPr>
      <w:r>
        <w:rPr>
          <w:u w:val="single"/>
        </w:rPr>
        <w:t>Председатель</w:t>
      </w:r>
      <w:r>
        <w:t>:  г-н БЁРНС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outlineLvl w:val="0"/>
      </w:pPr>
      <w:r>
        <w:t>СОДЕРЖАНИЕ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</w:pPr>
      <w:r>
        <w:t>РАССМОТРЕНИЕ ДОКЛАДОВ, ПРЕДСТАВЛЕННЫХ ГОСУДАРСТВАМИ - УЧАСТНИКАМИ В СООТВЕТСТВИИ СО СТАТЬЕЙ 19 КОНВЕНЦИИ</w:t>
      </w:r>
    </w:p>
    <w:p w:rsidR="00000000" w:rsidRDefault="00000000">
      <w:pPr>
        <w:spacing w:line="240" w:lineRule="auto"/>
      </w:pPr>
    </w:p>
    <w:p w:rsidR="00000000" w:rsidRDefault="00000000">
      <w:pPr>
        <w:pBdr>
          <w:bottom w:val="single" w:sz="12" w:space="1" w:color="auto"/>
        </w:pBdr>
        <w:spacing w:line="240" w:lineRule="auto"/>
        <w:outlineLvl w:val="0"/>
        <w:rPr>
          <w:u w:val="single"/>
        </w:rPr>
      </w:pPr>
      <w:r>
        <w:tab/>
      </w:r>
      <w:r>
        <w:rPr>
          <w:u w:val="single"/>
        </w:rPr>
        <w:t>Второй периодический доклад Армении</w:t>
      </w:r>
    </w:p>
    <w:p w:rsidR="00000000" w:rsidRDefault="00000000">
      <w:pPr>
        <w:pBdr>
          <w:bottom w:val="single" w:sz="12" w:space="1" w:color="auto"/>
        </w:pBdr>
        <w:spacing w:line="240" w:lineRule="auto"/>
        <w:outlineLvl w:val="0"/>
        <w:rPr>
          <w:u w:val="single"/>
        </w:rPr>
      </w:pPr>
    </w:p>
    <w:p w:rsidR="00000000" w:rsidRDefault="00000000">
      <w:pPr>
        <w:pBdr>
          <w:bottom w:val="single" w:sz="12" w:space="1" w:color="auto"/>
        </w:pBdr>
        <w:spacing w:line="240" w:lineRule="auto"/>
        <w:outlineLvl w:val="0"/>
      </w:pPr>
      <w:r>
        <w:t>ОРГАНИЗАЦИОННЫЕ И ПРОЧИЕ ВОПРОСЫ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pBdr>
          <w:bottom w:val="single" w:sz="12" w:space="1" w:color="auto"/>
        </w:pBdr>
        <w:spacing w:line="240" w:lineRule="auto"/>
        <w:outlineLvl w:val="0"/>
        <w:rPr>
          <w:u w:val="single"/>
        </w:rPr>
      </w:pPr>
    </w:p>
    <w:p w:rsidR="00000000" w:rsidRDefault="00000000">
      <w:pPr>
        <w:pBdr>
          <w:bottom w:val="single" w:sz="12" w:space="1" w:color="auto"/>
        </w:pBdr>
        <w:spacing w:line="240" w:lineRule="auto"/>
        <w:outlineLvl w:val="0"/>
        <w:rPr>
          <w:u w:val="single"/>
        </w:rPr>
      </w:pPr>
    </w:p>
    <w:p w:rsidR="00000000" w:rsidRDefault="00000000">
      <w:pPr>
        <w:pStyle w:val="FootnoteText"/>
      </w:pPr>
    </w:p>
    <w:p w:rsidR="00000000" w:rsidRDefault="00000000">
      <w:pPr>
        <w:spacing w:line="240" w:lineRule="auto"/>
        <w:outlineLvl w:val="0"/>
      </w:pPr>
      <w:r>
        <w:tab/>
        <w:t>В настоящий отчет могут вноситься поправки.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E. 4108, Дворец Наций, Женева.</w:t>
      </w:r>
    </w:p>
    <w:p w:rsidR="00000000" w:rsidRDefault="00000000">
      <w:pPr>
        <w:spacing w:line="240" w:lineRule="auto"/>
      </w:pPr>
    </w:p>
    <w:p w:rsidR="00000000" w:rsidRDefault="00000000">
      <w:pPr>
        <w:tabs>
          <w:tab w:val="left" w:pos="0"/>
        </w:tabs>
        <w:suppressAutoHyphens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jc w:val="center"/>
        <w:outlineLvl w:val="0"/>
      </w:pPr>
      <w:r>
        <w:br w:type="page"/>
      </w:r>
      <w:r>
        <w:rPr>
          <w:u w:val="single"/>
        </w:rPr>
        <w:t>Заседание открывается в 10 час. 05 мин</w:t>
      </w:r>
      <w:r>
        <w:t>.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ПРЕДСТАВЛЕННЫХ ГОСУДАРСТВАМИ - УЧАСТНИКАМИ В СООТВЕТСТВИИ СО СТАТЬЕЙ 19 КОНВЕНЦИИ (пункт 4 повестки дня)</w:t>
      </w:r>
    </w:p>
    <w:p w:rsidR="00000000" w:rsidRDefault="00000000"/>
    <w:p w:rsidR="00000000" w:rsidRDefault="00000000">
      <w:r>
        <w:tab/>
      </w:r>
      <w:r>
        <w:rPr>
          <w:u w:val="single"/>
        </w:rPr>
        <w:t>Второй периодический доклад Армении</w:t>
      </w:r>
      <w:r>
        <w:t xml:space="preserve">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/43/</w:t>
      </w:r>
      <w:proofErr w:type="spellStart"/>
      <w:r>
        <w:t>Add.3</w:t>
      </w:r>
      <w:proofErr w:type="spellEnd"/>
      <w:r>
        <w:t xml:space="preserve">; </w:t>
      </w:r>
      <w:proofErr w:type="spellStart"/>
      <w:r>
        <w:rPr>
          <w:lang w:val="en-US"/>
        </w:rPr>
        <w:t>HRI</w:t>
      </w:r>
      <w:proofErr w:type="spellEnd"/>
      <w:r>
        <w:t>/</w:t>
      </w:r>
      <w:r>
        <w:rPr>
          <w:lang w:val="en-US"/>
        </w:rPr>
        <w:t>CORE</w:t>
      </w:r>
      <w:r>
        <w:t>/1/</w:t>
      </w:r>
      <w:r>
        <w:rPr>
          <w:lang w:val="en-US"/>
        </w:rPr>
        <w:t>Add</w:t>
      </w:r>
      <w:r>
        <w:t>.57)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По приглашению Председателя члены делегации Армении занимают места за столом Комитета</w:t>
      </w:r>
      <w:r>
        <w:t>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ПРЕДСЕДАТЕЛЬ</w:t>
      </w:r>
      <w:r>
        <w:t xml:space="preserve"> предлагает делегации выступить перед Комитетом с заявлением.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>Г-н НАЗАРЯН</w:t>
      </w:r>
      <w:r>
        <w:t xml:space="preserve"> (Армения) говорит, что власти Армении в полной мере сознают важность процедуры представления докладов, которая дает им возможность выслушать мнения экспертов относительно соблюдения Арменией положений Конвенции, которая была ратифицирована Национальной ассамблеей в 1993 году.  Правительство рассматривает Конвенцию как мощный инструмент укрепления социального единства и подлинной демократии и стремится к разработке эффективных механизмов и стратегий, направленных на ее полное осуществление.  Его делегация рассчитывает на плодотворный обмен мнениями с Комитетом.</w:t>
      </w:r>
    </w:p>
    <w:p w:rsidR="00000000" w:rsidRDefault="00000000"/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ind w:left="-1"/>
        <w:rPr>
          <w:lang w:val="ru-RU"/>
        </w:rPr>
      </w:pPr>
      <w:r>
        <w:t>4.</w:t>
      </w:r>
      <w:r>
        <w:tab/>
      </w:r>
      <w:r>
        <w:rPr>
          <w:u w:val="single"/>
          <w:lang w:val="ru-RU"/>
        </w:rPr>
        <w:t xml:space="preserve">Г-н </w:t>
      </w:r>
      <w:proofErr w:type="spellStart"/>
      <w:r>
        <w:rPr>
          <w:u w:val="single"/>
          <w:lang w:val="ru-RU"/>
        </w:rPr>
        <w:t>КАМАРА</w:t>
      </w:r>
      <w:proofErr w:type="spellEnd"/>
      <w:r>
        <w:rPr>
          <w:lang w:val="ru-RU"/>
        </w:rPr>
        <w:t xml:space="preserve"> (Докладчик по стране) говорит, что у него имеется к делегации лишь ограниченный круг вопросов, поскольку второй периодический доклад (</w:t>
      </w:r>
      <w:proofErr w:type="spellStart"/>
      <w:r>
        <w:t>CAT</w:t>
      </w:r>
      <w:proofErr w:type="spellEnd"/>
      <w:r>
        <w:t>/C/43/</w:t>
      </w:r>
      <w:proofErr w:type="spellStart"/>
      <w:r>
        <w:t>Add.3</w:t>
      </w:r>
      <w:proofErr w:type="spellEnd"/>
      <w:r>
        <w:rPr>
          <w:lang w:val="ru-RU"/>
        </w:rPr>
        <w:t xml:space="preserve">) сконцентрирован на планах на будущее и содержит весьма мало информации о нынешнем положении в Армении. 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ind w:left="-1"/>
        <w:rPr>
          <w:lang w:val="en-US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ind w:left="-1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 xml:space="preserve">Закрепленное в статье 1 Конвенции определение пыток еще не отражено в национальном законодательстве Армении.  Конституция содержит лишь общий запрет пыток, а действующее законодательство не содержит подробного определения пыток, квалифицируемых как уголовное правонарушение, и санкций за них.  Г-н </w:t>
      </w:r>
      <w:proofErr w:type="spellStart"/>
      <w:r>
        <w:rPr>
          <w:lang w:val="ru-RU"/>
        </w:rPr>
        <w:t>Камара</w:t>
      </w:r>
      <w:proofErr w:type="spellEnd"/>
      <w:r>
        <w:rPr>
          <w:lang w:val="ru-RU"/>
        </w:rPr>
        <w:t xml:space="preserve"> хотел бы выяснить, почему Армения не восполнила этот пробел в законодательстве, несмотря на соответствующую рекомендацию Комитета, высказанную в его заключительных замечаниях по первоначальному докладу.  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ind w:left="-1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 xml:space="preserve">В соответствии со статьей 62 Уголовно-процессуального кодекса любой человек может содержаться под стражей в полиции до 96 часов.  Принимая во внимание, что в большинстве случаев пытки имеют место именно в первое время после ареста, г-н </w:t>
      </w:r>
      <w:proofErr w:type="spellStart"/>
      <w:r>
        <w:rPr>
          <w:lang w:val="ru-RU"/>
        </w:rPr>
        <w:t>Камара</w:t>
      </w:r>
      <w:proofErr w:type="spellEnd"/>
      <w:r>
        <w:rPr>
          <w:lang w:val="ru-RU"/>
        </w:rPr>
        <w:t xml:space="preserve"> полагает, что для соблюдения статьи 2, согласно которой государства-участники обязаны предпринимать эффективные законодательные, административные и судебные меры для предупреждения актов пыток, могло бы требовать сокращения максимального времени содержания под стражей в полиции.  Он интересуется, какие конкретно органы, судебные или административные, отвечают за соблюдение этого срока содержания под стражей в полиции и существует ли какое-либо средство правовой защиты в случае его несоблюдения.  В чем разница между содержанием под стражей в полиции и "мерами пресечения", упоминаемыми в пункте 73?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>Согласно пункту 29 доклада 27 сентября 1993 года парламент Армении принял решение о наделении Генерального прокурора страны правом подписывать соглашения о выдаче с прокурорами других государств.  Были ли заключены какие-либо соглашения такого рода, и если да, то предусмотрено ли ими исполнение запрета, оговоренного в статье 3 Конвенции, согласно которому не может осуществляться выдача какого-либо лица другому государству, если существуют серьезные основания полагать, что ему может угрожать там применение пыток?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Согласно информации, поступившей из Государственного департамента Соединенных Штатов Америки, группы армянских правозащитников сообщили о пяти случаях смерти в результате применения насилия и пыток к задержанным в 1999 году.  По</w:t>
      </w:r>
      <w:r>
        <w:rPr>
          <w:lang w:val="en-US"/>
        </w:rPr>
        <w:t> </w:t>
      </w:r>
      <w:r>
        <w:rPr>
          <w:lang w:val="ru-RU"/>
        </w:rPr>
        <w:t>свидетельству неправительственной организации (НПО) "</w:t>
      </w:r>
      <w:proofErr w:type="spellStart"/>
      <w:r>
        <w:rPr>
          <w:lang w:val="ru-RU"/>
        </w:rPr>
        <w:t>Хьюман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райтс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уотч</w:t>
      </w:r>
      <w:proofErr w:type="spellEnd"/>
      <w:r>
        <w:rPr>
          <w:lang w:val="ru-RU"/>
        </w:rPr>
        <w:t xml:space="preserve">", в тех редких случаях, когда по жалобам на полицию было возбуждено уголовное преследование, обвиняемые были осуждены только за превышение власти в соответствии с положениями Уголовного кодекса, содержание которых довольно расплывчато и не соразмерно тяжести совершенных преступлений.  Г-н </w:t>
      </w:r>
      <w:proofErr w:type="spellStart"/>
      <w:r>
        <w:rPr>
          <w:lang w:val="ru-RU"/>
        </w:rPr>
        <w:t>Камара</w:t>
      </w:r>
      <w:proofErr w:type="spellEnd"/>
      <w:r>
        <w:rPr>
          <w:lang w:val="ru-RU"/>
        </w:rPr>
        <w:t xml:space="preserve"> предлагает делегации прокомментировать заявления, содержащиеся в этих двух сообщениях.  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 xml:space="preserve">В связи со статьей 5 Конвенции г-н </w:t>
      </w:r>
      <w:proofErr w:type="spellStart"/>
      <w:r>
        <w:rPr>
          <w:lang w:val="ru-RU"/>
        </w:rPr>
        <w:t>Камара</w:t>
      </w:r>
      <w:proofErr w:type="spellEnd"/>
      <w:r>
        <w:rPr>
          <w:lang w:val="ru-RU"/>
        </w:rPr>
        <w:t xml:space="preserve"> запрашивает дополнительную информацию о законодательстве, регулирующем преступления, совершаемые за пределами Армении, и о юрисдикции национальных судов в связи с такими преступлениями.  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>
        <w:rPr>
          <w:u w:val="single"/>
          <w:lang w:val="ru-RU"/>
        </w:rPr>
        <w:t>Г-н ЯКОВЛЕВ</w:t>
      </w:r>
      <w:r>
        <w:rPr>
          <w:lang w:val="ru-RU"/>
        </w:rPr>
        <w:t xml:space="preserve"> (Заместитель докладчика по стране) разделяет мнение г-на </w:t>
      </w:r>
      <w:proofErr w:type="spellStart"/>
      <w:r>
        <w:rPr>
          <w:lang w:val="ru-RU"/>
        </w:rPr>
        <w:t>Камары</w:t>
      </w:r>
      <w:proofErr w:type="spellEnd"/>
      <w:r>
        <w:rPr>
          <w:lang w:val="ru-RU"/>
        </w:rPr>
        <w:t xml:space="preserve"> о</w:t>
      </w:r>
      <w:r>
        <w:rPr>
          <w:lang w:val="en-US"/>
        </w:rPr>
        <w:t> </w:t>
      </w:r>
      <w:r>
        <w:rPr>
          <w:lang w:val="ru-RU"/>
        </w:rPr>
        <w:t>важности начального периода уголовного расследования, когда человек лишен свободы лишь по подозрению и оказывается в особенно уязвимом положении, поскольку государственные должностные лица подчас склонны к применению насилия, включая пытки, с целью добиться признания.  Г-н Яковлев просит предоставить дополнительную информацию о существующих в Армении гарантиях защиты неотъемлемых прав лиц, взятых под стражу.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 xml:space="preserve">Содержание под стражей без связи с внешним миром недопустимо.  Насколько известно г-ну Яковлеву, несмотря на то, что действующее законодательство Армении позволяет арестованным общаться со своими защитниками и родственниками на стадии предварительного следствия, на практике арестованные часто оказываются лишенными такого права.  Г-н Яковлев интересуется, какие гарантии и средства правовой защиты предусмотрены в таких случаях.  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По законодательству Армении признания, полученные путем применения пыток, объявляются недопустимыми.  Г-н Яковлев интересуется, распространяется ли вышеуказанная норма на свидетельства, добытые путем принуждения?  Были ли на практике случаи отмены по апелляции решения, вынесенного нижестоящим судом на основании признания, полученного посредством пыток, с последующим оправданием подсудимого?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>В пункте 71 доклада упоминаются курсы подготовки для сотрудников правоохранительных органов с особым акцентом на недопустимость применения пыток.  Г-н Яковлев интересуется, организуются ли аналогичные курсы для медико-санитарного персонала в местах содержания под стражей, в обязанность которого входит выявление случаев применения физических или психических пыток и информирование о них соответствующих компетентных органов.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Г-н Яковлев приветствовал бы получение любой информации о конкретных случаях рассмотрения в судах заявлений от лиц, подвергавшихся пыткам, и результатах их рассмотрения.  Совершенно очевидно, что Армения не относится к государствам, в</w:t>
      </w:r>
      <w:r>
        <w:rPr>
          <w:lang w:val="en-US"/>
        </w:rPr>
        <w:t> </w:t>
      </w:r>
      <w:r>
        <w:rPr>
          <w:lang w:val="ru-RU"/>
        </w:rPr>
        <w:t>которых распространена практика пыток.  Тем не менее Комитет хотел бы получить информацию о том, какие конкретно действия были предприняты в связи с отдельными случаями, и прежде всего, о том, понесли ли наказание виновные.  Г-н Яковлев также желает знать, существуют ли в Армении программы по реабилитации и по выплате компенсаций жертвам пыток и членам их семей.  Могут ли потерпевшие искать компенсацию в гражданских судах?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>
        <w:rPr>
          <w:u w:val="single"/>
          <w:lang w:val="ru-RU"/>
        </w:rPr>
        <w:t>Г-н МАВРОММАТИС</w:t>
      </w:r>
      <w:r>
        <w:rPr>
          <w:lang w:val="ru-RU"/>
        </w:rPr>
        <w:t xml:space="preserve"> говорит, что у него сложилось общее впечатление, что Армения, несмотря на трудности, доставшиеся ей в наследство от прежнего режима, и непрекращающиеся разногласия с соседями, действительно стремится к улучшению положения с правами человека и жизни своего народа.  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 xml:space="preserve">Второй периодический доклад не оправдывает ожиданий и не содержит необходимых подробностей.  Армения, как представляется, пытается выполнить свои международные обязательства по Конвенции путем излишне широкого толкования общих положений.  Г-н </w:t>
      </w:r>
      <w:proofErr w:type="spellStart"/>
      <w:r>
        <w:rPr>
          <w:lang w:val="ru-RU"/>
        </w:rPr>
        <w:t>Мавромматис</w:t>
      </w:r>
      <w:proofErr w:type="spellEnd"/>
      <w:r>
        <w:rPr>
          <w:lang w:val="ru-RU"/>
        </w:rPr>
        <w:t xml:space="preserve"> приветствовал бы вступительное заявление с уточнением информации, представленной в докладе, с тем чтобы Комитет, например, точно знал, принят ли на данный момент новый Уголовный кодекс.  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 xml:space="preserve">Лишь четыре строки доклада были посвящены статье 16, касающейся актов жестокого, бесчеловечного или унижающего достоинство обращения и наказания, той самой статье, которой охватываются, например, условия тюремного заключения и методы  приведения в исполнение смертного приговора.  Г-н </w:t>
      </w:r>
      <w:proofErr w:type="spellStart"/>
      <w:r>
        <w:rPr>
          <w:lang w:val="ru-RU"/>
        </w:rPr>
        <w:t>Мавромматис</w:t>
      </w:r>
      <w:proofErr w:type="spellEnd"/>
      <w:r>
        <w:rPr>
          <w:lang w:val="ru-RU"/>
        </w:rPr>
        <w:t xml:space="preserve"> приветствует содержащееся в пункте 5 заявление, согласно которому смертная казнь впредь до ее отмены может устанавливаться законом в качестве исключительной меры наказания за особо тяжкие преступления.  В то же время, он усматривает целесообразность во введении моратория на смертную казнь в данных обстоятельствах.  Что понимается под особо тяжкими преступлениями, в отношении которых может быть применена смертная казнь, и каковы методы приведения в исполнение смертных приговоров?  Имеется ли статистика случаев применения смертной казни за последние годы?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 xml:space="preserve">Г-н </w:t>
      </w:r>
      <w:proofErr w:type="spellStart"/>
      <w:r>
        <w:rPr>
          <w:lang w:val="ru-RU"/>
        </w:rPr>
        <w:t>Мавромматис</w:t>
      </w:r>
      <w:proofErr w:type="spellEnd"/>
      <w:r>
        <w:rPr>
          <w:lang w:val="ru-RU"/>
        </w:rPr>
        <w:t xml:space="preserve"> указывает на то, что базовый документ Армении (</w:t>
      </w:r>
      <w:proofErr w:type="spellStart"/>
      <w:r>
        <w:rPr>
          <w:lang w:val="en-US"/>
        </w:rPr>
        <w:t>HRI</w:t>
      </w:r>
      <w:proofErr w:type="spellEnd"/>
      <w:r>
        <w:rPr>
          <w:lang w:val="ru-RU"/>
        </w:rPr>
        <w:t>/</w:t>
      </w:r>
      <w:r>
        <w:rPr>
          <w:lang w:val="en-US"/>
        </w:rPr>
        <w:t>CORE</w:t>
      </w:r>
      <w:r>
        <w:rPr>
          <w:lang w:val="ru-RU"/>
        </w:rPr>
        <w:t>/1/</w:t>
      </w:r>
      <w:r>
        <w:rPr>
          <w:lang w:val="en-US"/>
        </w:rPr>
        <w:t>Add</w:t>
      </w:r>
      <w:r>
        <w:rPr>
          <w:lang w:val="ru-RU"/>
        </w:rPr>
        <w:t>.57) нуждается в тщательной доработке, особенно с учетом принятия новой Конституции</w:t>
      </w:r>
      <w:r>
        <w:rPr>
          <w:snapToGrid w:val="0"/>
          <w:lang w:val="ru-RU"/>
        </w:rPr>
        <w:t>.  Такой документ должен содержать, среди прочего, информацию о</w:t>
      </w:r>
      <w:r>
        <w:rPr>
          <w:snapToGrid w:val="0"/>
          <w:lang w:val="en-US"/>
        </w:rPr>
        <w:t> </w:t>
      </w:r>
      <w:r>
        <w:rPr>
          <w:snapToGrid w:val="0"/>
          <w:lang w:val="ru-RU"/>
        </w:rPr>
        <w:t>существующих в Армении механизмах защиты прав человека.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 xml:space="preserve">Со ссылкой на пункт 10 доклада он интересуется, какой </w:t>
      </w:r>
      <w:r>
        <w:rPr>
          <w:snapToGrid w:val="0"/>
          <w:lang w:val="ru-RU"/>
        </w:rPr>
        <w:t xml:space="preserve">статус имеет Конвенция.  Принимая во внимание тот факт, что международные договоры становятся составной частью правовой системы Армении по ратификации, суды должны применять определение пытки, фигурирующее в Конвенции, поскольку Уголовный кодекс такого определения не содержит.  Зафиксированы ли какие-либо случаи в подтверждение вышесказанного? 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20.</w:t>
      </w:r>
      <w:r>
        <w:rPr>
          <w:snapToGrid w:val="0"/>
          <w:lang w:val="ru-RU"/>
        </w:rPr>
        <w:tab/>
        <w:t xml:space="preserve">Г-н </w:t>
      </w:r>
      <w:proofErr w:type="spellStart"/>
      <w:r>
        <w:rPr>
          <w:snapToGrid w:val="0"/>
          <w:lang w:val="ru-RU"/>
        </w:rPr>
        <w:t>Мавромматис</w:t>
      </w:r>
      <w:proofErr w:type="spellEnd"/>
      <w:r>
        <w:rPr>
          <w:snapToGrid w:val="0"/>
          <w:lang w:val="ru-RU"/>
        </w:rPr>
        <w:t xml:space="preserve"> просит пояснить следующие фразы:  "применение насилия со стороны судьи" (пункт 43) и "вынесение заведомо несправедливого приговора" (пункт 44).  Он подчеркивает, что наличие независимого суда и механизмов защиты независимости судебной системы являются обязательным условием выполнения международных обязательств.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 xml:space="preserve">Со ссылкой на пункты 64 и 65 г-н </w:t>
      </w:r>
      <w:proofErr w:type="spellStart"/>
      <w:r>
        <w:rPr>
          <w:lang w:val="ru-RU"/>
        </w:rPr>
        <w:t>Мавромматис</w:t>
      </w:r>
      <w:proofErr w:type="spellEnd"/>
      <w:r>
        <w:rPr>
          <w:lang w:val="ru-RU"/>
        </w:rPr>
        <w:t xml:space="preserve"> интересуется</w:t>
      </w:r>
      <w:r>
        <w:rPr>
          <w:snapToGrid w:val="0"/>
          <w:lang w:val="ru-RU"/>
        </w:rPr>
        <w:t>, оставит ли Армения нарушителя уголовного права без наказания, если за применение пытки законом предусматривается лишение свободы лишь на срок в шесть месяцев, или же она применит универсальную юрисдикцию к такому нарушителю и сама привлечет его к судебной ответственности?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22.</w:t>
      </w:r>
      <w:r>
        <w:rPr>
          <w:snapToGrid w:val="0"/>
          <w:lang w:val="ru-RU"/>
        </w:rPr>
        <w:tab/>
        <w:t xml:space="preserve">Положения, регулирующие применение силы представителями служб безопасности, представляются вполне приемлемыми (пункт 78).  Однако их можно было бы дополнить следующим замечанием:  "до момента применения силы на поражение должны быть исчерпаны все иные методы </w:t>
      </w:r>
      <w:proofErr w:type="spellStart"/>
      <w:r>
        <w:rPr>
          <w:snapToGrid w:val="0"/>
          <w:lang w:val="ru-RU"/>
        </w:rPr>
        <w:t>непоражающего</w:t>
      </w:r>
      <w:proofErr w:type="spellEnd"/>
      <w:r>
        <w:rPr>
          <w:snapToGrid w:val="0"/>
          <w:lang w:val="ru-RU"/>
        </w:rPr>
        <w:t xml:space="preserve"> характера, включая применение силы </w:t>
      </w:r>
      <w:proofErr w:type="spellStart"/>
      <w:r>
        <w:rPr>
          <w:snapToGrid w:val="0"/>
          <w:lang w:val="ru-RU"/>
        </w:rPr>
        <w:t>непоражающего</w:t>
      </w:r>
      <w:proofErr w:type="spellEnd"/>
      <w:r>
        <w:rPr>
          <w:snapToGrid w:val="0"/>
          <w:lang w:val="ru-RU"/>
        </w:rPr>
        <w:t xml:space="preserve"> характера".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23.</w:t>
      </w:r>
      <w:r>
        <w:rPr>
          <w:snapToGrid w:val="0"/>
          <w:lang w:val="ru-RU"/>
        </w:rPr>
        <w:tab/>
        <w:t xml:space="preserve">Со ссылкой на пункт 71 доклада </w:t>
      </w:r>
      <w:r>
        <w:rPr>
          <w:snapToGrid w:val="0"/>
          <w:u w:val="single"/>
          <w:lang w:val="ru-RU"/>
        </w:rPr>
        <w:t>г-н РАСМУССЕН</w:t>
      </w:r>
      <w:r>
        <w:rPr>
          <w:snapToGrid w:val="0"/>
          <w:lang w:val="ru-RU"/>
        </w:rPr>
        <w:t xml:space="preserve"> интересуется, действительно ли в рамках курсов подготовки, организуемых для сотрудников правоохранительных органов по вопросам защиты прав человека, специально затрагивается тема запрещения пыток.  Он хотел бы получить более подробную информацию о таких курсах.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24.</w:t>
      </w:r>
      <w:r>
        <w:rPr>
          <w:snapToGrid w:val="0"/>
          <w:lang w:val="ru-RU"/>
        </w:rPr>
        <w:tab/>
        <w:t xml:space="preserve">Г-н </w:t>
      </w:r>
      <w:proofErr w:type="spellStart"/>
      <w:r>
        <w:rPr>
          <w:snapToGrid w:val="0"/>
          <w:lang w:val="ru-RU"/>
        </w:rPr>
        <w:t>Расмуссен</w:t>
      </w:r>
      <w:proofErr w:type="spellEnd"/>
      <w:r>
        <w:rPr>
          <w:snapToGrid w:val="0"/>
          <w:lang w:val="ru-RU"/>
        </w:rPr>
        <w:t xml:space="preserve"> просит предоставить описание различных мест заключения с указанием максимальных допустимых сроков содержания в каждом из них.  Как долго, например, задержанные могут содержаться под стражей в полиции - в течение семи дней, как указано в пункте 73, или иного периода времени?  Могут ли задержанные лица до их перевода в места предварительного заключения содержаться под стражей в каком-либо другом учреждении более длительное время?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25.</w:t>
      </w:r>
      <w:r>
        <w:rPr>
          <w:snapToGrid w:val="0"/>
          <w:lang w:val="ru-RU"/>
        </w:rPr>
        <w:tab/>
        <w:t>Если пытки и применяются, то это происходит обычно в первое время после ареста, а посему чрезвычайно важно предоставлять гарантии именно на этом этапе в виде обеспечения доступа к адвокату, врачу и родственникам.  Ставятся ли люди в момент их ареста в известность о таких правах?  Предоставляется ли задержанным такая информация в письменном виде?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26.</w:t>
      </w:r>
      <w:r>
        <w:rPr>
          <w:snapToGrid w:val="0"/>
          <w:lang w:val="ru-RU"/>
        </w:rPr>
        <w:tab/>
        <w:t xml:space="preserve">В развитие поднятого г-ном </w:t>
      </w:r>
      <w:proofErr w:type="spellStart"/>
      <w:r>
        <w:rPr>
          <w:snapToGrid w:val="0"/>
          <w:lang w:val="ru-RU"/>
        </w:rPr>
        <w:t>Мавромматисом</w:t>
      </w:r>
      <w:proofErr w:type="spellEnd"/>
      <w:r>
        <w:rPr>
          <w:snapToGrid w:val="0"/>
          <w:lang w:val="ru-RU"/>
        </w:rPr>
        <w:t xml:space="preserve"> вопроса о бесчеловечном и унижающем достоинство обращении г-н </w:t>
      </w:r>
      <w:proofErr w:type="spellStart"/>
      <w:r>
        <w:rPr>
          <w:snapToGrid w:val="0"/>
          <w:lang w:val="ru-RU"/>
        </w:rPr>
        <w:t>Расмуссен</w:t>
      </w:r>
      <w:proofErr w:type="spellEnd"/>
      <w:r>
        <w:rPr>
          <w:snapToGrid w:val="0"/>
          <w:lang w:val="ru-RU"/>
        </w:rPr>
        <w:t xml:space="preserve"> просит представить информацию об условиях тюремного заключения в Армении:  действительно ли существует проблема </w:t>
      </w:r>
      <w:proofErr w:type="spellStart"/>
      <w:r>
        <w:rPr>
          <w:snapToGrid w:val="0"/>
          <w:lang w:val="ru-RU"/>
        </w:rPr>
        <w:t>переполненности</w:t>
      </w:r>
      <w:proofErr w:type="spellEnd"/>
      <w:r>
        <w:rPr>
          <w:snapToGrid w:val="0"/>
          <w:lang w:val="ru-RU"/>
        </w:rPr>
        <w:t xml:space="preserve"> камер, где не имеется вентиляции и арестованные лишены, например, доступа к естественному освещению и подвергаются риску заражения туберкулезом, что является серьезной проблемой в некоторых соседних странах.  Он также интересуется порядком проведения инспекционных проверок тюрем. 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27.</w:t>
      </w:r>
      <w:r>
        <w:rPr>
          <w:snapToGrid w:val="0"/>
          <w:lang w:val="ru-RU"/>
        </w:rPr>
        <w:tab/>
        <w:t xml:space="preserve">В заключение г-н </w:t>
      </w:r>
      <w:proofErr w:type="spellStart"/>
      <w:r>
        <w:rPr>
          <w:snapToGrid w:val="0"/>
          <w:lang w:val="ru-RU"/>
        </w:rPr>
        <w:t>Расмуссен</w:t>
      </w:r>
      <w:proofErr w:type="spellEnd"/>
      <w:r>
        <w:rPr>
          <w:snapToGrid w:val="0"/>
          <w:lang w:val="ru-RU"/>
        </w:rPr>
        <w:t xml:space="preserve"> поднимает весьма важный вопрос о том, предусмотрено ли содержание лиц, ищущих убежища, и беженцев отдельно от преступников?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28.</w:t>
      </w:r>
      <w:r>
        <w:rPr>
          <w:snapToGrid w:val="0"/>
          <w:lang w:val="ru-RU"/>
        </w:rPr>
        <w:tab/>
      </w:r>
      <w:r>
        <w:rPr>
          <w:snapToGrid w:val="0"/>
          <w:u w:val="single"/>
          <w:lang w:val="ru-RU"/>
        </w:rPr>
        <w:t>Г-жа ГАЕР</w:t>
      </w:r>
      <w:r>
        <w:rPr>
          <w:snapToGrid w:val="0"/>
          <w:lang w:val="ru-RU"/>
        </w:rPr>
        <w:t xml:space="preserve"> говорит, что в докладе не учтены рекомендации и выводы, сделанные Комитетом по итогам рассмотрения первоначального доклада Армении, что представляется труднообъяснимым, так как Комитет высказывает свои замечания именно с целью содействия налаживанию конструктивного диалога с государствами-участниками.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29.</w:t>
      </w:r>
      <w:r>
        <w:rPr>
          <w:snapToGrid w:val="0"/>
          <w:lang w:val="ru-RU"/>
        </w:rPr>
        <w:tab/>
        <w:t>Одной из проблем, с которыми Армения столкнулась в последнее время, является появление большого числа беженцев.  Согласно сообщениям НПО, многие из беженцев пережили серьезные травмы, в том числе от перенесенных пыток.  Совершенно очевидно, что правительство Армении не несет за это ответственности, однако Комитет был бы признателен за представление информации о том,  каким образом и при содействии каких структур правительство предоставляет таким людям возмещение убытков и обеспечивает их реабилитацию.  Кроме того, хотелось бы знать, как конкретно возмещаются убытки и происходит реабилитация тех армян, которые оказались жертвами жестокого обращения в армянских тюрьмах?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30.</w:t>
      </w:r>
      <w:r>
        <w:rPr>
          <w:snapToGrid w:val="0"/>
          <w:lang w:val="ru-RU"/>
        </w:rPr>
        <w:tab/>
        <w:t>От групп женщин и матерей, а также правозащитных организаций поступали сообщения о фактах практикуемой в армии "</w:t>
      </w:r>
      <w:proofErr w:type="spellStart"/>
      <w:r>
        <w:rPr>
          <w:snapToGrid w:val="0"/>
          <w:lang w:val="ru-RU"/>
        </w:rPr>
        <w:t>дедовщины</w:t>
      </w:r>
      <w:proofErr w:type="spellEnd"/>
      <w:r>
        <w:rPr>
          <w:snapToGrid w:val="0"/>
          <w:lang w:val="ru-RU"/>
        </w:rPr>
        <w:t>", являющейся подчас причиной смерти или предположительно самоубийства военнослужащих.  Г-же Гаер известно, что министерством обороны изданы строгие распоряжения, запрещающие такого рода практику.  Президент провел встречу с группами солдатских матерей и заверил их, что будут приняты более жесткие меры для борьбы с "</w:t>
      </w:r>
      <w:proofErr w:type="spellStart"/>
      <w:r>
        <w:rPr>
          <w:snapToGrid w:val="0"/>
          <w:lang w:val="ru-RU"/>
        </w:rPr>
        <w:t>дедовщиной</w:t>
      </w:r>
      <w:proofErr w:type="spellEnd"/>
      <w:r>
        <w:rPr>
          <w:snapToGrid w:val="0"/>
          <w:lang w:val="ru-RU"/>
        </w:rPr>
        <w:t>".  Военный прокурор пообещал пересмотреть многие закрытые дела, и 80 офицеров уже привлечены к судебной ответственности.  По оценкам НПО, за последние пять лет ежегодно сообщалось о</w:t>
      </w:r>
      <w:r>
        <w:rPr>
          <w:snapToGrid w:val="0"/>
          <w:lang w:val="en-US"/>
        </w:rPr>
        <w:t> </w:t>
      </w:r>
      <w:r>
        <w:rPr>
          <w:snapToGrid w:val="0"/>
          <w:lang w:val="ru-RU"/>
        </w:rPr>
        <w:t>порядка 200 соответствующих случаях.  Используемое в докладе (пункт 99) выражение "доведение до самоубийства" видится несколько странным для описания последствий применения физического насилия, нападения или домогательства.  Г-жа Гаер приветствовала бы представление любой информации, свидетельствующей о</w:t>
      </w:r>
      <w:r>
        <w:rPr>
          <w:snapToGrid w:val="0"/>
          <w:lang w:val="en-US"/>
        </w:rPr>
        <w:t> </w:t>
      </w:r>
      <w:r>
        <w:rPr>
          <w:snapToGrid w:val="0"/>
          <w:lang w:val="ru-RU"/>
        </w:rPr>
        <w:t>положительных изменениях в этом отношении и о нынешнем положении дел.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31.</w:t>
      </w:r>
      <w:r>
        <w:rPr>
          <w:snapToGrid w:val="0"/>
          <w:lang w:val="ru-RU"/>
        </w:rPr>
        <w:tab/>
        <w:t>Согласно информации, полученной от НПО, имеются и другие случаи, подпадающие под определение пытки или грубого обращения, которые до сих пор не расследованы должным образом.  Это создает среди офицеров, злоупотребляющих своим положением, атмосферу безнаказанности.  Г-жа Гаер интересуется, каким образом поощряется право на подачу жалоб, какие конкретно расследования были проведены и с</w:t>
      </w:r>
      <w:r>
        <w:rPr>
          <w:snapToGrid w:val="0"/>
          <w:lang w:val="en-US"/>
        </w:rPr>
        <w:t> </w:t>
      </w:r>
      <w:r>
        <w:rPr>
          <w:snapToGrid w:val="0"/>
          <w:lang w:val="ru-RU"/>
        </w:rPr>
        <w:t>каким результатом, а также какую ответственность несут соответствующие компетентные органы.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32.</w:t>
      </w:r>
      <w:r>
        <w:rPr>
          <w:snapToGrid w:val="0"/>
          <w:lang w:val="ru-RU"/>
        </w:rPr>
        <w:tab/>
        <w:t>В связи с вопросом об обращении с заключенными г-жа Гаер спрашивает, принимаются ли какие-либо меры по пресечению сексуального насилия в тюрьмах.  Если да, то каковы их результаты?  Полезно было бы иметь сведения о количестве жалоб в</w:t>
      </w:r>
      <w:r>
        <w:rPr>
          <w:snapToGrid w:val="0"/>
          <w:lang w:val="en-US"/>
        </w:rPr>
        <w:t> </w:t>
      </w:r>
      <w:r>
        <w:rPr>
          <w:snapToGrid w:val="0"/>
          <w:lang w:val="ru-RU"/>
        </w:rPr>
        <w:t xml:space="preserve">разбивке по </w:t>
      </w:r>
      <w:proofErr w:type="spellStart"/>
      <w:r>
        <w:rPr>
          <w:snapToGrid w:val="0"/>
          <w:lang w:val="ru-RU"/>
        </w:rPr>
        <w:t>гендерному</w:t>
      </w:r>
      <w:proofErr w:type="spellEnd"/>
      <w:r>
        <w:rPr>
          <w:snapToGrid w:val="0"/>
          <w:lang w:val="ru-RU"/>
        </w:rPr>
        <w:t xml:space="preserve"> признаку.  Кто надзирает за заключенными женщинами, мужчины или женщины?  Содержатся ли женщины, осужденные за менее тяжкие преступления, вместе с теми, кто осужден за тяжкие уголовные преступления?  Если говорить в целом, то в докладе явно не хватает статистических данных по этому вопросу, касающемуся 68 000 заключенных.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33.</w:t>
      </w:r>
      <w:r>
        <w:rPr>
          <w:snapToGrid w:val="0"/>
          <w:lang w:val="ru-RU"/>
        </w:rPr>
        <w:tab/>
        <w:t>В заключение г-жа Гаер спрашивает, правильно ли она поняла, что на период объявления в Армении чрезвычайного положения право не подвергаться пыткам не считается неотъемлемым.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u w:val="single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34.</w:t>
      </w:r>
      <w:r>
        <w:rPr>
          <w:snapToGrid w:val="0"/>
          <w:lang w:val="ru-RU"/>
        </w:rPr>
        <w:tab/>
      </w:r>
      <w:r>
        <w:rPr>
          <w:snapToGrid w:val="0"/>
          <w:u w:val="single"/>
          <w:lang w:val="ru-RU"/>
        </w:rPr>
        <w:t>ПРЕДСЕДАТЕЛЬ</w:t>
      </w:r>
      <w:r>
        <w:rPr>
          <w:snapToGrid w:val="0"/>
          <w:lang w:val="ru-RU"/>
        </w:rPr>
        <w:t xml:space="preserve"> говорит, что особую озабоченность Комитета вызывает режим административного задержания, поскольку по крайней мере одна НПО уже сообщила об</w:t>
      </w:r>
      <w:r>
        <w:rPr>
          <w:snapToGrid w:val="0"/>
          <w:lang w:val="en-US"/>
        </w:rPr>
        <w:t> </w:t>
      </w:r>
      <w:r>
        <w:rPr>
          <w:snapToGrid w:val="0"/>
          <w:lang w:val="ru-RU"/>
        </w:rPr>
        <w:t>инцидентах, имевших место во время административного задержания в Армении, которые представляются, мягко говоря, загадочными.  Важно установить, соответствуют ли механизмы осуществления надзора уровню, предполагаемому для государства, которое ратифицировало документ о правах человека.  В связи с этим Председатель интересуется, что подразумевается под административным задержанием, в каких случаях такое задержание может быть применено и на какой период времени, а также кто уполномочен его применять и на каких условиях?  Имеет ли право подвергнувшееся аресту лицо в период административного задержания общаться со своими родственниками, адвокатом и</w:t>
      </w:r>
      <w:r>
        <w:rPr>
          <w:snapToGrid w:val="0"/>
          <w:lang w:val="en-US"/>
        </w:rPr>
        <w:t> </w:t>
      </w:r>
      <w:r>
        <w:rPr>
          <w:snapToGrid w:val="0"/>
          <w:lang w:val="ru-RU"/>
        </w:rPr>
        <w:t>врачом?  Каковы гарантии того, что в течение первых 24 часов такого задержания не будут применены пытки, которые наиболее вероятны именно в этот отрезок времени?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35.</w:t>
      </w:r>
      <w:r>
        <w:rPr>
          <w:snapToGrid w:val="0"/>
          <w:lang w:val="ru-RU"/>
        </w:rPr>
        <w:tab/>
        <w:t>Амнистия, как подчеркивает Председатель, не является явлением, типичным для Армении, хотя Армения действительно довольно часто ее применяет.  Совершенно очевидно, что амнистирование лиц, подозреваемых на достаточно веских основаниях в совершении преступления, связанного с применением пыток, явилось бы нарушением Конвенции.  Он высказывает предположение, что Армения не будет амнистировать лиц, признанных виновными в применении пыток, как это определено Конвенцией.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36.</w:t>
      </w:r>
      <w:r>
        <w:rPr>
          <w:snapToGrid w:val="0"/>
          <w:lang w:val="ru-RU"/>
        </w:rPr>
        <w:tab/>
        <w:t>В докладе не содержится никаких сведений относительно судебного преследования лиц, совершивших акты пыток.  Он спрашивает, не может ли делегация представить какую-либо информацию по этому вопросу.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37.</w:t>
      </w:r>
      <w:r>
        <w:rPr>
          <w:snapToGrid w:val="0"/>
          <w:lang w:val="ru-RU"/>
        </w:rPr>
        <w:tab/>
        <w:t>Председатель интересуется, содержатся ли задержанные женщины в специальных тюрьмах и какую подготовку в этой связи проходят ответственные лица, выступающие в</w:t>
      </w:r>
      <w:r>
        <w:rPr>
          <w:snapToGrid w:val="0"/>
          <w:lang w:val="en-US"/>
        </w:rPr>
        <w:t> </w:t>
      </w:r>
      <w:r>
        <w:rPr>
          <w:snapToGrid w:val="0"/>
          <w:lang w:val="ru-RU"/>
        </w:rPr>
        <w:t>официальном качестве.  Какой медицинский режим предусмотрен для заключенных женщин?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snapToGrid w:val="0"/>
          <w:lang w:val="ru-RU"/>
        </w:rPr>
      </w:pPr>
      <w:r>
        <w:rPr>
          <w:snapToGrid w:val="0"/>
          <w:lang w:val="ru-RU"/>
        </w:rPr>
        <w:t>38.</w:t>
      </w:r>
      <w:r>
        <w:rPr>
          <w:snapToGrid w:val="0"/>
          <w:lang w:val="ru-RU"/>
        </w:rPr>
        <w:tab/>
        <w:t>Целесообразно отметить, что, хотя смертная казнь в Армении формально не отменена, со времени провозглашения независимости не было случаев ее применения;  кроме того, даже в условиях огромного наплыва беженцев за последние годы не было случаев насильственного выдворения из страны лиц, которым было отказано в</w:t>
      </w:r>
      <w:r>
        <w:rPr>
          <w:snapToGrid w:val="0"/>
          <w:lang w:val="en-US"/>
        </w:rPr>
        <w:t> </w:t>
      </w:r>
      <w:r>
        <w:rPr>
          <w:snapToGrid w:val="0"/>
          <w:lang w:val="ru-RU"/>
        </w:rPr>
        <w:t>предоставлении убежища.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  <w:t xml:space="preserve">Что касается компенсации и реабилитации для жертв жестокости, проявленной со стороны полиции или государства, то из доклада не ясно, можно ли предъявлять судебные иски к государству и может ли судья, вынесший приговор за применение пытки, также присудить компенсацию жертве.  </w:t>
      </w:r>
      <w:r>
        <w:rPr>
          <w:snapToGrid w:val="0"/>
          <w:lang w:val="ru-RU"/>
        </w:rPr>
        <w:t xml:space="preserve">Председатель </w:t>
      </w:r>
      <w:r>
        <w:rPr>
          <w:lang w:val="ru-RU"/>
        </w:rPr>
        <w:t>хотел бы получить пояснение по этому вопросу.  Каков действующий в Армении механизм предоставления компенсации и обеспечения реабилитации?  Насколько он эффективен?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</w:r>
      <w:r>
        <w:rPr>
          <w:u w:val="single"/>
          <w:lang w:val="ru-RU"/>
        </w:rPr>
        <w:t>Г-н КАМАРА</w:t>
      </w:r>
      <w:r>
        <w:rPr>
          <w:lang w:val="ru-RU"/>
        </w:rPr>
        <w:t xml:space="preserve"> просит дать пояснения по пунктам 83 и 84 доклада, которые касаются совместно статей 12 и 13 Конвенции.  Он указывает на то, что статья 12 обязывает государства-участники предпринимать немедленные действия для проведения расследований всякий раз, когда имеются основания полагать, что была применена пытка, тогда как статья 13 предполагает проведение беспристрастного и быстрого расследования в случае подачи жалоб.  Это две разные проблемы, которые должны рассматриваться отдельно.  А как обстоит дело на практике?  Действительно ли государство обязано безотлагательно проводить расследование случаев применения пытки?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r>
        <w:rPr>
          <w:u w:val="single"/>
          <w:lang w:val="ru-RU"/>
        </w:rPr>
        <w:t>Г-н НАЗАРЯН</w:t>
      </w:r>
      <w:r>
        <w:rPr>
          <w:lang w:val="ru-RU"/>
        </w:rPr>
        <w:t xml:space="preserve"> (Армения) говорит, что его делегация предпочитает ответить на одном из последующих заседаний, с тем чтобы глубже изучить вопрос и дать как можно более точные ответы.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>
        <w:rPr>
          <w:u w:val="single"/>
          <w:lang w:val="ru-RU"/>
        </w:rPr>
        <w:t>Делегация Армении покидает зал заседаний</w:t>
      </w:r>
      <w:r>
        <w:rPr>
          <w:lang w:val="ru-RU"/>
        </w:rPr>
        <w:t>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jc w:val="center"/>
        <w:rPr>
          <w:lang w:val="ru-RU"/>
        </w:rPr>
      </w:pPr>
      <w:r>
        <w:rPr>
          <w:u w:val="single"/>
          <w:lang w:val="ru-RU"/>
        </w:rPr>
        <w:t>Заседание прерывается в 11 час. 10 мин. и возобновляется в 11 час. 30 мин.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ОРГАНИЗАЦИОННЫЕ И ПРОЧИЕ ВОПРОСЫ (пункт 2 повестки дня) (</w:t>
      </w:r>
      <w:r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ind w:left="-1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ind w:left="-1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snapToGrid w:val="0"/>
          <w:lang w:val="ru-RU"/>
        </w:rPr>
        <w:t xml:space="preserve"> просит г-жу Гаер, Докладчика по проблеме пыток и </w:t>
      </w:r>
      <w:proofErr w:type="spellStart"/>
      <w:r>
        <w:rPr>
          <w:snapToGrid w:val="0"/>
          <w:lang w:val="ru-RU"/>
        </w:rPr>
        <w:t>гендерным</w:t>
      </w:r>
      <w:proofErr w:type="spellEnd"/>
      <w:r>
        <w:rPr>
          <w:snapToGrid w:val="0"/>
          <w:lang w:val="ru-RU"/>
        </w:rPr>
        <w:t xml:space="preserve"> вопросам, представить Комитету информацию о последних изменениях</w:t>
      </w:r>
      <w:r>
        <w:rPr>
          <w:lang w:val="ru-RU"/>
        </w:rPr>
        <w:t>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>
        <w:rPr>
          <w:u w:val="single"/>
          <w:lang w:val="ru-RU"/>
        </w:rPr>
        <w:t>Г-жа ГАЕР</w:t>
      </w:r>
      <w:r>
        <w:rPr>
          <w:lang w:val="ru-RU"/>
        </w:rPr>
        <w:t xml:space="preserve"> отмечает, что Комитет выражает особую озабоченность положением уязвимых групп, свидетельством чему является назначение Председателем докладчиков по трем темам, касающимся, соответственно, детей, дискриминации и </w:t>
      </w:r>
      <w:proofErr w:type="spellStart"/>
      <w:r>
        <w:rPr>
          <w:lang w:val="ru-RU"/>
        </w:rPr>
        <w:t>гендерной</w:t>
      </w:r>
      <w:proofErr w:type="spellEnd"/>
      <w:r>
        <w:rPr>
          <w:lang w:val="ru-RU"/>
        </w:rPr>
        <w:t xml:space="preserve"> проблематики в связи с вопросом о пытках.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  <w:t xml:space="preserve">За прошедшие шесть или семь месяцев произошло немало изменений, касающихся применения пыток и жестокого обращения в контексте </w:t>
      </w:r>
      <w:proofErr w:type="spellStart"/>
      <w:r>
        <w:rPr>
          <w:lang w:val="ru-RU"/>
        </w:rPr>
        <w:t>гендерной</w:t>
      </w:r>
      <w:proofErr w:type="spellEnd"/>
      <w:r>
        <w:rPr>
          <w:lang w:val="ru-RU"/>
        </w:rPr>
        <w:t xml:space="preserve"> проблематики.  Комитет по правам человека Организации Объединенных Наций, например, недавно сделал существенно важный комментарий к статье 3 Пакта о гражданских и политических правах, где рассматривается проблема равенства мужчин и женщин.  Во время внутренних или вооруженных конфликтов женщины оказываются в исключительно уязвимом положении.  Комитет по правам человека определил за каждым государством обязанность предоставлять женщинам защиту от изнасилования, похищения и других форм насилия по признаку пола, которые подпадают под понятие пытки, как оно определено в Конвенции.  Комитет отметил, о каких условиях и проблемах, в том что касается национального законодательства и практики бытового насилия и насилия против женщин, включая изнасилование, государства должны сообщать, руководствуясь положениями статей 7 и 10 Пакта.  Комитет также поинтересовался, какие усилия прилагают государства для предотвращения принудительных абортов и стерилизации, и регулярно запрашивает сведения о характере обращения с лицами, лишенными свободы, равно как и сведения о том, действительно ли мужчины и женщины содержатся в тюрьмах отдельно друг от друга, являются ли в женских тюрьмах тюремными надзирателями женщины, содержатся ли несовершеннолетние отдельно от взрослых, предоставляется ли мужчинам и женщинам равное право доступа к судам и расцениваются ли их свидетельские показания равнозначно.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  <w:t>Факультативный протокол к Конвенции о ликвидации всех форм дискриминации в</w:t>
      </w:r>
      <w:r>
        <w:rPr>
          <w:lang w:val="en-US"/>
        </w:rPr>
        <w:t> </w:t>
      </w:r>
      <w:r>
        <w:rPr>
          <w:lang w:val="ru-RU"/>
        </w:rPr>
        <w:t>отношении женщин (</w:t>
      </w:r>
      <w:proofErr w:type="spellStart"/>
      <w:r>
        <w:rPr>
          <w:lang w:val="ru-RU"/>
        </w:rPr>
        <w:t>КЛДЖ</w:t>
      </w:r>
      <w:proofErr w:type="spellEnd"/>
      <w:r>
        <w:rPr>
          <w:lang w:val="ru-RU"/>
        </w:rPr>
        <w:t>) ратифицировало уже достаточное количество государств, и</w:t>
      </w:r>
      <w:r>
        <w:rPr>
          <w:lang w:val="en-US"/>
        </w:rPr>
        <w:t> </w:t>
      </w:r>
      <w:r>
        <w:rPr>
          <w:lang w:val="ru-RU"/>
        </w:rPr>
        <w:t>он вступит в силу в декабре 2000 года.  Этот протокол, составленный по образцу Конвенции против пыток, позволяет принимать и рассматривать индивидуальные сообщения о случаях применения насилия и пыток, и будет предусматривать процедуры подачи жалоб и последующего расследования.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  <w:t>После проведения в июне подготовительного совещания Международный уголовный суд подготовил материалы, являющиеся чрезвычайно важными для деятельности Комитета.  В своем определении элементов преступлений геноцида, преступлений против человечности и военных преступлений он четко обозначил проблему пыток в дополнение к таким преступлениям, как изнасилование, сексуальное порабощение, принудительная проституция, вынужденная беременность и сексуальное насилие.  Вышеперечисленные элементы преступлений определены с особой доскональностью, поскольку при определенных обстоятельствах все они могут быть квалифицированы в качестве пытки или жестокого обращения, что позволяет отнести их к</w:t>
      </w:r>
      <w:r>
        <w:rPr>
          <w:lang w:val="en-US"/>
        </w:rPr>
        <w:t> </w:t>
      </w:r>
      <w:r>
        <w:rPr>
          <w:lang w:val="ru-RU"/>
        </w:rPr>
        <w:t>компетенции Комитета.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  <w:t>На Конференции "Пекин+5"</w:t>
      </w:r>
      <w:r>
        <w:rPr>
          <w:sz w:val="18"/>
          <w:lang w:val="ru-RU"/>
        </w:rPr>
        <w:t xml:space="preserve"> </w:t>
      </w:r>
      <w:r>
        <w:rPr>
          <w:lang w:val="ru-RU"/>
        </w:rPr>
        <w:t>были не только подтверждены результаты выработанной Платформы действий, но также существенно дополнены виды запретов и обозначены проблемы, связанные с насилием в отношении женщин и последующим наказанием нарушителей уголовного закона.  Впервые было сделано заявление, касающееся так называемых "преступлений чести", наряду с нанесением телесных повреждений с применением кислоты, а также совершением насилия и убийства из корыстного побуждения присвоить приданое.  Преследование по половому признаку также было признано как дающее основание для предоставления убежища.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  <w:t xml:space="preserve">В своей резолюции о деятельности по искоренению преступлений против женщин, совершаемых во имя чести, принятой на пятьдесят пятой сессии, Генеральная Ассамблея призвала решительно осудить так называемые "преступления чести", которые Генеральный секретарь Организации Объединенных Наций </w:t>
      </w:r>
      <w:proofErr w:type="spellStart"/>
      <w:r>
        <w:rPr>
          <w:lang w:val="ru-RU"/>
        </w:rPr>
        <w:t>Кофи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Аннан</w:t>
      </w:r>
      <w:proofErr w:type="spellEnd"/>
      <w:r>
        <w:rPr>
          <w:lang w:val="ru-RU"/>
        </w:rPr>
        <w:t xml:space="preserve"> охарактеризовал как "преступления позора".  В резолюции подчеркнута необходимость привлечения к ответственности нарушителей уголовного закона и содержится обращение к государствам активизировать усилия по искоренению таких преступлений.  Генеральная Ассамблея, в частности, призвала "соответствующие договорные органы... заниматься этим вопросом, когда это необходимо", обеспечивая тем самым возможность для привлечения к работе тех договорных органов, которые считают себя причастными к ней.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  <w:t>Совет Безопасности, впервые за время своего существования, провел обсуждения и принял резолюцию по проблеме женщин в вооруженных конфликтах.  Как и Комитет по правам человека, он пришел к заключению, что женщины и дети во все большей степени становятся жертвами нападений со стороны воюющих сторон в ходе вооруженных конфликтов.  Прозвучал обращенный к Генеральному секретарю призыв изучить конкретные потребности, в том что касается соблюдения прав человека женщин в условиях вооруженных конфликтов, выявить факторы воздействия таких конфликтов на женщин и девушек и определить руководящие принципы обеспечения их защиты.  В</w:t>
      </w:r>
      <w:r>
        <w:rPr>
          <w:lang w:val="en-US"/>
        </w:rPr>
        <w:t> </w:t>
      </w:r>
      <w:r>
        <w:rPr>
          <w:lang w:val="ru-RU"/>
        </w:rPr>
        <w:t xml:space="preserve">некоторых случаях речь шла бы о </w:t>
      </w:r>
      <w:proofErr w:type="spellStart"/>
      <w:r>
        <w:rPr>
          <w:lang w:val="ru-RU"/>
        </w:rPr>
        <w:t>задействовании</w:t>
      </w:r>
      <w:proofErr w:type="spellEnd"/>
      <w:r>
        <w:rPr>
          <w:lang w:val="ru-RU"/>
        </w:rPr>
        <w:t xml:space="preserve"> обязательств по Конвенции, так что Комитет, возможно, пожелает высказать свои рекомендации.  В резолюции затрагивается вопрос об ответственности государств за принятие соответствующих мер, призванных покончить с безнаказанностью и карать за геноцид, военные преступления и преступления против человечности, с особым акцентом на правомочности Совета Безопасности заниматься проблемой сексуального насилия в отношении женщин.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  <w:t xml:space="preserve">Региональные и национальные организации по правам человека также уделили внимание </w:t>
      </w:r>
      <w:proofErr w:type="spellStart"/>
      <w:r>
        <w:rPr>
          <w:lang w:val="ru-RU"/>
        </w:rPr>
        <w:t>гендерной</w:t>
      </w:r>
      <w:proofErr w:type="spellEnd"/>
      <w:r>
        <w:rPr>
          <w:lang w:val="ru-RU"/>
        </w:rPr>
        <w:t xml:space="preserve"> проблеме в ключевых решениях, принятых на основе положений Конвенции.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г-же Гаер представить на следующей сессии Комитета информацию в развитие ее предварительных выводов.  Он обращается к г-ну </w:t>
      </w:r>
      <w:proofErr w:type="spellStart"/>
      <w:r>
        <w:rPr>
          <w:lang w:val="ru-RU"/>
        </w:rPr>
        <w:t>Гаспару</w:t>
      </w:r>
      <w:proofErr w:type="spellEnd"/>
      <w:r>
        <w:rPr>
          <w:lang w:val="ru-RU"/>
        </w:rPr>
        <w:t xml:space="preserve"> с просьбой представить сообщение о совещании Комитета по правам ребенка, на котором специально рассматривался вопрос о насилии в отношении детей со стороны государства.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53.</w:t>
      </w:r>
      <w:r>
        <w:rPr>
          <w:lang w:val="ru-RU"/>
        </w:rPr>
        <w:tab/>
      </w:r>
      <w:r>
        <w:rPr>
          <w:u w:val="single"/>
          <w:lang w:val="ru-RU"/>
        </w:rPr>
        <w:t>Г-н ГАСПАР</w:t>
      </w:r>
      <w:r>
        <w:rPr>
          <w:lang w:val="ru-RU"/>
        </w:rPr>
        <w:t xml:space="preserve"> говорит, что ему была предоставлена возможность выступить по вопросу обеспечения более эффективной защиты прав ребенка за счет механизмов, предусмотренных в рамках Конвенции против пыток.  Он подчеркнул ее значимость, особенно применительно к статьям 3, 19, 37 и 39 Конвенции по правам ребенка, в случае которых она обеспечивает дополнительное средство защиты.  Среди перекликающихся областей можно назвать интернирование в официальные учреждения, принудительное перемещение в отрыве от семьи и применение репрессий в отношении детей, которые вполне подлежат рассмотрению в рамках Конвенции против пыток.  К числу конкретных вопросов, представляющих интерес, относятся условия содержания детей под стражей, например:  содержатся ли они отдельно от взрослых, применение силы лицами, выступающими в официальном качестве в соответствующих учреждениях, и проявление физической или психологической жестокости по отношению к детям.  Указанные аспекты подпадают под действие статьи 16 Конвенции и могут являться предметом сообщения в соответствии со статьей 22.  Г-н </w:t>
      </w:r>
      <w:proofErr w:type="spellStart"/>
      <w:r>
        <w:rPr>
          <w:lang w:val="ru-RU"/>
        </w:rPr>
        <w:t>Гаспар</w:t>
      </w:r>
      <w:proofErr w:type="spellEnd"/>
      <w:r>
        <w:rPr>
          <w:lang w:val="ru-RU"/>
        </w:rPr>
        <w:t xml:space="preserve"> довел соответствующую процедуру до сведения членов Комитета по правам ребенка, поскольку не все они были знакомы с ней.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  <w:t xml:space="preserve">Кроме того, требования, предусмотренные статьями 10, 12, 13 и 14 Конвенции, могут применяться к случаям содержания детей и подростков в специальных учреждениях, и в частности в изоляторах временного содержания.  Г-н </w:t>
      </w:r>
      <w:proofErr w:type="spellStart"/>
      <w:r>
        <w:rPr>
          <w:lang w:val="ru-RU"/>
        </w:rPr>
        <w:t>Гаспар</w:t>
      </w:r>
      <w:proofErr w:type="spellEnd"/>
      <w:r>
        <w:rPr>
          <w:lang w:val="ru-RU"/>
        </w:rPr>
        <w:t xml:space="preserve"> взял на себя миссию заверить Комитет по правам ребенка в том, что Комитет против пыток, руководствуясь положениями статьи 19 (доклады стран), будет пристально следить за положением с</w:t>
      </w:r>
      <w:r>
        <w:rPr>
          <w:lang w:val="en-US"/>
        </w:rPr>
        <w:t> </w:t>
      </w:r>
      <w:r>
        <w:rPr>
          <w:lang w:val="ru-RU"/>
        </w:rPr>
        <w:t xml:space="preserve">правами ребенка, уделяя особое внимание проблемам интернирования, здоровья и т.п., которые подпадают под компетенцию Комитета. </w:t>
      </w: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000000" w:rsidRDefault="00000000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55.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подтверждает, что Комитет будет действовать в духе прозвучавшего заверения и пристально следить за нормами и условиями содержания подростков в местах заключения. </w:t>
      </w:r>
    </w:p>
    <w:p w:rsidR="00000000" w:rsidRDefault="00000000">
      <w:pPr>
        <w:tabs>
          <w:tab w:val="left" w:pos="567"/>
        </w:tabs>
      </w:pPr>
    </w:p>
    <w:p w:rsidR="00000000" w:rsidRDefault="00000000">
      <w:pPr>
        <w:tabs>
          <w:tab w:val="left" w:pos="567"/>
        </w:tabs>
        <w:outlineLvl w:val="0"/>
        <w:rPr>
          <w:u w:val="single"/>
        </w:rPr>
      </w:pPr>
    </w:p>
    <w:p w:rsidR="00000000" w:rsidRDefault="00000000">
      <w:pPr>
        <w:pStyle w:val="11"/>
        <w:tabs>
          <w:tab w:val="left" w:pos="567"/>
        </w:tabs>
        <w:outlineLvl w:val="0"/>
      </w:pPr>
      <w:r>
        <w:t>Заседание закрывается в 11 час. 51 мин.</w:t>
      </w:r>
    </w:p>
    <w:p w:rsidR="00000000" w:rsidRDefault="00000000">
      <w:pPr>
        <w:tabs>
          <w:tab w:val="left" w:pos="567"/>
        </w:tabs>
        <w:rPr>
          <w:u w:val="single"/>
        </w:rPr>
      </w:pPr>
    </w:p>
    <w:p w:rsidR="00000000" w:rsidRDefault="00000000">
      <w:pPr>
        <w:pStyle w:val="BodyTextIndent"/>
        <w:tabs>
          <w:tab w:val="left" w:pos="567"/>
        </w:tabs>
        <w:ind w:left="0"/>
      </w:pPr>
    </w:p>
    <w:p w:rsidR="00000000" w:rsidRDefault="00000000">
      <w:pPr>
        <w:pStyle w:val="FootnoteText"/>
        <w:tabs>
          <w:tab w:val="left" w:pos="567"/>
        </w:tabs>
        <w:spacing w:line="288" w:lineRule="auto"/>
        <w:jc w:val="center"/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CAT/C/SR.440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0"/>
        <w:tab w:val="left" w:pos="7086"/>
      </w:tabs>
      <w:suppressAutoHyphens/>
      <w:spacing w:line="216" w:lineRule="auto"/>
      <w:rPr>
        <w:lang w:val="en-US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lang w:val="en-US"/>
      </w:rPr>
      <w:t>CAT/C/SR.440</w:t>
    </w:r>
  </w:p>
  <w:p w:rsidR="00000000" w:rsidRDefault="00000000">
    <w:pPr>
      <w:tabs>
        <w:tab w:val="left" w:pos="0"/>
        <w:tab w:val="left" w:pos="7086"/>
      </w:tabs>
      <w:suppressAutoHyphens/>
      <w:spacing w:line="216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</w:tabs>
      <w:suppressAutoHyphens/>
      <w:spacing w:line="216" w:lineRule="auto"/>
      <w:outlineLvl w:val="7"/>
    </w:pPr>
    <w:rPr>
      <w:b/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paragraph" w:styleId="BodyTextIndent">
    <w:name w:val="Body Text Indent"/>
    <w:basedOn w:val="Normal"/>
    <w:semiHidden/>
    <w:pPr>
      <w:ind w:left="567"/>
    </w:pPr>
  </w:style>
  <w:style w:type="character" w:styleId="PageNumber">
    <w:name w:val="page number"/>
    <w:basedOn w:val="DefaultParagraphFont"/>
    <w:semiHidden/>
  </w:style>
  <w:style w:type="paragraph" w:customStyle="1" w:styleId="ParaNo">
    <w:name w:val="ParaNo."/>
    <w:basedOn w:val="Normal"/>
    <w:pPr>
      <w:numPr>
        <w:numId w:val="3"/>
      </w:numPr>
      <w:tabs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line="240" w:lineRule="auto"/>
    </w:pPr>
    <w:rPr>
      <w:lang w:val="fr-CH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3548</Words>
  <Characters>23773</Characters>
  <Application>Microsoft Office Word</Application>
  <DocSecurity>4</DocSecurity>
  <Lines>475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ONU</Company>
  <LinksUpToDate>false</LinksUpToDate>
  <CharactersWithSpaces>28385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CSD</dc:creator>
  <cp:keywords/>
  <dc:description/>
  <cp:lastModifiedBy>Любовь Катаева</cp:lastModifiedBy>
  <cp:revision>3</cp:revision>
  <cp:lastPrinted>2002-11-20T14:35:00Z</cp:lastPrinted>
  <dcterms:created xsi:type="dcterms:W3CDTF">2002-11-20T14:35:00Z</dcterms:created>
  <dcterms:modified xsi:type="dcterms:W3CDTF">2002-11-20T14:36:00Z</dcterms:modified>
</cp:coreProperties>
</file>